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B78" w:rsidRDefault="00DC0F4A">
      <w:r>
        <w:t>2017 CSTE Annual Conference</w:t>
      </w:r>
    </w:p>
    <w:p w:rsidR="00DC0F4A" w:rsidRDefault="00DC0F4A">
      <w:r>
        <w:t>Continuing Education</w:t>
      </w:r>
    </w:p>
    <w:p w:rsidR="00DC0F4A" w:rsidRPr="00DC0F4A" w:rsidRDefault="00DC0F4A" w:rsidP="00DC0F4A">
      <w:pPr>
        <w:rPr>
          <w:b/>
          <w:u w:val="single"/>
        </w:rPr>
      </w:pPr>
      <w:r w:rsidRPr="00DC0F4A">
        <w:rPr>
          <w:b/>
          <w:u w:val="single"/>
        </w:rPr>
        <w:t>Learning Objectives</w:t>
      </w:r>
    </w:p>
    <w:p w:rsidR="00DC0F4A" w:rsidRDefault="00DC0F4A" w:rsidP="00DC0F4A">
      <w:pPr>
        <w:pStyle w:val="ListParagraph"/>
        <w:numPr>
          <w:ilvl w:val="0"/>
          <w:numId w:val="1"/>
        </w:numPr>
      </w:pPr>
      <w:r>
        <w:t>Identify best practices in applied epidemiology.</w:t>
      </w:r>
    </w:p>
    <w:p w:rsidR="00DC0F4A" w:rsidRDefault="00DC0F4A" w:rsidP="00DC0F4A">
      <w:pPr>
        <w:pStyle w:val="ListParagraph"/>
        <w:numPr>
          <w:ilvl w:val="0"/>
          <w:numId w:val="1"/>
        </w:numPr>
      </w:pPr>
      <w:r>
        <w:t>Improve the epidemiology and informatics competency of public health practitioners.</w:t>
      </w:r>
    </w:p>
    <w:p w:rsidR="00DC0F4A" w:rsidRDefault="00DC0F4A" w:rsidP="00DC0F4A">
      <w:pPr>
        <w:pStyle w:val="ListParagraph"/>
        <w:numPr>
          <w:ilvl w:val="0"/>
          <w:numId w:val="1"/>
        </w:numPr>
      </w:pPr>
      <w:r>
        <w:t>Apply public health practice skills presented in workshops.</w:t>
      </w:r>
    </w:p>
    <w:p w:rsidR="00DC0F4A" w:rsidRDefault="00DC0F4A" w:rsidP="00DC0F4A">
      <w:pPr>
        <w:pStyle w:val="ListParagraph"/>
        <w:numPr>
          <w:ilvl w:val="0"/>
          <w:numId w:val="1"/>
        </w:numPr>
      </w:pPr>
      <w:r>
        <w:t>Identify strategies and tools to ensure more efficient and effective analysis, communication, systems thinking, and program planning.</w:t>
      </w:r>
    </w:p>
    <w:p w:rsidR="00DC0F4A" w:rsidRPr="00DC0F4A" w:rsidRDefault="00DC0F4A" w:rsidP="00DC0F4A">
      <w:pPr>
        <w:rPr>
          <w:b/>
          <w:u w:val="single"/>
        </w:rPr>
      </w:pPr>
      <w:r w:rsidRPr="00DC0F4A">
        <w:rPr>
          <w:b/>
          <w:u w:val="single"/>
        </w:rPr>
        <w:t>Types of Continuing Education</w:t>
      </w:r>
    </w:p>
    <w:p w:rsidR="00DC0F4A" w:rsidRDefault="00DC0F4A" w:rsidP="00DC0F4A">
      <w:r>
        <w:t>CSTE has partnered with CDC to provide continuing education to conference attendees.  CSTE is offering free continuing education for: doctors, nurses, health educators, veterinarians, Certified in Public Health, and general practitioners.</w:t>
      </w:r>
    </w:p>
    <w:p w:rsidR="00DC0F4A" w:rsidRPr="00DC0F4A" w:rsidRDefault="00DC0F4A" w:rsidP="00DC0F4A">
      <w:pPr>
        <w:rPr>
          <w:b/>
          <w:u w:val="single"/>
        </w:rPr>
      </w:pPr>
      <w:r w:rsidRPr="00DC0F4A">
        <w:rPr>
          <w:b/>
          <w:u w:val="single"/>
        </w:rPr>
        <w:t xml:space="preserve">To claim Continuing Education: </w:t>
      </w:r>
    </w:p>
    <w:p w:rsidR="00DC0F4A" w:rsidRDefault="00DC0F4A" w:rsidP="00DC0F4A">
      <w:r>
        <w:t xml:space="preserve">Attend the CSTE Annual Conference then complete the evaluation at </w:t>
      </w:r>
      <w:hyperlink r:id="rId5" w:history="1">
        <w:r w:rsidRPr="001D6FCA">
          <w:rPr>
            <w:rStyle w:val="Hyperlink"/>
          </w:rPr>
          <w:t>www.cdc.gov/TCEOnline</w:t>
        </w:r>
      </w:hyperlink>
      <w:r>
        <w:t>.  The CSTE conference code is CSTE2017.</w:t>
      </w:r>
    </w:p>
    <w:p w:rsidR="00DC0F4A" w:rsidRDefault="00DC0F4A" w:rsidP="00DC0F4A">
      <w:pPr>
        <w:rPr>
          <w:b/>
          <w:u w:val="single"/>
        </w:rPr>
      </w:pPr>
      <w:r>
        <w:rPr>
          <w:b/>
          <w:u w:val="single"/>
        </w:rPr>
        <w:t>Accreditation Statements</w:t>
      </w:r>
    </w:p>
    <w:p w:rsidR="00DC0F4A" w:rsidRPr="00DC0F4A" w:rsidRDefault="00DC0F4A" w:rsidP="00DC0F4A">
      <w:r w:rsidRPr="00DC0F4A">
        <w:rPr>
          <w:b/>
        </w:rPr>
        <w:t>CME activities with Joint Providers</w:t>
      </w:r>
      <w:r w:rsidRPr="00DC0F4A">
        <w:t xml:space="preserve">: This activity has been planned and implemented in accordance with the Essential Areas and policies of the Accreditation Council for Continuing Medical Education through the joint </w:t>
      </w:r>
      <w:proofErr w:type="spellStart"/>
      <w:r w:rsidRPr="00DC0F4A">
        <w:t>providership</w:t>
      </w:r>
      <w:proofErr w:type="spellEnd"/>
      <w:r w:rsidRPr="00DC0F4A">
        <w:t xml:space="preserve"> of the Centers for Disease Control and Prevention and the Council of State and Territorial Epidemiologists. The Centers for Disease Control and Prevention is accredited by the (ACCME®) to provide medical education for physicians.  Physicians should claim only the credit commensurate with the extent of their participation in the activity.</w:t>
      </w:r>
    </w:p>
    <w:p w:rsidR="00DC0F4A" w:rsidRPr="00DC0F4A" w:rsidRDefault="00DC0F4A" w:rsidP="00DC0F4A">
      <w:r w:rsidRPr="00DC0F4A">
        <w:t>The Centers for Disease Control and Prevention designates this live activity for a maximum of 33.25 AMA PRA Category 1 Credits™. Physicians should claim only the credit commensurate with the extent of their participation in the activity.</w:t>
      </w:r>
    </w:p>
    <w:p w:rsidR="00DC0F4A" w:rsidRPr="00DC0F4A" w:rsidRDefault="00DC0F4A" w:rsidP="00DC0F4A">
      <w:r w:rsidRPr="00DC0F4A">
        <w:rPr>
          <w:b/>
        </w:rPr>
        <w:t>CNE</w:t>
      </w:r>
      <w:r w:rsidRPr="00DC0F4A">
        <w:t>:  The Centers for Disease Control and Prevention is accredited as a provider of Continuing Nursing Education by the American Nurses Credentialing Center's Commission on Accreditation.</w:t>
      </w:r>
      <w:r>
        <w:t xml:space="preserve">  </w:t>
      </w:r>
      <w:r w:rsidRPr="00DC0F4A">
        <w:t>This activity provides 33.2 contact hours.</w:t>
      </w:r>
    </w:p>
    <w:p w:rsidR="00DC0F4A" w:rsidRPr="00DC0F4A" w:rsidRDefault="00DC0F4A" w:rsidP="00DC0F4A">
      <w:r w:rsidRPr="00DC0F4A">
        <w:rPr>
          <w:b/>
        </w:rPr>
        <w:t>CEU</w:t>
      </w:r>
      <w:r w:rsidRPr="00DC0F4A">
        <w:t>:  The Centers for Disease Control and Prevention is authorized by IACET to offer 3.9 CEU's for this program.</w:t>
      </w:r>
    </w:p>
    <w:p w:rsidR="00DC0F4A" w:rsidRPr="00DC0F4A" w:rsidRDefault="00DC0F4A" w:rsidP="00DC0F4A">
      <w:r w:rsidRPr="00DC0F4A">
        <w:rPr>
          <w:b/>
        </w:rPr>
        <w:t>CECH</w:t>
      </w:r>
      <w:r w:rsidRPr="00DC0F4A">
        <w:t>: Sponsored by the Centers for Disease Control and Prevention, a designated provider of continuing education contact hours (CECH) in health education by the National Commission for Health Education Credentialing, Inc. This program is designated for Certified Health Education Specialists (CHES) and/or Master Certified Health Education Specialists (MCHES) to receive up to 33.5 total Category I continuing education contact hours. Maximum advanced level continuing education contact hours available are 0. CDC provider number 98614.</w:t>
      </w:r>
    </w:p>
    <w:p w:rsidR="00DC0F4A" w:rsidRPr="00DC0F4A" w:rsidRDefault="00DC0F4A" w:rsidP="00DC0F4A">
      <w:r w:rsidRPr="00DC0F4A">
        <w:rPr>
          <w:b/>
        </w:rPr>
        <w:t>AAVSB/RACE</w:t>
      </w:r>
      <w:r w:rsidRPr="00DC0F4A">
        <w:t>:  This program has been submitted (but not yet approved) for 39.3 hours of continuing education credit in jurisdictions which recognize AAVSB RACE approval; however participants should be aware that some boards have limitations on the number of hours accepted in certain categories and/or restrictions on certain methods of delivery of continuing education. Call Jessica Arrazola, 770-458-3811 for further information.</w:t>
      </w:r>
    </w:p>
    <w:p w:rsidR="00DC0F4A" w:rsidRPr="00DC0F4A" w:rsidRDefault="00DC0F4A" w:rsidP="00DC0F4A">
      <w:r w:rsidRPr="00DC0F4A">
        <w:rPr>
          <w:b/>
        </w:rPr>
        <w:t>For Certified Public Health Professionals (CPH)</w:t>
      </w:r>
      <w:r>
        <w:t xml:space="preserve">: </w:t>
      </w:r>
      <w:r w:rsidRPr="00DC0F4A">
        <w:t>The Centers for Disease Control and Prevention is a pre-approved provider of Certified in Public Health (CPH) recertification credits and is authorized to offer 39.0 CPH recertification credits for this program.</w:t>
      </w:r>
    </w:p>
    <w:p w:rsidR="00DC0F4A" w:rsidRDefault="00DC0F4A" w:rsidP="00DC0F4A">
      <w:r w:rsidRPr="00DC0F4A">
        <w:t xml:space="preserve">CDC is an approved provider of CPH Recertification Credits by the National Board of Public Health Examiners. Effective October 1, 2013, the National Board of Public Health Examiners (NBPHE) accepts continuing education units (CEU) for CPH recertification credits from CDC.  Please select CEU as your choice for continuing education when registering for a </w:t>
      </w:r>
      <w:r w:rsidRPr="00DC0F4A">
        <w:lastRenderedPageBreak/>
        <w:t xml:space="preserve">course on </w:t>
      </w:r>
      <w:proofErr w:type="spellStart"/>
      <w:r w:rsidRPr="00DC0F4A">
        <w:t>TCEOnline</w:t>
      </w:r>
      <w:proofErr w:type="spellEnd"/>
      <w:r w:rsidRPr="00DC0F4A">
        <w:t xml:space="preserve">. Learners seeking CPH should use the guidelines provided by the NBPHE for calculating recertification credits.  For assistance please contact NBPHE at </w:t>
      </w:r>
      <w:hyperlink r:id="rId6" w:history="1">
        <w:r w:rsidRPr="001D6FCA">
          <w:rPr>
            <w:rStyle w:val="Hyperlink"/>
          </w:rPr>
          <w:t>http://www.NBPHE.org</w:t>
        </w:r>
      </w:hyperlink>
      <w:r w:rsidRPr="00DC0F4A">
        <w:t>.</w:t>
      </w:r>
    </w:p>
    <w:p w:rsidR="00DC0F4A" w:rsidRPr="0053479C" w:rsidRDefault="00DC0F4A" w:rsidP="00DC0F4A">
      <w:pPr>
        <w:spacing w:line="276" w:lineRule="auto"/>
        <w:rPr>
          <w:rFonts w:ascii="Calibri" w:hAnsi="Calibri" w:cs="Calibri"/>
          <w:color w:val="000000"/>
        </w:rPr>
      </w:pPr>
      <w:r>
        <w:rPr>
          <w:b/>
          <w:u w:val="single"/>
        </w:rPr>
        <w:t>Disclosure</w:t>
      </w:r>
      <w:r w:rsidRPr="0053479C">
        <w:rPr>
          <w:rFonts w:ascii="Calibri" w:hAnsi="Calibri" w:cs="Calibri"/>
          <w:b/>
          <w:color w:val="000000"/>
        </w:rPr>
        <w:t>:</w:t>
      </w:r>
      <w:r w:rsidRPr="0053479C">
        <w:rPr>
          <w:rFonts w:ascii="Calibri" w:hAnsi="Calibri" w:cs="Calibri"/>
          <w:color w:val="000000"/>
        </w:rPr>
        <w:t xml:space="preserve"> In compliance with continuing education requirements, all presenters must disclose any financial or other associations with the manufacturers of commercial products, suppliers of commercial services, or commercial supporters as well as any use of unlabeled product(s) or product(s) under investigational use. </w:t>
      </w:r>
    </w:p>
    <w:p w:rsidR="00DC0F4A" w:rsidRPr="0053479C" w:rsidRDefault="00DC0F4A" w:rsidP="00DC0F4A">
      <w:pPr>
        <w:spacing w:line="276" w:lineRule="auto"/>
        <w:rPr>
          <w:rFonts w:ascii="Calibri" w:hAnsi="Calibri" w:cs="Calibri"/>
          <w:i/>
          <w:color w:val="000000"/>
        </w:rPr>
      </w:pPr>
      <w:r w:rsidRPr="0053479C">
        <w:rPr>
          <w:rFonts w:ascii="Calibri" w:hAnsi="Calibri" w:cs="Calibri"/>
          <w:i/>
          <w:color w:val="000000"/>
        </w:rPr>
        <w:t>CDC, our planners, our presenters,</w:t>
      </w:r>
      <w:r w:rsidRPr="0053479C">
        <w:rPr>
          <w:rFonts w:ascii="Calibri" w:hAnsi="Calibri" w:cs="Calibri"/>
          <w:b/>
          <w:bCs/>
          <w:i/>
          <w:color w:val="000000"/>
        </w:rPr>
        <w:t xml:space="preserve"> </w:t>
      </w:r>
      <w:r w:rsidRPr="0053479C">
        <w:rPr>
          <w:rFonts w:ascii="Calibri" w:hAnsi="Calibri" w:cs="Calibri"/>
          <w:bCs/>
          <w:i/>
          <w:color w:val="000000"/>
        </w:rPr>
        <w:t>and their spouses/partners</w:t>
      </w:r>
      <w:r w:rsidRPr="0053479C">
        <w:rPr>
          <w:rFonts w:ascii="Calibri" w:hAnsi="Calibri" w:cs="Calibri"/>
          <w:i/>
          <w:color w:val="000000"/>
        </w:rPr>
        <w:t xml:space="preserve"> wish to disclose they have no financial interests or other relationships with the manufacturers of commercial products, suppliers of commercial services, or commercial supporters with the exception of presenters listed below who wish to disclose the following:</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8" w:type="dxa"/>
          <w:right w:w="58" w:type="dxa"/>
        </w:tblCellMar>
        <w:tblLook w:val="0000" w:firstRow="0" w:lastRow="0" w:firstColumn="0" w:lastColumn="0" w:noHBand="0" w:noVBand="0"/>
      </w:tblPr>
      <w:tblGrid>
        <w:gridCol w:w="1411"/>
        <w:gridCol w:w="3341"/>
        <w:gridCol w:w="6018"/>
      </w:tblGrid>
      <w:tr w:rsidR="00DC0F4A" w:rsidRPr="00DC0F4A" w:rsidTr="00DC0F4A">
        <w:trPr>
          <w:cantSplit/>
        </w:trPr>
        <w:tc>
          <w:tcPr>
            <w:tcW w:w="0" w:type="auto"/>
            <w:tcBorders>
              <w:top w:val="single" w:sz="12" w:space="0" w:color="auto"/>
              <w:left w:val="single" w:sz="12" w:space="0" w:color="auto"/>
              <w:bottom w:val="single" w:sz="12" w:space="0" w:color="auto"/>
            </w:tcBorders>
            <w:shd w:val="clear" w:color="auto" w:fill="FFFFCC"/>
            <w:tcMar>
              <w:left w:w="0" w:type="dxa"/>
              <w:right w:w="0" w:type="dxa"/>
            </w:tcMar>
            <w:vAlign w:val="bottom"/>
          </w:tcPr>
          <w:p w:rsidR="00DC0F4A" w:rsidRPr="00DC0F4A" w:rsidRDefault="00DC0F4A" w:rsidP="00DC0F4A">
            <w:pPr>
              <w:spacing w:after="0" w:line="240" w:lineRule="auto"/>
              <w:rPr>
                <w:rFonts w:ascii="Calibri" w:hAnsi="Calibri" w:cs="Calibri"/>
                <w:b/>
                <w:color w:val="000000"/>
                <w:sz w:val="20"/>
              </w:rPr>
            </w:pPr>
            <w:r w:rsidRPr="00DC0F4A">
              <w:rPr>
                <w:rFonts w:ascii="Calibri" w:hAnsi="Calibri" w:cs="Calibri"/>
                <w:b/>
                <w:color w:val="000000"/>
                <w:sz w:val="20"/>
              </w:rPr>
              <w:t>Name</w:t>
            </w:r>
          </w:p>
        </w:tc>
        <w:tc>
          <w:tcPr>
            <w:tcW w:w="0" w:type="auto"/>
            <w:tcBorders>
              <w:top w:val="single" w:sz="12" w:space="0" w:color="auto"/>
              <w:bottom w:val="single" w:sz="12" w:space="0" w:color="auto"/>
            </w:tcBorders>
            <w:shd w:val="clear" w:color="auto" w:fill="FFFFCC"/>
            <w:tcMar>
              <w:left w:w="0" w:type="dxa"/>
              <w:right w:w="0" w:type="dxa"/>
            </w:tcMar>
            <w:vAlign w:val="bottom"/>
          </w:tcPr>
          <w:p w:rsidR="00DC0F4A" w:rsidRPr="00DC0F4A" w:rsidRDefault="00DC0F4A" w:rsidP="00DC0F4A">
            <w:pPr>
              <w:spacing w:after="0" w:line="240" w:lineRule="auto"/>
              <w:rPr>
                <w:rFonts w:ascii="Calibri" w:hAnsi="Calibri" w:cs="Calibri"/>
                <w:b/>
                <w:color w:val="000000"/>
                <w:sz w:val="20"/>
              </w:rPr>
            </w:pPr>
            <w:r w:rsidRPr="00DC0F4A">
              <w:rPr>
                <w:rFonts w:ascii="Calibri" w:hAnsi="Calibri" w:cs="Calibri"/>
                <w:b/>
                <w:color w:val="000000"/>
                <w:sz w:val="20"/>
              </w:rPr>
              <w:t>Organization</w:t>
            </w:r>
          </w:p>
        </w:tc>
        <w:tc>
          <w:tcPr>
            <w:tcW w:w="0" w:type="auto"/>
            <w:tcBorders>
              <w:top w:val="single" w:sz="12" w:space="0" w:color="auto"/>
              <w:bottom w:val="single" w:sz="12" w:space="0" w:color="auto"/>
              <w:right w:val="single" w:sz="12" w:space="0" w:color="auto"/>
            </w:tcBorders>
            <w:shd w:val="clear" w:color="auto" w:fill="FFFFCC"/>
            <w:vAlign w:val="bottom"/>
          </w:tcPr>
          <w:p w:rsidR="00DC0F4A" w:rsidRPr="00DC0F4A" w:rsidRDefault="00DC0F4A" w:rsidP="00DC0F4A">
            <w:pPr>
              <w:spacing w:after="0" w:line="240" w:lineRule="auto"/>
              <w:rPr>
                <w:rFonts w:ascii="Calibri" w:hAnsi="Calibri" w:cs="Calibri"/>
                <w:b/>
                <w:color w:val="000000"/>
                <w:sz w:val="20"/>
              </w:rPr>
            </w:pPr>
            <w:r w:rsidRPr="00DC0F4A">
              <w:rPr>
                <w:rFonts w:ascii="Calibri" w:hAnsi="Calibri" w:cs="Calibri"/>
                <w:b/>
                <w:color w:val="000000"/>
                <w:sz w:val="20"/>
              </w:rPr>
              <w:t xml:space="preserve">Nature of Conflict of Interest </w:t>
            </w:r>
            <w:r w:rsidRPr="00DC0F4A">
              <w:rPr>
                <w:rFonts w:ascii="Calibri" w:hAnsi="Calibri" w:cs="Calibri"/>
                <w:b/>
                <w:color w:val="000000"/>
                <w:sz w:val="20"/>
              </w:rPr>
              <w:br/>
              <w:t>AND Mechanism to Resolve*</w:t>
            </w:r>
          </w:p>
        </w:tc>
      </w:tr>
      <w:tr w:rsidR="00DC0F4A" w:rsidRPr="00DC0F4A" w:rsidTr="00DC0F4A">
        <w:trPr>
          <w:cantSplit/>
        </w:trPr>
        <w:tc>
          <w:tcPr>
            <w:tcW w:w="0" w:type="auto"/>
            <w:tcBorders>
              <w:top w:val="single" w:sz="12" w:space="0" w:color="auto"/>
              <w:left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Thomas Talbot</w:t>
            </w:r>
          </w:p>
        </w:tc>
        <w:tc>
          <w:tcPr>
            <w:tcW w:w="0" w:type="auto"/>
            <w:tcBorders>
              <w:top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Vanderbilt University</w:t>
            </w:r>
          </w:p>
        </w:tc>
        <w:tc>
          <w:tcPr>
            <w:tcW w:w="0" w:type="auto"/>
            <w:tcBorders>
              <w:top w:val="single" w:sz="12" w:space="0" w:color="auto"/>
              <w:right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Spouse has received research support for vaccine studies from Sanofi Pasteur, Medimmune, and Gilead - Discussion</w:t>
            </w:r>
          </w:p>
        </w:tc>
      </w:tr>
      <w:tr w:rsidR="00DC0F4A" w:rsidRPr="00DC0F4A" w:rsidTr="00DC0F4A">
        <w:trPr>
          <w:cantSplit/>
        </w:trPr>
        <w:tc>
          <w:tcPr>
            <w:tcW w:w="0" w:type="auto"/>
            <w:tcBorders>
              <w:left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Catherine Staes</w:t>
            </w:r>
          </w:p>
        </w:tc>
        <w:tc>
          <w:tcPr>
            <w:tcW w:w="0" w:type="auto"/>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Council of State and Territorial Epidemiologists</w:t>
            </w:r>
          </w:p>
        </w:tc>
        <w:tc>
          <w:tcPr>
            <w:tcW w:w="0" w:type="auto"/>
            <w:tcBorders>
              <w:right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Consultant –Funded as an informatics consultant for CSTE - Discussion</w:t>
            </w:r>
          </w:p>
        </w:tc>
      </w:tr>
      <w:tr w:rsidR="00DC0F4A" w:rsidRPr="00DC0F4A" w:rsidTr="00DC0F4A">
        <w:trPr>
          <w:cantSplit/>
        </w:trPr>
        <w:tc>
          <w:tcPr>
            <w:tcW w:w="0" w:type="auto"/>
            <w:tcBorders>
              <w:left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Ingrid Oakley-Girvan</w:t>
            </w:r>
          </w:p>
        </w:tc>
        <w:tc>
          <w:tcPr>
            <w:tcW w:w="0" w:type="auto"/>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 xml:space="preserve">Cancer Prevention Institute of California and </w:t>
            </w:r>
            <w:proofErr w:type="spellStart"/>
            <w:r w:rsidRPr="00DC0F4A">
              <w:rPr>
                <w:rFonts w:ascii="Calibri" w:hAnsi="Calibri" w:cs="Calibri"/>
                <w:color w:val="000000"/>
                <w:sz w:val="20"/>
              </w:rPr>
              <w:t>Medable</w:t>
            </w:r>
            <w:proofErr w:type="spellEnd"/>
            <w:r w:rsidRPr="00DC0F4A">
              <w:rPr>
                <w:rFonts w:ascii="Calibri" w:hAnsi="Calibri" w:cs="Calibri"/>
                <w:color w:val="000000"/>
                <w:sz w:val="20"/>
              </w:rPr>
              <w:t xml:space="preserve"> Inc</w:t>
            </w:r>
          </w:p>
        </w:tc>
        <w:tc>
          <w:tcPr>
            <w:tcW w:w="0" w:type="auto"/>
            <w:tcBorders>
              <w:right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 xml:space="preserve">Salary, Stock in </w:t>
            </w:r>
            <w:proofErr w:type="spellStart"/>
            <w:r w:rsidRPr="00DC0F4A">
              <w:rPr>
                <w:rFonts w:ascii="Calibri" w:hAnsi="Calibri" w:cs="Calibri"/>
                <w:color w:val="000000"/>
                <w:sz w:val="20"/>
              </w:rPr>
              <w:t>Meable</w:t>
            </w:r>
            <w:proofErr w:type="spellEnd"/>
            <w:r w:rsidRPr="00DC0F4A">
              <w:rPr>
                <w:rFonts w:ascii="Calibri" w:hAnsi="Calibri" w:cs="Calibri"/>
                <w:color w:val="000000"/>
                <w:sz w:val="20"/>
              </w:rPr>
              <w:t xml:space="preserve"> Inc. - Discussion</w:t>
            </w:r>
          </w:p>
        </w:tc>
      </w:tr>
      <w:tr w:rsidR="00DC0F4A" w:rsidRPr="00DC0F4A" w:rsidTr="00DC0F4A">
        <w:trPr>
          <w:cantSplit/>
        </w:trPr>
        <w:tc>
          <w:tcPr>
            <w:tcW w:w="0" w:type="auto"/>
            <w:tcBorders>
              <w:left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 xml:space="preserve">John </w:t>
            </w:r>
            <w:proofErr w:type="spellStart"/>
            <w:r w:rsidRPr="00DC0F4A">
              <w:rPr>
                <w:rFonts w:ascii="Calibri" w:hAnsi="Calibri" w:cs="Calibri"/>
                <w:color w:val="000000"/>
                <w:sz w:val="20"/>
              </w:rPr>
              <w:t>Loonsk</w:t>
            </w:r>
            <w:proofErr w:type="spellEnd"/>
          </w:p>
        </w:tc>
        <w:tc>
          <w:tcPr>
            <w:tcW w:w="0" w:type="auto"/>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CGI Federal</w:t>
            </w:r>
          </w:p>
        </w:tc>
        <w:tc>
          <w:tcPr>
            <w:tcW w:w="0" w:type="auto"/>
            <w:tcBorders>
              <w:right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Consultant for  CGI Federal</w:t>
            </w:r>
          </w:p>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 xml:space="preserve"> - Discussion</w:t>
            </w:r>
          </w:p>
        </w:tc>
      </w:tr>
      <w:tr w:rsidR="00DC0F4A" w:rsidRPr="00DC0F4A" w:rsidTr="00DC0F4A">
        <w:trPr>
          <w:cantSplit/>
        </w:trPr>
        <w:tc>
          <w:tcPr>
            <w:tcW w:w="0" w:type="auto"/>
            <w:tcBorders>
              <w:left w:val="single" w:sz="12" w:space="0" w:color="auto"/>
              <w:bottom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Mary Ann Honors</w:t>
            </w:r>
          </w:p>
        </w:tc>
        <w:tc>
          <w:tcPr>
            <w:tcW w:w="0" w:type="auto"/>
            <w:tcBorders>
              <w:bottom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Arundel Metrics, Inc</w:t>
            </w:r>
          </w:p>
        </w:tc>
        <w:tc>
          <w:tcPr>
            <w:tcW w:w="0" w:type="auto"/>
            <w:tcBorders>
              <w:bottom w:val="single" w:sz="12" w:space="0" w:color="auto"/>
              <w:right w:val="single" w:sz="12" w:space="0" w:color="auto"/>
            </w:tcBorders>
            <w:shd w:val="clear" w:color="auto" w:fill="E0E0E0"/>
          </w:tcPr>
          <w:p w:rsidR="00DC0F4A" w:rsidRPr="00DC0F4A" w:rsidRDefault="00DC0F4A" w:rsidP="00DC0F4A">
            <w:pPr>
              <w:spacing w:after="0" w:line="240" w:lineRule="auto"/>
              <w:rPr>
                <w:rFonts w:ascii="Calibri" w:hAnsi="Calibri" w:cs="Calibri"/>
                <w:color w:val="000000"/>
                <w:sz w:val="20"/>
              </w:rPr>
            </w:pPr>
            <w:r w:rsidRPr="00DC0F4A">
              <w:rPr>
                <w:rFonts w:ascii="Calibri" w:hAnsi="Calibri" w:cs="Calibri"/>
                <w:color w:val="000000"/>
                <w:sz w:val="20"/>
              </w:rPr>
              <w:t>Consultant – Receives funding to co-author America’s Health Rankings for the United Health Foundation - Discussion</w:t>
            </w:r>
          </w:p>
        </w:tc>
      </w:tr>
    </w:tbl>
    <w:p w:rsidR="00DC0F4A" w:rsidRDefault="00DC0F4A" w:rsidP="00DC0F4A">
      <w:pPr>
        <w:rPr>
          <w:b/>
          <w:u w:val="single"/>
        </w:rPr>
      </w:pPr>
    </w:p>
    <w:p w:rsidR="00DC0F4A" w:rsidRPr="0053479C" w:rsidRDefault="00DC0F4A" w:rsidP="00DC0F4A">
      <w:pPr>
        <w:spacing w:line="276" w:lineRule="auto"/>
        <w:rPr>
          <w:rFonts w:ascii="Calibri" w:hAnsi="Calibri" w:cs="Calibri"/>
        </w:rPr>
      </w:pPr>
      <w:r w:rsidRPr="0053479C">
        <w:rPr>
          <w:rFonts w:ascii="Calibri" w:hAnsi="Calibri" w:cs="Calibri"/>
        </w:rPr>
        <w:t>Planning committee discussed conflict of interest with Thomas Talbot, Catherine Staes, Ingrid Oakley-</w:t>
      </w:r>
      <w:proofErr w:type="spellStart"/>
      <w:r w:rsidRPr="0053479C">
        <w:rPr>
          <w:rFonts w:ascii="Calibri" w:hAnsi="Calibri" w:cs="Calibri"/>
        </w:rPr>
        <w:t>Grivan</w:t>
      </w:r>
      <w:proofErr w:type="spellEnd"/>
      <w:r w:rsidRPr="0053479C">
        <w:rPr>
          <w:rFonts w:ascii="Calibri" w:hAnsi="Calibri" w:cs="Calibri"/>
        </w:rPr>
        <w:t xml:space="preserve">, John </w:t>
      </w:r>
      <w:proofErr w:type="spellStart"/>
      <w:r w:rsidRPr="0053479C">
        <w:rPr>
          <w:rFonts w:ascii="Calibri" w:hAnsi="Calibri" w:cs="Calibri"/>
        </w:rPr>
        <w:t>Loonsk</w:t>
      </w:r>
      <w:proofErr w:type="spellEnd"/>
      <w:r w:rsidRPr="0053479C">
        <w:rPr>
          <w:rFonts w:ascii="Calibri" w:hAnsi="Calibri" w:cs="Calibri"/>
        </w:rPr>
        <w:t xml:space="preserve">, and Mary Ann Honors to ensure there is no bias. </w:t>
      </w:r>
    </w:p>
    <w:p w:rsidR="00DC0F4A" w:rsidRPr="0053479C" w:rsidRDefault="00DC0F4A" w:rsidP="00DC0F4A">
      <w:pPr>
        <w:spacing w:line="276" w:lineRule="auto"/>
        <w:rPr>
          <w:rFonts w:ascii="Calibri" w:hAnsi="Calibri" w:cs="Calibri"/>
          <w:bCs/>
          <w:i/>
          <w:color w:val="000000"/>
        </w:rPr>
      </w:pPr>
      <w:r w:rsidRPr="0053479C">
        <w:rPr>
          <w:rFonts w:ascii="Calibri" w:hAnsi="Calibri" w:cs="Calibri"/>
          <w:bCs/>
          <w:i/>
          <w:color w:val="000000"/>
        </w:rPr>
        <w:t xml:space="preserve">Presentations will not include any discussion of the unlabeled use of a product or a product under investigational us with the exception of Presenters listed below who will be discussing the following: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8" w:type="dxa"/>
          <w:right w:w="58" w:type="dxa"/>
        </w:tblCellMar>
        <w:tblLook w:val="0000" w:firstRow="0" w:lastRow="0" w:firstColumn="0" w:lastColumn="0" w:noHBand="0" w:noVBand="0"/>
      </w:tblPr>
      <w:tblGrid>
        <w:gridCol w:w="1257"/>
        <w:gridCol w:w="2341"/>
        <w:gridCol w:w="7172"/>
      </w:tblGrid>
      <w:tr w:rsidR="00DC0F4A" w:rsidRPr="00DC0F4A" w:rsidTr="00DC0F4A">
        <w:trPr>
          <w:cantSplit/>
        </w:trPr>
        <w:tc>
          <w:tcPr>
            <w:tcW w:w="0" w:type="auto"/>
            <w:tcBorders>
              <w:top w:val="single" w:sz="12" w:space="0" w:color="auto"/>
              <w:left w:val="single" w:sz="12" w:space="0" w:color="auto"/>
              <w:bottom w:val="single" w:sz="12" w:space="0" w:color="auto"/>
            </w:tcBorders>
            <w:shd w:val="clear" w:color="auto" w:fill="FFFFCC"/>
            <w:tcMar>
              <w:left w:w="0" w:type="dxa"/>
              <w:right w:w="0" w:type="dxa"/>
            </w:tcMar>
          </w:tcPr>
          <w:p w:rsidR="00DC0F4A" w:rsidRPr="00DC0F4A" w:rsidRDefault="00DC0F4A" w:rsidP="00DC0F4A">
            <w:pPr>
              <w:spacing w:after="0" w:line="240" w:lineRule="auto"/>
              <w:ind w:left="720"/>
              <w:contextualSpacing/>
              <w:rPr>
                <w:rFonts w:ascii="Calibri" w:eastAsia="Calibri" w:hAnsi="Calibri" w:cs="Calibri"/>
                <w:b/>
                <w:color w:val="000000"/>
                <w:sz w:val="20"/>
              </w:rPr>
            </w:pPr>
            <w:r w:rsidRPr="00DC0F4A">
              <w:rPr>
                <w:rFonts w:ascii="Calibri" w:eastAsia="Calibri" w:hAnsi="Calibri" w:cs="Calibri"/>
                <w:b/>
                <w:color w:val="000000"/>
                <w:sz w:val="20"/>
              </w:rPr>
              <w:t>Name</w:t>
            </w:r>
          </w:p>
        </w:tc>
        <w:tc>
          <w:tcPr>
            <w:tcW w:w="0" w:type="auto"/>
            <w:tcBorders>
              <w:top w:val="single" w:sz="12" w:space="0" w:color="auto"/>
              <w:bottom w:val="single" w:sz="12" w:space="0" w:color="auto"/>
            </w:tcBorders>
            <w:shd w:val="clear" w:color="auto" w:fill="FFFFCC"/>
            <w:tcMar>
              <w:left w:w="0" w:type="dxa"/>
              <w:right w:w="0" w:type="dxa"/>
            </w:tcMar>
          </w:tcPr>
          <w:p w:rsidR="00DC0F4A" w:rsidRPr="00DC0F4A" w:rsidRDefault="00DC0F4A" w:rsidP="00DC0F4A">
            <w:pPr>
              <w:spacing w:after="0" w:line="240" w:lineRule="auto"/>
              <w:ind w:left="720"/>
              <w:contextualSpacing/>
              <w:rPr>
                <w:rFonts w:ascii="Calibri" w:eastAsia="Calibri" w:hAnsi="Calibri" w:cs="Calibri"/>
                <w:b/>
                <w:color w:val="000000"/>
                <w:sz w:val="20"/>
              </w:rPr>
            </w:pPr>
            <w:r w:rsidRPr="00DC0F4A">
              <w:rPr>
                <w:rFonts w:ascii="Calibri" w:eastAsia="Calibri" w:hAnsi="Calibri" w:cs="Calibri"/>
                <w:b/>
                <w:color w:val="000000"/>
                <w:sz w:val="20"/>
              </w:rPr>
              <w:t>Organization</w:t>
            </w:r>
          </w:p>
        </w:tc>
        <w:tc>
          <w:tcPr>
            <w:tcW w:w="0" w:type="auto"/>
            <w:tcBorders>
              <w:top w:val="single" w:sz="12" w:space="0" w:color="auto"/>
              <w:bottom w:val="single" w:sz="12" w:space="0" w:color="auto"/>
              <w:right w:val="single" w:sz="12" w:space="0" w:color="auto"/>
            </w:tcBorders>
            <w:shd w:val="clear" w:color="auto" w:fill="FFFFCC"/>
          </w:tcPr>
          <w:p w:rsidR="00DC0F4A" w:rsidRPr="00DC0F4A" w:rsidRDefault="00DC0F4A" w:rsidP="00DC0F4A">
            <w:pPr>
              <w:spacing w:after="0" w:line="240" w:lineRule="auto"/>
              <w:ind w:left="720"/>
              <w:contextualSpacing/>
              <w:rPr>
                <w:rFonts w:ascii="Calibri" w:eastAsia="Calibri" w:hAnsi="Calibri" w:cs="Calibri"/>
                <w:b/>
                <w:color w:val="000000"/>
                <w:sz w:val="20"/>
              </w:rPr>
            </w:pPr>
            <w:r w:rsidRPr="00DC0F4A">
              <w:rPr>
                <w:rFonts w:ascii="Calibri" w:eastAsia="Calibri" w:hAnsi="Calibri" w:cs="Calibri"/>
                <w:b/>
                <w:color w:val="000000"/>
                <w:sz w:val="20"/>
              </w:rPr>
              <w:t>Nature of Conflict of Interest</w:t>
            </w:r>
          </w:p>
        </w:tc>
      </w:tr>
      <w:tr w:rsidR="00DC0F4A" w:rsidRPr="00DC0F4A" w:rsidTr="00DC0F4A">
        <w:trPr>
          <w:cantSplit/>
        </w:trPr>
        <w:tc>
          <w:tcPr>
            <w:tcW w:w="0" w:type="auto"/>
            <w:tcBorders>
              <w:top w:val="single" w:sz="12" w:space="0" w:color="auto"/>
              <w:left w:val="single" w:sz="12" w:space="0" w:color="auto"/>
            </w:tcBorders>
            <w:shd w:val="clear" w:color="auto" w:fill="E0E0E0"/>
          </w:tcPr>
          <w:p w:rsidR="00DC0F4A" w:rsidRPr="00DC0F4A" w:rsidRDefault="00DC0F4A" w:rsidP="00DC0F4A">
            <w:pPr>
              <w:spacing w:after="0" w:line="240" w:lineRule="auto"/>
              <w:ind w:left="18"/>
              <w:contextualSpacing/>
              <w:rPr>
                <w:rFonts w:ascii="Calibri" w:eastAsia="Calibri" w:hAnsi="Calibri" w:cs="Calibri"/>
                <w:color w:val="000000"/>
                <w:sz w:val="20"/>
              </w:rPr>
            </w:pPr>
            <w:r w:rsidRPr="00DC0F4A">
              <w:rPr>
                <w:rFonts w:ascii="Calibri" w:eastAsia="Calibri" w:hAnsi="Calibri" w:cs="Calibri"/>
                <w:color w:val="000000"/>
                <w:sz w:val="20"/>
              </w:rPr>
              <w:t>B. Casey Lyons</w:t>
            </w:r>
          </w:p>
        </w:tc>
        <w:tc>
          <w:tcPr>
            <w:tcW w:w="0" w:type="auto"/>
            <w:tcBorders>
              <w:top w:val="single" w:sz="12" w:space="0" w:color="auto"/>
            </w:tcBorders>
            <w:shd w:val="clear" w:color="auto" w:fill="E0E0E0"/>
          </w:tcPr>
          <w:p w:rsidR="00DC0F4A" w:rsidRPr="00DC0F4A" w:rsidRDefault="00DC0F4A" w:rsidP="00664F95">
            <w:pPr>
              <w:spacing w:after="0" w:line="240" w:lineRule="auto"/>
              <w:ind w:left="48"/>
              <w:contextualSpacing/>
              <w:rPr>
                <w:rFonts w:ascii="Calibri" w:eastAsia="Calibri" w:hAnsi="Calibri" w:cs="Calibri"/>
                <w:color w:val="000000"/>
                <w:sz w:val="20"/>
              </w:rPr>
            </w:pPr>
            <w:r w:rsidRPr="00DC0F4A">
              <w:rPr>
                <w:rFonts w:ascii="Calibri" w:eastAsia="Calibri" w:hAnsi="Calibri" w:cs="Calibri"/>
                <w:color w:val="000000"/>
                <w:sz w:val="20"/>
              </w:rPr>
              <w:t>Maryland Department of Health and Mental Hygiene</w:t>
            </w:r>
          </w:p>
        </w:tc>
        <w:tc>
          <w:tcPr>
            <w:tcW w:w="0" w:type="auto"/>
            <w:tcBorders>
              <w:top w:val="single" w:sz="12" w:space="0" w:color="auto"/>
              <w:right w:val="single" w:sz="12" w:space="0" w:color="auto"/>
            </w:tcBorders>
            <w:shd w:val="clear" w:color="auto" w:fill="E0E0E0"/>
          </w:tcPr>
          <w:p w:rsidR="00DC0F4A" w:rsidRPr="00DC0F4A" w:rsidRDefault="00DC0F4A" w:rsidP="00664F95">
            <w:pPr>
              <w:spacing w:after="0" w:line="240" w:lineRule="auto"/>
              <w:ind w:left="114"/>
              <w:contextualSpacing/>
              <w:rPr>
                <w:rFonts w:ascii="Calibri" w:eastAsia="Calibri" w:hAnsi="Calibri" w:cs="Calibri"/>
                <w:color w:val="000000"/>
                <w:sz w:val="20"/>
              </w:rPr>
            </w:pPr>
            <w:r w:rsidRPr="00DC0F4A">
              <w:rPr>
                <w:rFonts w:ascii="Calibri" w:eastAsia="Calibri" w:hAnsi="Calibri" w:cs="Calibri"/>
                <w:color w:val="000000"/>
                <w:sz w:val="20"/>
              </w:rPr>
              <w:t>Buprenorphine-containing products that are FDA-indicated for substance use treatment may be prescribed off-label by doctors for pain management purposes.  I will need to mention this in order to describe the limitations of my work.</w:t>
            </w:r>
          </w:p>
        </w:tc>
      </w:tr>
      <w:tr w:rsidR="00DC0F4A" w:rsidRPr="00DC0F4A" w:rsidTr="00DC0F4A">
        <w:trPr>
          <w:cantSplit/>
        </w:trPr>
        <w:tc>
          <w:tcPr>
            <w:tcW w:w="0" w:type="auto"/>
            <w:tcBorders>
              <w:left w:val="single" w:sz="12" w:space="0" w:color="auto"/>
            </w:tcBorders>
            <w:shd w:val="clear" w:color="auto" w:fill="E0E0E0"/>
          </w:tcPr>
          <w:p w:rsidR="00DC0F4A" w:rsidRPr="00DC0F4A" w:rsidRDefault="00DC0F4A" w:rsidP="00DC0F4A">
            <w:pPr>
              <w:spacing w:after="0" w:line="240" w:lineRule="auto"/>
              <w:ind w:left="18"/>
              <w:contextualSpacing/>
              <w:rPr>
                <w:rFonts w:ascii="Calibri" w:eastAsia="Calibri" w:hAnsi="Calibri" w:cs="Calibri"/>
                <w:color w:val="000000"/>
                <w:sz w:val="20"/>
              </w:rPr>
            </w:pPr>
            <w:r w:rsidRPr="00DC0F4A">
              <w:rPr>
                <w:rFonts w:ascii="Calibri" w:eastAsia="Calibri" w:hAnsi="Calibri" w:cs="Calibri"/>
                <w:color w:val="000000"/>
                <w:sz w:val="20"/>
              </w:rPr>
              <w:t>Benjamin Chan</w:t>
            </w:r>
            <w:bookmarkStart w:id="0" w:name="_GoBack"/>
            <w:bookmarkEnd w:id="0"/>
          </w:p>
        </w:tc>
        <w:tc>
          <w:tcPr>
            <w:tcW w:w="0" w:type="auto"/>
            <w:shd w:val="clear" w:color="auto" w:fill="E0E0E0"/>
          </w:tcPr>
          <w:p w:rsidR="00DC0F4A" w:rsidRPr="00DC0F4A" w:rsidRDefault="00DC0F4A" w:rsidP="00664F95">
            <w:pPr>
              <w:spacing w:after="0" w:line="240" w:lineRule="auto"/>
              <w:ind w:left="48"/>
              <w:contextualSpacing/>
              <w:rPr>
                <w:rFonts w:ascii="Calibri" w:eastAsia="Calibri" w:hAnsi="Calibri" w:cs="Calibri"/>
                <w:color w:val="000000"/>
                <w:sz w:val="20"/>
              </w:rPr>
            </w:pPr>
            <w:r w:rsidRPr="00DC0F4A">
              <w:rPr>
                <w:rFonts w:ascii="Calibri" w:eastAsia="Calibri" w:hAnsi="Calibri" w:cs="Calibri"/>
                <w:color w:val="000000"/>
                <w:sz w:val="20"/>
              </w:rPr>
              <w:t xml:space="preserve">New Hampshire Department of Health &amp; Human Services </w:t>
            </w:r>
          </w:p>
        </w:tc>
        <w:tc>
          <w:tcPr>
            <w:tcW w:w="0" w:type="auto"/>
            <w:tcBorders>
              <w:right w:val="single" w:sz="12" w:space="0" w:color="auto"/>
            </w:tcBorders>
            <w:shd w:val="clear" w:color="auto" w:fill="E0E0E0"/>
          </w:tcPr>
          <w:p w:rsidR="00DC0F4A" w:rsidRPr="00DC0F4A" w:rsidRDefault="00DC0F4A" w:rsidP="00664F95">
            <w:pPr>
              <w:spacing w:after="0" w:line="240" w:lineRule="auto"/>
              <w:ind w:left="114"/>
              <w:contextualSpacing/>
              <w:rPr>
                <w:rFonts w:ascii="Calibri" w:eastAsia="Calibri" w:hAnsi="Calibri" w:cs="Calibri"/>
                <w:color w:val="000000"/>
                <w:sz w:val="20"/>
              </w:rPr>
            </w:pPr>
            <w:r w:rsidRPr="00DC0F4A">
              <w:rPr>
                <w:rFonts w:ascii="Calibri" w:eastAsia="Calibri" w:hAnsi="Calibri" w:cs="Calibri"/>
                <w:color w:val="000000"/>
                <w:sz w:val="20"/>
              </w:rPr>
              <w:t xml:space="preserve">I may briefly discuss questions that have come from community members about treatment after PFAS exposure, including questions about use of potassium iodide, cholestyramine (bile acid </w:t>
            </w:r>
            <w:proofErr w:type="spellStart"/>
            <w:r w:rsidRPr="00DC0F4A">
              <w:rPr>
                <w:rFonts w:ascii="Calibri" w:eastAsia="Calibri" w:hAnsi="Calibri" w:cs="Calibri"/>
                <w:color w:val="000000"/>
                <w:sz w:val="20"/>
              </w:rPr>
              <w:t>sequestrant</w:t>
            </w:r>
            <w:proofErr w:type="spellEnd"/>
            <w:r w:rsidRPr="00DC0F4A">
              <w:rPr>
                <w:rFonts w:ascii="Calibri" w:eastAsia="Calibri" w:hAnsi="Calibri" w:cs="Calibri"/>
                <w:color w:val="000000"/>
                <w:sz w:val="20"/>
              </w:rPr>
              <w:t xml:space="preserve">), and phlebotomy to treat or reduce levels of PFAS compounds in the body after exposure. There will be NO promotion of these products/methods, and focus will be on responding to community concerns using evidence based public health and medical practice. </w:t>
            </w:r>
          </w:p>
        </w:tc>
      </w:tr>
      <w:tr w:rsidR="00DC0F4A" w:rsidRPr="00DC0F4A" w:rsidTr="00DC0F4A">
        <w:trPr>
          <w:cantSplit/>
        </w:trPr>
        <w:tc>
          <w:tcPr>
            <w:tcW w:w="0" w:type="auto"/>
            <w:tcBorders>
              <w:left w:val="single" w:sz="12" w:space="0" w:color="auto"/>
            </w:tcBorders>
            <w:shd w:val="clear" w:color="auto" w:fill="E0E0E0"/>
          </w:tcPr>
          <w:p w:rsidR="00DC0F4A" w:rsidRPr="00DC0F4A" w:rsidRDefault="00DC0F4A" w:rsidP="00664F95">
            <w:pPr>
              <w:spacing w:after="0" w:line="240" w:lineRule="auto"/>
              <w:ind w:left="18"/>
              <w:contextualSpacing/>
              <w:rPr>
                <w:rFonts w:ascii="Calibri" w:eastAsia="Calibri" w:hAnsi="Calibri" w:cs="Calibri"/>
                <w:color w:val="000000"/>
                <w:sz w:val="20"/>
              </w:rPr>
            </w:pPr>
            <w:r w:rsidRPr="00DC0F4A">
              <w:rPr>
                <w:rFonts w:ascii="Calibri" w:eastAsia="Calibri" w:hAnsi="Calibri" w:cs="Calibri"/>
                <w:color w:val="000000"/>
                <w:sz w:val="20"/>
              </w:rPr>
              <w:t xml:space="preserve">Rita A. </w:t>
            </w:r>
            <w:proofErr w:type="spellStart"/>
            <w:r w:rsidRPr="00DC0F4A">
              <w:rPr>
                <w:rFonts w:ascii="Calibri" w:eastAsia="Calibri" w:hAnsi="Calibri" w:cs="Calibri"/>
                <w:color w:val="000000"/>
                <w:sz w:val="20"/>
              </w:rPr>
              <w:t>Reik</w:t>
            </w:r>
            <w:proofErr w:type="spellEnd"/>
          </w:p>
        </w:tc>
        <w:tc>
          <w:tcPr>
            <w:tcW w:w="0" w:type="auto"/>
            <w:shd w:val="clear" w:color="auto" w:fill="E0E0E0"/>
          </w:tcPr>
          <w:p w:rsidR="00DC0F4A" w:rsidRPr="00DC0F4A" w:rsidRDefault="00DC0F4A" w:rsidP="00664F95">
            <w:pPr>
              <w:spacing w:after="0" w:line="240" w:lineRule="auto"/>
              <w:ind w:left="48"/>
              <w:contextualSpacing/>
              <w:rPr>
                <w:rFonts w:ascii="Calibri" w:eastAsia="Calibri" w:hAnsi="Calibri" w:cs="Calibri"/>
                <w:color w:val="000000"/>
                <w:sz w:val="20"/>
              </w:rPr>
            </w:pPr>
            <w:proofErr w:type="spellStart"/>
            <w:r w:rsidRPr="00DC0F4A">
              <w:rPr>
                <w:rFonts w:ascii="Calibri" w:eastAsia="Calibri" w:hAnsi="Calibri" w:cs="Calibri"/>
                <w:color w:val="000000"/>
                <w:sz w:val="20"/>
              </w:rPr>
              <w:t>OneBlood</w:t>
            </w:r>
            <w:proofErr w:type="spellEnd"/>
            <w:r w:rsidRPr="00DC0F4A">
              <w:rPr>
                <w:rFonts w:ascii="Calibri" w:eastAsia="Calibri" w:hAnsi="Calibri" w:cs="Calibri"/>
                <w:color w:val="000000"/>
                <w:sz w:val="20"/>
              </w:rPr>
              <w:t>, Inc.</w:t>
            </w:r>
          </w:p>
        </w:tc>
        <w:tc>
          <w:tcPr>
            <w:tcW w:w="0" w:type="auto"/>
            <w:tcBorders>
              <w:right w:val="single" w:sz="12" w:space="0" w:color="auto"/>
            </w:tcBorders>
            <w:shd w:val="clear" w:color="auto" w:fill="E0E0E0"/>
          </w:tcPr>
          <w:p w:rsidR="00DC0F4A" w:rsidRPr="00DC0F4A" w:rsidRDefault="00DC0F4A" w:rsidP="00664F95">
            <w:pPr>
              <w:spacing w:after="0" w:line="240" w:lineRule="auto"/>
              <w:ind w:left="114"/>
              <w:contextualSpacing/>
              <w:rPr>
                <w:rFonts w:ascii="Calibri" w:eastAsia="Calibri" w:hAnsi="Calibri" w:cs="Calibri"/>
                <w:color w:val="000000"/>
                <w:sz w:val="20"/>
              </w:rPr>
            </w:pPr>
            <w:r w:rsidRPr="00DC0F4A">
              <w:rPr>
                <w:rFonts w:ascii="Calibri" w:eastAsia="Calibri" w:hAnsi="Calibri" w:cs="Calibri"/>
                <w:color w:val="000000"/>
                <w:sz w:val="20"/>
              </w:rPr>
              <w:t>There will brief mention of the use of the Roche Zika NAT test, which was used in an FDA-approved study.</w:t>
            </w:r>
          </w:p>
        </w:tc>
      </w:tr>
    </w:tbl>
    <w:p w:rsidR="00DC0F4A" w:rsidRPr="00DC0F4A" w:rsidRDefault="00DC0F4A" w:rsidP="00DC0F4A">
      <w:pPr>
        <w:rPr>
          <w:b/>
          <w:u w:val="single"/>
        </w:rPr>
      </w:pPr>
    </w:p>
    <w:sectPr w:rsidR="00DC0F4A" w:rsidRPr="00DC0F4A" w:rsidSect="00DC0F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B0BE1"/>
    <w:multiLevelType w:val="hybridMultilevel"/>
    <w:tmpl w:val="D4B84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6C4470"/>
    <w:multiLevelType w:val="hybridMultilevel"/>
    <w:tmpl w:val="9482B820"/>
    <w:lvl w:ilvl="0" w:tplc="79B0C7F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1799D"/>
    <w:multiLevelType w:val="hybridMultilevel"/>
    <w:tmpl w:val="01E626BE"/>
    <w:lvl w:ilvl="0" w:tplc="79B0C7F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4A"/>
    <w:rsid w:val="002B4EFD"/>
    <w:rsid w:val="00620B78"/>
    <w:rsid w:val="00664F95"/>
    <w:rsid w:val="00CF6CE8"/>
    <w:rsid w:val="00DC0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33365-FACF-4963-B988-70505EEB2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0F4A"/>
    <w:pPr>
      <w:ind w:left="720"/>
      <w:contextualSpacing/>
    </w:pPr>
  </w:style>
  <w:style w:type="character" w:styleId="Hyperlink">
    <w:name w:val="Hyperlink"/>
    <w:basedOn w:val="DefaultParagraphFont"/>
    <w:uiPriority w:val="99"/>
    <w:unhideWhenUsed/>
    <w:rsid w:val="00DC0F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BPHE.org" TargetMode="External"/><Relationship Id="rId5" Type="http://schemas.openxmlformats.org/officeDocument/2006/relationships/hyperlink" Target="http://www.cdc.gov/TCEOnl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Arrazola</dc:creator>
  <cp:keywords/>
  <dc:description/>
  <cp:lastModifiedBy>Jessica Arrazola</cp:lastModifiedBy>
  <cp:revision>2</cp:revision>
  <dcterms:created xsi:type="dcterms:W3CDTF">2017-05-15T12:07:00Z</dcterms:created>
  <dcterms:modified xsi:type="dcterms:W3CDTF">2017-05-15T12:37:00Z</dcterms:modified>
</cp:coreProperties>
</file>