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jc w:val="center"/>
        <w:tblCellMar>
          <w:left w:w="0" w:type="dxa"/>
          <w:right w:w="0" w:type="dxa"/>
        </w:tblCellMar>
        <w:tblLook w:val="04A0" w:firstRow="1" w:lastRow="0" w:firstColumn="1" w:lastColumn="0" w:noHBand="0" w:noVBand="1"/>
      </w:tblPr>
      <w:tblGrid>
        <w:gridCol w:w="9000"/>
      </w:tblGrid>
      <w:tr w:rsidR="00F1515F" w14:paraId="16474E1E" w14:textId="77777777" w:rsidTr="00F1515F">
        <w:trPr>
          <w:jc w:val="center"/>
        </w:trPr>
        <w:tc>
          <w:tcPr>
            <w:tcW w:w="0" w:type="auto"/>
            <w:vAlign w:val="center"/>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9000"/>
            </w:tblGrid>
            <w:tr w:rsidR="00F1515F" w14:paraId="7B4FDD7D" w14:textId="77777777">
              <w:trPr>
                <w:jc w:val="center"/>
              </w:trPr>
              <w:tc>
                <w:tcPr>
                  <w:tcW w:w="5000" w:type="pct"/>
                  <w:shd w:val="clear" w:color="auto" w:fill="FFFFFF"/>
                  <w:tcMar>
                    <w:top w:w="75" w:type="dxa"/>
                    <w:left w:w="75" w:type="dxa"/>
                    <w:bottom w:w="75" w:type="dxa"/>
                    <w:right w:w="75" w:type="dxa"/>
                  </w:tcMar>
                  <w:vAlign w:val="center"/>
                  <w:hideMark/>
                </w:tcPr>
                <w:p w14:paraId="63136D2A" w14:textId="4A94E817" w:rsidR="00F1515F" w:rsidRDefault="00F1515F">
                  <w:pPr>
                    <w:rPr>
                      <w:rFonts w:eastAsia="Times New Roman"/>
                    </w:rPr>
                  </w:pPr>
                  <w:r>
                    <w:rPr>
                      <w:rFonts w:eastAsia="Times New Roman"/>
                      <w:noProof/>
                    </w:rPr>
                    <w:drawing>
                      <wp:inline distT="0" distB="0" distL="0" distR="0" wp14:anchorId="06ED9255" wp14:editId="04F51E37">
                        <wp:extent cx="5619750" cy="1590675"/>
                        <wp:effectExtent l="0" t="0" r="0" b="9525"/>
                        <wp:docPr id="1" name="Picture 1" descr="COCA Now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CA Now Bann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0" cy="1590675"/>
                                </a:xfrm>
                                <a:prstGeom prst="rect">
                                  <a:avLst/>
                                </a:prstGeom>
                                <a:noFill/>
                                <a:ln>
                                  <a:noFill/>
                                </a:ln>
                              </pic:spPr>
                            </pic:pic>
                          </a:graphicData>
                        </a:graphic>
                      </wp:inline>
                    </w:drawing>
                  </w:r>
                </w:p>
              </w:tc>
            </w:tr>
            <w:tr w:rsidR="00F1515F" w14:paraId="31F36E48" w14:textId="77777777">
              <w:trPr>
                <w:jc w:val="center"/>
              </w:trPr>
              <w:tc>
                <w:tcPr>
                  <w:tcW w:w="5000" w:type="pct"/>
                  <w:shd w:val="clear" w:color="auto" w:fill="FFFFFF"/>
                  <w:tcMar>
                    <w:top w:w="300" w:type="dxa"/>
                    <w:left w:w="300" w:type="dxa"/>
                    <w:bottom w:w="300" w:type="dxa"/>
                    <w:right w:w="300" w:type="dxa"/>
                  </w:tcMar>
                  <w:vAlign w:val="center"/>
                  <w:hideMark/>
                </w:tcPr>
                <w:p w14:paraId="41F10091" w14:textId="77777777" w:rsidR="00F1515F" w:rsidRDefault="00F1515F">
                  <w:pPr>
                    <w:pStyle w:val="Heading1"/>
                    <w:spacing w:before="0" w:beforeAutospacing="0" w:after="150" w:afterAutospacing="0" w:line="264" w:lineRule="auto"/>
                    <w:jc w:val="center"/>
                    <w:rPr>
                      <w:rFonts w:ascii="Arial" w:eastAsia="Times New Roman" w:hAnsi="Arial" w:cs="Arial"/>
                      <w:color w:val="000000"/>
                      <w:sz w:val="36"/>
                      <w:szCs w:val="36"/>
                    </w:rPr>
                  </w:pPr>
                  <w:r>
                    <w:rPr>
                      <w:rFonts w:ascii="Arial" w:eastAsia="Times New Roman" w:hAnsi="Arial" w:cs="Arial"/>
                      <w:color w:val="000000"/>
                      <w:sz w:val="36"/>
                      <w:szCs w:val="36"/>
                    </w:rPr>
                    <w:t xml:space="preserve">CDC Activates Emergency Operations Center for Hurricane Florence </w:t>
                  </w:r>
                </w:p>
                <w:tbl>
                  <w:tblPr>
                    <w:tblW w:w="5000" w:type="pct"/>
                    <w:tblLook w:val="04A0" w:firstRow="1" w:lastRow="0" w:firstColumn="1" w:lastColumn="0" w:noHBand="0" w:noVBand="1"/>
                  </w:tblPr>
                  <w:tblGrid>
                    <w:gridCol w:w="8400"/>
                  </w:tblGrid>
                  <w:tr w:rsidR="00F1515F" w14:paraId="4557DC3F" w14:textId="77777777">
                    <w:tc>
                      <w:tcPr>
                        <w:tcW w:w="0" w:type="auto"/>
                        <w:tcMar>
                          <w:top w:w="15" w:type="dxa"/>
                          <w:left w:w="15" w:type="dxa"/>
                          <w:bottom w:w="15" w:type="dxa"/>
                          <w:right w:w="15" w:type="dxa"/>
                        </w:tcMar>
                        <w:vAlign w:val="center"/>
                        <w:hideMark/>
                      </w:tcPr>
                      <w:p w14:paraId="55AF93C4" w14:textId="269B1D4C" w:rsidR="00F1515F" w:rsidRDefault="00F1515F">
                        <w:pPr>
                          <w:rPr>
                            <w:rFonts w:eastAsia="Times New Roman"/>
                          </w:rPr>
                        </w:pPr>
                        <w:r>
                          <w:rPr>
                            <w:noProof/>
                          </w:rPr>
                          <w:drawing>
                            <wp:anchor distT="0" distB="0" distL="33655" distR="33655" simplePos="0" relativeHeight="251658240" behindDoc="0" locked="0" layoutInCell="1" allowOverlap="0" wp14:anchorId="6FE38837" wp14:editId="47230C49">
                              <wp:simplePos x="0" y="0"/>
                              <wp:positionH relativeFrom="column">
                                <wp:align>right</wp:align>
                              </wp:positionH>
                              <wp:positionV relativeFrom="line">
                                <wp:posOffset>0</wp:posOffset>
                              </wp:positionV>
                              <wp:extent cx="1704975" cy="1133475"/>
                              <wp:effectExtent l="0" t="0" r="9525" b="9525"/>
                              <wp:wrapSquare wrapText="bothSides"/>
                              <wp:docPr id="2" name="Picture 2" descr="hurricane florenc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rricane florence">
                                        <a:hlinkClick r:id="rId6"/>
                                      </pic:cNvPr>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704975" cy="1133475"/>
                                      </a:xfrm>
                                      <a:prstGeom prst="rect">
                                        <a:avLst/>
                                      </a:prstGeom>
                                      <a:noFill/>
                                    </pic:spPr>
                                  </pic:pic>
                                </a:graphicData>
                              </a:graphic>
                              <wp14:sizeRelH relativeFrom="page">
                                <wp14:pctWidth>0</wp14:pctWidth>
                              </wp14:sizeRelH>
                              <wp14:sizeRelV relativeFrom="page">
                                <wp14:pctHeight>0</wp14:pctHeight>
                              </wp14:sizeRelV>
                            </wp:anchor>
                          </w:drawing>
                        </w:r>
                      </w:p>
                      <w:p w14:paraId="4BC49EEB" w14:textId="77777777" w:rsidR="00F1515F" w:rsidRDefault="00F1515F">
                        <w:pPr>
                          <w:pStyle w:val="gdp"/>
                          <w:spacing w:before="0" w:beforeAutospacing="0" w:after="150" w:afterAutospacing="0" w:line="336" w:lineRule="auto"/>
                          <w:rPr>
                            <w:rFonts w:ascii="Arial" w:hAnsi="Arial" w:cs="Arial"/>
                            <w:color w:val="000000"/>
                            <w:sz w:val="20"/>
                            <w:szCs w:val="20"/>
                          </w:rPr>
                        </w:pPr>
                        <w:r>
                          <w:rPr>
                            <w:rFonts w:ascii="Arial" w:hAnsi="Arial" w:cs="Arial"/>
                            <w:color w:val="000000"/>
                            <w:sz w:val="20"/>
                            <w:szCs w:val="20"/>
                          </w:rPr>
                          <w:t>The Centers for Disease Control and Prevention (CDC) activated its Emergency Operations Center (EOC) on Wednesday, September 12 to coordinate 24/7 all CDC activities for public health needs before, during, and after Hurricane Florence, including the deployment of resources and personnel, as requested.</w:t>
                        </w:r>
                      </w:p>
                      <w:p w14:paraId="5111799B" w14:textId="77777777" w:rsidR="00F1515F" w:rsidRDefault="00F1515F">
                        <w:pPr>
                          <w:pStyle w:val="gdp"/>
                          <w:spacing w:before="0" w:beforeAutospacing="0" w:after="150" w:afterAutospacing="0" w:line="336" w:lineRule="auto"/>
                          <w:rPr>
                            <w:rFonts w:ascii="Arial" w:hAnsi="Arial" w:cs="Arial"/>
                            <w:color w:val="000000"/>
                            <w:sz w:val="20"/>
                            <w:szCs w:val="20"/>
                          </w:rPr>
                        </w:pPr>
                        <w:r>
                          <w:rPr>
                            <w:rFonts w:ascii="Arial" w:hAnsi="Arial" w:cs="Arial"/>
                            <w:color w:val="000000"/>
                            <w:sz w:val="20"/>
                            <w:szCs w:val="20"/>
                          </w:rPr>
                          <w:t>CDC staff expects to offer specific assistance that includes recommendations for:</w:t>
                        </w:r>
                      </w:p>
                      <w:p w14:paraId="26732027" w14:textId="77777777" w:rsidR="00F1515F" w:rsidRDefault="00F1515F" w:rsidP="009E2803">
                        <w:pPr>
                          <w:numPr>
                            <w:ilvl w:val="0"/>
                            <w:numId w:val="1"/>
                          </w:numPr>
                          <w:spacing w:after="105" w:line="336" w:lineRule="auto"/>
                          <w:rPr>
                            <w:rFonts w:ascii="Arial" w:eastAsia="Times New Roman" w:hAnsi="Arial" w:cs="Arial"/>
                            <w:color w:val="000000"/>
                            <w:sz w:val="20"/>
                            <w:szCs w:val="20"/>
                          </w:rPr>
                        </w:pPr>
                        <w:r>
                          <w:rPr>
                            <w:rFonts w:ascii="Arial" w:eastAsia="Times New Roman" w:hAnsi="Arial" w:cs="Arial"/>
                            <w:color w:val="000000"/>
                            <w:sz w:val="20"/>
                            <w:szCs w:val="20"/>
                          </w:rPr>
                          <w:t>General and medical shelter surveillance for infectious disease outbreaks</w:t>
                        </w:r>
                      </w:p>
                      <w:p w14:paraId="29A540C6" w14:textId="77777777" w:rsidR="00F1515F" w:rsidRDefault="00F1515F" w:rsidP="009E2803">
                        <w:pPr>
                          <w:numPr>
                            <w:ilvl w:val="0"/>
                            <w:numId w:val="1"/>
                          </w:numPr>
                          <w:spacing w:after="105" w:line="336" w:lineRule="auto"/>
                          <w:rPr>
                            <w:rFonts w:ascii="Arial" w:eastAsia="Times New Roman" w:hAnsi="Arial" w:cs="Arial"/>
                            <w:color w:val="000000"/>
                            <w:sz w:val="20"/>
                            <w:szCs w:val="20"/>
                          </w:rPr>
                        </w:pPr>
                        <w:r>
                          <w:rPr>
                            <w:rFonts w:ascii="Arial" w:eastAsia="Times New Roman" w:hAnsi="Arial" w:cs="Arial"/>
                            <w:color w:val="000000"/>
                            <w:sz w:val="20"/>
                            <w:szCs w:val="20"/>
                          </w:rPr>
                          <w:t>Public health messages and risk communication</w:t>
                        </w:r>
                      </w:p>
                      <w:p w14:paraId="43B2C625" w14:textId="77777777" w:rsidR="00F1515F" w:rsidRDefault="00F1515F" w:rsidP="009E2803">
                        <w:pPr>
                          <w:numPr>
                            <w:ilvl w:val="0"/>
                            <w:numId w:val="1"/>
                          </w:numPr>
                          <w:spacing w:after="105" w:line="336" w:lineRule="auto"/>
                          <w:rPr>
                            <w:rFonts w:ascii="Arial" w:eastAsia="Times New Roman" w:hAnsi="Arial" w:cs="Arial"/>
                            <w:color w:val="000000"/>
                            <w:sz w:val="20"/>
                            <w:szCs w:val="20"/>
                          </w:rPr>
                        </w:pPr>
                        <w:r>
                          <w:rPr>
                            <w:rFonts w:ascii="Arial" w:eastAsia="Times New Roman" w:hAnsi="Arial" w:cs="Arial"/>
                            <w:color w:val="000000"/>
                            <w:sz w:val="20"/>
                            <w:szCs w:val="20"/>
                          </w:rPr>
                          <w:t>Water, sanitation, safety evaluations for food and water</w:t>
                        </w:r>
                      </w:p>
                      <w:p w14:paraId="3C684798" w14:textId="77777777" w:rsidR="00F1515F" w:rsidRDefault="00F1515F" w:rsidP="009E2803">
                        <w:pPr>
                          <w:numPr>
                            <w:ilvl w:val="0"/>
                            <w:numId w:val="1"/>
                          </w:numPr>
                          <w:spacing w:after="105" w:line="336" w:lineRule="auto"/>
                          <w:rPr>
                            <w:rFonts w:ascii="Arial" w:eastAsia="Times New Roman" w:hAnsi="Arial" w:cs="Arial"/>
                            <w:color w:val="000000"/>
                            <w:sz w:val="20"/>
                            <w:szCs w:val="20"/>
                          </w:rPr>
                        </w:pPr>
                        <w:r>
                          <w:rPr>
                            <w:rFonts w:ascii="Arial" w:eastAsia="Times New Roman" w:hAnsi="Arial" w:cs="Arial"/>
                            <w:color w:val="000000"/>
                            <w:sz w:val="20"/>
                            <w:szCs w:val="20"/>
                          </w:rPr>
                          <w:t xml:space="preserve">Mold prevention and treatment </w:t>
                        </w:r>
                      </w:p>
                      <w:p w14:paraId="078F5702" w14:textId="77777777" w:rsidR="00F1515F" w:rsidRDefault="00F1515F" w:rsidP="009E2803">
                        <w:pPr>
                          <w:numPr>
                            <w:ilvl w:val="0"/>
                            <w:numId w:val="1"/>
                          </w:numPr>
                          <w:spacing w:after="105" w:line="336" w:lineRule="auto"/>
                          <w:rPr>
                            <w:rFonts w:ascii="Arial" w:eastAsia="Times New Roman" w:hAnsi="Arial" w:cs="Arial"/>
                            <w:color w:val="000000"/>
                            <w:sz w:val="20"/>
                            <w:szCs w:val="20"/>
                          </w:rPr>
                        </w:pPr>
                        <w:r>
                          <w:rPr>
                            <w:rFonts w:ascii="Arial" w:eastAsia="Times New Roman" w:hAnsi="Arial" w:cs="Arial"/>
                            <w:color w:val="000000"/>
                            <w:sz w:val="20"/>
                            <w:szCs w:val="20"/>
                          </w:rPr>
                          <w:t>Industrial contamination (HAZMAT) mitigation and abatement</w:t>
                        </w:r>
                      </w:p>
                      <w:p w14:paraId="21099177" w14:textId="77777777" w:rsidR="00F1515F" w:rsidRDefault="00F1515F" w:rsidP="009E2803">
                        <w:pPr>
                          <w:numPr>
                            <w:ilvl w:val="0"/>
                            <w:numId w:val="1"/>
                          </w:numPr>
                          <w:spacing w:after="105" w:line="336" w:lineRule="auto"/>
                          <w:rPr>
                            <w:rFonts w:ascii="Arial" w:eastAsia="Times New Roman" w:hAnsi="Arial" w:cs="Arial"/>
                            <w:color w:val="000000"/>
                            <w:sz w:val="20"/>
                            <w:szCs w:val="20"/>
                          </w:rPr>
                        </w:pPr>
                        <w:r>
                          <w:rPr>
                            <w:rFonts w:ascii="Arial" w:eastAsia="Times New Roman" w:hAnsi="Arial" w:cs="Arial"/>
                            <w:color w:val="000000"/>
                            <w:sz w:val="20"/>
                            <w:szCs w:val="20"/>
                          </w:rPr>
                          <w:t>Vector control and management from standing water</w:t>
                        </w:r>
                      </w:p>
                      <w:p w14:paraId="071E3C61" w14:textId="77777777" w:rsidR="00F1515F" w:rsidRDefault="00F1515F">
                        <w:pPr>
                          <w:pStyle w:val="gdp"/>
                          <w:spacing w:before="0" w:beforeAutospacing="0" w:after="150" w:afterAutospacing="0" w:line="336" w:lineRule="auto"/>
                          <w:rPr>
                            <w:rFonts w:ascii="Arial" w:hAnsi="Arial" w:cs="Arial"/>
                            <w:color w:val="000000"/>
                            <w:sz w:val="20"/>
                            <w:szCs w:val="20"/>
                          </w:rPr>
                        </w:pPr>
                        <w:r>
                          <w:rPr>
                            <w:rFonts w:ascii="Arial" w:hAnsi="Arial" w:cs="Arial"/>
                            <w:color w:val="000000"/>
                            <w:sz w:val="20"/>
                            <w:szCs w:val="20"/>
                          </w:rPr>
                          <w:t xml:space="preserve">CDC is also sharing </w:t>
                        </w:r>
                        <w:hyperlink r:id="rId8" w:history="1">
                          <w:r>
                            <w:rPr>
                              <w:rStyle w:val="Hyperlink"/>
                              <w:rFonts w:ascii="Arial" w:hAnsi="Arial" w:cs="Arial"/>
                              <w:color w:val="0000EE"/>
                              <w:sz w:val="20"/>
                              <w:szCs w:val="20"/>
                            </w:rPr>
                            <w:t>information to help the public protect themselves</w:t>
                          </w:r>
                        </w:hyperlink>
                        <w:r>
                          <w:rPr>
                            <w:rFonts w:ascii="Arial" w:hAnsi="Arial" w:cs="Arial"/>
                            <w:color w:val="000000"/>
                            <w:sz w:val="20"/>
                            <w:szCs w:val="20"/>
                          </w:rPr>
                          <w:t xml:space="preserve"> from threats before, during, and after the hurricane’s landfall: drowning and floodwater safety, carbon monoxide poisoning, downed power lines, unsafe food and water, mold, and other health risks. </w:t>
                        </w:r>
                      </w:p>
                      <w:p w14:paraId="2DFF06EB" w14:textId="77777777" w:rsidR="00F1515F" w:rsidRDefault="00F1515F">
                        <w:pPr>
                          <w:pStyle w:val="gdp"/>
                          <w:spacing w:before="0" w:beforeAutospacing="0" w:after="150" w:afterAutospacing="0" w:line="336" w:lineRule="auto"/>
                          <w:rPr>
                            <w:rFonts w:ascii="Arial" w:hAnsi="Arial" w:cs="Arial"/>
                            <w:color w:val="000000"/>
                            <w:sz w:val="20"/>
                            <w:szCs w:val="20"/>
                          </w:rPr>
                        </w:pPr>
                        <w:r>
                          <w:rPr>
                            <w:rFonts w:ascii="Arial" w:hAnsi="Arial" w:cs="Arial"/>
                            <w:color w:val="000000"/>
                            <w:sz w:val="20"/>
                            <w:szCs w:val="20"/>
                          </w:rPr>
                          <w:t xml:space="preserve">CDC's EOC is the agency’s command center for monitoring and coordinating CDC activities for rapid, efficient response in collaboration with other U.S. federal, state, and local agencies. The EOC coordinates with the Secretary of Health and Human Services Secretary’s Operations Center in Washington, D.C. to ensure situational awareness and a coordinated public health and medical response. </w:t>
                        </w:r>
                      </w:p>
                      <w:p w14:paraId="2BB92942" w14:textId="77777777" w:rsidR="00F1515F" w:rsidRDefault="00F1515F">
                        <w:pPr>
                          <w:pStyle w:val="gdp"/>
                          <w:spacing w:before="0" w:beforeAutospacing="0" w:after="150" w:afterAutospacing="0" w:line="336" w:lineRule="auto"/>
                          <w:rPr>
                            <w:rFonts w:ascii="Arial" w:hAnsi="Arial" w:cs="Arial"/>
                            <w:color w:val="000000"/>
                            <w:sz w:val="20"/>
                            <w:szCs w:val="20"/>
                          </w:rPr>
                        </w:pPr>
                        <w:r>
                          <w:rPr>
                            <w:rFonts w:ascii="Arial" w:hAnsi="Arial" w:cs="Arial"/>
                            <w:color w:val="000000"/>
                            <w:sz w:val="20"/>
                            <w:szCs w:val="20"/>
                          </w:rPr>
                          <w:lastRenderedPageBreak/>
                          <w:t xml:space="preserve">For more information about CDC and U.S. government activities related to Hurricane Florence, click </w:t>
                        </w:r>
                        <w:hyperlink r:id="rId9" w:history="1">
                          <w:r>
                            <w:rPr>
                              <w:rStyle w:val="Hyperlink"/>
                              <w:rFonts w:ascii="Arial" w:hAnsi="Arial" w:cs="Arial"/>
                              <w:color w:val="0000EE"/>
                              <w:sz w:val="20"/>
                              <w:szCs w:val="20"/>
                            </w:rPr>
                            <w:t>here</w:t>
                          </w:r>
                        </w:hyperlink>
                        <w:r>
                          <w:rPr>
                            <w:rFonts w:ascii="Arial" w:hAnsi="Arial" w:cs="Arial"/>
                            <w:color w:val="000000"/>
                            <w:sz w:val="20"/>
                            <w:szCs w:val="20"/>
                          </w:rPr>
                          <w:t>.</w:t>
                        </w:r>
                      </w:p>
                      <w:p w14:paraId="7970922E" w14:textId="77777777" w:rsidR="00F1515F" w:rsidRDefault="00F1515F">
                        <w:pPr>
                          <w:pStyle w:val="gdp"/>
                          <w:spacing w:before="0" w:beforeAutospacing="0" w:after="150" w:afterAutospacing="0" w:line="336" w:lineRule="auto"/>
                          <w:rPr>
                            <w:rFonts w:ascii="Arial" w:hAnsi="Arial" w:cs="Arial"/>
                            <w:color w:val="000000"/>
                            <w:sz w:val="20"/>
                            <w:szCs w:val="20"/>
                          </w:rPr>
                        </w:pPr>
                        <w:r>
                          <w:rPr>
                            <w:rFonts w:ascii="Arial" w:hAnsi="Arial" w:cs="Arial"/>
                            <w:color w:val="000000"/>
                            <w:sz w:val="20"/>
                            <w:szCs w:val="20"/>
                          </w:rPr>
                          <w:t xml:space="preserve">For updates regarding all HHS activities related to Hurricane Florence, click </w:t>
                        </w:r>
                        <w:hyperlink r:id="rId10" w:history="1">
                          <w:r>
                            <w:rPr>
                              <w:rStyle w:val="Hyperlink"/>
                              <w:rFonts w:ascii="Arial" w:hAnsi="Arial" w:cs="Arial"/>
                              <w:color w:val="0000EE"/>
                              <w:sz w:val="20"/>
                              <w:szCs w:val="20"/>
                            </w:rPr>
                            <w:t>here</w:t>
                          </w:r>
                        </w:hyperlink>
                        <w:r>
                          <w:rPr>
                            <w:rFonts w:ascii="Arial" w:hAnsi="Arial" w:cs="Arial"/>
                            <w:color w:val="000000"/>
                            <w:sz w:val="20"/>
                            <w:szCs w:val="20"/>
                          </w:rPr>
                          <w:t>.</w:t>
                        </w:r>
                      </w:p>
                      <w:p w14:paraId="6EA4DA4E" w14:textId="77777777" w:rsidR="00F1515F" w:rsidRDefault="00F1515F">
                        <w:pPr>
                          <w:pStyle w:val="gdp"/>
                          <w:spacing w:before="0" w:beforeAutospacing="0" w:after="150" w:afterAutospacing="0" w:line="336" w:lineRule="auto"/>
                          <w:rPr>
                            <w:rFonts w:ascii="Arial" w:hAnsi="Arial" w:cs="Arial"/>
                            <w:color w:val="000000"/>
                            <w:sz w:val="20"/>
                            <w:szCs w:val="20"/>
                          </w:rPr>
                        </w:pPr>
                        <w:r>
                          <w:rPr>
                            <w:rFonts w:ascii="Arial" w:hAnsi="Arial" w:cs="Arial"/>
                            <w:color w:val="000000"/>
                            <w:sz w:val="20"/>
                            <w:szCs w:val="20"/>
                          </w:rPr>
                          <w:t xml:space="preserve">For resources related to emotional distress from hurricanes and tropical storms, click </w:t>
                        </w:r>
                        <w:hyperlink r:id="rId11" w:anchor="additional-resources." w:history="1">
                          <w:r>
                            <w:rPr>
                              <w:rStyle w:val="Hyperlink"/>
                              <w:rFonts w:ascii="Arial" w:hAnsi="Arial" w:cs="Arial"/>
                              <w:color w:val="0000EE"/>
                              <w:sz w:val="20"/>
                              <w:szCs w:val="20"/>
                            </w:rPr>
                            <w:t>here</w:t>
                          </w:r>
                        </w:hyperlink>
                        <w:r>
                          <w:rPr>
                            <w:rFonts w:ascii="Arial" w:hAnsi="Arial" w:cs="Arial"/>
                            <w:color w:val="000000"/>
                            <w:sz w:val="20"/>
                            <w:szCs w:val="20"/>
                          </w:rPr>
                          <w:t>.</w:t>
                        </w:r>
                      </w:p>
                    </w:tc>
                  </w:tr>
                </w:tbl>
                <w:p w14:paraId="56A924BE" w14:textId="77777777" w:rsidR="00F1515F" w:rsidRDefault="00F1515F">
                  <w:pPr>
                    <w:rPr>
                      <w:rFonts w:ascii="Times New Roman" w:eastAsia="Times New Roman" w:hAnsi="Times New Roman"/>
                      <w:sz w:val="20"/>
                      <w:szCs w:val="20"/>
                    </w:rPr>
                  </w:pPr>
                </w:p>
              </w:tc>
            </w:tr>
            <w:tr w:rsidR="00F1515F" w14:paraId="2F4BA2C5" w14:textId="77777777">
              <w:trPr>
                <w:jc w:val="center"/>
              </w:trPr>
              <w:tc>
                <w:tcPr>
                  <w:tcW w:w="5000" w:type="pct"/>
                  <w:shd w:val="clear" w:color="auto" w:fill="F2F2F2"/>
                  <w:tcMar>
                    <w:top w:w="300" w:type="dxa"/>
                    <w:left w:w="300" w:type="dxa"/>
                    <w:bottom w:w="300" w:type="dxa"/>
                    <w:right w:w="300" w:type="dxa"/>
                  </w:tcMar>
                  <w:vAlign w:val="center"/>
                  <w:hideMark/>
                </w:tcPr>
                <w:p w14:paraId="62DA9127" w14:textId="77777777" w:rsidR="00F1515F" w:rsidRDefault="00F1515F">
                  <w:pPr>
                    <w:pStyle w:val="gdp"/>
                    <w:spacing w:before="0" w:beforeAutospacing="0" w:after="150" w:afterAutospacing="0" w:line="336" w:lineRule="auto"/>
                    <w:rPr>
                      <w:rFonts w:ascii="Arial" w:hAnsi="Arial" w:cs="Arial"/>
                      <w:color w:val="000000"/>
                      <w:sz w:val="20"/>
                      <w:szCs w:val="20"/>
                    </w:rPr>
                  </w:pPr>
                  <w:r>
                    <w:rPr>
                      <w:rFonts w:ascii="Arial" w:hAnsi="Arial" w:cs="Arial"/>
                      <w:b/>
                      <w:bCs/>
                      <w:color w:val="000000"/>
                      <w:sz w:val="20"/>
                      <w:szCs w:val="20"/>
                    </w:rPr>
                    <w:lastRenderedPageBreak/>
                    <w:t xml:space="preserve">The Emergency Risk Communication Branch in the Division of Emergency Operations, Office of Public Health Preparedness and Response is responsible for the management of all COCA products. </w:t>
                  </w:r>
                </w:p>
                <w:p w14:paraId="75FF6C91" w14:textId="77777777" w:rsidR="00F1515F" w:rsidRDefault="00F1515F">
                  <w:pPr>
                    <w:pStyle w:val="gdp"/>
                    <w:spacing w:before="0" w:beforeAutospacing="0" w:after="150" w:afterAutospacing="0" w:line="336" w:lineRule="auto"/>
                    <w:rPr>
                      <w:rFonts w:ascii="Arial" w:hAnsi="Arial" w:cs="Arial"/>
                      <w:color w:val="000000"/>
                      <w:sz w:val="20"/>
                      <w:szCs w:val="20"/>
                    </w:rPr>
                  </w:pPr>
                  <w:r>
                    <w:rPr>
                      <w:rFonts w:ascii="Arial" w:hAnsi="Arial" w:cs="Arial"/>
                      <w:color w:val="000000"/>
                      <w:sz w:val="20"/>
                      <w:szCs w:val="20"/>
                    </w:rPr>
                    <w:t xml:space="preserve">For information about this update or other clinical issues, or to send your feedback, please contact us at </w:t>
                  </w:r>
                  <w:hyperlink r:id="rId12" w:history="1">
                    <w:r>
                      <w:rPr>
                        <w:rStyle w:val="Hyperlink"/>
                        <w:rFonts w:ascii="Arial" w:hAnsi="Arial" w:cs="Arial"/>
                        <w:color w:val="0000EE"/>
                        <w:sz w:val="20"/>
                        <w:szCs w:val="20"/>
                      </w:rPr>
                      <w:t>coca@cdc.gov</w:t>
                    </w:r>
                  </w:hyperlink>
                  <w:r>
                    <w:rPr>
                      <w:rFonts w:ascii="Arial" w:hAnsi="Arial" w:cs="Arial"/>
                      <w:color w:val="000000"/>
                      <w:sz w:val="20"/>
                      <w:szCs w:val="20"/>
                    </w:rPr>
                    <w:t xml:space="preserve"> </w:t>
                  </w:r>
                </w:p>
                <w:p w14:paraId="62F4E9FD" w14:textId="77777777" w:rsidR="00F1515F" w:rsidRDefault="00F1515F">
                  <w:pPr>
                    <w:pStyle w:val="gdp"/>
                    <w:spacing w:before="0" w:beforeAutospacing="0" w:after="150" w:afterAutospacing="0" w:line="336" w:lineRule="auto"/>
                    <w:rPr>
                      <w:rFonts w:ascii="Arial" w:hAnsi="Arial" w:cs="Arial"/>
                      <w:color w:val="000000"/>
                      <w:sz w:val="20"/>
                      <w:szCs w:val="20"/>
                    </w:rPr>
                  </w:pPr>
                  <w:hyperlink r:id="rId13" w:history="1">
                    <w:r>
                      <w:rPr>
                        <w:rStyle w:val="Hyperlink"/>
                        <w:rFonts w:ascii="Arial" w:hAnsi="Arial" w:cs="Arial"/>
                        <w:color w:val="0000EE"/>
                        <w:sz w:val="20"/>
                        <w:szCs w:val="20"/>
                      </w:rPr>
                      <w:t>CDC Clinician Outreach and Communication Activity Facebook page</w:t>
                    </w:r>
                  </w:hyperlink>
                  <w:r>
                    <w:rPr>
                      <w:rFonts w:ascii="Arial" w:hAnsi="Arial" w:cs="Arial"/>
                      <w:color w:val="000000"/>
                      <w:sz w:val="20"/>
                      <w:szCs w:val="20"/>
                    </w:rPr>
                    <w:t>—connect with COCA on Facebook</w:t>
                  </w:r>
                </w:p>
                <w:p w14:paraId="68C17DBA" w14:textId="77777777" w:rsidR="00F1515F" w:rsidRDefault="00F1515F">
                  <w:pPr>
                    <w:pStyle w:val="gdp"/>
                    <w:spacing w:before="0" w:beforeAutospacing="0" w:after="150" w:afterAutospacing="0" w:line="336" w:lineRule="auto"/>
                    <w:rPr>
                      <w:rFonts w:ascii="Arial" w:hAnsi="Arial" w:cs="Arial"/>
                      <w:color w:val="000000"/>
                      <w:sz w:val="20"/>
                      <w:szCs w:val="20"/>
                    </w:rPr>
                  </w:pPr>
                  <w:hyperlink r:id="rId14" w:history="1">
                    <w:r>
                      <w:rPr>
                        <w:rStyle w:val="Hyperlink"/>
                        <w:rFonts w:ascii="Arial" w:hAnsi="Arial" w:cs="Arial"/>
                        <w:color w:val="0000EE"/>
                        <w:sz w:val="20"/>
                        <w:szCs w:val="20"/>
                      </w:rPr>
                      <w:t>Clinician Outreach and Communication Activity</w:t>
                    </w:r>
                  </w:hyperlink>
                  <w:r>
                    <w:rPr>
                      <w:rFonts w:ascii="Arial" w:hAnsi="Arial" w:cs="Arial"/>
                      <w:color w:val="000000"/>
                      <w:sz w:val="20"/>
                      <w:szCs w:val="20"/>
                    </w:rPr>
                    <w:t>—resources for healthcare providers</w:t>
                  </w:r>
                </w:p>
                <w:p w14:paraId="62013B35" w14:textId="77777777" w:rsidR="00F1515F" w:rsidRDefault="00F1515F">
                  <w:pPr>
                    <w:pStyle w:val="gdp"/>
                    <w:spacing w:before="0" w:beforeAutospacing="0" w:after="150" w:afterAutospacing="0" w:line="336" w:lineRule="auto"/>
                    <w:rPr>
                      <w:rFonts w:ascii="Arial" w:hAnsi="Arial" w:cs="Arial"/>
                      <w:color w:val="000000"/>
                      <w:sz w:val="20"/>
                      <w:szCs w:val="20"/>
                    </w:rPr>
                  </w:pPr>
                  <w:hyperlink r:id="rId15" w:history="1">
                    <w:r>
                      <w:rPr>
                        <w:rStyle w:val="Hyperlink"/>
                        <w:rFonts w:ascii="Arial" w:hAnsi="Arial" w:cs="Arial"/>
                        <w:color w:val="0000EE"/>
                        <w:sz w:val="20"/>
                        <w:szCs w:val="20"/>
                      </w:rPr>
                      <w:t>COCA RSS Feed</w:t>
                    </w:r>
                  </w:hyperlink>
                  <w:r>
                    <w:rPr>
                      <w:rFonts w:ascii="Arial" w:hAnsi="Arial" w:cs="Arial"/>
                      <w:color w:val="000000"/>
                      <w:sz w:val="20"/>
                      <w:szCs w:val="20"/>
                    </w:rPr>
                    <w:t>—subscribe to be notified of conference calls, updates, and CDC guidance for health providers</w:t>
                  </w:r>
                </w:p>
                <w:p w14:paraId="64495D02" w14:textId="77777777" w:rsidR="00F1515F" w:rsidRDefault="00F1515F">
                  <w:pPr>
                    <w:pStyle w:val="gdp"/>
                    <w:spacing w:before="0" w:beforeAutospacing="0" w:after="150" w:afterAutospacing="0" w:line="336" w:lineRule="auto"/>
                    <w:rPr>
                      <w:rFonts w:ascii="Arial" w:hAnsi="Arial" w:cs="Arial"/>
                      <w:color w:val="000000"/>
                      <w:sz w:val="20"/>
                      <w:szCs w:val="20"/>
                    </w:rPr>
                  </w:pPr>
                  <w:hyperlink r:id="rId16" w:history="1">
                    <w:r>
                      <w:rPr>
                        <w:rStyle w:val="Hyperlink"/>
                        <w:rFonts w:ascii="Arial" w:hAnsi="Arial" w:cs="Arial"/>
                        <w:color w:val="0000EE"/>
                        <w:sz w:val="20"/>
                        <w:szCs w:val="20"/>
                      </w:rPr>
                      <w:t>Crisis &amp; Emergency Risk Communication Training</w:t>
                    </w:r>
                  </w:hyperlink>
                  <w:r>
                    <w:rPr>
                      <w:rFonts w:ascii="Arial" w:hAnsi="Arial" w:cs="Arial"/>
                      <w:color w:val="000000"/>
                      <w:sz w:val="20"/>
                      <w:szCs w:val="20"/>
                    </w:rPr>
                    <w:t>—training program that draws from lessons learned during public health emergencies, and incorporates best practices from the fields of risk and crisis communication</w:t>
                  </w:r>
                </w:p>
                <w:p w14:paraId="6D82001F" w14:textId="77777777" w:rsidR="00F1515F" w:rsidRDefault="00F1515F">
                  <w:pPr>
                    <w:pStyle w:val="gdp"/>
                    <w:spacing w:before="0" w:beforeAutospacing="0" w:after="150" w:afterAutospacing="0" w:line="336" w:lineRule="auto"/>
                    <w:rPr>
                      <w:rFonts w:ascii="Arial" w:hAnsi="Arial" w:cs="Arial"/>
                      <w:color w:val="000000"/>
                      <w:sz w:val="20"/>
                      <w:szCs w:val="20"/>
                    </w:rPr>
                  </w:pPr>
                  <w:hyperlink r:id="rId17" w:history="1">
                    <w:r>
                      <w:rPr>
                        <w:rStyle w:val="Hyperlink"/>
                        <w:rFonts w:ascii="Arial" w:hAnsi="Arial" w:cs="Arial"/>
                        <w:color w:val="0000EE"/>
                        <w:sz w:val="20"/>
                        <w:szCs w:val="20"/>
                      </w:rPr>
                      <w:t>Health Alert Network</w:t>
                    </w:r>
                  </w:hyperlink>
                  <w:r>
                    <w:rPr>
                      <w:rFonts w:ascii="Arial" w:hAnsi="Arial" w:cs="Arial"/>
                      <w:color w:val="000000"/>
                      <w:sz w:val="20"/>
                      <w:szCs w:val="20"/>
                    </w:rPr>
                    <w:t>—CDC's primary method of sharing cleared information about urgent public health incidents with public information officers; federal, state, territorial, and local public health practitioners; clinicians; and public health laboratories</w:t>
                  </w:r>
                </w:p>
              </w:tc>
            </w:tr>
          </w:tbl>
          <w:p w14:paraId="03B01CA3" w14:textId="77777777" w:rsidR="00F1515F" w:rsidRDefault="00F1515F">
            <w:pPr>
              <w:jc w:val="center"/>
              <w:rPr>
                <w:rFonts w:ascii="Times New Roman" w:eastAsia="Times New Roman" w:hAnsi="Times New Roman"/>
                <w:sz w:val="20"/>
                <w:szCs w:val="20"/>
              </w:rPr>
            </w:pPr>
          </w:p>
        </w:tc>
      </w:tr>
    </w:tbl>
    <w:p w14:paraId="13EA056C" w14:textId="77777777" w:rsidR="00E74E9C" w:rsidRDefault="00F1515F">
      <w:bookmarkStart w:id="0" w:name="_GoBack"/>
      <w:bookmarkEnd w:id="0"/>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84B64"/>
    <w:multiLevelType w:val="multilevel"/>
    <w:tmpl w:val="DF766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15F"/>
    <w:rsid w:val="0091673C"/>
    <w:rsid w:val="00A731BA"/>
    <w:rsid w:val="00F15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C2EF32"/>
  <w15:chartTrackingRefBased/>
  <w15:docId w15:val="{EC8CEB92-EAFF-4A37-8B98-E4A4C9FE9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15F"/>
    <w:pPr>
      <w:spacing w:after="0" w:line="240" w:lineRule="auto"/>
    </w:pPr>
    <w:rPr>
      <w:rFonts w:ascii="Calibri" w:hAnsi="Calibri" w:cs="Times New Roman"/>
    </w:rPr>
  </w:style>
  <w:style w:type="paragraph" w:styleId="Heading1">
    <w:name w:val="heading 1"/>
    <w:basedOn w:val="Normal"/>
    <w:link w:val="Heading1Char"/>
    <w:uiPriority w:val="9"/>
    <w:qFormat/>
    <w:rsid w:val="00F1515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15F"/>
    <w:rPr>
      <w:rFonts w:ascii="Calibri" w:hAnsi="Calibri" w:cs="Times New Roman"/>
      <w:b/>
      <w:bCs/>
      <w:kern w:val="36"/>
      <w:sz w:val="48"/>
      <w:szCs w:val="48"/>
    </w:rPr>
  </w:style>
  <w:style w:type="character" w:styleId="Hyperlink">
    <w:name w:val="Hyperlink"/>
    <w:basedOn w:val="DefaultParagraphFont"/>
    <w:uiPriority w:val="99"/>
    <w:semiHidden/>
    <w:unhideWhenUsed/>
    <w:rsid w:val="00F1515F"/>
    <w:rPr>
      <w:color w:val="0000FF"/>
      <w:u w:val="single"/>
    </w:rPr>
  </w:style>
  <w:style w:type="paragraph" w:customStyle="1" w:styleId="gdp">
    <w:name w:val="gd_p"/>
    <w:basedOn w:val="Normal"/>
    <w:rsid w:val="00F1515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27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nks.govdelivery.com:80/track?type=click&amp;enid=ZWFzPTEmbWFpbGluZ2lkPTIwMTgwOTEzLjk0ODYxMTExJm1lc3NhZ2VpZD1NREItUFJELUJVTC0yMDE4MDkxMy45NDg2MTExMSZkYXRhYmFzZWlkPTEwMDEmc2VyaWFsPTE3MjA2NzkwJmVtYWlsaWQ9aG1jY2FsbEBjc3RlLm9yZyZ1c2VyaWQ9aG1jY2FsbEBjc3RlLm9yZyZmbD0mZXh0cmE9TXVsdGl2YXJpYXRlSWQ9JiYm&amp;&amp;&amp;101&amp;&amp;&amp;https://www.cdc.gov/disasters/hurricanes/hurricane-florence.html" TargetMode="External"/><Relationship Id="rId13" Type="http://schemas.openxmlformats.org/officeDocument/2006/relationships/hyperlink" Target="http://links.govdelivery.com:80/track?type=click&amp;enid=ZWFzPTEmbWFpbGluZ2lkPTIwMTgwOTEzLjk0ODYxMTExJm1lc3NhZ2VpZD1NREItUFJELUJVTC0yMDE4MDkxMy45NDg2MTExMSZkYXRhYmFzZWlkPTEwMDEmc2VyaWFsPTE3MjA2NzkwJmVtYWlsaWQ9aG1jY2FsbEBjc3RlLm9yZyZ1c2VyaWQ9aG1jY2FsbEBjc3RlLm9yZyZmbD0mZXh0cmE9TXVsdGl2YXJpYXRlSWQ9JiYm&amp;&amp;&amp;105&amp;&amp;&amp;https://www.facebook.com/CDCClinicianOutreachAndCommunicationActivit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s://content.govdelivery.com/attachments/fancy_images/USCDC/2018/09/2138806/2213489/13456-lores_crop.jpg" TargetMode="External"/><Relationship Id="rId12" Type="http://schemas.openxmlformats.org/officeDocument/2006/relationships/hyperlink" Target="mailto:coca@cdc.gov" TargetMode="External"/><Relationship Id="rId17" Type="http://schemas.openxmlformats.org/officeDocument/2006/relationships/hyperlink" Target="http://links.govdelivery.com:80/track?type=click&amp;enid=ZWFzPTEmbWFpbGluZ2lkPTIwMTgwOTEzLjk0ODYxMTExJm1lc3NhZ2VpZD1NREItUFJELUJVTC0yMDE4MDkxMy45NDg2MTExMSZkYXRhYmFzZWlkPTEwMDEmc2VyaWFsPTE3MjA2NzkwJmVtYWlsaWQ9aG1jY2FsbEBjc3RlLm9yZyZ1c2VyaWQ9aG1jY2FsbEBjc3RlLm9yZyZmbD0mZXh0cmE9TXVsdGl2YXJpYXRlSWQ9JiYm&amp;&amp;&amp;109&amp;&amp;&amp;http://emergency.cdc.gov/HAN/" TargetMode="External"/><Relationship Id="rId2" Type="http://schemas.openxmlformats.org/officeDocument/2006/relationships/styles" Target="styles.xml"/><Relationship Id="rId16" Type="http://schemas.openxmlformats.org/officeDocument/2006/relationships/hyperlink" Target="http://links.govdelivery.com:80/track?type=click&amp;enid=ZWFzPTEmbWFpbGluZ2lkPTIwMTgwOTEzLjk0ODYxMTExJm1lc3NhZ2VpZD1NREItUFJELUJVTC0yMDE4MDkxMy45NDg2MTExMSZkYXRhYmFzZWlkPTEwMDEmc2VyaWFsPTE3MjA2NzkwJmVtYWlsaWQ9aG1jY2FsbEBjc3RlLm9yZyZ1c2VyaWQ9aG1jY2FsbEBjc3RlLm9yZyZmbD0mZXh0cmE9TXVsdGl2YXJpYXRlSWQ9JiYm&amp;&amp;&amp;108&amp;&amp;&amp;http://emergency.cdc.gov/cerc/" TargetMode="External"/><Relationship Id="rId1" Type="http://schemas.openxmlformats.org/officeDocument/2006/relationships/numbering" Target="numbering.xml"/><Relationship Id="rId6" Type="http://schemas.openxmlformats.org/officeDocument/2006/relationships/hyperlink" Target="http://links.govdelivery.com/track?type=click&amp;enid=ZWFzPTEmbWFpbGluZ2lkPTIwMTgwOTEzLjk0ODYxMTExJm1lc3NhZ2VpZD1NREItUFJELUJVTC0yMDE4MDkxMy45NDg2MTExMSZkYXRhYmFzZWlkPTEwMDEmc2VyaWFsPTE3MjA2NzkwJmVtYWlsaWQ9aG1jY2FsbEBjc3RlLm9yZyZ1c2VyaWQ9aG1jY2FsbEBjc3RlLm9yZyZmbD0mZXh0cmE9TXVsdGl2YXJpYXRlSWQ9JiYm&amp;&amp;&amp;100&amp;&amp;&amp;https://www.cdc.gov/disasters/hurricanes/hurricane-florence.html" TargetMode="External"/><Relationship Id="rId11" Type="http://schemas.openxmlformats.org/officeDocument/2006/relationships/hyperlink" Target="http://links.govdelivery.com:80/track?type=click&amp;enid=ZWFzPTEmbWFpbGluZ2lkPTIwMTgwOTEzLjk0ODYxMTExJm1lc3NhZ2VpZD1NREItUFJELUJVTC0yMDE4MDkxMy45NDg2MTExMSZkYXRhYmFzZWlkPTEwMDEmc2VyaWFsPTE3MjA2NzkwJmVtYWlsaWQ9aG1jY2FsbEBjc3RlLm9yZyZ1c2VyaWQ9aG1jY2FsbEBjc3RlLm9yZyZmbD0mZXh0cmE9TXVsdGl2YXJpYXRlSWQ9JiYm&amp;&amp;&amp;104&amp;&amp;&amp;https://www.samhsa.gov/find-help/disaster-distress-helpline/disaster-types/hurricanes" TargetMode="External"/><Relationship Id="rId5" Type="http://schemas.openxmlformats.org/officeDocument/2006/relationships/image" Target="media/image1.png"/><Relationship Id="rId15" Type="http://schemas.openxmlformats.org/officeDocument/2006/relationships/hyperlink" Target="http://links.govdelivery.com:80/track?type=click&amp;enid=ZWFzPTEmbWFpbGluZ2lkPTIwMTgwOTEzLjk0ODYxMTExJm1lc3NhZ2VpZD1NREItUFJELUJVTC0yMDE4MDkxMy45NDg2MTExMSZkYXRhYmFzZWlkPTEwMDEmc2VyaWFsPTE3MjA2NzkwJmVtYWlsaWQ9aG1jY2FsbEBjc3RlLm9yZyZ1c2VyaWQ9aG1jY2FsbEBjc3RlLm9yZyZmbD0mZXh0cmE9TXVsdGl2YXJpYXRlSWQ9JiYm&amp;&amp;&amp;107&amp;&amp;&amp;http://emergency.cdc.gov/rss/" TargetMode="External"/><Relationship Id="rId10" Type="http://schemas.openxmlformats.org/officeDocument/2006/relationships/hyperlink" Target="http://links.govdelivery.com:80/track?type=click&amp;enid=ZWFzPTEmbWFpbGluZ2lkPTIwMTgwOTEzLjk0ODYxMTExJm1lc3NhZ2VpZD1NREItUFJELUJVTC0yMDE4MDkxMy45NDg2MTExMSZkYXRhYmFzZWlkPTEwMDEmc2VyaWFsPTE3MjA2NzkwJmVtYWlsaWQ9aG1jY2FsbEBjc3RlLm9yZyZ1c2VyaWQ9aG1jY2FsbEBjc3RlLm9yZyZmbD0mZXh0cmE9TXVsdGl2YXJpYXRlSWQ9JiYm&amp;&amp;&amp;103&amp;&amp;&amp;https://www.hhs.gov/about/news/2018/09/11/hhs-secretary-azar-declares-public-health-emergencies-in-north-carolina-and-south-carolina.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inks.govdelivery.com:80/track?type=click&amp;enid=ZWFzPTEmbWFpbGluZ2lkPTIwMTgwOTEzLjk0ODYxMTExJm1lc3NhZ2VpZD1NREItUFJELUJVTC0yMDE4MDkxMy45NDg2MTExMSZkYXRhYmFzZWlkPTEwMDEmc2VyaWFsPTE3MjA2NzkwJmVtYWlsaWQ9aG1jY2FsbEBjc3RlLm9yZyZ1c2VyaWQ9aG1jY2FsbEBjc3RlLm9yZyZmbD0mZXh0cmE9TXVsdGl2YXJpYXRlSWQ9JiYm&amp;&amp;&amp;102&amp;&amp;&amp;https://www.cdc.gov/disasters/hurricanes/hurricane-florence.html" TargetMode="External"/><Relationship Id="rId14" Type="http://schemas.openxmlformats.org/officeDocument/2006/relationships/hyperlink" Target="http://links.govdelivery.com:80/track?type=click&amp;enid=ZWFzPTEmbWFpbGluZ2lkPTIwMTgwOTEzLjk0ODYxMTExJm1lc3NhZ2VpZD1NREItUFJELUJVTC0yMDE4MDkxMy45NDg2MTExMSZkYXRhYmFzZWlkPTEwMDEmc2VyaWFsPTE3MjA2NzkwJmVtYWlsaWQ9aG1jY2FsbEBjc3RlLm9yZyZ1c2VyaWQ9aG1jY2FsbEBjc3RlLm9yZyZmbD0mZXh0cmE9TXVsdGl2YXJpYXRlSWQ9JiYm&amp;&amp;&amp;106&amp;&amp;&amp;http://emergency.cdc.gov/c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2018-09-17T18:22:00Z</dcterms:created>
  <dcterms:modified xsi:type="dcterms:W3CDTF">2018-09-17T18:23:00Z</dcterms:modified>
</cp:coreProperties>
</file>