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360"/>
      </w:tblGrid>
      <w:tr w:rsidR="0008108A" w14:paraId="6BD86049" w14:textId="77777777" w:rsidTr="0008108A">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9060"/>
            </w:tblGrid>
            <w:tr w:rsidR="0008108A" w14:paraId="714F8176" w14:textId="77777777">
              <w:tc>
                <w:tcPr>
                  <w:tcW w:w="0" w:type="auto"/>
                  <w:hideMark/>
                </w:tcPr>
                <w:p w14:paraId="44FB21E1" w14:textId="4526595F" w:rsidR="0008108A" w:rsidRDefault="0008108A">
                  <w:pPr>
                    <w:jc w:val="center"/>
                    <w:rPr>
                      <w:rFonts w:eastAsia="Times New Roman"/>
                    </w:rPr>
                  </w:pPr>
                  <w:r>
                    <w:rPr>
                      <w:rFonts w:eastAsia="Times New Roman"/>
                      <w:noProof/>
                    </w:rPr>
                    <w:drawing>
                      <wp:inline distT="0" distB="0" distL="0" distR="0" wp14:anchorId="29933EAF" wp14:editId="1289A25C">
                        <wp:extent cx="5572125" cy="1162050"/>
                        <wp:effectExtent l="0" t="0" r="9525" b="0"/>
                        <wp:docPr id="13" name="Picture 13"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12268C13" w14:textId="7DBFB2DB" w:rsidR="0008108A" w:rsidRDefault="0008108A">
            <w:pPr>
              <w:rPr>
                <w:rFonts w:eastAsia="Times New Roman"/>
              </w:rPr>
            </w:pPr>
            <w:r>
              <w:rPr>
                <w:rFonts w:eastAsia="Times New Roman"/>
                <w:noProof/>
              </w:rPr>
              <w:drawing>
                <wp:inline distT="0" distB="0" distL="0" distR="0" wp14:anchorId="10D88A6E" wp14:editId="1F0AD5FB">
                  <wp:extent cx="19050" cy="28575"/>
                  <wp:effectExtent l="0" t="0" r="19050" b="9525"/>
                  <wp:docPr id="12" name="Picture 12"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08108A" w14:paraId="6E5F09AD" w14:textId="77777777" w:rsidTr="0008108A">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8755"/>
              <w:gridCol w:w="605"/>
            </w:tblGrid>
            <w:tr w:rsidR="0008108A" w14:paraId="2519CB58" w14:textId="77777777">
              <w:tc>
                <w:tcPr>
                  <w:tcW w:w="6150" w:type="dxa"/>
                  <w:shd w:val="clear" w:color="auto" w:fill="FFFFFF"/>
                  <w:tcMar>
                    <w:top w:w="450" w:type="dxa"/>
                    <w:left w:w="450" w:type="dxa"/>
                    <w:bottom w:w="450" w:type="dxa"/>
                    <w:right w:w="450" w:type="dxa"/>
                  </w:tcMar>
                  <w:hideMark/>
                </w:tcPr>
                <w:p w14:paraId="66F2B0E0"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077871FF" w14:textId="77777777" w:rsidR="0008108A" w:rsidRDefault="0008108A">
                  <w:pPr>
                    <w:pStyle w:val="Heading2"/>
                    <w:spacing w:before="75"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September 17, 2018</w:t>
                  </w:r>
                </w:p>
                <w:p w14:paraId="32B9F757"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ASPR CIP and the HPH Sector continues to monitor healthcare and public health critical infrastructure impacts due to storm systems in the Atlantic and Pacific, including but not limited to Tropical Depression Florence.</w:t>
                  </w:r>
                  <w:r>
                    <w:rPr>
                      <w:rFonts w:ascii="Helvetica Neue" w:hAnsi="Helvetica Neue"/>
                      <w:color w:val="464646"/>
                      <w:sz w:val="20"/>
                      <w:szCs w:val="20"/>
                    </w:rPr>
                    <w:br/>
                  </w:r>
                  <w:r>
                    <w:rPr>
                      <w:rFonts w:ascii="Helvetica Neue" w:hAnsi="Helvetica Neue"/>
                      <w:color w:val="464646"/>
                      <w:sz w:val="20"/>
                      <w:szCs w:val="20"/>
                    </w:rPr>
                    <w:br/>
                    <w:t>The </w:t>
                  </w:r>
                  <w:hyperlink r:id="rId7" w:history="1">
                    <w:r>
                      <w:rPr>
                        <w:rStyle w:val="Hyperlink"/>
                        <w:rFonts w:ascii="Helvetica Neue" w:hAnsi="Helvetica Neue"/>
                        <w:color w:val="0278B2"/>
                        <w:sz w:val="20"/>
                        <w:szCs w:val="20"/>
                      </w:rPr>
                      <w:t>HPH Sector 2018 Hurricane Response Dashboard</w:t>
                    </w:r>
                  </w:hyperlink>
                  <w:r>
                    <w:rPr>
                      <w:rFonts w:ascii="Helvetica Neue" w:hAnsi="Helvetica Neue"/>
                      <w:color w:val="464646"/>
                      <w:sz w:val="20"/>
                      <w:szCs w:val="20"/>
                    </w:rPr>
                    <w:t xml:space="preserve"> continues to provide resources to assist our partners and stakeholders in their preparedness and response efforts.  Additionally, the </w:t>
                  </w:r>
                  <w:r>
                    <w:rPr>
                      <w:rFonts w:ascii="Helvetica Neue" w:hAnsi="Helvetica Neue"/>
                      <w:b/>
                      <w:bCs/>
                      <w:color w:val="464646"/>
                      <w:sz w:val="20"/>
                      <w:szCs w:val="20"/>
                    </w:rPr>
                    <w:t xml:space="preserve">FEMA National Business Emergency Operations Center (NBEOC) </w:t>
                  </w:r>
                  <w:r>
                    <w:rPr>
                      <w:rFonts w:ascii="Helvetica Neue" w:hAnsi="Helvetica Neue"/>
                      <w:color w:val="464646"/>
                      <w:sz w:val="20"/>
                      <w:szCs w:val="20"/>
                    </w:rPr>
                    <w:t>is maintaining situational awareness and engagement for the private sector through their</w:t>
                  </w:r>
                  <w:r>
                    <w:rPr>
                      <w:rFonts w:ascii="Helvetica Neue" w:hAnsi="Helvetica Neue"/>
                      <w:b/>
                      <w:bCs/>
                      <w:color w:val="464646"/>
                      <w:sz w:val="20"/>
                      <w:szCs w:val="20"/>
                    </w:rPr>
                    <w:t> </w:t>
                  </w:r>
                  <w:hyperlink r:id="rId8" w:history="1">
                    <w:r>
                      <w:rPr>
                        <w:rStyle w:val="Hyperlink"/>
                        <w:rFonts w:ascii="Helvetica Neue" w:hAnsi="Helvetica Neue"/>
                        <w:color w:val="0278B2"/>
                        <w:sz w:val="20"/>
                        <w:szCs w:val="20"/>
                      </w:rPr>
                      <w:t>Atlantic Dashboard</w:t>
                    </w:r>
                  </w:hyperlink>
                  <w:r>
                    <w:rPr>
                      <w:rFonts w:ascii="Helvetica Neue" w:hAnsi="Helvetica Neue"/>
                      <w:color w:val="464646"/>
                      <w:sz w:val="20"/>
                      <w:szCs w:val="20"/>
                    </w:rPr>
                    <w:t> and </w:t>
                  </w:r>
                  <w:hyperlink r:id="rId9" w:history="1">
                    <w:r>
                      <w:rPr>
                        <w:rStyle w:val="Hyperlink"/>
                        <w:rFonts w:ascii="Helvetica Neue" w:hAnsi="Helvetica Neue"/>
                        <w:color w:val="0278B2"/>
                        <w:sz w:val="20"/>
                        <w:szCs w:val="20"/>
                      </w:rPr>
                      <w:t>Pacific Dashboard</w:t>
                    </w:r>
                  </w:hyperlink>
                  <w:r>
                    <w:rPr>
                      <w:rFonts w:ascii="Helvetica Neue" w:hAnsi="Helvetica Neue"/>
                      <w:color w:val="464646"/>
                      <w:sz w:val="20"/>
                      <w:szCs w:val="20"/>
                    </w:rPr>
                    <w:t>. </w:t>
                  </w:r>
                </w:p>
                <w:p w14:paraId="235284D2"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Daily conference calls are being hosted by the NBEOC. For more information, email </w:t>
                  </w:r>
                  <w:hyperlink r:id="rId10" w:history="1">
                    <w:r>
                      <w:rPr>
                        <w:rStyle w:val="Hyperlink"/>
                        <w:rFonts w:ascii="Helvetica Neue" w:hAnsi="Helvetica Neue"/>
                        <w:color w:val="0278B2"/>
                        <w:sz w:val="20"/>
                        <w:szCs w:val="20"/>
                      </w:rPr>
                      <w:t>NBEOC@fema.dhs.gov</w:t>
                    </w:r>
                  </w:hyperlink>
                  <w:r>
                    <w:rPr>
                      <w:rFonts w:ascii="Helvetica Neue" w:hAnsi="Helvetica Neue"/>
                      <w:color w:val="464646"/>
                      <w:sz w:val="20"/>
                      <w:szCs w:val="20"/>
                    </w:rPr>
                    <w:t>.</w:t>
                  </w:r>
                </w:p>
                <w:p w14:paraId="2FBE3951"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Time: 3:00 - 4:00 p.m. ET</w:t>
                  </w:r>
                  <w:r>
                    <w:rPr>
                      <w:rFonts w:ascii="Helvetica Neue" w:hAnsi="Helvetica Neue"/>
                      <w:color w:val="464646"/>
                      <w:sz w:val="20"/>
                      <w:szCs w:val="20"/>
                    </w:rPr>
                    <w:br/>
                    <w:t>Dial: 1-888-877-0354</w:t>
                  </w:r>
                  <w:r>
                    <w:rPr>
                      <w:rFonts w:ascii="Helvetica Neue" w:hAnsi="Helvetica Neue"/>
                      <w:color w:val="464646"/>
                      <w:sz w:val="20"/>
                      <w:szCs w:val="20"/>
                    </w:rPr>
                    <w:br/>
                    <w:t>Participant passcode: 9132924</w:t>
                  </w:r>
                </w:p>
                <w:p w14:paraId="2FA9A7C7"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If you have any reports of impacts or disruptions to healthcare and public health critical infrastructure, or have any requests for information or resources, email </w:t>
                  </w:r>
                  <w:hyperlink r:id="rId11" w:history="1">
                    <w:r>
                      <w:rPr>
                        <w:rStyle w:val="Hyperlink"/>
                        <w:rFonts w:ascii="Helvetica Neue" w:hAnsi="Helvetica Neue"/>
                        <w:color w:val="0278B2"/>
                        <w:sz w:val="20"/>
                        <w:szCs w:val="20"/>
                      </w:rPr>
                      <w:t>ASPR CIP</w:t>
                    </w:r>
                  </w:hyperlink>
                  <w:r>
                    <w:rPr>
                      <w:rFonts w:ascii="Helvetica Neue" w:hAnsi="Helvetica Neue"/>
                      <w:color w:val="464646"/>
                      <w:sz w:val="20"/>
                      <w:szCs w:val="20"/>
                    </w:rPr>
                    <w:t xml:space="preserve"> at </w:t>
                  </w:r>
                  <w:hyperlink r:id="rId12"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p>
                <w:p w14:paraId="1A963E7C" w14:textId="77777777" w:rsidR="0008108A" w:rsidRDefault="0008108A">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10E7CF93"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03501691854" w:history="1">
                    <w:r>
                      <w:rPr>
                        <w:rStyle w:val="Hyperlink"/>
                        <w:rFonts w:ascii="Helvetica Neue" w:eastAsia="Times New Roman" w:hAnsi="Helvetica Neue" w:cs="Arial"/>
                        <w:color w:val="0278B2"/>
                        <w:sz w:val="20"/>
                        <w:szCs w:val="20"/>
                      </w:rPr>
                      <w:t>Current Storm Track</w:t>
                    </w:r>
                  </w:hyperlink>
                </w:p>
                <w:p w14:paraId="2812FA8B"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7049556976" w:history="1">
                    <w:r>
                      <w:rPr>
                        <w:rStyle w:val="Hyperlink"/>
                        <w:rFonts w:ascii="Helvetica Neue" w:eastAsia="Times New Roman" w:hAnsi="Helvetica Neue" w:cs="Arial"/>
                        <w:color w:val="0278B2"/>
                        <w:sz w:val="20"/>
                        <w:szCs w:val="20"/>
                      </w:rPr>
                      <w:t>Imminent Flooding in Impacted Areas</w:t>
                    </w:r>
                  </w:hyperlink>
                </w:p>
                <w:p w14:paraId="7B226C8D"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7214380532" w:history="1">
                    <w:r>
                      <w:rPr>
                        <w:rStyle w:val="Hyperlink"/>
                        <w:rFonts w:ascii="Helvetica Neue" w:eastAsia="Times New Roman" w:hAnsi="Helvetica Neue" w:cs="Arial"/>
                        <w:color w:val="0278B2"/>
                        <w:sz w:val="20"/>
                        <w:szCs w:val="20"/>
                      </w:rPr>
                      <w:t>*New* SC DHEC CareLine</w:t>
                    </w:r>
                  </w:hyperlink>
                </w:p>
                <w:p w14:paraId="72AB570E"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w:t>
                    </w:r>
                  </w:hyperlink>
                </w:p>
                <w:p w14:paraId="32379B6A"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6858626629" w:history="1">
                    <w:r>
                      <w:rPr>
                        <w:rStyle w:val="Hyperlink"/>
                        <w:rFonts w:ascii="Helvetica Neue" w:eastAsia="Times New Roman" w:hAnsi="Helvetica Neue" w:cs="Arial"/>
                        <w:color w:val="0278B2"/>
                        <w:sz w:val="20"/>
                        <w:szCs w:val="20"/>
                      </w:rPr>
                      <w:t>1135 Waiver Guidance</w:t>
                    </w:r>
                  </w:hyperlink>
                </w:p>
                <w:p w14:paraId="1A51F792"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6952504713" w:history="1">
                    <w:r>
                      <w:rPr>
                        <w:rStyle w:val="Hyperlink"/>
                        <w:rFonts w:ascii="Helvetica Neue" w:eastAsia="Times New Roman" w:hAnsi="Helvetica Neue" w:cs="Arial"/>
                        <w:color w:val="0278B2"/>
                        <w:sz w:val="20"/>
                        <w:szCs w:val="20"/>
                      </w:rPr>
                      <w:t>Volunteer and Donation Guidance</w:t>
                    </w:r>
                  </w:hyperlink>
                </w:p>
                <w:p w14:paraId="55934925"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ASPR TRACIE Resources</w:t>
                    </w:r>
                  </w:hyperlink>
                </w:p>
                <w:p w14:paraId="0E69F79F" w14:textId="77777777" w:rsidR="0008108A" w:rsidRDefault="0008108A">
                  <w:pPr>
                    <w:numPr>
                      <w:ilvl w:val="0"/>
                      <w:numId w:val="1"/>
                    </w:numPr>
                    <w:spacing w:before="100" w:beforeAutospacing="1" w:after="75"/>
                    <w:rPr>
                      <w:rFonts w:ascii="Helvetica Neue" w:eastAsia="Times New Roman" w:hAnsi="Helvetica Neue" w:cs="Arial"/>
                      <w:color w:val="464646"/>
                      <w:sz w:val="20"/>
                      <w:szCs w:val="20"/>
                    </w:rPr>
                  </w:pPr>
                  <w:hyperlink w:anchor="link_1535053797282" w:history="1">
                    <w:r>
                      <w:rPr>
                        <w:rStyle w:val="Hyperlink"/>
                        <w:rFonts w:ascii="Helvetica Neue" w:eastAsia="Times New Roman" w:hAnsi="Helvetica Neue" w:cs="Arial"/>
                        <w:color w:val="0278B2"/>
                        <w:sz w:val="20"/>
                        <w:szCs w:val="20"/>
                      </w:rPr>
                      <w:t>Virtual Resources</w:t>
                    </w:r>
                  </w:hyperlink>
                </w:p>
                <w:p w14:paraId="124D46D0" w14:textId="7AE9A73F" w:rsidR="0008108A" w:rsidRDefault="0008108A">
                  <w:pPr>
                    <w:rPr>
                      <w:rFonts w:eastAsia="Times New Roman"/>
                    </w:rPr>
                  </w:pPr>
                  <w:r>
                    <w:rPr>
                      <w:rFonts w:eastAsia="Times New Roman"/>
                      <w:noProof/>
                    </w:rPr>
                    <w:drawing>
                      <wp:inline distT="0" distB="0" distL="0" distR="0" wp14:anchorId="5E43630B" wp14:editId="269D4841">
                        <wp:extent cx="28575" cy="19050"/>
                        <wp:effectExtent l="0" t="0" r="0" b="0"/>
                        <wp:docPr id="11" name="Picture 11"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9A247F2"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0" w:name="link_1503501691854"/>
                  <w:r>
                    <w:rPr>
                      <w:rFonts w:ascii="Helvetica Neue" w:eastAsia="Times New Roman" w:hAnsi="Helvetica Neue"/>
                      <w:color w:val="0278B2"/>
                      <w:sz w:val="42"/>
                      <w:szCs w:val="42"/>
                    </w:rPr>
                    <w:lastRenderedPageBreak/>
                    <w:t>Current Storm Track</w:t>
                  </w:r>
                  <w:bookmarkEnd w:id="0"/>
                </w:p>
                <w:p w14:paraId="21AED31A" w14:textId="4851CD4C" w:rsidR="0008108A" w:rsidRDefault="0008108A">
                  <w:pPr>
                    <w:rPr>
                      <w:rFonts w:eastAsia="Times New Roman"/>
                    </w:rPr>
                  </w:pPr>
                  <w:r>
                    <w:rPr>
                      <w:rFonts w:eastAsia="Times New Roman"/>
                      <w:noProof/>
                    </w:rPr>
                    <w:drawing>
                      <wp:inline distT="0" distB="0" distL="0" distR="0" wp14:anchorId="5A3B88F7" wp14:editId="32A03D06">
                        <wp:extent cx="6010275" cy="4810125"/>
                        <wp:effectExtent l="0" t="0" r="9525" b="9525"/>
                        <wp:docPr id="10" name="Picture 10" descr="Florence predicted rain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orence predicted rainfal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0275" cy="4810125"/>
                                </a:xfrm>
                                <a:prstGeom prst="rect">
                                  <a:avLst/>
                                </a:prstGeom>
                                <a:noFill/>
                                <a:ln>
                                  <a:noFill/>
                                </a:ln>
                              </pic:spPr>
                            </pic:pic>
                          </a:graphicData>
                        </a:graphic>
                      </wp:inline>
                    </w:drawing>
                  </w:r>
                </w:p>
                <w:p w14:paraId="4AE54B29"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For up to date mapping of the affected areas, consult the National Oceanic and Atmospheric Administration's (NOAA) </w:t>
                  </w:r>
                  <w:hyperlink r:id="rId15" w:history="1">
                    <w:r>
                      <w:rPr>
                        <w:rStyle w:val="Hyperlink"/>
                        <w:rFonts w:ascii="Helvetica Neue" w:hAnsi="Helvetica Neue"/>
                        <w:color w:val="0278B2"/>
                        <w:sz w:val="20"/>
                        <w:szCs w:val="20"/>
                      </w:rPr>
                      <w:t>National Hurricane Center</w:t>
                    </w:r>
                  </w:hyperlink>
                  <w:r>
                    <w:rPr>
                      <w:rFonts w:ascii="Helvetica Neue" w:hAnsi="Helvetica Neue"/>
                      <w:color w:val="464646"/>
                      <w:sz w:val="20"/>
                      <w:szCs w:val="20"/>
                    </w:rPr>
                    <w:t>. </w:t>
                  </w:r>
                </w:p>
                <w:p w14:paraId="59813F02" w14:textId="3C0C2E0D" w:rsidR="0008108A" w:rsidRDefault="0008108A">
                  <w:pPr>
                    <w:rPr>
                      <w:rFonts w:eastAsia="Times New Roman"/>
                    </w:rPr>
                  </w:pPr>
                  <w:r>
                    <w:rPr>
                      <w:rFonts w:eastAsia="Times New Roman"/>
                      <w:noProof/>
                    </w:rPr>
                    <w:drawing>
                      <wp:inline distT="0" distB="0" distL="0" distR="0" wp14:anchorId="3902621E" wp14:editId="195063AA">
                        <wp:extent cx="28575" cy="19050"/>
                        <wp:effectExtent l="0" t="0" r="0" b="0"/>
                        <wp:docPr id="9" name="Picture 9"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E5B04C5"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1" w:name="link_1537049556976"/>
                  <w:r>
                    <w:rPr>
                      <w:rFonts w:ascii="Helvetica Neue" w:eastAsia="Times New Roman" w:hAnsi="Helvetica Neue"/>
                      <w:color w:val="0278B2"/>
                      <w:sz w:val="42"/>
                      <w:szCs w:val="42"/>
                    </w:rPr>
                    <w:t>Imminent Flooding in Impacted Areas</w:t>
                  </w:r>
                  <w:bookmarkEnd w:id="1"/>
                </w:p>
                <w:p w14:paraId="14D2D9A1"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Tropical Depression Florence will continue to produce heavy rain across the Southeast and into the Northeast as as the system moves slowly inland and northward. Up to 15 inches additional rain will exacerbate ongoing flooding. Farther inland, this rainfall will cause new areas of catastrophic, historic river flooding, flash flooding, and even a potential for landslides. Additionally, gusty winds may bring down trees and power lines from saturated soils. Check out USACE's Trafficability Dashboard at: </w:t>
                  </w:r>
                  <w:hyperlink r:id="rId16" w:history="1">
                    <w:r>
                      <w:rPr>
                        <w:rStyle w:val="Hyperlink"/>
                        <w:rFonts w:ascii="Helvetica Neue" w:hAnsi="Helvetica Neue"/>
                        <w:color w:val="0278B2"/>
                        <w:sz w:val="20"/>
                        <w:szCs w:val="20"/>
                      </w:rPr>
                      <w:t>https://usace.maps.arcgis.com/apps/webappviewer/index.html?id=d9b3aab757f64e1897f8a75efd4d3975</w:t>
                    </w:r>
                  </w:hyperlink>
                  <w:r>
                    <w:rPr>
                      <w:rFonts w:ascii="Helvetica Neue" w:hAnsi="Helvetica Neue"/>
                      <w:color w:val="464646"/>
                      <w:sz w:val="20"/>
                      <w:szCs w:val="20"/>
                    </w:rPr>
                    <w:t> for specific flood information (Internet Explorer recommended). </w:t>
                  </w:r>
                </w:p>
                <w:p w14:paraId="77F3A3B7"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ASPR TRACIE resources, listed below, may help facilities prepare for flooding events. </w:t>
                  </w:r>
                </w:p>
                <w:p w14:paraId="58DCA674" w14:textId="0E63E533" w:rsidR="0008108A" w:rsidRDefault="0008108A">
                  <w:pPr>
                    <w:rPr>
                      <w:rFonts w:eastAsia="Times New Roman"/>
                    </w:rPr>
                  </w:pPr>
                  <w:r>
                    <w:rPr>
                      <w:rFonts w:eastAsia="Times New Roman"/>
                      <w:noProof/>
                    </w:rPr>
                    <w:lastRenderedPageBreak/>
                    <w:drawing>
                      <wp:inline distT="0" distB="0" distL="0" distR="0" wp14:anchorId="2B7AF270" wp14:editId="0B6720D9">
                        <wp:extent cx="28575" cy="19050"/>
                        <wp:effectExtent l="0" t="0" r="0" b="0"/>
                        <wp:docPr id="8" name="Picture 8"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3EA9D77"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2" w:name="link_1537214380532"/>
                  <w:r>
                    <w:rPr>
                      <w:rFonts w:ascii="Helvetica Neue" w:eastAsia="Times New Roman" w:hAnsi="Helvetica Neue"/>
                      <w:color w:val="0278B2"/>
                      <w:sz w:val="42"/>
                      <w:szCs w:val="42"/>
                    </w:rPr>
                    <w:t>*New* SC DHEC CareLine</w:t>
                  </w:r>
                  <w:bookmarkEnd w:id="2"/>
                </w:p>
                <w:p w14:paraId="7AA7923A"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The South Carolina Department of Health and Environmental Control (SC DHEC) has activated their CareLine at 1-855-472-3432 to help connect people impacted by the storm with various health care services, including prenatal care, transportation to medical appointments, and Medicaid. More information can be found at: </w:t>
                  </w:r>
                  <w:hyperlink r:id="rId17" w:history="1">
                    <w:r>
                      <w:rPr>
                        <w:rStyle w:val="Hyperlink"/>
                        <w:rFonts w:ascii="Helvetica Neue" w:hAnsi="Helvetica Neue"/>
                        <w:color w:val="0278B2"/>
                        <w:sz w:val="20"/>
                        <w:szCs w:val="20"/>
                      </w:rPr>
                      <w:t>https://www.scdhec.gov/health/family-planning/family-planning-services/get-help-finding-services.</w:t>
                    </w:r>
                  </w:hyperlink>
                  <w:r>
                    <w:rPr>
                      <w:rFonts w:ascii="Helvetica Neue" w:hAnsi="Helvetica Neue"/>
                      <w:color w:val="464646"/>
                      <w:sz w:val="20"/>
                      <w:szCs w:val="20"/>
                    </w:rPr>
                    <w:t>  </w:t>
                  </w:r>
                </w:p>
                <w:p w14:paraId="09A1BD86" w14:textId="5DBBBE31" w:rsidR="0008108A" w:rsidRDefault="0008108A">
                  <w:pPr>
                    <w:rPr>
                      <w:rFonts w:eastAsia="Times New Roman"/>
                    </w:rPr>
                  </w:pPr>
                  <w:r>
                    <w:rPr>
                      <w:rFonts w:eastAsia="Times New Roman"/>
                      <w:noProof/>
                    </w:rPr>
                    <w:drawing>
                      <wp:inline distT="0" distB="0" distL="0" distR="0" wp14:anchorId="26B38EDA" wp14:editId="047A2A77">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CF07A4D"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3" w:name="link_1536687077129"/>
                  <w:r>
                    <w:rPr>
                      <w:rFonts w:ascii="Helvetica Neue" w:eastAsia="Times New Roman" w:hAnsi="Helvetica Neue"/>
                      <w:color w:val="0278B2"/>
                      <w:sz w:val="42"/>
                      <w:szCs w:val="42"/>
                    </w:rPr>
                    <w:t>State Updates</w:t>
                  </w:r>
                  <w:bookmarkEnd w:id="3"/>
                </w:p>
                <w:p w14:paraId="50908D6D"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Stay updated to states directly and indirectly impacted by Hurricane Florence through the </w:t>
                  </w:r>
                  <w:hyperlink r:id="rId18" w:history="1">
                    <w:r>
                      <w:rPr>
                        <w:rStyle w:val="Hyperlink"/>
                        <w:rFonts w:ascii="Helvetica Neue" w:hAnsi="Helvetica Neue"/>
                        <w:color w:val="0278B2"/>
                        <w:sz w:val="20"/>
                        <w:szCs w:val="20"/>
                      </w:rPr>
                      <w:t>FEMA website with links to all state and territorial emergency management agencies</w:t>
                    </w:r>
                  </w:hyperlink>
                  <w:r>
                    <w:rPr>
                      <w:rFonts w:ascii="Helvetica Neue" w:hAnsi="Helvetica Neue"/>
                      <w:color w:val="464646"/>
                      <w:sz w:val="20"/>
                      <w:szCs w:val="20"/>
                    </w:rPr>
                    <w:t>.</w:t>
                  </w:r>
                </w:p>
                <w:p w14:paraId="548E63F1"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While many private sector telecommunications companies pre-staged restoration crews there are many areas without power at this time.  Emergency response centers (PSAPs) in these impacted area are diverting calls to alternate facilities until power is restored.</w:t>
                  </w:r>
                </w:p>
                <w:p w14:paraId="759CEA1E"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 xml:space="preserve">WEST VIRGINIA - </w:t>
                  </w:r>
                  <w:hyperlink r:id="rId19" w:history="1">
                    <w:r>
                      <w:rPr>
                        <w:rStyle w:val="Hyperlink"/>
                        <w:rFonts w:ascii="Helvetica Neue" w:hAnsi="Helvetica Neue"/>
                        <w:color w:val="0278B2"/>
                        <w:sz w:val="20"/>
                        <w:szCs w:val="20"/>
                      </w:rPr>
                      <w:t>Division of Homeland Security and Emergency Management</w:t>
                    </w:r>
                  </w:hyperlink>
                </w:p>
                <w:p w14:paraId="1FCE6B60" w14:textId="77777777" w:rsidR="0008108A" w:rsidRDefault="0008108A">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There are Flood Watches and Flash Flood Watches through areas of West Virginia. </w:t>
                  </w:r>
                </w:p>
                <w:p w14:paraId="4CF9F9B2" w14:textId="77777777" w:rsidR="0008108A" w:rsidRDefault="0008108A">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 blanket Special Hauling Authorization has been approved for Vehicles and Loads Delivering Relief Supplies (overweight and oversized loads).</w:t>
                  </w:r>
                </w:p>
                <w:p w14:paraId="2CED07DE"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VIRGINIA -</w:t>
                  </w:r>
                  <w:r>
                    <w:rPr>
                      <w:rFonts w:ascii="Helvetica Neue" w:hAnsi="Helvetica Neue"/>
                      <w:color w:val="464646"/>
                      <w:sz w:val="20"/>
                      <w:szCs w:val="20"/>
                    </w:rPr>
                    <w:t> </w:t>
                  </w:r>
                  <w:hyperlink r:id="rId20" w:history="1">
                    <w:r>
                      <w:rPr>
                        <w:rStyle w:val="Hyperlink"/>
                        <w:rFonts w:ascii="Helvetica Neue" w:hAnsi="Helvetica Neue"/>
                        <w:color w:val="0278B2"/>
                        <w:sz w:val="20"/>
                        <w:szCs w:val="20"/>
                      </w:rPr>
                      <w:t>Department of Emergency Management</w:t>
                    </w:r>
                  </w:hyperlink>
                </w:p>
                <w:p w14:paraId="1C53A033" w14:textId="77777777" w:rsidR="0008108A" w:rsidRDefault="0008108A">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All Virginia facilities have returned to normal operations. </w:t>
                  </w:r>
                </w:p>
                <w:p w14:paraId="4F35821E" w14:textId="77777777" w:rsidR="0008108A" w:rsidRDefault="0008108A">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and State of Emergency remain in effect. </w:t>
                  </w:r>
                </w:p>
                <w:p w14:paraId="52CD9E93" w14:textId="77777777" w:rsidR="0008108A" w:rsidRDefault="0008108A">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All ports are open for operations but cannot return to full operations until environmental conditions allow and port assessments are completed</w:t>
                  </w:r>
                </w:p>
                <w:p w14:paraId="354959E6" w14:textId="77777777" w:rsidR="0008108A" w:rsidRDefault="0008108A">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Any business needing to reenter an evacuation area continues to need to pre-register for entry. This applies to businesses in the evacuated area and businesses (i.e. insurances, etc.) that need to access the area for recovery. Organizations can register through </w:t>
                  </w:r>
                  <w:hyperlink r:id="rId21" w:history="1">
                    <w:r>
                      <w:rPr>
                        <w:rStyle w:val="Hyperlink"/>
                        <w:rFonts w:ascii="Helvetica Neue" w:eastAsia="Times New Roman" w:hAnsi="Helvetica Neue" w:cs="Arial"/>
                        <w:color w:val="0278B2"/>
                        <w:sz w:val="20"/>
                        <w:szCs w:val="20"/>
                      </w:rPr>
                      <w:t>https://www.eritn.com</w:t>
                    </w:r>
                  </w:hyperlink>
                  <w:r>
                    <w:rPr>
                      <w:rFonts w:ascii="Helvetica Neue" w:eastAsia="Times New Roman" w:hAnsi="Helvetica Neue" w:cs="Arial"/>
                      <w:color w:val="464646"/>
                      <w:sz w:val="20"/>
                      <w:szCs w:val="20"/>
                    </w:rPr>
                    <w:t>, </w:t>
                  </w:r>
                  <w:hyperlink r:id="rId22" w:history="1">
                    <w:r>
                      <w:rPr>
                        <w:rStyle w:val="Hyperlink"/>
                        <w:rFonts w:ascii="Helvetica Neue" w:eastAsia="Times New Roman" w:hAnsi="Helvetica Neue" w:cs="Arial"/>
                        <w:color w:val="0278B2"/>
                        <w:sz w:val="20"/>
                        <w:szCs w:val="20"/>
                      </w:rPr>
                      <w:t>https://www.eritn.com/virginia,</w:t>
                    </w:r>
                  </w:hyperlink>
                  <w:r>
                    <w:rPr>
                      <w:rFonts w:ascii="Helvetica Neue" w:eastAsia="Times New Roman" w:hAnsi="Helvetica Neue" w:cs="Arial"/>
                      <w:color w:val="464646"/>
                      <w:sz w:val="20"/>
                      <w:szCs w:val="20"/>
                    </w:rPr>
                    <w:t> </w:t>
                  </w:r>
                  <w:hyperlink r:id="rId23" w:history="1">
                    <w:r>
                      <w:rPr>
                        <w:rStyle w:val="Hyperlink"/>
                        <w:rFonts w:ascii="Helvetica Neue" w:eastAsia="Times New Roman" w:hAnsi="Helvetica Neue" w:cs="Arial"/>
                        <w:color w:val="0278B2"/>
                        <w:sz w:val="20"/>
                        <w:szCs w:val="20"/>
                      </w:rPr>
                      <w:t>https://www.eritn.com/virginiaregistration</w:t>
                    </w:r>
                  </w:hyperlink>
                  <w:r>
                    <w:rPr>
                      <w:rFonts w:ascii="Helvetica Neue" w:eastAsia="Times New Roman" w:hAnsi="Helvetica Neue" w:cs="Arial"/>
                      <w:color w:val="464646"/>
                      <w:sz w:val="20"/>
                      <w:szCs w:val="20"/>
                    </w:rPr>
                    <w:t>, or </w:t>
                  </w:r>
                  <w:hyperlink r:id="rId24" w:history="1">
                    <w:r>
                      <w:rPr>
                        <w:rStyle w:val="Hyperlink"/>
                        <w:rFonts w:ascii="Helvetica Neue" w:eastAsia="Times New Roman" w:hAnsi="Helvetica Neue" w:cs="Arial"/>
                        <w:color w:val="0278B2"/>
                        <w:sz w:val="20"/>
                        <w:szCs w:val="20"/>
                      </w:rPr>
                      <w:t>https://fs22.formsite.com/er-itn/form24/index.html</w:t>
                    </w:r>
                  </w:hyperlink>
                  <w:r>
                    <w:rPr>
                      <w:rFonts w:ascii="Helvetica Neue" w:eastAsia="Times New Roman" w:hAnsi="Helvetica Neue" w:cs="Arial"/>
                      <w:color w:val="464646"/>
                      <w:sz w:val="20"/>
                      <w:szCs w:val="20"/>
                    </w:rPr>
                    <w:t>. </w:t>
                  </w:r>
                </w:p>
                <w:p w14:paraId="5A0AA6FE" w14:textId="77777777" w:rsidR="0008108A" w:rsidRDefault="0008108A">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for Southern Virginia. </w:t>
                  </w:r>
                </w:p>
                <w:p w14:paraId="65B54154"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NORTH CAROLINA - </w:t>
                  </w:r>
                  <w:hyperlink r:id="rId25" w:history="1">
                    <w:r>
                      <w:rPr>
                        <w:rStyle w:val="Hyperlink"/>
                        <w:rFonts w:ascii="Helvetica Neue" w:hAnsi="Helvetica Neue"/>
                        <w:color w:val="0278B2"/>
                        <w:sz w:val="20"/>
                        <w:szCs w:val="20"/>
                      </w:rPr>
                      <w:t>Department of Public Safety</w:t>
                    </w:r>
                  </w:hyperlink>
                  <w:r>
                    <w:rPr>
                      <w:rFonts w:ascii="Helvetica Neue" w:hAnsi="Helvetica Neue"/>
                      <w:color w:val="464646"/>
                      <w:sz w:val="20"/>
                      <w:szCs w:val="20"/>
                    </w:rPr>
                    <w:t> </w:t>
                  </w:r>
                </w:p>
                <w:p w14:paraId="7598124C"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6602E531"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Ports of Wilmington and Morehead City remain closed. USACE currently conducting survey on Port of Wilmington, and Port of Morehead City survey begins September 17; </w:t>
                  </w:r>
                </w:p>
                <w:p w14:paraId="181F851C"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Airports - Wilmington International Airport (ILM) closed except for emergency rotary wing aircraft; 3 regional airports closed; all other major airports open and commercial operators implementing protective measures</w:t>
                  </w:r>
                </w:p>
                <w:p w14:paraId="0C4243C3"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24% of gas stations are out-of-service due to lack of fuel and/or power; the majority of which are located along coastal areas. NC activated an emergency fuel contractor to distribute fuel to priority areas on evacuation routes and for public safety use.</w:t>
                  </w:r>
                </w:p>
                <w:p w14:paraId="652E5958"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Curfews are in place for Beaufort, Bertie, Brunswick, Carteret, Greene, Hertford, Hoke, Lenoir, Nash, New Hanover, Pamlico, Pitt, Richmond, Sampson, Tyrrell, and Wayne counties.</w:t>
                  </w:r>
                </w:p>
                <w:p w14:paraId="3E266614"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No communities are isolated at this time. Routes into Wilmington and Fort Bragg are limited but accessible. I-40 is anticipated to open on September 19.</w:t>
                  </w:r>
                </w:p>
                <w:p w14:paraId="6226D053" w14:textId="77777777" w:rsidR="0008108A" w:rsidRDefault="0008108A">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Railway carriers began preliminary assessments where conditions permit</w:t>
                  </w:r>
                </w:p>
                <w:p w14:paraId="0612EFCD"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SOUTH CAROLINA - </w:t>
                  </w:r>
                  <w:r>
                    <w:rPr>
                      <w:rFonts w:ascii="Helvetica Neue" w:hAnsi="Helvetica Neue"/>
                      <w:color w:val="464646"/>
                      <w:sz w:val="20"/>
                      <w:szCs w:val="20"/>
                    </w:rPr>
                    <w:t> </w:t>
                  </w:r>
                  <w:hyperlink r:id="rId26" w:history="1">
                    <w:r>
                      <w:rPr>
                        <w:rStyle w:val="Hyperlink"/>
                        <w:rFonts w:ascii="Helvetica Neue" w:hAnsi="Helvetica Neue"/>
                        <w:color w:val="0278B2"/>
                        <w:sz w:val="20"/>
                        <w:szCs w:val="20"/>
                      </w:rPr>
                      <w:t>Emergency Management Division</w:t>
                    </w:r>
                  </w:hyperlink>
                </w:p>
                <w:p w14:paraId="1F863150"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Stafford Act Emergency Declaration of September 10, 2018, Public Health Emergency declared September 11, 2018, and State of Emergency remain in effect. </w:t>
                  </w:r>
                </w:p>
                <w:p w14:paraId="7A1E997C"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 of Georgetown is currently closed, Ports of Beaufort and Charleston open with restrictions. No ports will return to full operations until environmental conditions allow and  port assessments are completed.</w:t>
                  </w:r>
                </w:p>
                <w:p w14:paraId="02F31892"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Curfews are in place for Chesterfield, Darlington, Dillon, Florence, Horry, Marion and Marlboro counties.</w:t>
                  </w:r>
                </w:p>
                <w:p w14:paraId="43024985"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Fuel blend waivers are in effect. 12% of gas stations out-of-service due to lack of fuel and/or power; majority of which are located in the coastal areas Myrtle Beach-Florence.</w:t>
                  </w:r>
                </w:p>
                <w:p w14:paraId="49CB3ACD"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Myrtle Beach, Charleston AFB/International, and Florence Regional open; Moncks Corner. Berkeley County airports closed (expect to open September 17); all other major airports open</w:t>
                  </w:r>
                </w:p>
                <w:p w14:paraId="149B9FE5"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I-95 SC closed near 186 mile marker with a detour established.</w:t>
                  </w:r>
                </w:p>
                <w:p w14:paraId="3151CA5E" w14:textId="77777777" w:rsidR="0008108A" w:rsidRDefault="0008108A">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Suspended/modified schedules across impacted area.</w:t>
                  </w:r>
                </w:p>
                <w:p w14:paraId="29CD3824" w14:textId="79EFF03E" w:rsidR="0008108A" w:rsidRDefault="0008108A">
                  <w:pPr>
                    <w:rPr>
                      <w:rFonts w:eastAsia="Times New Roman"/>
                    </w:rPr>
                  </w:pPr>
                  <w:r>
                    <w:rPr>
                      <w:rFonts w:eastAsia="Times New Roman"/>
                      <w:noProof/>
                    </w:rPr>
                    <w:drawing>
                      <wp:inline distT="0" distB="0" distL="0" distR="0" wp14:anchorId="517C04B4" wp14:editId="449DEF3E">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0EF7533"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4" w:name="link_1536858626629"/>
                  <w:r>
                    <w:rPr>
                      <w:rFonts w:ascii="Helvetica Neue" w:eastAsia="Times New Roman" w:hAnsi="Helvetica Neue"/>
                      <w:color w:val="0278B2"/>
                      <w:sz w:val="42"/>
                      <w:szCs w:val="42"/>
                    </w:rPr>
                    <w:t>1135 Waiver Guidance</w:t>
                  </w:r>
                  <w:bookmarkEnd w:id="4"/>
                </w:p>
                <w:p w14:paraId="3D70013D"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If you are experiencing any challenges or have questions on 1135 waivers, you can </w:t>
                  </w:r>
                  <w:hyperlink r:id="rId27" w:history="1">
                    <w:r>
                      <w:rPr>
                        <w:rStyle w:val="Hyperlink"/>
                        <w:rFonts w:ascii="Helvetica Neue" w:hAnsi="Helvetica Neue"/>
                        <w:color w:val="0278B2"/>
                        <w:sz w:val="20"/>
                        <w:szCs w:val="20"/>
                      </w:rPr>
                      <w:t>contact your regional CMS office for assistance</w:t>
                    </w:r>
                  </w:hyperlink>
                  <w:r>
                    <w:rPr>
                      <w:rFonts w:ascii="Helvetica Neue" w:hAnsi="Helvetica Neue"/>
                      <w:color w:val="464646"/>
                      <w:sz w:val="20"/>
                      <w:szCs w:val="20"/>
                    </w:rPr>
                    <w:t>. Other 1135 waiver resources are listed below: </w:t>
                  </w:r>
                  <w:hyperlink r:id="rId28" w:history="1">
                    <w:r>
                      <w:rPr>
                        <w:rFonts w:ascii="Helvetica Neue" w:hAnsi="Helvetica Neue"/>
                        <w:color w:val="0278B2"/>
                        <w:sz w:val="20"/>
                        <w:szCs w:val="20"/>
                        <w:u w:val="single"/>
                      </w:rPr>
                      <w:br/>
                    </w:r>
                  </w:hyperlink>
                </w:p>
                <w:p w14:paraId="0CEC6797" w14:textId="77777777" w:rsidR="0008108A" w:rsidRDefault="0008108A">
                  <w:pPr>
                    <w:numPr>
                      <w:ilvl w:val="0"/>
                      <w:numId w:val="6"/>
                    </w:numPr>
                    <w:spacing w:after="75"/>
                    <w:rPr>
                      <w:rFonts w:ascii="Helvetica Neue" w:eastAsia="Times New Roman" w:hAnsi="Helvetica Neue" w:cs="Arial"/>
                      <w:color w:val="464646"/>
                      <w:sz w:val="20"/>
                      <w:szCs w:val="20"/>
                    </w:rPr>
                  </w:pPr>
                  <w:hyperlink r:id="rId29" w:history="1">
                    <w:r>
                      <w:rPr>
                        <w:rStyle w:val="Hyperlink"/>
                        <w:rFonts w:ascii="Helvetica Neue" w:eastAsia="Times New Roman" w:hAnsi="Helvetica Neue" w:cs="Arial"/>
                        <w:color w:val="0278B2"/>
                        <w:sz w:val="20"/>
                        <w:szCs w:val="20"/>
                      </w:rPr>
                      <w:t>CMS.gov: 1135 Waivers</w:t>
                    </w:r>
                  </w:hyperlink>
                </w:p>
                <w:p w14:paraId="644ECAF1" w14:textId="77777777" w:rsidR="0008108A" w:rsidRDefault="0008108A">
                  <w:pPr>
                    <w:numPr>
                      <w:ilvl w:val="0"/>
                      <w:numId w:val="6"/>
                    </w:numPr>
                    <w:spacing w:after="75"/>
                    <w:rPr>
                      <w:rFonts w:ascii="Helvetica Neue" w:eastAsia="Times New Roman" w:hAnsi="Helvetica Neue" w:cs="Arial"/>
                      <w:color w:val="464646"/>
                      <w:sz w:val="20"/>
                      <w:szCs w:val="20"/>
                    </w:rPr>
                  </w:pPr>
                  <w:hyperlink r:id="rId30" w:history="1">
                    <w:r>
                      <w:rPr>
                        <w:rStyle w:val="Hyperlink"/>
                        <w:rFonts w:ascii="Helvetica Neue" w:eastAsia="Times New Roman" w:hAnsi="Helvetica Neue" w:cs="Arial"/>
                        <w:color w:val="0278B2"/>
                        <w:sz w:val="20"/>
                        <w:szCs w:val="20"/>
                      </w:rPr>
                      <w:t>1135 Waivers at a Glance</w:t>
                    </w:r>
                  </w:hyperlink>
                </w:p>
                <w:p w14:paraId="3DCC7D81" w14:textId="77777777" w:rsidR="0008108A" w:rsidRDefault="0008108A">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This </w:t>
                  </w:r>
                  <w:hyperlink r:id="rId31" w:history="1">
                    <w:r>
                      <w:rPr>
                        <w:rStyle w:val="Hyperlink"/>
                        <w:rFonts w:ascii="Helvetica Neue" w:eastAsia="Times New Roman" w:hAnsi="Helvetica Neue" w:cs="Arial"/>
                        <w:color w:val="0278B2"/>
                        <w:sz w:val="20"/>
                        <w:szCs w:val="20"/>
                      </w:rPr>
                      <w:t>ASPR TRACIE TA response</w:t>
                    </w:r>
                  </w:hyperlink>
                  <w:r>
                    <w:rPr>
                      <w:rFonts w:ascii="Helvetica Neue" w:eastAsia="Times New Roman" w:hAnsi="Helvetica Neue" w:cs="Arial"/>
                      <w:color w:val="464646"/>
                      <w:sz w:val="20"/>
                      <w:szCs w:val="20"/>
                    </w:rPr>
                    <w:t> provides a response from the Centers for Medicare and Medicaid (CMS) related to </w:t>
                  </w:r>
                  <w:r>
                    <w:rPr>
                      <w:rFonts w:ascii="Helvetica Neue" w:eastAsia="Times New Roman" w:hAnsi="Helvetica Neue" w:cs="Arial"/>
                      <w:b/>
                      <w:bCs/>
                      <w:color w:val="464646"/>
                      <w:sz w:val="20"/>
                      <w:szCs w:val="20"/>
                    </w:rPr>
                    <w:t>1135 waivers</w:t>
                  </w:r>
                  <w:r>
                    <w:rPr>
                      <w:rFonts w:ascii="Helvetica Neue" w:eastAsia="Times New Roman" w:hAnsi="Helvetica Neue" w:cs="Arial"/>
                      <w:color w:val="464646"/>
                      <w:sz w:val="20"/>
                      <w:szCs w:val="20"/>
                    </w:rPr>
                    <w:t xml:space="preserve"> and what the 17 required provider types need to know in order to meet the CMS Emergency Preparedness (EP) Rule requirements. </w:t>
                  </w:r>
                </w:p>
                <w:p w14:paraId="68F7A4AA" w14:textId="4FB24AE0" w:rsidR="0008108A" w:rsidRDefault="0008108A">
                  <w:pPr>
                    <w:rPr>
                      <w:rFonts w:eastAsia="Times New Roman"/>
                    </w:rPr>
                  </w:pPr>
                  <w:r>
                    <w:rPr>
                      <w:rFonts w:eastAsia="Times New Roman"/>
                      <w:noProof/>
                    </w:rPr>
                    <w:drawing>
                      <wp:inline distT="0" distB="0" distL="0" distR="0" wp14:anchorId="1DCD607C" wp14:editId="1A4477BD">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7F74EFAF"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5" w:name="link_1536952504713"/>
                  <w:r>
                    <w:rPr>
                      <w:rFonts w:ascii="Helvetica Neue" w:eastAsia="Times New Roman" w:hAnsi="Helvetica Neue"/>
                      <w:color w:val="0278B2"/>
                      <w:sz w:val="42"/>
                      <w:szCs w:val="42"/>
                    </w:rPr>
                    <w:lastRenderedPageBreak/>
                    <w:t>Volunteer and Donation Guidance</w:t>
                  </w:r>
                  <w:bookmarkEnd w:id="5"/>
                </w:p>
                <w:p w14:paraId="441C1C49"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The National Voluntary Organizations Active in Disaster (NVOAD) offers </w:t>
                  </w:r>
                  <w:hyperlink r:id="rId32" w:history="1">
                    <w:r>
                      <w:rPr>
                        <w:rStyle w:val="Hyperlink"/>
                        <w:rFonts w:ascii="Helvetica Neue" w:hAnsi="Helvetica Neue"/>
                        <w:color w:val="0278B2"/>
                        <w:sz w:val="20"/>
                        <w:szCs w:val="20"/>
                      </w:rPr>
                      <w:t>guidance on best practices for volunteering and donating</w:t>
                    </w:r>
                  </w:hyperlink>
                  <w:r>
                    <w:rPr>
                      <w:rFonts w:ascii="Helvetica Neue" w:hAnsi="Helvetica Neue"/>
                      <w:color w:val="464646"/>
                      <w:sz w:val="20"/>
                      <w:szCs w:val="20"/>
                    </w:rPr>
                    <w:t>. </w:t>
                  </w:r>
                </w:p>
                <w:p w14:paraId="05760559" w14:textId="29672340" w:rsidR="0008108A" w:rsidRDefault="0008108A">
                  <w:pPr>
                    <w:rPr>
                      <w:rFonts w:eastAsia="Times New Roman"/>
                    </w:rPr>
                  </w:pPr>
                  <w:r>
                    <w:rPr>
                      <w:rFonts w:eastAsia="Times New Roman"/>
                      <w:noProof/>
                    </w:rPr>
                    <w:drawing>
                      <wp:inline distT="0" distB="0" distL="0" distR="0" wp14:anchorId="6AFB2885" wp14:editId="77A5A991">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BB7DF3B"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6" w:name="link_1536864913403"/>
                  <w:r>
                    <w:rPr>
                      <w:rFonts w:ascii="Helvetica Neue" w:eastAsia="Times New Roman" w:hAnsi="Helvetica Neue"/>
                      <w:color w:val="0278B2"/>
                      <w:sz w:val="42"/>
                      <w:szCs w:val="42"/>
                    </w:rPr>
                    <w:t>ASPR TRACIE Resources</w:t>
                  </w:r>
                  <w:bookmarkEnd w:id="6"/>
                </w:p>
                <w:p w14:paraId="77FBA13D" w14:textId="61765045" w:rsidR="0008108A" w:rsidRDefault="0008108A">
                  <w:pPr>
                    <w:rPr>
                      <w:rFonts w:eastAsia="Times New Roman"/>
                    </w:rPr>
                  </w:pPr>
                  <w:r>
                    <w:rPr>
                      <w:rFonts w:eastAsia="Times New Roman"/>
                      <w:noProof/>
                    </w:rPr>
                    <w:drawing>
                      <wp:inline distT="0" distB="0" distL="0" distR="0" wp14:anchorId="404E6E5A" wp14:editId="2D20E177">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B6593F4" w14:textId="77777777" w:rsidR="0008108A" w:rsidRDefault="0008108A">
                  <w:pPr>
                    <w:pStyle w:val="Heading1"/>
                    <w:spacing w:before="0" w:beforeAutospacing="0" w:after="150" w:afterAutospacing="0"/>
                    <w:rPr>
                      <w:rFonts w:ascii="Helvetica Neue" w:eastAsia="Times New Roman" w:hAnsi="Helvetica Neue"/>
                      <w:color w:val="323232"/>
                      <w:sz w:val="42"/>
                      <w:szCs w:val="42"/>
                    </w:rPr>
                  </w:pPr>
                  <w:bookmarkStart w:id="7" w:name="link_1535053797282"/>
                  <w:r>
                    <w:rPr>
                      <w:rFonts w:ascii="Helvetica Neue" w:eastAsia="Times New Roman" w:hAnsi="Helvetica Neue"/>
                      <w:color w:val="0278B2"/>
                      <w:sz w:val="42"/>
                      <w:szCs w:val="42"/>
                    </w:rPr>
                    <w:t>Virtual Resources</w:t>
                  </w:r>
                  <w:bookmarkEnd w:id="7"/>
                </w:p>
                <w:p w14:paraId="52E9B59B"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Tips for Retaining and Caring for Staff After a Disaster</w:t>
                  </w:r>
                </w:p>
                <w:p w14:paraId="6AE8DD76"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A </w:t>
                  </w:r>
                  <w:hyperlink r:id="rId33" w:history="1">
                    <w:r>
                      <w:rPr>
                        <w:rStyle w:val="Hyperlink"/>
                        <w:rFonts w:ascii="Helvetica Neue" w:hAnsi="Helvetica Neue"/>
                        <w:color w:val="0278B2"/>
                        <w:sz w:val="20"/>
                        <w:szCs w:val="20"/>
                      </w:rPr>
                      <w:t>compilation of general promising practices</w:t>
                    </w:r>
                  </w:hyperlink>
                  <w:r>
                    <w:rPr>
                      <w:rFonts w:ascii="Helvetica Neue" w:hAnsi="Helvetica Neue"/>
                      <w:color w:val="464646"/>
                      <w:sz w:val="20"/>
                      <w:szCs w:val="20"/>
                    </w:rPr>
                    <w:t>—categorized by immediate and short-term needs—for facility executives to consider when trying to retain and care for staff after a disaster.</w:t>
                  </w:r>
                </w:p>
                <w:p w14:paraId="0284F620"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41E2DFA6"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34"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page for helpful resources in preparing for hurricanes and their aftermath (flooding, utility outages, etc.). Additional resources available through the TRACIE platform include </w:t>
                  </w:r>
                  <w:hyperlink r:id="rId35"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hyperlink r:id="rId36" w:history="1">
                    <w:r>
                      <w:rPr>
                        <w:rStyle w:val="Hyperlink"/>
                        <w:rFonts w:ascii="Helvetica Neue" w:hAnsi="Helvetica Neue"/>
                        <w:color w:val="0278B2"/>
                        <w:sz w:val="20"/>
                        <w:szCs w:val="20"/>
                      </w:rPr>
                      <w:t>After the Flood: Mold-Specific Resources</w:t>
                    </w:r>
                  </w:hyperlink>
                  <w:r>
                    <w:rPr>
                      <w:rFonts w:ascii="Helvetica Neue" w:hAnsi="Helvetica Neue"/>
                      <w:color w:val="464646"/>
                      <w:sz w:val="20"/>
                      <w:szCs w:val="20"/>
                    </w:rPr>
                    <w:t>, </w:t>
                  </w:r>
                  <w:hyperlink r:id="rId37" w:history="1">
                    <w:r>
                      <w:rPr>
                        <w:rStyle w:val="Hyperlink"/>
                        <w:rFonts w:ascii="Helvetica Neue" w:hAnsi="Helvetica Neue"/>
                        <w:color w:val="0278B2"/>
                        <w:sz w:val="20"/>
                        <w:szCs w:val="20"/>
                      </w:rPr>
                      <w:t>Considerations for Oxygen Therapy in Disasters</w:t>
                    </w:r>
                  </w:hyperlink>
                  <w:r>
                    <w:rPr>
                      <w:rFonts w:ascii="Helvetica Neue" w:hAnsi="Helvetica Neue"/>
                      <w:color w:val="464646"/>
                      <w:sz w:val="20"/>
                      <w:szCs w:val="20"/>
                    </w:rPr>
                    <w:t>, </w:t>
                  </w:r>
                  <w:hyperlink r:id="rId38" w:history="1">
                    <w:r>
                      <w:rPr>
                        <w:rStyle w:val="Hyperlink"/>
                        <w:rFonts w:ascii="Helvetica Neue" w:hAnsi="Helvetica Neue"/>
                        <w:color w:val="0278B2"/>
                        <w:sz w:val="20"/>
                        <w:szCs w:val="20"/>
                      </w:rPr>
                      <w:t>Durable Medical Equipment in Disasters</w:t>
                    </w:r>
                  </w:hyperlink>
                  <w:r>
                    <w:rPr>
                      <w:rFonts w:ascii="Helvetica Neue" w:hAnsi="Helvetica Neue"/>
                      <w:color w:val="464646"/>
                      <w:sz w:val="20"/>
                      <w:szCs w:val="20"/>
                    </w:rPr>
                    <w:t>, </w:t>
                  </w:r>
                  <w:hyperlink r:id="rId39" w:history="1">
                    <w:r>
                      <w:rPr>
                        <w:rStyle w:val="Hyperlink"/>
                        <w:rFonts w:ascii="Helvetica Neue" w:hAnsi="Helvetica Neue"/>
                        <w:color w:val="0278B2"/>
                        <w:sz w:val="20"/>
                        <w:szCs w:val="20"/>
                      </w:rPr>
                      <w:t>Exchange Issue 6: Evacuating Healthcare Facilities</w:t>
                    </w:r>
                  </w:hyperlink>
                  <w:r>
                    <w:rPr>
                      <w:rFonts w:ascii="Helvetica Neue" w:hAnsi="Helvetica Neue"/>
                      <w:color w:val="464646"/>
                      <w:sz w:val="20"/>
                      <w:szCs w:val="20"/>
                    </w:rPr>
                    <w:t>, </w:t>
                  </w:r>
                  <w:hyperlink r:id="rId40" w:history="1">
                    <w:r>
                      <w:rPr>
                        <w:rStyle w:val="Hyperlink"/>
                        <w:rFonts w:ascii="Helvetica Neue" w:hAnsi="Helvetica Neue"/>
                        <w:color w:val="0278B2"/>
                        <w:sz w:val="20"/>
                        <w:szCs w:val="20"/>
                      </w:rPr>
                      <w:t>Hurricane Resources at Your Fingertips</w:t>
                    </w:r>
                  </w:hyperlink>
                  <w:r>
                    <w:rPr>
                      <w:rFonts w:ascii="Helvetica Neue" w:hAnsi="Helvetica Neue"/>
                      <w:color w:val="464646"/>
                      <w:sz w:val="20"/>
                      <w:szCs w:val="20"/>
                    </w:rPr>
                    <w:t>,  </w:t>
                  </w:r>
                  <w:hyperlink r:id="rId41" w:history="1">
                    <w:r>
                      <w:rPr>
                        <w:rStyle w:val="Hyperlink"/>
                        <w:rFonts w:ascii="Helvetica Neue" w:hAnsi="Helvetica Neue"/>
                        <w:color w:val="0278B2"/>
                        <w:sz w:val="20"/>
                        <w:szCs w:val="20"/>
                      </w:rPr>
                      <w:t>Major Hurricanes: Potential Public Health and Medical Implications</w:t>
                    </w:r>
                  </w:hyperlink>
                  <w:r>
                    <w:rPr>
                      <w:rFonts w:ascii="Helvetica Neue" w:hAnsi="Helvetica Neue"/>
                      <w:color w:val="464646"/>
                      <w:sz w:val="20"/>
                      <w:szCs w:val="20"/>
                    </w:rPr>
                    <w:t>, </w:t>
                  </w:r>
                  <w:hyperlink r:id="rId42" w:history="1">
                    <w:r>
                      <w:rPr>
                        <w:rStyle w:val="Hyperlink"/>
                        <w:rFonts w:ascii="Helvetica Neue" w:hAnsi="Helvetica Neue"/>
                        <w:color w:val="0278B2"/>
                        <w:sz w:val="20"/>
                        <w:szCs w:val="20"/>
                      </w:rPr>
                      <w:t>Post-Disaster Lessons Learned: Dialysis Patient Management</w:t>
                    </w:r>
                  </w:hyperlink>
                  <w:r>
                    <w:rPr>
                      <w:rFonts w:ascii="Helvetica Neue" w:hAnsi="Helvetica Neue"/>
                      <w:color w:val="464646"/>
                      <w:sz w:val="20"/>
                      <w:szCs w:val="20"/>
                    </w:rPr>
                    <w:t xml:space="preserve">, </w:t>
                  </w:r>
                  <w:hyperlink r:id="rId43" w:history="1">
                    <w:r>
                      <w:rPr>
                        <w:rStyle w:val="Hyperlink"/>
                        <w:rFonts w:ascii="Helvetica Neue" w:hAnsi="Helvetica Neue"/>
                        <w:color w:val="0278B2"/>
                        <w:sz w:val="20"/>
                        <w:szCs w:val="20"/>
                      </w:rPr>
                      <w:t>Tips for Retaining and Caring for Staff after a Disaster</w:t>
                    </w:r>
                  </w:hyperlink>
                  <w:r>
                    <w:rPr>
                      <w:rFonts w:ascii="Helvetica Neue" w:hAnsi="Helvetica Neue"/>
                      <w:color w:val="464646"/>
                      <w:sz w:val="20"/>
                      <w:szCs w:val="20"/>
                    </w:rPr>
                    <w:t xml:space="preserve">, </w:t>
                  </w:r>
                  <w:hyperlink r:id="rId44" w:history="1">
                    <w:r>
                      <w:rPr>
                        <w:rStyle w:val="Hyperlink"/>
                        <w:rFonts w:ascii="Helvetica Neue" w:hAnsi="Helvetica Neue"/>
                        <w:color w:val="0278B2"/>
                        <w:sz w:val="20"/>
                        <w:szCs w:val="20"/>
                      </w:rPr>
                      <w:t>resources f</w:t>
                    </w:r>
                  </w:hyperlink>
                  <w:hyperlink r:id="rId45" w:history="1">
                    <w:r>
                      <w:rPr>
                        <w:rStyle w:val="Hyperlink"/>
                        <w:rFonts w:ascii="Helvetica Neue" w:hAnsi="Helvetica Neue"/>
                        <w:color w:val="0278B2"/>
                        <w:sz w:val="20"/>
                        <w:szCs w:val="20"/>
                      </w:rPr>
                      <w:t>or healthcare facility continuity of operations plans and internal flood response plans</w:t>
                    </w:r>
                  </w:hyperlink>
                  <w:r>
                    <w:rPr>
                      <w:rFonts w:ascii="Helvetica Neue" w:hAnsi="Helvetica Neue"/>
                      <w:color w:val="464646"/>
                      <w:sz w:val="20"/>
                      <w:szCs w:val="20"/>
                    </w:rPr>
                    <w:t xml:space="preserve"> (plans, templates, and guidelines), and SME perspectives on </w:t>
                  </w:r>
                  <w:hyperlink r:id="rId46" w:history="1">
                    <w:r>
                      <w:rPr>
                        <w:rStyle w:val="Hyperlink"/>
                        <w:rFonts w:ascii="Helvetica Neue" w:hAnsi="Helvetica Neue"/>
                        <w:color w:val="0278B2"/>
                        <w:sz w:val="20"/>
                        <w:szCs w:val="20"/>
                      </w:rPr>
                      <w:t>Essential Elements of Information (EEI) that healthcare coalitions can use in exercises or real world events</w:t>
                    </w:r>
                  </w:hyperlink>
                  <w:r>
                    <w:rPr>
                      <w:rFonts w:ascii="Helvetica Neue" w:hAnsi="Helvetica Neue"/>
                      <w:color w:val="464646"/>
                      <w:sz w:val="20"/>
                      <w:szCs w:val="20"/>
                    </w:rPr>
                    <w:t>.</w:t>
                  </w:r>
                </w:p>
                <w:p w14:paraId="37AABBB9"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p>
                <w:p w14:paraId="2BF07F93"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This </w:t>
                  </w:r>
                  <w:hyperlink r:id="rId47" w:history="1">
                    <w:r>
                      <w:rPr>
                        <w:rStyle w:val="Hyperlink"/>
                        <w:rFonts w:ascii="Helvetica Neue" w:hAnsi="Helvetica Neue"/>
                        <w:color w:val="0278B2"/>
                        <w:sz w:val="20"/>
                        <w:szCs w:val="20"/>
                      </w:rPr>
                      <w:t>Emergency Management Healthcare Environment Checklist</w:t>
                    </w:r>
                  </w:hyperlink>
                  <w:r>
                    <w:rPr>
                      <w:rFonts w:ascii="Helvetica Neue" w:hAnsi="Helvetica Neue"/>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48" w:history="1">
                    <w:r>
                      <w:rPr>
                        <w:rStyle w:val="Hyperlink"/>
                        <w:rFonts w:ascii="Helvetica Neue" w:hAnsi="Helvetica Neue"/>
                        <w:color w:val="0278B2"/>
                        <w:sz w:val="20"/>
                        <w:szCs w:val="20"/>
                      </w:rPr>
                      <w:t>APSR TRACIE Healthcare Coalition Recovery Plan Template</w:t>
                    </w:r>
                  </w:hyperlink>
                </w:p>
                <w:p w14:paraId="445AFC4D" w14:textId="77777777" w:rsidR="0008108A" w:rsidRDefault="0008108A">
                  <w:pPr>
                    <w:pStyle w:val="gdp"/>
                    <w:spacing w:before="0" w:beforeAutospacing="0" w:after="75" w:afterAutospacing="0"/>
                    <w:rPr>
                      <w:rFonts w:ascii="Helvetica Neue" w:hAnsi="Helvetica Neue"/>
                      <w:color w:val="464646"/>
                      <w:sz w:val="20"/>
                      <w:szCs w:val="20"/>
                    </w:rPr>
                  </w:pPr>
                  <w:hyperlink r:id="rId49" w:history="1">
                    <w:r>
                      <w:rPr>
                        <w:rStyle w:val="Hyperlink"/>
                        <w:rFonts w:ascii="Helvetica Neue" w:hAnsi="Helvetica Neue"/>
                        <w:color w:val="0278B2"/>
                        <w:sz w:val="20"/>
                        <w:szCs w:val="20"/>
                      </w:rPr>
                      <w:t>Healthcare Ready continues their activation for Hurricane Florence response</w:t>
                    </w:r>
                  </w:hyperlink>
                  <w:r>
                    <w:rPr>
                      <w:rFonts w:ascii="Helvetica Neue" w:hAnsi="Helvetica Neue"/>
                      <w:color w:val="464646"/>
                      <w:sz w:val="20"/>
                      <w:szCs w:val="20"/>
                    </w:rPr>
                    <w:t>. They have opened </w:t>
                  </w:r>
                  <w:hyperlink r:id="rId50" w:history="1">
                    <w:r>
                      <w:rPr>
                        <w:rStyle w:val="Hyperlink"/>
                        <w:rFonts w:ascii="Helvetica Neue" w:hAnsi="Helvetica Neue"/>
                        <w:color w:val="0278B2"/>
                        <w:sz w:val="20"/>
                        <w:szCs w:val="20"/>
                      </w:rPr>
                      <w:t>Rx Open</w:t>
                    </w:r>
                  </w:hyperlink>
                  <w:r>
                    <w:rPr>
                      <w:rFonts w:ascii="Helvetica Neue" w:hAnsi="Helvetica Neue"/>
                      <w:color w:val="464646"/>
                      <w:sz w:val="20"/>
                      <w:szCs w:val="20"/>
                    </w:rPr>
                    <w:t xml:space="preserve"> for east coast states to track the open and closure status of pharmacies. Sign up for alerts at the </w:t>
                  </w:r>
                  <w:hyperlink r:id="rId51" w:history="1">
                    <w:r>
                      <w:rPr>
                        <w:rStyle w:val="Hyperlink"/>
                        <w:rFonts w:ascii="Helvetica Neue" w:hAnsi="Helvetica Neue"/>
                        <w:color w:val="0278B2"/>
                        <w:sz w:val="20"/>
                        <w:szCs w:val="20"/>
                      </w:rPr>
                      <w:t>Healthcare Ready website</w:t>
                    </w:r>
                  </w:hyperlink>
                  <w:r>
                    <w:rPr>
                      <w:rFonts w:ascii="Helvetica Neue" w:hAnsi="Helvetica Neue"/>
                      <w:color w:val="464646"/>
                      <w:sz w:val="20"/>
                      <w:szCs w:val="20"/>
                    </w:rPr>
                    <w:t>. </w:t>
                  </w:r>
                </w:p>
                <w:p w14:paraId="718DDDE7" w14:textId="77777777" w:rsidR="0008108A" w:rsidRDefault="0008108A">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The </w:t>
                  </w:r>
                  <w:hyperlink r:id="rId52" w:history="1">
                    <w:r>
                      <w:rPr>
                        <w:rStyle w:val="Hyperlink"/>
                        <w:rFonts w:ascii="Helvetica Neue" w:hAnsi="Helvetica Neue"/>
                        <w:color w:val="0278B2"/>
                        <w:sz w:val="20"/>
                        <w:szCs w:val="20"/>
                      </w:rPr>
                      <w:t>FEMA Hurricane Incident Journal</w:t>
                    </w:r>
                  </w:hyperlink>
                  <w:r>
                    <w:rPr>
                      <w:rFonts w:ascii="Helvetica Neue" w:hAnsi="Helvetica Neue"/>
                      <w:color w:val="464646"/>
                      <w:sz w:val="20"/>
                      <w:szCs w:val="20"/>
                    </w:rPr>
                    <w:t> provides a view into relevant spatial decision-making support used by FEMA leadership and through the </w:t>
                  </w:r>
                  <w:hyperlink r:id="rId53" w:history="1">
                    <w:r>
                      <w:rPr>
                        <w:rStyle w:val="Hyperlink"/>
                        <w:rFonts w:ascii="Helvetica Neue" w:hAnsi="Helvetica Neue"/>
                        <w:color w:val="0278B2"/>
                        <w:sz w:val="20"/>
                        <w:szCs w:val="20"/>
                      </w:rPr>
                      <w:t>FEMA GeoPlatform</w:t>
                    </w:r>
                  </w:hyperlink>
                  <w:r>
                    <w:rPr>
                      <w:rFonts w:ascii="Helvetica Neue" w:hAnsi="Helvetica Neue"/>
                      <w:color w:val="464646"/>
                      <w:sz w:val="20"/>
                      <w:szCs w:val="20"/>
                    </w:rPr>
                    <w:t>. This information is also available to the general public. </w:t>
                  </w:r>
                </w:p>
                <w:p w14:paraId="6A86CF24" w14:textId="77777777" w:rsidR="0008108A" w:rsidRDefault="0008108A">
                  <w:pPr>
                    <w:pStyle w:val="gdp"/>
                    <w:spacing w:before="195" w:beforeAutospacing="0" w:after="75" w:afterAutospacing="0"/>
                    <w:rPr>
                      <w:rFonts w:ascii="Helvetica Neue" w:hAnsi="Helvetica Neue"/>
                      <w:color w:val="464646"/>
                      <w:sz w:val="20"/>
                      <w:szCs w:val="20"/>
                    </w:rPr>
                  </w:pPr>
                  <w:hyperlink r:id="rId54" w:history="1">
                    <w:r>
                      <w:rPr>
                        <w:rStyle w:val="Hyperlink"/>
                        <w:rFonts w:ascii="Helvetica Neue" w:hAnsi="Helvetica Neue"/>
                        <w:color w:val="0278B2"/>
                        <w:sz w:val="20"/>
                        <w:szCs w:val="20"/>
                      </w:rPr>
                      <w:t xml:space="preserve">Power Resilience Emergency Response Checklist: </w:t>
                    </w:r>
                  </w:hyperlink>
                  <w:r>
                    <w:rPr>
                      <w:rFonts w:ascii="Helvetica Neue" w:hAnsi="Helvetica Neue"/>
                      <w:color w:val="464646"/>
                      <w:sz w:val="20"/>
                      <w:szCs w:val="20"/>
                    </w:rPr>
                    <w:t>Developed by HPH SCC member Powered for Patients</w:t>
                  </w:r>
                </w:p>
                <w:p w14:paraId="50C58B64"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Twitter</w:t>
                  </w:r>
                </w:p>
                <w:p w14:paraId="45816A12" w14:textId="77777777" w:rsidR="0008108A" w:rsidRDefault="0008108A">
                  <w:pPr>
                    <w:numPr>
                      <w:ilvl w:val="0"/>
                      <w:numId w:val="7"/>
                    </w:numPr>
                    <w:spacing w:after="75"/>
                    <w:rPr>
                      <w:rFonts w:ascii="Helvetica Neue" w:eastAsia="Times New Roman" w:hAnsi="Helvetica Neue" w:cs="Arial"/>
                      <w:color w:val="464646"/>
                      <w:sz w:val="20"/>
                      <w:szCs w:val="20"/>
                    </w:rPr>
                  </w:pPr>
                  <w:hyperlink r:id="rId55"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10CF2037" w14:textId="77777777" w:rsidR="0008108A" w:rsidRDefault="0008108A">
                  <w:pPr>
                    <w:numPr>
                      <w:ilvl w:val="0"/>
                      <w:numId w:val="7"/>
                    </w:numPr>
                    <w:spacing w:after="75"/>
                    <w:rPr>
                      <w:rFonts w:ascii="Helvetica Neue" w:eastAsia="Times New Roman" w:hAnsi="Helvetica Neue" w:cs="Arial"/>
                      <w:color w:val="464646"/>
                      <w:sz w:val="20"/>
                      <w:szCs w:val="20"/>
                    </w:rPr>
                  </w:pPr>
                  <w:hyperlink r:id="rId56"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75139221" w14:textId="77777777" w:rsidR="0008108A" w:rsidRDefault="0008108A">
                  <w:pPr>
                    <w:numPr>
                      <w:ilvl w:val="0"/>
                      <w:numId w:val="7"/>
                    </w:numPr>
                    <w:spacing w:after="75"/>
                    <w:rPr>
                      <w:rFonts w:ascii="Helvetica Neue" w:eastAsia="Times New Roman" w:hAnsi="Helvetica Neue" w:cs="Arial"/>
                      <w:color w:val="464646"/>
                      <w:sz w:val="20"/>
                      <w:szCs w:val="20"/>
                    </w:rPr>
                  </w:pPr>
                  <w:hyperlink r:id="rId57"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0AD9E604" w14:textId="77777777" w:rsidR="0008108A" w:rsidRDefault="0008108A">
                  <w:pPr>
                    <w:numPr>
                      <w:ilvl w:val="0"/>
                      <w:numId w:val="7"/>
                    </w:numPr>
                    <w:spacing w:after="75"/>
                    <w:rPr>
                      <w:rFonts w:ascii="Helvetica Neue" w:eastAsia="Times New Roman" w:hAnsi="Helvetica Neue" w:cs="Arial"/>
                      <w:color w:val="464646"/>
                      <w:sz w:val="20"/>
                      <w:szCs w:val="20"/>
                    </w:rPr>
                  </w:pPr>
                  <w:hyperlink r:id="rId58" w:history="1">
                    <w:r>
                      <w:rPr>
                        <w:rStyle w:val="Hyperlink"/>
                        <w:rFonts w:ascii="Helvetica Neue" w:eastAsia="Times New Roman" w:hAnsi="Helvetica Neue" w:cs="Arial"/>
                        <w:color w:val="0278B2"/>
                        <w:sz w:val="20"/>
                        <w:szCs w:val="20"/>
                      </w:rPr>
                      <w:t>Hawaii Emergency Management Agency</w:t>
                    </w:r>
                  </w:hyperlink>
                </w:p>
                <w:p w14:paraId="6459DBD3"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66532C94" w14:textId="77777777" w:rsidR="0008108A" w:rsidRDefault="0008108A">
                  <w:pPr>
                    <w:numPr>
                      <w:ilvl w:val="0"/>
                      <w:numId w:val="8"/>
                    </w:numPr>
                    <w:spacing w:after="75"/>
                    <w:rPr>
                      <w:rFonts w:ascii="Helvetica Neue" w:eastAsia="Times New Roman" w:hAnsi="Helvetica Neue" w:cs="Arial"/>
                      <w:color w:val="464646"/>
                      <w:sz w:val="20"/>
                      <w:szCs w:val="20"/>
                    </w:rPr>
                  </w:pPr>
                  <w:hyperlink r:id="rId59" w:history="1">
                    <w:r>
                      <w:rPr>
                        <w:rStyle w:val="Hyperlink"/>
                        <w:rFonts w:ascii="Helvetica Neue" w:eastAsia="Times New Roman" w:hAnsi="Helvetica Neue" w:cs="Arial"/>
                        <w:color w:val="0278B2"/>
                        <w:sz w:val="20"/>
                        <w:szCs w:val="20"/>
                      </w:rPr>
                      <w:t>NOAA NWS National Hurricane Center</w:t>
                    </w:r>
                  </w:hyperlink>
                </w:p>
                <w:p w14:paraId="1FE21E6E" w14:textId="77777777" w:rsidR="0008108A" w:rsidRDefault="0008108A">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YouTube</w:t>
                  </w:r>
                </w:p>
                <w:p w14:paraId="40B634AF" w14:textId="77777777" w:rsidR="0008108A" w:rsidRDefault="0008108A">
                  <w:pPr>
                    <w:numPr>
                      <w:ilvl w:val="0"/>
                      <w:numId w:val="9"/>
                    </w:numPr>
                    <w:spacing w:after="75"/>
                    <w:rPr>
                      <w:rFonts w:ascii="Helvetica Neue" w:eastAsia="Times New Roman" w:hAnsi="Helvetica Neue" w:cs="Arial"/>
                      <w:color w:val="464646"/>
                      <w:sz w:val="20"/>
                      <w:szCs w:val="20"/>
                    </w:rPr>
                  </w:pPr>
                  <w:hyperlink r:id="rId60" w:history="1">
                    <w:r>
                      <w:rPr>
                        <w:rStyle w:val="Hyperlink"/>
                        <w:rFonts w:ascii="Helvetica Neue" w:eastAsia="Times New Roman" w:hAnsi="Helvetica Neue" w:cs="Arial"/>
                        <w:color w:val="0278B2"/>
                        <w:sz w:val="20"/>
                        <w:szCs w:val="20"/>
                      </w:rPr>
                      <w:t>Hurricane Preparedness – What You Should Know</w:t>
                    </w:r>
                  </w:hyperlink>
                </w:p>
                <w:p w14:paraId="290FE56F" w14:textId="5485E705" w:rsidR="0008108A" w:rsidRDefault="0008108A">
                  <w:pPr>
                    <w:rPr>
                      <w:rFonts w:eastAsia="Times New Roman"/>
                    </w:rPr>
                  </w:pPr>
                  <w:r>
                    <w:rPr>
                      <w:rFonts w:eastAsia="Times New Roman"/>
                      <w:noProof/>
                    </w:rPr>
                    <w:drawing>
                      <wp:inline distT="0" distB="0" distL="0" distR="0" wp14:anchorId="1BEC4C3D" wp14:editId="035E523F">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ontent.govdelivery.com/attachments/fancy_images/stock/2011/03/12307/new-main-hr_original.gif?13084561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14:paraId="61E18E37" w14:textId="77777777" w:rsidR="0008108A" w:rsidRDefault="0008108A">
                  <w:pPr>
                    <w:rPr>
                      <w:rFonts w:eastAsia="Times New Roman"/>
                    </w:rPr>
                  </w:pPr>
                </w:p>
              </w:tc>
            </w:tr>
          </w:tbl>
          <w:p w14:paraId="699AB001" w14:textId="77777777" w:rsidR="0008108A" w:rsidRDefault="0008108A">
            <w:pPr>
              <w:rPr>
                <w:rFonts w:ascii="Times New Roman" w:eastAsia="Times New Roman" w:hAnsi="Times New Roman" w:cs="Times New Roman"/>
                <w:sz w:val="20"/>
                <w:szCs w:val="20"/>
              </w:rPr>
            </w:pPr>
          </w:p>
        </w:tc>
      </w:tr>
      <w:tr w:rsidR="0008108A" w14:paraId="75ECD14B" w14:textId="77777777" w:rsidTr="0008108A">
        <w:trPr>
          <w:jc w:val="center"/>
        </w:trPr>
        <w:tc>
          <w:tcPr>
            <w:tcW w:w="0" w:type="auto"/>
            <w:shd w:val="clear" w:color="auto" w:fill="FFFFFF"/>
            <w:hideMark/>
          </w:tcPr>
          <w:p w14:paraId="4F032097" w14:textId="77777777" w:rsidR="0008108A" w:rsidRDefault="0008108A">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Heatlh Sector. For more information on our program and participating with the HPH Sector, contact us at </w:t>
            </w:r>
            <w:hyperlink r:id="rId61"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46062CAD" w14:textId="1556B8E7" w:rsidR="0008108A" w:rsidRDefault="0008108A">
            <w:pPr>
              <w:rPr>
                <w:rFonts w:eastAsia="Times New Roman"/>
              </w:rPr>
            </w:pPr>
            <w:r>
              <w:rPr>
                <w:rFonts w:eastAsia="Times New Roman"/>
                <w:noProof/>
              </w:rPr>
              <w:drawing>
                <wp:inline distT="0" distB="0" distL="0" distR="0" wp14:anchorId="533575F5" wp14:editId="51BE873B">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ontent.govdelivery.com/attachments/fancy_images/stock/2011/02/10592/modern-blue-footer-shadow_original.jpg?130845616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42130BB6" w14:textId="77777777" w:rsidR="00E74E9C" w:rsidRDefault="0008108A">
      <w:bookmarkStart w:id="8" w:name="_GoBack"/>
      <w:bookmarkEnd w:id="8"/>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Neue">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1A0D"/>
    <w:multiLevelType w:val="multilevel"/>
    <w:tmpl w:val="3880D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A0907"/>
    <w:multiLevelType w:val="multilevel"/>
    <w:tmpl w:val="F55A4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B6F3D"/>
    <w:multiLevelType w:val="multilevel"/>
    <w:tmpl w:val="8D9AF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A1E6E"/>
    <w:multiLevelType w:val="multilevel"/>
    <w:tmpl w:val="4BD0F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F7464E"/>
    <w:multiLevelType w:val="multilevel"/>
    <w:tmpl w:val="C7083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093AD9"/>
    <w:multiLevelType w:val="multilevel"/>
    <w:tmpl w:val="AE043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C299E"/>
    <w:multiLevelType w:val="multilevel"/>
    <w:tmpl w:val="BBC63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AB4108"/>
    <w:multiLevelType w:val="multilevel"/>
    <w:tmpl w:val="18000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33383"/>
    <w:multiLevelType w:val="multilevel"/>
    <w:tmpl w:val="B686E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8"/>
    <w:lvlOverride w:ilvl="0"/>
    <w:lvlOverride w:ilvl="1"/>
    <w:lvlOverride w:ilvl="2"/>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 w:numId="9">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8A"/>
    <w:rsid w:val="0008108A"/>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C6761"/>
  <w15:chartTrackingRefBased/>
  <w15:docId w15:val="{60FAAC6C-6A0E-44B1-9ED0-4F175C0B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108A"/>
    <w:pPr>
      <w:spacing w:after="0" w:line="240" w:lineRule="auto"/>
    </w:pPr>
    <w:rPr>
      <w:rFonts w:ascii="Calibri" w:hAnsi="Calibri" w:cs="Calibri"/>
    </w:rPr>
  </w:style>
  <w:style w:type="paragraph" w:styleId="Heading1">
    <w:name w:val="heading 1"/>
    <w:basedOn w:val="Normal"/>
    <w:link w:val="Heading1Char"/>
    <w:uiPriority w:val="9"/>
    <w:qFormat/>
    <w:rsid w:val="0008108A"/>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08108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08A"/>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08108A"/>
    <w:rPr>
      <w:rFonts w:ascii="Calibri" w:hAnsi="Calibri" w:cs="Calibri"/>
      <w:b/>
      <w:bCs/>
      <w:sz w:val="36"/>
      <w:szCs w:val="36"/>
    </w:rPr>
  </w:style>
  <w:style w:type="character" w:styleId="Hyperlink">
    <w:name w:val="Hyperlink"/>
    <w:basedOn w:val="DefaultParagraphFont"/>
    <w:uiPriority w:val="99"/>
    <w:semiHidden/>
    <w:unhideWhenUsed/>
    <w:rsid w:val="0008108A"/>
    <w:rPr>
      <w:color w:val="0000FF"/>
      <w:u w:val="single"/>
    </w:rPr>
  </w:style>
  <w:style w:type="paragraph" w:customStyle="1" w:styleId="gdp">
    <w:name w:val="gd_p"/>
    <w:basedOn w:val="Normal"/>
    <w:rsid w:val="000810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25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7&amp;&amp;&amp;https://www.fema.gov/emergency-management-agencies" TargetMode="External"/><Relationship Id="rId26"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5&amp;&amp;&amp;https://www.scemd.org/" TargetMode="External"/><Relationship Id="rId39"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8&amp;&amp;&amp;https://files.asprtracie.hhs.gov/documents/aspr-tracie-the-exchange-issue-6.pdf" TargetMode="External"/><Relationship Id="rId21"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0&amp;&amp;&amp;https://www.eritn.com/" TargetMode="External"/><Relationship Id="rId34"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3&amp;&amp;&amp;https://asprtracie.hhs.gov/hurricane-resources" TargetMode="External"/><Relationship Id="rId42"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1&amp;&amp;&amp;https://files.asprtracie.hhs.gov/documents/aspr-tracie-ta-post-disaster-dialysis-best-practices.pdf" TargetMode="External"/><Relationship Id="rId47"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6&amp;&amp;&amp;https://www.jointcommission.org/assets/1/6/EM_Healthcare_Environment_Checklist_copyright.pdf" TargetMode="External"/><Relationship Id="rId50"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9&amp;&amp;&amp;http://www.rxopen.org/" TargetMode="External"/><Relationship Id="rId55"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4&amp;&amp;&amp;https://twitter.com/HumanityRoad" TargetMode="External"/><Relationship Id="rId63" Type="http://schemas.openxmlformats.org/officeDocument/2006/relationships/fontTable" Target="fontTable.xml"/><Relationship Id="rId7"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0&amp;&amp;&amp;https://share.dhs.gov/hphsector-2018-hurricane-response/"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5&amp;&amp;&amp;https://usace.maps.arcgis.com/apps/webappviewer/index.html?id=d9b3aab757f64e1897f8a75efd4d3975" TargetMode="External"/><Relationship Id="rId20"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9&amp;&amp;&amp;http://www.vaemergency.gov/" TargetMode="External"/><Relationship Id="rId29"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8&amp;&amp;&amp;https://www.cms.gov/Medicare/Provider-Enrollment-and-Certification/SurveyCertEmergPrep/1135-Waivers.html" TargetMode="External"/><Relationship Id="rId41"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0&amp;&amp;&amp;https://files.asprtracie.hhs.gov/documents/asprtracie-major-hurricanes-potential-considerations-working-draft.pdf" TargetMode="External"/><Relationship Id="rId54"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3&amp;&amp;&amp;https://content.govdelivery.com/attachments/USDHSCIKR/2018/09/12/file_attachments/1071026/Powered%2Bfor%2BPatients%2BEmergency%2BPower%2BResilience%2BChecklists.pdf" TargetMode="External"/><Relationship Id="rId62"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3&amp;&amp;&amp;https://content.govdelivery.com/attachments/USDHSCIKR/2018/09/13/file_attachments/1071376/CIP-Hurricanes%2B2018%2BFact%2BSheet.pdf" TargetMode="External"/><Relationship Id="rId24"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3&amp;&amp;&amp;https://fs22.formsite.com/er-itn/form24/index.html" TargetMode="External"/><Relationship Id="rId32"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1&amp;&amp;&amp;https://www.nvoad.org/howtohelp/donate/" TargetMode="External"/><Relationship Id="rId37"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6&amp;&amp;&amp;https://files.asprtracie.hhs.gov/documents/aspr-tracie-ta-oxygen-therapy.pdf" TargetMode="External"/><Relationship Id="rId40"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9&amp;&amp;&amp;https://files.asprtracie.hhs.gov/documents/aspr-tracie-hurricane-resources-at-your-fingertips.pdf" TargetMode="External"/><Relationship Id="rId45"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4&amp;&amp;&amp;https://files.asprtracie.hhs.gov/documents/aspr-tracie-ta-healthcare-facility-flooding-and-coop-resources-8-28-18-redacted.pdf" TargetMode="External"/><Relationship Id="rId53"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2&amp;&amp;&amp;http://fema.maps.arcgis.com/" TargetMode="External"/><Relationship Id="rId58"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7&amp;&amp;&amp;https://twitter.com/Hawaii_EMA"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4&amp;&amp;&amp;https://www.nhc.noaa.gov/?epac" TargetMode="External"/><Relationship Id="rId23"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2&amp;&amp;&amp;https://www.eritn.com/virginiaregistration" TargetMode="External"/><Relationship Id="rId28"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7&amp;&amp;&amp;https://www.cms.gov/Medicare/Provider-Enrollment-and-Certification/SurveyCertEmergPrep/1135-Waivers.html" TargetMode="External"/><Relationship Id="rId36"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5&amp;&amp;&amp;https://files.asprtracie.hhs.gov/documents/after-the-flood-mold-specific-resources.pdf" TargetMode="External"/><Relationship Id="rId49"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8&amp;&amp;&amp;https://www.healthcareready.org/florence" TargetMode="External"/><Relationship Id="rId57"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6&amp;&amp;&amp;https://twitter.com/femalive/lists/happening-now" TargetMode="External"/><Relationship Id="rId61" Type="http://schemas.openxmlformats.org/officeDocument/2006/relationships/hyperlink" Target="mailto:CIP@HHS.gov" TargetMode="External"/><Relationship Id="rId10" Type="http://schemas.openxmlformats.org/officeDocument/2006/relationships/hyperlink" Target="mailto:NBEOC@fema.dhs.gov" TargetMode="External"/><Relationship Id="rId19"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8&amp;&amp;&amp;https://dhsem.wv.gov/Pages/default.aspx" TargetMode="External"/><Relationship Id="rId31"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0&amp;&amp;&amp;https://files.asprtracie.hhs.gov/documents/aspr-tracie-ta-1135-waiver-information-9-11-18.pdf" TargetMode="External"/><Relationship Id="rId44"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3&amp;&amp;&amp;https://files.asprtracie.hhs.gov/documents/aspr-tracie-ta-healthcare-facility-flooding-and-coop-resources-8-28-18-redacted.pdf" TargetMode="External"/><Relationship Id="rId52"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1&amp;&amp;&amp;https://fema.maps.arcgis.com/apps/MapJournal/index.html?appid=97f53eb1c8724609ac6a0b1ae861f9b5" TargetMode="External"/><Relationship Id="rId60"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9&amp;&amp;&amp;https://www.youtube.com/playlist?list=PLE89DC791EF19E3BB" TargetMode="Externa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2&amp;&amp;&amp;https://fema.connectsolutions.com/nbeocpacific" TargetMode="External"/><Relationship Id="rId14" Type="http://schemas.openxmlformats.org/officeDocument/2006/relationships/image" Target="media/image4.gif"/><Relationship Id="rId22"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1&amp;&amp;&amp;https://www.eritn.com/virginiaregistration" TargetMode="External"/><Relationship Id="rId27"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6&amp;&amp;&amp;https://www.cms.gov/Medicare/Coding/ICD10/CMS-Regional-Offices.html" TargetMode="External"/><Relationship Id="rId30"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9&amp;&amp;&amp;https://www.cms.gov/Medicare/Provider-Enrollment-and-Certification/SurveyCertEmergPrep/1135-Waivers.html" TargetMode="External"/><Relationship Id="rId35"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4&amp;&amp;&amp;https://asprtracie.hhs.gov/technical-resources/35/utility-failures-blackouts-potable-water/27" TargetMode="External"/><Relationship Id="rId43"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2&amp;&amp;&amp;https://files.asprtracie.hhs.gov/documents/tips-for-retaining-and-caring-for-staff-after-disaster.pdf" TargetMode="External"/><Relationship Id="rId48"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7&amp;&amp;&amp;https://files.asprtracie.hhs.gov/documents/aspr-tracie-hcc-recovery-plan-template.pdf" TargetMode="External"/><Relationship Id="rId56"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5&amp;&amp;&amp;https://twitter.com/FEMAlive/lists/hawaii" TargetMode="External"/><Relationship Id="rId64" Type="http://schemas.openxmlformats.org/officeDocument/2006/relationships/theme" Target="theme/theme1.xml"/><Relationship Id="rId8"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1&amp;&amp;&amp;https://fema.connectsolutions.com/nbeocatlantic" TargetMode="External"/><Relationship Id="rId51"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0&amp;&amp;&amp;https://www.healthcareready.org/contact-us" TargetMode="External"/><Relationship Id="rId3" Type="http://schemas.openxmlformats.org/officeDocument/2006/relationships/settings" Target="settings.xml"/><Relationship Id="rId12" Type="http://schemas.openxmlformats.org/officeDocument/2006/relationships/hyperlink" Target="mailto:CIP@hhs.gov" TargetMode="External"/><Relationship Id="rId17"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06&amp;&amp;&amp;https://www.scdhec.gov/health/family-planning/family-planning-services/get-help-finding-services" TargetMode="External"/><Relationship Id="rId25"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14&amp;&amp;&amp;https://www.ncdps.gov/florence" TargetMode="External"/><Relationship Id="rId33"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2&amp;&amp;&amp;https://files.asprtracie.hhs.gov/documents/tips-for-retaining-and-caring-for-staff-after-disaster.pdf" TargetMode="External"/><Relationship Id="rId38"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27&amp;&amp;&amp;https://files.asprtracie.hhs.gov/documents/aspr-tracie-durable-medical-equipment-in-disasters.pdf" TargetMode="External"/><Relationship Id="rId46"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35&amp;&amp;&amp;https://files.asprtracie.hhs.gov/documents/aspr-tracie-ta-essential-elements-of-information-redacted-9-10-18-updated.pdf" TargetMode="External"/><Relationship Id="rId59" Type="http://schemas.openxmlformats.org/officeDocument/2006/relationships/hyperlink" Target="http://links.govdelivery.com:80/track?type=click&amp;enid=ZWFzPTEmbXNpZD0mYXVpZD0mbWFpbGluZ2lkPTIwMTgwOTE3Ljk1MDA1MjQxJm1lc3NhZ2VpZD1NREItUFJELUJVTC0yMDE4MDkxNy45NTAwNTI0MSZkYXRhYmFzZWlkPTEwMDEmc2VyaWFsPTE3MzA0ODQ3JmVtYWlsaWQ9aG1jY2FsbEBjc3RlLm9yZyZ1c2VyaWQ9aG1jY2FsbEBjc3RlLm9yZyZ0YXJnZXRpZD0mZmw9Jm12aWQ9JmV4dHJhPSYmJg==&amp;&amp;&amp;148&amp;&amp;&amp;https://www.facebook.com/NWSNH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4660</Words>
  <Characters>26564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2018-09-19T18:12:00Z</dcterms:created>
  <dcterms:modified xsi:type="dcterms:W3CDTF">2018-09-19T18:13:00Z</dcterms:modified>
</cp:coreProperties>
</file>