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C88D0" w14:textId="4EF1424E" w:rsidR="007E1C2D" w:rsidRDefault="008C75A7" w:rsidP="00B369F9">
      <w:pPr>
        <w:spacing w:after="0"/>
      </w:pPr>
      <w:r w:rsidRPr="008C75A7">
        <w:drawing>
          <wp:inline distT="0" distB="0" distL="0" distR="0" wp14:anchorId="1483EEA9" wp14:editId="0E0B9BAE">
            <wp:extent cx="4218242" cy="3790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37339" cy="3808112"/>
                    </a:xfrm>
                    <a:prstGeom prst="rect">
                      <a:avLst/>
                    </a:prstGeom>
                  </pic:spPr>
                </pic:pic>
              </a:graphicData>
            </a:graphic>
          </wp:inline>
        </w:drawing>
      </w:r>
    </w:p>
    <w:p w14:paraId="18899064" w14:textId="66CE0987" w:rsidR="008C75A7" w:rsidRDefault="008C75A7" w:rsidP="00B369F9">
      <w:pPr>
        <w:spacing w:after="0"/>
      </w:pPr>
    </w:p>
    <w:p w14:paraId="09507396" w14:textId="1A358890" w:rsidR="008C75A7" w:rsidRPr="008C75A7" w:rsidRDefault="008C75A7" w:rsidP="00B369F9">
      <w:pPr>
        <w:spacing w:after="0"/>
        <w:rPr>
          <w:b/>
          <w:bCs/>
          <w:sz w:val="27"/>
          <w:szCs w:val="27"/>
        </w:rPr>
      </w:pPr>
      <w:r w:rsidRPr="008C75A7">
        <w:rPr>
          <w:b/>
          <w:bCs/>
          <w:sz w:val="27"/>
          <w:szCs w:val="27"/>
        </w:rPr>
        <w:t>Dr. Graham Mooney Biography</w:t>
      </w:r>
    </w:p>
    <w:p w14:paraId="11BA7728" w14:textId="12C4C958" w:rsidR="00B369F9" w:rsidRDefault="00B369F9" w:rsidP="00B369F9">
      <w:pPr>
        <w:spacing w:after="0"/>
      </w:pPr>
    </w:p>
    <w:p w14:paraId="226CDDF5" w14:textId="42345944" w:rsidR="008C75A7" w:rsidRPr="008C75A7" w:rsidRDefault="008C75A7" w:rsidP="00B369F9">
      <w:pPr>
        <w:spacing w:after="0"/>
        <w:rPr>
          <w:sz w:val="27"/>
          <w:szCs w:val="27"/>
        </w:rPr>
      </w:pPr>
      <w:r w:rsidRPr="008C75A7">
        <w:rPr>
          <w:rStyle w:val="normaltextrun"/>
          <w:rFonts w:ascii="Calibri" w:hAnsi="Calibri"/>
          <w:color w:val="000000"/>
          <w:sz w:val="27"/>
          <w:szCs w:val="27"/>
          <w:shd w:val="clear" w:color="auto" w:fill="FFFFFF"/>
        </w:rPr>
        <w:t xml:space="preserve">Graham Mooney is an Associate Professor in the Department of the History of Medicine at JHU, where he also holds an adjunct faculty position in the Bloomberg School of Public Health Department of Epidemiology. </w:t>
      </w:r>
      <w:r>
        <w:rPr>
          <w:rStyle w:val="normaltextrun"/>
          <w:rFonts w:ascii="Calibri" w:hAnsi="Calibri"/>
          <w:color w:val="000000"/>
          <w:sz w:val="27"/>
          <w:szCs w:val="27"/>
          <w:shd w:val="clear" w:color="auto" w:fill="FFFFFF"/>
        </w:rPr>
        <w:t xml:space="preserve"> </w:t>
      </w:r>
      <w:r w:rsidRPr="008C75A7">
        <w:rPr>
          <w:rStyle w:val="normaltextrun"/>
          <w:rFonts w:ascii="Calibri" w:hAnsi="Calibri"/>
          <w:color w:val="000000"/>
          <w:sz w:val="27"/>
          <w:szCs w:val="27"/>
          <w:shd w:val="clear" w:color="auto" w:fill="FFFFFF"/>
        </w:rPr>
        <w:t xml:space="preserve">Trained a geographer, he is interested in the history of public health in the UK and US, including infectious disease surveillance and control; historical geographies of health and medicine; and historical epidemiology. </w:t>
      </w:r>
      <w:r>
        <w:rPr>
          <w:rStyle w:val="normaltextrun"/>
          <w:rFonts w:ascii="Calibri" w:hAnsi="Calibri"/>
          <w:color w:val="000000"/>
          <w:sz w:val="27"/>
          <w:szCs w:val="27"/>
          <w:shd w:val="clear" w:color="auto" w:fill="FFFFFF"/>
        </w:rPr>
        <w:t xml:space="preserve"> </w:t>
      </w:r>
      <w:r w:rsidRPr="008C75A7">
        <w:rPr>
          <w:rStyle w:val="normaltextrun"/>
          <w:rFonts w:ascii="Calibri" w:hAnsi="Calibri"/>
          <w:color w:val="000000"/>
          <w:sz w:val="27"/>
          <w:szCs w:val="27"/>
          <w:shd w:val="clear" w:color="auto" w:fill="FFFFFF"/>
        </w:rPr>
        <w:t>His 2015 book </w:t>
      </w:r>
      <w:r w:rsidRPr="008C75A7">
        <w:rPr>
          <w:rStyle w:val="normaltextrun"/>
          <w:rFonts w:ascii="Calibri" w:hAnsi="Calibri"/>
          <w:i/>
          <w:iCs/>
          <w:color w:val="000000"/>
          <w:sz w:val="27"/>
          <w:szCs w:val="27"/>
          <w:shd w:val="clear" w:color="auto" w:fill="FFFFFF"/>
        </w:rPr>
        <w:t>Intrusive Interventions: Public Health, Domestic Space, and Infectious Disease Surveillance in England 1840-1914</w:t>
      </w:r>
      <w:r w:rsidRPr="008C75A7">
        <w:rPr>
          <w:rStyle w:val="normaltextrun"/>
          <w:rFonts w:ascii="Calibri" w:hAnsi="Calibri"/>
          <w:color w:val="000000"/>
          <w:sz w:val="27"/>
          <w:szCs w:val="27"/>
          <w:shd w:val="clear" w:color="auto" w:fill="FFFFFF"/>
        </w:rPr>
        <w:t xml:space="preserve"> examines infectious disease notification, institutional and domestic isolation, disinfection, and contact tracing as spatialized aspects of liberal governance. </w:t>
      </w:r>
      <w:r>
        <w:rPr>
          <w:rStyle w:val="normaltextrun"/>
          <w:rFonts w:ascii="Calibri" w:hAnsi="Calibri"/>
          <w:color w:val="000000"/>
          <w:sz w:val="27"/>
          <w:szCs w:val="27"/>
          <w:shd w:val="clear" w:color="auto" w:fill="FFFFFF"/>
        </w:rPr>
        <w:t xml:space="preserve"> </w:t>
      </w:r>
      <w:r w:rsidRPr="008C75A7">
        <w:rPr>
          <w:rStyle w:val="normaltextrun"/>
          <w:rFonts w:ascii="Calibri" w:hAnsi="Calibri"/>
          <w:color w:val="000000"/>
          <w:sz w:val="27"/>
          <w:szCs w:val="27"/>
          <w:shd w:val="clear" w:color="auto" w:fill="FFFFFF"/>
        </w:rPr>
        <w:t>Dr Mooney's work on COVID-19 has featured in </w:t>
      </w:r>
      <w:r w:rsidRPr="008C75A7">
        <w:rPr>
          <w:rStyle w:val="normaltextrun"/>
          <w:rFonts w:ascii="Calibri" w:hAnsi="Calibri"/>
          <w:i/>
          <w:iCs/>
          <w:color w:val="000000"/>
          <w:sz w:val="27"/>
          <w:szCs w:val="27"/>
          <w:shd w:val="clear" w:color="auto" w:fill="FFFFFF"/>
        </w:rPr>
        <w:t>The Atlantic</w:t>
      </w:r>
      <w:r w:rsidRPr="008C75A7">
        <w:rPr>
          <w:rStyle w:val="normaltextrun"/>
          <w:color w:val="000000"/>
          <w:sz w:val="27"/>
          <w:szCs w:val="27"/>
          <w:shd w:val="clear" w:color="auto" w:fill="FFFFFF"/>
        </w:rPr>
        <w:t>, </w:t>
      </w:r>
      <w:r w:rsidRPr="008C75A7">
        <w:rPr>
          <w:rStyle w:val="normaltextrun"/>
          <w:rFonts w:ascii="Calibri" w:hAnsi="Calibri"/>
          <w:i/>
          <w:iCs/>
          <w:color w:val="000000"/>
          <w:sz w:val="27"/>
          <w:szCs w:val="27"/>
          <w:shd w:val="clear" w:color="auto" w:fill="FFFFFF"/>
        </w:rPr>
        <w:t>New England Journal of Medicine</w:t>
      </w:r>
      <w:r w:rsidRPr="008C75A7">
        <w:rPr>
          <w:rStyle w:val="normaltextrun"/>
          <w:color w:val="000000"/>
          <w:sz w:val="27"/>
          <w:szCs w:val="27"/>
          <w:shd w:val="clear" w:color="auto" w:fill="FFFFFF"/>
        </w:rPr>
        <w:t>, </w:t>
      </w:r>
      <w:r w:rsidRPr="008C75A7">
        <w:rPr>
          <w:rStyle w:val="normaltextrun"/>
          <w:rFonts w:ascii="Calibri" w:hAnsi="Calibri"/>
          <w:i/>
          <w:iCs/>
          <w:color w:val="000000"/>
          <w:sz w:val="27"/>
          <w:szCs w:val="27"/>
          <w:shd w:val="clear" w:color="auto" w:fill="FFFFFF"/>
        </w:rPr>
        <w:t>Annals of Internal Medicine</w:t>
      </w:r>
      <w:r w:rsidRPr="008C75A7">
        <w:rPr>
          <w:rStyle w:val="normaltextrun"/>
          <w:rFonts w:ascii="Calibri" w:hAnsi="Calibri"/>
          <w:color w:val="000000"/>
          <w:sz w:val="27"/>
          <w:szCs w:val="27"/>
          <w:shd w:val="clear" w:color="auto" w:fill="FFFFFF"/>
        </w:rPr>
        <w:t> and on NPR.</w:t>
      </w:r>
    </w:p>
    <w:sectPr w:rsidR="008C75A7" w:rsidRPr="008C75A7" w:rsidSect="00B369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F9"/>
    <w:rsid w:val="00237E53"/>
    <w:rsid w:val="007E1C2D"/>
    <w:rsid w:val="008C75A7"/>
    <w:rsid w:val="00B3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FB41"/>
  <w15:chartTrackingRefBased/>
  <w15:docId w15:val="{4906DA85-7AF4-4E89-B492-91AE98C3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6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7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47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Tarajee Curry</dc:creator>
  <cp:keywords/>
  <dc:description/>
  <cp:lastModifiedBy>Tarajee Curry</cp:lastModifiedBy>
  <cp:revision>2</cp:revision>
  <dcterms:created xsi:type="dcterms:W3CDTF">2021-03-23T13:44:00Z</dcterms:created>
  <dcterms:modified xsi:type="dcterms:W3CDTF">2021-03-23T13:44:00Z</dcterms:modified>
</cp:coreProperties>
</file>