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DF1C563" w14:textId="249E2A77" w:rsidR="002A081A" w:rsidRPr="002B4A05" w:rsidRDefault="00FC70BD" w:rsidP="00425DB5">
      <w:pPr>
        <w:pStyle w:val="Heading1"/>
        <w:spacing w:before="0" w:afterLines="40" w:after="96" w:line="240" w:lineRule="auto"/>
      </w:pPr>
      <w:r w:rsidRPr="002B4A05">
        <w:t>CSTE Disaster Epi Workshop 2021</w:t>
      </w:r>
      <w:r w:rsidR="00EF7C06">
        <w:t xml:space="preserve"> </w:t>
      </w:r>
      <w:r w:rsidR="00EF7C06">
        <w:rPr>
          <w:rFonts w:cstheme="minorHAnsi"/>
        </w:rPr>
        <w:t>•</w:t>
      </w:r>
      <w:r w:rsidR="00EF7C06">
        <w:t xml:space="preserve"> IRB Panel</w:t>
      </w:r>
    </w:p>
    <w:p w14:paraId="0F4927CF" w14:textId="4CD12287" w:rsidR="00FC70BD" w:rsidRPr="00425DB5" w:rsidRDefault="00FA1553" w:rsidP="00425DB5">
      <w:pPr>
        <w:pStyle w:val="Heading1"/>
        <w:spacing w:before="0" w:afterLines="40" w:after="96" w:line="240" w:lineRule="auto"/>
        <w:rPr>
          <w:sz w:val="24"/>
          <w:szCs w:val="24"/>
        </w:rPr>
      </w:pPr>
      <w:r w:rsidRPr="00425DB5">
        <w:rPr>
          <w:sz w:val="24"/>
          <w:szCs w:val="24"/>
        </w:rPr>
        <w:t xml:space="preserve">Notes: </w:t>
      </w:r>
      <w:r w:rsidR="002B4A05" w:rsidRPr="00425DB5">
        <w:rPr>
          <w:sz w:val="24"/>
          <w:szCs w:val="24"/>
        </w:rPr>
        <w:t>IRB panelist</w:t>
      </w:r>
      <w:r w:rsidRPr="00425DB5">
        <w:rPr>
          <w:sz w:val="24"/>
          <w:szCs w:val="24"/>
        </w:rPr>
        <w:t xml:space="preserve"> meet-and-greet on 3/16/21 with </w:t>
      </w:r>
      <w:r w:rsidR="00FC70BD" w:rsidRPr="00425DB5">
        <w:rPr>
          <w:sz w:val="24"/>
          <w:szCs w:val="24"/>
        </w:rPr>
        <w:t>Joan Packenham (NIEHS), Micah Bass (CDC), Joni Koenig (CO)</w:t>
      </w:r>
    </w:p>
    <w:p w14:paraId="33F3C472" w14:textId="002B7A14" w:rsidR="002B4A05" w:rsidRDefault="002B4A05" w:rsidP="002B4A05">
      <w:pPr>
        <w:pStyle w:val="ListParagraph"/>
        <w:numPr>
          <w:ilvl w:val="0"/>
          <w:numId w:val="1"/>
        </w:numPr>
      </w:pPr>
      <w:r>
        <w:t>Micah recommended Joan Pettit, Johns Hopkins</w:t>
      </w:r>
    </w:p>
    <w:p w14:paraId="03F66638" w14:textId="54D2BEEF" w:rsidR="00FC70BD" w:rsidRDefault="00FC70BD" w:rsidP="002B4A05">
      <w:pPr>
        <w:pStyle w:val="ListParagraph"/>
        <w:numPr>
          <w:ilvl w:val="0"/>
          <w:numId w:val="1"/>
        </w:numPr>
      </w:pPr>
      <w:r>
        <w:t>Who does what and who makes determinations?</w:t>
      </w:r>
    </w:p>
    <w:p w14:paraId="70400CDE" w14:textId="4F140368" w:rsidR="00FC70BD" w:rsidRDefault="00FC70BD" w:rsidP="002B4A05">
      <w:pPr>
        <w:pStyle w:val="ListParagraph"/>
        <w:numPr>
          <w:ilvl w:val="0"/>
          <w:numId w:val="1"/>
        </w:numPr>
      </w:pPr>
      <w:r>
        <w:t>CDC relegates IRB elsewhere, IRB not involved in determination</w:t>
      </w:r>
    </w:p>
    <w:p w14:paraId="4DD39F7F" w14:textId="5F94F7C6" w:rsidR="00FC70BD" w:rsidRDefault="00FC70BD" w:rsidP="002B4A05">
      <w:pPr>
        <w:pStyle w:val="ListParagraph"/>
        <w:numPr>
          <w:ilvl w:val="0"/>
          <w:numId w:val="1"/>
        </w:numPr>
      </w:pPr>
      <w:r>
        <w:t>Colorado has a self-determination</w:t>
      </w:r>
    </w:p>
    <w:p w14:paraId="70F24244" w14:textId="77F8C946" w:rsidR="00FC70BD" w:rsidRDefault="00FC70BD" w:rsidP="002B4A05">
      <w:pPr>
        <w:pStyle w:val="ListParagraph"/>
        <w:numPr>
          <w:ilvl w:val="0"/>
          <w:numId w:val="1"/>
        </w:numPr>
      </w:pPr>
      <w:r>
        <w:t>What actually goes to the IRB?</w:t>
      </w:r>
    </w:p>
    <w:p w14:paraId="1E4E7659" w14:textId="1778DE11" w:rsidR="00FC70BD" w:rsidRDefault="00FC70BD" w:rsidP="002B4A05">
      <w:pPr>
        <w:pStyle w:val="ListParagraph"/>
        <w:numPr>
          <w:ilvl w:val="0"/>
          <w:numId w:val="1"/>
        </w:numPr>
      </w:pPr>
      <w:r>
        <w:t>CO IRB can either do determination or program does self-decision</w:t>
      </w:r>
    </w:p>
    <w:p w14:paraId="12EBFC22" w14:textId="1B585E34" w:rsidR="00FC70BD" w:rsidRDefault="0045712C" w:rsidP="002B4A05">
      <w:pPr>
        <w:pStyle w:val="ListParagraph"/>
        <w:numPr>
          <w:ilvl w:val="0"/>
          <w:numId w:val="1"/>
        </w:numPr>
      </w:pPr>
      <w:r>
        <w:t>NIEHS no longer has its own IRB</w:t>
      </w:r>
    </w:p>
    <w:p w14:paraId="2822A6EA" w14:textId="49C5BA87" w:rsidR="0045712C" w:rsidRDefault="0045712C" w:rsidP="002B4A05">
      <w:pPr>
        <w:pStyle w:val="ListParagraph"/>
        <w:numPr>
          <w:ilvl w:val="0"/>
          <w:numId w:val="1"/>
        </w:numPr>
      </w:pPr>
      <w:r>
        <w:t>New consolidated at NIH, Joan only does research</w:t>
      </w:r>
    </w:p>
    <w:p w14:paraId="4191B006" w14:textId="09D1F596" w:rsidR="0045712C" w:rsidRDefault="0045712C" w:rsidP="002B4A05">
      <w:pPr>
        <w:pStyle w:val="ListParagraph"/>
        <w:numPr>
          <w:ilvl w:val="0"/>
          <w:numId w:val="1"/>
        </w:numPr>
      </w:pPr>
      <w:r>
        <w:t>Joan trains IRBs to evaluate disaster research</w:t>
      </w:r>
    </w:p>
    <w:p w14:paraId="56C738C8" w14:textId="40F24590" w:rsidR="0045712C" w:rsidRDefault="0045712C" w:rsidP="002B4A05">
      <w:pPr>
        <w:pStyle w:val="ListParagraph"/>
        <w:numPr>
          <w:ilvl w:val="0"/>
          <w:numId w:val="1"/>
        </w:numPr>
      </w:pPr>
      <w:r>
        <w:t>NIOSH has its own protocols for research</w:t>
      </w:r>
    </w:p>
    <w:p w14:paraId="29638F0A" w14:textId="1CB38BD1" w:rsidR="0045712C" w:rsidRDefault="0045712C" w:rsidP="002B4A05">
      <w:pPr>
        <w:pStyle w:val="ListParagraph"/>
        <w:numPr>
          <w:ilvl w:val="0"/>
          <w:numId w:val="1"/>
        </w:numPr>
      </w:pPr>
      <w:r>
        <w:t>What makes disaster research a “research”?</w:t>
      </w:r>
    </w:p>
    <w:p w14:paraId="2F07A2AD" w14:textId="6680456D" w:rsidR="0045712C" w:rsidRDefault="0045712C" w:rsidP="002B4A05">
      <w:pPr>
        <w:pStyle w:val="ListParagraph"/>
        <w:numPr>
          <w:ilvl w:val="0"/>
          <w:numId w:val="1"/>
        </w:numPr>
      </w:pPr>
      <w:r>
        <w:t>Leverage funding mechanisms</w:t>
      </w:r>
    </w:p>
    <w:p w14:paraId="6E088792" w14:textId="5845EABE" w:rsidR="002D7194" w:rsidRDefault="002D7194" w:rsidP="002B4A05">
      <w:pPr>
        <w:pStyle w:val="ListParagraph"/>
        <w:numPr>
          <w:ilvl w:val="0"/>
          <w:numId w:val="1"/>
        </w:numPr>
      </w:pPr>
      <w:r>
        <w:t>What the terms are? How do they vary in human subject research vs public health surveillance?</w:t>
      </w:r>
    </w:p>
    <w:p w14:paraId="61F456B0" w14:textId="6C7F6312" w:rsidR="0045712C" w:rsidRDefault="0045712C" w:rsidP="002B4A05">
      <w:pPr>
        <w:pStyle w:val="ListParagraph"/>
        <w:numPr>
          <w:ilvl w:val="0"/>
          <w:numId w:val="1"/>
        </w:numPr>
      </w:pPr>
      <w:r>
        <w:t>Research, practice, not surveillance but assessment, authority, legal basis</w:t>
      </w:r>
      <w:r w:rsidR="00064861">
        <w:t>, generalizability</w:t>
      </w:r>
    </w:p>
    <w:p w14:paraId="6DFB6713" w14:textId="6B0DB457" w:rsidR="00064861" w:rsidRDefault="00064861" w:rsidP="002B4A05">
      <w:pPr>
        <w:pStyle w:val="ListParagraph"/>
        <w:numPr>
          <w:ilvl w:val="0"/>
          <w:numId w:val="1"/>
        </w:numPr>
      </w:pPr>
      <w:r>
        <w:t>Don’t call it “study”, “research”, “participants” if it is public health practice</w:t>
      </w:r>
    </w:p>
    <w:p w14:paraId="30419FD4" w14:textId="16CAC097" w:rsidR="0045712C" w:rsidRDefault="0045712C" w:rsidP="002B4A05">
      <w:pPr>
        <w:pStyle w:val="ListParagraph"/>
        <w:numPr>
          <w:ilvl w:val="0"/>
          <w:numId w:val="1"/>
        </w:numPr>
      </w:pPr>
      <w:r>
        <w:t>Legal authority</w:t>
      </w:r>
    </w:p>
    <w:p w14:paraId="68A57496" w14:textId="7B8EB73A" w:rsidR="0045712C" w:rsidRDefault="0045712C" w:rsidP="002B4A05">
      <w:pPr>
        <w:pStyle w:val="ListParagraph"/>
        <w:numPr>
          <w:ilvl w:val="0"/>
          <w:numId w:val="1"/>
        </w:numPr>
      </w:pPr>
      <w:r>
        <w:t>What did we say to the participants?</w:t>
      </w:r>
    </w:p>
    <w:p w14:paraId="6E355A8C" w14:textId="08202D0A" w:rsidR="0045712C" w:rsidRDefault="007B4A1A" w:rsidP="002B4A05">
      <w:pPr>
        <w:pStyle w:val="ListParagraph"/>
        <w:numPr>
          <w:ilvl w:val="0"/>
          <w:numId w:val="1"/>
        </w:numPr>
      </w:pPr>
      <w:r>
        <w:t>Options: do agencies even to the IRB?</w:t>
      </w:r>
    </w:p>
    <w:p w14:paraId="556C9CF7" w14:textId="7B8F2A33" w:rsidR="007B4A1A" w:rsidRDefault="007B4A1A" w:rsidP="002B4A05">
      <w:pPr>
        <w:pStyle w:val="ListParagraph"/>
        <w:numPr>
          <w:ilvl w:val="0"/>
          <w:numId w:val="1"/>
        </w:numPr>
      </w:pPr>
      <w:r>
        <w:t>Every jurisdiction does it differently; procedural difference</w:t>
      </w:r>
    </w:p>
    <w:p w14:paraId="3E52D353" w14:textId="2ED21C4C" w:rsidR="00064861" w:rsidRDefault="00064861" w:rsidP="002B4A05">
      <w:pPr>
        <w:pStyle w:val="ListParagraph"/>
        <w:numPr>
          <w:ilvl w:val="0"/>
          <w:numId w:val="1"/>
        </w:numPr>
      </w:pPr>
      <w:r>
        <w:t>Wide variety of how states define “public health surveillance”</w:t>
      </w:r>
    </w:p>
    <w:p w14:paraId="4D945C8F" w14:textId="62EA20BB" w:rsidR="00064861" w:rsidRDefault="00064861" w:rsidP="002B4A05">
      <w:pPr>
        <w:pStyle w:val="ListParagraph"/>
        <w:numPr>
          <w:ilvl w:val="0"/>
          <w:numId w:val="1"/>
        </w:numPr>
      </w:pPr>
      <w:r>
        <w:t>Some defined in statute, others say if it “smells” of public health then it is</w:t>
      </w:r>
    </w:p>
    <w:p w14:paraId="4AF68B29" w14:textId="6A100249" w:rsidR="00064861" w:rsidRDefault="00064861" w:rsidP="002B4A05">
      <w:pPr>
        <w:pStyle w:val="ListParagraph"/>
        <w:numPr>
          <w:ilvl w:val="0"/>
          <w:numId w:val="1"/>
        </w:numPr>
      </w:pPr>
      <w:r>
        <w:t>Authority narrow vs broad</w:t>
      </w:r>
    </w:p>
    <w:p w14:paraId="55D74D5C" w14:textId="7ACE15DF" w:rsidR="007B4A1A" w:rsidRDefault="007B4A1A" w:rsidP="002B4A05">
      <w:pPr>
        <w:pStyle w:val="ListParagraph"/>
        <w:numPr>
          <w:ilvl w:val="0"/>
          <w:numId w:val="1"/>
        </w:numPr>
      </w:pPr>
      <w:r>
        <w:t>Does the project meet definition</w:t>
      </w:r>
      <w:r w:rsidR="00064861">
        <w:t xml:space="preserve"> of</w:t>
      </w:r>
      <w:r>
        <w:t xml:space="preserve">: </w:t>
      </w:r>
      <w:r w:rsidR="00064861">
        <w:t>1) human subjects 2) research?</w:t>
      </w:r>
    </w:p>
    <w:p w14:paraId="5A5B4760" w14:textId="5ED35BC8" w:rsidR="00064861" w:rsidRDefault="00064861" w:rsidP="002B4A05">
      <w:pPr>
        <w:pStyle w:val="ListParagraph"/>
        <w:numPr>
          <w:ilvl w:val="0"/>
          <w:numId w:val="1"/>
        </w:numPr>
      </w:pPr>
      <w:r>
        <w:t>“Generalizability” is key</w:t>
      </w:r>
    </w:p>
    <w:p w14:paraId="340C2F10" w14:textId="0D4B5ADC" w:rsidR="00FC70BD" w:rsidRDefault="00064861" w:rsidP="002B4A05">
      <w:pPr>
        <w:pStyle w:val="ListParagraph"/>
        <w:numPr>
          <w:ilvl w:val="0"/>
          <w:numId w:val="1"/>
        </w:numPr>
      </w:pPr>
      <w:r>
        <w:t>Does the program usually do this kind of work?</w:t>
      </w:r>
    </w:p>
    <w:p w14:paraId="1EE9699D" w14:textId="27C86B4C" w:rsidR="002D7194" w:rsidRDefault="002D7194" w:rsidP="002B4A05">
      <w:pPr>
        <w:pStyle w:val="ListParagraph"/>
        <w:numPr>
          <w:ilvl w:val="0"/>
          <w:numId w:val="1"/>
        </w:numPr>
      </w:pPr>
      <w:r>
        <w:t>Is there legal basis for not doing IRB?</w:t>
      </w:r>
    </w:p>
    <w:p w14:paraId="4EC91781" w14:textId="01A58FB9" w:rsidR="002D7194" w:rsidRDefault="006F375E" w:rsidP="002B4A05">
      <w:pPr>
        <w:pStyle w:val="ListParagraph"/>
        <w:numPr>
          <w:ilvl w:val="0"/>
          <w:numId w:val="1"/>
        </w:numPr>
      </w:pPr>
      <w:r>
        <w:t>How is this activity different from: 1) what we are currently doing and 2) what we have done before that was approved?</w:t>
      </w:r>
    </w:p>
    <w:p w14:paraId="47876394" w14:textId="3538AA2B" w:rsidR="006F375E" w:rsidRDefault="006F375E" w:rsidP="002B4A05">
      <w:pPr>
        <w:pStyle w:val="ListParagraph"/>
        <w:numPr>
          <w:ilvl w:val="0"/>
          <w:numId w:val="1"/>
        </w:numPr>
      </w:pPr>
      <w:r>
        <w:t>What are the laws in our jurisdiction that require me to do IRB?</w:t>
      </w:r>
    </w:p>
    <w:p w14:paraId="59E50A03" w14:textId="0861EB32" w:rsidR="006F375E" w:rsidRDefault="006F375E" w:rsidP="002B4A05">
      <w:pPr>
        <w:pStyle w:val="ListParagraph"/>
        <w:numPr>
          <w:ilvl w:val="0"/>
          <w:numId w:val="1"/>
        </w:numPr>
      </w:pPr>
      <w:r>
        <w:t>Am I a government entity tasked with legal authority to take public health action?</w:t>
      </w:r>
    </w:p>
    <w:p w14:paraId="2F88918A" w14:textId="28282E53" w:rsidR="007C0B5B" w:rsidRDefault="007C0B5B" w:rsidP="002B4A05">
      <w:pPr>
        <w:pStyle w:val="ListParagraph"/>
        <w:numPr>
          <w:ilvl w:val="0"/>
          <w:numId w:val="1"/>
        </w:numPr>
      </w:pPr>
      <w:r>
        <w:t>Review by IRB because of regulatory requirement vs “just in case” protocol</w:t>
      </w:r>
    </w:p>
    <w:p w14:paraId="2885E16C" w14:textId="1DD6D48B" w:rsidR="007C0B5B" w:rsidRDefault="007C0B5B" w:rsidP="002B4A05">
      <w:pPr>
        <w:pStyle w:val="ListParagraph"/>
        <w:numPr>
          <w:ilvl w:val="0"/>
          <w:numId w:val="1"/>
        </w:numPr>
      </w:pPr>
      <w:r>
        <w:t>Are there any triggers for IRB review?</w:t>
      </w:r>
    </w:p>
    <w:p w14:paraId="1E19EE2D" w14:textId="757CDB2D" w:rsidR="006F375E" w:rsidRDefault="007C0B5B" w:rsidP="002B4A05">
      <w:pPr>
        <w:pStyle w:val="ListParagraph"/>
        <w:numPr>
          <w:ilvl w:val="0"/>
          <w:numId w:val="1"/>
        </w:numPr>
      </w:pPr>
      <w:r>
        <w:t>Rapid IRB, pre-approval IRB</w:t>
      </w:r>
    </w:p>
    <w:p w14:paraId="51F156B1" w14:textId="4122151E" w:rsidR="007C0B5B" w:rsidRDefault="007C0B5B" w:rsidP="002B4A05">
      <w:pPr>
        <w:pStyle w:val="ListParagraph"/>
        <w:numPr>
          <w:ilvl w:val="0"/>
          <w:numId w:val="1"/>
        </w:numPr>
      </w:pPr>
      <w:r>
        <w:t>How do we know what we don’t know?</w:t>
      </w:r>
    </w:p>
    <w:p w14:paraId="5390F132" w14:textId="55CAFC3A" w:rsidR="007C0B5B" w:rsidRDefault="007C0B5B" w:rsidP="002B4A05">
      <w:pPr>
        <w:pStyle w:val="ListParagraph"/>
        <w:numPr>
          <w:ilvl w:val="0"/>
          <w:numId w:val="1"/>
        </w:numPr>
      </w:pPr>
      <w:r>
        <w:t>How do we involve legal staff in our department/agency?</w:t>
      </w:r>
    </w:p>
    <w:p w14:paraId="673B1136" w14:textId="05CA7359" w:rsidR="007C0B5B" w:rsidRDefault="007C0B5B" w:rsidP="002B4A05">
      <w:pPr>
        <w:pStyle w:val="ListParagraph"/>
        <w:numPr>
          <w:ilvl w:val="0"/>
          <w:numId w:val="1"/>
        </w:numPr>
      </w:pPr>
      <w:r>
        <w:t>Do we have to involve legal staff in our department/agency?</w:t>
      </w:r>
    </w:p>
    <w:p w14:paraId="42B7E377" w14:textId="58F09A26" w:rsidR="007C0B5B" w:rsidRDefault="007C0B5B" w:rsidP="002B4A05">
      <w:pPr>
        <w:pStyle w:val="ListParagraph"/>
        <w:numPr>
          <w:ilvl w:val="0"/>
          <w:numId w:val="1"/>
        </w:numPr>
      </w:pPr>
      <w:r>
        <w:t>Ethical issues in data collection</w:t>
      </w:r>
    </w:p>
    <w:p w14:paraId="21567B9F" w14:textId="189DF8D2" w:rsidR="007C0B5B" w:rsidRDefault="007C0B5B" w:rsidP="002B4A05">
      <w:pPr>
        <w:pStyle w:val="ListParagraph"/>
        <w:numPr>
          <w:ilvl w:val="0"/>
          <w:numId w:val="1"/>
        </w:numPr>
      </w:pPr>
      <w:r>
        <w:t>Walk the line of ethical responsibility vs public health legal authority</w:t>
      </w:r>
    </w:p>
    <w:p w14:paraId="7F5F5345" w14:textId="1F512E17" w:rsidR="007C0B5B" w:rsidRDefault="007C0B5B" w:rsidP="002B4A05">
      <w:pPr>
        <w:pStyle w:val="ListParagraph"/>
        <w:numPr>
          <w:ilvl w:val="0"/>
          <w:numId w:val="1"/>
        </w:numPr>
      </w:pPr>
      <w:r>
        <w:t>Data use for purposes other than that for which it was collected</w:t>
      </w:r>
    </w:p>
    <w:p w14:paraId="39FADBC6" w14:textId="63D2F7C8" w:rsidR="00064861" w:rsidRDefault="00064861" w:rsidP="002B4A05">
      <w:pPr>
        <w:pStyle w:val="ListParagraph"/>
        <w:numPr>
          <w:ilvl w:val="0"/>
          <w:numId w:val="1"/>
        </w:numPr>
      </w:pPr>
      <w:r>
        <w:t>How do academics see themselves in public health?</w:t>
      </w:r>
    </w:p>
    <w:p w14:paraId="6D1020EA" w14:textId="01BD7596" w:rsidR="00064861" w:rsidRDefault="00064861" w:rsidP="002B4A05">
      <w:pPr>
        <w:pStyle w:val="ListParagraph"/>
        <w:numPr>
          <w:ilvl w:val="0"/>
          <w:numId w:val="1"/>
        </w:numPr>
      </w:pPr>
      <w:r>
        <w:t>Some academics won’t make that kind of a determination</w:t>
      </w:r>
    </w:p>
    <w:p w14:paraId="5C54AEF7" w14:textId="6DC90BB3" w:rsidR="002B4A05" w:rsidRDefault="002B4A05" w:rsidP="002B4A05">
      <w:pPr>
        <w:pStyle w:val="ListParagraph"/>
        <w:numPr>
          <w:ilvl w:val="0"/>
          <w:numId w:val="1"/>
        </w:numPr>
      </w:pPr>
      <w:r>
        <w:t>From Joan Pettit, via email: new “public health surveillance” exception to “research” provided in the revised Common Rule</w:t>
      </w:r>
    </w:p>
    <w:p w14:paraId="31CC84EF" w14:textId="05BB227A" w:rsidR="002B4A05" w:rsidRPr="00EF7C06" w:rsidRDefault="00EF7C06" w:rsidP="002B4A05">
      <w:pPr>
        <w:rPr>
          <w:b/>
          <w:bCs/>
        </w:rPr>
      </w:pPr>
      <w:r w:rsidRPr="00E36C6F">
        <w:rPr>
          <w:rStyle w:val="Heading2Char"/>
        </w:rPr>
        <w:lastRenderedPageBreak/>
        <w:t xml:space="preserve">Format for the </w:t>
      </w:r>
      <w:r w:rsidR="002B4A05" w:rsidRPr="00E36C6F">
        <w:rPr>
          <w:rStyle w:val="Heading2Char"/>
        </w:rPr>
        <w:t>90-min facilitated panel at the workshop</w:t>
      </w:r>
      <w:r w:rsidR="00A34676">
        <w:rPr>
          <w:b/>
          <w:bCs/>
        </w:rPr>
        <w:t xml:space="preserve"> </w:t>
      </w:r>
      <w:r w:rsidR="00A34676" w:rsidRPr="00A34676">
        <w:t>[forward this info to the panelists and Facilitator]</w:t>
      </w:r>
    </w:p>
    <w:p w14:paraId="221C7913" w14:textId="77777777" w:rsidR="00EF7C06" w:rsidRDefault="00EF7C06" w:rsidP="00EF7C06">
      <w:pPr>
        <w:pStyle w:val="ListParagraph"/>
        <w:numPr>
          <w:ilvl w:val="0"/>
          <w:numId w:val="2"/>
        </w:numPr>
      </w:pPr>
      <w:r>
        <w:t>Panelists</w:t>
      </w:r>
    </w:p>
    <w:p w14:paraId="0F34F2C4" w14:textId="77777777" w:rsidR="00EF7C06" w:rsidRDefault="00EF7C06" w:rsidP="00EF7C06">
      <w:pPr>
        <w:pStyle w:val="ListParagraph"/>
        <w:numPr>
          <w:ilvl w:val="1"/>
          <w:numId w:val="2"/>
        </w:numPr>
      </w:pPr>
      <w:r>
        <w:t>Federal: Joan Packenham (NIEHS), Micah Bass (CDC)</w:t>
      </w:r>
    </w:p>
    <w:p w14:paraId="276BFA55" w14:textId="04918D34" w:rsidR="00EF7C06" w:rsidRDefault="00EF7C06" w:rsidP="00EF7C06">
      <w:pPr>
        <w:pStyle w:val="ListParagraph"/>
        <w:numPr>
          <w:ilvl w:val="1"/>
          <w:numId w:val="2"/>
        </w:numPr>
      </w:pPr>
      <w:r>
        <w:t>State: Joni Koenig (CO)</w:t>
      </w:r>
    </w:p>
    <w:p w14:paraId="746F5E9A" w14:textId="4E31B910" w:rsidR="00EF7C06" w:rsidRDefault="00EF7C06" w:rsidP="00EF7C06">
      <w:pPr>
        <w:pStyle w:val="ListParagraph"/>
        <w:numPr>
          <w:ilvl w:val="1"/>
          <w:numId w:val="2"/>
        </w:numPr>
      </w:pPr>
      <w:r>
        <w:t>Academic: Joan Pettit (JHU)</w:t>
      </w:r>
    </w:p>
    <w:p w14:paraId="7E585DAD" w14:textId="1658A239" w:rsidR="002B4A05" w:rsidRDefault="002B4A05" w:rsidP="00EF7C06">
      <w:pPr>
        <w:pStyle w:val="ListParagraph"/>
        <w:numPr>
          <w:ilvl w:val="0"/>
          <w:numId w:val="2"/>
        </w:numPr>
      </w:pPr>
      <w:r>
        <w:t xml:space="preserve">Each of 4 panelists addresses the </w:t>
      </w:r>
      <w:r w:rsidR="00300736">
        <w:t>specified</w:t>
      </w:r>
      <w:r>
        <w:t xml:space="preserve"> topics (10 min each, 40 min total, Facilitator to keep time)</w:t>
      </w:r>
    </w:p>
    <w:p w14:paraId="04A90845" w14:textId="3D30E5DB" w:rsidR="002B4A05" w:rsidRDefault="002B4A05" w:rsidP="00EF7C06">
      <w:pPr>
        <w:pStyle w:val="ListParagraph"/>
        <w:numPr>
          <w:ilvl w:val="0"/>
          <w:numId w:val="2"/>
        </w:numPr>
      </w:pPr>
      <w:r>
        <w:t>Open Q&amp;A with Workshop attendees, 50min</w:t>
      </w:r>
    </w:p>
    <w:p w14:paraId="17EEC639" w14:textId="55CC36A1" w:rsidR="002B4A05" w:rsidRDefault="002B4A05" w:rsidP="00EF7C06">
      <w:pPr>
        <w:pStyle w:val="ListParagraph"/>
        <w:numPr>
          <w:ilvl w:val="0"/>
          <w:numId w:val="2"/>
        </w:numPr>
      </w:pPr>
      <w:r>
        <w:t xml:space="preserve">If questions are slow to come in, Facilitator to ask </w:t>
      </w:r>
      <w:r w:rsidR="00300736">
        <w:t>specified</w:t>
      </w:r>
      <w:r>
        <w:t xml:space="preserve"> questions</w:t>
      </w:r>
    </w:p>
    <w:p w14:paraId="70D4C464" w14:textId="24EC6BB9" w:rsidR="00300736" w:rsidRPr="00924768" w:rsidRDefault="00300736" w:rsidP="00E36C6F">
      <w:pPr>
        <w:pStyle w:val="Heading2"/>
      </w:pPr>
      <w:r w:rsidRPr="00924768">
        <w:t xml:space="preserve">Panelist </w:t>
      </w:r>
      <w:r w:rsidR="00D94485" w:rsidRPr="00924768">
        <w:t xml:space="preserve">opening discussion </w:t>
      </w:r>
      <w:r w:rsidRPr="00924768">
        <w:t>topics</w:t>
      </w:r>
    </w:p>
    <w:p w14:paraId="47A4DCDA" w14:textId="181127CF" w:rsidR="00D94485" w:rsidRDefault="002951AD" w:rsidP="002951AD">
      <w:pPr>
        <w:pStyle w:val="ListParagraph"/>
        <w:numPr>
          <w:ilvl w:val="0"/>
          <w:numId w:val="1"/>
        </w:numPr>
      </w:pPr>
      <w:r>
        <w:t xml:space="preserve">What does the IRB do in your </w:t>
      </w:r>
      <w:r w:rsidR="00A34676">
        <w:t>organization</w:t>
      </w:r>
      <w:r>
        <w:t>?</w:t>
      </w:r>
    </w:p>
    <w:p w14:paraId="12E0376B" w14:textId="6502E4BF" w:rsidR="002951AD" w:rsidRDefault="00D94485" w:rsidP="002951AD">
      <w:pPr>
        <w:pStyle w:val="ListParagraph"/>
        <w:numPr>
          <w:ilvl w:val="0"/>
          <w:numId w:val="1"/>
        </w:numPr>
      </w:pPr>
      <w:r>
        <w:t xml:space="preserve">How does your </w:t>
      </w:r>
      <w:r w:rsidR="00A34676">
        <w:t>organization</w:t>
      </w:r>
      <w:r>
        <w:t xml:space="preserve"> define “research” and how does it define “public health practice”? </w:t>
      </w:r>
    </w:p>
    <w:p w14:paraId="3EBAD1DF" w14:textId="2B17B722" w:rsidR="002951AD" w:rsidRDefault="00D94485" w:rsidP="002951AD">
      <w:pPr>
        <w:pStyle w:val="ListParagraph"/>
        <w:numPr>
          <w:ilvl w:val="0"/>
          <w:numId w:val="1"/>
        </w:numPr>
      </w:pPr>
      <w:r>
        <w:t>Does your IRB do determination of “non-research”?</w:t>
      </w:r>
    </w:p>
    <w:p w14:paraId="7D04503A" w14:textId="40142E51" w:rsidR="00D94485" w:rsidRDefault="00D94485" w:rsidP="002951AD">
      <w:pPr>
        <w:pStyle w:val="ListParagraph"/>
        <w:numPr>
          <w:ilvl w:val="0"/>
          <w:numId w:val="1"/>
        </w:numPr>
      </w:pPr>
      <w:r>
        <w:t>In your expertise, what are the IRB review triggers?</w:t>
      </w:r>
    </w:p>
    <w:p w14:paraId="3D31FC38" w14:textId="0CEC7805" w:rsidR="00300736" w:rsidRPr="00924768" w:rsidRDefault="00300736" w:rsidP="00E36C6F">
      <w:pPr>
        <w:pStyle w:val="Heading2"/>
      </w:pPr>
      <w:r w:rsidRPr="00924768">
        <w:t>Questions for the panelists</w:t>
      </w:r>
      <w:r w:rsidR="00D94485" w:rsidRPr="00924768">
        <w:t xml:space="preserve"> during the Q&amp;A</w:t>
      </w:r>
    </w:p>
    <w:p w14:paraId="0E0C9034" w14:textId="1ECC7EBB" w:rsidR="00D94485" w:rsidRDefault="00D94485" w:rsidP="00D94485">
      <w:pPr>
        <w:pStyle w:val="ListParagraph"/>
        <w:numPr>
          <w:ilvl w:val="0"/>
          <w:numId w:val="1"/>
        </w:numPr>
      </w:pPr>
      <w:r>
        <w:t xml:space="preserve">Is there a difference between “public health surveillance” and “public health practice”? </w:t>
      </w:r>
    </w:p>
    <w:p w14:paraId="31E0C38E" w14:textId="2C20C36D" w:rsidR="00D94485" w:rsidRDefault="00D94485" w:rsidP="00D94485">
      <w:pPr>
        <w:pStyle w:val="ListParagraph"/>
        <w:numPr>
          <w:ilvl w:val="0"/>
          <w:numId w:val="1"/>
        </w:numPr>
      </w:pPr>
      <w:r>
        <w:t>There is a wide variety of how states may define “public health surveillance” or “public health practice”. How does this impact local health jurisdictions and the work they do?</w:t>
      </w:r>
    </w:p>
    <w:p w14:paraId="345B1B7D" w14:textId="322CAE13" w:rsidR="00D94485" w:rsidRDefault="00D94485" w:rsidP="00D94485">
      <w:pPr>
        <w:pStyle w:val="ListParagraph"/>
        <w:numPr>
          <w:ilvl w:val="0"/>
          <w:numId w:val="1"/>
        </w:numPr>
      </w:pPr>
      <w:r>
        <w:t>What terminology do our workshop participants need to know and understand?</w:t>
      </w:r>
    </w:p>
    <w:p w14:paraId="00752FEE" w14:textId="00B4D4FA" w:rsidR="00D94485" w:rsidRDefault="00D94485" w:rsidP="00D94485">
      <w:pPr>
        <w:pStyle w:val="ListParagraph"/>
        <w:numPr>
          <w:ilvl w:val="0"/>
          <w:numId w:val="1"/>
        </w:numPr>
      </w:pPr>
      <w:r>
        <w:t>How do local jurisdictions best communicate “public health practice” to their IRBs if there is a requirement to go through an IRB process?</w:t>
      </w:r>
    </w:p>
    <w:p w14:paraId="445D718E" w14:textId="20B2FFD0" w:rsidR="00D94485" w:rsidRDefault="00D94485" w:rsidP="00D94485">
      <w:pPr>
        <w:pStyle w:val="ListParagraph"/>
        <w:numPr>
          <w:ilvl w:val="0"/>
          <w:numId w:val="1"/>
        </w:numPr>
      </w:pPr>
      <w:r>
        <w:t>Can you explain what the Common Rule is and what is the new “public health surveillance” exception to “research”?</w:t>
      </w:r>
    </w:p>
    <w:p w14:paraId="1A1E0FCE" w14:textId="0945A022" w:rsidR="00D94485" w:rsidRDefault="00D94485" w:rsidP="00D94485">
      <w:pPr>
        <w:pStyle w:val="ListParagraph"/>
        <w:numPr>
          <w:ilvl w:val="0"/>
          <w:numId w:val="1"/>
        </w:numPr>
      </w:pPr>
      <w:r>
        <w:t>In your opinion, what does a local health department need to know about IRB process?</w:t>
      </w:r>
      <w:r w:rsidR="00724BC1">
        <w:t xml:space="preserve"> How do they decide if they have to go through the IRB?</w:t>
      </w:r>
    </w:p>
    <w:p w14:paraId="4CFE8BBA" w14:textId="5D249015" w:rsidR="00D94485" w:rsidRDefault="00D94485" w:rsidP="00D94485">
      <w:pPr>
        <w:pStyle w:val="ListParagraph"/>
        <w:numPr>
          <w:ilvl w:val="0"/>
          <w:numId w:val="1"/>
        </w:numPr>
      </w:pPr>
      <w:r>
        <w:t>When local jurisdictions conduct rapid needs assessments during disaster response phase, they may not have the time to even consider IRB implications. Do you have any recommendations?</w:t>
      </w:r>
    </w:p>
    <w:p w14:paraId="19B28780" w14:textId="0163042D" w:rsidR="00D94485" w:rsidRDefault="00D94485" w:rsidP="00D94485">
      <w:pPr>
        <w:pStyle w:val="ListParagraph"/>
        <w:numPr>
          <w:ilvl w:val="0"/>
          <w:numId w:val="1"/>
        </w:numPr>
      </w:pPr>
      <w:r>
        <w:t xml:space="preserve">What is rapid </w:t>
      </w:r>
      <w:r w:rsidR="00724BC1">
        <w:t xml:space="preserve">or “pre-approval” </w:t>
      </w:r>
      <w:r>
        <w:t xml:space="preserve">IRB? </w:t>
      </w:r>
    </w:p>
    <w:p w14:paraId="4F783CFC" w14:textId="2E70B623" w:rsidR="00064861" w:rsidRDefault="00D94485" w:rsidP="00724BC1">
      <w:pPr>
        <w:pStyle w:val="ListParagraph"/>
        <w:numPr>
          <w:ilvl w:val="0"/>
          <w:numId w:val="1"/>
        </w:numPr>
      </w:pPr>
      <w:r>
        <w:t>What makes something a “disaster research project” vs a “public health practice” project?</w:t>
      </w:r>
    </w:p>
    <w:p w14:paraId="577C2537" w14:textId="305E9CB5" w:rsidR="0091400B" w:rsidRPr="00425DB5" w:rsidRDefault="0091400B" w:rsidP="00E36C6F">
      <w:pPr>
        <w:pStyle w:val="Heading2"/>
      </w:pPr>
      <w:r w:rsidRPr="00425DB5">
        <w:t xml:space="preserve">Facilitator role </w:t>
      </w:r>
    </w:p>
    <w:p w14:paraId="504B7101" w14:textId="65C9340F" w:rsidR="0091400B" w:rsidRDefault="0091400B" w:rsidP="00425DB5">
      <w:pPr>
        <w:pStyle w:val="ListParagraph"/>
        <w:numPr>
          <w:ilvl w:val="0"/>
          <w:numId w:val="6"/>
        </w:numPr>
      </w:pPr>
      <w:r>
        <w:t>Facilitate discussion with panelists</w:t>
      </w:r>
    </w:p>
    <w:p w14:paraId="72DF0D8B" w14:textId="036FB670" w:rsidR="0091400B" w:rsidRDefault="0091400B" w:rsidP="00425DB5">
      <w:pPr>
        <w:pStyle w:val="ListParagraph"/>
        <w:numPr>
          <w:ilvl w:val="0"/>
          <w:numId w:val="6"/>
        </w:numPr>
      </w:pPr>
      <w:r>
        <w:t xml:space="preserve">Facilitate Q&amp;A </w:t>
      </w:r>
    </w:p>
    <w:p w14:paraId="733C3238" w14:textId="77777777" w:rsidR="0091400B" w:rsidRDefault="0091400B" w:rsidP="00425DB5">
      <w:pPr>
        <w:pStyle w:val="ListParagraph"/>
        <w:numPr>
          <w:ilvl w:val="0"/>
          <w:numId w:val="6"/>
        </w:numPr>
      </w:pPr>
      <w:r>
        <w:t>Compile an IRB resources and references handout</w:t>
      </w:r>
    </w:p>
    <w:p w14:paraId="201149E1" w14:textId="56D2AF47" w:rsidR="0091400B" w:rsidRDefault="0091400B" w:rsidP="00425DB5">
      <w:pPr>
        <w:pStyle w:val="ListParagraph"/>
        <w:numPr>
          <w:ilvl w:val="0"/>
          <w:numId w:val="6"/>
        </w:numPr>
      </w:pPr>
      <w:r>
        <w:t>T</w:t>
      </w:r>
      <w:r>
        <w:t>ake exhaustive notes during the panel and include in this “reference” doc to share after the workshop</w:t>
      </w:r>
    </w:p>
    <w:p w14:paraId="67948249" w14:textId="77777777" w:rsidR="00425DB5" w:rsidRDefault="00425DB5">
      <w:pPr>
        <w:rPr>
          <w:i/>
          <w:iCs/>
        </w:rPr>
      </w:pPr>
      <w:r>
        <w:rPr>
          <w:i/>
          <w:iCs/>
        </w:rPr>
        <w:br w:type="page"/>
      </w:r>
    </w:p>
    <w:p w14:paraId="73F824EE" w14:textId="6076ECBF" w:rsidR="00425DB5" w:rsidRDefault="00425DB5" w:rsidP="00425DB5">
      <w:pPr>
        <w:pStyle w:val="Heading2"/>
      </w:pPr>
      <w:r>
        <w:lastRenderedPageBreak/>
        <w:t>Reference materials for the attendee handout</w:t>
      </w:r>
    </w:p>
    <w:p w14:paraId="2A60B4FD" w14:textId="77777777" w:rsidR="00425DB5" w:rsidRDefault="00425DB5" w:rsidP="0091400B">
      <w:pPr>
        <w:rPr>
          <w:i/>
          <w:iCs/>
        </w:rPr>
      </w:pPr>
    </w:p>
    <w:p w14:paraId="24281EFE" w14:textId="7397E275" w:rsidR="0091400B" w:rsidRDefault="0091400B" w:rsidP="0091400B">
      <w:r>
        <w:rPr>
          <w:i/>
          <w:iCs/>
        </w:rPr>
        <w:t xml:space="preserve">Materials from Micah (plus the </w:t>
      </w:r>
      <w:r w:rsidR="00425DB5">
        <w:rPr>
          <w:i/>
          <w:iCs/>
        </w:rPr>
        <w:t>guidance</w:t>
      </w:r>
      <w:r>
        <w:rPr>
          <w:i/>
          <w:iCs/>
        </w:rPr>
        <w:t xml:space="preserve"> from JHU</w:t>
      </w:r>
      <w:r w:rsidR="00425DB5">
        <w:rPr>
          <w:i/>
          <w:iCs/>
        </w:rPr>
        <w:t xml:space="preserve">, see </w:t>
      </w:r>
      <w:r w:rsidR="00B11135">
        <w:rPr>
          <w:i/>
          <w:iCs/>
        </w:rPr>
        <w:t>below</w:t>
      </w:r>
      <w:r>
        <w:rPr>
          <w:i/>
          <w:iCs/>
        </w:rPr>
        <w:t>)</w:t>
      </w:r>
      <w:r>
        <w:t>:</w:t>
      </w:r>
    </w:p>
    <w:p w14:paraId="6B1206D2" w14:textId="77777777" w:rsidR="0091400B" w:rsidRDefault="0091400B" w:rsidP="0091400B">
      <w:hyperlink r:id="rId7" w:history="1">
        <w:r>
          <w:rPr>
            <w:rStyle w:val="Hyperlink"/>
          </w:rPr>
          <w:t>OHRP’s Guidance Activities Deemed Not to Be Research: Public Health Surveillance 2018 Requirements</w:t>
        </w:r>
      </w:hyperlink>
      <w:r>
        <w:t xml:space="preserve"> (Published Draft) – Elaborates on the scope of what can be considered “public health surveillance” for purposes of 45 CFR 46.102(l)(2)</w:t>
      </w:r>
    </w:p>
    <w:p w14:paraId="6DF3DE36" w14:textId="77777777" w:rsidR="0091400B" w:rsidRDefault="0091400B" w:rsidP="0091400B">
      <w:hyperlink r:id="rId8" w:history="1">
        <w:r>
          <w:rPr>
            <w:rStyle w:val="Hyperlink"/>
          </w:rPr>
          <w:t>Interpretation of Public Health Authority and Public Health Surveillance Activities</w:t>
        </w:r>
      </w:hyperlink>
      <w:r>
        <w:t>,</w:t>
      </w:r>
    </w:p>
    <w:p w14:paraId="3FA0A312" w14:textId="77777777" w:rsidR="0091400B" w:rsidRDefault="0091400B" w:rsidP="0091400B">
      <w:r>
        <w:t>45 CFR Part 46.102(k), 46.102(l)(2) Secretary’s Advisory Committee on Human Research Protections, October 20, 2020</w:t>
      </w:r>
    </w:p>
    <w:p w14:paraId="109CC149" w14:textId="77777777" w:rsidR="0091400B" w:rsidRDefault="0091400B" w:rsidP="0091400B">
      <w:hyperlink r:id="rId9" w:history="1">
        <w:r>
          <w:rPr>
            <w:rStyle w:val="Hyperlink"/>
          </w:rPr>
          <w:t>https://www.hhs.gov/ohrp/sachrp-committee/recommendations/october-26-2020-letter-hhs-secretary.html</w:t>
        </w:r>
      </w:hyperlink>
    </w:p>
    <w:p w14:paraId="37D3FC19" w14:textId="77777777" w:rsidR="0091400B" w:rsidRDefault="0091400B" w:rsidP="0091400B">
      <w:r>
        <w:t xml:space="preserve">CDC’s Operational Policy </w:t>
      </w:r>
      <w:hyperlink r:id="rId10" w:history="1">
        <w:r>
          <w:rPr>
            <w:rStyle w:val="Hyperlink"/>
          </w:rPr>
          <w:t>DISTINGUISHING PUBLIC HEALTH RESEARCH AND PUBLIC HEALTH NONRESEARCH</w:t>
        </w:r>
      </w:hyperlink>
      <w:r>
        <w:t xml:space="preserve"> – which reflects CDC’s historical approach to determining when 45 CFR 46 applies; however, this guidance is subject to revision to reframe the guidance and expressly incorporate the public health surveillance exclusion.  </w:t>
      </w:r>
    </w:p>
    <w:p w14:paraId="3DF4498F" w14:textId="77777777" w:rsidR="0091400B" w:rsidRDefault="0091400B" w:rsidP="0091400B">
      <w:hyperlink r:id="rId11" w:history="1">
        <w:r>
          <w:rPr>
            <w:rStyle w:val="Hyperlink"/>
          </w:rPr>
          <w:t>CSTE Public Health Practice vs. Research A Report for Public Health Practitioners Including Cases and Guidance for Making Distinctions</w:t>
        </w:r>
      </w:hyperlink>
      <w:r>
        <w:t xml:space="preserve"> -published in 2004</w:t>
      </w:r>
    </w:p>
    <w:p w14:paraId="0100E866" w14:textId="77777777" w:rsidR="0091400B" w:rsidRDefault="0091400B" w:rsidP="0091400B">
      <w:pPr>
        <w:rPr>
          <w:i/>
          <w:iCs/>
        </w:rPr>
      </w:pPr>
      <w:r>
        <w:rPr>
          <w:i/>
          <w:iCs/>
        </w:rPr>
        <w:t>Materials from Alesha, which she got from CSTE IRB point of contact:</w:t>
      </w:r>
    </w:p>
    <w:p w14:paraId="1AE03985" w14:textId="77777777" w:rsidR="0091400B" w:rsidRDefault="0091400B" w:rsidP="0091400B">
      <w:r>
        <w:t xml:space="preserve">HHS: </w:t>
      </w:r>
      <w:hyperlink r:id="rId12" w:history="1">
        <w:r>
          <w:rPr>
            <w:rStyle w:val="Hyperlink"/>
          </w:rPr>
          <w:t>https://www.hhs.gov/ohrp/regulations-and-policy/requests-for-comments/draft-guidance-activities-deemed-not-be-research-public-health-surveillance/index.html</w:t>
        </w:r>
      </w:hyperlink>
    </w:p>
    <w:p w14:paraId="798C013A" w14:textId="5CB04E01" w:rsidR="0091400B" w:rsidRDefault="0091400B" w:rsidP="0091400B">
      <w:r>
        <w:t xml:space="preserve">Report: </w:t>
      </w:r>
      <w:hyperlink r:id="rId13" w:history="1">
        <w:r>
          <w:rPr>
            <w:rStyle w:val="Hyperlink"/>
          </w:rPr>
          <w:t>http://www.cste2.org/webpdfs/CSTEPHResRptHodgeFinal.5.24.04.pdf</w:t>
        </w:r>
      </w:hyperlink>
    </w:p>
    <w:p w14:paraId="71FFBCD4" w14:textId="40ED35C3" w:rsidR="0091400B" w:rsidRDefault="0091400B" w:rsidP="0091400B">
      <w:r w:rsidRPr="0091400B">
        <w:rPr>
          <w:i/>
          <w:iCs/>
        </w:rPr>
        <w:t>From JHU</w:t>
      </w:r>
      <w:r w:rsidR="000D2951">
        <w:rPr>
          <w:i/>
          <w:iCs/>
        </w:rPr>
        <w:t xml:space="preserve">, </w:t>
      </w:r>
      <w:r w:rsidR="00B11135">
        <w:rPr>
          <w:i/>
          <w:iCs/>
        </w:rPr>
        <w:t xml:space="preserve">Micah </w:t>
      </w:r>
      <w:r w:rsidR="000D2951">
        <w:rPr>
          <w:i/>
          <w:iCs/>
        </w:rPr>
        <w:t>sent to Svet as a Word attachment</w:t>
      </w:r>
      <w:r>
        <w:rPr>
          <w:i/>
          <w:iCs/>
        </w:rPr>
        <w:t xml:space="preserve">: </w:t>
      </w:r>
      <w:r w:rsidRPr="0091400B">
        <w:t>[</w:t>
      </w:r>
      <w:r w:rsidR="000D2951">
        <w:t xml:space="preserve">Svet comment – </w:t>
      </w:r>
      <w:r w:rsidRPr="0091400B">
        <w:t>wonder if this is available online?]</w:t>
      </w:r>
    </w:p>
    <w:p w14:paraId="4050F7A1" w14:textId="77777777" w:rsidR="00B11135" w:rsidRDefault="00B11135" w:rsidP="0091400B">
      <w:pPr>
        <w:jc w:val="center"/>
        <w:rPr>
          <w:b/>
        </w:rPr>
      </w:pPr>
    </w:p>
    <w:p w14:paraId="4A01BB8A" w14:textId="52D13E54" w:rsidR="0091400B" w:rsidRPr="000F1C9B" w:rsidRDefault="0091400B" w:rsidP="0091400B">
      <w:pPr>
        <w:jc w:val="center"/>
        <w:rPr>
          <w:b/>
        </w:rPr>
      </w:pPr>
      <w:r w:rsidRPr="000F1C9B">
        <w:rPr>
          <w:b/>
        </w:rPr>
        <w:t>Public Health Surveillance Activities:  Guidance for Investigators</w:t>
      </w:r>
    </w:p>
    <w:p w14:paraId="3F846A62" w14:textId="77777777" w:rsidR="0091400B" w:rsidRDefault="0091400B" w:rsidP="0091400B"/>
    <w:p w14:paraId="55F215DB" w14:textId="77777777" w:rsidR="0091400B" w:rsidRDefault="0091400B" w:rsidP="0091400B">
      <w:r>
        <w:t>The Revised Common Rule (RCR) promulgated by the U.S. Office of Human Research Protections (OHRP) explicitly deems “public health surveillance activities” not to be “research”, and thus not governed by the regulatory requirements of 45 CFR 46.  The reason for this determination is that DHHS “recognizes that the requirements of 45 CFR 46 should not impede a public health authority’s ability to accomplish its mandated mission to protect and maintain the health and welfare of the population(s) for which it is responsible.”</w:t>
      </w:r>
      <w:r>
        <w:rPr>
          <w:rStyle w:val="FootnoteReference"/>
        </w:rPr>
        <w:footnoteReference w:id="1"/>
      </w:r>
      <w:r>
        <w:t xml:space="preserve">  This principle applies to public health authorities in the U.S. (federal, state and local) and in other countries.</w:t>
      </w:r>
    </w:p>
    <w:p w14:paraId="433D4DBF" w14:textId="77777777" w:rsidR="0091400B" w:rsidRDefault="0091400B" w:rsidP="0091400B">
      <w:r>
        <w:t>Although the RCR does not define “public health surveillance”, it states that those activities include “the collection and testing of information or biospecimens, conducted, supported, requested, ordered, required, or authorized by a public health authority.”</w:t>
      </w:r>
      <w:r>
        <w:rPr>
          <w:rStyle w:val="FootnoteReference"/>
        </w:rPr>
        <w:footnoteReference w:id="2"/>
      </w:r>
      <w:r>
        <w:t xml:space="preserve">  The World Health Organization (WHO) Guidelines on Ethical Issues in Public Health Surveillance (2017) (WHO Guidelines) is a resource that may be helpful in outlining the kinds of activities that constitute “surveillance”.  WHO generally defines surveillance as “the continuous, systematic collection, analysis and interpretation of health-related data needed for the planning, implementation, and evaluation of public health practice.”</w:t>
      </w:r>
      <w:r>
        <w:rPr>
          <w:rStyle w:val="FootnoteReference"/>
        </w:rPr>
        <w:footnoteReference w:id="3"/>
      </w:r>
      <w:r>
        <w:t xml:space="preserve">   </w:t>
      </w:r>
    </w:p>
    <w:p w14:paraId="21DC7467" w14:textId="77777777" w:rsidR="0091400B" w:rsidRDefault="0091400B" w:rsidP="0091400B">
      <w:r>
        <w:t>Examples of such data include information about:</w:t>
      </w:r>
    </w:p>
    <w:p w14:paraId="216A48FE" w14:textId="77777777" w:rsidR="0091400B" w:rsidRDefault="0091400B" w:rsidP="0091400B">
      <w:pPr>
        <w:pStyle w:val="ListParagraph"/>
        <w:numPr>
          <w:ilvl w:val="0"/>
          <w:numId w:val="4"/>
        </w:numPr>
      </w:pPr>
      <w:r>
        <w:t>The spread and control of communicable diseases</w:t>
      </w:r>
    </w:p>
    <w:p w14:paraId="057F0D3F" w14:textId="77777777" w:rsidR="0091400B" w:rsidRDefault="0091400B" w:rsidP="0091400B">
      <w:pPr>
        <w:pStyle w:val="ListParagraph"/>
        <w:numPr>
          <w:ilvl w:val="0"/>
          <w:numId w:val="4"/>
        </w:numPr>
      </w:pPr>
      <w:r>
        <w:t>Injuries and conditions</w:t>
      </w:r>
    </w:p>
    <w:p w14:paraId="762BDC9C" w14:textId="77777777" w:rsidR="0091400B" w:rsidRDefault="0091400B" w:rsidP="0091400B">
      <w:pPr>
        <w:pStyle w:val="ListParagraph"/>
        <w:numPr>
          <w:ilvl w:val="0"/>
          <w:numId w:val="4"/>
        </w:numPr>
      </w:pPr>
      <w:r>
        <w:lastRenderedPageBreak/>
        <w:t>Population vital statistics</w:t>
      </w:r>
    </w:p>
    <w:p w14:paraId="0BBB4BC1" w14:textId="77777777" w:rsidR="0091400B" w:rsidRDefault="0091400B" w:rsidP="0091400B">
      <w:pPr>
        <w:pStyle w:val="ListParagraph"/>
        <w:numPr>
          <w:ilvl w:val="0"/>
          <w:numId w:val="4"/>
        </w:numPr>
      </w:pPr>
      <w:r>
        <w:t>Tracking of health risk factors and outcomes</w:t>
      </w:r>
    </w:p>
    <w:p w14:paraId="2B55E0FD" w14:textId="77777777" w:rsidR="0091400B" w:rsidRDefault="0091400B" w:rsidP="0091400B">
      <w:pPr>
        <w:pStyle w:val="ListParagraph"/>
        <w:numPr>
          <w:ilvl w:val="0"/>
          <w:numId w:val="4"/>
        </w:numPr>
      </w:pPr>
      <w:r>
        <w:t xml:space="preserve">Monitoring of environmental hazards and conditions that threaten access to safe workplaces and housing, and clean air, water, and uncontaminated food sources. </w:t>
      </w:r>
    </w:p>
    <w:p w14:paraId="18A51464" w14:textId="77777777" w:rsidR="0091400B" w:rsidRDefault="0091400B" w:rsidP="0091400B">
      <w:r>
        <w:t xml:space="preserve">To be considered a public health surveillance activity, these data must be collected, shared and used for health-related policy making, advocacy, and to prepare system responses to new threats.  </w:t>
      </w:r>
    </w:p>
    <w:p w14:paraId="100C08F0" w14:textId="77777777" w:rsidR="0091400B" w:rsidRDefault="0091400B" w:rsidP="0091400B">
      <w:r>
        <w:t>The Office of Human Research Protections (OHRP) issued draft guidance to assist researchers and Institutional Review Boards (IRBs) in determining whether a planned activity constitutes a public health surveillance activity.  The Guidance provides that “[p]ublic heath surveillance uses information and biospecimens from a variety of sources, including mandatory reporting of certain conditions, routine monitoring, vital records, medical records, medical billing records, clinical specimens, and public health investigations.  Further, it often uses the same analytical and laboratory techniques as epidemiological research.”</w:t>
      </w:r>
      <w:r>
        <w:rPr>
          <w:rStyle w:val="FootnoteReference"/>
        </w:rPr>
        <w:footnoteReference w:id="4"/>
      </w:r>
      <w:r>
        <w:t xml:space="preserve">  </w:t>
      </w:r>
    </w:p>
    <w:p w14:paraId="38BF930A" w14:textId="77777777" w:rsidR="0091400B" w:rsidRDefault="0091400B" w:rsidP="0091400B">
      <w:r>
        <w:t xml:space="preserve">The Guidance notes that the principal difference between surveillance and research is one of </w:t>
      </w:r>
      <w:r w:rsidRPr="000F1C9B">
        <w:rPr>
          <w:u w:val="single"/>
        </w:rPr>
        <w:t>purpose</w:t>
      </w:r>
      <w:r>
        <w:t xml:space="preserve">; for surveillance, it is “to inform the decisions or actions that must be made by a public health authority.” </w:t>
      </w:r>
    </w:p>
    <w:p w14:paraId="2878B4C9" w14:textId="77777777" w:rsidR="0091400B" w:rsidRDefault="0091400B" w:rsidP="0091400B">
      <w:r>
        <w:t>There are limits to the kinds of surveillance activities that will be deemed not to be “human subjects research”:  the activities must be those necessary to allow a public health authority to identify, monitor, assess, or investigate potential public health signals, onset of disease outbreaks, or conditions of public health importance.”</w:t>
      </w:r>
    </w:p>
    <w:p w14:paraId="39BC47CE" w14:textId="77777777" w:rsidR="0091400B" w:rsidRDefault="0091400B" w:rsidP="0091400B">
      <w:r>
        <w:t>At Johns Hopkins University, the IRB will make the determination of whether an activity constitutes a public health surveillance activity because, as the OHRP guidance acknowledges, “the line between public health surveillance activities and research activities can be difficult to draw.”  If the JHU IRB makes a “public health surveillance/not research” determination, it may also advise the investigator to adhere to relevant ethical guidelines for the conduct of the surveillance activity (such as the WHO Guidelines).</w:t>
      </w:r>
    </w:p>
    <w:p w14:paraId="071B79F0" w14:textId="77777777" w:rsidR="0091400B" w:rsidRDefault="0091400B" w:rsidP="0091400B">
      <w:r>
        <w:t xml:space="preserve"> The IRBs will ask investigators for information to determine whether the activity qualifies as a public health surveillance activity. This may include: </w:t>
      </w:r>
    </w:p>
    <w:p w14:paraId="4421A655" w14:textId="77777777" w:rsidR="0091400B" w:rsidRPr="00273C8F" w:rsidRDefault="0091400B" w:rsidP="0091400B">
      <w:pPr>
        <w:pStyle w:val="ListParagraph"/>
        <w:numPr>
          <w:ilvl w:val="0"/>
          <w:numId w:val="5"/>
        </w:numPr>
        <w:rPr>
          <w:i/>
        </w:rPr>
      </w:pPr>
      <w:r>
        <w:t>Whether the activity</w:t>
      </w:r>
      <w:r w:rsidRPr="000F1C9B">
        <w:t xml:space="preserve"> is</w:t>
      </w:r>
      <w:r>
        <w:rPr>
          <w:u w:val="single"/>
        </w:rPr>
        <w:t xml:space="preserve"> </w:t>
      </w:r>
      <w:r w:rsidRPr="00CA1606">
        <w:rPr>
          <w:u w:val="single"/>
        </w:rPr>
        <w:t>necessary</w:t>
      </w:r>
      <w:r>
        <w:t xml:space="preserve"> to allow a public health authority to identify, monitor, assess, or investigate potential public health signals, onset of disease outbreaks, or conditions of public health importance. </w:t>
      </w:r>
      <w:r w:rsidRPr="00273C8F">
        <w:rPr>
          <w:i/>
        </w:rPr>
        <w:t>(Note:  It is unlikely that an activity meeting the definition of “clinical trial” would fall into this category.)</w:t>
      </w:r>
    </w:p>
    <w:p w14:paraId="59F6E2EB" w14:textId="77777777" w:rsidR="0091400B" w:rsidRDefault="0091400B" w:rsidP="0091400B">
      <w:pPr>
        <w:pStyle w:val="ListParagraph"/>
        <w:numPr>
          <w:ilvl w:val="0"/>
          <w:numId w:val="3"/>
        </w:numPr>
      </w:pPr>
      <w:r w:rsidRPr="000F1C9B">
        <w:t xml:space="preserve">Whether </w:t>
      </w:r>
      <w:r w:rsidRPr="00EF2DBD">
        <w:t xml:space="preserve">there a </w:t>
      </w:r>
      <w:r w:rsidRPr="000F1C9B">
        <w:rPr>
          <w:b/>
        </w:rPr>
        <w:t>direct link</w:t>
      </w:r>
      <w:r w:rsidRPr="00EF2DBD">
        <w:t xml:space="preserve"> between the surveillance activity and the decision-making and action by a public health authority</w:t>
      </w:r>
      <w:r>
        <w:t>.</w:t>
      </w:r>
    </w:p>
    <w:p w14:paraId="6F6C3B9E" w14:textId="77777777" w:rsidR="0091400B" w:rsidRDefault="0091400B" w:rsidP="0091400B">
      <w:pPr>
        <w:pStyle w:val="ListParagraph"/>
        <w:numPr>
          <w:ilvl w:val="0"/>
          <w:numId w:val="3"/>
        </w:numPr>
      </w:pPr>
      <w:r>
        <w:t xml:space="preserve">Whether the activity will be </w:t>
      </w:r>
      <w:r w:rsidRPr="000F1C9B">
        <w:rPr>
          <w:b/>
        </w:rPr>
        <w:t>conducted by</w:t>
      </w:r>
      <w:r>
        <w:t xml:space="preserve"> a public health authority [e.g. the public health authority will participate directly in the collection, testing, analysis or use of the information/biospecimens]</w:t>
      </w:r>
    </w:p>
    <w:p w14:paraId="26380BF8" w14:textId="77777777" w:rsidR="0091400B" w:rsidRDefault="0091400B" w:rsidP="0091400B">
      <w:pPr>
        <w:pStyle w:val="ListParagraph"/>
        <w:numPr>
          <w:ilvl w:val="0"/>
          <w:numId w:val="3"/>
        </w:numPr>
      </w:pPr>
      <w:r>
        <w:t>Whether the activity will be supported by a public health authority [e.g. through a grant or contract]</w:t>
      </w:r>
    </w:p>
    <w:p w14:paraId="4F2FEE67" w14:textId="77777777" w:rsidR="0091400B" w:rsidRPr="00EF2DBD" w:rsidRDefault="0091400B" w:rsidP="0091400B">
      <w:pPr>
        <w:pStyle w:val="ListParagraph"/>
        <w:numPr>
          <w:ilvl w:val="0"/>
          <w:numId w:val="3"/>
        </w:numPr>
      </w:pPr>
      <w:r>
        <w:t xml:space="preserve">Confirmation that the relevant public health authority </w:t>
      </w:r>
      <w:r w:rsidRPr="00EF2DBD">
        <w:t>is responsible for public health matters as part of its official mandate</w:t>
      </w:r>
    </w:p>
    <w:p w14:paraId="7CD9BFEE" w14:textId="77777777" w:rsidR="0091400B" w:rsidRDefault="0091400B" w:rsidP="0091400B">
      <w:pPr>
        <w:pStyle w:val="ListParagraph"/>
      </w:pPr>
    </w:p>
    <w:p w14:paraId="48A4F77C" w14:textId="77777777" w:rsidR="0091400B" w:rsidRPr="001C76FB" w:rsidRDefault="0091400B" w:rsidP="0091400B">
      <w:pPr>
        <w:jc w:val="center"/>
        <w:rPr>
          <w:rFonts w:cstheme="minorHAnsi"/>
          <w:b/>
          <w:u w:val="single"/>
        </w:rPr>
      </w:pPr>
      <w:r w:rsidRPr="001C76FB">
        <w:rPr>
          <w:rFonts w:cstheme="minorHAnsi"/>
          <w:b/>
          <w:u w:val="single"/>
        </w:rPr>
        <w:t>Definitions</w:t>
      </w:r>
      <w:r w:rsidRPr="001C76FB">
        <w:rPr>
          <w:rFonts w:cstheme="minorHAnsi"/>
          <w:b/>
          <w:u w:val="single"/>
          <w:vertAlign w:val="superscript"/>
        </w:rPr>
        <w:t xml:space="preserve"> </w:t>
      </w:r>
      <w:r w:rsidRPr="001C76FB">
        <w:rPr>
          <w:rFonts w:cstheme="minorHAnsi"/>
          <w:b/>
          <w:u w:val="single"/>
        </w:rPr>
        <w:t>from the 2018 OHRP Guidance</w:t>
      </w:r>
    </w:p>
    <w:p w14:paraId="7BB72AC8" w14:textId="77777777" w:rsidR="0091400B" w:rsidRPr="00FC0D0A" w:rsidRDefault="0091400B" w:rsidP="0091400B">
      <w:pPr>
        <w:rPr>
          <w:rFonts w:cstheme="minorHAnsi"/>
          <w:color w:val="000000"/>
          <w:lang w:val="en"/>
        </w:rPr>
      </w:pPr>
      <w:r w:rsidRPr="00235982">
        <w:rPr>
          <w:rFonts w:cstheme="minorHAnsi"/>
          <w:b/>
        </w:rPr>
        <w:t>Public Health Authority</w:t>
      </w:r>
      <w:r w:rsidRPr="00FC0D0A">
        <w:rPr>
          <w:rFonts w:cstheme="minorHAnsi"/>
        </w:rPr>
        <w:t xml:space="preserve">:  An agency or authority of the United States, a state, a territory, a political subdivision of a state or territory, an Indian tribe, a foreign government, or a person or entity acting under a grant </w:t>
      </w:r>
      <w:r w:rsidRPr="00235982">
        <w:rPr>
          <w:rFonts w:cstheme="minorHAnsi"/>
          <w:color w:val="000000"/>
          <w:lang w:val="en"/>
        </w:rPr>
        <w:t>authority from or contract with such public agency, including the employees or agents of such public agency or its contractors or persons or entities to whom it has granted authority, that is responsible for public health matters as part of its official mandate</w:t>
      </w:r>
      <w:r w:rsidRPr="00FC0D0A">
        <w:rPr>
          <w:rFonts w:cstheme="minorHAnsi"/>
          <w:color w:val="000000"/>
          <w:lang w:val="en"/>
        </w:rPr>
        <w:t xml:space="preserve">. </w:t>
      </w:r>
    </w:p>
    <w:p w14:paraId="3CF13996" w14:textId="77777777" w:rsidR="0091400B" w:rsidRPr="00FC0D0A" w:rsidRDefault="0091400B" w:rsidP="0091400B">
      <w:pPr>
        <w:rPr>
          <w:rFonts w:cstheme="minorHAnsi"/>
          <w:color w:val="000000"/>
          <w:lang w:val="en"/>
        </w:rPr>
      </w:pPr>
      <w:r w:rsidRPr="00235982">
        <w:rPr>
          <w:rFonts w:cstheme="minorHAnsi"/>
          <w:color w:val="000000"/>
          <w:lang w:val="en"/>
        </w:rPr>
        <w:t xml:space="preserve">Please Note: The definition of a “public health authority” requires that an agency’s official mandate include the responsibility for public health matters. The mandate can be responsibility for public health matters, generally, or it can </w:t>
      </w:r>
      <w:r w:rsidRPr="00235982">
        <w:rPr>
          <w:rFonts w:cstheme="minorHAnsi"/>
          <w:color w:val="000000"/>
          <w:lang w:val="en"/>
        </w:rPr>
        <w:lastRenderedPageBreak/>
        <w:t>be for specific public health programs. Furthermore, an agency’s official mandate does not have to be exclusively or primarily for public health. Therefore, to the extent a government agency is responsible for public health matters as part of its official mandate, OHRP considers that, for purposes of this guidance, it qualifies as a public health authority.</w:t>
      </w:r>
    </w:p>
    <w:p w14:paraId="0D3AFDF2" w14:textId="77777777" w:rsidR="0091400B" w:rsidRPr="00235982" w:rsidRDefault="0091400B" w:rsidP="0091400B">
      <w:pPr>
        <w:rPr>
          <w:rFonts w:cstheme="minorHAnsi"/>
          <w:b/>
          <w:color w:val="000000"/>
          <w:lang w:val="en"/>
        </w:rPr>
      </w:pPr>
      <w:r w:rsidRPr="00235982">
        <w:rPr>
          <w:rFonts w:cstheme="minorHAnsi"/>
          <w:b/>
          <w:color w:val="000000"/>
          <w:lang w:val="en"/>
        </w:rPr>
        <w:t>Public Health Surveillance Activity:</w:t>
      </w:r>
    </w:p>
    <w:p w14:paraId="2B2CE736" w14:textId="77777777" w:rsidR="0091400B" w:rsidRPr="00FC0D0A" w:rsidRDefault="0091400B" w:rsidP="0091400B">
      <w:pPr>
        <w:rPr>
          <w:rFonts w:cstheme="minorHAnsi"/>
          <w:color w:val="000000"/>
          <w:lang w:val="en"/>
        </w:rPr>
      </w:pPr>
      <w:r w:rsidRPr="00FC0D0A">
        <w:rPr>
          <w:rFonts w:cstheme="minorHAnsi"/>
          <w:color w:val="000000"/>
          <w:lang w:val="en"/>
        </w:rPr>
        <w:t xml:space="preserve">There is no formal regulatory definition for public health surveillance activities. </w:t>
      </w:r>
    </w:p>
    <w:p w14:paraId="74AEC23A" w14:textId="77777777" w:rsidR="0091400B" w:rsidRPr="00235982" w:rsidRDefault="0091400B" w:rsidP="0091400B">
      <w:pPr>
        <w:pStyle w:val="NormalWeb"/>
        <w:shd w:val="clear" w:color="auto" w:fill="FFFFFF"/>
        <w:rPr>
          <w:rFonts w:asciiTheme="minorHAnsi" w:hAnsiTheme="minorHAnsi" w:cstheme="minorHAnsi"/>
          <w:color w:val="000000"/>
          <w:sz w:val="22"/>
          <w:szCs w:val="22"/>
          <w:lang w:val="en"/>
        </w:rPr>
      </w:pPr>
      <w:r w:rsidRPr="00235982">
        <w:rPr>
          <w:rFonts w:asciiTheme="minorHAnsi" w:hAnsiTheme="minorHAnsi" w:cstheme="minorHAnsi"/>
          <w:color w:val="000000"/>
          <w:sz w:val="22"/>
          <w:szCs w:val="22"/>
          <w:lang w:val="en"/>
        </w:rPr>
        <w:t>In general, public health surveillance involves collecting, testing, analyzing, and using information or biospecimens to improve public health and prevent disease. It provides timely and useful evidence, and it enables public health authorities to be more effective in their efforts to protect and promote public health. Thus, public health surveillance is an important element of public health practice.</w:t>
      </w:r>
    </w:p>
    <w:p w14:paraId="6F5E3370" w14:textId="77777777" w:rsidR="0091400B" w:rsidRPr="00235982" w:rsidRDefault="0091400B" w:rsidP="0091400B">
      <w:pPr>
        <w:pStyle w:val="NormalWeb"/>
        <w:shd w:val="clear" w:color="auto" w:fill="FFFFFF"/>
        <w:rPr>
          <w:rFonts w:asciiTheme="minorHAnsi" w:hAnsiTheme="minorHAnsi" w:cstheme="minorHAnsi"/>
          <w:color w:val="000000"/>
          <w:sz w:val="22"/>
          <w:szCs w:val="22"/>
          <w:lang w:val="en"/>
        </w:rPr>
      </w:pPr>
      <w:r w:rsidRPr="00235982">
        <w:rPr>
          <w:rFonts w:asciiTheme="minorHAnsi" w:hAnsiTheme="minorHAnsi" w:cstheme="minorHAnsi"/>
          <w:color w:val="000000"/>
          <w:sz w:val="22"/>
          <w:szCs w:val="22"/>
          <w:lang w:val="en"/>
        </w:rPr>
        <w:t xml:space="preserve">Public health surveillance uses information and biospecimens from a variety of sources, including mandatory reporting of certain conditions, routine monitoring, vital records, medical records, medical billing records, clinical specimens, and public health investigations. Further, it often uses the same analytical and laboratory techniques as epidemiological research. </w:t>
      </w:r>
      <w:r w:rsidRPr="00235982">
        <w:rPr>
          <w:rFonts w:asciiTheme="minorHAnsi" w:hAnsiTheme="minorHAnsi" w:cstheme="minorHAnsi"/>
          <w:b/>
          <w:color w:val="000000"/>
          <w:sz w:val="22"/>
          <w:szCs w:val="22"/>
          <w:lang w:val="en"/>
        </w:rPr>
        <w:t>However, the difference between public health surveillance and research in this context is that the purpose of the surveillance is to inform the decisions or actions that must be made by a public health authority.</w:t>
      </w:r>
    </w:p>
    <w:p w14:paraId="0BE84002" w14:textId="77777777" w:rsidR="0091400B" w:rsidRPr="00235982" w:rsidRDefault="0091400B" w:rsidP="0091400B">
      <w:pPr>
        <w:pStyle w:val="NormalWeb"/>
        <w:shd w:val="clear" w:color="auto" w:fill="FFFFFF"/>
        <w:rPr>
          <w:rFonts w:asciiTheme="minorHAnsi" w:hAnsiTheme="minorHAnsi" w:cstheme="minorHAnsi"/>
          <w:color w:val="000000"/>
          <w:sz w:val="22"/>
          <w:szCs w:val="22"/>
          <w:lang w:val="en"/>
        </w:rPr>
      </w:pPr>
      <w:r w:rsidRPr="00235982">
        <w:rPr>
          <w:rFonts w:asciiTheme="minorHAnsi" w:hAnsiTheme="minorHAnsi" w:cstheme="minorHAnsi"/>
          <w:color w:val="000000"/>
          <w:sz w:val="22"/>
          <w:szCs w:val="22"/>
          <w:lang w:val="en"/>
        </w:rPr>
        <w:t>The direct link to decision making and action by a public health authority is a hallmark of public health surveillance. In the context of public health surveillance, the collection, management, analysis, and interpretation of surveillance information or biospecimens is designed to inform a public health authority, and generally is followed by public health action or by the dissemination of information to public health programs and others to stimulate public health action.</w:t>
      </w:r>
    </w:p>
    <w:p w14:paraId="67EC4AFD" w14:textId="77777777" w:rsidR="0091400B" w:rsidRPr="00FC0D0A" w:rsidRDefault="0091400B" w:rsidP="0091400B">
      <w:pPr>
        <w:pStyle w:val="NormalWeb"/>
        <w:shd w:val="clear" w:color="auto" w:fill="FFFFFF"/>
        <w:rPr>
          <w:rFonts w:asciiTheme="minorHAnsi" w:hAnsiTheme="minorHAnsi"/>
          <w:sz w:val="22"/>
          <w:szCs w:val="22"/>
        </w:rPr>
      </w:pPr>
      <w:r w:rsidRPr="00235982">
        <w:rPr>
          <w:rFonts w:asciiTheme="minorHAnsi" w:hAnsiTheme="minorHAnsi" w:cstheme="minorHAnsi"/>
          <w:color w:val="000000"/>
          <w:sz w:val="22"/>
          <w:szCs w:val="22"/>
          <w:lang w:val="en"/>
        </w:rPr>
        <w:t>Surveillance activities that are not undertaken for the purpose of directly informing public health decision making or action generally will not be considered public health surveillance, even if they might be considered surveillance for other purposes</w:t>
      </w:r>
    </w:p>
    <w:p w14:paraId="6F05C9F0" w14:textId="77777777" w:rsidR="0091400B" w:rsidRPr="00235982" w:rsidRDefault="0091400B" w:rsidP="0091400B">
      <w:pPr>
        <w:rPr>
          <w:rFonts w:cstheme="minorHAnsi"/>
          <w:b/>
        </w:rPr>
      </w:pPr>
      <w:r w:rsidRPr="00235982">
        <w:rPr>
          <w:rFonts w:cstheme="minorHAnsi"/>
          <w:b/>
        </w:rPr>
        <w:t xml:space="preserve">Conducted by a Public Health Authority: </w:t>
      </w:r>
    </w:p>
    <w:p w14:paraId="4C20E9F5" w14:textId="77777777" w:rsidR="0091400B" w:rsidRPr="00235982" w:rsidRDefault="0091400B" w:rsidP="0091400B">
      <w:pPr>
        <w:pStyle w:val="NormalWeb"/>
        <w:shd w:val="clear" w:color="auto" w:fill="FFFFFF"/>
        <w:rPr>
          <w:rFonts w:asciiTheme="minorHAnsi" w:hAnsiTheme="minorHAnsi" w:cstheme="minorHAnsi"/>
          <w:color w:val="000000"/>
          <w:sz w:val="22"/>
          <w:szCs w:val="22"/>
          <w:lang w:val="en"/>
        </w:rPr>
      </w:pPr>
      <w:r w:rsidRPr="00235982">
        <w:rPr>
          <w:rFonts w:asciiTheme="minorHAnsi" w:hAnsiTheme="minorHAnsi" w:cstheme="minorHAnsi"/>
          <w:color w:val="000000"/>
          <w:sz w:val="22"/>
          <w:szCs w:val="22"/>
          <w:lang w:val="en"/>
        </w:rPr>
        <w:t>An activity is “conducted” by a public health authority when the public health authority participates directly in the collection, testing, analysis, or use of the information or biospecimens, or funds these uses through a contract.</w:t>
      </w:r>
    </w:p>
    <w:p w14:paraId="25BC39E4" w14:textId="77777777" w:rsidR="0091400B" w:rsidRPr="00235982" w:rsidRDefault="0091400B" w:rsidP="0091400B">
      <w:pPr>
        <w:pStyle w:val="NormalWeb"/>
        <w:shd w:val="clear" w:color="auto" w:fill="FFFFFF"/>
        <w:rPr>
          <w:rFonts w:asciiTheme="minorHAnsi" w:hAnsiTheme="minorHAnsi" w:cstheme="minorHAnsi"/>
          <w:b/>
          <w:color w:val="000000"/>
          <w:sz w:val="22"/>
          <w:szCs w:val="22"/>
          <w:lang w:val="en"/>
        </w:rPr>
      </w:pPr>
      <w:r w:rsidRPr="00235982">
        <w:rPr>
          <w:rFonts w:asciiTheme="minorHAnsi" w:hAnsiTheme="minorHAnsi" w:cstheme="minorHAnsi"/>
          <w:b/>
          <w:color w:val="000000"/>
          <w:sz w:val="22"/>
          <w:szCs w:val="22"/>
          <w:lang w:val="en"/>
        </w:rPr>
        <w:t>Supported by a Public Health Authority:</w:t>
      </w:r>
    </w:p>
    <w:p w14:paraId="4105AA28" w14:textId="77777777" w:rsidR="0091400B" w:rsidRPr="00235982" w:rsidRDefault="0091400B" w:rsidP="0091400B">
      <w:pPr>
        <w:pStyle w:val="NormalWeb"/>
        <w:shd w:val="clear" w:color="auto" w:fill="FFFFFF"/>
        <w:rPr>
          <w:rFonts w:asciiTheme="minorHAnsi" w:hAnsiTheme="minorHAnsi" w:cstheme="minorHAnsi"/>
          <w:color w:val="000000"/>
          <w:sz w:val="22"/>
          <w:szCs w:val="22"/>
          <w:lang w:val="en"/>
        </w:rPr>
      </w:pPr>
      <w:r w:rsidRPr="00235982">
        <w:rPr>
          <w:rFonts w:asciiTheme="minorHAnsi" w:hAnsiTheme="minorHAnsi" w:cstheme="minorHAnsi"/>
          <w:color w:val="000000"/>
          <w:sz w:val="22"/>
          <w:szCs w:val="22"/>
          <w:lang w:val="en"/>
        </w:rPr>
        <w:t>An activity is supported by a public health authority when the activity is funded through a grant or cooperative agreement. Activities that are requested, ordered, required, or authorized by a public health authority also may be considered to be “supported by a Public Health Authority”, even if they are carried out by an entity that is not a public health authority (e.g., academic institutions, health care organizations, nonprofit entities).</w:t>
      </w:r>
    </w:p>
    <w:p w14:paraId="115DA191" w14:textId="77777777" w:rsidR="0091400B" w:rsidRDefault="0091400B" w:rsidP="0091400B">
      <w:pPr>
        <w:pStyle w:val="ListParagraph"/>
      </w:pPr>
    </w:p>
    <w:p w14:paraId="500BF3C5" w14:textId="77777777" w:rsidR="0091400B" w:rsidRDefault="0091400B" w:rsidP="0091400B">
      <w:pPr>
        <w:pStyle w:val="ListParagraph"/>
      </w:pPr>
    </w:p>
    <w:p w14:paraId="759399F7" w14:textId="77777777" w:rsidR="0091400B" w:rsidRPr="004512F8" w:rsidRDefault="0091400B" w:rsidP="0091400B">
      <w:pPr>
        <w:pStyle w:val="ListParagraph"/>
      </w:pPr>
    </w:p>
    <w:p w14:paraId="505E75AA" w14:textId="77777777" w:rsidR="0091400B" w:rsidRDefault="0091400B" w:rsidP="0091400B"/>
    <w:p w14:paraId="0B18009A" w14:textId="77777777" w:rsidR="0091400B" w:rsidRDefault="0091400B" w:rsidP="0091400B"/>
    <w:p w14:paraId="28EBE11D" w14:textId="77777777" w:rsidR="0091400B" w:rsidRDefault="0091400B" w:rsidP="0091400B"/>
    <w:sectPr w:rsidR="0091400B" w:rsidSect="00FC70BD">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0C3739" w14:textId="77777777" w:rsidR="0091400B" w:rsidRDefault="0091400B" w:rsidP="0091400B">
      <w:pPr>
        <w:spacing w:after="0" w:line="240" w:lineRule="auto"/>
      </w:pPr>
      <w:r>
        <w:separator/>
      </w:r>
    </w:p>
  </w:endnote>
  <w:endnote w:type="continuationSeparator" w:id="0">
    <w:p w14:paraId="23DC003C" w14:textId="77777777" w:rsidR="0091400B" w:rsidRDefault="0091400B" w:rsidP="009140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C07F07" w14:textId="77777777" w:rsidR="0091400B" w:rsidRDefault="0091400B" w:rsidP="0091400B">
      <w:pPr>
        <w:spacing w:after="0" w:line="240" w:lineRule="auto"/>
      </w:pPr>
      <w:r>
        <w:separator/>
      </w:r>
    </w:p>
  </w:footnote>
  <w:footnote w:type="continuationSeparator" w:id="0">
    <w:p w14:paraId="215D3F7A" w14:textId="77777777" w:rsidR="0091400B" w:rsidRDefault="0091400B" w:rsidP="0091400B">
      <w:pPr>
        <w:spacing w:after="0" w:line="240" w:lineRule="auto"/>
      </w:pPr>
      <w:r>
        <w:continuationSeparator/>
      </w:r>
    </w:p>
  </w:footnote>
  <w:footnote w:id="1">
    <w:p w14:paraId="3A868AEC" w14:textId="77777777" w:rsidR="0091400B" w:rsidRDefault="0091400B" w:rsidP="0091400B">
      <w:pPr>
        <w:pStyle w:val="FootnoteText"/>
      </w:pPr>
      <w:r>
        <w:rPr>
          <w:rStyle w:val="FootnoteReference"/>
        </w:rPr>
        <w:footnoteRef/>
      </w:r>
      <w:r>
        <w:t xml:space="preserve"> </w:t>
      </w:r>
      <w:hyperlink r:id="rId1" w:history="1">
        <w:r w:rsidRPr="00F10940">
          <w:rPr>
            <w:rStyle w:val="Hyperlink"/>
          </w:rPr>
          <w:t>https://www.hhs.gov/ohrp/draft-guidance-public-health-surveillance-activities.html</w:t>
        </w:r>
      </w:hyperlink>
    </w:p>
  </w:footnote>
  <w:footnote w:id="2">
    <w:p w14:paraId="568C52AE" w14:textId="77777777" w:rsidR="0091400B" w:rsidRDefault="0091400B" w:rsidP="0091400B">
      <w:pPr>
        <w:pStyle w:val="FootnoteText"/>
      </w:pPr>
      <w:r>
        <w:rPr>
          <w:rStyle w:val="FootnoteReference"/>
        </w:rPr>
        <w:footnoteRef/>
      </w:r>
      <w:r>
        <w:t xml:space="preserve"> </w:t>
      </w:r>
      <w:hyperlink r:id="rId2" w:history="1">
        <w:r w:rsidRPr="00F10940">
          <w:rPr>
            <w:rStyle w:val="Hyperlink"/>
          </w:rPr>
          <w:t>https://www.hhs.gov/ohrp/draft-guidance-public-health-surveillance-activities.html</w:t>
        </w:r>
      </w:hyperlink>
    </w:p>
  </w:footnote>
  <w:footnote w:id="3">
    <w:p w14:paraId="604CB9F8" w14:textId="77777777" w:rsidR="0091400B" w:rsidRDefault="0091400B" w:rsidP="0091400B">
      <w:pPr>
        <w:pStyle w:val="FootnoteText"/>
      </w:pPr>
      <w:r>
        <w:rPr>
          <w:rStyle w:val="FootnoteReference"/>
        </w:rPr>
        <w:footnoteRef/>
      </w:r>
      <w:r>
        <w:t xml:space="preserve"> </w:t>
      </w:r>
      <w:hyperlink r:id="rId3" w:history="1">
        <w:r w:rsidRPr="006239F0">
          <w:rPr>
            <w:rStyle w:val="Hyperlink"/>
          </w:rPr>
          <w:t>https://www.who.int/ethics/publications/public-health-surveillance/en/</w:t>
        </w:r>
      </w:hyperlink>
    </w:p>
  </w:footnote>
  <w:footnote w:id="4">
    <w:p w14:paraId="7A875A59" w14:textId="77777777" w:rsidR="0091400B" w:rsidRDefault="0091400B" w:rsidP="0091400B">
      <w:pPr>
        <w:pStyle w:val="FootnoteText"/>
      </w:pPr>
      <w:r>
        <w:rPr>
          <w:rStyle w:val="FootnoteReference"/>
        </w:rPr>
        <w:footnoteRef/>
      </w:r>
      <w:r>
        <w:t xml:space="preserve"> </w:t>
      </w:r>
      <w:hyperlink r:id="rId4" w:history="1">
        <w:r w:rsidRPr="00F10940">
          <w:rPr>
            <w:rStyle w:val="Hyperlink"/>
          </w:rPr>
          <w:t>https://www.hhs.gov/ohrp/draft-guidance-public-health-surveillance-activities.html</w:t>
        </w:r>
      </w:hyperlink>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DA5132E"/>
    <w:multiLevelType w:val="hybridMultilevel"/>
    <w:tmpl w:val="E28CC09E"/>
    <w:lvl w:ilvl="0" w:tplc="04090001">
      <w:start w:val="1"/>
      <w:numFmt w:val="bullet"/>
      <w:lvlText w:val=""/>
      <w:lvlJc w:val="left"/>
      <w:pPr>
        <w:ind w:left="720" w:hanging="360"/>
      </w:pPr>
      <w:rPr>
        <w:rFonts w:ascii="Symbol" w:hAnsi="Symbol"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337623E"/>
    <w:multiLevelType w:val="hybridMultilevel"/>
    <w:tmpl w:val="6A4E8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F42B20"/>
    <w:multiLevelType w:val="hybridMultilevel"/>
    <w:tmpl w:val="04AC84E4"/>
    <w:lvl w:ilvl="0" w:tplc="ECCA8244">
      <w:start w:val="1"/>
      <w:numFmt w:val="bullet"/>
      <w:lvlText w:val=""/>
      <w:lvlJc w:val="left"/>
      <w:pPr>
        <w:ind w:left="504"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E7B141E"/>
    <w:multiLevelType w:val="hybridMultilevel"/>
    <w:tmpl w:val="FD8EB65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EE07876"/>
    <w:multiLevelType w:val="hybridMultilevel"/>
    <w:tmpl w:val="2B781E92"/>
    <w:lvl w:ilvl="0" w:tplc="04090001">
      <w:start w:val="1"/>
      <w:numFmt w:val="bullet"/>
      <w:lvlText w:val=""/>
      <w:lvlJc w:val="left"/>
      <w:pPr>
        <w:ind w:left="774" w:hanging="360"/>
      </w:pPr>
      <w:rPr>
        <w:rFonts w:ascii="Symbol" w:hAnsi="Symbol" w:hint="default"/>
      </w:rPr>
    </w:lvl>
    <w:lvl w:ilvl="1" w:tplc="04090003" w:tentative="1">
      <w:start w:val="1"/>
      <w:numFmt w:val="bullet"/>
      <w:lvlText w:val="o"/>
      <w:lvlJc w:val="left"/>
      <w:pPr>
        <w:ind w:left="1494" w:hanging="360"/>
      </w:pPr>
      <w:rPr>
        <w:rFonts w:ascii="Courier New" w:hAnsi="Courier New" w:cs="Courier New" w:hint="default"/>
      </w:rPr>
    </w:lvl>
    <w:lvl w:ilvl="2" w:tplc="04090005" w:tentative="1">
      <w:start w:val="1"/>
      <w:numFmt w:val="bullet"/>
      <w:lvlText w:val=""/>
      <w:lvlJc w:val="left"/>
      <w:pPr>
        <w:ind w:left="2214" w:hanging="360"/>
      </w:pPr>
      <w:rPr>
        <w:rFonts w:ascii="Wingdings" w:hAnsi="Wingdings" w:hint="default"/>
      </w:rPr>
    </w:lvl>
    <w:lvl w:ilvl="3" w:tplc="04090001" w:tentative="1">
      <w:start w:val="1"/>
      <w:numFmt w:val="bullet"/>
      <w:lvlText w:val=""/>
      <w:lvlJc w:val="left"/>
      <w:pPr>
        <w:ind w:left="2934" w:hanging="360"/>
      </w:pPr>
      <w:rPr>
        <w:rFonts w:ascii="Symbol" w:hAnsi="Symbol" w:hint="default"/>
      </w:rPr>
    </w:lvl>
    <w:lvl w:ilvl="4" w:tplc="04090003" w:tentative="1">
      <w:start w:val="1"/>
      <w:numFmt w:val="bullet"/>
      <w:lvlText w:val="o"/>
      <w:lvlJc w:val="left"/>
      <w:pPr>
        <w:ind w:left="3654" w:hanging="360"/>
      </w:pPr>
      <w:rPr>
        <w:rFonts w:ascii="Courier New" w:hAnsi="Courier New" w:cs="Courier New" w:hint="default"/>
      </w:rPr>
    </w:lvl>
    <w:lvl w:ilvl="5" w:tplc="04090005" w:tentative="1">
      <w:start w:val="1"/>
      <w:numFmt w:val="bullet"/>
      <w:lvlText w:val=""/>
      <w:lvlJc w:val="left"/>
      <w:pPr>
        <w:ind w:left="4374" w:hanging="360"/>
      </w:pPr>
      <w:rPr>
        <w:rFonts w:ascii="Wingdings" w:hAnsi="Wingdings" w:hint="default"/>
      </w:rPr>
    </w:lvl>
    <w:lvl w:ilvl="6" w:tplc="04090001" w:tentative="1">
      <w:start w:val="1"/>
      <w:numFmt w:val="bullet"/>
      <w:lvlText w:val=""/>
      <w:lvlJc w:val="left"/>
      <w:pPr>
        <w:ind w:left="5094" w:hanging="360"/>
      </w:pPr>
      <w:rPr>
        <w:rFonts w:ascii="Symbol" w:hAnsi="Symbol" w:hint="default"/>
      </w:rPr>
    </w:lvl>
    <w:lvl w:ilvl="7" w:tplc="04090003" w:tentative="1">
      <w:start w:val="1"/>
      <w:numFmt w:val="bullet"/>
      <w:lvlText w:val="o"/>
      <w:lvlJc w:val="left"/>
      <w:pPr>
        <w:ind w:left="5814" w:hanging="360"/>
      </w:pPr>
      <w:rPr>
        <w:rFonts w:ascii="Courier New" w:hAnsi="Courier New" w:cs="Courier New" w:hint="default"/>
      </w:rPr>
    </w:lvl>
    <w:lvl w:ilvl="8" w:tplc="04090005" w:tentative="1">
      <w:start w:val="1"/>
      <w:numFmt w:val="bullet"/>
      <w:lvlText w:val=""/>
      <w:lvlJc w:val="left"/>
      <w:pPr>
        <w:ind w:left="6534" w:hanging="360"/>
      </w:pPr>
      <w:rPr>
        <w:rFonts w:ascii="Wingdings" w:hAnsi="Wingdings" w:hint="default"/>
      </w:rPr>
    </w:lvl>
  </w:abstractNum>
  <w:abstractNum w:abstractNumId="5" w15:restartNumberingAfterBreak="0">
    <w:nsid w:val="7C620F32"/>
    <w:multiLevelType w:val="hybridMultilevel"/>
    <w:tmpl w:val="29EA3A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4"/>
  </w:num>
  <w:num w:numId="5">
    <w:abstractNumId w:val="5"/>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D62C4"/>
    <w:rsid w:val="00064861"/>
    <w:rsid w:val="000D2951"/>
    <w:rsid w:val="002951AD"/>
    <w:rsid w:val="002A081A"/>
    <w:rsid w:val="002B4A05"/>
    <w:rsid w:val="002D62C4"/>
    <w:rsid w:val="002D7194"/>
    <w:rsid w:val="00300736"/>
    <w:rsid w:val="00425DB5"/>
    <w:rsid w:val="0045712C"/>
    <w:rsid w:val="00674906"/>
    <w:rsid w:val="006F375E"/>
    <w:rsid w:val="00700AE7"/>
    <w:rsid w:val="00724BC1"/>
    <w:rsid w:val="007B4A1A"/>
    <w:rsid w:val="007C0B5B"/>
    <w:rsid w:val="0091400B"/>
    <w:rsid w:val="00924768"/>
    <w:rsid w:val="00A34676"/>
    <w:rsid w:val="00B11135"/>
    <w:rsid w:val="00D94485"/>
    <w:rsid w:val="00E36C6F"/>
    <w:rsid w:val="00EF7C06"/>
    <w:rsid w:val="00FA1553"/>
    <w:rsid w:val="00FC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457CB4"/>
  <w15:chartTrackingRefBased/>
  <w15:docId w15:val="{0ADB1EFC-8E00-43BE-A1C0-3D401A24FD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25DB5"/>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425DB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B4A05"/>
    <w:pPr>
      <w:ind w:left="720"/>
      <w:contextualSpacing/>
    </w:pPr>
  </w:style>
  <w:style w:type="character" w:styleId="Hyperlink">
    <w:name w:val="Hyperlink"/>
    <w:basedOn w:val="DefaultParagraphFont"/>
    <w:uiPriority w:val="99"/>
    <w:unhideWhenUsed/>
    <w:rsid w:val="0091400B"/>
    <w:rPr>
      <w:color w:val="0563C1"/>
      <w:u w:val="single"/>
    </w:rPr>
  </w:style>
  <w:style w:type="character" w:styleId="Mention">
    <w:name w:val="Mention"/>
    <w:basedOn w:val="DefaultParagraphFont"/>
    <w:uiPriority w:val="99"/>
    <w:unhideWhenUsed/>
    <w:rsid w:val="0091400B"/>
    <w:rPr>
      <w:color w:val="2B579A"/>
      <w:shd w:val="clear" w:color="auto" w:fill="E1DFDD"/>
    </w:rPr>
  </w:style>
  <w:style w:type="character" w:styleId="UnresolvedMention">
    <w:name w:val="Unresolved Mention"/>
    <w:basedOn w:val="DefaultParagraphFont"/>
    <w:uiPriority w:val="99"/>
    <w:semiHidden/>
    <w:unhideWhenUsed/>
    <w:rsid w:val="0091400B"/>
    <w:rPr>
      <w:color w:val="605E5C"/>
      <w:shd w:val="clear" w:color="auto" w:fill="E1DFDD"/>
    </w:rPr>
  </w:style>
  <w:style w:type="paragraph" w:styleId="FootnoteText">
    <w:name w:val="footnote text"/>
    <w:basedOn w:val="Normal"/>
    <w:link w:val="FootnoteTextChar"/>
    <w:uiPriority w:val="99"/>
    <w:semiHidden/>
    <w:unhideWhenUsed/>
    <w:rsid w:val="0091400B"/>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91400B"/>
    <w:rPr>
      <w:sz w:val="20"/>
      <w:szCs w:val="20"/>
    </w:rPr>
  </w:style>
  <w:style w:type="character" w:styleId="FootnoteReference">
    <w:name w:val="footnote reference"/>
    <w:basedOn w:val="DefaultParagraphFont"/>
    <w:uiPriority w:val="99"/>
    <w:semiHidden/>
    <w:unhideWhenUsed/>
    <w:rsid w:val="0091400B"/>
    <w:rPr>
      <w:vertAlign w:val="superscript"/>
    </w:rPr>
  </w:style>
  <w:style w:type="paragraph" w:styleId="NormalWeb">
    <w:name w:val="Normal (Web)"/>
    <w:basedOn w:val="Normal"/>
    <w:uiPriority w:val="99"/>
    <w:unhideWhenUsed/>
    <w:rsid w:val="0091400B"/>
    <w:pPr>
      <w:spacing w:after="150"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sid w:val="00425DB5"/>
    <w:rPr>
      <w:rFonts w:asciiTheme="majorHAnsi" w:eastAsiaTheme="majorEastAsia" w:hAnsiTheme="majorHAnsi" w:cstheme="majorBidi"/>
      <w:color w:val="2F5496" w:themeColor="accent1" w:themeShade="BF"/>
      <w:sz w:val="26"/>
      <w:szCs w:val="26"/>
    </w:rPr>
  </w:style>
  <w:style w:type="character" w:customStyle="1" w:styleId="Heading1Char">
    <w:name w:val="Heading 1 Char"/>
    <w:basedOn w:val="DefaultParagraphFont"/>
    <w:link w:val="Heading1"/>
    <w:uiPriority w:val="9"/>
    <w:rsid w:val="00425DB5"/>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322737760">
      <w:bodyDiv w:val="1"/>
      <w:marLeft w:val="0"/>
      <w:marRight w:val="0"/>
      <w:marTop w:val="0"/>
      <w:marBottom w:val="0"/>
      <w:divBdr>
        <w:top w:val="none" w:sz="0" w:space="0" w:color="auto"/>
        <w:left w:val="none" w:sz="0" w:space="0" w:color="auto"/>
        <w:bottom w:val="none" w:sz="0" w:space="0" w:color="auto"/>
        <w:right w:val="none" w:sz="0" w:space="0" w:color="auto"/>
      </w:divBdr>
    </w:div>
    <w:div w:id="20285608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urldefense.proofpoint.com/v2/url?u=https-3A__www.hhs.gov_ohrp_sachrp-2Dcommittee_recommendations_attachment-2Dpublic-2Dhealth-2Dauthority-2Dand-2Dsurveillance-2Dactivities_index.html&amp;d=DwMFAg&amp;c=Lr0a7ed3egkbwePCNW4ROg&amp;r=nQDlimj_D3lwveT-NIoF7ABi9mcposDK6Mc6QnBkilU&amp;m=S1VKXHrz2s_EEZdHhHt81q1OrPK9ZqVmcROWQQtlC20&amp;s=EoN8YJSeqJCmCZMoGtbHV5iFN3TRluJzS6CjRr1JhaM&amp;e=" TargetMode="External"/><Relationship Id="rId13" Type="http://schemas.openxmlformats.org/officeDocument/2006/relationships/hyperlink" Target="https://urldefense.proofpoint.com/v2/url?u=http-3A__www.cste2.org_webpdfs_CSTEPHResRptHodgeFinal.5.24.04.pdf&amp;d=DwMFAg&amp;c=Lr0a7ed3egkbwePCNW4ROg&amp;r=nQDlimj_D3lwveT-NIoF7ABi9mcposDK6Mc6QnBkilU&amp;m=PY-3rTVz6on1LJABUHNmqxRi4YkgHlkL5q07B_m1Uak&amp;s=ctuOSN067lMXWmHn7wUP5ksN2PJs-nB86OwJCUsopgg&amp;e=" TargetMode="External"/><Relationship Id="rId3" Type="http://schemas.openxmlformats.org/officeDocument/2006/relationships/settings" Target="settings.xml"/><Relationship Id="rId7" Type="http://schemas.openxmlformats.org/officeDocument/2006/relationships/hyperlink" Target="https://urldefense.proofpoint.com/v2/url?u=https-3A__www.hhs.gov_ohrp_regulations-2Dand-2Dpolicy_requests-2Dfor-2Dcomments_draft-2Dguidance-2Dactivities-2Ddeemed-2Dnot-2Dbe-2Dresearch-2Dpublic-2Dhealth-2Dsurveillance_index.html&amp;d=DwMFAg&amp;c=Lr0a7ed3egkbwePCNW4ROg&amp;r=nQDlimj_D3lwveT-NIoF7ABi9mcposDK6Mc6QnBkilU&amp;m=S1VKXHrz2s_EEZdHhHt81q1OrPK9ZqVmcROWQQtlC20&amp;s=8jWW1GwuXTMsW0EUcrOzLS12ksGqGsyx40uFUHbCzPU&amp;e=" TargetMode="External"/><Relationship Id="rId12" Type="http://schemas.openxmlformats.org/officeDocument/2006/relationships/hyperlink" Target="https://urldefense.proofpoint.com/v2/url?u=https-3A__www.hhs.gov_ohrp_regulations-2Dand-2Dpolicy_requests-2Dfor-2Dcomments_draft-2Dguidance-2Dactivities-2Ddeemed-2Dnot-2Dbe-2Dresearch-2Dpublic-2Dhealth-2Dsurveillance_index.html&amp;d=DwMFAg&amp;c=Lr0a7ed3egkbwePCNW4ROg&amp;r=nQDlimj_D3lwveT-NIoF7ABi9mcposDK6Mc6QnBkilU&amp;m=PY-3rTVz6on1LJABUHNmqxRi4YkgHlkL5q07B_m1Uak&amp;s=H8-dCiB3V-u8DkEbdgjNr4ReZyJj7QRlu0ShA1RV4MA&amp;e="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rldefense.proofpoint.com/v2/url?u=http-3A__www.cste2.org_webpdfs_cstephresrpthodgefinal.5.24.04.pdf&amp;d=DwMFAg&amp;c=Lr0a7ed3egkbwePCNW4ROg&amp;r=nQDlimj_D3lwveT-NIoF7ABi9mcposDK6Mc6QnBkilU&amp;m=S1VKXHrz2s_EEZdHhHt81q1OrPK9ZqVmcROWQQtlC20&amp;s=xVVQ6mKO6tOIlUtlSQ7J7ZrQTGShskOkfKPMq7Wbey0&amp;e="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urldefense.proofpoint.com/v2/url?u=https-3A__sbi.cdc.gov_Policy_Doc_policy557.pdf&amp;d=DwMFAg&amp;c=Lr0a7ed3egkbwePCNW4ROg&amp;r=nQDlimj_D3lwveT-NIoF7ABi9mcposDK6Mc6QnBkilU&amp;m=S1VKXHrz2s_EEZdHhHt81q1OrPK9ZqVmcROWQQtlC20&amp;s=GCdl58skuuwfHGDcrKs39Zqr1r-77T4uNOZuhdZUG2Q&amp;e=" TargetMode="External"/><Relationship Id="rId4" Type="http://schemas.openxmlformats.org/officeDocument/2006/relationships/webSettings" Target="webSettings.xml"/><Relationship Id="rId9" Type="http://schemas.openxmlformats.org/officeDocument/2006/relationships/hyperlink" Target="https://urldefense.proofpoint.com/v2/url?u=https-3A__www.hhs.gov_ohrp_sachrp-2Dcommittee_recommendations_october-2D26-2D2020-2Dletter-2Dhhs-2Dsecretary.html&amp;d=DwMFAg&amp;c=Lr0a7ed3egkbwePCNW4ROg&amp;r=nQDlimj_D3lwveT-NIoF7ABi9mcposDK6Mc6QnBkilU&amp;m=S1VKXHrz2s_EEZdHhHt81q1OrPK9ZqVmcROWQQtlC20&amp;s=EvnLkSCQq0DBD_tuw2pOW_msJ4MAs1Byz2Zs6j50B8k&amp;e="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3" Type="http://schemas.openxmlformats.org/officeDocument/2006/relationships/hyperlink" Target="https://www.who.int/ethics/publications/public-health-surveillance/en/" TargetMode="External"/><Relationship Id="rId2" Type="http://schemas.openxmlformats.org/officeDocument/2006/relationships/hyperlink" Target="https://www.hhs.gov/ohrp/draft-guidance-public-health-surveillance-activities.html" TargetMode="External"/><Relationship Id="rId1" Type="http://schemas.openxmlformats.org/officeDocument/2006/relationships/hyperlink" Target="https://www.hhs.gov/ohrp/draft-guidance-public-health-surveillance-activities.html" TargetMode="External"/><Relationship Id="rId4" Type="http://schemas.openxmlformats.org/officeDocument/2006/relationships/hyperlink" Target="https://www.hhs.gov/ohrp/draft-guidance-public-health-surveillance-activitie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94</TotalTime>
  <Pages>5</Pages>
  <Words>2515</Words>
  <Characters>14336</Characters>
  <Application>Microsoft Office Word</Application>
  <DocSecurity>0</DocSecurity>
  <Lines>119</Lines>
  <Paragraphs>33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16818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Smorodinsky, Svetlana@CDPH</dc:creator>
  <cp:keywords/>
  <dc:description/>
  <cp:lastModifiedBy>Smorodinsky, Svetlana@CDPH</cp:lastModifiedBy>
  <cp:revision>17</cp:revision>
  <dcterms:created xsi:type="dcterms:W3CDTF">2021-04-27T19:07:00Z</dcterms:created>
  <dcterms:modified xsi:type="dcterms:W3CDTF">2021-05-05T22:11:00Z</dcterms:modified>
</cp:coreProperties>
</file>