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83FD0" w14:textId="77777777" w:rsidR="000C5D23" w:rsidRDefault="000C5D23">
      <w:pPr>
        <w:rPr>
          <w:rFonts w:cs="Arial"/>
          <w:b/>
          <w:bCs/>
          <w:sz w:val="20"/>
          <w:u w:val="single"/>
        </w:rPr>
      </w:pPr>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1B65C1">
      <w:pPr>
        <w:rPr>
          <w:rFonts w:cs="Arial"/>
          <w:bCs/>
          <w:sz w:val="20"/>
        </w:rPr>
      </w:pPr>
      <w:sdt>
        <w:sdtPr>
          <w:rPr>
            <w:rFonts w:cs="Arial"/>
            <w:bCs/>
            <w:sz w:val="20"/>
          </w:rPr>
          <w:id w:val="-2063780410"/>
          <w14:checkbox>
            <w14:checked w14:val="0"/>
            <w14:checkedState w14:val="2612" w14:font="MS Gothic"/>
            <w14:uncheckedState w14:val="2610" w14:font="MS Gothic"/>
          </w14:checkbox>
        </w:sdtPr>
        <w:sdtEnd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1B099788"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2D96633F" w:rsidR="00F40869" w:rsidRDefault="00F40869" w:rsidP="00F1660A">
      <w:pPr>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r>
        <w:rPr>
          <w:sz w:val="20"/>
        </w:rPr>
        <w:t>IgE</w:t>
      </w:r>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r w:rsidRPr="0031171E">
        <w:rPr>
          <w:i/>
          <w:sz w:val="20"/>
        </w:rPr>
        <w:t>Amblyomma americanum</w:t>
      </w:r>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 xml:space="preserve">risk given the expanding geographic range of both the lone star and blacklegged ticks. A standardized case definition and reporting criteria are needed to </w:t>
      </w:r>
      <w:r w:rsidRPr="0084474A">
        <w:rPr>
          <w:sz w:val="20"/>
        </w:rPr>
        <w:t>collect comparable clinical</w:t>
      </w:r>
      <w:r w:rsidR="00294F4F">
        <w:rPr>
          <w:sz w:val="20"/>
        </w:rPr>
        <w:t>, laboratory,</w:t>
      </w:r>
      <w:r w:rsidRPr="0084474A">
        <w:rPr>
          <w:sz w:val="20"/>
        </w:rPr>
        <w:t xml:space="preserve"> and epidemiologic data that</w:t>
      </w:r>
      <w:r>
        <w:rPr>
          <w:sz w:val="20"/>
        </w:rPr>
        <w:t xml:space="preserve"> </w:t>
      </w:r>
      <w:r w:rsidR="00E451A6">
        <w:rPr>
          <w:sz w:val="20"/>
        </w:rPr>
        <w:t>are</w:t>
      </w:r>
      <w:r>
        <w:rPr>
          <w:sz w:val="20"/>
        </w:rPr>
        <w:t xml:space="preserve"> necessary to characterize AGS cases</w:t>
      </w:r>
      <w:r w:rsidR="00E5531B">
        <w:rPr>
          <w:sz w:val="20"/>
        </w:rPr>
        <w:t>,</w:t>
      </w:r>
      <w:r>
        <w:rPr>
          <w:sz w:val="20"/>
        </w:rPr>
        <w:t xml:space="preserve"> in terms of numbers and geographic distribution</w:t>
      </w:r>
      <w:r w:rsidR="00CF6401">
        <w:rPr>
          <w:sz w:val="20"/>
        </w:rPr>
        <w:t>,</w:t>
      </w:r>
      <w:r>
        <w:rPr>
          <w:sz w:val="20"/>
        </w:rPr>
        <w:t xml:space="preserve"> and to monitor trends over time.</w:t>
      </w:r>
      <w:r w:rsidR="00E34057">
        <w:rPr>
          <w:rFonts w:cs="Arial"/>
          <w:sz w:val="20"/>
        </w:rPr>
        <w:t xml:space="preserve"> In order to support data collection that would enable a better understanding of this emerging syndrome, this position statement recommends a standardized surveillance case definition for AGS.</w:t>
      </w:r>
    </w:p>
    <w:p w14:paraId="17FC065A" w14:textId="77777777" w:rsidR="00F40869" w:rsidRDefault="00F40869" w:rsidP="00F1660A">
      <w:pPr>
        <w:ind w:left="720" w:right="-540"/>
        <w:rPr>
          <w:color w:val="0000FF"/>
          <w:sz w:val="16"/>
        </w:rPr>
      </w:pPr>
    </w:p>
    <w:p w14:paraId="3A8C7AB8" w14:textId="77777777" w:rsidR="00F40869" w:rsidRDefault="00F40869" w:rsidP="00F1660A">
      <w:pPr>
        <w:ind w:left="720" w:right="-540"/>
        <w:rPr>
          <w:color w:val="0000FF"/>
          <w:sz w:val="16"/>
        </w:rPr>
      </w:pPr>
    </w:p>
    <w:p w14:paraId="3A4CBE62" w14:textId="77777777" w:rsidR="00F40869" w:rsidRDefault="00F40869" w:rsidP="00F1660A">
      <w:pPr>
        <w:ind w:right="-540"/>
        <w:rPr>
          <w:rFonts w:cs="Arial"/>
          <w:sz w:val="16"/>
          <w:szCs w:val="16"/>
        </w:rPr>
        <w:sectPr w:rsidR="00F40869" w:rsidSect="0069217B">
          <w:headerReference w:type="default" r:id="rId12"/>
          <w:footerReference w:type="even" r:id="rId13"/>
          <w:footerReference w:type="default" r:id="rId14"/>
          <w:pgSz w:w="12240" w:h="15840"/>
          <w:pgMar w:top="1440" w:right="1080" w:bottom="1440" w:left="1080" w:header="720" w:footer="720" w:gutter="0"/>
          <w:cols w:space="720"/>
          <w:docGrid w:linePitch="360"/>
        </w:sectPr>
      </w:pPr>
    </w:p>
    <w:p w14:paraId="2D3091C4" w14:textId="77777777" w:rsidR="00F40869" w:rsidRDefault="00F40869" w:rsidP="00F1660A">
      <w:pPr>
        <w:ind w:right="-540"/>
        <w:jc w:val="right"/>
        <w:rPr>
          <w:rFonts w:cs="Arial"/>
          <w:sz w:val="16"/>
          <w:szCs w:val="16"/>
        </w:rPr>
      </w:pPr>
    </w:p>
    <w:p w14:paraId="3B54CFB7" w14:textId="6C0180EF"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F66AAD">
        <w:rPr>
          <w:rFonts w:cs="Arial"/>
          <w:b/>
          <w:sz w:val="16"/>
          <w:szCs w:val="16"/>
        </w:rPr>
        <w:t>219</w:t>
      </w:r>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7CAB01C3"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n IgE-mediated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r w:rsidR="00E05381">
        <w:rPr>
          <w:rFonts w:cs="Arial"/>
          <w:sz w:val="20"/>
          <w:szCs w:val="22"/>
        </w:rPr>
        <w:t xml:space="preserve">(e.g., within two hours) </w:t>
      </w:r>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IgE tests</w:t>
      </w:r>
      <w:r w:rsidR="00F40869">
        <w:rPr>
          <w:rFonts w:cs="Arial"/>
          <w:sz w:val="20"/>
          <w:szCs w:val="22"/>
        </w:rPr>
        <w:t xml:space="preserve"> are </w:t>
      </w:r>
      <w:r w:rsidR="00F40869" w:rsidRPr="002A4621">
        <w:rPr>
          <w:rFonts w:cs="Arial"/>
          <w:sz w:val="20"/>
          <w:szCs w:val="22"/>
        </w:rPr>
        <w:t>becom</w:t>
      </w:r>
      <w:r w:rsidR="00F40869">
        <w:rPr>
          <w:rFonts w:cs="Arial"/>
          <w:sz w:val="20"/>
          <w:szCs w:val="22"/>
        </w:rPr>
        <w:t>ing</w:t>
      </w:r>
      <w:r w:rsidR="00F40869" w:rsidRPr="002A4621">
        <w:rPr>
          <w:rFonts w:cs="Arial"/>
          <w:sz w:val="20"/>
          <w:szCs w:val="22"/>
        </w:rPr>
        <w:t xml:space="preserve"> more widely available</w:t>
      </w:r>
      <w:r w:rsidR="00F40869">
        <w:rPr>
          <w:rFonts w:cs="Arial"/>
          <w:sz w:val="20"/>
          <w:szCs w:val="22"/>
        </w:rPr>
        <w:t xml:space="preserve">, with a value </w:t>
      </w:r>
      <w:r w:rsidR="004A20EC">
        <w:rPr>
          <w:rFonts w:cs="Arial"/>
          <w:sz w:val="20"/>
          <w:szCs w:val="22"/>
        </w:rPr>
        <w:t xml:space="preserve">of </w:t>
      </w:r>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often </w:t>
      </w:r>
      <w:r w:rsidR="00732120">
        <w:rPr>
          <w:rFonts w:cs="Arial"/>
          <w:sz w:val="20"/>
          <w:szCs w:val="22"/>
        </w:rPr>
        <w:t>allow 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160DAE40" w:rsidR="00F40869" w:rsidRPr="002A4621" w:rsidRDefault="00F40869" w:rsidP="0069217B">
      <w:pPr>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w:t>
      </w:r>
      <w:r w:rsidRPr="002A4621">
        <w:rPr>
          <w:rFonts w:cs="Arial"/>
          <w:sz w:val="20"/>
          <w:szCs w:val="22"/>
        </w:rPr>
        <w:lastRenderedPageBreak/>
        <w:t xml:space="preserve">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r w:rsidRPr="002A4621">
        <w:rPr>
          <w:rFonts w:cs="Arial"/>
          <w:sz w:val="20"/>
          <w:szCs w:val="22"/>
        </w:rPr>
        <w:t>IgE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9</w:t>
      </w:r>
      <w:r w:rsidR="00856C25">
        <w:rPr>
          <w:rFonts w:cs="Arial"/>
          <w:sz w:val="20"/>
          <w:szCs w:val="22"/>
        </w:rPr>
        <w:fldChar w:fldCharType="end"/>
      </w:r>
      <w:r w:rsidRPr="002A4621">
        <w:rPr>
          <w:rFonts w:cs="Arial"/>
          <w:sz w:val="20"/>
          <w:szCs w:val="22"/>
        </w:rPr>
        <w:t xml:space="preserve"> Accurate, up-to-date estimates of burden, disease trends and geographic distribution are hampered by the absence of a standardized case definition and reporting. </w:t>
      </w:r>
    </w:p>
    <w:p w14:paraId="7395C14A" w14:textId="77777777" w:rsidR="00F40869" w:rsidRPr="002A4621" w:rsidRDefault="00F40869" w:rsidP="0069217B">
      <w:pPr>
        <w:rPr>
          <w:rFonts w:cs="Arial"/>
          <w:sz w:val="20"/>
          <w:szCs w:val="22"/>
        </w:rPr>
      </w:pPr>
    </w:p>
    <w:p w14:paraId="5325263A" w14:textId="10BC54ED"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r w:rsidR="008E6AA5">
        <w:rPr>
          <w:rFonts w:cs="Arial"/>
          <w:sz w:val="20"/>
          <w:szCs w:val="22"/>
        </w:rPr>
        <w:t xml:space="preserve">AGS </w:t>
      </w:r>
      <w:r>
        <w:rPr>
          <w:rFonts w:cs="Arial"/>
          <w:sz w:val="20"/>
          <w:szCs w:val="22"/>
        </w:rPr>
        <w:t>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15"/>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7F0BB88D"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4C18BA">
        <w:rPr>
          <w:rFonts w:cs="Arial"/>
          <w:b/>
          <w:sz w:val="16"/>
          <w:szCs w:val="16"/>
        </w:rPr>
        <w:t>415</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370455E1" w:rsidR="00F40869" w:rsidRPr="006E6BC6" w:rsidRDefault="00F40869" w:rsidP="004B0235">
      <w:pPr>
        <w:rPr>
          <w:sz w:val="20"/>
        </w:rPr>
      </w:pPr>
      <w:r>
        <w:rPr>
          <w:sz w:val="20"/>
        </w:rPr>
        <w:t xml:space="preserve">The goal of surveillance </w:t>
      </w:r>
      <w:r w:rsidR="004712EA">
        <w:rPr>
          <w:sz w:val="20"/>
        </w:rPr>
        <w:t xml:space="preserve">is </w:t>
      </w:r>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-gal specific IgE tests. Clinical information will be obtained from clinician reporting or manual review of medical records. Hospital discharge data may be used as supplementary method for case finding.</w:t>
      </w:r>
    </w:p>
    <w:p w14:paraId="25D82548" w14:textId="77777777" w:rsidR="00F40869" w:rsidRDefault="00F40869" w:rsidP="001062AA">
      <w:pPr>
        <w:rPr>
          <w:sz w:val="20"/>
        </w:rPr>
      </w:pPr>
    </w:p>
    <w:p w14:paraId="22E809EB" w14:textId="339636A1" w:rsidR="00F40869" w:rsidRPr="00F01391" w:rsidRDefault="00F40869" w:rsidP="001062AA">
      <w:commentRangeStart w:id="0"/>
      <w:commentRangeStart w:id="1"/>
      <w:commentRangeStart w:id="2"/>
      <w:r>
        <w:rPr>
          <w:sz w:val="20"/>
        </w:rPr>
        <w:t xml:space="preserve">An </w:t>
      </w:r>
      <w:r>
        <w:rPr>
          <w:rFonts w:cs="Arial"/>
          <w:sz w:val="20"/>
        </w:rPr>
        <w:t>alpha</w:t>
      </w:r>
      <w:r>
        <w:rPr>
          <w:sz w:val="20"/>
        </w:rPr>
        <w:t xml:space="preserve">-gal specific IgE test along with compatible clinical symptoms </w:t>
      </w:r>
      <w:r w:rsidR="004712EA">
        <w:rPr>
          <w:sz w:val="20"/>
        </w:rPr>
        <w:t>are</w:t>
      </w:r>
      <w:r>
        <w:rPr>
          <w:sz w:val="20"/>
        </w:rPr>
        <w:t xml:space="preserve"> required for confirmed cases. Th</w:t>
      </w:r>
      <w:r w:rsidR="004712EA">
        <w:rPr>
          <w:sz w:val="20"/>
        </w:rPr>
        <w:t>ese</w:t>
      </w:r>
      <w:r>
        <w:rPr>
          <w:sz w:val="20"/>
        </w:rPr>
        <w:t xml:space="preserve"> data will be collected via laboratory </w:t>
      </w:r>
      <w:r w:rsidR="00B7565B">
        <w:rPr>
          <w:sz w:val="20"/>
        </w:rPr>
        <w:t xml:space="preserve">and clinician </w:t>
      </w:r>
      <w:r>
        <w:rPr>
          <w:sz w:val="20"/>
        </w:rPr>
        <w:t xml:space="preserve">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w:t>
      </w:r>
      <w:commentRangeEnd w:id="0"/>
      <w:r w:rsidR="00F23719">
        <w:rPr>
          <w:rStyle w:val="CommentReference"/>
        </w:rPr>
        <w:commentReference w:id="0"/>
      </w:r>
      <w:commentRangeEnd w:id="1"/>
      <w:r w:rsidR="00B7565B">
        <w:rPr>
          <w:rStyle w:val="CommentReference"/>
        </w:rPr>
        <w:commentReference w:id="1"/>
      </w:r>
      <w:commentRangeEnd w:id="2"/>
      <w:r w:rsidR="00F332B3">
        <w:rPr>
          <w:rStyle w:val="CommentReference"/>
        </w:rPr>
        <w:commentReference w:id="2"/>
      </w:r>
      <w:r>
        <w:rPr>
          <w:sz w:val="20"/>
        </w:rPr>
        <w:t xml:space="preserve">A positive </w:t>
      </w:r>
      <w:r>
        <w:rPr>
          <w:rFonts w:cs="Arial"/>
          <w:sz w:val="20"/>
        </w:rPr>
        <w:t>alpha</w:t>
      </w:r>
      <w:r>
        <w:rPr>
          <w:sz w:val="20"/>
        </w:rPr>
        <w:t xml:space="preserve">-gal specific IgE test without corresponding clinical information is </w:t>
      </w:r>
      <w:r w:rsidR="000B4872">
        <w:rPr>
          <w:sz w:val="20"/>
        </w:rPr>
        <w:t xml:space="preserve">sufficient </w:t>
      </w:r>
      <w:r>
        <w:rPr>
          <w:sz w:val="20"/>
        </w:rPr>
        <w:t>for a suspect case classification</w:t>
      </w:r>
      <w:r w:rsidR="0055067C">
        <w:rPr>
          <w:sz w:val="20"/>
        </w:rPr>
        <w:t>, and this data will be collected via laboratory reporting</w:t>
      </w:r>
      <w:r>
        <w:rPr>
          <w:sz w:val="20"/>
        </w:rPr>
        <w:t xml:space="preserve">. </w:t>
      </w:r>
    </w:p>
    <w:p w14:paraId="3DBC43D2" w14:textId="77777777" w:rsidR="00026661" w:rsidRDefault="00026661"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lastRenderedPageBreak/>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531B4FE6"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xml:space="preserve">, </w:t>
            </w:r>
            <w:commentRangeStart w:id="3"/>
            <w:commentRangeStart w:id="4"/>
            <w:r>
              <w:rPr>
                <w:color w:val="000000"/>
                <w:sz w:val="20"/>
              </w:rPr>
              <w:t>specify</w:t>
            </w:r>
            <w:commentRangeEnd w:id="3"/>
            <w:r w:rsidR="00205008">
              <w:rPr>
                <w:rStyle w:val="CommentReference"/>
              </w:rPr>
              <w:commentReference w:id="3"/>
            </w:r>
            <w:commentRangeEnd w:id="4"/>
            <w:r w:rsidR="004C18BA">
              <w:rPr>
                <w:rStyle w:val="CommentReference"/>
              </w:rPr>
              <w:commentReference w:id="4"/>
            </w:r>
            <w:r>
              <w:rPr>
                <w:color w:val="000000"/>
                <w:sz w:val="20"/>
              </w:rPr>
              <w:t>:</w:t>
            </w:r>
            <w:r w:rsidR="004C18BA">
              <w:rPr>
                <w:color w:val="000000"/>
                <w:sz w:val="20"/>
              </w:rPr>
              <w:t xml:space="preserve"> hospitals</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24BA963B" w:rsidR="00F40869" w:rsidRPr="00457E5B" w:rsidRDefault="00F40869" w:rsidP="00121F2B">
      <w:pPr>
        <w:jc w:val="right"/>
        <w:rPr>
          <w:rFonts w:cs="Arial"/>
          <w:b/>
          <w:sz w:val="16"/>
          <w:szCs w:val="16"/>
        </w:rPr>
      </w:pPr>
      <w:r w:rsidRPr="00457E5B">
        <w:rPr>
          <w:rFonts w:cs="Arial"/>
          <w:b/>
          <w:sz w:val="16"/>
          <w:szCs w:val="16"/>
        </w:rPr>
        <w:t xml:space="preserve">Word Count: </w:t>
      </w:r>
      <w:r w:rsidR="00584FF3">
        <w:rPr>
          <w:rFonts w:cs="Arial"/>
          <w:b/>
          <w:sz w:val="16"/>
          <w:szCs w:val="16"/>
        </w:rPr>
        <w:t>131</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r w:rsidRPr="00C73AF2">
        <w:rPr>
          <w:rFonts w:cs="Arial"/>
          <w:sz w:val="20"/>
        </w:rPr>
        <w:t>IgE</w:t>
      </w:r>
      <w:r>
        <w:rPr>
          <w:rFonts w:cs="Arial"/>
          <w:sz w:val="20"/>
        </w:rPr>
        <w:t>)</w:t>
      </w:r>
      <w:r w:rsidRPr="00C73AF2">
        <w:rPr>
          <w:rFonts w:cs="Arial"/>
          <w:sz w:val="20"/>
        </w:rPr>
        <w:t xml:space="preserve"> specific to alpha-gal ≥ 0.1 IU/mL</w:t>
      </w:r>
      <w:r w:rsidR="00512906">
        <w:rPr>
          <w:rFonts w:cs="Arial"/>
          <w:sz w:val="20"/>
        </w:rPr>
        <w:t>.</w:t>
      </w:r>
    </w:p>
    <w:p w14:paraId="23538FB8" w14:textId="50E4E817"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 xml:space="preserve">A1. Clinical </w:t>
      </w:r>
      <w:commentRangeStart w:id="5"/>
      <w:commentRangeStart w:id="6"/>
      <w:commentRangeStart w:id="7"/>
      <w:r w:rsidRPr="00C73AF2">
        <w:rPr>
          <w:rFonts w:cs="Arial"/>
          <w:b/>
          <w:bCs/>
          <w:sz w:val="20"/>
        </w:rPr>
        <w:t>Criteria</w:t>
      </w:r>
      <w:commentRangeEnd w:id="5"/>
      <w:r w:rsidR="00DB20D5">
        <w:rPr>
          <w:rStyle w:val="CommentReference"/>
        </w:rPr>
        <w:commentReference w:id="5"/>
      </w:r>
      <w:commentRangeEnd w:id="6"/>
      <w:r w:rsidR="00AB22D9">
        <w:rPr>
          <w:rStyle w:val="CommentReference"/>
        </w:rPr>
        <w:commentReference w:id="6"/>
      </w:r>
      <w:commentRangeEnd w:id="7"/>
      <w:r w:rsidR="001B29CC">
        <w:rPr>
          <w:rStyle w:val="CommentReference"/>
        </w:rPr>
        <w:commentReference w:id="7"/>
      </w:r>
    </w:p>
    <w:p w14:paraId="59AFDEB7" w14:textId="0ADCE8F3"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r w:rsidR="00212832" w:rsidRPr="00AE65E3">
        <w:rPr>
          <w:rFonts w:eastAsia="Calibri" w:cs="Arial"/>
          <w:snapToGrid/>
          <w:sz w:val="20"/>
        </w:rPr>
        <w:t xml:space="preserve"> that occur 2–10 hours after ingestion of pork, beef, lamb, any other mammalian meat</w:t>
      </w:r>
      <w:r w:rsidR="00AB22D9">
        <w:rPr>
          <w:rFonts w:eastAsia="Calibri" w:cs="Arial"/>
          <w:snapToGrid/>
          <w:sz w:val="20"/>
        </w:rPr>
        <w:t>,</w:t>
      </w:r>
      <w:r w:rsidR="00212832" w:rsidRPr="00AE65E3">
        <w:rPr>
          <w:rFonts w:eastAsia="Calibri" w:cs="Arial"/>
          <w:snapToGrid/>
          <w:sz w:val="20"/>
        </w:rPr>
        <w:t xml:space="preserve"> or mammalian derived product (e.g. gelatin), </w:t>
      </w:r>
      <w:r w:rsidR="00F672DA">
        <w:rPr>
          <w:rFonts w:eastAsia="Calibri" w:cs="Arial"/>
          <w:snapToGrid/>
          <w:sz w:val="20"/>
        </w:rPr>
        <w:t>OR</w:t>
      </w:r>
      <w:r w:rsidR="00212832" w:rsidRPr="00AE65E3">
        <w:rPr>
          <w:rFonts w:eastAsia="Calibri" w:cs="Arial"/>
          <w:snapToGrid/>
          <w:sz w:val="20"/>
        </w:rPr>
        <w:t xml:space="preserve"> within two hours after intramuscular, intravenous, or subcutaneous administration of alpha-gal containing vaccination or medication</w:t>
      </w:r>
      <w:r w:rsidRPr="00AE65E3">
        <w:rPr>
          <w:rFonts w:eastAsia="Calibri" w:cs="Arial"/>
          <w:snapToGrid/>
          <w:sz w:val="20"/>
        </w:rPr>
        <w:t>:</w:t>
      </w:r>
    </w:p>
    <w:p w14:paraId="0195FF7F" w14:textId="57E15977" w:rsidR="0072239C" w:rsidRDefault="008565DA"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Abdominal pain</w:t>
      </w:r>
    </w:p>
    <w:p w14:paraId="2C304D37" w14:textId="48D01857"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N</w:t>
      </w:r>
      <w:r w:rsidR="008565DA" w:rsidRPr="00AE65E3">
        <w:rPr>
          <w:rFonts w:eastAsia="Calibri" w:cs="Arial"/>
          <w:snapToGrid/>
          <w:sz w:val="20"/>
        </w:rPr>
        <w:t>ausea</w:t>
      </w:r>
    </w:p>
    <w:p w14:paraId="51AF4FD7" w14:textId="76B271E9"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D</w:t>
      </w:r>
      <w:r w:rsidR="008565DA" w:rsidRPr="00AE65E3">
        <w:rPr>
          <w:rFonts w:eastAsia="Calibri" w:cs="Arial"/>
          <w:snapToGrid/>
          <w:sz w:val="20"/>
        </w:rPr>
        <w:t>iarrhea</w:t>
      </w:r>
    </w:p>
    <w:p w14:paraId="6D9082AB" w14:textId="36C8FEF8"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V</w:t>
      </w:r>
      <w:r w:rsidR="008565DA" w:rsidRPr="00AE65E3">
        <w:rPr>
          <w:rFonts w:eastAsia="Calibri" w:cs="Arial"/>
          <w:snapToGrid/>
          <w:sz w:val="20"/>
        </w:rPr>
        <w:t>omiting</w:t>
      </w:r>
    </w:p>
    <w:p w14:paraId="6C773764" w14:textId="57EA30C1"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w:t>
      </w:r>
    </w:p>
    <w:p w14:paraId="51703633" w14:textId="4E5D52F3"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I</w:t>
      </w:r>
      <w:r w:rsidR="00F40869" w:rsidRPr="00AE65E3">
        <w:rPr>
          <w:rFonts w:eastAsia="Calibri" w:cs="Arial"/>
          <w:snapToGrid/>
          <w:sz w:val="20"/>
        </w:rPr>
        <w:t>tching</w:t>
      </w:r>
    </w:p>
    <w:p w14:paraId="47AC6221" w14:textId="6D441143"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lastRenderedPageBreak/>
        <w:t xml:space="preserve">Swelling of </w:t>
      </w:r>
      <w:r w:rsidR="00AB22D9">
        <w:rPr>
          <w:rFonts w:eastAsia="Calibri" w:cs="Arial"/>
          <w:snapToGrid/>
          <w:sz w:val="20"/>
        </w:rPr>
        <w:t xml:space="preserve">one or more of the </w:t>
      </w:r>
      <w:r w:rsidR="0072239C">
        <w:rPr>
          <w:rFonts w:eastAsia="Calibri" w:cs="Arial"/>
          <w:snapToGrid/>
          <w:sz w:val="20"/>
        </w:rPr>
        <w:t>following:</w:t>
      </w:r>
      <w:r w:rsidRPr="00AE65E3">
        <w:rPr>
          <w:rFonts w:eastAsia="Calibri" w:cs="Arial"/>
          <w:snapToGrid/>
          <w:sz w:val="20"/>
        </w:rPr>
        <w:t xml:space="preserve"> lips, tongue, throat, face, eyelids, or other associated structures</w:t>
      </w:r>
    </w:p>
    <w:p w14:paraId="4DF226F3" w14:textId="77777777" w:rsidR="0072239C"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w:t>
      </w:r>
    </w:p>
    <w:p w14:paraId="42AEE23B" w14:textId="3C718A3E" w:rsidR="0072239C"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C</w:t>
      </w:r>
      <w:r w:rsidR="00F40869" w:rsidRPr="00AE65E3">
        <w:rPr>
          <w:rFonts w:eastAsia="Calibri" w:cs="Arial"/>
          <w:snapToGrid/>
          <w:sz w:val="20"/>
        </w:rPr>
        <w:t>ough</w:t>
      </w:r>
    </w:p>
    <w:p w14:paraId="38680BF9" w14:textId="6AD135E0" w:rsidR="00AE65E3" w:rsidRDefault="0072239C" w:rsidP="00AE65E3">
      <w:pPr>
        <w:pStyle w:val="ListParagraph"/>
        <w:numPr>
          <w:ilvl w:val="1"/>
          <w:numId w:val="48"/>
        </w:numPr>
        <w:spacing w:after="160" w:line="259" w:lineRule="auto"/>
        <w:ind w:left="2430"/>
        <w:rPr>
          <w:rFonts w:eastAsia="Calibri" w:cs="Arial"/>
          <w:snapToGrid/>
          <w:sz w:val="20"/>
        </w:rPr>
      </w:pPr>
      <w:r>
        <w:rPr>
          <w:rFonts w:eastAsia="Calibri" w:cs="Arial"/>
          <w:snapToGrid/>
          <w:sz w:val="20"/>
        </w:rPr>
        <w:t>W</w:t>
      </w:r>
      <w:r w:rsidR="00F40869" w:rsidRPr="00AE65E3">
        <w:rPr>
          <w:rFonts w:eastAsia="Calibri" w:cs="Arial"/>
          <w:snapToGrid/>
          <w:sz w:val="20"/>
        </w:rPr>
        <w:t>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8"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8"/>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r w:rsidRPr="00AE65E3">
        <w:rPr>
          <w:rFonts w:eastAsia="Calibri" w:cs="Arial"/>
          <w:snapToGrid/>
          <w:sz w:val="20"/>
        </w:rPr>
        <w:t>Serum IgE specific to alpha-gal ≥ 0.1 IU/mL</w:t>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40F77519"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confirmatory laboratory </w:t>
      </w:r>
      <w:r w:rsidR="004B6B2A">
        <w:rPr>
          <w:rFonts w:eastAsia="Calibri" w:cs="Arial"/>
          <w:snapToGrid/>
          <w:sz w:val="20"/>
        </w:rPr>
        <w:t>evidence</w:t>
      </w:r>
      <w:r>
        <w:rPr>
          <w:rFonts w:eastAsia="Calibri" w:cs="Arial"/>
          <w:snapToGrid/>
          <w:sz w:val="20"/>
        </w:rPr>
        <w:t xml:space="preserve">. </w:t>
      </w:r>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1DF9F022" w:rsidR="00F40869" w:rsidRPr="006120F3" w:rsidRDefault="00AE276A" w:rsidP="006120F3">
      <w:pPr>
        <w:pStyle w:val="ListParagraph"/>
        <w:numPr>
          <w:ilvl w:val="0"/>
          <w:numId w:val="48"/>
        </w:numPr>
        <w:ind w:left="1710"/>
        <w:rPr>
          <w:rFonts w:eastAsia="Calibri" w:cs="Arial"/>
          <w:snapToGrid/>
          <w:sz w:val="20"/>
        </w:rPr>
      </w:pPr>
      <w:r>
        <w:rPr>
          <w:rFonts w:eastAsia="Calibri" w:cs="Arial"/>
          <w:snapToGrid/>
          <w:sz w:val="20"/>
        </w:rPr>
        <w:t xml:space="preserve">Meets clinical criteria AND presumptive laboratory evidence. </w:t>
      </w:r>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37D33BEB" w:rsidR="00F40869" w:rsidRPr="00C52116" w:rsidRDefault="00AE276A" w:rsidP="00C52116">
      <w:pPr>
        <w:pStyle w:val="ListParagraph"/>
        <w:numPr>
          <w:ilvl w:val="0"/>
          <w:numId w:val="48"/>
        </w:numPr>
        <w:ind w:left="1710"/>
        <w:rPr>
          <w:rFonts w:eastAsia="Calibri" w:cs="Arial"/>
          <w:snapToGrid/>
          <w:sz w:val="20"/>
        </w:rPr>
      </w:pPr>
      <w:r>
        <w:rPr>
          <w:rFonts w:eastAsia="Calibri" w:cs="Arial"/>
          <w:snapToGrid/>
          <w:sz w:val="20"/>
        </w:rPr>
        <w:t>Meets confirmatory laboratory evidence</w:t>
      </w:r>
      <w:r w:rsidR="00303EE6">
        <w:rPr>
          <w:rFonts w:eastAsia="Calibri" w:cs="Arial"/>
          <w:snapToGrid/>
          <w:sz w:val="20"/>
        </w:rPr>
        <w:t xml:space="preserve"> with no clinical information available. </w:t>
      </w:r>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1B65C1"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1B65C1"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1B65C1"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1B65C1"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20"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7E7304" w:rsidRDefault="006F4C3B" w:rsidP="002A6227">
      <w:pPr>
        <w:pStyle w:val="EndNoteBibliography"/>
        <w:ind w:left="720" w:hanging="720"/>
        <w:rPr>
          <w:sz w:val="20"/>
        </w:rPr>
      </w:pPr>
      <w:r w:rsidRPr="007E7304">
        <w:rPr>
          <w:sz w:val="20"/>
        </w:rPr>
        <w:fldChar w:fldCharType="begin"/>
      </w:r>
      <w:r w:rsidRPr="007E7304">
        <w:rPr>
          <w:sz w:val="20"/>
        </w:rPr>
        <w:instrText xml:space="preserve"> ADDIN EN.REFLIST </w:instrText>
      </w:r>
      <w:r w:rsidRPr="007E7304">
        <w:rPr>
          <w:sz w:val="20"/>
        </w:rPr>
        <w:fldChar w:fldCharType="separate"/>
      </w:r>
      <w:r w:rsidR="002A6227" w:rsidRPr="007E7304">
        <w:rPr>
          <w:sz w:val="20"/>
        </w:rPr>
        <w:t>1</w:t>
      </w:r>
      <w:r w:rsidR="002A6227" w:rsidRPr="007E7304">
        <w:rPr>
          <w:sz w:val="20"/>
        </w:rPr>
        <w:tab/>
        <w:t>Commins, S. P.</w:t>
      </w:r>
      <w:r w:rsidR="002A6227" w:rsidRPr="007E7304">
        <w:rPr>
          <w:i/>
          <w:sz w:val="20"/>
        </w:rPr>
        <w:t xml:space="preserve"> et al.</w:t>
      </w:r>
      <w:r w:rsidR="002A6227" w:rsidRPr="007E7304">
        <w:rPr>
          <w:sz w:val="20"/>
        </w:rPr>
        <w:t xml:space="preserve"> Delayed anaphylaxis, angioedema, or urticaria after consumption of red meat in patients with IgE antibodies specific for galactose-alpha-1,3-galactose. </w:t>
      </w:r>
      <w:r w:rsidR="002A6227" w:rsidRPr="007E7304">
        <w:rPr>
          <w:i/>
          <w:sz w:val="20"/>
        </w:rPr>
        <w:t>J Allergy Clin Immunol</w:t>
      </w:r>
      <w:r w:rsidR="002A6227" w:rsidRPr="007E7304">
        <w:rPr>
          <w:sz w:val="20"/>
        </w:rPr>
        <w:t xml:space="preserve"> </w:t>
      </w:r>
      <w:r w:rsidR="002A6227" w:rsidRPr="007E7304">
        <w:rPr>
          <w:b/>
          <w:sz w:val="20"/>
        </w:rPr>
        <w:t>123</w:t>
      </w:r>
      <w:r w:rsidR="002A6227" w:rsidRPr="007E7304">
        <w:rPr>
          <w:sz w:val="20"/>
        </w:rPr>
        <w:t>, 426-433, doi:10.1016/j.jaci.2008.10.052 (2009).</w:t>
      </w:r>
    </w:p>
    <w:p w14:paraId="4B81F458" w14:textId="77777777" w:rsidR="002A6227" w:rsidRPr="007E7304" w:rsidRDefault="002A6227" w:rsidP="002A6227">
      <w:pPr>
        <w:pStyle w:val="EndNoteBibliography"/>
        <w:ind w:left="720" w:hanging="720"/>
        <w:rPr>
          <w:sz w:val="20"/>
        </w:rPr>
      </w:pPr>
      <w:r w:rsidRPr="007E7304">
        <w:rPr>
          <w:sz w:val="20"/>
        </w:rPr>
        <w:t>2</w:t>
      </w:r>
      <w:r w:rsidRPr="007E7304">
        <w:rPr>
          <w:sz w:val="20"/>
        </w:rPr>
        <w:tab/>
        <w:t>Wilson, J. M.</w:t>
      </w:r>
      <w:r w:rsidRPr="007E7304">
        <w:rPr>
          <w:i/>
          <w:sz w:val="20"/>
        </w:rPr>
        <w:t xml:space="preserve"> et al.</w:t>
      </w:r>
      <w:r w:rsidRPr="007E7304">
        <w:rPr>
          <w:sz w:val="20"/>
        </w:rPr>
        <w:t xml:space="preserve"> Investigation into the alpha-Gal Syndrome: Characteristics of 261 Children and Adults Reporting Red Meat Allergy. </w:t>
      </w:r>
      <w:r w:rsidRPr="007E7304">
        <w:rPr>
          <w:i/>
          <w:sz w:val="20"/>
        </w:rPr>
        <w:t>J Allergy Clin Immunol Pract</w:t>
      </w:r>
      <w:r w:rsidRPr="007E7304">
        <w:rPr>
          <w:sz w:val="20"/>
        </w:rPr>
        <w:t xml:space="preserve"> </w:t>
      </w:r>
      <w:r w:rsidRPr="007E7304">
        <w:rPr>
          <w:b/>
          <w:sz w:val="20"/>
        </w:rPr>
        <w:t>7</w:t>
      </w:r>
      <w:r w:rsidRPr="007E7304">
        <w:rPr>
          <w:sz w:val="20"/>
        </w:rPr>
        <w:t>, 2348-2358 e2344, doi:10.1016/j.jaip.2019.03.031 (2019).</w:t>
      </w:r>
    </w:p>
    <w:p w14:paraId="743AAD78" w14:textId="77777777" w:rsidR="002A6227" w:rsidRPr="007E7304" w:rsidRDefault="002A6227" w:rsidP="002A6227">
      <w:pPr>
        <w:pStyle w:val="EndNoteBibliography"/>
        <w:ind w:left="720" w:hanging="720"/>
        <w:rPr>
          <w:sz w:val="20"/>
        </w:rPr>
      </w:pPr>
      <w:r w:rsidRPr="007E7304">
        <w:rPr>
          <w:sz w:val="20"/>
        </w:rPr>
        <w:t>3</w:t>
      </w:r>
      <w:r w:rsidRPr="007E7304">
        <w:rPr>
          <w:sz w:val="20"/>
        </w:rPr>
        <w:tab/>
        <w:t>Chung, C. H.</w:t>
      </w:r>
      <w:r w:rsidRPr="007E7304">
        <w:rPr>
          <w:i/>
          <w:sz w:val="20"/>
        </w:rPr>
        <w:t xml:space="preserve"> et al.</w:t>
      </w:r>
      <w:r w:rsidRPr="007E7304">
        <w:rPr>
          <w:sz w:val="20"/>
        </w:rPr>
        <w:t xml:space="preserve"> Cetuximab-induced anaphylaxis and IgE specific for galactose-alpha-1,3-galactose. </w:t>
      </w:r>
      <w:r w:rsidRPr="007E7304">
        <w:rPr>
          <w:i/>
          <w:sz w:val="20"/>
        </w:rPr>
        <w:t>N Engl J Med</w:t>
      </w:r>
      <w:r w:rsidRPr="007E7304">
        <w:rPr>
          <w:sz w:val="20"/>
        </w:rPr>
        <w:t xml:space="preserve"> </w:t>
      </w:r>
      <w:r w:rsidRPr="007E7304">
        <w:rPr>
          <w:b/>
          <w:sz w:val="20"/>
        </w:rPr>
        <w:t>358</w:t>
      </w:r>
      <w:r w:rsidRPr="007E7304">
        <w:rPr>
          <w:sz w:val="20"/>
        </w:rPr>
        <w:t>, 1109-1117, doi:10.1056/NEJMoa074943 (2008).</w:t>
      </w:r>
    </w:p>
    <w:p w14:paraId="68D0BE4C" w14:textId="77777777" w:rsidR="002A6227" w:rsidRPr="007E7304" w:rsidRDefault="002A6227" w:rsidP="002A6227">
      <w:pPr>
        <w:pStyle w:val="EndNoteBibliography"/>
        <w:ind w:left="720" w:hanging="720"/>
        <w:rPr>
          <w:sz w:val="20"/>
        </w:rPr>
      </w:pPr>
      <w:r w:rsidRPr="007E7304">
        <w:rPr>
          <w:sz w:val="20"/>
        </w:rPr>
        <w:t>4</w:t>
      </w:r>
      <w:r w:rsidRPr="007E7304">
        <w:rPr>
          <w:sz w:val="20"/>
        </w:rPr>
        <w:tab/>
        <w:t xml:space="preserve">Galili, U. The alpha-gal epitope and the anti-Gal antibody in xenotransplantation and in cancer immunotherapy. </w:t>
      </w:r>
      <w:r w:rsidRPr="007E7304">
        <w:rPr>
          <w:i/>
          <w:sz w:val="20"/>
        </w:rPr>
        <w:t>Immunol Cell Biol</w:t>
      </w:r>
      <w:r w:rsidRPr="007E7304">
        <w:rPr>
          <w:sz w:val="20"/>
        </w:rPr>
        <w:t xml:space="preserve"> </w:t>
      </w:r>
      <w:r w:rsidRPr="007E7304">
        <w:rPr>
          <w:b/>
          <w:sz w:val="20"/>
        </w:rPr>
        <w:t>83</w:t>
      </w:r>
      <w:r w:rsidRPr="007E7304">
        <w:rPr>
          <w:sz w:val="20"/>
        </w:rPr>
        <w:t>, 674-686, doi:10.1111/j.1440-1711.2005.01366.x (2005).</w:t>
      </w:r>
    </w:p>
    <w:p w14:paraId="0A7FF275" w14:textId="77777777" w:rsidR="002A6227" w:rsidRPr="007E7304" w:rsidRDefault="002A6227" w:rsidP="002A6227">
      <w:pPr>
        <w:pStyle w:val="EndNoteBibliography"/>
        <w:ind w:left="720" w:hanging="720"/>
        <w:rPr>
          <w:sz w:val="20"/>
        </w:rPr>
      </w:pPr>
      <w:r w:rsidRPr="007E7304">
        <w:rPr>
          <w:sz w:val="20"/>
        </w:rPr>
        <w:t>5</w:t>
      </w:r>
      <w:r w:rsidRPr="007E7304">
        <w:rPr>
          <w:sz w:val="20"/>
        </w:rPr>
        <w:tab/>
        <w:t>Mabelane, T.</w:t>
      </w:r>
      <w:r w:rsidRPr="007E7304">
        <w:rPr>
          <w:i/>
          <w:sz w:val="20"/>
        </w:rPr>
        <w:t xml:space="preserve"> et al.</w:t>
      </w:r>
      <w:r w:rsidRPr="007E7304">
        <w:rPr>
          <w:sz w:val="20"/>
        </w:rPr>
        <w:t xml:space="preserve"> Predictive values of alpha-gal IgE levels and alpha-gal IgE: Total IgE ratio and oral food challenge-proven meat allergy in a population with a high prevalence of reported red meat allergy. </w:t>
      </w:r>
      <w:r w:rsidRPr="007E7304">
        <w:rPr>
          <w:i/>
          <w:sz w:val="20"/>
        </w:rPr>
        <w:t>Pediatr Allergy Immunol</w:t>
      </w:r>
      <w:r w:rsidRPr="007E7304">
        <w:rPr>
          <w:sz w:val="20"/>
        </w:rPr>
        <w:t xml:space="preserve"> </w:t>
      </w:r>
      <w:r w:rsidRPr="007E7304">
        <w:rPr>
          <w:b/>
          <w:sz w:val="20"/>
        </w:rPr>
        <w:t>29</w:t>
      </w:r>
      <w:r w:rsidRPr="007E7304">
        <w:rPr>
          <w:sz w:val="20"/>
        </w:rPr>
        <w:t>, 841-849, doi:10.1111/pai.12969 (2018).</w:t>
      </w:r>
    </w:p>
    <w:p w14:paraId="7AFF774C" w14:textId="77777777" w:rsidR="002A6227" w:rsidRPr="007E7304" w:rsidRDefault="002A6227" w:rsidP="002A6227">
      <w:pPr>
        <w:pStyle w:val="EndNoteBibliography"/>
        <w:ind w:left="720" w:hanging="720"/>
        <w:rPr>
          <w:sz w:val="20"/>
        </w:rPr>
      </w:pPr>
      <w:r w:rsidRPr="007E7304">
        <w:rPr>
          <w:sz w:val="20"/>
        </w:rPr>
        <w:t>6</w:t>
      </w:r>
      <w:r w:rsidRPr="007E7304">
        <w:rPr>
          <w:sz w:val="20"/>
        </w:rPr>
        <w:tab/>
        <w:t xml:space="preserve">Platts-Mills, T. A. E., Li, R. C., Keshavarz, B., Smith, A. R. &amp; Wilson, J. M. Diagnosis and Management of Patients with the alpha-Gal Syndrome. </w:t>
      </w:r>
      <w:r w:rsidRPr="007E7304">
        <w:rPr>
          <w:i/>
          <w:sz w:val="20"/>
        </w:rPr>
        <w:t>J Allergy Clin Immunol Pract</w:t>
      </w:r>
      <w:r w:rsidRPr="007E7304">
        <w:rPr>
          <w:sz w:val="20"/>
        </w:rPr>
        <w:t xml:space="preserve"> </w:t>
      </w:r>
      <w:r w:rsidRPr="007E7304">
        <w:rPr>
          <w:b/>
          <w:sz w:val="20"/>
        </w:rPr>
        <w:t>8</w:t>
      </w:r>
      <w:r w:rsidRPr="007E7304">
        <w:rPr>
          <w:sz w:val="20"/>
        </w:rPr>
        <w:t>, 15-23 e11, doi:10.1016/j.jaip.2019.09.017 (2020).</w:t>
      </w:r>
    </w:p>
    <w:p w14:paraId="526D0FCE" w14:textId="77777777" w:rsidR="002A6227" w:rsidRPr="007E7304" w:rsidRDefault="002A6227" w:rsidP="002A6227">
      <w:pPr>
        <w:pStyle w:val="EndNoteBibliography"/>
        <w:ind w:left="720" w:hanging="720"/>
        <w:rPr>
          <w:sz w:val="20"/>
        </w:rPr>
      </w:pPr>
      <w:r w:rsidRPr="007E7304">
        <w:rPr>
          <w:sz w:val="20"/>
        </w:rPr>
        <w:t>7</w:t>
      </w:r>
      <w:r w:rsidRPr="007E7304">
        <w:rPr>
          <w:sz w:val="20"/>
        </w:rPr>
        <w:tab/>
        <w:t>Commins, S. P.</w:t>
      </w:r>
      <w:r w:rsidRPr="007E7304">
        <w:rPr>
          <w:i/>
          <w:sz w:val="20"/>
        </w:rPr>
        <w:t xml:space="preserve"> et al.</w:t>
      </w:r>
      <w:r w:rsidRPr="007E7304">
        <w:rPr>
          <w:sz w:val="20"/>
        </w:rPr>
        <w:t xml:space="preserve"> The relevance of tick bites to the production of IgE antibodies to the mammalian oligosaccharide galactose-alpha-1,3-galactose. </w:t>
      </w:r>
      <w:r w:rsidRPr="007E7304">
        <w:rPr>
          <w:i/>
          <w:sz w:val="20"/>
        </w:rPr>
        <w:t>J Allergy Clin Immunol</w:t>
      </w:r>
      <w:r w:rsidRPr="007E7304">
        <w:rPr>
          <w:sz w:val="20"/>
        </w:rPr>
        <w:t xml:space="preserve"> </w:t>
      </w:r>
      <w:r w:rsidRPr="007E7304">
        <w:rPr>
          <w:b/>
          <w:sz w:val="20"/>
        </w:rPr>
        <w:t>127</w:t>
      </w:r>
      <w:r w:rsidRPr="007E7304">
        <w:rPr>
          <w:sz w:val="20"/>
        </w:rPr>
        <w:t>, 1286-1293 e1286, doi:10.1016/j.jaci.2011.02.019 (2011).</w:t>
      </w:r>
    </w:p>
    <w:p w14:paraId="668A80CF" w14:textId="77777777" w:rsidR="002A6227" w:rsidRPr="007E7304" w:rsidRDefault="002A6227" w:rsidP="002A6227">
      <w:pPr>
        <w:pStyle w:val="EndNoteBibliography"/>
        <w:ind w:left="720" w:hanging="720"/>
        <w:rPr>
          <w:sz w:val="20"/>
        </w:rPr>
      </w:pPr>
      <w:r w:rsidRPr="007E7304">
        <w:rPr>
          <w:sz w:val="20"/>
        </w:rPr>
        <w:t>8</w:t>
      </w:r>
      <w:r w:rsidRPr="007E7304">
        <w:rPr>
          <w:sz w:val="20"/>
        </w:rPr>
        <w:tab/>
        <w:t>Crispell, G.</w:t>
      </w:r>
      <w:r w:rsidRPr="007E7304">
        <w:rPr>
          <w:i/>
          <w:sz w:val="20"/>
        </w:rPr>
        <w:t xml:space="preserve"> et al.</w:t>
      </w:r>
      <w:r w:rsidRPr="007E7304">
        <w:rPr>
          <w:sz w:val="20"/>
        </w:rPr>
        <w:t xml:space="preserve"> Discovery of Alpha-Gal-Containing Antigens in North American Tick Species Believed to Induce Red Meat Allergy. </w:t>
      </w:r>
      <w:r w:rsidRPr="007E7304">
        <w:rPr>
          <w:i/>
          <w:sz w:val="20"/>
        </w:rPr>
        <w:t>Front Immunol</w:t>
      </w:r>
      <w:r w:rsidRPr="007E7304">
        <w:rPr>
          <w:sz w:val="20"/>
        </w:rPr>
        <w:t xml:space="preserve"> </w:t>
      </w:r>
      <w:r w:rsidRPr="007E7304">
        <w:rPr>
          <w:b/>
          <w:sz w:val="20"/>
        </w:rPr>
        <w:t>10</w:t>
      </w:r>
      <w:r w:rsidRPr="007E7304">
        <w:rPr>
          <w:sz w:val="20"/>
        </w:rPr>
        <w:t>, 1056, doi:10.3389/fimmu.2019.01056 (2019).</w:t>
      </w:r>
    </w:p>
    <w:p w14:paraId="61E955DA" w14:textId="77777777" w:rsidR="002A6227" w:rsidRPr="007E7304" w:rsidRDefault="002A6227" w:rsidP="002A6227">
      <w:pPr>
        <w:pStyle w:val="EndNoteBibliography"/>
        <w:ind w:left="720" w:hanging="720"/>
        <w:rPr>
          <w:sz w:val="20"/>
        </w:rPr>
      </w:pPr>
      <w:r w:rsidRPr="007E7304">
        <w:rPr>
          <w:sz w:val="20"/>
        </w:rPr>
        <w:t>9</w:t>
      </w:r>
      <w:r w:rsidRPr="007E7304">
        <w:rPr>
          <w:sz w:val="20"/>
        </w:rPr>
        <w:tab/>
        <w:t xml:space="preserve">Platts-Mills, T. A. &amp; Commins, S. P. Emerging antigens involved in allergic responses. </w:t>
      </w:r>
      <w:r w:rsidRPr="007E7304">
        <w:rPr>
          <w:i/>
          <w:sz w:val="20"/>
        </w:rPr>
        <w:t>Curr Opin Immunol</w:t>
      </w:r>
      <w:r w:rsidRPr="007E7304">
        <w:rPr>
          <w:sz w:val="20"/>
        </w:rPr>
        <w:t xml:space="preserve"> </w:t>
      </w:r>
      <w:r w:rsidRPr="007E7304">
        <w:rPr>
          <w:b/>
          <w:sz w:val="20"/>
        </w:rPr>
        <w:t>25</w:t>
      </w:r>
      <w:r w:rsidRPr="007E7304">
        <w:rPr>
          <w:sz w:val="20"/>
        </w:rPr>
        <w:t>, 769-774, doi:10.1016/j.coi.2013.09.002 (2013).</w:t>
      </w:r>
    </w:p>
    <w:p w14:paraId="25912608" w14:textId="1826E0D9" w:rsidR="007E7304" w:rsidRPr="00D464D1" w:rsidRDefault="006F4C3B">
      <w:pPr>
        <w:rPr>
          <w:sz w:val="22"/>
          <w:szCs w:val="18"/>
        </w:rPr>
      </w:pPr>
      <w:r w:rsidRPr="007E7304">
        <w:rPr>
          <w:sz w:val="20"/>
        </w:rPr>
        <w:fldChar w:fldCharType="end"/>
      </w: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lastRenderedPageBreak/>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1F6D09D0" w14:textId="51C26F22" w:rsidR="00D464D1" w:rsidRPr="00515D5F" w:rsidRDefault="001B65C1" w:rsidP="00515D5F">
      <w:pPr>
        <w:ind w:firstLine="720"/>
        <w:rPr>
          <w:rFonts w:cs="Arial"/>
          <w:color w:val="0000FF"/>
          <w:sz w:val="20"/>
        </w:rPr>
      </w:pPr>
      <w:hyperlink r:id="rId21" w:history="1">
        <w:r w:rsidR="00F40869" w:rsidRPr="00201BE5">
          <w:rPr>
            <w:rStyle w:val="Hyperlink"/>
            <w:rFonts w:eastAsiaTheme="majorEastAsia" w:cs="Arial"/>
            <w:sz w:val="20"/>
          </w:rPr>
          <w:t>yzu9@cdc.gov</w:t>
        </w:r>
      </w:hyperlink>
      <w:r w:rsidR="00F40869" w:rsidRPr="00EF6AEA">
        <w:rPr>
          <w:rFonts w:cs="Arial"/>
          <w:sz w:val="20"/>
        </w:rPr>
        <w:t xml:space="preserve"> </w:t>
      </w:r>
    </w:p>
    <w:p w14:paraId="1E371FC3" w14:textId="77777777" w:rsidR="00F2382B" w:rsidRDefault="00F2382B" w:rsidP="004B0235">
      <w:pPr>
        <w:rPr>
          <w:rFonts w:cs="Arial"/>
          <w:sz w:val="20"/>
        </w:rPr>
      </w:pPr>
    </w:p>
    <w:p w14:paraId="0085D744" w14:textId="351E3306"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585A83DC" w14:textId="77777777" w:rsidR="00121F2B" w:rsidRDefault="00121F2B" w:rsidP="004B0235">
      <w:pPr>
        <w:rPr>
          <w:rFonts w:cs="Arial"/>
          <w:sz w:val="20"/>
        </w:rPr>
        <w:sectPr w:rsidR="00121F2B" w:rsidSect="00026661">
          <w:type w:val="continuous"/>
          <w:pgSz w:w="12240" w:h="15840" w:code="1"/>
          <w:pgMar w:top="1152" w:right="1080" w:bottom="1152" w:left="1080" w:header="720" w:footer="620" w:gutter="0"/>
          <w:cols w:space="720"/>
          <w:formProt w:val="0"/>
          <w:noEndnote/>
          <w:docGrid w:linePitch="326"/>
        </w:sectPr>
      </w:pPr>
    </w:p>
    <w:p w14:paraId="7AEAAF6C" w14:textId="37A88DF3"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1B65C1" w:rsidP="004B0235">
      <w:pPr>
        <w:ind w:firstLine="720"/>
        <w:rPr>
          <w:rFonts w:cs="Arial"/>
          <w:sz w:val="20"/>
        </w:rPr>
      </w:pPr>
      <w:hyperlink r:id="rId22" w:history="1">
        <w:r w:rsidR="00F40869" w:rsidRPr="00201BE5">
          <w:rPr>
            <w:rStyle w:val="Hyperlink"/>
            <w:rFonts w:eastAsiaTheme="majorEastAsia"/>
            <w:sz w:val="20"/>
          </w:rPr>
          <w:t>wwd7@cdc.gov</w:t>
        </w:r>
      </w:hyperlink>
      <w:r w:rsidR="00F40869">
        <w:rPr>
          <w:sz w:val="20"/>
        </w:rPr>
        <w:t xml:space="preserve">   </w:t>
      </w: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121F2B">
      <w:pPr>
        <w:ind w:left="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1B65C1" w:rsidP="004B0235">
      <w:pPr>
        <w:keepNext/>
        <w:keepLines/>
        <w:ind w:firstLine="720"/>
        <w:rPr>
          <w:rFonts w:cs="Arial"/>
          <w:sz w:val="20"/>
        </w:rPr>
      </w:pPr>
      <w:hyperlink r:id="rId23" w:history="1">
        <w:r w:rsidR="00F40869" w:rsidRPr="00201BE5">
          <w:rPr>
            <w:rStyle w:val="Hyperlink"/>
            <w:rFonts w:eastAsiaTheme="majorEastAsia" w:cs="Arial"/>
            <w:sz w:val="20"/>
          </w:rPr>
          <w:t>scommins@email.unc.edu</w:t>
        </w:r>
      </w:hyperlink>
      <w:r w:rsidR="00F40869">
        <w:rPr>
          <w:rFonts w:cs="Arial"/>
          <w:sz w:val="20"/>
        </w:rPr>
        <w:t xml:space="preserve"> </w:t>
      </w:r>
    </w:p>
    <w:p w14:paraId="765B6BA5" w14:textId="77777777" w:rsidR="00121F2B" w:rsidRDefault="00121F2B" w:rsidP="004B0235">
      <w:pPr>
        <w:rPr>
          <w:rFonts w:cs="Arial"/>
          <w:sz w:val="20"/>
        </w:rPr>
      </w:pPr>
    </w:p>
    <w:p w14:paraId="3AD5A1E3" w14:textId="30B04BDF" w:rsidR="00121F2B" w:rsidRDefault="00121F2B" w:rsidP="004B0235">
      <w:pPr>
        <w:rPr>
          <w:rFonts w:cs="Arial"/>
          <w:sz w:val="20"/>
        </w:rPr>
        <w:sectPr w:rsidR="00121F2B" w:rsidSect="00121F2B">
          <w:type w:val="continuous"/>
          <w:pgSz w:w="12240" w:h="15840" w:code="1"/>
          <w:pgMar w:top="1152" w:right="1080" w:bottom="1152" w:left="1080" w:header="720" w:footer="620" w:gutter="0"/>
          <w:cols w:num="2" w:space="720"/>
          <w:formProt w:val="0"/>
          <w:noEndnote/>
          <w:docGrid w:linePitch="326"/>
        </w:sectPr>
      </w:pPr>
    </w:p>
    <w:p w14:paraId="25EC5CDA" w14:textId="77777777"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5825435B" w14:textId="483F4BC8" w:rsidR="00F40869" w:rsidRPr="00121F2B" w:rsidRDefault="00121F2B">
      <w:pPr>
        <w:rPr>
          <w:rFonts w:cs="Arial"/>
          <w:b/>
          <w:bCs/>
          <w:color w:val="000000" w:themeColor="text1"/>
          <w:sz w:val="20"/>
          <w:lang w:val="es-ES"/>
        </w:rPr>
      </w:pPr>
      <w:r w:rsidRPr="00121F2B">
        <w:rPr>
          <w:rFonts w:cs="Arial"/>
          <w:b/>
          <w:bCs/>
          <w:color w:val="000000" w:themeColor="text1"/>
          <w:sz w:val="20"/>
          <w:lang w:val="es-ES"/>
        </w:rPr>
        <w:t xml:space="preserve">Agencies </w:t>
      </w:r>
      <w:proofErr w:type="spellStart"/>
      <w:r w:rsidRPr="00121F2B">
        <w:rPr>
          <w:rFonts w:cs="Arial"/>
          <w:b/>
          <w:bCs/>
          <w:color w:val="000000" w:themeColor="text1"/>
          <w:sz w:val="20"/>
          <w:lang w:val="es-ES"/>
        </w:rPr>
        <w:t>for</w:t>
      </w:r>
      <w:proofErr w:type="spellEnd"/>
      <w:r w:rsidRPr="00121F2B">
        <w:rPr>
          <w:rFonts w:cs="Arial"/>
          <w:b/>
          <w:bCs/>
          <w:color w:val="000000" w:themeColor="text1"/>
          <w:sz w:val="20"/>
          <w:lang w:val="es-ES"/>
        </w:rPr>
        <w:t xml:space="preserve"> </w:t>
      </w:r>
      <w:proofErr w:type="spellStart"/>
      <w:r w:rsidRPr="00121F2B">
        <w:rPr>
          <w:rFonts w:cs="Arial"/>
          <w:b/>
          <w:bCs/>
          <w:color w:val="000000" w:themeColor="text1"/>
          <w:sz w:val="20"/>
          <w:lang w:val="es-ES"/>
        </w:rPr>
        <w:t>Information</w:t>
      </w:r>
      <w:proofErr w:type="spellEnd"/>
    </w:p>
    <w:p w14:paraId="3F4B23C7" w14:textId="3CB93C8E" w:rsidR="00121F2B" w:rsidRPr="00121F2B" w:rsidRDefault="00121F2B">
      <w:pPr>
        <w:rPr>
          <w:rFonts w:cs="Arial"/>
          <w:color w:val="000000" w:themeColor="text1"/>
          <w:sz w:val="20"/>
          <w:lang w:val="es-ES"/>
        </w:rPr>
      </w:pPr>
      <w:r w:rsidRPr="00121F2B">
        <w:rPr>
          <w:rFonts w:cs="Arial"/>
          <w:color w:val="000000" w:themeColor="text1"/>
          <w:sz w:val="20"/>
          <w:lang w:val="es-ES"/>
        </w:rPr>
        <w:t>N/A</w:t>
      </w:r>
    </w:p>
    <w:p w14:paraId="3B7E30C0" w14:textId="77777777" w:rsidR="00121F2B" w:rsidRDefault="00121F2B">
      <w:pPr>
        <w:rPr>
          <w:rFonts w:cs="Arial"/>
          <w:b/>
          <w:bCs/>
          <w:sz w:val="20"/>
          <w:u w:val="single"/>
          <w:lang w:val="es-ES"/>
        </w:rPr>
      </w:pPr>
    </w:p>
    <w:p w14:paraId="56EF9F0F" w14:textId="77777777" w:rsidR="00121F2B" w:rsidRDefault="00121F2B">
      <w:pPr>
        <w:rPr>
          <w:rFonts w:cs="Arial"/>
          <w:b/>
          <w:bCs/>
          <w:sz w:val="20"/>
          <w:u w:val="single"/>
          <w:lang w:val="es-ES"/>
        </w:rPr>
      </w:pPr>
    </w:p>
    <w:p w14:paraId="508D8436" w14:textId="73211355"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1B65C1" w:rsidP="00D464D1">
      <w:pPr>
        <w:ind w:firstLine="720"/>
        <w:rPr>
          <w:rFonts w:cs="Arial"/>
          <w:color w:val="0000FF"/>
          <w:sz w:val="20"/>
        </w:rPr>
      </w:pPr>
      <w:hyperlink r:id="rId24"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B65C1">
        <w:rPr>
          <w:rFonts w:cs="Arial"/>
          <w:sz w:val="20"/>
        </w:rPr>
      </w:r>
      <w:r w:rsidR="001B65C1">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5AC03D2C" w14:textId="1D61DA6D" w:rsidR="001863E6" w:rsidRPr="00121F2B" w:rsidRDefault="001B65C1" w:rsidP="00121F2B">
      <w:pPr>
        <w:ind w:left="86" w:firstLine="634"/>
        <w:rPr>
          <w:rFonts w:cs="Arial"/>
          <w:snapToGrid/>
          <w:color w:val="000000"/>
          <w:sz w:val="20"/>
        </w:rPr>
      </w:pPr>
      <w:hyperlink r:id="rId25"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323C8629" w14:textId="77777777" w:rsidR="001863E6" w:rsidRDefault="001863E6">
      <w:pPr>
        <w:rPr>
          <w:rFonts w:cs="Arial"/>
          <w:sz w:val="20"/>
        </w:rPr>
      </w:pPr>
    </w:p>
    <w:p w14:paraId="65E9FCEC" w14:textId="4501EE09"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B65C1">
        <w:rPr>
          <w:rFonts w:cs="Arial"/>
          <w:sz w:val="20"/>
        </w:rPr>
      </w:r>
      <w:r w:rsidR="001B65C1">
        <w:rPr>
          <w:rFonts w:cs="Arial"/>
          <w:sz w:val="20"/>
        </w:rPr>
        <w:fldChar w:fldCharType="separate"/>
      </w:r>
      <w:r w:rsidRPr="00377456">
        <w:rPr>
          <w:rFonts w:cs="Arial"/>
          <w:sz w:val="20"/>
        </w:rPr>
        <w:fldChar w:fldCharType="end"/>
      </w:r>
      <w:r w:rsidRPr="00377456">
        <w:rPr>
          <w:rFonts w:cs="Arial"/>
          <w:sz w:val="20"/>
        </w:rPr>
        <w:t>Active Member</w:t>
      </w: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1E148E70" w:rsidR="00F40869" w:rsidRPr="006B239F" w:rsidRDefault="00F40869" w:rsidP="004B0235">
      <w:pPr>
        <w:rPr>
          <w:rFonts w:cs="Arial"/>
          <w:color w:val="0000FF"/>
          <w:sz w:val="16"/>
        </w:rPr>
      </w:pPr>
      <w:r w:rsidRPr="00377456">
        <w:rPr>
          <w:rFonts w:cs="Arial"/>
          <w:sz w:val="20"/>
        </w:rPr>
        <w:tab/>
      </w:r>
      <w:hyperlink r:id="rId26" w:history="1">
        <w:r w:rsidR="005B5218" w:rsidRPr="00E353D5">
          <w:rPr>
            <w:rStyle w:val="Hyperlink"/>
            <w:rFonts w:cs="Arial"/>
            <w:sz w:val="20"/>
          </w:rPr>
          <w:t>kim.cervantes@doh.nj.gov</w:t>
        </w:r>
      </w:hyperlink>
      <w:r w:rsidR="005B5218">
        <w:rPr>
          <w:rFonts w:cs="Arial"/>
          <w:sz w:val="20"/>
        </w:rPr>
        <w:t xml:space="preserve"> </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B65C1">
        <w:rPr>
          <w:rFonts w:cs="Arial"/>
          <w:sz w:val="20"/>
        </w:rPr>
      </w:r>
      <w:r w:rsidR="001B65C1">
        <w:rPr>
          <w:rFonts w:cs="Arial"/>
          <w:sz w:val="20"/>
        </w:rPr>
        <w:fldChar w:fldCharType="separate"/>
      </w:r>
      <w:r w:rsidRPr="00377456">
        <w:rPr>
          <w:rFonts w:cs="Arial"/>
          <w:sz w:val="20"/>
        </w:rPr>
        <w:fldChar w:fldCharType="end"/>
      </w:r>
      <w:r w:rsidRPr="00377456">
        <w:rPr>
          <w:rFonts w:cs="Arial"/>
          <w:sz w:val="20"/>
        </w:rPr>
        <w:t>Active Member</w:t>
      </w: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27"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1B65C1">
        <w:rPr>
          <w:rFonts w:cs="Arial"/>
          <w:sz w:val="20"/>
        </w:rPr>
      </w:r>
      <w:r w:rsidR="001B65C1">
        <w:rPr>
          <w:rFonts w:cs="Arial"/>
          <w:sz w:val="20"/>
        </w:rPr>
        <w:fldChar w:fldCharType="separate"/>
      </w:r>
      <w:r w:rsidRPr="00377456">
        <w:rPr>
          <w:rFonts w:cs="Arial"/>
          <w:sz w:val="20"/>
        </w:rPr>
        <w:fldChar w:fldCharType="end"/>
      </w:r>
      <w:r w:rsidRPr="00377456">
        <w:rPr>
          <w:rFonts w:cs="Arial"/>
          <w:sz w:val="20"/>
        </w:rPr>
        <w:t>Active Member</w:t>
      </w: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7ED303F0" w14:textId="4C6CD068" w:rsidR="00F40869" w:rsidRDefault="001B65C1" w:rsidP="004B0235">
      <w:pPr>
        <w:ind w:left="86" w:firstLine="634"/>
        <w:rPr>
          <w:rStyle w:val="Hyperlink"/>
          <w:rFonts w:eastAsiaTheme="majorEastAsia" w:cs="Arial"/>
          <w:sz w:val="20"/>
        </w:rPr>
      </w:pPr>
      <w:hyperlink r:id="rId28" w:history="1">
        <w:r w:rsidR="00F40869" w:rsidRPr="00A71E96">
          <w:rPr>
            <w:rStyle w:val="Hyperlink"/>
            <w:rFonts w:eastAsiaTheme="majorEastAsia" w:cs="Arial"/>
            <w:sz w:val="20"/>
          </w:rPr>
          <w:t>abelardo.moncayo@tn.gov</w:t>
        </w:r>
      </w:hyperlink>
    </w:p>
    <w:p w14:paraId="004B046E" w14:textId="77777777" w:rsidR="00F40869" w:rsidRDefault="00F40869" w:rsidP="004B0235">
      <w:pPr>
        <w:rPr>
          <w:rFonts w:cs="Arial"/>
          <w:color w:val="0000FF"/>
          <w:sz w:val="16"/>
        </w:rPr>
      </w:pPr>
    </w:p>
    <w:p w14:paraId="58F59559" w14:textId="77777777" w:rsidR="00F40869" w:rsidRDefault="00F40869" w:rsidP="004B0235">
      <w:pPr>
        <w:rPr>
          <w:rFonts w:cs="Arial"/>
          <w:color w:val="0000FF"/>
          <w:sz w:val="16"/>
        </w:rPr>
      </w:pPr>
    </w:p>
    <w:p w14:paraId="5C49275B" w14:textId="624A7146"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9" w:name="Check3"/>
      <w:r w:rsidR="00CD1ED2">
        <w:rPr>
          <w:rFonts w:cs="Arial"/>
          <w:sz w:val="20"/>
        </w:rPr>
        <w:instrText xml:space="preserve">FORMCHECKBOX </w:instrText>
      </w:r>
      <w:r w:rsidR="001B65C1">
        <w:rPr>
          <w:rFonts w:cs="Arial"/>
          <w:sz w:val="20"/>
        </w:rPr>
      </w:r>
      <w:r w:rsidR="001B65C1">
        <w:rPr>
          <w:rFonts w:cs="Arial"/>
          <w:sz w:val="20"/>
        </w:rPr>
        <w:fldChar w:fldCharType="separate"/>
      </w:r>
      <w:r w:rsidR="00CD1ED2">
        <w:rPr>
          <w:rFonts w:cs="Arial"/>
          <w:sz w:val="20"/>
        </w:rPr>
        <w:fldChar w:fldCharType="end"/>
      </w:r>
      <w:bookmarkEnd w:id="9"/>
      <w:r w:rsidRPr="00377456">
        <w:rPr>
          <w:rFonts w:cs="Arial"/>
          <w:sz w:val="20"/>
        </w:rPr>
        <w:t>Active Member</w:t>
      </w:r>
    </w:p>
    <w:p w14:paraId="7D77BB00" w14:textId="77777777" w:rsidR="001863E6" w:rsidRPr="00377456" w:rsidRDefault="001863E6" w:rsidP="001863E6">
      <w:pPr>
        <w:rPr>
          <w:rFonts w:cs="Arial"/>
          <w:sz w:val="20"/>
        </w:rPr>
      </w:pPr>
    </w:p>
    <w:p w14:paraId="69F32625" w14:textId="5949E515" w:rsidR="00C74309" w:rsidRPr="00F940C2" w:rsidRDefault="001863E6" w:rsidP="00C74309">
      <w:pPr>
        <w:ind w:left="86" w:firstLine="634"/>
        <w:rPr>
          <w:color w:val="000000" w:themeColor="text1"/>
          <w:spacing w:val="-2"/>
          <w:sz w:val="20"/>
        </w:rPr>
      </w:pPr>
      <w:r w:rsidRPr="00F940C2">
        <w:rPr>
          <w:rFonts w:cs="Arial"/>
          <w:color w:val="000000" w:themeColor="text1"/>
          <w:spacing w:val="-2"/>
          <w:sz w:val="20"/>
        </w:rPr>
        <w:t>Laura Rothfeldt</w:t>
      </w:r>
      <w:r w:rsidR="00C74309" w:rsidRPr="00F940C2">
        <w:rPr>
          <w:rFonts w:cs="Arial"/>
          <w:color w:val="000000" w:themeColor="text1"/>
          <w:spacing w:val="-2"/>
          <w:sz w:val="20"/>
        </w:rPr>
        <w:t>, DVM,</w:t>
      </w:r>
    </w:p>
    <w:p w14:paraId="02E64680" w14:textId="14D5CD41"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692FF94C" w14:textId="5441F7AA" w:rsidR="00C74309" w:rsidRPr="00F940C2" w:rsidRDefault="00C74309" w:rsidP="00C74309">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01C70EAD" w14:textId="2DA1D7A7" w:rsidR="00C74309"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4DADCCA" w14:textId="7180EF66"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Little Rock, AR 72205</w:t>
      </w:r>
    </w:p>
    <w:p w14:paraId="7A6D1942" w14:textId="258D0C17" w:rsidR="00CC3087" w:rsidRPr="00F940C2" w:rsidRDefault="00CC3087" w:rsidP="00C74309">
      <w:pPr>
        <w:ind w:left="86" w:firstLine="634"/>
        <w:rPr>
          <w:rFonts w:cs="Arial"/>
          <w:color w:val="000000" w:themeColor="text1"/>
          <w:spacing w:val="-2"/>
          <w:sz w:val="20"/>
        </w:rPr>
      </w:pPr>
      <w:r w:rsidRPr="00F940C2">
        <w:rPr>
          <w:rFonts w:cs="Arial"/>
          <w:color w:val="000000" w:themeColor="text1"/>
          <w:spacing w:val="-2"/>
          <w:sz w:val="20"/>
        </w:rPr>
        <w:t>501-280-</w:t>
      </w:r>
      <w:r w:rsidR="009802DB" w:rsidRPr="00F940C2">
        <w:rPr>
          <w:rFonts w:cs="Arial"/>
          <w:color w:val="000000" w:themeColor="text1"/>
          <w:spacing w:val="-2"/>
          <w:sz w:val="20"/>
        </w:rPr>
        <w:t>4136</w:t>
      </w:r>
    </w:p>
    <w:p w14:paraId="2F159996" w14:textId="3C133823" w:rsidR="009802DB" w:rsidRPr="00F940C2" w:rsidRDefault="009802DB" w:rsidP="00C74309">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6E354716" w14:textId="4C33F8F8" w:rsidR="001863E6" w:rsidRDefault="001863E6" w:rsidP="001863E6">
      <w:pPr>
        <w:ind w:left="86" w:firstLine="634"/>
        <w:rPr>
          <w:rStyle w:val="Hyperlink"/>
          <w:rFonts w:eastAsiaTheme="majorEastAsia" w:cs="Arial"/>
          <w:sz w:val="20"/>
        </w:rPr>
      </w:pPr>
    </w:p>
    <w:p w14:paraId="32956676" w14:textId="28888DDE" w:rsidR="001863E6" w:rsidRDefault="001863E6" w:rsidP="001863E6">
      <w:pPr>
        <w:ind w:left="86" w:firstLine="634"/>
        <w:rPr>
          <w:rStyle w:val="Hyperlink"/>
          <w:rFonts w:eastAsiaTheme="majorEastAsia" w:cs="Arial"/>
          <w:sz w:val="20"/>
        </w:rPr>
      </w:pPr>
    </w:p>
    <w:p w14:paraId="25ECB2E4" w14:textId="3B7D9D63" w:rsidR="001863E6" w:rsidRPr="00377456" w:rsidRDefault="001863E6" w:rsidP="001863E6">
      <w:pPr>
        <w:rPr>
          <w:rFonts w:cs="Arial"/>
          <w:sz w:val="20"/>
        </w:rPr>
      </w:pPr>
      <w:r w:rsidRPr="00377456">
        <w:rPr>
          <w:rFonts w:cs="Arial"/>
          <w:sz w:val="20"/>
        </w:rPr>
        <w:t>(</w:t>
      </w:r>
      <w:r>
        <w:rPr>
          <w:rFonts w:cs="Arial"/>
          <w:sz w:val="20"/>
        </w:rPr>
        <w:t>6)</w:t>
      </w:r>
      <w:r w:rsidRPr="00377456">
        <w:rPr>
          <w:rFonts w:cs="Arial"/>
          <w:sz w:val="20"/>
        </w:rPr>
        <w:tab/>
      </w:r>
      <w:r w:rsidR="00612D45">
        <w:rPr>
          <w:rFonts w:cs="Arial"/>
          <w:sz w:val="20"/>
        </w:rPr>
        <w:fldChar w:fldCharType="begin">
          <w:ffData>
            <w:name w:val=""/>
            <w:enabled/>
            <w:calcOnExit w:val="0"/>
            <w:checkBox>
              <w:sizeAuto/>
              <w:default w:val="1"/>
            </w:checkBox>
          </w:ffData>
        </w:fldChar>
      </w:r>
      <w:r w:rsidR="00612D45">
        <w:rPr>
          <w:rFonts w:cs="Arial"/>
          <w:sz w:val="20"/>
        </w:rPr>
        <w:instrText xml:space="preserve"> FORMCHECKBOX </w:instrText>
      </w:r>
      <w:r w:rsidR="001B65C1">
        <w:rPr>
          <w:rFonts w:cs="Arial"/>
          <w:sz w:val="20"/>
        </w:rPr>
      </w:r>
      <w:r w:rsidR="001B65C1">
        <w:rPr>
          <w:rFonts w:cs="Arial"/>
          <w:sz w:val="20"/>
        </w:rPr>
        <w:fldChar w:fldCharType="separate"/>
      </w:r>
      <w:r w:rsidR="00612D45">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1B65C1">
        <w:rPr>
          <w:rFonts w:cs="Arial"/>
          <w:sz w:val="20"/>
        </w:rPr>
      </w:r>
      <w:r w:rsidR="001B65C1">
        <w:rPr>
          <w:rFonts w:cs="Arial"/>
          <w:sz w:val="20"/>
        </w:rPr>
        <w:fldChar w:fldCharType="separate"/>
      </w:r>
      <w:r w:rsidRPr="00377456">
        <w:rPr>
          <w:rFonts w:cs="Arial"/>
          <w:sz w:val="20"/>
        </w:rPr>
        <w:fldChar w:fldCharType="end"/>
      </w:r>
      <w:r w:rsidRPr="00377456">
        <w:rPr>
          <w:rFonts w:cs="Arial"/>
          <w:sz w:val="20"/>
        </w:rPr>
        <w:t>Associate Member</w:t>
      </w:r>
      <w:r w:rsidR="00A65F7C">
        <w:rPr>
          <w:rFonts w:cs="Arial"/>
          <w:sz w:val="20"/>
        </w:rPr>
        <w:t xml:space="preserve"> </w:t>
      </w:r>
      <w:commentRangeStart w:id="10"/>
      <w:commentRangeStart w:id="11"/>
      <w:r w:rsidR="00A65F7C" w:rsidRPr="00A65F7C">
        <w:rPr>
          <w:rFonts w:cs="Arial"/>
          <w:color w:val="FF0000"/>
          <w:sz w:val="20"/>
        </w:rPr>
        <w:t>EXPIRED</w:t>
      </w:r>
      <w:r w:rsidR="00087B4C">
        <w:rPr>
          <w:rFonts w:cs="Arial"/>
          <w:color w:val="FF0000"/>
          <w:sz w:val="20"/>
        </w:rPr>
        <w:t>, emailed on 8/10</w:t>
      </w:r>
      <w:commentRangeEnd w:id="10"/>
      <w:r w:rsidR="0025146C">
        <w:rPr>
          <w:rStyle w:val="CommentReference"/>
        </w:rPr>
        <w:commentReference w:id="10"/>
      </w:r>
      <w:commentRangeEnd w:id="11"/>
      <w:r w:rsidR="00D03F51">
        <w:rPr>
          <w:rStyle w:val="CommentReference"/>
        </w:rPr>
        <w:commentReference w:id="11"/>
      </w:r>
    </w:p>
    <w:p w14:paraId="04979D36" w14:textId="77777777" w:rsidR="001863E6" w:rsidRPr="00377456" w:rsidRDefault="001863E6" w:rsidP="001863E6">
      <w:pPr>
        <w:rPr>
          <w:rFonts w:cs="Arial"/>
          <w:sz w:val="20"/>
        </w:rPr>
      </w:pPr>
    </w:p>
    <w:p w14:paraId="7083E359" w14:textId="25290B76" w:rsidR="001863E6" w:rsidRPr="00A65F7C" w:rsidRDefault="001863E6" w:rsidP="001863E6">
      <w:pPr>
        <w:ind w:left="86" w:firstLine="634"/>
        <w:rPr>
          <w:rFonts w:cs="Arial"/>
          <w:color w:val="FF0000"/>
          <w:spacing w:val="-2"/>
          <w:sz w:val="20"/>
        </w:rPr>
      </w:pPr>
      <w:r w:rsidRPr="00A65F7C">
        <w:rPr>
          <w:rFonts w:cs="Arial"/>
          <w:color w:val="FF0000"/>
          <w:spacing w:val="-2"/>
          <w:sz w:val="20"/>
        </w:rPr>
        <w:t>Carl Williams</w:t>
      </w:r>
      <w:r w:rsidR="003C4A70" w:rsidRPr="00A65F7C">
        <w:rPr>
          <w:rFonts w:cs="Arial"/>
          <w:color w:val="FF0000"/>
          <w:spacing w:val="-2"/>
          <w:sz w:val="20"/>
        </w:rPr>
        <w:t>, DVM, DACVPM</w:t>
      </w:r>
    </w:p>
    <w:p w14:paraId="63857CAA" w14:textId="77777777" w:rsidR="003C4A70" w:rsidRPr="00A65F7C" w:rsidRDefault="003C4A70" w:rsidP="003C4A70">
      <w:pPr>
        <w:ind w:left="86" w:firstLine="634"/>
        <w:rPr>
          <w:rFonts w:cs="Arial"/>
          <w:color w:val="FF0000"/>
          <w:sz w:val="20"/>
        </w:rPr>
      </w:pPr>
      <w:r w:rsidRPr="00A65F7C">
        <w:rPr>
          <w:rFonts w:cs="Arial"/>
          <w:color w:val="FF0000"/>
          <w:sz w:val="20"/>
        </w:rPr>
        <w:t xml:space="preserve">State Public Health Veterinarian </w:t>
      </w:r>
    </w:p>
    <w:p w14:paraId="130C77A7" w14:textId="77777777" w:rsidR="003C4A70" w:rsidRPr="00A65F7C" w:rsidRDefault="003C4A70" w:rsidP="003C4A70">
      <w:pPr>
        <w:ind w:left="86" w:firstLine="634"/>
        <w:rPr>
          <w:rFonts w:cs="Arial"/>
          <w:color w:val="FF0000"/>
          <w:sz w:val="20"/>
        </w:rPr>
      </w:pPr>
      <w:r w:rsidRPr="00A65F7C">
        <w:rPr>
          <w:rFonts w:cs="Arial"/>
          <w:color w:val="FF0000"/>
          <w:sz w:val="20"/>
        </w:rPr>
        <w:t xml:space="preserve">Division of Public Health, Communicable Disease Branch </w:t>
      </w:r>
    </w:p>
    <w:p w14:paraId="6056F8BD" w14:textId="77777777" w:rsidR="003C4A70" w:rsidRPr="00A65F7C" w:rsidRDefault="003C4A70" w:rsidP="003C4A70">
      <w:pPr>
        <w:ind w:left="86" w:firstLine="634"/>
        <w:rPr>
          <w:rFonts w:cs="Arial"/>
          <w:color w:val="FF0000"/>
          <w:sz w:val="20"/>
        </w:rPr>
      </w:pPr>
      <w:r w:rsidRPr="00A65F7C">
        <w:rPr>
          <w:rFonts w:cs="Arial"/>
          <w:color w:val="FF0000"/>
          <w:sz w:val="20"/>
        </w:rPr>
        <w:t>North Carolina Department of Health and Human Services</w:t>
      </w:r>
    </w:p>
    <w:p w14:paraId="039157E9" w14:textId="77777777" w:rsidR="003C4A70" w:rsidRPr="00A65F7C" w:rsidRDefault="003C4A70" w:rsidP="003C4A70">
      <w:pPr>
        <w:ind w:left="86" w:firstLine="634"/>
        <w:rPr>
          <w:rFonts w:cs="Arial"/>
          <w:color w:val="FF0000"/>
          <w:sz w:val="20"/>
        </w:rPr>
      </w:pPr>
      <w:r w:rsidRPr="00A65F7C">
        <w:rPr>
          <w:rFonts w:cs="Arial"/>
          <w:color w:val="FF0000"/>
          <w:sz w:val="20"/>
        </w:rPr>
        <w:t>1912 MSC Raleigh, NC 27699</w:t>
      </w:r>
    </w:p>
    <w:p w14:paraId="0F32F70F" w14:textId="4FFFF3A1" w:rsidR="003C4A70" w:rsidRPr="00A65F7C" w:rsidRDefault="003C4A70" w:rsidP="003C4A70">
      <w:pPr>
        <w:ind w:left="86" w:firstLine="634"/>
        <w:rPr>
          <w:rFonts w:cs="Arial"/>
          <w:color w:val="FF0000"/>
          <w:sz w:val="20"/>
        </w:rPr>
      </w:pPr>
      <w:r w:rsidRPr="00A65F7C">
        <w:rPr>
          <w:rFonts w:cs="Arial"/>
          <w:color w:val="FF0000"/>
          <w:sz w:val="20"/>
        </w:rPr>
        <w:t xml:space="preserve"> 919-546-1660   </w:t>
      </w:r>
    </w:p>
    <w:p w14:paraId="322486A2" w14:textId="3B6AF613" w:rsidR="001863E6" w:rsidRPr="00A65F7C" w:rsidRDefault="003C4A70" w:rsidP="007E7304">
      <w:pPr>
        <w:ind w:left="86" w:firstLine="634"/>
        <w:rPr>
          <w:rFonts w:cs="Arial"/>
          <w:color w:val="FF0000"/>
          <w:sz w:val="20"/>
        </w:rPr>
      </w:pPr>
      <w:r w:rsidRPr="00A65F7C">
        <w:rPr>
          <w:rFonts w:cs="Arial"/>
          <w:color w:val="FF0000"/>
          <w:sz w:val="20"/>
        </w:rPr>
        <w:t>carl.williams@dhhs.nc.gov</w:t>
      </w:r>
    </w:p>
    <w:p w14:paraId="50CFCB35" w14:textId="77777777" w:rsidR="001863E6" w:rsidRDefault="001863E6" w:rsidP="001863E6">
      <w:pPr>
        <w:ind w:left="86" w:firstLine="634"/>
        <w:rPr>
          <w:rFonts w:cs="Arial"/>
          <w:color w:val="000000"/>
          <w:spacing w:val="-2"/>
          <w:sz w:val="20"/>
        </w:rPr>
      </w:pPr>
    </w:p>
    <w:p w14:paraId="2B21C8A7" w14:textId="72747BB8" w:rsidR="001863E6" w:rsidRPr="00377456" w:rsidRDefault="001863E6" w:rsidP="001863E6">
      <w:pPr>
        <w:rPr>
          <w:rFonts w:cs="Arial"/>
          <w:sz w:val="20"/>
        </w:rPr>
      </w:pPr>
      <w:r w:rsidRPr="00377456">
        <w:rPr>
          <w:rFonts w:cs="Arial"/>
          <w:sz w:val="20"/>
        </w:rPr>
        <w:t>(</w:t>
      </w:r>
      <w:r w:rsidR="007E7304">
        <w:rPr>
          <w:rFonts w:cs="Arial"/>
          <w:sz w:val="20"/>
        </w:rPr>
        <w:t>7</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1B65C1">
        <w:rPr>
          <w:rFonts w:cs="Arial"/>
          <w:sz w:val="20"/>
        </w:rPr>
      </w:r>
      <w:r w:rsidR="001B65C1">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7E8EDC67" w14:textId="019E04DF" w:rsidR="003351D5" w:rsidRPr="003351D5" w:rsidRDefault="001B65C1" w:rsidP="003351D5">
      <w:pPr>
        <w:pStyle w:val="gmail-m3534249611637950905msolistparagraph"/>
        <w:spacing w:before="0" w:beforeAutospacing="0" w:after="0" w:afterAutospacing="0"/>
        <w:ind w:left="720"/>
        <w:rPr>
          <w:rFonts w:ascii="Arial" w:hAnsi="Arial" w:cs="Arial"/>
          <w:sz w:val="20"/>
          <w:szCs w:val="20"/>
        </w:rPr>
      </w:pPr>
      <w:hyperlink r:id="rId29" w:history="1">
        <w:r w:rsidR="003351D5" w:rsidRPr="003351D5">
          <w:rPr>
            <w:rStyle w:val="Hyperlink"/>
            <w:rFonts w:ascii="Arial" w:hAnsi="Arial" w:cs="Arial"/>
            <w:sz w:val="20"/>
            <w:szCs w:val="20"/>
          </w:rPr>
          <w:t>Elena.Diskin@vdh.virginia.gov</w:t>
        </w:r>
      </w:hyperlink>
    </w:p>
    <w:p w14:paraId="347DC418" w14:textId="77777777" w:rsidR="001863E6" w:rsidRPr="00A71E96" w:rsidRDefault="001863E6" w:rsidP="005B5218">
      <w:pPr>
        <w:rPr>
          <w:rFonts w:cs="Arial"/>
          <w:color w:val="000000"/>
          <w:sz w:val="20"/>
        </w:rPr>
      </w:pPr>
    </w:p>
    <w:p w14:paraId="3E4DB42B" w14:textId="77777777" w:rsidR="001863E6" w:rsidRDefault="001863E6" w:rsidP="001863E6">
      <w:pPr>
        <w:rPr>
          <w:rFonts w:cs="Arial"/>
          <w:color w:val="0000FF"/>
          <w:sz w:val="16"/>
        </w:rPr>
      </w:pPr>
    </w:p>
    <w:p w14:paraId="6035158D" w14:textId="66A1C788" w:rsidR="001863E6" w:rsidRPr="00377456" w:rsidRDefault="001863E6" w:rsidP="001863E6">
      <w:pPr>
        <w:rPr>
          <w:rFonts w:cs="Arial"/>
          <w:sz w:val="20"/>
        </w:rPr>
      </w:pPr>
      <w:r w:rsidRPr="00377456">
        <w:rPr>
          <w:rFonts w:cs="Arial"/>
          <w:sz w:val="20"/>
        </w:rPr>
        <w:t>(</w:t>
      </w:r>
      <w:r w:rsidR="007E7304">
        <w:rPr>
          <w:rFonts w:cs="Arial"/>
          <w:sz w:val="20"/>
        </w:rPr>
        <w:t>8</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1B65C1">
        <w:rPr>
          <w:rFonts w:cs="Arial"/>
          <w:sz w:val="20"/>
        </w:rPr>
      </w:r>
      <w:r w:rsidR="001B65C1">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t>phu0@cdc.gov</w:t>
      </w:r>
    </w:p>
    <w:p w14:paraId="38CA2659" w14:textId="2B2E50F5" w:rsidR="00D464D1" w:rsidRDefault="00D464D1">
      <w:pPr>
        <w:spacing w:after="160" w:line="259" w:lineRule="auto"/>
        <w:rPr>
          <w:bCs/>
          <w:iCs/>
          <w:sz w:val="20"/>
        </w:rPr>
        <w:sectPr w:rsidR="00D464D1" w:rsidSect="00026661">
          <w:type w:val="continuous"/>
          <w:pgSz w:w="12240" w:h="15840" w:code="1"/>
          <w:pgMar w:top="1152" w:right="1080" w:bottom="1152" w:left="1080" w:header="720" w:footer="620" w:gutter="0"/>
          <w:cols w:space="720"/>
          <w:formProt w:val="0"/>
          <w:noEndnote/>
          <w:docGrid w:linePitch="326"/>
        </w:sectPr>
      </w:pPr>
    </w:p>
    <w:p w14:paraId="5F7597BD" w14:textId="77777777" w:rsidR="00F40869" w:rsidRDefault="00F40869" w:rsidP="004B0235">
      <w:pPr>
        <w:rPr>
          <w:rFonts w:cs="Arial"/>
          <w:b/>
          <w:sz w:val="20"/>
        </w:rPr>
      </w:pPr>
      <w:r w:rsidRPr="003B1506">
        <w:rPr>
          <w:b/>
          <w:iCs/>
          <w:sz w:val="20"/>
        </w:rPr>
        <w:lastRenderedPageBreak/>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(IgE)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D464D1">
          <w:footerReference w:type="default" r:id="rId30"/>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Default="00801FA9" w:rsidP="004B0235">
      <w:pPr>
        <w:jc w:val="center"/>
        <w:rPr>
          <w:rFonts w:cs="Arial"/>
          <w:sz w:val="28"/>
        </w:rPr>
      </w:pPr>
    </w:p>
    <w:p w14:paraId="26965012" w14:textId="07D7E9E5" w:rsidR="00F40869" w:rsidRDefault="00F40869" w:rsidP="004B0235">
      <w:pPr>
        <w:jc w:val="center"/>
        <w:rPr>
          <w:rFonts w:cs="Arial"/>
          <w:sz w:val="28"/>
        </w:rPr>
      </w:pPr>
      <w:r w:rsidRPr="009A2BEE">
        <w:rPr>
          <w:rFonts w:cs="Arial"/>
          <w:sz w:val="28"/>
        </w:rPr>
        <w:t>Technical Supplement</w:t>
      </w:r>
    </w:p>
    <w:p w14:paraId="27544FA6" w14:textId="3F85FAEE" w:rsidR="00C80200" w:rsidRPr="00383071" w:rsidRDefault="00F40869" w:rsidP="00383071">
      <w:pPr>
        <w:tabs>
          <w:tab w:val="left" w:pos="3840"/>
        </w:tabs>
        <w:rPr>
          <w:rFonts w:cs="Arial"/>
          <w:sz w:val="8"/>
        </w:rPr>
      </w:pPr>
      <w:r w:rsidRPr="00943A91">
        <w:rPr>
          <w:rFonts w:cs="Arial"/>
          <w:sz w:val="8"/>
        </w:rPr>
        <w:tab/>
      </w:r>
    </w:p>
    <w:p w14:paraId="6A88C2D6" w14:textId="100858E0" w:rsidR="00F40869" w:rsidRPr="00383071" w:rsidRDefault="00F40869" w:rsidP="004B0235">
      <w:pPr>
        <w:keepNext/>
        <w:keepLines/>
        <w:rPr>
          <w:rFonts w:cs="Arial"/>
          <w:b/>
          <w:bCs/>
          <w:sz w:val="18"/>
          <w:szCs w:val="18"/>
        </w:rPr>
      </w:pPr>
      <w:r w:rsidRPr="00801FA9">
        <w:rPr>
          <w:rFonts w:cs="Arial"/>
          <w:b/>
          <w:color w:val="000000"/>
          <w:sz w:val="22"/>
          <w:szCs w:val="18"/>
        </w:rPr>
        <w:t xml:space="preserve">Table VI. Table of criteria to determine whether a case should be reported to public health authorities. </w:t>
      </w: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0A0F0C">
        <w:trPr>
          <w:trHeight w:val="274"/>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0A0F0C">
        <w:trPr>
          <w:trHeight w:val="274"/>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0A0F0C">
        <w:trPr>
          <w:trHeight w:val="274"/>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Serum IgE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0A0F0C">
        <w:trPr>
          <w:trHeight w:val="274"/>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4A9EEC0" w14:textId="6EDF720D" w:rsidR="00C8020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bookmarkStart w:id="12" w:name="_Hlk39486613"/>
    </w:p>
    <w:p w14:paraId="0D274B65" w14:textId="77777777" w:rsidR="00383071" w:rsidRPr="00490646" w:rsidRDefault="00383071" w:rsidP="004B0235">
      <w:pPr>
        <w:rPr>
          <w:rFonts w:cs="Arial"/>
          <w:bCs/>
          <w:i/>
          <w:iCs/>
          <w:color w:val="000000"/>
          <w:sz w:val="18"/>
          <w:szCs w:val="18"/>
        </w:rPr>
      </w:pPr>
    </w:p>
    <w:bookmarkEnd w:id="12"/>
    <w:p w14:paraId="481202C3" w14:textId="1D4CCA37" w:rsidR="00490646" w:rsidRPr="00490646" w:rsidRDefault="00EC77E6" w:rsidP="00EC77E6">
      <w:pPr>
        <w:rPr>
          <w:rFonts w:cs="Arial"/>
          <w:b/>
          <w:color w:val="000000"/>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0A0F0C">
        <w:trPr>
          <w:trHeight w:val="274"/>
        </w:trPr>
        <w:tc>
          <w:tcPr>
            <w:tcW w:w="6657" w:type="dxa"/>
            <w:vAlign w:val="center"/>
          </w:tcPr>
          <w:p w14:paraId="01488EB6" w14:textId="77777777" w:rsidR="00EC77E6" w:rsidRPr="004A2D90" w:rsidRDefault="00EC77E6" w:rsidP="00EC77E6">
            <w:pPr>
              <w:jc w:val="center"/>
              <w:rPr>
                <w:rFonts w:cs="Arial"/>
                <w:b/>
                <w:color w:val="000000"/>
                <w:sz w:val="20"/>
              </w:rPr>
            </w:pPr>
            <w:commentRangeStart w:id="13"/>
            <w:commentRangeStart w:id="14"/>
            <w:commentRangeStart w:id="15"/>
            <w:r w:rsidRPr="004A2D90">
              <w:rPr>
                <w:rFonts w:cs="Arial"/>
                <w:b/>
                <w:color w:val="000000"/>
                <w:sz w:val="20"/>
              </w:rPr>
              <w:t>Criterion</w:t>
            </w:r>
            <w:commentRangeEnd w:id="13"/>
            <w:r w:rsidR="00087B4C">
              <w:rPr>
                <w:rStyle w:val="CommentReference"/>
              </w:rPr>
              <w:commentReference w:id="13"/>
            </w:r>
            <w:commentRangeEnd w:id="14"/>
            <w:r w:rsidR="00E27C5E">
              <w:rPr>
                <w:rStyle w:val="CommentReference"/>
              </w:rPr>
              <w:commentReference w:id="14"/>
            </w:r>
            <w:commentRangeEnd w:id="15"/>
            <w:r w:rsidR="00121F2B">
              <w:rPr>
                <w:rStyle w:val="CommentReference"/>
              </w:rPr>
              <w:commentReference w:id="15"/>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0A0F0C">
        <w:trPr>
          <w:trHeight w:val="274"/>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0A0F0C">
        <w:trPr>
          <w:trHeight w:val="490"/>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0A0F0C">
        <w:trPr>
          <w:trHeight w:val="742"/>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07351B" w:rsidRPr="004A2D90" w14:paraId="3497BBB4" w14:textId="77777777" w:rsidTr="000A0F0C">
        <w:trPr>
          <w:trHeight w:val="274"/>
        </w:trPr>
        <w:tc>
          <w:tcPr>
            <w:tcW w:w="6657" w:type="dxa"/>
            <w:vAlign w:val="center"/>
          </w:tcPr>
          <w:p w14:paraId="7072CB3E" w14:textId="3FCE245C" w:rsidR="0007351B" w:rsidRDefault="0007351B" w:rsidP="0007351B">
            <w:pPr>
              <w:ind w:left="195"/>
              <w:rPr>
                <w:rFonts w:cs="Arial"/>
                <w:color w:val="000000"/>
                <w:sz w:val="20"/>
              </w:rPr>
            </w:pPr>
            <w:r>
              <w:rPr>
                <w:rFonts w:cs="Arial"/>
                <w:color w:val="000000"/>
                <w:sz w:val="20"/>
              </w:rPr>
              <w:t>Abdominal pain</w:t>
            </w:r>
          </w:p>
        </w:tc>
        <w:tc>
          <w:tcPr>
            <w:tcW w:w="990" w:type="dxa"/>
            <w:vAlign w:val="center"/>
          </w:tcPr>
          <w:p w14:paraId="7EEC0693" w14:textId="77777777" w:rsidR="0007351B" w:rsidRPr="004A2D90" w:rsidRDefault="0007351B" w:rsidP="0007351B">
            <w:pPr>
              <w:jc w:val="center"/>
              <w:rPr>
                <w:rFonts w:cs="Arial"/>
                <w:color w:val="000000"/>
                <w:sz w:val="20"/>
              </w:rPr>
            </w:pPr>
          </w:p>
        </w:tc>
        <w:tc>
          <w:tcPr>
            <w:tcW w:w="630" w:type="dxa"/>
            <w:vAlign w:val="center"/>
          </w:tcPr>
          <w:p w14:paraId="3FC53BC0" w14:textId="099F9E67" w:rsidR="0007351B" w:rsidRDefault="0007351B" w:rsidP="0007351B">
            <w:pPr>
              <w:jc w:val="center"/>
              <w:rPr>
                <w:rFonts w:cs="Arial"/>
                <w:color w:val="000000"/>
                <w:sz w:val="20"/>
              </w:rPr>
            </w:pPr>
            <w:r>
              <w:rPr>
                <w:rFonts w:cs="Arial"/>
                <w:color w:val="000000"/>
                <w:sz w:val="20"/>
              </w:rPr>
              <w:t>O</w:t>
            </w:r>
          </w:p>
        </w:tc>
        <w:tc>
          <w:tcPr>
            <w:tcW w:w="630" w:type="dxa"/>
            <w:vAlign w:val="center"/>
          </w:tcPr>
          <w:p w14:paraId="0C920274" w14:textId="4B8C84B3" w:rsidR="0007351B" w:rsidRDefault="0007351B" w:rsidP="0007351B">
            <w:pPr>
              <w:jc w:val="center"/>
              <w:rPr>
                <w:rFonts w:cs="Arial"/>
                <w:color w:val="000000"/>
                <w:sz w:val="20"/>
              </w:rPr>
            </w:pPr>
            <w:r>
              <w:rPr>
                <w:rFonts w:cs="Arial"/>
                <w:color w:val="000000"/>
                <w:sz w:val="20"/>
              </w:rPr>
              <w:t>O</w:t>
            </w:r>
          </w:p>
        </w:tc>
        <w:tc>
          <w:tcPr>
            <w:tcW w:w="630" w:type="dxa"/>
            <w:vAlign w:val="center"/>
          </w:tcPr>
          <w:p w14:paraId="5874DD7A" w14:textId="68CB921A" w:rsidR="0007351B" w:rsidRDefault="0007351B" w:rsidP="0007351B">
            <w:pPr>
              <w:jc w:val="center"/>
              <w:rPr>
                <w:rFonts w:cs="Arial"/>
                <w:color w:val="000000"/>
                <w:sz w:val="20"/>
              </w:rPr>
            </w:pPr>
            <w:r>
              <w:rPr>
                <w:rFonts w:cs="Arial"/>
                <w:color w:val="000000"/>
                <w:sz w:val="20"/>
              </w:rPr>
              <w:t>O</w:t>
            </w:r>
          </w:p>
        </w:tc>
        <w:tc>
          <w:tcPr>
            <w:tcW w:w="630" w:type="dxa"/>
            <w:vAlign w:val="center"/>
          </w:tcPr>
          <w:p w14:paraId="16617A26" w14:textId="64B0EFCC" w:rsidR="0007351B" w:rsidRDefault="0007351B" w:rsidP="0007351B">
            <w:pPr>
              <w:jc w:val="center"/>
              <w:rPr>
                <w:rFonts w:cs="Arial"/>
                <w:color w:val="000000"/>
                <w:sz w:val="20"/>
              </w:rPr>
            </w:pPr>
            <w:r>
              <w:rPr>
                <w:rFonts w:cs="Arial"/>
                <w:color w:val="000000"/>
                <w:sz w:val="20"/>
              </w:rPr>
              <w:t>O</w:t>
            </w:r>
          </w:p>
        </w:tc>
      </w:tr>
      <w:tr w:rsidR="0007351B" w:rsidRPr="004A2D90" w14:paraId="749128A5" w14:textId="77777777" w:rsidTr="000A0F0C">
        <w:trPr>
          <w:trHeight w:val="274"/>
        </w:trPr>
        <w:tc>
          <w:tcPr>
            <w:tcW w:w="6657" w:type="dxa"/>
            <w:vAlign w:val="center"/>
          </w:tcPr>
          <w:p w14:paraId="3C08AF33" w14:textId="315DA5FC" w:rsidR="0007351B" w:rsidRDefault="0007351B" w:rsidP="0007351B">
            <w:pPr>
              <w:ind w:left="195"/>
              <w:rPr>
                <w:rFonts w:cs="Arial"/>
                <w:color w:val="000000"/>
                <w:sz w:val="20"/>
              </w:rPr>
            </w:pPr>
            <w:r>
              <w:rPr>
                <w:rFonts w:cs="Arial"/>
                <w:color w:val="000000"/>
                <w:sz w:val="20"/>
              </w:rPr>
              <w:t>Nausea</w:t>
            </w:r>
          </w:p>
        </w:tc>
        <w:tc>
          <w:tcPr>
            <w:tcW w:w="990" w:type="dxa"/>
            <w:vAlign w:val="center"/>
          </w:tcPr>
          <w:p w14:paraId="343603F5" w14:textId="77777777" w:rsidR="0007351B" w:rsidRPr="004A2D90" w:rsidRDefault="0007351B" w:rsidP="0007351B">
            <w:pPr>
              <w:jc w:val="center"/>
              <w:rPr>
                <w:rFonts w:cs="Arial"/>
                <w:color w:val="000000"/>
                <w:sz w:val="20"/>
              </w:rPr>
            </w:pPr>
          </w:p>
        </w:tc>
        <w:tc>
          <w:tcPr>
            <w:tcW w:w="630" w:type="dxa"/>
            <w:vAlign w:val="center"/>
          </w:tcPr>
          <w:p w14:paraId="17428BF9" w14:textId="5F88D3C4" w:rsidR="0007351B" w:rsidRDefault="0007351B" w:rsidP="0007351B">
            <w:pPr>
              <w:jc w:val="center"/>
              <w:rPr>
                <w:rFonts w:cs="Arial"/>
                <w:color w:val="000000"/>
                <w:sz w:val="20"/>
              </w:rPr>
            </w:pPr>
            <w:r>
              <w:rPr>
                <w:rFonts w:cs="Arial"/>
                <w:color w:val="000000"/>
                <w:sz w:val="20"/>
              </w:rPr>
              <w:t>O</w:t>
            </w:r>
          </w:p>
        </w:tc>
        <w:tc>
          <w:tcPr>
            <w:tcW w:w="630" w:type="dxa"/>
            <w:vAlign w:val="center"/>
          </w:tcPr>
          <w:p w14:paraId="6F008B3F" w14:textId="1F30E058" w:rsidR="0007351B" w:rsidRDefault="0007351B" w:rsidP="0007351B">
            <w:pPr>
              <w:jc w:val="center"/>
              <w:rPr>
                <w:rFonts w:cs="Arial"/>
                <w:color w:val="000000"/>
                <w:sz w:val="20"/>
              </w:rPr>
            </w:pPr>
            <w:r>
              <w:rPr>
                <w:rFonts w:cs="Arial"/>
                <w:color w:val="000000"/>
                <w:sz w:val="20"/>
              </w:rPr>
              <w:t>O</w:t>
            </w:r>
          </w:p>
        </w:tc>
        <w:tc>
          <w:tcPr>
            <w:tcW w:w="630" w:type="dxa"/>
            <w:vAlign w:val="center"/>
          </w:tcPr>
          <w:p w14:paraId="02EAEE25" w14:textId="311B5727" w:rsidR="0007351B" w:rsidRDefault="0007351B" w:rsidP="0007351B">
            <w:pPr>
              <w:jc w:val="center"/>
              <w:rPr>
                <w:rFonts w:cs="Arial"/>
                <w:color w:val="000000"/>
                <w:sz w:val="20"/>
              </w:rPr>
            </w:pPr>
            <w:r>
              <w:rPr>
                <w:rFonts w:cs="Arial"/>
                <w:color w:val="000000"/>
                <w:sz w:val="20"/>
              </w:rPr>
              <w:t>O</w:t>
            </w:r>
          </w:p>
        </w:tc>
        <w:tc>
          <w:tcPr>
            <w:tcW w:w="630" w:type="dxa"/>
            <w:vAlign w:val="center"/>
          </w:tcPr>
          <w:p w14:paraId="09BEB778" w14:textId="00EB3C14" w:rsidR="0007351B" w:rsidRDefault="0007351B" w:rsidP="0007351B">
            <w:pPr>
              <w:jc w:val="center"/>
              <w:rPr>
                <w:rFonts w:cs="Arial"/>
                <w:color w:val="000000"/>
                <w:sz w:val="20"/>
              </w:rPr>
            </w:pPr>
            <w:r>
              <w:rPr>
                <w:rFonts w:cs="Arial"/>
                <w:color w:val="000000"/>
                <w:sz w:val="20"/>
              </w:rPr>
              <w:t>O</w:t>
            </w:r>
          </w:p>
        </w:tc>
      </w:tr>
      <w:tr w:rsidR="0007351B" w:rsidRPr="004A2D90" w14:paraId="51FE089D" w14:textId="77777777" w:rsidTr="000A0F0C">
        <w:trPr>
          <w:trHeight w:val="274"/>
        </w:trPr>
        <w:tc>
          <w:tcPr>
            <w:tcW w:w="6657" w:type="dxa"/>
            <w:vAlign w:val="center"/>
          </w:tcPr>
          <w:p w14:paraId="7FD13FA8" w14:textId="3944DF4B" w:rsidR="0007351B" w:rsidRDefault="0007351B" w:rsidP="0007351B">
            <w:pPr>
              <w:ind w:left="195"/>
              <w:rPr>
                <w:rFonts w:cs="Arial"/>
                <w:color w:val="000000"/>
                <w:sz w:val="20"/>
              </w:rPr>
            </w:pPr>
            <w:r>
              <w:rPr>
                <w:rFonts w:cs="Arial"/>
                <w:color w:val="000000"/>
                <w:sz w:val="20"/>
              </w:rPr>
              <w:t>Diarrhea</w:t>
            </w:r>
          </w:p>
        </w:tc>
        <w:tc>
          <w:tcPr>
            <w:tcW w:w="990" w:type="dxa"/>
            <w:vAlign w:val="center"/>
          </w:tcPr>
          <w:p w14:paraId="19841F86" w14:textId="77777777" w:rsidR="0007351B" w:rsidRPr="004A2D90" w:rsidRDefault="0007351B" w:rsidP="0007351B">
            <w:pPr>
              <w:jc w:val="center"/>
              <w:rPr>
                <w:rFonts w:cs="Arial"/>
                <w:color w:val="000000"/>
                <w:sz w:val="20"/>
              </w:rPr>
            </w:pPr>
          </w:p>
        </w:tc>
        <w:tc>
          <w:tcPr>
            <w:tcW w:w="630" w:type="dxa"/>
            <w:vAlign w:val="center"/>
          </w:tcPr>
          <w:p w14:paraId="7CBA0528" w14:textId="197B2149" w:rsidR="0007351B" w:rsidRDefault="0007351B" w:rsidP="0007351B">
            <w:pPr>
              <w:jc w:val="center"/>
              <w:rPr>
                <w:rFonts w:cs="Arial"/>
                <w:color w:val="000000"/>
                <w:sz w:val="20"/>
              </w:rPr>
            </w:pPr>
            <w:r>
              <w:rPr>
                <w:rFonts w:cs="Arial"/>
                <w:color w:val="000000"/>
                <w:sz w:val="20"/>
              </w:rPr>
              <w:t>O</w:t>
            </w:r>
          </w:p>
        </w:tc>
        <w:tc>
          <w:tcPr>
            <w:tcW w:w="630" w:type="dxa"/>
            <w:vAlign w:val="center"/>
          </w:tcPr>
          <w:p w14:paraId="0764D98E" w14:textId="23B8AF4F" w:rsidR="0007351B" w:rsidRDefault="0007351B" w:rsidP="0007351B">
            <w:pPr>
              <w:jc w:val="center"/>
              <w:rPr>
                <w:rFonts w:cs="Arial"/>
                <w:color w:val="000000"/>
                <w:sz w:val="20"/>
              </w:rPr>
            </w:pPr>
            <w:r>
              <w:rPr>
                <w:rFonts w:cs="Arial"/>
                <w:color w:val="000000"/>
                <w:sz w:val="20"/>
              </w:rPr>
              <w:t>O</w:t>
            </w:r>
          </w:p>
        </w:tc>
        <w:tc>
          <w:tcPr>
            <w:tcW w:w="630" w:type="dxa"/>
            <w:vAlign w:val="center"/>
          </w:tcPr>
          <w:p w14:paraId="42FAC02D" w14:textId="7F2A2F9B" w:rsidR="0007351B" w:rsidRDefault="0007351B" w:rsidP="0007351B">
            <w:pPr>
              <w:jc w:val="center"/>
              <w:rPr>
                <w:rFonts w:cs="Arial"/>
                <w:color w:val="000000"/>
                <w:sz w:val="20"/>
              </w:rPr>
            </w:pPr>
            <w:r>
              <w:rPr>
                <w:rFonts w:cs="Arial"/>
                <w:color w:val="000000"/>
                <w:sz w:val="20"/>
              </w:rPr>
              <w:t>O</w:t>
            </w:r>
          </w:p>
        </w:tc>
        <w:tc>
          <w:tcPr>
            <w:tcW w:w="630" w:type="dxa"/>
            <w:vAlign w:val="center"/>
          </w:tcPr>
          <w:p w14:paraId="28AB62E7" w14:textId="10713935" w:rsidR="0007351B" w:rsidRDefault="0007351B" w:rsidP="0007351B">
            <w:pPr>
              <w:jc w:val="center"/>
              <w:rPr>
                <w:rFonts w:cs="Arial"/>
                <w:color w:val="000000"/>
                <w:sz w:val="20"/>
              </w:rPr>
            </w:pPr>
            <w:r>
              <w:rPr>
                <w:rFonts w:cs="Arial"/>
                <w:color w:val="000000"/>
                <w:sz w:val="20"/>
              </w:rPr>
              <w:t>O</w:t>
            </w:r>
          </w:p>
        </w:tc>
      </w:tr>
      <w:tr w:rsidR="0007351B" w:rsidRPr="004A2D90" w14:paraId="28CA17B4" w14:textId="77777777" w:rsidTr="000A0F0C">
        <w:trPr>
          <w:trHeight w:val="274"/>
        </w:trPr>
        <w:tc>
          <w:tcPr>
            <w:tcW w:w="6657" w:type="dxa"/>
            <w:vAlign w:val="center"/>
          </w:tcPr>
          <w:p w14:paraId="199D60EE" w14:textId="5A2F2E5D" w:rsidR="0007351B" w:rsidRDefault="0007351B" w:rsidP="0007351B">
            <w:pPr>
              <w:ind w:left="195"/>
              <w:rPr>
                <w:rFonts w:cs="Arial"/>
                <w:color w:val="000000"/>
                <w:sz w:val="20"/>
              </w:rPr>
            </w:pPr>
            <w:r>
              <w:rPr>
                <w:rFonts w:cs="Arial"/>
                <w:color w:val="000000"/>
                <w:sz w:val="20"/>
              </w:rPr>
              <w:t>Vomiting</w:t>
            </w:r>
          </w:p>
        </w:tc>
        <w:tc>
          <w:tcPr>
            <w:tcW w:w="990" w:type="dxa"/>
            <w:vAlign w:val="center"/>
          </w:tcPr>
          <w:p w14:paraId="459C4189" w14:textId="77777777" w:rsidR="0007351B" w:rsidRPr="004A2D90" w:rsidRDefault="0007351B" w:rsidP="0007351B">
            <w:pPr>
              <w:jc w:val="center"/>
              <w:rPr>
                <w:rFonts w:cs="Arial"/>
                <w:color w:val="000000"/>
                <w:sz w:val="20"/>
              </w:rPr>
            </w:pPr>
          </w:p>
        </w:tc>
        <w:tc>
          <w:tcPr>
            <w:tcW w:w="630" w:type="dxa"/>
            <w:vAlign w:val="center"/>
          </w:tcPr>
          <w:p w14:paraId="168AEBA8" w14:textId="0F6A148E" w:rsidR="0007351B" w:rsidRDefault="0007351B" w:rsidP="0007351B">
            <w:pPr>
              <w:jc w:val="center"/>
              <w:rPr>
                <w:rFonts w:cs="Arial"/>
                <w:color w:val="000000"/>
                <w:sz w:val="20"/>
              </w:rPr>
            </w:pPr>
            <w:r>
              <w:rPr>
                <w:rFonts w:cs="Arial"/>
                <w:color w:val="000000"/>
                <w:sz w:val="20"/>
              </w:rPr>
              <w:t>O</w:t>
            </w:r>
          </w:p>
        </w:tc>
        <w:tc>
          <w:tcPr>
            <w:tcW w:w="630" w:type="dxa"/>
            <w:vAlign w:val="center"/>
          </w:tcPr>
          <w:p w14:paraId="6A7F3910" w14:textId="73A33A57" w:rsidR="0007351B" w:rsidRDefault="0007351B" w:rsidP="0007351B">
            <w:pPr>
              <w:jc w:val="center"/>
              <w:rPr>
                <w:rFonts w:cs="Arial"/>
                <w:color w:val="000000"/>
                <w:sz w:val="20"/>
              </w:rPr>
            </w:pPr>
            <w:r>
              <w:rPr>
                <w:rFonts w:cs="Arial"/>
                <w:color w:val="000000"/>
                <w:sz w:val="20"/>
              </w:rPr>
              <w:t>O</w:t>
            </w:r>
          </w:p>
        </w:tc>
        <w:tc>
          <w:tcPr>
            <w:tcW w:w="630" w:type="dxa"/>
            <w:vAlign w:val="center"/>
          </w:tcPr>
          <w:p w14:paraId="2DBCFB06" w14:textId="580202A1" w:rsidR="0007351B" w:rsidRDefault="0007351B" w:rsidP="0007351B">
            <w:pPr>
              <w:jc w:val="center"/>
              <w:rPr>
                <w:rFonts w:cs="Arial"/>
                <w:color w:val="000000"/>
                <w:sz w:val="20"/>
              </w:rPr>
            </w:pPr>
            <w:r>
              <w:rPr>
                <w:rFonts w:cs="Arial"/>
                <w:color w:val="000000"/>
                <w:sz w:val="20"/>
              </w:rPr>
              <w:t>O</w:t>
            </w:r>
          </w:p>
        </w:tc>
        <w:tc>
          <w:tcPr>
            <w:tcW w:w="630" w:type="dxa"/>
            <w:vAlign w:val="center"/>
          </w:tcPr>
          <w:p w14:paraId="45F6D159" w14:textId="602BD166" w:rsidR="0007351B" w:rsidRDefault="0007351B" w:rsidP="0007351B">
            <w:pPr>
              <w:jc w:val="center"/>
              <w:rPr>
                <w:rFonts w:cs="Arial"/>
                <w:color w:val="000000"/>
                <w:sz w:val="20"/>
              </w:rPr>
            </w:pPr>
            <w:r>
              <w:rPr>
                <w:rFonts w:cs="Arial"/>
                <w:color w:val="000000"/>
                <w:sz w:val="20"/>
              </w:rPr>
              <w:t>O</w:t>
            </w:r>
          </w:p>
        </w:tc>
      </w:tr>
      <w:tr w:rsidR="0007351B" w:rsidRPr="004A2D90" w14:paraId="4C0CD6A1" w14:textId="77777777" w:rsidTr="000A0F0C">
        <w:trPr>
          <w:trHeight w:val="274"/>
        </w:trPr>
        <w:tc>
          <w:tcPr>
            <w:tcW w:w="6657" w:type="dxa"/>
            <w:vAlign w:val="center"/>
          </w:tcPr>
          <w:p w14:paraId="6BFC1C18" w14:textId="177AF526" w:rsidR="0007351B" w:rsidRDefault="0007351B" w:rsidP="0007351B">
            <w:pPr>
              <w:ind w:left="195"/>
              <w:rPr>
                <w:rFonts w:cs="Arial"/>
                <w:color w:val="000000"/>
                <w:sz w:val="20"/>
              </w:rPr>
            </w:pPr>
            <w:r>
              <w:rPr>
                <w:rFonts w:cs="Arial"/>
                <w:color w:val="000000"/>
                <w:sz w:val="20"/>
              </w:rPr>
              <w:t>Hives</w:t>
            </w:r>
          </w:p>
        </w:tc>
        <w:tc>
          <w:tcPr>
            <w:tcW w:w="990" w:type="dxa"/>
            <w:vAlign w:val="center"/>
          </w:tcPr>
          <w:p w14:paraId="41CEBE67" w14:textId="77777777" w:rsidR="0007351B" w:rsidRPr="004A2D90" w:rsidRDefault="0007351B" w:rsidP="0007351B">
            <w:pPr>
              <w:jc w:val="center"/>
              <w:rPr>
                <w:rFonts w:cs="Arial"/>
                <w:color w:val="000000"/>
                <w:sz w:val="20"/>
              </w:rPr>
            </w:pPr>
          </w:p>
        </w:tc>
        <w:tc>
          <w:tcPr>
            <w:tcW w:w="630" w:type="dxa"/>
            <w:vAlign w:val="center"/>
          </w:tcPr>
          <w:p w14:paraId="336B4EA9" w14:textId="5D233E89" w:rsidR="0007351B" w:rsidRDefault="0007351B" w:rsidP="0007351B">
            <w:pPr>
              <w:jc w:val="center"/>
              <w:rPr>
                <w:rFonts w:cs="Arial"/>
                <w:color w:val="000000"/>
                <w:sz w:val="20"/>
              </w:rPr>
            </w:pPr>
            <w:r>
              <w:rPr>
                <w:rFonts w:cs="Arial"/>
                <w:color w:val="000000"/>
                <w:sz w:val="20"/>
              </w:rPr>
              <w:t>O</w:t>
            </w:r>
          </w:p>
        </w:tc>
        <w:tc>
          <w:tcPr>
            <w:tcW w:w="630" w:type="dxa"/>
            <w:vAlign w:val="center"/>
          </w:tcPr>
          <w:p w14:paraId="36B569AF" w14:textId="2C22F060" w:rsidR="0007351B" w:rsidRDefault="0007351B" w:rsidP="0007351B">
            <w:pPr>
              <w:jc w:val="center"/>
              <w:rPr>
                <w:rFonts w:cs="Arial"/>
                <w:color w:val="000000"/>
                <w:sz w:val="20"/>
              </w:rPr>
            </w:pPr>
            <w:r>
              <w:rPr>
                <w:rFonts w:cs="Arial"/>
                <w:color w:val="000000"/>
                <w:sz w:val="20"/>
              </w:rPr>
              <w:t>O</w:t>
            </w:r>
          </w:p>
        </w:tc>
        <w:tc>
          <w:tcPr>
            <w:tcW w:w="630" w:type="dxa"/>
            <w:vAlign w:val="center"/>
          </w:tcPr>
          <w:p w14:paraId="68A43291" w14:textId="536C6E36" w:rsidR="0007351B" w:rsidRDefault="0007351B" w:rsidP="0007351B">
            <w:pPr>
              <w:jc w:val="center"/>
              <w:rPr>
                <w:rFonts w:cs="Arial"/>
                <w:color w:val="000000"/>
                <w:sz w:val="20"/>
              </w:rPr>
            </w:pPr>
            <w:r>
              <w:rPr>
                <w:rFonts w:cs="Arial"/>
                <w:color w:val="000000"/>
                <w:sz w:val="20"/>
              </w:rPr>
              <w:t>O</w:t>
            </w:r>
          </w:p>
        </w:tc>
        <w:tc>
          <w:tcPr>
            <w:tcW w:w="630" w:type="dxa"/>
            <w:vAlign w:val="center"/>
          </w:tcPr>
          <w:p w14:paraId="7E34D643" w14:textId="01CCF792" w:rsidR="0007351B" w:rsidRDefault="0007351B" w:rsidP="0007351B">
            <w:pPr>
              <w:jc w:val="center"/>
              <w:rPr>
                <w:rFonts w:cs="Arial"/>
                <w:color w:val="000000"/>
                <w:sz w:val="20"/>
              </w:rPr>
            </w:pPr>
            <w:r>
              <w:rPr>
                <w:rFonts w:cs="Arial"/>
                <w:color w:val="000000"/>
                <w:sz w:val="20"/>
              </w:rPr>
              <w:t>O</w:t>
            </w:r>
          </w:p>
        </w:tc>
      </w:tr>
      <w:tr w:rsidR="0007351B" w:rsidRPr="004A2D90" w14:paraId="665D30F3" w14:textId="77777777" w:rsidTr="000A0F0C">
        <w:trPr>
          <w:trHeight w:val="274"/>
        </w:trPr>
        <w:tc>
          <w:tcPr>
            <w:tcW w:w="6657" w:type="dxa"/>
            <w:vAlign w:val="center"/>
          </w:tcPr>
          <w:p w14:paraId="3B9AFFB5" w14:textId="3FF6F51C" w:rsidR="0007351B" w:rsidRPr="004A2D90" w:rsidRDefault="0007351B" w:rsidP="0007351B">
            <w:pPr>
              <w:ind w:left="195"/>
              <w:rPr>
                <w:rFonts w:cs="Arial"/>
                <w:color w:val="000000"/>
                <w:sz w:val="20"/>
              </w:rPr>
            </w:pPr>
            <w:r>
              <w:rPr>
                <w:rFonts w:cs="Arial"/>
                <w:color w:val="000000"/>
                <w:sz w:val="20"/>
              </w:rPr>
              <w:t>Itching</w:t>
            </w:r>
          </w:p>
        </w:tc>
        <w:tc>
          <w:tcPr>
            <w:tcW w:w="990" w:type="dxa"/>
            <w:vAlign w:val="center"/>
          </w:tcPr>
          <w:p w14:paraId="4450939A" w14:textId="77777777" w:rsidR="0007351B" w:rsidRPr="004A2D90" w:rsidRDefault="0007351B" w:rsidP="0007351B">
            <w:pPr>
              <w:jc w:val="center"/>
              <w:rPr>
                <w:rFonts w:cs="Arial"/>
                <w:color w:val="000000"/>
                <w:sz w:val="20"/>
              </w:rPr>
            </w:pPr>
          </w:p>
        </w:tc>
        <w:tc>
          <w:tcPr>
            <w:tcW w:w="630" w:type="dxa"/>
            <w:vAlign w:val="center"/>
          </w:tcPr>
          <w:p w14:paraId="623B546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922155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B99723D"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8C05A83" w14:textId="77777777" w:rsidR="0007351B" w:rsidRDefault="0007351B" w:rsidP="0007351B">
            <w:pPr>
              <w:jc w:val="center"/>
              <w:rPr>
                <w:rFonts w:cs="Arial"/>
                <w:color w:val="000000"/>
                <w:sz w:val="20"/>
              </w:rPr>
            </w:pPr>
            <w:r>
              <w:rPr>
                <w:rFonts w:cs="Arial"/>
                <w:color w:val="000000"/>
                <w:sz w:val="20"/>
              </w:rPr>
              <w:t>O</w:t>
            </w:r>
          </w:p>
        </w:tc>
      </w:tr>
      <w:tr w:rsidR="0007351B" w:rsidRPr="004A2D90" w14:paraId="1D7A98D1" w14:textId="77777777" w:rsidTr="000A0F0C">
        <w:trPr>
          <w:trHeight w:val="517"/>
        </w:trPr>
        <w:tc>
          <w:tcPr>
            <w:tcW w:w="6657" w:type="dxa"/>
            <w:vAlign w:val="center"/>
          </w:tcPr>
          <w:p w14:paraId="202BC08F" w14:textId="4796D5B0" w:rsidR="0007351B" w:rsidRPr="004A2D90" w:rsidRDefault="0007351B" w:rsidP="0007351B">
            <w:pPr>
              <w:ind w:left="195"/>
              <w:rPr>
                <w:rFonts w:cs="Arial"/>
                <w:color w:val="000000"/>
                <w:sz w:val="20"/>
              </w:rPr>
            </w:pPr>
            <w:r>
              <w:rPr>
                <w:rFonts w:cs="Arial"/>
                <w:color w:val="000000"/>
                <w:sz w:val="20"/>
              </w:rPr>
              <w:t>Swelling of one or more of the following: lips, tongue, throat, face, eyelids, or other associated structures</w:t>
            </w:r>
          </w:p>
        </w:tc>
        <w:tc>
          <w:tcPr>
            <w:tcW w:w="990" w:type="dxa"/>
            <w:vAlign w:val="center"/>
          </w:tcPr>
          <w:p w14:paraId="4986DF1A" w14:textId="77777777" w:rsidR="0007351B" w:rsidRPr="004A2D90" w:rsidRDefault="0007351B" w:rsidP="0007351B">
            <w:pPr>
              <w:jc w:val="center"/>
              <w:rPr>
                <w:rFonts w:cs="Arial"/>
                <w:color w:val="000000"/>
                <w:sz w:val="20"/>
              </w:rPr>
            </w:pPr>
          </w:p>
        </w:tc>
        <w:tc>
          <w:tcPr>
            <w:tcW w:w="630" w:type="dxa"/>
            <w:vAlign w:val="center"/>
          </w:tcPr>
          <w:p w14:paraId="5629C84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BF531D9"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861472"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3ACB1F3F" w14:textId="77777777" w:rsidR="0007351B" w:rsidRDefault="0007351B" w:rsidP="0007351B">
            <w:pPr>
              <w:jc w:val="center"/>
              <w:rPr>
                <w:rFonts w:cs="Arial"/>
                <w:color w:val="000000"/>
                <w:sz w:val="20"/>
              </w:rPr>
            </w:pPr>
            <w:r>
              <w:rPr>
                <w:rFonts w:cs="Arial"/>
                <w:color w:val="000000"/>
                <w:sz w:val="20"/>
              </w:rPr>
              <w:t>O</w:t>
            </w:r>
          </w:p>
        </w:tc>
      </w:tr>
      <w:tr w:rsidR="0007351B" w:rsidRPr="004A2D90" w14:paraId="174E5A89" w14:textId="77777777" w:rsidTr="000A0F0C">
        <w:trPr>
          <w:trHeight w:val="274"/>
        </w:trPr>
        <w:tc>
          <w:tcPr>
            <w:tcW w:w="6657" w:type="dxa"/>
            <w:vAlign w:val="center"/>
          </w:tcPr>
          <w:p w14:paraId="0345571B" w14:textId="32BB8E80" w:rsidR="0007351B" w:rsidRPr="004A2D90" w:rsidRDefault="0007351B" w:rsidP="0007351B">
            <w:pPr>
              <w:ind w:left="195"/>
              <w:rPr>
                <w:rFonts w:cs="Arial"/>
                <w:color w:val="000000"/>
                <w:sz w:val="20"/>
              </w:rPr>
            </w:pPr>
            <w:r>
              <w:rPr>
                <w:rFonts w:cs="Arial"/>
                <w:color w:val="000000"/>
                <w:sz w:val="20"/>
              </w:rPr>
              <w:t>Shortness of breath</w:t>
            </w:r>
          </w:p>
        </w:tc>
        <w:tc>
          <w:tcPr>
            <w:tcW w:w="990" w:type="dxa"/>
            <w:vAlign w:val="center"/>
          </w:tcPr>
          <w:p w14:paraId="162B5DBC" w14:textId="77777777" w:rsidR="0007351B" w:rsidRPr="004A2D90" w:rsidRDefault="0007351B" w:rsidP="0007351B">
            <w:pPr>
              <w:jc w:val="center"/>
              <w:rPr>
                <w:rFonts w:cs="Arial"/>
                <w:color w:val="000000"/>
                <w:sz w:val="20"/>
              </w:rPr>
            </w:pPr>
          </w:p>
        </w:tc>
        <w:tc>
          <w:tcPr>
            <w:tcW w:w="630" w:type="dxa"/>
            <w:vAlign w:val="center"/>
          </w:tcPr>
          <w:p w14:paraId="18B7AE3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59A4732A"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14E2E8A7"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00412B4" w14:textId="77777777" w:rsidR="0007351B" w:rsidRDefault="0007351B" w:rsidP="0007351B">
            <w:pPr>
              <w:jc w:val="center"/>
              <w:rPr>
                <w:rFonts w:cs="Arial"/>
                <w:color w:val="000000"/>
                <w:sz w:val="20"/>
              </w:rPr>
            </w:pPr>
            <w:r>
              <w:rPr>
                <w:rFonts w:cs="Arial"/>
                <w:color w:val="000000"/>
                <w:sz w:val="20"/>
              </w:rPr>
              <w:t>O</w:t>
            </w:r>
          </w:p>
        </w:tc>
      </w:tr>
      <w:tr w:rsidR="0007351B" w:rsidRPr="004A2D90" w14:paraId="746EB703" w14:textId="77777777" w:rsidTr="000A0F0C">
        <w:trPr>
          <w:trHeight w:val="274"/>
        </w:trPr>
        <w:tc>
          <w:tcPr>
            <w:tcW w:w="6657" w:type="dxa"/>
            <w:vAlign w:val="center"/>
          </w:tcPr>
          <w:p w14:paraId="33F3F6C3" w14:textId="6674779C" w:rsidR="0007351B" w:rsidRDefault="0007351B" w:rsidP="0007351B">
            <w:pPr>
              <w:ind w:left="195"/>
              <w:rPr>
                <w:rFonts w:cs="Arial"/>
                <w:color w:val="000000"/>
                <w:sz w:val="20"/>
              </w:rPr>
            </w:pPr>
            <w:r>
              <w:rPr>
                <w:rFonts w:cs="Arial"/>
                <w:color w:val="000000"/>
                <w:sz w:val="20"/>
              </w:rPr>
              <w:t>Cough</w:t>
            </w:r>
          </w:p>
        </w:tc>
        <w:tc>
          <w:tcPr>
            <w:tcW w:w="990" w:type="dxa"/>
            <w:vAlign w:val="center"/>
          </w:tcPr>
          <w:p w14:paraId="314E6B23" w14:textId="77777777" w:rsidR="0007351B" w:rsidRPr="004A2D90" w:rsidRDefault="0007351B" w:rsidP="0007351B">
            <w:pPr>
              <w:jc w:val="center"/>
              <w:rPr>
                <w:rFonts w:cs="Arial"/>
                <w:color w:val="000000"/>
                <w:sz w:val="20"/>
              </w:rPr>
            </w:pPr>
          </w:p>
        </w:tc>
        <w:tc>
          <w:tcPr>
            <w:tcW w:w="630" w:type="dxa"/>
            <w:vAlign w:val="center"/>
          </w:tcPr>
          <w:p w14:paraId="2870DE74"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D12DF96"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28182FF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42F60D72" w14:textId="77777777" w:rsidR="0007351B" w:rsidRDefault="0007351B" w:rsidP="0007351B">
            <w:pPr>
              <w:jc w:val="center"/>
              <w:rPr>
                <w:rFonts w:cs="Arial"/>
                <w:color w:val="000000"/>
                <w:sz w:val="20"/>
              </w:rPr>
            </w:pPr>
            <w:r>
              <w:rPr>
                <w:rFonts w:cs="Arial"/>
                <w:color w:val="000000"/>
                <w:sz w:val="20"/>
              </w:rPr>
              <w:t>O</w:t>
            </w:r>
          </w:p>
        </w:tc>
      </w:tr>
      <w:tr w:rsidR="0007351B" w:rsidRPr="004A2D90" w14:paraId="43D20F13" w14:textId="77777777" w:rsidTr="000A0F0C">
        <w:trPr>
          <w:trHeight w:val="274"/>
        </w:trPr>
        <w:tc>
          <w:tcPr>
            <w:tcW w:w="6657" w:type="dxa"/>
            <w:vAlign w:val="center"/>
          </w:tcPr>
          <w:p w14:paraId="5E7C157C" w14:textId="79FDCFED" w:rsidR="0007351B" w:rsidRDefault="0007351B" w:rsidP="0007351B">
            <w:pPr>
              <w:ind w:left="195"/>
              <w:rPr>
                <w:rFonts w:cs="Arial"/>
                <w:color w:val="000000"/>
                <w:sz w:val="20"/>
              </w:rPr>
            </w:pPr>
            <w:r>
              <w:rPr>
                <w:rFonts w:cs="Arial"/>
                <w:color w:val="000000"/>
                <w:sz w:val="20"/>
              </w:rPr>
              <w:t>Wheezing</w:t>
            </w:r>
          </w:p>
        </w:tc>
        <w:tc>
          <w:tcPr>
            <w:tcW w:w="990" w:type="dxa"/>
            <w:vAlign w:val="center"/>
          </w:tcPr>
          <w:p w14:paraId="5951234B" w14:textId="77777777" w:rsidR="0007351B" w:rsidRPr="004A2D90" w:rsidRDefault="0007351B" w:rsidP="0007351B">
            <w:pPr>
              <w:jc w:val="center"/>
              <w:rPr>
                <w:rFonts w:cs="Arial"/>
                <w:color w:val="000000"/>
                <w:sz w:val="20"/>
              </w:rPr>
            </w:pPr>
          </w:p>
        </w:tc>
        <w:tc>
          <w:tcPr>
            <w:tcW w:w="630" w:type="dxa"/>
            <w:vAlign w:val="center"/>
          </w:tcPr>
          <w:p w14:paraId="18C3C7A5" w14:textId="67C53D3F" w:rsidR="0007351B" w:rsidRDefault="0007351B" w:rsidP="0007351B">
            <w:pPr>
              <w:jc w:val="center"/>
              <w:rPr>
                <w:rFonts w:cs="Arial"/>
                <w:color w:val="000000"/>
                <w:sz w:val="20"/>
              </w:rPr>
            </w:pPr>
            <w:r>
              <w:rPr>
                <w:rFonts w:cs="Arial"/>
                <w:color w:val="000000"/>
                <w:sz w:val="20"/>
              </w:rPr>
              <w:t>O</w:t>
            </w:r>
          </w:p>
        </w:tc>
        <w:tc>
          <w:tcPr>
            <w:tcW w:w="630" w:type="dxa"/>
            <w:vAlign w:val="center"/>
          </w:tcPr>
          <w:p w14:paraId="29CEBECA" w14:textId="14CB869C" w:rsidR="0007351B" w:rsidRDefault="0007351B" w:rsidP="0007351B">
            <w:pPr>
              <w:jc w:val="center"/>
              <w:rPr>
                <w:rFonts w:cs="Arial"/>
                <w:color w:val="000000"/>
                <w:sz w:val="20"/>
              </w:rPr>
            </w:pPr>
            <w:r>
              <w:rPr>
                <w:rFonts w:cs="Arial"/>
                <w:color w:val="000000"/>
                <w:sz w:val="20"/>
              </w:rPr>
              <w:t>O</w:t>
            </w:r>
          </w:p>
        </w:tc>
        <w:tc>
          <w:tcPr>
            <w:tcW w:w="630" w:type="dxa"/>
            <w:vAlign w:val="center"/>
          </w:tcPr>
          <w:p w14:paraId="7B7A078C" w14:textId="5EF7D7A7" w:rsidR="0007351B" w:rsidRDefault="0007351B" w:rsidP="0007351B">
            <w:pPr>
              <w:jc w:val="center"/>
              <w:rPr>
                <w:rFonts w:cs="Arial"/>
                <w:color w:val="000000"/>
                <w:sz w:val="20"/>
              </w:rPr>
            </w:pPr>
            <w:r>
              <w:rPr>
                <w:rFonts w:cs="Arial"/>
                <w:color w:val="000000"/>
                <w:sz w:val="20"/>
              </w:rPr>
              <w:t>O</w:t>
            </w:r>
          </w:p>
        </w:tc>
        <w:tc>
          <w:tcPr>
            <w:tcW w:w="630" w:type="dxa"/>
            <w:vAlign w:val="center"/>
          </w:tcPr>
          <w:p w14:paraId="13808098" w14:textId="6518F85C" w:rsidR="0007351B" w:rsidRDefault="0007351B" w:rsidP="0007351B">
            <w:pPr>
              <w:jc w:val="center"/>
              <w:rPr>
                <w:rFonts w:cs="Arial"/>
                <w:color w:val="000000"/>
                <w:sz w:val="20"/>
              </w:rPr>
            </w:pPr>
            <w:r>
              <w:rPr>
                <w:rFonts w:cs="Arial"/>
                <w:color w:val="000000"/>
                <w:sz w:val="20"/>
              </w:rPr>
              <w:t>O</w:t>
            </w:r>
          </w:p>
        </w:tc>
      </w:tr>
      <w:tr w:rsidR="0007351B" w:rsidRPr="004A2D90" w14:paraId="21E65E80" w14:textId="77777777" w:rsidTr="000A0F0C">
        <w:trPr>
          <w:trHeight w:val="274"/>
        </w:trPr>
        <w:tc>
          <w:tcPr>
            <w:tcW w:w="6657" w:type="dxa"/>
            <w:vAlign w:val="center"/>
          </w:tcPr>
          <w:p w14:paraId="566FDDCF" w14:textId="4EAC661E" w:rsidR="0007351B" w:rsidRDefault="0007351B" w:rsidP="0007351B">
            <w:pPr>
              <w:ind w:left="195"/>
              <w:rPr>
                <w:rFonts w:cs="Arial"/>
                <w:color w:val="000000"/>
                <w:sz w:val="20"/>
              </w:rPr>
            </w:pPr>
            <w:r>
              <w:rPr>
                <w:rFonts w:cs="Arial"/>
                <w:color w:val="000000"/>
                <w:sz w:val="20"/>
              </w:rPr>
              <w:t xml:space="preserve">Acute episode of </w:t>
            </w:r>
            <w:proofErr w:type="spellStart"/>
            <w:r>
              <w:rPr>
                <w:rFonts w:cs="Arial"/>
                <w:color w:val="000000"/>
                <w:sz w:val="20"/>
              </w:rPr>
              <w:t>hypotension</w:t>
            </w:r>
            <w:r w:rsidRPr="00EF4362">
              <w:rPr>
                <w:rFonts w:cs="Arial"/>
                <w:color w:val="000000"/>
                <w:sz w:val="20"/>
                <w:vertAlign w:val="superscript"/>
              </w:rPr>
              <w:t>ǂ</w:t>
            </w:r>
            <w:proofErr w:type="spellEnd"/>
          </w:p>
        </w:tc>
        <w:tc>
          <w:tcPr>
            <w:tcW w:w="990" w:type="dxa"/>
            <w:vAlign w:val="center"/>
          </w:tcPr>
          <w:p w14:paraId="1C9D2172" w14:textId="77777777" w:rsidR="0007351B" w:rsidRPr="004A2D90" w:rsidRDefault="0007351B" w:rsidP="0007351B">
            <w:pPr>
              <w:jc w:val="center"/>
              <w:rPr>
                <w:rFonts w:cs="Arial"/>
                <w:color w:val="000000"/>
                <w:sz w:val="20"/>
              </w:rPr>
            </w:pPr>
          </w:p>
        </w:tc>
        <w:tc>
          <w:tcPr>
            <w:tcW w:w="630" w:type="dxa"/>
            <w:vAlign w:val="center"/>
          </w:tcPr>
          <w:p w14:paraId="5318E4AF"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7D09F858"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028941F5" w14:textId="77777777" w:rsidR="0007351B" w:rsidRPr="004A2D90" w:rsidRDefault="0007351B" w:rsidP="0007351B">
            <w:pPr>
              <w:jc w:val="center"/>
              <w:rPr>
                <w:rFonts w:cs="Arial"/>
                <w:color w:val="000000"/>
                <w:sz w:val="20"/>
              </w:rPr>
            </w:pPr>
            <w:r>
              <w:rPr>
                <w:rFonts w:cs="Arial"/>
                <w:color w:val="000000"/>
                <w:sz w:val="20"/>
              </w:rPr>
              <w:t>O</w:t>
            </w:r>
          </w:p>
        </w:tc>
        <w:tc>
          <w:tcPr>
            <w:tcW w:w="630" w:type="dxa"/>
            <w:vAlign w:val="center"/>
          </w:tcPr>
          <w:p w14:paraId="66B3FC63" w14:textId="77777777" w:rsidR="0007351B" w:rsidRDefault="0007351B" w:rsidP="0007351B">
            <w:pPr>
              <w:jc w:val="center"/>
              <w:rPr>
                <w:rFonts w:cs="Arial"/>
                <w:color w:val="000000"/>
                <w:sz w:val="20"/>
              </w:rPr>
            </w:pPr>
            <w:r>
              <w:rPr>
                <w:rFonts w:cs="Arial"/>
                <w:color w:val="000000"/>
                <w:sz w:val="20"/>
              </w:rPr>
              <w:t>O</w:t>
            </w:r>
          </w:p>
        </w:tc>
      </w:tr>
      <w:tr w:rsidR="0007351B" w:rsidRPr="004A2D90" w14:paraId="6E83D61E" w14:textId="77777777" w:rsidTr="000A0F0C">
        <w:trPr>
          <w:trHeight w:val="274"/>
        </w:trPr>
        <w:tc>
          <w:tcPr>
            <w:tcW w:w="6657" w:type="dxa"/>
            <w:vAlign w:val="center"/>
          </w:tcPr>
          <w:p w14:paraId="1DC41AA3" w14:textId="77777777" w:rsidR="0007351B" w:rsidRDefault="0007351B" w:rsidP="0007351B">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07351B" w:rsidRPr="004A2D90" w:rsidRDefault="0007351B" w:rsidP="0007351B">
            <w:pPr>
              <w:jc w:val="center"/>
              <w:rPr>
                <w:rFonts w:cs="Arial"/>
                <w:color w:val="000000"/>
                <w:sz w:val="20"/>
              </w:rPr>
            </w:pPr>
          </w:p>
        </w:tc>
        <w:tc>
          <w:tcPr>
            <w:tcW w:w="630" w:type="dxa"/>
            <w:vAlign w:val="center"/>
          </w:tcPr>
          <w:p w14:paraId="06A560F1"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1184B5FA"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2B45E2AE"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3160328" w14:textId="77777777" w:rsidR="0007351B" w:rsidRDefault="0007351B" w:rsidP="0007351B">
            <w:pPr>
              <w:jc w:val="center"/>
              <w:rPr>
                <w:rFonts w:cs="Arial"/>
                <w:color w:val="000000"/>
                <w:sz w:val="20"/>
              </w:rPr>
            </w:pPr>
            <w:r>
              <w:rPr>
                <w:rFonts w:cs="Arial"/>
                <w:color w:val="000000"/>
                <w:sz w:val="20"/>
              </w:rPr>
              <w:t>N</w:t>
            </w:r>
          </w:p>
        </w:tc>
      </w:tr>
      <w:tr w:rsidR="0007351B" w:rsidRPr="004A2D90" w14:paraId="776492A0" w14:textId="77777777" w:rsidTr="000A0F0C">
        <w:trPr>
          <w:trHeight w:val="274"/>
        </w:trPr>
        <w:tc>
          <w:tcPr>
            <w:tcW w:w="6657" w:type="dxa"/>
            <w:vAlign w:val="center"/>
          </w:tcPr>
          <w:p w14:paraId="303473F8" w14:textId="4359CFD1" w:rsidR="0007351B" w:rsidRDefault="0007351B" w:rsidP="0007351B">
            <w:pPr>
              <w:ind w:left="195"/>
              <w:rPr>
                <w:rFonts w:cs="Arial"/>
                <w:color w:val="000000"/>
                <w:sz w:val="20"/>
              </w:rPr>
            </w:pPr>
            <w:r>
              <w:rPr>
                <w:rFonts w:cs="Arial"/>
                <w:color w:val="000000"/>
                <w:sz w:val="20"/>
              </w:rPr>
              <w:t>No clinical information available</w:t>
            </w:r>
          </w:p>
        </w:tc>
        <w:tc>
          <w:tcPr>
            <w:tcW w:w="990" w:type="dxa"/>
            <w:vAlign w:val="center"/>
          </w:tcPr>
          <w:p w14:paraId="6751C5D6" w14:textId="67866641"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71F8D4A" w14:textId="77777777" w:rsidR="0007351B" w:rsidRDefault="0007351B" w:rsidP="0007351B">
            <w:pPr>
              <w:jc w:val="center"/>
              <w:rPr>
                <w:rFonts w:cs="Arial"/>
                <w:color w:val="000000"/>
                <w:sz w:val="20"/>
              </w:rPr>
            </w:pPr>
          </w:p>
        </w:tc>
        <w:tc>
          <w:tcPr>
            <w:tcW w:w="630" w:type="dxa"/>
            <w:vAlign w:val="center"/>
          </w:tcPr>
          <w:p w14:paraId="207C34F7" w14:textId="77777777" w:rsidR="0007351B" w:rsidRDefault="0007351B" w:rsidP="0007351B">
            <w:pPr>
              <w:jc w:val="center"/>
              <w:rPr>
                <w:rFonts w:cs="Arial"/>
                <w:color w:val="000000"/>
                <w:sz w:val="20"/>
              </w:rPr>
            </w:pPr>
          </w:p>
        </w:tc>
        <w:tc>
          <w:tcPr>
            <w:tcW w:w="630" w:type="dxa"/>
            <w:vAlign w:val="center"/>
          </w:tcPr>
          <w:p w14:paraId="58089C7B" w14:textId="77777777" w:rsidR="0007351B" w:rsidRDefault="0007351B" w:rsidP="0007351B">
            <w:pPr>
              <w:jc w:val="center"/>
              <w:rPr>
                <w:rFonts w:cs="Arial"/>
                <w:color w:val="000000"/>
                <w:sz w:val="20"/>
              </w:rPr>
            </w:pPr>
          </w:p>
        </w:tc>
        <w:tc>
          <w:tcPr>
            <w:tcW w:w="630" w:type="dxa"/>
            <w:vAlign w:val="center"/>
          </w:tcPr>
          <w:p w14:paraId="5D67EFBA" w14:textId="77777777" w:rsidR="0007351B" w:rsidRDefault="0007351B" w:rsidP="0007351B">
            <w:pPr>
              <w:jc w:val="center"/>
              <w:rPr>
                <w:rFonts w:cs="Arial"/>
                <w:color w:val="000000"/>
                <w:sz w:val="20"/>
              </w:rPr>
            </w:pPr>
          </w:p>
        </w:tc>
      </w:tr>
      <w:tr w:rsidR="0007351B" w:rsidRPr="004A2D90" w14:paraId="6F2B2AE8" w14:textId="77777777" w:rsidTr="000A0F0C">
        <w:trPr>
          <w:trHeight w:val="274"/>
        </w:trPr>
        <w:tc>
          <w:tcPr>
            <w:tcW w:w="6657" w:type="dxa"/>
            <w:shd w:val="clear" w:color="auto" w:fill="D9D9D9" w:themeFill="background1" w:themeFillShade="D9"/>
            <w:vAlign w:val="center"/>
          </w:tcPr>
          <w:p w14:paraId="52BA2CC4" w14:textId="77777777" w:rsidR="0007351B" w:rsidRPr="004A2D90" w:rsidRDefault="0007351B" w:rsidP="0007351B">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799D6BFE"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2744DACC"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178A90C4" w14:textId="77777777" w:rsidR="0007351B" w:rsidRPr="004A2D90" w:rsidRDefault="0007351B" w:rsidP="0007351B">
            <w:pPr>
              <w:jc w:val="center"/>
              <w:rPr>
                <w:rFonts w:cs="Arial"/>
                <w:color w:val="000000"/>
                <w:sz w:val="20"/>
              </w:rPr>
            </w:pPr>
          </w:p>
        </w:tc>
        <w:tc>
          <w:tcPr>
            <w:tcW w:w="630" w:type="dxa"/>
            <w:shd w:val="clear" w:color="auto" w:fill="D9D9D9" w:themeFill="background1" w:themeFillShade="D9"/>
            <w:vAlign w:val="center"/>
          </w:tcPr>
          <w:p w14:paraId="39E05BB6" w14:textId="77777777" w:rsidR="0007351B" w:rsidRPr="004A2D90" w:rsidRDefault="0007351B" w:rsidP="0007351B">
            <w:pPr>
              <w:jc w:val="center"/>
              <w:rPr>
                <w:rFonts w:cs="Arial"/>
                <w:color w:val="000000"/>
                <w:sz w:val="20"/>
              </w:rPr>
            </w:pPr>
          </w:p>
        </w:tc>
      </w:tr>
      <w:tr w:rsidR="0007351B" w:rsidRPr="004A2D90" w14:paraId="2E2A28A8" w14:textId="77777777" w:rsidTr="000A0F0C">
        <w:trPr>
          <w:trHeight w:val="274"/>
        </w:trPr>
        <w:tc>
          <w:tcPr>
            <w:tcW w:w="6657" w:type="dxa"/>
            <w:vAlign w:val="center"/>
          </w:tcPr>
          <w:p w14:paraId="661A05A8" w14:textId="77777777" w:rsidR="0007351B" w:rsidRPr="004A2D90" w:rsidRDefault="0007351B" w:rsidP="0007351B">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990" w:type="dxa"/>
            <w:vAlign w:val="center"/>
          </w:tcPr>
          <w:p w14:paraId="0F57F625" w14:textId="3DAE6503"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C8AA370" w14:textId="77777777" w:rsidR="0007351B" w:rsidRPr="004A2D90" w:rsidRDefault="0007351B" w:rsidP="0007351B">
            <w:pPr>
              <w:jc w:val="center"/>
              <w:rPr>
                <w:rFonts w:cs="Arial"/>
                <w:color w:val="000000"/>
                <w:sz w:val="20"/>
              </w:rPr>
            </w:pPr>
          </w:p>
        </w:tc>
        <w:tc>
          <w:tcPr>
            <w:tcW w:w="630" w:type="dxa"/>
            <w:vAlign w:val="center"/>
          </w:tcPr>
          <w:p w14:paraId="2DACC9CB" w14:textId="77777777" w:rsidR="0007351B" w:rsidRPr="004A2D90" w:rsidRDefault="0007351B" w:rsidP="0007351B">
            <w:pPr>
              <w:jc w:val="center"/>
              <w:rPr>
                <w:rFonts w:cs="Arial"/>
                <w:color w:val="000000"/>
                <w:sz w:val="20"/>
              </w:rPr>
            </w:pPr>
          </w:p>
        </w:tc>
        <w:tc>
          <w:tcPr>
            <w:tcW w:w="630" w:type="dxa"/>
            <w:vAlign w:val="center"/>
          </w:tcPr>
          <w:p w14:paraId="58C63CD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481A25D5" w14:textId="77777777" w:rsidR="0007351B" w:rsidRDefault="0007351B" w:rsidP="0007351B">
            <w:pPr>
              <w:jc w:val="center"/>
              <w:rPr>
                <w:rFonts w:cs="Arial"/>
                <w:color w:val="000000"/>
                <w:sz w:val="20"/>
              </w:rPr>
            </w:pPr>
            <w:r>
              <w:rPr>
                <w:rFonts w:cs="Arial"/>
                <w:color w:val="000000"/>
                <w:sz w:val="20"/>
              </w:rPr>
              <w:t>N</w:t>
            </w:r>
          </w:p>
        </w:tc>
      </w:tr>
      <w:tr w:rsidR="0007351B" w:rsidRPr="004A2D90" w14:paraId="2C0CA4EB" w14:textId="77777777" w:rsidTr="000A0F0C">
        <w:trPr>
          <w:trHeight w:val="274"/>
        </w:trPr>
        <w:tc>
          <w:tcPr>
            <w:tcW w:w="6657" w:type="dxa"/>
            <w:vAlign w:val="center"/>
          </w:tcPr>
          <w:p w14:paraId="22668B6D" w14:textId="77777777" w:rsidR="0007351B" w:rsidRDefault="0007351B" w:rsidP="0007351B">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07351B" w:rsidRPr="004A2D90" w:rsidRDefault="0007351B" w:rsidP="0007351B">
            <w:pPr>
              <w:jc w:val="center"/>
              <w:rPr>
                <w:rFonts w:cs="Arial"/>
                <w:color w:val="000000"/>
                <w:sz w:val="20"/>
              </w:rPr>
            </w:pPr>
          </w:p>
        </w:tc>
        <w:tc>
          <w:tcPr>
            <w:tcW w:w="630" w:type="dxa"/>
            <w:vAlign w:val="center"/>
          </w:tcPr>
          <w:p w14:paraId="328F55FF" w14:textId="77777777"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3FE2D4A1" w14:textId="18EF2E42" w:rsidR="0007351B" w:rsidRPr="004A2D90" w:rsidRDefault="0007351B" w:rsidP="0007351B">
            <w:pPr>
              <w:jc w:val="center"/>
              <w:rPr>
                <w:rFonts w:cs="Arial"/>
                <w:color w:val="000000"/>
                <w:sz w:val="20"/>
              </w:rPr>
            </w:pPr>
            <w:r>
              <w:rPr>
                <w:rFonts w:cs="Arial"/>
                <w:color w:val="000000"/>
                <w:sz w:val="20"/>
              </w:rPr>
              <w:t>N</w:t>
            </w:r>
          </w:p>
        </w:tc>
        <w:tc>
          <w:tcPr>
            <w:tcW w:w="630" w:type="dxa"/>
            <w:vAlign w:val="center"/>
          </w:tcPr>
          <w:p w14:paraId="7C03F8C7" w14:textId="77777777" w:rsidR="0007351B" w:rsidRPr="004A2D90" w:rsidRDefault="0007351B" w:rsidP="0007351B">
            <w:pPr>
              <w:jc w:val="center"/>
              <w:rPr>
                <w:rFonts w:cs="Arial"/>
                <w:color w:val="000000"/>
                <w:sz w:val="20"/>
              </w:rPr>
            </w:pPr>
          </w:p>
        </w:tc>
        <w:tc>
          <w:tcPr>
            <w:tcW w:w="630" w:type="dxa"/>
          </w:tcPr>
          <w:p w14:paraId="3F6BF7C2" w14:textId="77777777" w:rsidR="0007351B" w:rsidRPr="004A2D90" w:rsidRDefault="0007351B" w:rsidP="0007351B">
            <w:pPr>
              <w:jc w:val="center"/>
              <w:rPr>
                <w:rFonts w:cs="Arial"/>
                <w:color w:val="000000"/>
                <w:sz w:val="20"/>
              </w:rPr>
            </w:pPr>
          </w:p>
        </w:tc>
      </w:tr>
      <w:tr w:rsidR="0007351B" w:rsidRPr="004A2D90" w14:paraId="048272E5" w14:textId="77777777" w:rsidTr="00C239CC">
        <w:trPr>
          <w:trHeight w:val="148"/>
        </w:trPr>
        <w:tc>
          <w:tcPr>
            <w:tcW w:w="6657" w:type="dxa"/>
            <w:shd w:val="clear" w:color="auto" w:fill="808080" w:themeFill="background1" w:themeFillShade="80"/>
            <w:vAlign w:val="center"/>
          </w:tcPr>
          <w:p w14:paraId="7C1FA43C" w14:textId="77777777" w:rsidR="0007351B" w:rsidRPr="004A2D90" w:rsidRDefault="0007351B" w:rsidP="0007351B">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07351B" w:rsidRPr="004A2D90" w:rsidRDefault="0007351B" w:rsidP="0007351B">
            <w:pPr>
              <w:jc w:val="center"/>
              <w:rPr>
                <w:rFonts w:cs="Arial"/>
                <w:color w:val="000000"/>
                <w:sz w:val="20"/>
              </w:rPr>
            </w:pPr>
          </w:p>
        </w:tc>
        <w:tc>
          <w:tcPr>
            <w:tcW w:w="630" w:type="dxa"/>
            <w:shd w:val="clear" w:color="auto" w:fill="808080" w:themeFill="background1" w:themeFillShade="80"/>
          </w:tcPr>
          <w:p w14:paraId="5F5CC1C4" w14:textId="77777777" w:rsidR="0007351B" w:rsidRPr="004A2D90" w:rsidRDefault="0007351B" w:rsidP="0007351B">
            <w:pPr>
              <w:jc w:val="center"/>
              <w:rPr>
                <w:rFonts w:cs="Arial"/>
                <w:color w:val="000000"/>
                <w:sz w:val="20"/>
              </w:rPr>
            </w:pPr>
          </w:p>
        </w:tc>
      </w:tr>
      <w:tr w:rsidR="0007351B" w:rsidRPr="004A2D90" w14:paraId="1C41B0B5" w14:textId="77777777" w:rsidTr="000A0F0C">
        <w:trPr>
          <w:trHeight w:val="274"/>
        </w:trPr>
        <w:tc>
          <w:tcPr>
            <w:tcW w:w="6657" w:type="dxa"/>
            <w:shd w:val="clear" w:color="auto" w:fill="D9D9D9" w:themeFill="background1" w:themeFillShade="D9"/>
            <w:vAlign w:val="center"/>
          </w:tcPr>
          <w:p w14:paraId="1B7E63E1" w14:textId="77777777" w:rsidR="0007351B" w:rsidRPr="004A2D90" w:rsidRDefault="0007351B" w:rsidP="0007351B">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24C71FE2"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061EDFBF" w14:textId="77777777" w:rsidR="0007351B" w:rsidRPr="004A2D90" w:rsidRDefault="0007351B" w:rsidP="0007351B">
            <w:pPr>
              <w:rPr>
                <w:rFonts w:cs="Arial"/>
                <w:color w:val="000000"/>
                <w:sz w:val="20"/>
              </w:rPr>
            </w:pPr>
          </w:p>
        </w:tc>
        <w:tc>
          <w:tcPr>
            <w:tcW w:w="630" w:type="dxa"/>
            <w:shd w:val="clear" w:color="auto" w:fill="D9D9D9" w:themeFill="background1" w:themeFillShade="D9"/>
            <w:vAlign w:val="center"/>
          </w:tcPr>
          <w:p w14:paraId="697A502A" w14:textId="77777777" w:rsidR="0007351B" w:rsidRPr="004A2D90" w:rsidRDefault="0007351B" w:rsidP="0007351B">
            <w:pPr>
              <w:rPr>
                <w:rFonts w:cs="Arial"/>
                <w:color w:val="000000"/>
                <w:sz w:val="20"/>
              </w:rPr>
            </w:pPr>
          </w:p>
        </w:tc>
        <w:tc>
          <w:tcPr>
            <w:tcW w:w="630" w:type="dxa"/>
            <w:shd w:val="clear" w:color="auto" w:fill="D9D9D9" w:themeFill="background1" w:themeFillShade="D9"/>
          </w:tcPr>
          <w:p w14:paraId="14625ACA" w14:textId="77777777" w:rsidR="0007351B" w:rsidRPr="004A2D90" w:rsidRDefault="0007351B" w:rsidP="0007351B">
            <w:pPr>
              <w:rPr>
                <w:rFonts w:cs="Arial"/>
                <w:color w:val="000000"/>
                <w:sz w:val="20"/>
              </w:rPr>
            </w:pPr>
          </w:p>
        </w:tc>
      </w:tr>
      <w:tr w:rsidR="0007351B" w:rsidRPr="004A2D90" w14:paraId="77D3C574" w14:textId="77777777" w:rsidTr="000A0F0C">
        <w:trPr>
          <w:trHeight w:val="274"/>
        </w:trPr>
        <w:tc>
          <w:tcPr>
            <w:tcW w:w="6657" w:type="dxa"/>
            <w:vAlign w:val="center"/>
          </w:tcPr>
          <w:p w14:paraId="1F24C182" w14:textId="77777777" w:rsidR="0007351B" w:rsidRPr="005E05CA" w:rsidRDefault="0007351B" w:rsidP="0007351B">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585E1B6"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0C30EF18" w14:textId="77777777" w:rsidR="0007351B" w:rsidRPr="005E05CA" w:rsidRDefault="0007351B" w:rsidP="0007351B">
            <w:pPr>
              <w:jc w:val="center"/>
              <w:rPr>
                <w:rFonts w:cs="Arial"/>
                <w:sz w:val="20"/>
              </w:rPr>
            </w:pPr>
            <w:r>
              <w:rPr>
                <w:rFonts w:cs="Arial"/>
                <w:sz w:val="20"/>
              </w:rPr>
              <w:t>N</w:t>
            </w:r>
          </w:p>
        </w:tc>
        <w:tc>
          <w:tcPr>
            <w:tcW w:w="630" w:type="dxa"/>
            <w:vAlign w:val="center"/>
          </w:tcPr>
          <w:p w14:paraId="4C511561" w14:textId="77777777" w:rsidR="0007351B" w:rsidRPr="005E05CA" w:rsidRDefault="0007351B" w:rsidP="0007351B">
            <w:pPr>
              <w:jc w:val="center"/>
              <w:rPr>
                <w:rFonts w:cs="Arial"/>
                <w:sz w:val="20"/>
              </w:rPr>
            </w:pPr>
            <w:r w:rsidRPr="005E05CA">
              <w:rPr>
                <w:rFonts w:cs="Arial"/>
                <w:sz w:val="20"/>
              </w:rPr>
              <w:t>N</w:t>
            </w:r>
          </w:p>
        </w:tc>
        <w:tc>
          <w:tcPr>
            <w:tcW w:w="630" w:type="dxa"/>
            <w:vAlign w:val="center"/>
          </w:tcPr>
          <w:p w14:paraId="5DAE03C7" w14:textId="77777777" w:rsidR="0007351B" w:rsidRPr="005E05CA" w:rsidRDefault="0007351B" w:rsidP="0007351B">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S = This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50D59B5C"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31"/>
      <w:footerReference w:type="default" r:id="rId32"/>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eredith Lichtenstein Cone" w:date="2020-08-10T14:50:00Z" w:initials="MLC">
    <w:p w14:paraId="4B8C571D" w14:textId="33A62C77" w:rsidR="00F66AAD" w:rsidRDefault="00F66AAD">
      <w:pPr>
        <w:pStyle w:val="CommentText"/>
      </w:pPr>
      <w:r>
        <w:rPr>
          <w:rStyle w:val="CommentReference"/>
        </w:rPr>
        <w:annotationRef/>
      </w:r>
      <w:r>
        <w:t>Based on the logic of the case definition, which requires clinical symptoms and the IgE, wouldn’t both laboratory AND clinical reporting be necessary for both confirmed and probable cases?</w:t>
      </w:r>
    </w:p>
  </w:comment>
  <w:comment w:id="1" w:author="Kristen Nichols Heitman (CDC/OID/NCEZID)" w:date="2020-08-11T11:57:00Z" w:initials="NHKM(">
    <w:p w14:paraId="17FA5209" w14:textId="5A12633B" w:rsidR="00B7565B" w:rsidRDefault="00B7565B">
      <w:pPr>
        <w:pStyle w:val="CommentText"/>
      </w:pPr>
      <w:r>
        <w:rPr>
          <w:rStyle w:val="CommentReference"/>
        </w:rPr>
        <w:annotationRef/>
      </w:r>
      <w:r>
        <w:t xml:space="preserve">I see what you’re saying. Does this edit clarify? I think we wrote this from the perspective of what would trigger the investigation. For confirmed cases, public health officials will likely receive positive IgE results via laboratory reporting, and then an investigation will follow where clinical data will be procured from clinicians or medical charts. Whereas with probable cases, a skin test will be performed in-office and will be reported by the clinician to public health officials. Please suggest edits if this isn’t clear from what we have here. </w:t>
      </w:r>
    </w:p>
  </w:comment>
  <w:comment w:id="2" w:author="Meredith Lichtenstein Cone" w:date="2020-08-16T20:13:00Z" w:initials="MLC">
    <w:p w14:paraId="10F12167" w14:textId="470A942B" w:rsidR="00F332B3" w:rsidRDefault="00F332B3">
      <w:pPr>
        <w:pStyle w:val="CommentText"/>
      </w:pPr>
      <w:r>
        <w:rPr>
          <w:rStyle w:val="CommentReference"/>
        </w:rPr>
        <w:annotationRef/>
      </w:r>
      <w:r>
        <w:t>I think the edit makes sense</w:t>
      </w:r>
      <w:r w:rsidR="005169A6">
        <w:t>.</w:t>
      </w:r>
    </w:p>
  </w:comment>
  <w:comment w:id="3" w:author="Meredith Lichtenstein Cone" w:date="2020-08-10T14:52:00Z" w:initials="MLC">
    <w:p w14:paraId="7893AA4E" w14:textId="33BD5B81" w:rsidR="00F66AAD" w:rsidRDefault="00F66AAD">
      <w:pPr>
        <w:pStyle w:val="CommentText"/>
      </w:pPr>
      <w:r>
        <w:rPr>
          <w:rStyle w:val="CommentReference"/>
        </w:rPr>
        <w:annotationRef/>
      </w:r>
      <w:r>
        <w:t>Which source(s) should be specified here?</w:t>
      </w:r>
    </w:p>
  </w:comment>
  <w:comment w:id="4" w:author="Kristen Nichols Heitman (CDC/OID/NCEZID)" w:date="2020-08-11T10:31:00Z" w:initials="NHKM(">
    <w:p w14:paraId="59D5194C" w14:textId="7105CD8D" w:rsidR="004C18BA" w:rsidRDefault="004C18BA">
      <w:pPr>
        <w:pStyle w:val="CommentText"/>
      </w:pPr>
      <w:r>
        <w:rPr>
          <w:rStyle w:val="CommentReference"/>
        </w:rPr>
        <w:annotationRef/>
      </w:r>
      <w:r>
        <w:t>Corrected.</w:t>
      </w:r>
    </w:p>
  </w:comment>
  <w:comment w:id="5" w:author="Meredith Lichtenstein Cone" w:date="2020-08-10T15:05:00Z" w:initials="MLC">
    <w:p w14:paraId="1C48CC4A" w14:textId="77777777" w:rsidR="00F66AAD" w:rsidRDefault="00F66AAD" w:rsidP="00DB20D5">
      <w:pPr>
        <w:pStyle w:val="CommentText"/>
        <w:rPr>
          <w:rStyle w:val="CommentReference"/>
        </w:rPr>
      </w:pPr>
      <w:r>
        <w:rPr>
          <w:rStyle w:val="CommentReference"/>
        </w:rPr>
        <w:annotationRef/>
      </w:r>
      <w:r>
        <w:rPr>
          <w:rStyle w:val="CommentReference"/>
        </w:rPr>
        <w:t>Suggest the following formatting to ensure clarity:</w:t>
      </w:r>
    </w:p>
    <w:p w14:paraId="2FD202AF" w14:textId="77777777" w:rsidR="00F66AAD" w:rsidRDefault="00F66AAD" w:rsidP="00DB20D5">
      <w:pPr>
        <w:pStyle w:val="CommentText"/>
        <w:rPr>
          <w:rStyle w:val="CommentReference"/>
        </w:rPr>
      </w:pPr>
    </w:p>
    <w:p w14:paraId="26BDB836" w14:textId="77777777" w:rsidR="00F66AAD" w:rsidRDefault="00F66AAD" w:rsidP="00DB20D5">
      <w:pPr>
        <w:pStyle w:val="CommentText"/>
        <w:rPr>
          <w:rStyle w:val="CommentReference"/>
        </w:rPr>
      </w:pPr>
      <w:r>
        <w:rPr>
          <w:rStyle w:val="CommentReference"/>
        </w:rPr>
        <w:t xml:space="preserve">Acute onset of any of the following allergic and/or gastrointestinal symptoms </w:t>
      </w:r>
      <w:r w:rsidRPr="00AE65E3">
        <w:rPr>
          <w:rFonts w:eastAsia="Calibri" w:cs="Arial"/>
          <w:snapToGrid/>
        </w:rPr>
        <w:t xml:space="preserve">that occur 2–10 hours after ingestion of pork, beef, lamb, any other mammalian meat or mammalian derived product (e.g. gelatin), </w:t>
      </w:r>
      <w:r>
        <w:rPr>
          <w:rFonts w:eastAsia="Calibri" w:cs="Arial"/>
          <w:snapToGrid/>
        </w:rPr>
        <w:t>OR</w:t>
      </w:r>
      <w:r w:rsidRPr="00AE65E3">
        <w:rPr>
          <w:rFonts w:eastAsia="Calibri" w:cs="Arial"/>
          <w:snapToGrid/>
        </w:rPr>
        <w:t xml:space="preserve"> within two hours after intramuscular, intravenous, or subcutaneous administration of alpha-gal containing vaccination or medication</w:t>
      </w:r>
      <w:r>
        <w:rPr>
          <w:rStyle w:val="CommentReference"/>
        </w:rPr>
        <w:t>:</w:t>
      </w:r>
    </w:p>
    <w:p w14:paraId="5750B1C7" w14:textId="77777777" w:rsidR="00F66AAD" w:rsidRDefault="00F66AAD" w:rsidP="00DB20D5">
      <w:pPr>
        <w:pStyle w:val="CommentText"/>
        <w:numPr>
          <w:ilvl w:val="0"/>
          <w:numId w:val="49"/>
        </w:numPr>
      </w:pPr>
      <w:r>
        <w:t>Abdominal Pain</w:t>
      </w:r>
    </w:p>
    <w:p w14:paraId="4DC1080B" w14:textId="77777777" w:rsidR="00F66AAD" w:rsidRDefault="00F66AAD" w:rsidP="00DB20D5">
      <w:pPr>
        <w:pStyle w:val="CommentText"/>
        <w:numPr>
          <w:ilvl w:val="0"/>
          <w:numId w:val="49"/>
        </w:numPr>
      </w:pPr>
      <w:r>
        <w:t>Nausea</w:t>
      </w:r>
    </w:p>
    <w:p w14:paraId="015E654B" w14:textId="77777777" w:rsidR="00F66AAD" w:rsidRDefault="00F66AAD" w:rsidP="00DB20D5">
      <w:pPr>
        <w:pStyle w:val="CommentText"/>
        <w:numPr>
          <w:ilvl w:val="0"/>
          <w:numId w:val="49"/>
        </w:numPr>
      </w:pPr>
      <w:r>
        <w:t>Diarrhea</w:t>
      </w:r>
    </w:p>
    <w:p w14:paraId="1D6092D0" w14:textId="77777777" w:rsidR="00F66AAD" w:rsidRDefault="00F66AAD" w:rsidP="00DB20D5">
      <w:pPr>
        <w:pStyle w:val="CommentText"/>
        <w:numPr>
          <w:ilvl w:val="0"/>
          <w:numId w:val="49"/>
        </w:numPr>
      </w:pPr>
      <w:r>
        <w:t>Vomiting</w:t>
      </w:r>
    </w:p>
    <w:p w14:paraId="1CED019E" w14:textId="77777777" w:rsidR="00F66AAD" w:rsidRDefault="00F66AAD" w:rsidP="00DB20D5">
      <w:pPr>
        <w:pStyle w:val="CommentText"/>
        <w:numPr>
          <w:ilvl w:val="0"/>
          <w:numId w:val="49"/>
        </w:numPr>
      </w:pPr>
      <w:r>
        <w:t>Hives</w:t>
      </w:r>
    </w:p>
    <w:p w14:paraId="4B63D763" w14:textId="77777777" w:rsidR="00F66AAD" w:rsidRDefault="00F66AAD" w:rsidP="00DB20D5">
      <w:pPr>
        <w:pStyle w:val="CommentText"/>
        <w:numPr>
          <w:ilvl w:val="0"/>
          <w:numId w:val="49"/>
        </w:numPr>
      </w:pPr>
      <w:r>
        <w:t>Itching</w:t>
      </w:r>
    </w:p>
    <w:p w14:paraId="504AD003" w14:textId="77777777" w:rsidR="00F66AAD" w:rsidRDefault="00F66AAD" w:rsidP="00DB20D5">
      <w:pPr>
        <w:pStyle w:val="CommentText"/>
        <w:numPr>
          <w:ilvl w:val="0"/>
          <w:numId w:val="49"/>
        </w:numPr>
      </w:pPr>
      <w:r>
        <w:t xml:space="preserve">Swelling of at least </w:t>
      </w:r>
      <w:r w:rsidRPr="00C308C5">
        <w:rPr>
          <w:u w:val="single"/>
        </w:rPr>
        <w:t>one</w:t>
      </w:r>
      <w:r>
        <w:t xml:space="preserve"> of the lips, tongue, throat face eyelids, or other associated structures</w:t>
      </w:r>
    </w:p>
    <w:p w14:paraId="611AD98E" w14:textId="77777777" w:rsidR="00F66AAD" w:rsidRDefault="00F66AAD" w:rsidP="00DB20D5">
      <w:pPr>
        <w:pStyle w:val="CommentText"/>
        <w:numPr>
          <w:ilvl w:val="0"/>
          <w:numId w:val="49"/>
        </w:numPr>
      </w:pPr>
      <w:r>
        <w:t>Shortness of breath</w:t>
      </w:r>
    </w:p>
    <w:p w14:paraId="5E190DF3" w14:textId="77777777" w:rsidR="00F66AAD" w:rsidRDefault="00F66AAD" w:rsidP="00DB20D5">
      <w:pPr>
        <w:pStyle w:val="CommentText"/>
        <w:numPr>
          <w:ilvl w:val="0"/>
          <w:numId w:val="49"/>
        </w:numPr>
      </w:pPr>
      <w:r>
        <w:t>Cough</w:t>
      </w:r>
    </w:p>
    <w:p w14:paraId="02391CAA" w14:textId="77777777" w:rsidR="00F66AAD" w:rsidRDefault="00F66AAD" w:rsidP="00DB20D5">
      <w:pPr>
        <w:pStyle w:val="CommentText"/>
        <w:numPr>
          <w:ilvl w:val="0"/>
          <w:numId w:val="49"/>
        </w:numPr>
      </w:pPr>
      <w:r>
        <w:t>Wheezing</w:t>
      </w:r>
    </w:p>
    <w:p w14:paraId="640D631F" w14:textId="77777777" w:rsidR="00F66AAD" w:rsidRDefault="00F66AAD" w:rsidP="00DB20D5">
      <w:pPr>
        <w:pStyle w:val="CommentText"/>
        <w:numPr>
          <w:ilvl w:val="0"/>
          <w:numId w:val="49"/>
        </w:numPr>
      </w:pPr>
      <w:r>
        <w:t>Acute episode of hypotension*</w:t>
      </w:r>
    </w:p>
    <w:p w14:paraId="70A09366" w14:textId="77777777" w:rsidR="00F66AAD" w:rsidRDefault="00F66AAD" w:rsidP="00DB20D5">
      <w:pPr>
        <w:pStyle w:val="CommentText"/>
      </w:pPr>
    </w:p>
    <w:p w14:paraId="5B43998D" w14:textId="77777777" w:rsidR="00F66AAD" w:rsidRDefault="00F66AAD" w:rsidP="00DB20D5">
      <w:pPr>
        <w:pStyle w:val="CommentText"/>
      </w:pPr>
      <w:r>
        <w:t>AND</w:t>
      </w:r>
    </w:p>
    <w:p w14:paraId="4B66ACD5" w14:textId="77777777" w:rsidR="00F66AAD" w:rsidRDefault="00F66AAD" w:rsidP="00DB20D5">
      <w:pPr>
        <w:pStyle w:val="CommentText"/>
      </w:pPr>
    </w:p>
    <w:p w14:paraId="1D6CD202" w14:textId="77777777" w:rsidR="00F66AAD" w:rsidRDefault="00F66AAD" w:rsidP="00DB20D5">
      <w:pPr>
        <w:pStyle w:val="CommentText"/>
      </w:pPr>
      <w:r>
        <w:t>the absence of a clear alternative diagnosis.</w:t>
      </w:r>
    </w:p>
    <w:p w14:paraId="00E2E889" w14:textId="77777777" w:rsidR="00F66AAD" w:rsidRDefault="00F66AAD" w:rsidP="00DB20D5">
      <w:pPr>
        <w:pStyle w:val="CommentText"/>
      </w:pPr>
    </w:p>
    <w:p w14:paraId="1DF669CF" w14:textId="3FBF6AF8" w:rsidR="00F66AAD" w:rsidRDefault="00F66AAD" w:rsidP="00DB20D5">
      <w:pPr>
        <w:pStyle w:val="CommentText"/>
      </w:pPr>
      <w:r>
        <w:t>*[footnote]</w:t>
      </w:r>
    </w:p>
  </w:comment>
  <w:comment w:id="6" w:author="Kristen Nichols Heitman (CDC/OID/NCEZID)" w:date="2020-08-11T11:50:00Z" w:initials="NHKM(">
    <w:p w14:paraId="09F278FF" w14:textId="249BCCA5" w:rsidR="00AB22D9" w:rsidRDefault="00AB22D9">
      <w:pPr>
        <w:pStyle w:val="CommentText"/>
      </w:pPr>
      <w:r>
        <w:rPr>
          <w:rStyle w:val="CommentReference"/>
        </w:rPr>
        <w:annotationRef/>
      </w:r>
      <w:r>
        <w:t>Formatting changed. For the swelling</w:t>
      </w:r>
      <w:r w:rsidR="00B7565B">
        <w:t xml:space="preserve"> bullet</w:t>
      </w:r>
      <w:r>
        <w:t xml:space="preserve">, swelling of one or more is NOT required (i.e., a case can have abdominal pain and NO swelling and still meet clinical criteria). </w:t>
      </w:r>
      <w:r w:rsidR="00B7565B">
        <w:t>Is the change I made okay?</w:t>
      </w:r>
    </w:p>
  </w:comment>
  <w:comment w:id="7" w:author="Meredith Lichtenstein Cone" w:date="2020-08-16T20:18:00Z" w:initials="MLC">
    <w:p w14:paraId="6C3BD8B1" w14:textId="5AAFC0E8" w:rsidR="001B29CC" w:rsidRDefault="001B29CC">
      <w:pPr>
        <w:pStyle w:val="CommentText"/>
      </w:pPr>
      <w:r>
        <w:rPr>
          <w:rStyle w:val="CommentReference"/>
        </w:rPr>
        <w:annotationRef/>
      </w:r>
      <w:r>
        <w:t xml:space="preserve">Yes, the change is fine. </w:t>
      </w:r>
      <w:r w:rsidR="00FF07F8">
        <w:t xml:space="preserve">The way it reads is a person will need </w:t>
      </w:r>
      <w:r w:rsidR="0051052B">
        <w:t xml:space="preserve">(1) </w:t>
      </w:r>
      <w:r w:rsidR="00291733">
        <w:t xml:space="preserve">a minimum of a single one of </w:t>
      </w:r>
      <w:r w:rsidR="00847A2F">
        <w:t xml:space="preserve">symptoms, (2) within either 2-10 or 2 hours depending on exposure, and (3) there can’t be any other clear possible diagnosis. </w:t>
      </w:r>
      <w:r w:rsidR="00291733">
        <w:t xml:space="preserve"> </w:t>
      </w:r>
    </w:p>
    <w:p w14:paraId="29961FDD" w14:textId="77777777" w:rsidR="00930893" w:rsidRDefault="00930893">
      <w:pPr>
        <w:pStyle w:val="CommentText"/>
      </w:pPr>
    </w:p>
    <w:p w14:paraId="12F88086" w14:textId="77777777" w:rsidR="007D2DF8" w:rsidRDefault="007D2DF8">
      <w:pPr>
        <w:pStyle w:val="CommentText"/>
      </w:pPr>
      <w:r>
        <w:t>To meet the clinical criteria:</w:t>
      </w:r>
    </w:p>
    <w:p w14:paraId="6ABFCD02" w14:textId="7EC5336E" w:rsidR="007D2DF8" w:rsidRDefault="007D2DF8" w:rsidP="007D2DF8">
      <w:pPr>
        <w:pStyle w:val="CommentText"/>
        <w:numPr>
          <w:ilvl w:val="0"/>
          <w:numId w:val="50"/>
        </w:numPr>
      </w:pPr>
      <w:r>
        <w:t xml:space="preserve">Example 1: </w:t>
      </w:r>
      <w:r w:rsidR="00422508">
        <w:t xml:space="preserve">Swelling of the lips within 2-10 hours after ingestion of pork/beef/lamb </w:t>
      </w:r>
      <w:proofErr w:type="spellStart"/>
      <w:r w:rsidR="00422508">
        <w:t>etc</w:t>
      </w:r>
      <w:proofErr w:type="spellEnd"/>
      <w:r w:rsidR="00422508">
        <w:t xml:space="preserve"> </w:t>
      </w:r>
      <w:r w:rsidR="00FA2262">
        <w:t>with</w:t>
      </w:r>
      <w:r w:rsidR="00422508">
        <w:t xml:space="preserve"> no other clear diagnosis. </w:t>
      </w:r>
    </w:p>
    <w:p w14:paraId="16194946" w14:textId="77777777" w:rsidR="0038555F" w:rsidRDefault="00EA3CF6" w:rsidP="007D2DF8">
      <w:pPr>
        <w:pStyle w:val="CommentText"/>
        <w:numPr>
          <w:ilvl w:val="0"/>
          <w:numId w:val="50"/>
        </w:numPr>
      </w:pPr>
      <w:r>
        <w:t xml:space="preserve">Example 2: Abdominal pain </w:t>
      </w:r>
      <w:r w:rsidR="00FA2262">
        <w:t>within 2 hours of alpha-gal containing vaccine/medication with no other clear diagnosis.</w:t>
      </w:r>
    </w:p>
    <w:p w14:paraId="6041AE07" w14:textId="77777777" w:rsidR="00F73A87" w:rsidRDefault="00F73A87" w:rsidP="00F73A87">
      <w:pPr>
        <w:pStyle w:val="CommentText"/>
      </w:pPr>
    </w:p>
    <w:p w14:paraId="3FD07A51" w14:textId="13A713BB" w:rsidR="00F73A87" w:rsidRDefault="00F73A87" w:rsidP="00F73A87">
      <w:pPr>
        <w:pStyle w:val="CommentText"/>
      </w:pPr>
      <w:r>
        <w:t xml:space="preserve">Basically, we could separate out all of the swollen body parts into their own separate bullet points and it would mean the same thing. </w:t>
      </w:r>
    </w:p>
  </w:comment>
  <w:comment w:id="10" w:author="Kristen Nichols Heitman (CDC/OID/NCEZID)" w:date="2020-08-11T12:10:00Z" w:initials="NHKM(">
    <w:p w14:paraId="1E973604" w14:textId="01660F15" w:rsidR="0025146C" w:rsidRDefault="0025146C">
      <w:pPr>
        <w:pStyle w:val="CommentText"/>
      </w:pPr>
      <w:r>
        <w:rPr>
          <w:rStyle w:val="CommentReference"/>
        </w:rPr>
        <w:annotationRef/>
      </w:r>
      <w:r>
        <w:t>Does Carl need to be removed as an author or can he remain as an expired member?</w:t>
      </w:r>
    </w:p>
  </w:comment>
  <w:comment w:id="11" w:author="Meredith Lichtenstein Cone" w:date="2020-08-16T20:42:00Z" w:initials="MLC">
    <w:p w14:paraId="3DD42A10" w14:textId="4802B2F4" w:rsidR="00D03F51" w:rsidRDefault="00D03F51">
      <w:pPr>
        <w:pStyle w:val="CommentText"/>
      </w:pPr>
      <w:r>
        <w:rPr>
          <w:rStyle w:val="CommentReference"/>
        </w:rPr>
        <w:annotationRef/>
      </w:r>
      <w:r>
        <w:t xml:space="preserve">If I don’t hear from Carl by noon on Tuesday, Aug 18, I will </w:t>
      </w:r>
      <w:r w:rsidR="00C52D6F">
        <w:t>have to move him to the SME Consultant section.</w:t>
      </w:r>
      <w:r w:rsidR="001B65C1">
        <w:t xml:space="preserve"> In the revised technical review doc, I have already moved him in case I don’t hear from him.</w:t>
      </w:r>
      <w:r w:rsidR="00C52D6F">
        <w:t xml:space="preserve"> </w:t>
      </w:r>
    </w:p>
  </w:comment>
  <w:comment w:id="13" w:author="Meredith Lichtenstein Cone" w:date="2020-08-10T16:10:00Z" w:initials="MLC">
    <w:p w14:paraId="11DC7A21" w14:textId="1F3A2DD1" w:rsidR="00F66AAD" w:rsidRDefault="00F66AAD">
      <w:pPr>
        <w:pStyle w:val="CommentText"/>
      </w:pPr>
      <w:r>
        <w:rPr>
          <w:rStyle w:val="CommentReference"/>
        </w:rPr>
        <w:annotationRef/>
      </w:r>
      <w:r>
        <w:t xml:space="preserve">This table will change based on response to Section VII margin comment related to re-ordering list of symptoms for clarity. </w:t>
      </w:r>
    </w:p>
  </w:comment>
  <w:comment w:id="14" w:author="Kristen Nichols Heitman (CDC/OID/NCEZID)" w:date="2020-08-11T12:12:00Z" w:initials="NHKM(">
    <w:p w14:paraId="74C2235D" w14:textId="1059E403" w:rsidR="00E27C5E" w:rsidRDefault="00E27C5E">
      <w:pPr>
        <w:pStyle w:val="CommentText"/>
      </w:pPr>
      <w:r>
        <w:rPr>
          <w:rStyle w:val="CommentReference"/>
        </w:rPr>
        <w:annotationRef/>
      </w:r>
      <w:r>
        <w:t>Agree to the changes for classification. Do the signs and symptoms need to be separated or can they remain grouped?</w:t>
      </w:r>
    </w:p>
  </w:comment>
  <w:comment w:id="15" w:author="Meredith Lichtenstein Cone" w:date="2020-08-16T20:56:00Z" w:initials="MLC">
    <w:p w14:paraId="66D617F3" w14:textId="36BD944B" w:rsidR="00121F2B" w:rsidRDefault="00121F2B">
      <w:pPr>
        <w:pStyle w:val="CommentText"/>
      </w:pPr>
      <w:r>
        <w:rPr>
          <w:rStyle w:val="CommentReference"/>
        </w:rPr>
        <w:annotationRef/>
      </w:r>
      <w:r>
        <w:t>Edited to mirror narrative.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8C571D" w15:done="0"/>
  <w15:commentEx w15:paraId="17FA5209" w15:paraIdParent="4B8C571D" w15:done="0"/>
  <w15:commentEx w15:paraId="10F12167" w15:paraIdParent="4B8C571D" w15:done="0"/>
  <w15:commentEx w15:paraId="7893AA4E" w15:done="0"/>
  <w15:commentEx w15:paraId="59D5194C" w15:paraIdParent="7893AA4E" w15:done="0"/>
  <w15:commentEx w15:paraId="1DF669CF" w15:done="0"/>
  <w15:commentEx w15:paraId="09F278FF" w15:paraIdParent="1DF669CF" w15:done="0"/>
  <w15:commentEx w15:paraId="3FD07A51" w15:paraIdParent="1DF669CF" w15:done="0"/>
  <w15:commentEx w15:paraId="1E973604" w15:done="0"/>
  <w15:commentEx w15:paraId="3DD42A10" w15:paraIdParent="1E973604" w15:done="0"/>
  <w15:commentEx w15:paraId="11DC7A21" w15:done="0"/>
  <w15:commentEx w15:paraId="74C2235D" w15:paraIdParent="11DC7A21" w15:done="0"/>
  <w15:commentEx w15:paraId="66D617F3" w15:paraIdParent="11DC7A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BDD52" w16cex:dateUtc="2020-08-10T18:50:00Z"/>
  <w16cex:commentExtensible w16cex:durableId="22E41205" w16cex:dateUtc="2020-08-17T00:13:00Z"/>
  <w16cex:commentExtensible w16cex:durableId="22DBDDC4" w16cex:dateUtc="2020-08-10T18:52:00Z"/>
  <w16cex:commentExtensible w16cex:durableId="22DBE0B4" w16cex:dateUtc="2020-08-10T19:05:00Z"/>
  <w16cex:commentExtensible w16cex:durableId="22E41322" w16cex:dateUtc="2020-08-17T00:18:00Z"/>
  <w16cex:commentExtensible w16cex:durableId="22E418CE" w16cex:dateUtc="2020-08-17T00:42:00Z"/>
  <w16cex:commentExtensible w16cex:durableId="22DBEFEA" w16cex:dateUtc="2020-08-10T20:10:00Z"/>
  <w16cex:commentExtensible w16cex:durableId="22E41BF5" w16cex:dateUtc="2020-08-17T0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8C571D" w16cid:durableId="22DBDD52"/>
  <w16cid:commentId w16cid:paraId="17FA5209" w16cid:durableId="22DD0646"/>
  <w16cid:commentId w16cid:paraId="10F12167" w16cid:durableId="22E41205"/>
  <w16cid:commentId w16cid:paraId="7893AA4E" w16cid:durableId="22DBDDC4"/>
  <w16cid:commentId w16cid:paraId="59D5194C" w16cid:durableId="22DCF1EA"/>
  <w16cid:commentId w16cid:paraId="1DF669CF" w16cid:durableId="22DBE0B4"/>
  <w16cid:commentId w16cid:paraId="09F278FF" w16cid:durableId="22DD048A"/>
  <w16cid:commentId w16cid:paraId="3FD07A51" w16cid:durableId="22E41322"/>
  <w16cid:commentId w16cid:paraId="1E973604" w16cid:durableId="22DD0939"/>
  <w16cid:commentId w16cid:paraId="3DD42A10" w16cid:durableId="22E418CE"/>
  <w16cid:commentId w16cid:paraId="11DC7A21" w16cid:durableId="22DBEFEA"/>
  <w16cid:commentId w16cid:paraId="74C2235D" w16cid:durableId="22DD09AC"/>
  <w16cid:commentId w16cid:paraId="66D617F3" w16cid:durableId="22E41B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E2369" w14:textId="77777777" w:rsidR="00320E87" w:rsidRDefault="00320E87">
      <w:r>
        <w:separator/>
      </w:r>
    </w:p>
  </w:endnote>
  <w:endnote w:type="continuationSeparator" w:id="0">
    <w:p w14:paraId="084CF51A" w14:textId="77777777" w:rsidR="00320E87" w:rsidRDefault="00320E87">
      <w:r>
        <w:continuationSeparator/>
      </w:r>
    </w:p>
  </w:endnote>
  <w:endnote w:type="continuationNotice" w:id="1">
    <w:p w14:paraId="084B3671" w14:textId="77777777" w:rsidR="00320E87" w:rsidRDefault="00320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80000" w14:textId="77777777" w:rsidR="00F66AAD" w:rsidRDefault="00F66A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F66AAD" w:rsidRDefault="00F66A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A9E6A" w14:textId="60A029D2" w:rsidR="00F66AAD" w:rsidRDefault="00F66AAD">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F66AAD" w:rsidRDefault="00F66AAD">
    <w:pPr>
      <w:pStyle w:val="Footer"/>
      <w:ind w:right="360"/>
      <w:rPr>
        <w:sz w:val="16"/>
      </w:rPr>
    </w:pPr>
    <w:r>
      <w:rPr>
        <w:sz w:val="16"/>
      </w:rPr>
      <w:t>Council of State and Territorial Epidemiologists</w:t>
    </w:r>
  </w:p>
  <w:p w14:paraId="281043C2" w14:textId="77777777" w:rsidR="00F66AAD" w:rsidRPr="009838AB" w:rsidRDefault="00F66AAD"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6CF" w14:textId="77777777" w:rsidR="00F66AAD" w:rsidRDefault="00F66AAD">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A786D72" w14:textId="77777777" w:rsidR="00F66AAD" w:rsidRDefault="00F66AAD">
    <w:pPr>
      <w:pStyle w:val="Footer"/>
      <w:ind w:right="360"/>
      <w:rPr>
        <w:sz w:val="16"/>
      </w:rPr>
    </w:pPr>
    <w:r>
      <w:rPr>
        <w:sz w:val="16"/>
      </w:rPr>
      <w:t>Council of State and Territorial Epidemiologists</w:t>
    </w:r>
  </w:p>
  <w:p w14:paraId="790B9E21" w14:textId="77777777" w:rsidR="00F66AAD" w:rsidRPr="009838AB" w:rsidRDefault="00F66AAD"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5EB0E" w14:textId="77777777" w:rsidR="00F66AAD" w:rsidRPr="009F2B97" w:rsidRDefault="00F66AAD" w:rsidP="004B0235">
    <w:pPr>
      <w:pStyle w:val="Footer"/>
      <w:ind w:right="360"/>
      <w:rPr>
        <w:rFonts w:cs="Arial"/>
        <w:sz w:val="16"/>
      </w:rPr>
    </w:pPr>
    <w:r w:rsidRPr="009F2B97">
      <w:rPr>
        <w:rFonts w:cs="Arial"/>
        <w:sz w:val="16"/>
      </w:rPr>
      <w:t>Council of State and Territorial Epidemiologists</w:t>
    </w:r>
  </w:p>
  <w:p w14:paraId="6F6733A7" w14:textId="77777777" w:rsidR="00F66AAD" w:rsidRPr="009F2B97" w:rsidRDefault="00F66AAD"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57C1E" w14:textId="77777777" w:rsidR="00320E87" w:rsidRDefault="00320E87">
      <w:r>
        <w:separator/>
      </w:r>
    </w:p>
  </w:footnote>
  <w:footnote w:type="continuationSeparator" w:id="0">
    <w:p w14:paraId="613AD572" w14:textId="77777777" w:rsidR="00320E87" w:rsidRDefault="00320E87">
      <w:r>
        <w:continuationSeparator/>
      </w:r>
    </w:p>
  </w:footnote>
  <w:footnote w:type="continuationNotice" w:id="1">
    <w:p w14:paraId="1B84857D" w14:textId="77777777" w:rsidR="00320E87" w:rsidRDefault="00320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E0D58" w14:textId="77777777" w:rsidR="00F66AAD" w:rsidRDefault="00F66AAD" w:rsidP="004B0235">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AD61766" wp14:editId="73EB999B">
          <wp:simplePos x="0" y="0"/>
          <wp:positionH relativeFrom="page">
            <wp:align>center</wp:align>
          </wp:positionH>
          <wp:positionV relativeFrom="paragraph">
            <wp:posOffset>-268605</wp:posOffset>
          </wp:positionV>
          <wp:extent cx="6515100" cy="10610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EBA88" w14:textId="7162E2C9" w:rsidR="00F66AAD" w:rsidRDefault="00F66AAD" w:rsidP="004B0235">
    <w:pPr>
      <w:pStyle w:val="Title"/>
      <w:jc w:val="left"/>
      <w:rPr>
        <w:rFonts w:cs="Arial"/>
        <w:color w:val="000000" w:themeColor="text1"/>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F53BE" w14:textId="77777777" w:rsidR="00F66AAD" w:rsidRDefault="00F66AAD">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3in;height:3in;visibility:visible;mso-wrap-style:square" o:bullet="t">
        <v:imagedata r:id="rId1" o:title=""/>
      </v:shape>
    </w:pict>
  </w:numPicBullet>
  <w:numPicBullet w:numPicBulletId="1">
    <w:pict>
      <v:shape id="_x0000_i1117"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632C2"/>
    <w:multiLevelType w:val="hybridMultilevel"/>
    <w:tmpl w:val="009A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2"/>
  </w:num>
  <w:num w:numId="2">
    <w:abstractNumId w:val="33"/>
  </w:num>
  <w:num w:numId="3">
    <w:abstractNumId w:val="48"/>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4"/>
  </w:num>
  <w:num w:numId="12">
    <w:abstractNumId w:val="3"/>
  </w:num>
  <w:num w:numId="13">
    <w:abstractNumId w:val="43"/>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6"/>
  </w:num>
  <w:num w:numId="29">
    <w:abstractNumId w:val="45"/>
  </w:num>
  <w:num w:numId="30">
    <w:abstractNumId w:val="41"/>
  </w:num>
  <w:num w:numId="31">
    <w:abstractNumId w:val="6"/>
  </w:num>
  <w:num w:numId="32">
    <w:abstractNumId w:val="40"/>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9"/>
  </w:num>
  <w:num w:numId="41">
    <w:abstractNumId w:val="0"/>
  </w:num>
  <w:num w:numId="42">
    <w:abstractNumId w:val="36"/>
  </w:num>
  <w:num w:numId="43">
    <w:abstractNumId w:val="47"/>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 w:numId="50">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risten Nichols Heitman (CDC/OID/NCEZID)">
    <w15:presenceInfo w15:providerId="AD" w15:userId="S::WWD7@cdc.gov::362f601f-1bf7-4976-bb90-74a218d3d9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217FF"/>
    <w:rsid w:val="00026429"/>
    <w:rsid w:val="00026661"/>
    <w:rsid w:val="000317F4"/>
    <w:rsid w:val="00036014"/>
    <w:rsid w:val="00041CAC"/>
    <w:rsid w:val="00054A43"/>
    <w:rsid w:val="00057215"/>
    <w:rsid w:val="0007351B"/>
    <w:rsid w:val="00087B4C"/>
    <w:rsid w:val="000A0F0C"/>
    <w:rsid w:val="000A3D18"/>
    <w:rsid w:val="000B4872"/>
    <w:rsid w:val="000C5D23"/>
    <w:rsid w:val="000E44F5"/>
    <w:rsid w:val="00100F44"/>
    <w:rsid w:val="001019C5"/>
    <w:rsid w:val="001062AA"/>
    <w:rsid w:val="001207CD"/>
    <w:rsid w:val="00121F2B"/>
    <w:rsid w:val="00127764"/>
    <w:rsid w:val="001314CE"/>
    <w:rsid w:val="0016097E"/>
    <w:rsid w:val="00173C57"/>
    <w:rsid w:val="00177BCD"/>
    <w:rsid w:val="001863E6"/>
    <w:rsid w:val="0019374E"/>
    <w:rsid w:val="001A2BCA"/>
    <w:rsid w:val="001B29CC"/>
    <w:rsid w:val="001B3B62"/>
    <w:rsid w:val="001B65C1"/>
    <w:rsid w:val="001C1785"/>
    <w:rsid w:val="001D1E9D"/>
    <w:rsid w:val="001D6859"/>
    <w:rsid w:val="001F01B7"/>
    <w:rsid w:val="00203E27"/>
    <w:rsid w:val="00205008"/>
    <w:rsid w:val="0020567E"/>
    <w:rsid w:val="00212832"/>
    <w:rsid w:val="00213036"/>
    <w:rsid w:val="00217A2F"/>
    <w:rsid w:val="00220CCD"/>
    <w:rsid w:val="00240275"/>
    <w:rsid w:val="00250687"/>
    <w:rsid w:val="0025146C"/>
    <w:rsid w:val="00262B36"/>
    <w:rsid w:val="002724B9"/>
    <w:rsid w:val="00283F36"/>
    <w:rsid w:val="00291733"/>
    <w:rsid w:val="00294F4F"/>
    <w:rsid w:val="002A6227"/>
    <w:rsid w:val="002C23FF"/>
    <w:rsid w:val="002C5A2F"/>
    <w:rsid w:val="002D0B19"/>
    <w:rsid w:val="002F0C5F"/>
    <w:rsid w:val="00303EE6"/>
    <w:rsid w:val="00320E87"/>
    <w:rsid w:val="00321B62"/>
    <w:rsid w:val="00325133"/>
    <w:rsid w:val="00327291"/>
    <w:rsid w:val="003351D5"/>
    <w:rsid w:val="00350EF0"/>
    <w:rsid w:val="00355265"/>
    <w:rsid w:val="00361902"/>
    <w:rsid w:val="00383071"/>
    <w:rsid w:val="0038550A"/>
    <w:rsid w:val="0038555F"/>
    <w:rsid w:val="003858BC"/>
    <w:rsid w:val="003861AA"/>
    <w:rsid w:val="00391EFF"/>
    <w:rsid w:val="003A07BE"/>
    <w:rsid w:val="003A2D5A"/>
    <w:rsid w:val="003B1506"/>
    <w:rsid w:val="003B57D5"/>
    <w:rsid w:val="003C4A70"/>
    <w:rsid w:val="003C4E50"/>
    <w:rsid w:val="003D7F25"/>
    <w:rsid w:val="003E55CF"/>
    <w:rsid w:val="003E6FB9"/>
    <w:rsid w:val="00412D52"/>
    <w:rsid w:val="00414729"/>
    <w:rsid w:val="00422508"/>
    <w:rsid w:val="00444CCB"/>
    <w:rsid w:val="00445822"/>
    <w:rsid w:val="00446161"/>
    <w:rsid w:val="00455C00"/>
    <w:rsid w:val="004712EA"/>
    <w:rsid w:val="00471B70"/>
    <w:rsid w:val="0047259E"/>
    <w:rsid w:val="004852F5"/>
    <w:rsid w:val="00486191"/>
    <w:rsid w:val="00490646"/>
    <w:rsid w:val="004A20EC"/>
    <w:rsid w:val="004B0235"/>
    <w:rsid w:val="004B6B2A"/>
    <w:rsid w:val="004C18BA"/>
    <w:rsid w:val="004C796F"/>
    <w:rsid w:val="004D64A5"/>
    <w:rsid w:val="0051052B"/>
    <w:rsid w:val="00512906"/>
    <w:rsid w:val="00515D5F"/>
    <w:rsid w:val="005169A6"/>
    <w:rsid w:val="005252C6"/>
    <w:rsid w:val="005315A0"/>
    <w:rsid w:val="00542A87"/>
    <w:rsid w:val="00547CB2"/>
    <w:rsid w:val="0055067C"/>
    <w:rsid w:val="00584FF3"/>
    <w:rsid w:val="00590D7A"/>
    <w:rsid w:val="00593B5F"/>
    <w:rsid w:val="005A6579"/>
    <w:rsid w:val="005B12A0"/>
    <w:rsid w:val="005B477E"/>
    <w:rsid w:val="005B5218"/>
    <w:rsid w:val="005B6967"/>
    <w:rsid w:val="005D2E6E"/>
    <w:rsid w:val="005E2BD4"/>
    <w:rsid w:val="00601C92"/>
    <w:rsid w:val="006120F3"/>
    <w:rsid w:val="00612D45"/>
    <w:rsid w:val="0061420E"/>
    <w:rsid w:val="0061438E"/>
    <w:rsid w:val="00616A47"/>
    <w:rsid w:val="00634ABA"/>
    <w:rsid w:val="0069217B"/>
    <w:rsid w:val="006A3F03"/>
    <w:rsid w:val="006D3997"/>
    <w:rsid w:val="006D75C1"/>
    <w:rsid w:val="006F47FC"/>
    <w:rsid w:val="006F4C3B"/>
    <w:rsid w:val="0072239C"/>
    <w:rsid w:val="00732120"/>
    <w:rsid w:val="00743838"/>
    <w:rsid w:val="00746B56"/>
    <w:rsid w:val="0079438F"/>
    <w:rsid w:val="007A2676"/>
    <w:rsid w:val="007A2678"/>
    <w:rsid w:val="007B5E65"/>
    <w:rsid w:val="007C554B"/>
    <w:rsid w:val="007C5607"/>
    <w:rsid w:val="007D2DF8"/>
    <w:rsid w:val="007D58D4"/>
    <w:rsid w:val="007E7304"/>
    <w:rsid w:val="007F7091"/>
    <w:rsid w:val="00801FA9"/>
    <w:rsid w:val="008039A1"/>
    <w:rsid w:val="008055B0"/>
    <w:rsid w:val="00816B68"/>
    <w:rsid w:val="00834F50"/>
    <w:rsid w:val="00841837"/>
    <w:rsid w:val="00847A2F"/>
    <w:rsid w:val="008565DA"/>
    <w:rsid w:val="00856C25"/>
    <w:rsid w:val="00873E88"/>
    <w:rsid w:val="00884FED"/>
    <w:rsid w:val="008A02A3"/>
    <w:rsid w:val="008C1BEC"/>
    <w:rsid w:val="008C500A"/>
    <w:rsid w:val="008E0358"/>
    <w:rsid w:val="008E2A38"/>
    <w:rsid w:val="008E6AA5"/>
    <w:rsid w:val="008F3050"/>
    <w:rsid w:val="008F77D6"/>
    <w:rsid w:val="009064A1"/>
    <w:rsid w:val="00927CDB"/>
    <w:rsid w:val="00930893"/>
    <w:rsid w:val="00947042"/>
    <w:rsid w:val="00956F41"/>
    <w:rsid w:val="009802DB"/>
    <w:rsid w:val="009A25CD"/>
    <w:rsid w:val="009A6147"/>
    <w:rsid w:val="009A6412"/>
    <w:rsid w:val="009C5A19"/>
    <w:rsid w:val="009C78A6"/>
    <w:rsid w:val="009E0A47"/>
    <w:rsid w:val="009F7508"/>
    <w:rsid w:val="00A06144"/>
    <w:rsid w:val="00A65F7C"/>
    <w:rsid w:val="00A72EC4"/>
    <w:rsid w:val="00A83782"/>
    <w:rsid w:val="00AA650C"/>
    <w:rsid w:val="00AB22D9"/>
    <w:rsid w:val="00AB790F"/>
    <w:rsid w:val="00AC162D"/>
    <w:rsid w:val="00AC3112"/>
    <w:rsid w:val="00AE07C4"/>
    <w:rsid w:val="00AE246C"/>
    <w:rsid w:val="00AE276A"/>
    <w:rsid w:val="00AE65E3"/>
    <w:rsid w:val="00AF1FAA"/>
    <w:rsid w:val="00B00AC8"/>
    <w:rsid w:val="00B06D2A"/>
    <w:rsid w:val="00B22C1D"/>
    <w:rsid w:val="00B4510B"/>
    <w:rsid w:val="00B53E83"/>
    <w:rsid w:val="00B7161B"/>
    <w:rsid w:val="00B7565B"/>
    <w:rsid w:val="00BF1E31"/>
    <w:rsid w:val="00C0211C"/>
    <w:rsid w:val="00C11705"/>
    <w:rsid w:val="00C239CC"/>
    <w:rsid w:val="00C2681C"/>
    <w:rsid w:val="00C26882"/>
    <w:rsid w:val="00C330E3"/>
    <w:rsid w:val="00C353CA"/>
    <w:rsid w:val="00C42BD5"/>
    <w:rsid w:val="00C52116"/>
    <w:rsid w:val="00C52D6F"/>
    <w:rsid w:val="00C74309"/>
    <w:rsid w:val="00C76426"/>
    <w:rsid w:val="00C80200"/>
    <w:rsid w:val="00C9705B"/>
    <w:rsid w:val="00CB4719"/>
    <w:rsid w:val="00CC3087"/>
    <w:rsid w:val="00CC3B68"/>
    <w:rsid w:val="00CD1ED2"/>
    <w:rsid w:val="00CF13AD"/>
    <w:rsid w:val="00CF6401"/>
    <w:rsid w:val="00D03F51"/>
    <w:rsid w:val="00D15AED"/>
    <w:rsid w:val="00D26908"/>
    <w:rsid w:val="00D36468"/>
    <w:rsid w:val="00D42BC5"/>
    <w:rsid w:val="00D464D1"/>
    <w:rsid w:val="00D50241"/>
    <w:rsid w:val="00D62C24"/>
    <w:rsid w:val="00D80814"/>
    <w:rsid w:val="00DA24FA"/>
    <w:rsid w:val="00DB20D5"/>
    <w:rsid w:val="00DB5A19"/>
    <w:rsid w:val="00DD1491"/>
    <w:rsid w:val="00DD3665"/>
    <w:rsid w:val="00DD6518"/>
    <w:rsid w:val="00DD7C74"/>
    <w:rsid w:val="00DE520D"/>
    <w:rsid w:val="00DE5F4A"/>
    <w:rsid w:val="00DF1CFC"/>
    <w:rsid w:val="00E05381"/>
    <w:rsid w:val="00E11AA6"/>
    <w:rsid w:val="00E23731"/>
    <w:rsid w:val="00E26C4A"/>
    <w:rsid w:val="00E27C5E"/>
    <w:rsid w:val="00E34057"/>
    <w:rsid w:val="00E43D2E"/>
    <w:rsid w:val="00E451A6"/>
    <w:rsid w:val="00E5437E"/>
    <w:rsid w:val="00E5531B"/>
    <w:rsid w:val="00E846EE"/>
    <w:rsid w:val="00EA3CF6"/>
    <w:rsid w:val="00EB744A"/>
    <w:rsid w:val="00EC02F0"/>
    <w:rsid w:val="00EC77E6"/>
    <w:rsid w:val="00ED0F59"/>
    <w:rsid w:val="00ED46EC"/>
    <w:rsid w:val="00EF5119"/>
    <w:rsid w:val="00F01391"/>
    <w:rsid w:val="00F1556B"/>
    <w:rsid w:val="00F1660A"/>
    <w:rsid w:val="00F16C7F"/>
    <w:rsid w:val="00F23719"/>
    <w:rsid w:val="00F2382B"/>
    <w:rsid w:val="00F332B3"/>
    <w:rsid w:val="00F40869"/>
    <w:rsid w:val="00F40F38"/>
    <w:rsid w:val="00F44482"/>
    <w:rsid w:val="00F5674E"/>
    <w:rsid w:val="00F66AAD"/>
    <w:rsid w:val="00F672DA"/>
    <w:rsid w:val="00F71E1E"/>
    <w:rsid w:val="00F73A87"/>
    <w:rsid w:val="00F901AF"/>
    <w:rsid w:val="00F940C2"/>
    <w:rsid w:val="00FA0191"/>
    <w:rsid w:val="00FA2262"/>
    <w:rsid w:val="00FB2A65"/>
    <w:rsid w:val="00FC70C6"/>
    <w:rsid w:val="00FF0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6/09/relationships/commentsIds" Target="commentsIds.xml"/><Relationship Id="rId26" Type="http://schemas.openxmlformats.org/officeDocument/2006/relationships/hyperlink" Target="mailto:kim.cervantes@doh.nj.gov" TargetMode="External"/><Relationship Id="rId3" Type="http://schemas.openxmlformats.org/officeDocument/2006/relationships/customXml" Target="../customXml/item3.xml"/><Relationship Id="rId21" Type="http://schemas.openxmlformats.org/officeDocument/2006/relationships/hyperlink" Target="mailto:yzu9@cdc.gov" TargetMode="Externa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hyperlink" Target="mailto:julia.murphy@vdh.virgini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cste2.org/webpdfs/drgwgreport.pdf" TargetMode="External"/><Relationship Id="rId29" Type="http://schemas.openxmlformats.org/officeDocument/2006/relationships/hyperlink" Target="mailto:Elena.Diskin@vdh.virginia.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wj7@cdc.gov" TargetMode="External"/><Relationship Id="rId32"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scommins@email.unc.edu" TargetMode="External"/><Relationship Id="rId28" Type="http://schemas.openxmlformats.org/officeDocument/2006/relationships/hyperlink" Target="mailto:abelardo.moncayo@tn.gov" TargetMode="External"/><Relationship Id="rId36" Type="http://schemas.openxmlformats.org/officeDocument/2006/relationships/theme" Target="theme/theme1.xml"/><Relationship Id="rId10" Type="http://schemas.openxmlformats.org/officeDocument/2006/relationships/footnotes" Target="footnotes.xml"/><Relationship Id="rId19" Type="http://schemas.microsoft.com/office/2018/08/relationships/commentsExtensible" Target="commentsExtensible.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wwd7@cdc.gov" TargetMode="External"/><Relationship Id="rId27" Type="http://schemas.openxmlformats.org/officeDocument/2006/relationships/hyperlink" Target="mailto:nicolette.wilson@doh.nj.gov" TargetMode="External"/><Relationship Id="rId30" Type="http://schemas.openxmlformats.org/officeDocument/2006/relationships/footer" Target="footer3.xml"/><Relationship Id="rId35" Type="http://schemas.openxmlformats.org/officeDocument/2006/relationships/glossaryDocument" Target="glossary/document.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51EED"/>
    <w:rsid w:val="001703E2"/>
    <w:rsid w:val="001A0085"/>
    <w:rsid w:val="00574194"/>
    <w:rsid w:val="005B567A"/>
    <w:rsid w:val="006A22A2"/>
    <w:rsid w:val="006B3701"/>
    <w:rsid w:val="00782EE6"/>
    <w:rsid w:val="009175FE"/>
    <w:rsid w:val="009279C1"/>
    <w:rsid w:val="00960618"/>
    <w:rsid w:val="00B55EEF"/>
    <w:rsid w:val="00B56A5E"/>
    <w:rsid w:val="00C71F20"/>
    <w:rsid w:val="00C73F19"/>
    <w:rsid w:val="00C87FF4"/>
    <w:rsid w:val="00D00F18"/>
    <w:rsid w:val="00E703FD"/>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2E829-71AA-4132-84E0-6ACF5C560998}">
  <ds:schemaRefs>
    <ds:schemaRef ds:uri="http://schemas.openxmlformats.org/officeDocument/2006/bibliography"/>
  </ds:schemaRefs>
</ds:datastoreItem>
</file>

<file path=customXml/itemProps2.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3.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5.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4031</Words>
  <Characters>22981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Meredith Lichtenstein Cone</cp:lastModifiedBy>
  <cp:revision>33</cp:revision>
  <dcterms:created xsi:type="dcterms:W3CDTF">2020-08-11T16:14:00Z</dcterms:created>
  <dcterms:modified xsi:type="dcterms:W3CDTF">2020-08-17T01:07:00Z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