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80819" w14:textId="77777777" w:rsidR="00E378AC" w:rsidRPr="00E9653E" w:rsidRDefault="00E378AC" w:rsidP="00E9653E">
      <w:pPr>
        <w:jc w:val="center"/>
        <w:rPr>
          <w:b/>
        </w:rPr>
      </w:pPr>
      <w:r w:rsidRPr="00E9653E">
        <w:rPr>
          <w:b/>
        </w:rPr>
        <w:t>The CDC/CSTE Antimicrobial Resistance Surveillance Task Force</w:t>
      </w:r>
    </w:p>
    <w:p w14:paraId="2BFB9441" w14:textId="77777777" w:rsidR="00E378AC" w:rsidRPr="00E9653E" w:rsidRDefault="00B3088E" w:rsidP="00E9653E">
      <w:pPr>
        <w:jc w:val="center"/>
        <w:rPr>
          <w:b/>
        </w:rPr>
      </w:pPr>
      <w:r w:rsidRPr="00E9653E">
        <w:rPr>
          <w:b/>
        </w:rPr>
        <w:t xml:space="preserve">Operations </w:t>
      </w:r>
      <w:r w:rsidR="00B35B16">
        <w:rPr>
          <w:b/>
        </w:rPr>
        <w:t xml:space="preserve">and Processes </w:t>
      </w:r>
      <w:r w:rsidRPr="00E9653E">
        <w:rPr>
          <w:b/>
        </w:rPr>
        <w:t xml:space="preserve">of the </w:t>
      </w:r>
      <w:r w:rsidR="00B35B16">
        <w:rPr>
          <w:b/>
        </w:rPr>
        <w:t>Task Force and its Workgroups</w:t>
      </w:r>
    </w:p>
    <w:p w14:paraId="6D734E0A" w14:textId="77777777" w:rsidR="0002665E" w:rsidRPr="00E9653E" w:rsidRDefault="0002665E" w:rsidP="00A879AF">
      <w:pPr>
        <w:rPr>
          <w:b/>
        </w:rPr>
      </w:pPr>
      <w:r w:rsidRPr="00E9653E">
        <w:rPr>
          <w:b/>
        </w:rPr>
        <w:t>Introduction</w:t>
      </w:r>
    </w:p>
    <w:p w14:paraId="7B85B9F5" w14:textId="77777777" w:rsidR="0002665E" w:rsidRDefault="0002665E" w:rsidP="00A879AF">
      <w:r>
        <w:t xml:space="preserve">This document serves as the governing instrument and operational guidelines for the </w:t>
      </w:r>
      <w:r w:rsidR="00750542">
        <w:t>Centers for Disease Control and Prevention (CDC), Association of Public Health Laboratories (APHL) and Council of State and Territorial Epidemiologists (CS</w:t>
      </w:r>
      <w:r>
        <w:t>TE</w:t>
      </w:r>
      <w:r w:rsidR="00750542">
        <w:t>)</w:t>
      </w:r>
      <w:r>
        <w:t xml:space="preserve"> Antimicrobial Resistance Surveillance Task Force</w:t>
      </w:r>
      <w:r w:rsidR="009D68C5">
        <w:t xml:space="preserve"> (the “Task Force”)</w:t>
      </w:r>
      <w:r>
        <w:t>. The Task Force originated as the CDC</w:t>
      </w:r>
      <w:r w:rsidR="009D68C5">
        <w:t>’s</w:t>
      </w:r>
      <w:r>
        <w:t xml:space="preserve"> response to the CSTE 2013 Position Statement: </w:t>
      </w:r>
      <w:r w:rsidR="009D68C5">
        <w:t xml:space="preserve">13-SI-01. </w:t>
      </w:r>
      <w:r w:rsidRPr="009D68C5">
        <w:rPr>
          <w:i/>
        </w:rPr>
        <w:t>Recommendations for strengthening public health surveillance of antimicrobial resistance in the United States</w:t>
      </w:r>
      <w:r w:rsidR="009D68C5">
        <w:t>. The position statement</w:t>
      </w:r>
      <w:r>
        <w:t xml:space="preserve"> requested that:</w:t>
      </w:r>
    </w:p>
    <w:p w14:paraId="543BF499" w14:textId="77777777" w:rsidR="0002665E" w:rsidRDefault="0002665E" w:rsidP="00A879AF">
      <w:pPr>
        <w:ind w:left="720"/>
      </w:pPr>
      <w:r>
        <w:t xml:space="preserve">[…] CDC should provide resources and staff to support a three-year project in which CDC program and CSTE representatives serving on </w:t>
      </w:r>
      <w:r w:rsidR="00C040DE">
        <w:t>an</w:t>
      </w:r>
      <w:r>
        <w:t xml:space="preserve"> antimicrobial resistance surveillance task force would commit time and effort to identifying, developing, and putting into practice scientific, technical, and policy solutions needed to strengthen surveillance.</w:t>
      </w:r>
    </w:p>
    <w:p w14:paraId="1B237085" w14:textId="77777777" w:rsidR="00E9653E" w:rsidRDefault="00A92275" w:rsidP="00A879AF">
      <w:r>
        <w:t>After a year of work, i</w:t>
      </w:r>
      <w:r w:rsidR="00E9653E">
        <w:t>n March 2017, t</w:t>
      </w:r>
      <w:r w:rsidR="00457CF6">
        <w:t>he Task Force</w:t>
      </w:r>
      <w:r w:rsidR="0002665E">
        <w:t xml:space="preserve"> developed a vision</w:t>
      </w:r>
      <w:r w:rsidR="00C040DE">
        <w:t>,</w:t>
      </w:r>
      <w:r w:rsidR="0002665E">
        <w:t xml:space="preserve"> strategic map</w:t>
      </w:r>
      <w:r w:rsidR="00C040DE">
        <w:t>, and a scheme of organizational roles and responsibilities</w:t>
      </w:r>
      <w:r w:rsidR="0002665E">
        <w:t xml:space="preserve"> for strengthening AR surveillance in the United States. Ongoing work of the Task Force will focus on implementing priorities identified in the strategic plan, including providing a structure</w:t>
      </w:r>
      <w:r w:rsidR="00E9653E">
        <w:t xml:space="preserve"> for interdisciplinary and interorganizational collaboration and coordination</w:t>
      </w:r>
      <w:r w:rsidR="0002665E">
        <w:t xml:space="preserve"> for AR surveillance activitie</w:t>
      </w:r>
      <w:r w:rsidR="00A879AF">
        <w:t>s</w:t>
      </w:r>
      <w:r w:rsidR="00E9653E">
        <w:t>;</w:t>
      </w:r>
      <w:r w:rsidR="00A879AF">
        <w:t xml:space="preserve"> improving the exchange of AR laboratory</w:t>
      </w:r>
      <w:r w:rsidR="0002665E">
        <w:t xml:space="preserve"> data </w:t>
      </w:r>
      <w:r w:rsidR="00A879AF">
        <w:t xml:space="preserve">among healthcare providers, clinical </w:t>
      </w:r>
      <w:r w:rsidR="00E9653E">
        <w:t>laboratories</w:t>
      </w:r>
      <w:r w:rsidR="00A879AF">
        <w:t xml:space="preserve">, public health </w:t>
      </w:r>
      <w:r w:rsidR="00E9653E">
        <w:t>epidemiologists</w:t>
      </w:r>
      <w:r w:rsidR="00A879AF">
        <w:t xml:space="preserve">, and public </w:t>
      </w:r>
      <w:r w:rsidR="00E9653E">
        <w:t>health</w:t>
      </w:r>
      <w:r w:rsidR="00A879AF">
        <w:t xml:space="preserve"> </w:t>
      </w:r>
      <w:r w:rsidR="00E9653E">
        <w:t>laboratories</w:t>
      </w:r>
      <w:r w:rsidR="00A879AF">
        <w:t>;</w:t>
      </w:r>
      <w:r w:rsidR="0002665E">
        <w:t xml:space="preserve"> and leveraging public health informatics tools for AR surveillance.</w:t>
      </w:r>
      <w:r w:rsidR="00E9653E">
        <w:t xml:space="preserve">  The Strategic Plan has identified 12-month objectives to focus the work of the Task Force during this second year of the project.</w:t>
      </w:r>
    </w:p>
    <w:p w14:paraId="39A0571D" w14:textId="77777777" w:rsidR="0002665E" w:rsidRPr="00E80FC9" w:rsidRDefault="0002665E" w:rsidP="00A879AF">
      <w:pPr>
        <w:rPr>
          <w:b/>
        </w:rPr>
      </w:pPr>
      <w:r w:rsidRPr="00E80FC9">
        <w:rPr>
          <w:b/>
        </w:rPr>
        <w:t>Funding and Lead</w:t>
      </w:r>
      <w:r w:rsidR="00E80FC9">
        <w:rPr>
          <w:b/>
        </w:rPr>
        <w:t xml:space="preserve"> Organization</w:t>
      </w:r>
    </w:p>
    <w:p w14:paraId="573AC13C" w14:textId="77777777" w:rsidR="0002665E" w:rsidRDefault="00C040DE" w:rsidP="00A879AF">
      <w:r>
        <w:t xml:space="preserve">The Task Force’s </w:t>
      </w:r>
      <w:r w:rsidR="0002665E">
        <w:t>activities are funded through the CDC/CSTE Umbrella Cooperative Agreement in the CDC Office of State, Territorial, Local and Tribal Support. This Cooperative Agreement, with its deliverables and technical monitoring between CDC and CSTE, establishes CSTE as the lead organization governing the Task Force.</w:t>
      </w:r>
    </w:p>
    <w:p w14:paraId="04140280" w14:textId="77777777" w:rsidR="0002665E" w:rsidRPr="008A442D" w:rsidRDefault="0002665E" w:rsidP="00A879AF">
      <w:pPr>
        <w:rPr>
          <w:b/>
        </w:rPr>
      </w:pPr>
      <w:r w:rsidRPr="00E80FC9">
        <w:rPr>
          <w:b/>
        </w:rPr>
        <w:t>Governance</w:t>
      </w:r>
      <w:r w:rsidR="00E80FC9">
        <w:rPr>
          <w:b/>
        </w:rPr>
        <w:t xml:space="preserve"> of the </w:t>
      </w:r>
      <w:r w:rsidR="00E80FC9" w:rsidRPr="008A442D">
        <w:rPr>
          <w:b/>
        </w:rPr>
        <w:t>Task Force</w:t>
      </w:r>
    </w:p>
    <w:p w14:paraId="0EB0AAF7" w14:textId="77777777" w:rsidR="00E80FC9" w:rsidRPr="008A442D" w:rsidRDefault="0002665E" w:rsidP="00A879AF">
      <w:r w:rsidRPr="008A442D">
        <w:t xml:space="preserve">The Task Force reports to the Executive Board of CSTE, specifically the Chairs of both the Infectious Disease and Surveillance and Informatics Steering Committees. </w:t>
      </w:r>
      <w:r w:rsidR="00BB7D67" w:rsidRPr="008A442D">
        <w:t xml:space="preserve"> </w:t>
      </w:r>
      <w:r w:rsidRPr="008A442D">
        <w:t>The Task Force will be co-chaired by CSTE</w:t>
      </w:r>
      <w:r w:rsidR="00BB7D67" w:rsidRPr="008A442D">
        <w:t xml:space="preserve">, CDC, </w:t>
      </w:r>
      <w:r w:rsidRPr="008A442D">
        <w:t xml:space="preserve">and APHL, acknowledging the key roles of both epidemiology and laboratories in strengthening AR surveillance. CSTE will contract with APHL to support APHL participation in the Task Force. </w:t>
      </w:r>
    </w:p>
    <w:p w14:paraId="2A9B7DA1" w14:textId="77777777" w:rsidR="0002665E" w:rsidRPr="008A442D" w:rsidRDefault="00E80FC9" w:rsidP="00A879AF">
      <w:r w:rsidRPr="008A442D">
        <w:t xml:space="preserve">The Task Force will be led by three co-chairs, one from CSTE, one from CDC, and one from APHL.  </w:t>
      </w:r>
      <w:r w:rsidR="0002665E" w:rsidRPr="008A442D">
        <w:t xml:space="preserve">CSTE has hired a consultant to serve as CSTE’s co-chair for the Task Force. CSTE staff provides technical, logistical, and administrative support for the Task Force. Members of the Task Force are determined by CDC, CSTE, and APHL. </w:t>
      </w:r>
      <w:r w:rsidR="006139BE" w:rsidRPr="008A442D">
        <w:t xml:space="preserve"> The three co-chairs will confer among themselves regularly to plan and manage the work of the Task Force.  They will rotate the role of meeting facilitator of plenary meetings and sessions within meetings of the Task Force.  </w:t>
      </w:r>
    </w:p>
    <w:p w14:paraId="2A2F504C" w14:textId="77777777" w:rsidR="00E80FC9" w:rsidRDefault="00E80FC9" w:rsidP="00E80FC9">
      <w:r w:rsidRPr="008A442D">
        <w:lastRenderedPageBreak/>
        <w:t>Duties of the CSTE Chair</w:t>
      </w:r>
    </w:p>
    <w:p w14:paraId="74284009" w14:textId="77777777" w:rsidR="00E80FC9" w:rsidRPr="00A14337" w:rsidRDefault="00E80FC9" w:rsidP="00E80FC9">
      <w:r>
        <w:t>The CSTE chair will convene and lead meetings of the AR Surveillance Task Force, as well as provide guidance and subject matter expertise on the implementation of the AR Surveillance Strategic Plan. With the advice and consent of CSTE</w:t>
      </w:r>
      <w:r w:rsidR="00750542">
        <w:t>, APHL,</w:t>
      </w:r>
      <w:r>
        <w:t xml:space="preserve"> and CDC, the chair will establish and convene workgroups, as needed, to expedite progress and implementation of the strategic goals set forth by the Task Force.</w:t>
      </w:r>
    </w:p>
    <w:p w14:paraId="472D7D99" w14:textId="77777777" w:rsidR="00E80FC9" w:rsidRDefault="00E80FC9" w:rsidP="00E80FC9">
      <w:r>
        <w:t>Duties of CDC</w:t>
      </w:r>
    </w:p>
    <w:p w14:paraId="373838D0" w14:textId="77777777" w:rsidR="00E80FC9" w:rsidRDefault="00882774" w:rsidP="00E80FC9">
      <w:r>
        <w:t xml:space="preserve">CDC will identify a co-chair to </w:t>
      </w:r>
      <w:r w:rsidR="00C040DE">
        <w:t>assist</w:t>
      </w:r>
      <w:r>
        <w:t xml:space="preserve"> in leading the Task Force.  CDC will provide subject matter experts on epid</w:t>
      </w:r>
      <w:r w:rsidR="00C040DE">
        <w:t>e</w:t>
      </w:r>
      <w:r>
        <w:t>m</w:t>
      </w:r>
      <w:r w:rsidR="00C040DE">
        <w:t>iolog</w:t>
      </w:r>
      <w:r w:rsidR="00750542">
        <w:t>y</w:t>
      </w:r>
      <w:r w:rsidR="00C040DE">
        <w:t xml:space="preserve"> and public health informatics </w:t>
      </w:r>
      <w:r>
        <w:t xml:space="preserve">to </w:t>
      </w:r>
      <w:r w:rsidR="00C040DE">
        <w:t>participate,</w:t>
      </w:r>
      <w:r w:rsidR="00B84E7E">
        <w:t xml:space="preserve"> either as</w:t>
      </w:r>
      <w:r>
        <w:t xml:space="preserve"> </w:t>
      </w:r>
      <w:r w:rsidR="00C040DE">
        <w:t>member</w:t>
      </w:r>
      <w:r w:rsidR="00B84E7E">
        <w:t>s</w:t>
      </w:r>
      <w:r>
        <w:t xml:space="preserve"> of the </w:t>
      </w:r>
      <w:r w:rsidR="00B84E7E">
        <w:t>T</w:t>
      </w:r>
      <w:r w:rsidR="00C040DE">
        <w:t>ask</w:t>
      </w:r>
      <w:r w:rsidR="00B84E7E">
        <w:t xml:space="preserve"> F</w:t>
      </w:r>
      <w:r>
        <w:t xml:space="preserve">orce or as </w:t>
      </w:r>
      <w:r w:rsidR="00C040DE">
        <w:t>participa</w:t>
      </w:r>
      <w:r w:rsidR="00B84E7E">
        <w:t>n</w:t>
      </w:r>
      <w:r w:rsidR="00C040DE">
        <w:t>t</w:t>
      </w:r>
      <w:r w:rsidR="00B84E7E">
        <w:t>s</w:t>
      </w:r>
      <w:r>
        <w:t xml:space="preserve"> on work groups.</w:t>
      </w:r>
    </w:p>
    <w:p w14:paraId="02E8626D" w14:textId="77777777" w:rsidR="00E80FC9" w:rsidRDefault="00E80FC9" w:rsidP="00E80FC9">
      <w:r>
        <w:t>Duties of APHL</w:t>
      </w:r>
    </w:p>
    <w:p w14:paraId="2814A16D" w14:textId="77777777" w:rsidR="00E80FC9" w:rsidRDefault="00E80FC9" w:rsidP="00E80FC9">
      <w:r>
        <w:t>APHL will identify a co-chair to assist in leading the Task Force. APHL will also serve as a technical advisor, convener, and liaison to laboratory partners in clinical microbiology and public health as relevant to antimicrobial resistance surveillance.</w:t>
      </w:r>
    </w:p>
    <w:p w14:paraId="3A81A46C" w14:textId="77777777" w:rsidR="00E9653E" w:rsidRPr="00E80FC9" w:rsidRDefault="00E80FC9" w:rsidP="00E9653E">
      <w:pPr>
        <w:rPr>
          <w:b/>
        </w:rPr>
      </w:pPr>
      <w:r w:rsidRPr="00E80FC9">
        <w:rPr>
          <w:b/>
        </w:rPr>
        <w:t xml:space="preserve">Membership and </w:t>
      </w:r>
      <w:r w:rsidR="00E9653E" w:rsidRPr="00E80FC9">
        <w:rPr>
          <w:b/>
        </w:rPr>
        <w:t xml:space="preserve">Composition of the Task Force  </w:t>
      </w:r>
    </w:p>
    <w:p w14:paraId="1A8D9B34" w14:textId="77777777" w:rsidR="00E80FC9" w:rsidRDefault="00E80FC9" w:rsidP="00E80FC9">
      <w:r>
        <w:t>The work of the Task Force cuts across infectious disease program</w:t>
      </w:r>
      <w:r w:rsidR="0095525F">
        <w:t>s</w:t>
      </w:r>
      <w:r>
        <w:t xml:space="preserve"> and surveillance and informatics portfolios within CDC</w:t>
      </w:r>
      <w:r w:rsidR="00750542">
        <w:t>, APHL,</w:t>
      </w:r>
      <w:r>
        <w:t xml:space="preserve"> and CSTE.  </w:t>
      </w:r>
      <w:r w:rsidR="0095525F">
        <w:t>CDC’s work in AR surveillance</w:t>
      </w:r>
      <w:r>
        <w:t xml:space="preserve"> involves the National Center for Emerging and Zoonotic Infectious Diseases, Division of Healthcare Quality Promotion and the Center for Surveillance, Epidemiology, and Laboratory Services, Divisions of Health Information Services and Laboratory Services. </w:t>
      </w:r>
      <w:r w:rsidR="00B84E7E">
        <w:t xml:space="preserve"> </w:t>
      </w:r>
      <w:r>
        <w:t xml:space="preserve">At CSTE, the Task Force falls under the Infectious Disease and Surveillance and Informatics Steering Committees and their relevant Subcommittees, notably Healthcare Acquired Infections, Surveillance Policy, Electronic Laboratory and Disease Reporting, and Surveillance Practice and Implementation. </w:t>
      </w:r>
      <w:r w:rsidR="00750542">
        <w:t xml:space="preserve"> </w:t>
      </w:r>
      <w:bookmarkStart w:id="0" w:name="_GoBack"/>
      <w:bookmarkEnd w:id="0"/>
    </w:p>
    <w:p w14:paraId="4587D6CF" w14:textId="77777777" w:rsidR="00E9653E" w:rsidRDefault="00E80FC9" w:rsidP="00E9653E">
      <w:r>
        <w:t xml:space="preserve">Other </w:t>
      </w:r>
      <w:r w:rsidR="000449E1">
        <w:t xml:space="preserve">individuals and </w:t>
      </w:r>
      <w:r w:rsidR="00C040DE">
        <w:t>organizations</w:t>
      </w:r>
      <w:r>
        <w:t xml:space="preserve"> participating</w:t>
      </w:r>
      <w:r w:rsidR="000B33DF">
        <w:t xml:space="preserve"> </w:t>
      </w:r>
      <w:r w:rsidR="00B84E7E">
        <w:t xml:space="preserve">on the Task Force </w:t>
      </w:r>
      <w:r w:rsidR="000B33DF">
        <w:t xml:space="preserve">have been selected to ensure a wide range of expertise and </w:t>
      </w:r>
      <w:r w:rsidR="000449E1">
        <w:t>stakeholder perspectives</w:t>
      </w:r>
      <w:r w:rsidR="000B33DF">
        <w:t xml:space="preserve"> are included from </w:t>
      </w:r>
      <w:r w:rsidR="000449E1">
        <w:t>several disciplines</w:t>
      </w:r>
      <w:r w:rsidR="000B33DF">
        <w:t xml:space="preserve">: public </w:t>
      </w:r>
      <w:r w:rsidR="000449E1">
        <w:t>health</w:t>
      </w:r>
      <w:r w:rsidR="000B33DF">
        <w:t xml:space="preserve"> </w:t>
      </w:r>
      <w:r w:rsidR="000449E1">
        <w:t>epidemiology</w:t>
      </w:r>
      <w:r w:rsidR="000B33DF">
        <w:t xml:space="preserve">, public </w:t>
      </w:r>
      <w:r w:rsidR="000449E1">
        <w:t>health</w:t>
      </w:r>
      <w:r w:rsidR="000B33DF">
        <w:t xml:space="preserve"> </w:t>
      </w:r>
      <w:r w:rsidR="000449E1">
        <w:t>leadership at the s</w:t>
      </w:r>
      <w:r w:rsidR="000B33DF">
        <w:t xml:space="preserve">tate and local levels, </w:t>
      </w:r>
      <w:r w:rsidR="000449E1">
        <w:t>public</w:t>
      </w:r>
      <w:r w:rsidR="000B33DF">
        <w:t xml:space="preserve"> </w:t>
      </w:r>
      <w:r w:rsidR="000449E1">
        <w:t>health</w:t>
      </w:r>
      <w:r w:rsidR="000B33DF">
        <w:t xml:space="preserve"> </w:t>
      </w:r>
      <w:r w:rsidR="000449E1">
        <w:t>laboratories,</w:t>
      </w:r>
      <w:r w:rsidR="000B33DF">
        <w:t xml:space="preserve"> clinical medical care (infectious </w:t>
      </w:r>
      <w:r w:rsidR="000449E1">
        <w:t>disease</w:t>
      </w:r>
      <w:r w:rsidR="000B33DF">
        <w:t xml:space="preserve">), </w:t>
      </w:r>
      <w:r w:rsidR="000449E1">
        <w:t>infection prevention</w:t>
      </w:r>
      <w:r w:rsidR="000B33DF">
        <w:t>, and informatics.</w:t>
      </w:r>
    </w:p>
    <w:p w14:paraId="07489087" w14:textId="77777777" w:rsidR="00B84E7E" w:rsidRDefault="00B84E7E" w:rsidP="00E9653E">
      <w:r>
        <w:t>Future members of the Task Force</w:t>
      </w:r>
      <w:r w:rsidR="00AF6D0C">
        <w:t>, either for expansion of the Task Force or to fill vacancies,</w:t>
      </w:r>
      <w:r>
        <w:t xml:space="preserve"> will be selected by the three co-chairs in consultation with the Core Work Group.  The term of membership will be open-ended.</w:t>
      </w:r>
    </w:p>
    <w:p w14:paraId="05DD4FE8" w14:textId="77777777" w:rsidR="00882774" w:rsidRPr="007C12E2" w:rsidRDefault="00882774" w:rsidP="00E9653E">
      <w:pPr>
        <w:rPr>
          <w:b/>
        </w:rPr>
      </w:pPr>
      <w:r w:rsidRPr="007C12E2">
        <w:rPr>
          <w:b/>
        </w:rPr>
        <w:t>Work Groups</w:t>
      </w:r>
    </w:p>
    <w:p w14:paraId="164F27FD" w14:textId="77777777" w:rsidR="00260CF7" w:rsidRDefault="009E1DFF" w:rsidP="00E9653E">
      <w:r>
        <w:t xml:space="preserve">The Task Force will </w:t>
      </w:r>
      <w:r w:rsidR="00260CF7">
        <w:t>designate</w:t>
      </w:r>
      <w:r>
        <w:t xml:space="preserve"> work groups for planning </w:t>
      </w:r>
      <w:r w:rsidR="00260CF7">
        <w:t>and implement</w:t>
      </w:r>
      <w:r w:rsidR="00750542">
        <w:t xml:space="preserve">ation of the Strategic Plan.  </w:t>
      </w:r>
      <w:r w:rsidR="00260CF7">
        <w:t>The number, purpose, and s</w:t>
      </w:r>
      <w:r w:rsidR="002256BD">
        <w:t>cope</w:t>
      </w:r>
      <w:r w:rsidR="00260CF7">
        <w:t>,</w:t>
      </w:r>
      <w:r w:rsidR="002256BD">
        <w:t xml:space="preserve"> </w:t>
      </w:r>
      <w:r w:rsidR="00260CF7">
        <w:t>membership,</w:t>
      </w:r>
      <w:r w:rsidR="002256BD">
        <w:t xml:space="preserve"> a</w:t>
      </w:r>
      <w:r w:rsidR="00260CF7">
        <w:t xml:space="preserve">nd </w:t>
      </w:r>
      <w:r w:rsidR="002256BD">
        <w:t>leadership</w:t>
      </w:r>
      <w:r w:rsidR="00260CF7">
        <w:t xml:space="preserve"> of each Work </w:t>
      </w:r>
      <w:r w:rsidR="002256BD">
        <w:t>Group</w:t>
      </w:r>
      <w:r w:rsidR="00260CF7">
        <w:t xml:space="preserve"> will be </w:t>
      </w:r>
      <w:r w:rsidR="002256BD">
        <w:t>determined</w:t>
      </w:r>
      <w:r w:rsidR="004A1F20">
        <w:t xml:space="preserve"> by the T</w:t>
      </w:r>
      <w:r w:rsidR="00260CF7">
        <w:t>ask Forc</w:t>
      </w:r>
      <w:r w:rsidR="004A1F20">
        <w:t>e</w:t>
      </w:r>
      <w:r w:rsidR="00260CF7">
        <w:t xml:space="preserve"> a</w:t>
      </w:r>
      <w:r w:rsidR="004A1F20">
        <w:t>n</w:t>
      </w:r>
      <w:r w:rsidR="00260CF7">
        <w:t xml:space="preserve">d </w:t>
      </w:r>
      <w:r w:rsidR="007C12E2">
        <w:t>specified</w:t>
      </w:r>
      <w:r w:rsidR="00260CF7">
        <w:t xml:space="preserve"> in a </w:t>
      </w:r>
      <w:r w:rsidR="004A1F20" w:rsidRPr="008A442D">
        <w:t>written</w:t>
      </w:r>
      <w:r w:rsidR="00260CF7" w:rsidRPr="008A442D">
        <w:t xml:space="preserve"> </w:t>
      </w:r>
      <w:r w:rsidR="004A1F20" w:rsidRPr="008A442D">
        <w:t>charge</w:t>
      </w:r>
      <w:r w:rsidR="00260CF7" w:rsidRPr="008A442D">
        <w:t xml:space="preserve"> to</w:t>
      </w:r>
      <w:r w:rsidR="004A1F20" w:rsidRPr="008A442D">
        <w:t xml:space="preserve"> that</w:t>
      </w:r>
      <w:r w:rsidR="00260CF7" w:rsidRPr="008A442D">
        <w:t xml:space="preserve"> </w:t>
      </w:r>
      <w:r w:rsidR="004A1F20" w:rsidRPr="008A442D">
        <w:t>workgroup</w:t>
      </w:r>
      <w:r w:rsidR="00260CF7" w:rsidRPr="008A442D">
        <w:t xml:space="preserve">.  There shall be standing Core </w:t>
      </w:r>
      <w:r w:rsidR="002256BD" w:rsidRPr="008A442D">
        <w:t>Work</w:t>
      </w:r>
      <w:r w:rsidR="00260CF7" w:rsidRPr="008A442D">
        <w:t xml:space="preserve"> Group whose charge will be to act </w:t>
      </w:r>
      <w:r w:rsidR="002256BD" w:rsidRPr="008A442D">
        <w:t>in</w:t>
      </w:r>
      <w:r w:rsidR="007C12E2" w:rsidRPr="008A442D">
        <w:t xml:space="preserve"> the </w:t>
      </w:r>
      <w:r w:rsidR="002256BD" w:rsidRPr="008A442D">
        <w:t>stead</w:t>
      </w:r>
      <w:r w:rsidR="006139BE" w:rsidRPr="008A442D">
        <w:t xml:space="preserve"> of the full Task Force during</w:t>
      </w:r>
      <w:r w:rsidR="00260CF7" w:rsidRPr="008A442D">
        <w:t xml:space="preserve"> </w:t>
      </w:r>
      <w:r w:rsidR="002256BD" w:rsidRPr="008A442D">
        <w:t>periods</w:t>
      </w:r>
      <w:r w:rsidR="00260CF7" w:rsidRPr="008A442D">
        <w:t xml:space="preserve"> between meetings of the full membership.</w:t>
      </w:r>
      <w:r w:rsidR="007C12E2" w:rsidRPr="008A442D">
        <w:t xml:space="preserve">  </w:t>
      </w:r>
      <w:r w:rsidR="006139BE" w:rsidRPr="008A442D">
        <w:t>E</w:t>
      </w:r>
      <w:r w:rsidR="000949A5" w:rsidRPr="008A442D">
        <w:t>ach Work Group will</w:t>
      </w:r>
      <w:r w:rsidR="008A442D" w:rsidRPr="008A442D">
        <w:t xml:space="preserve"> have a Leader and Deputy Leader, at least one of whom will be a member of the Task</w:t>
      </w:r>
      <w:r w:rsidR="000949A5" w:rsidRPr="008A442D">
        <w:t xml:space="preserve"> Force.  Except</w:t>
      </w:r>
      <w:r w:rsidR="000949A5">
        <w:t xml:space="preserve"> for the Core Work Group, which must consist only of Task Force members, both Task Force members </w:t>
      </w:r>
      <w:r w:rsidR="007C12E2">
        <w:t xml:space="preserve">and other interested individuals who are not members of the Task </w:t>
      </w:r>
      <w:r w:rsidR="007C12E2">
        <w:lastRenderedPageBreak/>
        <w:t xml:space="preserve">Force may participate on Workgroups; </w:t>
      </w:r>
      <w:r w:rsidR="000949A5">
        <w:t>a wide array of subject matter experts</w:t>
      </w:r>
      <w:r w:rsidR="006014D0">
        <w:t xml:space="preserve"> </w:t>
      </w:r>
      <w:r w:rsidR="000949A5">
        <w:t>and stakeho</w:t>
      </w:r>
      <w:r w:rsidR="006014D0">
        <w:t>lders</w:t>
      </w:r>
      <w:r w:rsidR="000949A5">
        <w:t xml:space="preserve"> will be </w:t>
      </w:r>
      <w:r w:rsidR="006014D0">
        <w:t>encouraged</w:t>
      </w:r>
      <w:r w:rsidR="000949A5">
        <w:t xml:space="preserve"> to p</w:t>
      </w:r>
      <w:r w:rsidR="006014D0">
        <w:t>articipate</w:t>
      </w:r>
      <w:r w:rsidR="000949A5">
        <w:t xml:space="preserve">.  </w:t>
      </w:r>
    </w:p>
    <w:p w14:paraId="75BDCAEE" w14:textId="77777777" w:rsidR="00E80FC9" w:rsidRPr="00E80FC9" w:rsidRDefault="00E80FC9" w:rsidP="00E80FC9">
      <w:pPr>
        <w:rPr>
          <w:b/>
        </w:rPr>
      </w:pPr>
      <w:r w:rsidRPr="00E80FC9">
        <w:rPr>
          <w:b/>
        </w:rPr>
        <w:t>Work System and Order of Business</w:t>
      </w:r>
    </w:p>
    <w:p w14:paraId="0D1F0B3E" w14:textId="77777777" w:rsidR="007C12E2" w:rsidRDefault="007C12E2" w:rsidP="007C12E2">
      <w:r>
        <w:t>Members of the Task Force will be asked to abide by this “</w:t>
      </w:r>
      <w:r w:rsidR="00750542">
        <w:t>Operations and Processes</w:t>
      </w:r>
      <w:r>
        <w:t xml:space="preserve">” document, which is not as formal as bylaws, but which will function like one, because it specifies how the business of the Task Force shall proceed and how decision will be made.  </w:t>
      </w:r>
    </w:p>
    <w:p w14:paraId="7AFF09E2" w14:textId="77777777" w:rsidR="00E80FC9" w:rsidRPr="008A442D" w:rsidRDefault="00E80FC9" w:rsidP="00E80FC9">
      <w:r w:rsidRPr="008A442D">
        <w:t>Staffing and Logistics</w:t>
      </w:r>
    </w:p>
    <w:p w14:paraId="252B246E" w14:textId="77777777" w:rsidR="00E80FC9" w:rsidRPr="008A442D" w:rsidRDefault="00E80FC9" w:rsidP="00E80FC9">
      <w:r w:rsidRPr="008A442D">
        <w:t>The operations (meeting logistics, documentation, etc.) of the Task Force</w:t>
      </w:r>
      <w:r w:rsidR="00260CF7" w:rsidRPr="008A442D">
        <w:t xml:space="preserve"> and Work Groups</w:t>
      </w:r>
      <w:r w:rsidRPr="008A442D">
        <w:t xml:space="preserve"> will be performed by </w:t>
      </w:r>
      <w:r w:rsidR="009E1DFF" w:rsidRPr="008A442D">
        <w:t xml:space="preserve">the </w:t>
      </w:r>
      <w:r w:rsidR="006139BE" w:rsidRPr="008A442D">
        <w:t>CSTE staff and consultant, although other organizations (e.g., APHL) may also supply logistical support as needed</w:t>
      </w:r>
      <w:r w:rsidR="008A442D">
        <w:t xml:space="preserve"> and as their resources permit</w:t>
      </w:r>
      <w:r w:rsidR="006139BE" w:rsidRPr="008A442D">
        <w:t>.</w:t>
      </w:r>
    </w:p>
    <w:p w14:paraId="03215739" w14:textId="77777777" w:rsidR="00E80FC9" w:rsidRPr="008A442D" w:rsidRDefault="00257531" w:rsidP="00E80FC9">
      <w:r w:rsidRPr="008A442D">
        <w:t xml:space="preserve">Duties of Members </w:t>
      </w:r>
    </w:p>
    <w:p w14:paraId="311BCF38" w14:textId="77777777" w:rsidR="009E1DFF" w:rsidRDefault="00E80FC9" w:rsidP="00E80FC9">
      <w:r w:rsidRPr="008A442D">
        <w:t xml:space="preserve">Duties </w:t>
      </w:r>
      <w:r w:rsidR="00257531" w:rsidRPr="008A442D">
        <w:t>of</w:t>
      </w:r>
      <w:r w:rsidRPr="008A442D">
        <w:t xml:space="preserve"> member</w:t>
      </w:r>
      <w:r w:rsidR="00257531" w:rsidRPr="008A442D">
        <w:t>s</w:t>
      </w:r>
      <w:r w:rsidRPr="008A442D">
        <w:t xml:space="preserve"> will be to attend and participate</w:t>
      </w:r>
      <w:r>
        <w:t xml:space="preserve"> actively in conference calls and in-person meetings, study background and briefing materials, review and comment on draft documents produced by the Task Force or its workgroups, communicate with </w:t>
      </w:r>
      <w:r w:rsidR="00257531">
        <w:t>their</w:t>
      </w:r>
      <w:r>
        <w:t xml:space="preserve"> constituencies on the work of the Task Force and communicate their opinions to the Task Force, and participate on one or more Task Force workgroups.  </w:t>
      </w:r>
      <w:r w:rsidR="00257531">
        <w:t>M</w:t>
      </w:r>
      <w:r>
        <w:t xml:space="preserve">eetings of the full Task </w:t>
      </w:r>
      <w:r w:rsidR="00257531">
        <w:t xml:space="preserve">Force will be </w:t>
      </w:r>
      <w:r w:rsidR="00750542">
        <w:t xml:space="preserve">held </w:t>
      </w:r>
      <w:r w:rsidR="00257531">
        <w:t xml:space="preserve">quarterly, </w:t>
      </w:r>
      <w:r>
        <w:t xml:space="preserve">and </w:t>
      </w:r>
      <w:r w:rsidR="00257531">
        <w:t>Work G</w:t>
      </w:r>
      <w:r>
        <w:t>roup meetings</w:t>
      </w:r>
      <w:r w:rsidR="00257531">
        <w:t xml:space="preserve"> will be bi-weekly, </w:t>
      </w:r>
      <w:r w:rsidR="00750542">
        <w:t>except for</w:t>
      </w:r>
      <w:r w:rsidR="00257531">
        <w:t xml:space="preserve"> the Core Work Group, which will meet weekly</w:t>
      </w:r>
      <w:r>
        <w:t xml:space="preserve">.  Anticipated absences should be communicated before the meeting or call, and emergency absences afterward. </w:t>
      </w:r>
    </w:p>
    <w:p w14:paraId="12E962F4" w14:textId="77777777" w:rsidR="009E1DFF" w:rsidRDefault="009E1DFF" w:rsidP="00E80FC9">
      <w:r>
        <w:t>Decision-making</w:t>
      </w:r>
    </w:p>
    <w:p w14:paraId="1E85D953" w14:textId="77777777" w:rsidR="00E80FC9" w:rsidRDefault="009E1DFF" w:rsidP="00E80FC9">
      <w:r>
        <w:t>Decisions will be made by the Task Force by consensus.  If consensus on a substantive question cannot be reached, the majority of the Chairs may invoke Ro</w:t>
      </w:r>
      <w:r w:rsidR="00750542">
        <w:t>b</w:t>
      </w:r>
      <w:r>
        <w:t>er</w:t>
      </w:r>
      <w:r w:rsidR="00750542">
        <w:t>t</w:t>
      </w:r>
      <w:r>
        <w:t>s Rules of Order, and will use voting for decision-making.</w:t>
      </w:r>
      <w:r w:rsidR="00E80FC9">
        <w:t xml:space="preserve"> </w:t>
      </w:r>
      <w:r>
        <w:t xml:space="preserve">  Decisions on Workgroups will be made by consensus.  If a Workgroup cannot form a consensus, both majority and minority opinions shall be reported to the Task Force.</w:t>
      </w:r>
    </w:p>
    <w:p w14:paraId="0FEEFEDA" w14:textId="77777777" w:rsidR="004A3995" w:rsidRPr="00E80FC9" w:rsidRDefault="004A3995" w:rsidP="00A879AF">
      <w:pPr>
        <w:rPr>
          <w:b/>
        </w:rPr>
      </w:pPr>
      <w:r w:rsidRPr="00E80FC9">
        <w:rPr>
          <w:b/>
        </w:rPr>
        <w:t>Products</w:t>
      </w:r>
    </w:p>
    <w:p w14:paraId="5EB39F6D" w14:textId="77777777" w:rsidR="004A3995" w:rsidRDefault="004A3995" w:rsidP="00A879AF">
      <w:r>
        <w:t>The Strategic Map and Profile are the key planning documents that will g</w:t>
      </w:r>
      <w:r w:rsidR="00DB791F">
        <w:t>i</w:t>
      </w:r>
      <w:r>
        <w:t>ve the work of the Task Force during the current 2017-2020 planning period.  The P</w:t>
      </w:r>
      <w:r w:rsidR="00DB791F">
        <w:t>rofile</w:t>
      </w:r>
      <w:r>
        <w:t xml:space="preserve"> lists the </w:t>
      </w:r>
      <w:r w:rsidR="00DB791F">
        <w:t>priority</w:t>
      </w:r>
      <w:r>
        <w:t xml:space="preserve"> activities for the </w:t>
      </w:r>
      <w:r w:rsidR="006014D0">
        <w:t>next 12-month period of Task Force operations.  These</w:t>
      </w:r>
      <w:r>
        <w:t xml:space="preserve"> will direct the focus an</w:t>
      </w:r>
      <w:r w:rsidR="006014D0">
        <w:t>d activities of the Task Force and tis Workgroups t</w:t>
      </w:r>
      <w:r>
        <w:t>his year</w:t>
      </w:r>
      <w:r w:rsidR="006014D0">
        <w:t xml:space="preserve"> (July 1, 2017 – June 30, 2018)</w:t>
      </w:r>
      <w:r>
        <w:t>.</w:t>
      </w:r>
    </w:p>
    <w:p w14:paraId="2BF7F536" w14:textId="77777777" w:rsidR="004A3995" w:rsidRDefault="004A3995" w:rsidP="00A879AF"/>
    <w:p w14:paraId="6286DF93" w14:textId="77777777" w:rsidR="00BB7D67" w:rsidRDefault="00BB7D67" w:rsidP="00A879AF"/>
    <w:p w14:paraId="6B3BE4C3" w14:textId="77777777" w:rsidR="00A113C7" w:rsidRDefault="00A113C7" w:rsidP="00A879AF">
      <w:r>
        <w:t xml:space="preserve">Adopted by </w:t>
      </w:r>
      <w:r w:rsidR="008A442D">
        <w:t>ARSTF Core Work Group</w:t>
      </w:r>
    </w:p>
    <w:p w14:paraId="73C40F4A" w14:textId="77777777" w:rsidR="008A442D" w:rsidRDefault="008A442D" w:rsidP="00A879AF">
      <w:r>
        <w:t>Ver 1</w:t>
      </w:r>
      <w:r w:rsidR="00BB7D67">
        <w:t>.</w:t>
      </w:r>
      <w:r w:rsidR="00750542">
        <w:t>1</w:t>
      </w:r>
      <w:r w:rsidR="00BB7D67">
        <w:t xml:space="preserve">  </w:t>
      </w:r>
    </w:p>
    <w:p w14:paraId="438B6CDD" w14:textId="77777777" w:rsidR="00BB7D67" w:rsidRDefault="00BB7D67" w:rsidP="00A879AF">
      <w:r>
        <w:t>Date</w:t>
      </w:r>
      <w:r w:rsidR="008A442D">
        <w:t xml:space="preserve"> 6</w:t>
      </w:r>
      <w:r>
        <w:t>/</w:t>
      </w:r>
      <w:r w:rsidR="00750542">
        <w:t>27</w:t>
      </w:r>
      <w:r>
        <w:t>/</w:t>
      </w:r>
      <w:r w:rsidR="008A442D">
        <w:t>17</w:t>
      </w:r>
      <w:r>
        <w:t xml:space="preserve">  </w:t>
      </w:r>
    </w:p>
    <w:p w14:paraId="56DC322D" w14:textId="77777777" w:rsidR="008A63A7" w:rsidRDefault="008A63A7" w:rsidP="00A879AF"/>
    <w:sectPr w:rsidR="008A63A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CD0369" w14:textId="77777777" w:rsidR="00A20A53" w:rsidRDefault="00A20A53" w:rsidP="00FB368A">
      <w:pPr>
        <w:spacing w:after="0" w:line="240" w:lineRule="auto"/>
      </w:pPr>
      <w:r>
        <w:separator/>
      </w:r>
    </w:p>
  </w:endnote>
  <w:endnote w:type="continuationSeparator" w:id="0">
    <w:p w14:paraId="02FDCFEE" w14:textId="77777777" w:rsidR="00A20A53" w:rsidRDefault="00A20A53" w:rsidP="00FB3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6F880D3" w14:textId="77777777" w:rsidR="00750542" w:rsidRDefault="0075054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1750009311"/>
      <w:docPartObj>
        <w:docPartGallery w:val="Page Numbers (Bottom of Page)"/>
        <w:docPartUnique/>
      </w:docPartObj>
    </w:sdtPr>
    <w:sdtEndPr>
      <w:rPr>
        <w:noProof/>
      </w:rPr>
    </w:sdtEndPr>
    <w:sdtContent>
      <w:p w14:paraId="345D63D1" w14:textId="77777777" w:rsidR="00581AC5" w:rsidRDefault="00581AC5">
        <w:pPr>
          <w:pStyle w:val="Footer"/>
          <w:jc w:val="center"/>
        </w:pPr>
        <w:r>
          <w:fldChar w:fldCharType="begin"/>
        </w:r>
        <w:r>
          <w:instrText xml:space="preserve"> PAGE   \* MERGEFORMAT </w:instrText>
        </w:r>
        <w:r>
          <w:fldChar w:fldCharType="separate"/>
        </w:r>
        <w:r w:rsidR="008825E2">
          <w:rPr>
            <w:noProof/>
          </w:rPr>
          <w:t>2</w:t>
        </w:r>
        <w:r>
          <w:rPr>
            <w:noProof/>
          </w:rPr>
          <w:fldChar w:fldCharType="end"/>
        </w:r>
      </w:p>
    </w:sdtContent>
  </w:sdt>
  <w:p w14:paraId="7DCB156D" w14:textId="77777777" w:rsidR="00FB368A" w:rsidRDefault="00FB368A">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CD5ACE8" w14:textId="77777777" w:rsidR="00750542" w:rsidRDefault="0075054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CF042" w14:textId="77777777" w:rsidR="00A20A53" w:rsidRDefault="00A20A53" w:rsidP="00FB368A">
      <w:pPr>
        <w:spacing w:after="0" w:line="240" w:lineRule="auto"/>
      </w:pPr>
      <w:r>
        <w:separator/>
      </w:r>
    </w:p>
  </w:footnote>
  <w:footnote w:type="continuationSeparator" w:id="0">
    <w:p w14:paraId="04CA7FF7" w14:textId="77777777" w:rsidR="00A20A53" w:rsidRDefault="00A20A53" w:rsidP="00FB368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53D39E78" w14:textId="77777777" w:rsidR="00750542" w:rsidRDefault="00750542">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sdt>
    <w:sdtPr>
      <w:id w:val="-911236695"/>
      <w:docPartObj>
        <w:docPartGallery w:val="Watermarks"/>
        <w:docPartUnique/>
      </w:docPartObj>
    </w:sdtPr>
    <w:sdtEndPr/>
    <w:sdtContent>
      <w:p w14:paraId="7A9EA1C2" w14:textId="77777777" w:rsidR="00FB368A" w:rsidRDefault="00A20A53">
        <w:pPr>
          <w:pStyle w:val="Header"/>
        </w:pPr>
        <w:r>
          <w:rPr>
            <w:noProof/>
          </w:rPr>
          <w:pict w14:anchorId="770F1E8A">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2A43EC3A" w14:textId="77777777" w:rsidR="00750542" w:rsidRDefault="007505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995"/>
    <w:rsid w:val="0002665E"/>
    <w:rsid w:val="000449E1"/>
    <w:rsid w:val="000949A5"/>
    <w:rsid w:val="000B33DF"/>
    <w:rsid w:val="0017267E"/>
    <w:rsid w:val="001E6191"/>
    <w:rsid w:val="00203F2F"/>
    <w:rsid w:val="002256BD"/>
    <w:rsid w:val="00257531"/>
    <w:rsid w:val="00260CF7"/>
    <w:rsid w:val="002F288B"/>
    <w:rsid w:val="00374759"/>
    <w:rsid w:val="00457CF6"/>
    <w:rsid w:val="00466206"/>
    <w:rsid w:val="004A1F20"/>
    <w:rsid w:val="004A3995"/>
    <w:rsid w:val="00581AC5"/>
    <w:rsid w:val="006014D0"/>
    <w:rsid w:val="006139BE"/>
    <w:rsid w:val="006364E0"/>
    <w:rsid w:val="00661DDA"/>
    <w:rsid w:val="006D6578"/>
    <w:rsid w:val="00720EA5"/>
    <w:rsid w:val="00746A1B"/>
    <w:rsid w:val="00750542"/>
    <w:rsid w:val="007C12E2"/>
    <w:rsid w:val="007D77CD"/>
    <w:rsid w:val="008825E2"/>
    <w:rsid w:val="00882774"/>
    <w:rsid w:val="008A442D"/>
    <w:rsid w:val="008A63A7"/>
    <w:rsid w:val="00934E57"/>
    <w:rsid w:val="0095525F"/>
    <w:rsid w:val="009A2718"/>
    <w:rsid w:val="009D68C5"/>
    <w:rsid w:val="009E1DF8"/>
    <w:rsid w:val="009E1DFF"/>
    <w:rsid w:val="009F2842"/>
    <w:rsid w:val="00A113C7"/>
    <w:rsid w:val="00A20A53"/>
    <w:rsid w:val="00A871C7"/>
    <w:rsid w:val="00A879AF"/>
    <w:rsid w:val="00A92275"/>
    <w:rsid w:val="00AF6D0C"/>
    <w:rsid w:val="00B3088E"/>
    <w:rsid w:val="00B35B16"/>
    <w:rsid w:val="00B84E7E"/>
    <w:rsid w:val="00BB7D67"/>
    <w:rsid w:val="00C040DE"/>
    <w:rsid w:val="00C877AC"/>
    <w:rsid w:val="00D92DF8"/>
    <w:rsid w:val="00DB791F"/>
    <w:rsid w:val="00E378AC"/>
    <w:rsid w:val="00E80FC9"/>
    <w:rsid w:val="00E826F3"/>
    <w:rsid w:val="00E9653E"/>
    <w:rsid w:val="00EB3777"/>
    <w:rsid w:val="00FB368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89F420F"/>
  <w15:chartTrackingRefBased/>
  <w15:docId w15:val="{8AC902C9-2ED3-4813-ACEB-0D64FA3C4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A39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68A"/>
  </w:style>
  <w:style w:type="paragraph" w:styleId="Footer">
    <w:name w:val="footer"/>
    <w:basedOn w:val="Normal"/>
    <w:link w:val="FooterChar"/>
    <w:uiPriority w:val="99"/>
    <w:unhideWhenUsed/>
    <w:rsid w:val="00FB3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68A"/>
  </w:style>
  <w:style w:type="paragraph" w:styleId="NoSpacing">
    <w:name w:val="No Spacing"/>
    <w:uiPriority w:val="1"/>
    <w:qFormat/>
    <w:rsid w:val="006D65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6EFB4-AD07-0B4C-B9F2-83C576F66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1264</Words>
  <Characters>7205</Characters>
  <Application>Microsoft Macintosh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Melchreit</dc:creator>
  <cp:keywords/>
  <dc:description/>
  <cp:lastModifiedBy>Monica Huang</cp:lastModifiedBy>
  <cp:revision>2</cp:revision>
  <dcterms:created xsi:type="dcterms:W3CDTF">2017-06-28T13:21:00Z</dcterms:created>
  <dcterms:modified xsi:type="dcterms:W3CDTF">2017-06-28T13:21:00Z</dcterms:modified>
</cp:coreProperties>
</file>