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A53B1" w14:textId="77777777" w:rsidR="00D22950" w:rsidRDefault="00D22950" w:rsidP="00D22950">
      <w:pPr>
        <w:rPr>
          <w:b/>
          <w:bCs/>
        </w:rPr>
      </w:pPr>
    </w:p>
    <w:p w14:paraId="213EFF8A" w14:textId="3A114FDC" w:rsidR="00624E1A" w:rsidRPr="00AA7D5F" w:rsidRDefault="00154322" w:rsidP="00624E1A">
      <w:pPr>
        <w:jc w:val="center"/>
        <w:rPr>
          <w:b/>
        </w:rPr>
      </w:pPr>
      <w:r>
        <w:rPr>
          <w:b/>
        </w:rPr>
        <w:t>Friday April 27</w:t>
      </w:r>
      <w:r w:rsidR="00624E1A" w:rsidRPr="00AA7D5F">
        <w:rPr>
          <w:b/>
        </w:rPr>
        <w:t>, 2018</w:t>
      </w:r>
    </w:p>
    <w:p w14:paraId="08DE1BEA" w14:textId="1E0A9551" w:rsidR="00624E1A" w:rsidRDefault="00154322" w:rsidP="00624E1A">
      <w:pPr>
        <w:jc w:val="center"/>
        <w:rPr>
          <w:i/>
        </w:rPr>
      </w:pPr>
      <w:r>
        <w:rPr>
          <w:i/>
        </w:rPr>
        <w:t>Discussing ARLN capabilities as a model for integrated AR surveillance</w:t>
      </w:r>
    </w:p>
    <w:p w14:paraId="508C1154" w14:textId="2881AB85" w:rsidR="00624E1A" w:rsidRDefault="00624E1A" w:rsidP="00624E1A">
      <w:pPr>
        <w:jc w:val="center"/>
        <w:rPr>
          <w:i/>
        </w:rPr>
      </w:pPr>
    </w:p>
    <w:p w14:paraId="4BE19E1F" w14:textId="77777777" w:rsidR="00624E1A" w:rsidRPr="00AA7D5F" w:rsidRDefault="00624E1A" w:rsidP="00624E1A">
      <w:pPr>
        <w:rPr>
          <w:b/>
          <w:bCs/>
        </w:rPr>
      </w:pPr>
      <w:r>
        <w:rPr>
          <w:b/>
          <w:bCs/>
        </w:rPr>
        <w:t>Participants:</w:t>
      </w:r>
    </w:p>
    <w:p w14:paraId="02795BAF" w14:textId="77777777" w:rsidR="002308F1" w:rsidRDefault="002308F1" w:rsidP="00D22950">
      <w:pPr>
        <w:rPr>
          <w:bCs/>
        </w:rPr>
        <w:sectPr w:rsidR="002308F1">
          <w:pgSz w:w="12240" w:h="15840"/>
          <w:pgMar w:top="1440" w:right="1440" w:bottom="1440" w:left="1440" w:header="720" w:footer="720" w:gutter="0"/>
          <w:cols w:space="720"/>
          <w:docGrid w:linePitch="360"/>
        </w:sectPr>
      </w:pPr>
    </w:p>
    <w:p w14:paraId="04BF0CC3" w14:textId="52B7EC9B" w:rsidR="00BF4C2A" w:rsidRDefault="00182D6D" w:rsidP="00D22950">
      <w:pPr>
        <w:rPr>
          <w:bCs/>
        </w:rPr>
      </w:pPr>
      <w:r>
        <w:rPr>
          <w:bCs/>
        </w:rPr>
        <w:t>Brooke</w:t>
      </w:r>
      <w:r w:rsidR="00624E1A">
        <w:rPr>
          <w:bCs/>
        </w:rPr>
        <w:t xml:space="preserve"> Beaulieu (CSTE)</w:t>
      </w:r>
    </w:p>
    <w:p w14:paraId="3059538F" w14:textId="53D342E7" w:rsidR="00182D6D" w:rsidRDefault="00182D6D" w:rsidP="00D22950">
      <w:pPr>
        <w:rPr>
          <w:bCs/>
        </w:rPr>
      </w:pPr>
      <w:r>
        <w:rPr>
          <w:bCs/>
        </w:rPr>
        <w:t>Rich</w:t>
      </w:r>
      <w:r w:rsidR="00624E1A">
        <w:rPr>
          <w:bCs/>
        </w:rPr>
        <w:t xml:space="preserve"> Melchreit (CSTE)</w:t>
      </w:r>
    </w:p>
    <w:p w14:paraId="6DE760B1" w14:textId="164AB7B3" w:rsidR="001B3F83" w:rsidRDefault="00271E4F" w:rsidP="00D22950">
      <w:pPr>
        <w:rPr>
          <w:bCs/>
        </w:rPr>
      </w:pPr>
      <w:r>
        <w:rPr>
          <w:bCs/>
        </w:rPr>
        <w:t>Michelle Meigs</w:t>
      </w:r>
      <w:r w:rsidR="001B3F83">
        <w:rPr>
          <w:bCs/>
        </w:rPr>
        <w:t xml:space="preserve"> </w:t>
      </w:r>
      <w:r w:rsidR="00154322">
        <w:rPr>
          <w:bCs/>
        </w:rPr>
        <w:t>(ARLN)</w:t>
      </w:r>
    </w:p>
    <w:p w14:paraId="60754964" w14:textId="71394A85" w:rsidR="001B3F83" w:rsidRDefault="00271E4F" w:rsidP="00D22950">
      <w:pPr>
        <w:rPr>
          <w:bCs/>
        </w:rPr>
      </w:pPr>
      <w:r>
        <w:rPr>
          <w:bCs/>
        </w:rPr>
        <w:t>Allison Brown</w:t>
      </w:r>
      <w:r w:rsidR="00154322">
        <w:rPr>
          <w:bCs/>
        </w:rPr>
        <w:t xml:space="preserve"> (ARLN)</w:t>
      </w:r>
    </w:p>
    <w:p w14:paraId="71A25FE5" w14:textId="7AF1F86F" w:rsidR="00154322" w:rsidRDefault="00154322" w:rsidP="00D22950">
      <w:pPr>
        <w:rPr>
          <w:bCs/>
        </w:rPr>
      </w:pPr>
      <w:r>
        <w:rPr>
          <w:bCs/>
        </w:rPr>
        <w:t>Jean Patel (ARLN)</w:t>
      </w:r>
    </w:p>
    <w:p w14:paraId="7AE68676" w14:textId="6403D1D3" w:rsidR="001B3F83" w:rsidRDefault="00154322" w:rsidP="00D22950">
      <w:pPr>
        <w:rPr>
          <w:bCs/>
        </w:rPr>
      </w:pPr>
      <w:r>
        <w:rPr>
          <w:bCs/>
        </w:rPr>
        <w:t>Wes Kennemore</w:t>
      </w:r>
      <w:r w:rsidR="001B3F83">
        <w:rPr>
          <w:bCs/>
        </w:rPr>
        <w:t xml:space="preserve"> (CDC</w:t>
      </w:r>
      <w:r w:rsidR="00F00120">
        <w:rPr>
          <w:bCs/>
        </w:rPr>
        <w:t xml:space="preserve"> </w:t>
      </w:r>
      <w:r>
        <w:rPr>
          <w:bCs/>
        </w:rPr>
        <w:t>Contractor</w:t>
      </w:r>
      <w:r w:rsidR="001B3F83">
        <w:rPr>
          <w:bCs/>
        </w:rPr>
        <w:t>)</w:t>
      </w:r>
    </w:p>
    <w:p w14:paraId="78C15054" w14:textId="24C2392B" w:rsidR="001B3F83" w:rsidRDefault="00154322" w:rsidP="00D22950">
      <w:pPr>
        <w:rPr>
          <w:bCs/>
        </w:rPr>
      </w:pPr>
      <w:r>
        <w:rPr>
          <w:bCs/>
        </w:rPr>
        <w:t>John Stelling (B&amp;W Hospital)</w:t>
      </w:r>
    </w:p>
    <w:p w14:paraId="4A17E8B5" w14:textId="43DD2B1A" w:rsidR="00154322" w:rsidRDefault="00154322" w:rsidP="00D22950">
      <w:pPr>
        <w:rPr>
          <w:bCs/>
        </w:rPr>
      </w:pPr>
      <w:r>
        <w:rPr>
          <w:bCs/>
        </w:rPr>
        <w:t>Tara Hennings (ARLN)</w:t>
      </w:r>
    </w:p>
    <w:p w14:paraId="236BB1AE" w14:textId="77777777" w:rsidR="004E7B42" w:rsidRDefault="004E7B42" w:rsidP="00D22950">
      <w:pPr>
        <w:rPr>
          <w:bCs/>
        </w:rPr>
        <w:sectPr w:rsidR="004E7B42" w:rsidSect="002308F1">
          <w:type w:val="continuous"/>
          <w:pgSz w:w="12240" w:h="15840"/>
          <w:pgMar w:top="1440" w:right="1440" w:bottom="1440" w:left="1440" w:header="720" w:footer="720" w:gutter="0"/>
          <w:cols w:num="2" w:space="720"/>
          <w:docGrid w:linePitch="360"/>
        </w:sectPr>
      </w:pPr>
    </w:p>
    <w:p w14:paraId="72F91025" w14:textId="77777777" w:rsidR="00182D6D" w:rsidRPr="00182D6D" w:rsidRDefault="00182D6D" w:rsidP="00D22950">
      <w:pPr>
        <w:rPr>
          <w:bCs/>
        </w:rPr>
      </w:pPr>
    </w:p>
    <w:p w14:paraId="17C93AAB" w14:textId="16CB50F3" w:rsidR="00271E4F" w:rsidRDefault="00271E4F" w:rsidP="00271E4F">
      <w:pPr>
        <w:rPr>
          <w:b/>
          <w:bCs/>
        </w:rPr>
      </w:pPr>
      <w:r>
        <w:rPr>
          <w:b/>
          <w:bCs/>
        </w:rPr>
        <w:t>Discussion questions:</w:t>
      </w:r>
    </w:p>
    <w:p w14:paraId="10ED3F37" w14:textId="77777777" w:rsidR="00154322" w:rsidRDefault="00154322" w:rsidP="00271E4F">
      <w:pPr>
        <w:rPr>
          <w:b/>
          <w:bCs/>
        </w:rPr>
      </w:pPr>
    </w:p>
    <w:p w14:paraId="2A665970" w14:textId="152A12E5" w:rsidR="00271E4F" w:rsidRPr="00154322" w:rsidRDefault="00271E4F" w:rsidP="00271E4F">
      <w:pPr>
        <w:numPr>
          <w:ilvl w:val="0"/>
          <w:numId w:val="19"/>
        </w:numPr>
        <w:spacing w:after="160" w:line="252" w:lineRule="auto"/>
        <w:contextualSpacing/>
        <w:rPr>
          <w:rFonts w:eastAsia="Times New Roman"/>
          <w:b/>
        </w:rPr>
      </w:pPr>
      <w:r w:rsidRPr="00154322">
        <w:rPr>
          <w:rFonts w:eastAsia="Times New Roman"/>
          <w:b/>
        </w:rPr>
        <w:t>How does ARLN work, is it the model for an integrated AR surveillance system?</w:t>
      </w:r>
    </w:p>
    <w:p w14:paraId="16EAC052" w14:textId="77777777" w:rsidR="00154322" w:rsidRDefault="000B6EDF" w:rsidP="00154322">
      <w:pPr>
        <w:pStyle w:val="ListParagraph"/>
        <w:numPr>
          <w:ilvl w:val="0"/>
          <w:numId w:val="21"/>
        </w:numPr>
        <w:spacing w:after="160" w:line="252" w:lineRule="auto"/>
        <w:rPr>
          <w:rFonts w:eastAsia="Times New Roman"/>
        </w:rPr>
      </w:pPr>
      <w:r w:rsidRPr="000B6EDF">
        <w:rPr>
          <w:rFonts w:eastAsia="Times New Roman"/>
        </w:rPr>
        <w:t>Comment from ARLN team: Consider revising this question to “How can we best integrate data from different surveillance sources?”</w:t>
      </w:r>
      <w:r w:rsidR="00154322">
        <w:rPr>
          <w:rFonts w:eastAsia="Times New Roman"/>
        </w:rPr>
        <w:t xml:space="preserve"> </w:t>
      </w:r>
    </w:p>
    <w:p w14:paraId="0B8F31ED" w14:textId="53810006" w:rsidR="000B6EDF" w:rsidRPr="00154322" w:rsidRDefault="000B6EDF" w:rsidP="00154322">
      <w:pPr>
        <w:pStyle w:val="ListParagraph"/>
        <w:numPr>
          <w:ilvl w:val="0"/>
          <w:numId w:val="21"/>
        </w:numPr>
        <w:spacing w:after="160" w:line="252" w:lineRule="auto"/>
        <w:rPr>
          <w:rFonts w:eastAsia="Times New Roman"/>
        </w:rPr>
      </w:pPr>
      <w:r w:rsidRPr="00154322">
        <w:rPr>
          <w:rFonts w:eastAsia="Times New Roman"/>
        </w:rPr>
        <w:t>I.e., how can we build on the parts of ARLN that are working well, as well as advocate for ARLN as a whole?</w:t>
      </w:r>
    </w:p>
    <w:p w14:paraId="51FCE48F" w14:textId="0498E859" w:rsidR="000B6EDF" w:rsidRDefault="000B6EDF" w:rsidP="000B6EDF">
      <w:pPr>
        <w:pStyle w:val="ListParagraph"/>
        <w:numPr>
          <w:ilvl w:val="1"/>
          <w:numId w:val="21"/>
        </w:numPr>
        <w:spacing w:after="160" w:line="252" w:lineRule="auto"/>
        <w:rPr>
          <w:rFonts w:eastAsia="Times New Roman"/>
        </w:rPr>
      </w:pPr>
      <w:r>
        <w:rPr>
          <w:rFonts w:eastAsia="Times New Roman"/>
        </w:rPr>
        <w:t>Response from ARLN: Brief background</w:t>
      </w:r>
      <w:r w:rsidR="00154322">
        <w:rPr>
          <w:rFonts w:eastAsia="Times New Roman"/>
        </w:rPr>
        <w:t>: ARLN</w:t>
      </w:r>
      <w:r>
        <w:rPr>
          <w:rFonts w:eastAsia="Times New Roman"/>
        </w:rPr>
        <w:t xml:space="preserve"> is </w:t>
      </w:r>
      <w:r w:rsidR="00154322">
        <w:rPr>
          <w:rFonts w:eastAsia="Times New Roman"/>
        </w:rPr>
        <w:t xml:space="preserve">a </w:t>
      </w:r>
      <w:r>
        <w:rPr>
          <w:rFonts w:eastAsia="Times New Roman"/>
        </w:rPr>
        <w:t>network where we can test clinical isolates for resistance. The purpose is to detect and characterize resistance.</w:t>
      </w:r>
    </w:p>
    <w:p w14:paraId="678BE07E" w14:textId="0501D47B" w:rsidR="000B6EDF" w:rsidRDefault="000B6EDF" w:rsidP="000B6EDF">
      <w:pPr>
        <w:pStyle w:val="ListParagraph"/>
        <w:numPr>
          <w:ilvl w:val="2"/>
          <w:numId w:val="21"/>
        </w:numPr>
        <w:spacing w:after="160" w:line="252" w:lineRule="auto"/>
        <w:rPr>
          <w:rFonts w:eastAsia="Times New Roman"/>
        </w:rPr>
      </w:pPr>
      <w:r>
        <w:rPr>
          <w:rFonts w:eastAsia="Times New Roman"/>
        </w:rPr>
        <w:t xml:space="preserve">The kinds of testing we do is designed to fill the gap between what data </w:t>
      </w:r>
      <w:r w:rsidR="00154322">
        <w:rPr>
          <w:rFonts w:eastAsia="Times New Roman"/>
        </w:rPr>
        <w:t>are</w:t>
      </w:r>
      <w:r>
        <w:rPr>
          <w:rFonts w:eastAsia="Times New Roman"/>
        </w:rPr>
        <w:t xml:space="preserve"> provided from the hospital and what data are needed from the public health side</w:t>
      </w:r>
      <w:r w:rsidR="00154322">
        <w:rPr>
          <w:rFonts w:eastAsia="Times New Roman"/>
        </w:rPr>
        <w:t>.</w:t>
      </w:r>
    </w:p>
    <w:p w14:paraId="4A27E73C" w14:textId="324133F3" w:rsidR="000B6EDF" w:rsidRDefault="000B6EDF" w:rsidP="000B6EDF">
      <w:pPr>
        <w:pStyle w:val="ListParagraph"/>
        <w:numPr>
          <w:ilvl w:val="2"/>
          <w:numId w:val="21"/>
        </w:numPr>
        <w:spacing w:after="160" w:line="252" w:lineRule="auto"/>
        <w:rPr>
          <w:rFonts w:eastAsia="Times New Roman"/>
        </w:rPr>
      </w:pPr>
      <w:r>
        <w:rPr>
          <w:rFonts w:eastAsia="Times New Roman"/>
        </w:rPr>
        <w:t>Testing varies by pathogen. E.g., for CRE we characterize resistance mechanisms</w:t>
      </w:r>
      <w:r w:rsidR="00154322">
        <w:rPr>
          <w:rFonts w:eastAsia="Times New Roman"/>
        </w:rPr>
        <w:t>.</w:t>
      </w:r>
    </w:p>
    <w:p w14:paraId="46D97B08" w14:textId="00F3B3AE" w:rsidR="000B6EDF" w:rsidRDefault="000B6EDF" w:rsidP="000B6EDF">
      <w:pPr>
        <w:pStyle w:val="ListParagraph"/>
        <w:numPr>
          <w:ilvl w:val="2"/>
          <w:numId w:val="21"/>
        </w:numPr>
        <w:spacing w:after="160" w:line="252" w:lineRule="auto"/>
        <w:rPr>
          <w:rFonts w:eastAsia="Times New Roman"/>
        </w:rPr>
      </w:pPr>
      <w:r>
        <w:rPr>
          <w:rFonts w:eastAsia="Times New Roman"/>
        </w:rPr>
        <w:t>The goal is to detect new trends and outbreaks, and predict the therapy of drugs coming down the pipeline.</w:t>
      </w:r>
    </w:p>
    <w:p w14:paraId="0FF0D811" w14:textId="75E7A7B5" w:rsidR="000B6EDF" w:rsidRDefault="000B6EDF" w:rsidP="000B6EDF">
      <w:pPr>
        <w:pStyle w:val="ListParagraph"/>
        <w:numPr>
          <w:ilvl w:val="2"/>
          <w:numId w:val="21"/>
        </w:numPr>
        <w:spacing w:after="160" w:line="252" w:lineRule="auto"/>
        <w:rPr>
          <w:rFonts w:eastAsia="Times New Roman"/>
        </w:rPr>
      </w:pPr>
      <w:r>
        <w:rPr>
          <w:rFonts w:eastAsia="Times New Roman"/>
        </w:rPr>
        <w:t xml:space="preserve">To detect/respond to outbreaks, </w:t>
      </w:r>
      <w:r w:rsidR="00154322">
        <w:rPr>
          <w:rFonts w:eastAsia="Times New Roman"/>
        </w:rPr>
        <w:t xml:space="preserve">we </w:t>
      </w:r>
      <w:r>
        <w:rPr>
          <w:rFonts w:eastAsia="Times New Roman"/>
        </w:rPr>
        <w:t xml:space="preserve">also do CRE colonization testing and whole genome sequencing. </w:t>
      </w:r>
    </w:p>
    <w:p w14:paraId="29C4D4D4" w14:textId="0DF6A199" w:rsidR="000B6EDF" w:rsidRDefault="000B6EDF" w:rsidP="000B6EDF">
      <w:pPr>
        <w:pStyle w:val="ListParagraph"/>
        <w:numPr>
          <w:ilvl w:val="2"/>
          <w:numId w:val="21"/>
        </w:numPr>
        <w:spacing w:after="160" w:line="252" w:lineRule="auto"/>
        <w:rPr>
          <w:rFonts w:eastAsia="Times New Roman"/>
        </w:rPr>
      </w:pPr>
      <w:r>
        <w:rPr>
          <w:rFonts w:eastAsia="Times New Roman"/>
        </w:rPr>
        <w:t>Also do susceptibility testing, which is not routinely done by care providers.</w:t>
      </w:r>
    </w:p>
    <w:p w14:paraId="6410C4B5" w14:textId="743DCA36" w:rsidR="000B6EDF" w:rsidRDefault="000B6EDF" w:rsidP="000B6EDF">
      <w:pPr>
        <w:pStyle w:val="ListParagraph"/>
        <w:numPr>
          <w:ilvl w:val="1"/>
          <w:numId w:val="21"/>
        </w:numPr>
        <w:spacing w:after="160" w:line="252" w:lineRule="auto"/>
        <w:rPr>
          <w:rFonts w:eastAsia="Times New Roman"/>
        </w:rPr>
      </w:pPr>
      <w:r>
        <w:rPr>
          <w:rFonts w:eastAsia="Times New Roman"/>
        </w:rPr>
        <w:t>Note: We would not describe the ARLN as a surveillance system. But it is a place where we test new types of resistance and new resistance trends.</w:t>
      </w:r>
    </w:p>
    <w:p w14:paraId="018371BB" w14:textId="2D88A324" w:rsidR="000B6EDF" w:rsidRDefault="000B6EDF" w:rsidP="000B6EDF">
      <w:pPr>
        <w:pStyle w:val="ListParagraph"/>
        <w:numPr>
          <w:ilvl w:val="1"/>
          <w:numId w:val="21"/>
        </w:numPr>
        <w:spacing w:after="160" w:line="252" w:lineRule="auto"/>
        <w:rPr>
          <w:rFonts w:eastAsia="Times New Roman"/>
        </w:rPr>
      </w:pPr>
      <w:r>
        <w:rPr>
          <w:rFonts w:eastAsia="Times New Roman"/>
        </w:rPr>
        <w:t>Follow-up question from ARLN: What is your idea of an integrated surveillance system?</w:t>
      </w:r>
    </w:p>
    <w:p w14:paraId="6DE77577" w14:textId="3359FBFB" w:rsidR="000B6EDF" w:rsidRDefault="000B6EDF" w:rsidP="000B6EDF">
      <w:pPr>
        <w:pStyle w:val="ListParagraph"/>
        <w:numPr>
          <w:ilvl w:val="2"/>
          <w:numId w:val="21"/>
        </w:numPr>
        <w:spacing w:after="160" w:line="252" w:lineRule="auto"/>
        <w:rPr>
          <w:rFonts w:eastAsia="Times New Roman"/>
        </w:rPr>
      </w:pPr>
      <w:r>
        <w:rPr>
          <w:rFonts w:eastAsia="Times New Roman"/>
        </w:rPr>
        <w:t>Response from ARSTF: An integrated AR surveillance system would attempt to bridge gaps between clinical care and detecting epi trends. An integrated system would allow us to get a sense of the endemic spread of various types of resistance</w:t>
      </w:r>
      <w:r w:rsidR="009878C9">
        <w:rPr>
          <w:rFonts w:eastAsia="Times New Roman"/>
        </w:rPr>
        <w:t>.</w:t>
      </w:r>
    </w:p>
    <w:p w14:paraId="1E24A966" w14:textId="2C1F9494" w:rsidR="009878C9" w:rsidRDefault="009878C9" w:rsidP="000B6EDF">
      <w:pPr>
        <w:pStyle w:val="ListParagraph"/>
        <w:numPr>
          <w:ilvl w:val="2"/>
          <w:numId w:val="21"/>
        </w:numPr>
        <w:spacing w:after="160" w:line="252" w:lineRule="auto"/>
        <w:rPr>
          <w:rFonts w:eastAsia="Times New Roman"/>
        </w:rPr>
      </w:pPr>
      <w:r>
        <w:rPr>
          <w:rFonts w:eastAsia="Times New Roman"/>
        </w:rPr>
        <w:t>There is also the issue of signaling – identifying both known and novel resistance mechanisms.</w:t>
      </w:r>
    </w:p>
    <w:p w14:paraId="5293C83B" w14:textId="1B19A983" w:rsidR="009878C9" w:rsidRDefault="00154322" w:rsidP="000B6EDF">
      <w:pPr>
        <w:pStyle w:val="ListParagraph"/>
        <w:numPr>
          <w:ilvl w:val="2"/>
          <w:numId w:val="21"/>
        </w:numPr>
        <w:spacing w:after="160" w:line="252" w:lineRule="auto"/>
        <w:rPr>
          <w:rFonts w:eastAsia="Times New Roman"/>
        </w:rPr>
      </w:pPr>
      <w:r>
        <w:rPr>
          <w:rFonts w:eastAsia="Times New Roman"/>
        </w:rPr>
        <w:t>An integrated system involves all</w:t>
      </w:r>
      <w:r w:rsidR="009878C9">
        <w:rPr>
          <w:rFonts w:eastAsia="Times New Roman"/>
        </w:rPr>
        <w:t xml:space="preserve"> the necessary stakeholders for detection, response, and containment (i.e., the clinician, PH epis, and laboratorians) so that all stakeholders can make adjustments as necessary in a timely manner.</w:t>
      </w:r>
    </w:p>
    <w:p w14:paraId="28ADE968" w14:textId="308C59DD" w:rsidR="009878C9" w:rsidRDefault="009878C9" w:rsidP="000B6EDF">
      <w:pPr>
        <w:pStyle w:val="ListParagraph"/>
        <w:numPr>
          <w:ilvl w:val="2"/>
          <w:numId w:val="21"/>
        </w:numPr>
        <w:spacing w:after="160" w:line="252" w:lineRule="auto"/>
        <w:rPr>
          <w:rFonts w:eastAsia="Times New Roman"/>
        </w:rPr>
      </w:pPr>
      <w:r>
        <w:rPr>
          <w:rFonts w:eastAsia="Times New Roman"/>
        </w:rPr>
        <w:t xml:space="preserve">Emphasis on timeliness of data sharing so that response and containment measures are actually effective. </w:t>
      </w:r>
    </w:p>
    <w:p w14:paraId="136030E1" w14:textId="335927B1" w:rsidR="009878C9" w:rsidRDefault="009878C9" w:rsidP="000B6EDF">
      <w:pPr>
        <w:pStyle w:val="ListParagraph"/>
        <w:numPr>
          <w:ilvl w:val="2"/>
          <w:numId w:val="21"/>
        </w:numPr>
        <w:spacing w:after="160" w:line="252" w:lineRule="auto"/>
        <w:rPr>
          <w:rFonts w:eastAsia="Times New Roman"/>
        </w:rPr>
      </w:pPr>
      <w:r>
        <w:rPr>
          <w:rFonts w:eastAsia="Times New Roman"/>
        </w:rPr>
        <w:lastRenderedPageBreak/>
        <w:t>Therefore</w:t>
      </w:r>
      <w:r w:rsidR="00154322">
        <w:rPr>
          <w:rFonts w:eastAsia="Times New Roman"/>
        </w:rPr>
        <w:t>, from the ARSTF perspective</w:t>
      </w:r>
      <w:r>
        <w:rPr>
          <w:rFonts w:eastAsia="Times New Roman"/>
        </w:rPr>
        <w:t xml:space="preserve">, the goal of an integrated AR surveillance system is data for action. </w:t>
      </w:r>
    </w:p>
    <w:p w14:paraId="1EF732B9" w14:textId="77777777" w:rsidR="009878C9" w:rsidRDefault="009878C9" w:rsidP="000B6EDF">
      <w:pPr>
        <w:pStyle w:val="ListParagraph"/>
        <w:numPr>
          <w:ilvl w:val="1"/>
          <w:numId w:val="21"/>
        </w:numPr>
        <w:spacing w:after="160" w:line="252" w:lineRule="auto"/>
        <w:rPr>
          <w:rFonts w:eastAsia="Times New Roman"/>
        </w:rPr>
      </w:pPr>
      <w:r>
        <w:rPr>
          <w:rFonts w:eastAsia="Times New Roman"/>
        </w:rPr>
        <w:t>Comment from ARLN team: Focus should be on how to integrate the data sources.</w:t>
      </w:r>
    </w:p>
    <w:p w14:paraId="230C57F9" w14:textId="7E546D17" w:rsidR="009878C9" w:rsidRDefault="009878C9" w:rsidP="000B6EDF">
      <w:pPr>
        <w:pStyle w:val="ListParagraph"/>
        <w:numPr>
          <w:ilvl w:val="1"/>
          <w:numId w:val="21"/>
        </w:numPr>
        <w:spacing w:after="160" w:line="252" w:lineRule="auto"/>
        <w:rPr>
          <w:rFonts w:eastAsia="Times New Roman"/>
        </w:rPr>
      </w:pPr>
      <w:r>
        <w:rPr>
          <w:rFonts w:eastAsia="Times New Roman"/>
        </w:rPr>
        <w:t>The ARTSF approach is to identify and better understand the various sources of data available, and then provide recommendations for data sharing between those resources.</w:t>
      </w:r>
    </w:p>
    <w:p w14:paraId="401BEE39" w14:textId="2B97A814" w:rsidR="009878C9" w:rsidRDefault="009878C9" w:rsidP="009878C9">
      <w:pPr>
        <w:pStyle w:val="ListParagraph"/>
        <w:numPr>
          <w:ilvl w:val="2"/>
          <w:numId w:val="21"/>
        </w:numPr>
        <w:spacing w:after="160" w:line="252" w:lineRule="auto"/>
        <w:rPr>
          <w:rFonts w:eastAsia="Times New Roman"/>
        </w:rPr>
      </w:pPr>
      <w:r>
        <w:rPr>
          <w:rFonts w:eastAsia="Times New Roman"/>
        </w:rPr>
        <w:t xml:space="preserve"> Advocating for support for these systems is also important, but first we need to know what they are and what they do individually, so that we can identify opportunities for integration. </w:t>
      </w:r>
    </w:p>
    <w:p w14:paraId="7417C71A" w14:textId="2A2A7203" w:rsidR="009878C9" w:rsidRDefault="009878C9" w:rsidP="009878C9">
      <w:pPr>
        <w:pStyle w:val="ListParagraph"/>
        <w:numPr>
          <w:ilvl w:val="2"/>
          <w:numId w:val="21"/>
        </w:numPr>
        <w:spacing w:after="160" w:line="252" w:lineRule="auto"/>
        <w:rPr>
          <w:rFonts w:eastAsia="Times New Roman"/>
        </w:rPr>
      </w:pPr>
      <w:r>
        <w:rPr>
          <w:rFonts w:eastAsia="Times New Roman"/>
        </w:rPr>
        <w:t>The topics of messaging and informatics b</w:t>
      </w:r>
      <w:r w:rsidR="00154322">
        <w:rPr>
          <w:rFonts w:eastAsia="Times New Roman"/>
        </w:rPr>
        <w:t>etween these systems have been</w:t>
      </w:r>
      <w:r>
        <w:rPr>
          <w:rFonts w:eastAsia="Times New Roman"/>
        </w:rPr>
        <w:t xml:space="preserve"> recurring theme</w:t>
      </w:r>
      <w:r w:rsidR="00154322">
        <w:rPr>
          <w:rFonts w:eastAsia="Times New Roman"/>
        </w:rPr>
        <w:t>s</w:t>
      </w:r>
      <w:r>
        <w:rPr>
          <w:rFonts w:eastAsia="Times New Roman"/>
        </w:rPr>
        <w:t>.</w:t>
      </w:r>
    </w:p>
    <w:p w14:paraId="1AC12F48" w14:textId="1CC32CB7" w:rsidR="009878C9" w:rsidRDefault="009878C9" w:rsidP="000B6EDF">
      <w:pPr>
        <w:pStyle w:val="ListParagraph"/>
        <w:numPr>
          <w:ilvl w:val="1"/>
          <w:numId w:val="21"/>
        </w:numPr>
        <w:spacing w:after="160" w:line="252" w:lineRule="auto"/>
        <w:rPr>
          <w:rFonts w:eastAsia="Times New Roman"/>
        </w:rPr>
      </w:pPr>
      <w:r>
        <w:rPr>
          <w:rFonts w:eastAsia="Times New Roman"/>
        </w:rPr>
        <w:t>Question from ARLN team: What state public health resources are being looked at by the ARSTF?</w:t>
      </w:r>
      <w:r w:rsidR="009C2FC2">
        <w:rPr>
          <w:rFonts w:eastAsia="Times New Roman"/>
        </w:rPr>
        <w:t xml:space="preserve"> How are the epi data being incorporated?</w:t>
      </w:r>
    </w:p>
    <w:p w14:paraId="1DAC7219" w14:textId="5119F3C0" w:rsidR="009C2FC2" w:rsidRDefault="009C2FC2" w:rsidP="009C2FC2">
      <w:pPr>
        <w:pStyle w:val="ListParagraph"/>
        <w:numPr>
          <w:ilvl w:val="2"/>
          <w:numId w:val="21"/>
        </w:numPr>
        <w:spacing w:after="160" w:line="252" w:lineRule="auto"/>
        <w:rPr>
          <w:rFonts w:eastAsia="Times New Roman"/>
        </w:rPr>
      </w:pPr>
      <w:r>
        <w:rPr>
          <w:rFonts w:eastAsia="Times New Roman"/>
        </w:rPr>
        <w:t xml:space="preserve">Response: Jurisdictions vary in the way they are collecting these data. Depends on surveillance system, capability to receive certain data, capacity of staff. </w:t>
      </w:r>
    </w:p>
    <w:p w14:paraId="58E43937" w14:textId="069725A0" w:rsidR="009C2FC2" w:rsidRDefault="009C2FC2" w:rsidP="009C2FC2">
      <w:pPr>
        <w:pStyle w:val="ListParagraph"/>
        <w:numPr>
          <w:ilvl w:val="2"/>
          <w:numId w:val="21"/>
        </w:numPr>
        <w:spacing w:after="160" w:line="252" w:lineRule="auto"/>
        <w:rPr>
          <w:rFonts w:eastAsia="Times New Roman"/>
        </w:rPr>
      </w:pPr>
      <w:r>
        <w:rPr>
          <w:rFonts w:eastAsia="Times New Roman"/>
        </w:rPr>
        <w:t>The data from ARLN has certainly enriched the public health’s existing AR databases.</w:t>
      </w:r>
    </w:p>
    <w:p w14:paraId="6F8B26FD" w14:textId="317F2A07" w:rsidR="009C2FC2" w:rsidRPr="009C2FC2" w:rsidRDefault="009C2FC2" w:rsidP="009C2FC2">
      <w:pPr>
        <w:pStyle w:val="ListParagraph"/>
        <w:numPr>
          <w:ilvl w:val="2"/>
          <w:numId w:val="21"/>
        </w:numPr>
        <w:spacing w:after="160" w:line="252" w:lineRule="auto"/>
        <w:rPr>
          <w:rFonts w:eastAsia="Times New Roman"/>
        </w:rPr>
      </w:pPr>
      <w:r>
        <w:rPr>
          <w:rFonts w:eastAsia="Times New Roman"/>
        </w:rPr>
        <w:t>This is the key question the ARTSF is attempting to answer, at the May in-person meeting and beyond.</w:t>
      </w:r>
    </w:p>
    <w:p w14:paraId="171400A2" w14:textId="635CFAB6" w:rsidR="000B6EDF" w:rsidRDefault="009878C9" w:rsidP="000B6EDF">
      <w:pPr>
        <w:pStyle w:val="ListParagraph"/>
        <w:numPr>
          <w:ilvl w:val="1"/>
          <w:numId w:val="21"/>
        </w:numPr>
        <w:spacing w:after="160" w:line="252" w:lineRule="auto"/>
        <w:rPr>
          <w:rFonts w:eastAsia="Times New Roman"/>
        </w:rPr>
      </w:pPr>
      <w:r>
        <w:rPr>
          <w:rFonts w:eastAsia="Times New Roman"/>
        </w:rPr>
        <w:t xml:space="preserve"> </w:t>
      </w:r>
      <w:r w:rsidR="009C2FC2">
        <w:rPr>
          <w:rFonts w:eastAsia="Times New Roman"/>
        </w:rPr>
        <w:t>Comment from ARSTF: Another thing to keep in mind: for some, the term “integrated” refers to human, animal, food. This One Health approach came up several times at the December ARSTF meeting.</w:t>
      </w:r>
    </w:p>
    <w:p w14:paraId="010B0D89" w14:textId="5AF26444" w:rsidR="009C2FC2" w:rsidRDefault="009C2FC2" w:rsidP="009C2FC2">
      <w:pPr>
        <w:pStyle w:val="ListParagraph"/>
        <w:numPr>
          <w:ilvl w:val="2"/>
          <w:numId w:val="21"/>
        </w:numPr>
        <w:spacing w:after="160" w:line="252" w:lineRule="auto"/>
        <w:rPr>
          <w:rFonts w:eastAsia="Times New Roman"/>
        </w:rPr>
      </w:pPr>
      <w:r>
        <w:rPr>
          <w:rFonts w:eastAsia="Times New Roman"/>
        </w:rPr>
        <w:t xml:space="preserve">The ARSTF plans to incorporate One Health presence/engagement in future conversations. </w:t>
      </w:r>
    </w:p>
    <w:p w14:paraId="6777A53D" w14:textId="77B482CF" w:rsidR="009C2FC2" w:rsidRDefault="009C2FC2" w:rsidP="000B6EDF">
      <w:pPr>
        <w:pStyle w:val="ListParagraph"/>
        <w:numPr>
          <w:ilvl w:val="1"/>
          <w:numId w:val="21"/>
        </w:numPr>
        <w:spacing w:after="160" w:line="252" w:lineRule="auto"/>
        <w:rPr>
          <w:rFonts w:eastAsia="Times New Roman"/>
        </w:rPr>
      </w:pPr>
      <w:r>
        <w:rPr>
          <w:rFonts w:eastAsia="Times New Roman"/>
        </w:rPr>
        <w:t xml:space="preserve">Observation from conversations with folks at the state level: Many epis at the state level are still struggling with how to get mechanistic resistance data from labs. This is a large gap we need to focus on closing. The methods used by ARLN could be a great solution to help fill this gap. </w:t>
      </w:r>
    </w:p>
    <w:p w14:paraId="630B2D44" w14:textId="65BA34E8" w:rsidR="009C2FC2" w:rsidRDefault="00774598" w:rsidP="000B6EDF">
      <w:pPr>
        <w:pStyle w:val="ListParagraph"/>
        <w:numPr>
          <w:ilvl w:val="1"/>
          <w:numId w:val="21"/>
        </w:numPr>
        <w:spacing w:after="160" w:line="252" w:lineRule="auto"/>
        <w:rPr>
          <w:rFonts w:eastAsia="Times New Roman"/>
        </w:rPr>
      </w:pPr>
      <w:r>
        <w:rPr>
          <w:rFonts w:eastAsia="Times New Roman"/>
        </w:rPr>
        <w:t>Follow-up question from ARLN team: Is the challenge in transferring data from the state lab to the epi? Isn’t that done in ELR?</w:t>
      </w:r>
    </w:p>
    <w:p w14:paraId="56EE74C7" w14:textId="032787CF" w:rsidR="00774598" w:rsidRPr="00774598" w:rsidRDefault="00154322" w:rsidP="00774598">
      <w:pPr>
        <w:pStyle w:val="ListParagraph"/>
        <w:numPr>
          <w:ilvl w:val="2"/>
          <w:numId w:val="21"/>
        </w:numPr>
        <w:spacing w:after="160" w:line="252" w:lineRule="auto"/>
        <w:rPr>
          <w:rFonts w:eastAsia="Times New Roman"/>
        </w:rPr>
      </w:pPr>
      <w:r>
        <w:rPr>
          <w:rFonts w:eastAsia="Times New Roman"/>
        </w:rPr>
        <w:t>Yes, however the</w:t>
      </w:r>
      <w:r w:rsidR="00774598">
        <w:rPr>
          <w:rFonts w:eastAsia="Times New Roman"/>
        </w:rPr>
        <w:t xml:space="preserve"> challenge here is that the detail of the ELR regarding AR is not there. For instance,</w:t>
      </w:r>
      <w:r>
        <w:rPr>
          <w:rFonts w:eastAsia="Times New Roman"/>
        </w:rPr>
        <w:t xml:space="preserve"> we</w:t>
      </w:r>
      <w:r w:rsidR="00774598">
        <w:rPr>
          <w:rFonts w:eastAsia="Times New Roman"/>
        </w:rPr>
        <w:t xml:space="preserve"> may get a qualitative result, but will not receive the MIC’s or other detailed information. </w:t>
      </w:r>
    </w:p>
    <w:p w14:paraId="079D246B" w14:textId="6F1E4B21" w:rsidR="00774598" w:rsidRDefault="00774598" w:rsidP="00774598">
      <w:pPr>
        <w:pStyle w:val="ListParagraph"/>
        <w:numPr>
          <w:ilvl w:val="2"/>
          <w:numId w:val="21"/>
        </w:numPr>
        <w:spacing w:after="160" w:line="252" w:lineRule="auto"/>
        <w:rPr>
          <w:rFonts w:eastAsia="Times New Roman"/>
        </w:rPr>
      </w:pPr>
      <w:r>
        <w:rPr>
          <w:rFonts w:eastAsia="Times New Roman"/>
        </w:rPr>
        <w:t>It is also difficult to understand if labs are using the most updated breakpoints, if they are adhering to standards, etc. We have seen lack of consistency across different labs.</w:t>
      </w:r>
    </w:p>
    <w:p w14:paraId="5E346F2D" w14:textId="78353648" w:rsidR="00774598" w:rsidRDefault="00774598" w:rsidP="00774598">
      <w:pPr>
        <w:pStyle w:val="ListParagraph"/>
        <w:numPr>
          <w:ilvl w:val="2"/>
          <w:numId w:val="21"/>
        </w:numPr>
        <w:spacing w:after="160" w:line="252" w:lineRule="auto"/>
        <w:rPr>
          <w:rFonts w:eastAsia="Times New Roman"/>
        </w:rPr>
      </w:pPr>
      <w:r>
        <w:rPr>
          <w:rFonts w:eastAsia="Times New Roman"/>
        </w:rPr>
        <w:t>When clinical labs send ELR, there seems to be some difficulty matching the initial resistance report to the mechanistic data that comes later.</w:t>
      </w:r>
    </w:p>
    <w:p w14:paraId="2C706DC1" w14:textId="2FA2B6E9" w:rsidR="00774598" w:rsidRDefault="00774598" w:rsidP="00774598">
      <w:pPr>
        <w:pStyle w:val="ListParagraph"/>
        <w:numPr>
          <w:ilvl w:val="2"/>
          <w:numId w:val="21"/>
        </w:numPr>
        <w:spacing w:after="160" w:line="252" w:lineRule="auto"/>
        <w:rPr>
          <w:rFonts w:eastAsia="Times New Roman"/>
        </w:rPr>
      </w:pPr>
      <w:r>
        <w:rPr>
          <w:rFonts w:eastAsia="Times New Roman"/>
        </w:rPr>
        <w:t>The rich detail that ARLN collects is something that is missing from many clinical labs.</w:t>
      </w:r>
    </w:p>
    <w:p w14:paraId="104FD9DF" w14:textId="62F0A747" w:rsidR="00774598" w:rsidRDefault="00774598" w:rsidP="00774598">
      <w:pPr>
        <w:pStyle w:val="ListParagraph"/>
        <w:numPr>
          <w:ilvl w:val="2"/>
          <w:numId w:val="21"/>
        </w:numPr>
        <w:spacing w:after="160" w:line="252" w:lineRule="auto"/>
        <w:rPr>
          <w:rFonts w:eastAsia="Times New Roman"/>
        </w:rPr>
      </w:pPr>
      <w:r>
        <w:rPr>
          <w:rFonts w:eastAsia="Times New Roman"/>
        </w:rPr>
        <w:t>There is also a lot of variability across states regarding ELR. Some are more automated than others.</w:t>
      </w:r>
    </w:p>
    <w:p w14:paraId="5B9FA67B" w14:textId="27840906" w:rsidR="00774598" w:rsidRDefault="00774598" w:rsidP="000B6EDF">
      <w:pPr>
        <w:pStyle w:val="ListParagraph"/>
        <w:numPr>
          <w:ilvl w:val="1"/>
          <w:numId w:val="21"/>
        </w:numPr>
        <w:spacing w:after="160" w:line="252" w:lineRule="auto"/>
        <w:rPr>
          <w:rFonts w:eastAsia="Times New Roman"/>
        </w:rPr>
      </w:pPr>
      <w:r>
        <w:rPr>
          <w:rFonts w:eastAsia="Times New Roman"/>
        </w:rPr>
        <w:t>Follow-up question from ARLN: Is the ARSTF look</w:t>
      </w:r>
      <w:r w:rsidR="00154322">
        <w:rPr>
          <w:rFonts w:eastAsia="Times New Roman"/>
        </w:rPr>
        <w:t>ing</w:t>
      </w:r>
      <w:r>
        <w:rPr>
          <w:rFonts w:eastAsia="Times New Roman"/>
        </w:rPr>
        <w:t xml:space="preserve"> at state collected epi data? For instance, in the case of an outbreak, </w:t>
      </w:r>
      <w:r w:rsidR="00E76F05">
        <w:rPr>
          <w:rFonts w:eastAsia="Times New Roman"/>
        </w:rPr>
        <w:t xml:space="preserve">an epi might test for a variety of pathogens. For the data received from this investigation, whether it is colonization or WGS data, </w:t>
      </w:r>
      <w:r w:rsidR="00E76F05">
        <w:rPr>
          <w:rFonts w:eastAsia="Times New Roman"/>
        </w:rPr>
        <w:lastRenderedPageBreak/>
        <w:t>how do we tie it back to a clinical case in the jurisdiction? Namely, when AR data is collected in the state database (whatever system the state is using), how does that housed data factor into this “integrated AR surveillance system” we have been discussing?</w:t>
      </w:r>
    </w:p>
    <w:p w14:paraId="43DAE448" w14:textId="4922985C" w:rsidR="00E76F05" w:rsidRDefault="00E76F05" w:rsidP="00E76F05">
      <w:pPr>
        <w:pStyle w:val="ListParagraph"/>
        <w:numPr>
          <w:ilvl w:val="2"/>
          <w:numId w:val="21"/>
        </w:numPr>
        <w:spacing w:after="160" w:line="252" w:lineRule="auto"/>
        <w:rPr>
          <w:rFonts w:eastAsia="Times New Roman"/>
        </w:rPr>
      </w:pPr>
      <w:r>
        <w:rPr>
          <w:rFonts w:eastAsia="Times New Roman"/>
        </w:rPr>
        <w:t>Side note: CORHA has an access database on their website that gives a good idea of the desired data to be collected by a state surveillance system. Unknown on the uptake of that tool.</w:t>
      </w:r>
    </w:p>
    <w:p w14:paraId="7AE5D00F" w14:textId="40A90988" w:rsidR="00E76F05" w:rsidRPr="00E76F05" w:rsidRDefault="00E76F05" w:rsidP="00E76F05">
      <w:pPr>
        <w:pStyle w:val="ListParagraph"/>
        <w:numPr>
          <w:ilvl w:val="2"/>
          <w:numId w:val="21"/>
        </w:numPr>
        <w:spacing w:after="160" w:line="252" w:lineRule="auto"/>
        <w:rPr>
          <w:rFonts w:eastAsia="Times New Roman"/>
        </w:rPr>
      </w:pPr>
      <w:r>
        <w:rPr>
          <w:rFonts w:eastAsia="Times New Roman"/>
        </w:rPr>
        <w:t xml:space="preserve">ARSTF Response: To answer the larger question, we will need to look longitudinally at state capacities and where things are moving for states with regards to the state AR databases. </w:t>
      </w:r>
    </w:p>
    <w:p w14:paraId="095F766C" w14:textId="73517B5E" w:rsidR="008C2F9E" w:rsidRDefault="008C2F9E" w:rsidP="008C2F9E">
      <w:pPr>
        <w:pStyle w:val="ListParagraph"/>
        <w:numPr>
          <w:ilvl w:val="1"/>
          <w:numId w:val="21"/>
        </w:numPr>
        <w:spacing w:after="160" w:line="252" w:lineRule="auto"/>
        <w:rPr>
          <w:rFonts w:eastAsia="Times New Roman"/>
        </w:rPr>
      </w:pPr>
      <w:r>
        <w:rPr>
          <w:rFonts w:eastAsia="Times New Roman"/>
        </w:rPr>
        <w:t>It would also be</w:t>
      </w:r>
      <w:r w:rsidR="00E76F05">
        <w:rPr>
          <w:rFonts w:eastAsia="Times New Roman"/>
        </w:rPr>
        <w:t xml:space="preserve"> good to know how many</w:t>
      </w:r>
      <w:r>
        <w:rPr>
          <w:rFonts w:eastAsia="Times New Roman"/>
        </w:rPr>
        <w:t xml:space="preserve"> states have ELR capacity or how within a state they share data with each other. </w:t>
      </w:r>
    </w:p>
    <w:p w14:paraId="582EF157" w14:textId="56941006" w:rsidR="008C2F9E" w:rsidRDefault="008C2F9E" w:rsidP="008C2F9E">
      <w:pPr>
        <w:pStyle w:val="ListParagraph"/>
        <w:numPr>
          <w:ilvl w:val="2"/>
          <w:numId w:val="21"/>
        </w:numPr>
        <w:spacing w:after="160" w:line="252" w:lineRule="auto"/>
        <w:rPr>
          <w:rFonts w:eastAsia="Times New Roman"/>
        </w:rPr>
      </w:pPr>
      <w:r>
        <w:rPr>
          <w:rFonts w:eastAsia="Times New Roman"/>
        </w:rPr>
        <w:t xml:space="preserve">Response from ARSTF: CSTE used to conduct </w:t>
      </w:r>
      <w:r w:rsidR="00D530AD">
        <w:rPr>
          <w:rFonts w:eastAsia="Times New Roman"/>
        </w:rPr>
        <w:t xml:space="preserve">an </w:t>
      </w:r>
      <w:r>
        <w:rPr>
          <w:rFonts w:eastAsia="Times New Roman"/>
        </w:rPr>
        <w:t xml:space="preserve">ELR assessment, however now CDC does this assessment. On CDC’s ELR webpage, you can toggle through results on overall reporting progress with regards to 1) overall reporting volume, 2) reporting volume by jurisdiction, 3) hospital labs using ELR, 4) volume per disease category, </w:t>
      </w:r>
      <w:r w:rsidRPr="008C2F9E">
        <w:rPr>
          <w:rFonts w:eastAsia="Times New Roman"/>
        </w:rPr>
        <w:t xml:space="preserve">5) ELR </w:t>
      </w:r>
      <w:r>
        <w:rPr>
          <w:rFonts w:eastAsia="Times New Roman"/>
        </w:rPr>
        <w:t xml:space="preserve">success </w:t>
      </w:r>
      <w:r w:rsidRPr="008C2F9E">
        <w:rPr>
          <w:rFonts w:eastAsia="Times New Roman"/>
        </w:rPr>
        <w:t>by lab type, and 6)</w:t>
      </w:r>
      <w:r>
        <w:rPr>
          <w:rFonts w:eastAsia="Times New Roman"/>
        </w:rPr>
        <w:t xml:space="preserve"> HL7 messaging capabilities. </w:t>
      </w:r>
    </w:p>
    <w:p w14:paraId="54F7B4ED" w14:textId="43E4ECF5" w:rsidR="008C2F9E" w:rsidRPr="008C2F9E" w:rsidRDefault="008C2F9E" w:rsidP="00D530AD">
      <w:pPr>
        <w:pStyle w:val="ListParagraph"/>
        <w:numPr>
          <w:ilvl w:val="2"/>
          <w:numId w:val="21"/>
        </w:numPr>
        <w:spacing w:after="160" w:line="252" w:lineRule="auto"/>
        <w:rPr>
          <w:rFonts w:eastAsia="Times New Roman"/>
        </w:rPr>
      </w:pPr>
      <w:r>
        <w:rPr>
          <w:rFonts w:eastAsia="Times New Roman"/>
        </w:rPr>
        <w:t xml:space="preserve">Link to CDC webpage: </w:t>
      </w:r>
      <w:hyperlink r:id="rId5" w:history="1">
        <w:r w:rsidR="00D530AD" w:rsidRPr="00B30CDB">
          <w:rPr>
            <w:rStyle w:val="Hyperlink"/>
            <w:rFonts w:eastAsia="Times New Roman"/>
          </w:rPr>
          <w:t>https://www.cdc.gov/elr/progress.html</w:t>
        </w:r>
      </w:hyperlink>
      <w:r w:rsidR="00D530AD">
        <w:rPr>
          <w:rFonts w:eastAsia="Times New Roman"/>
        </w:rPr>
        <w:t xml:space="preserve"> </w:t>
      </w:r>
    </w:p>
    <w:p w14:paraId="4031D0E6" w14:textId="5C55D566" w:rsidR="008C2F9E" w:rsidRDefault="008C2F9E" w:rsidP="008C2F9E">
      <w:pPr>
        <w:pStyle w:val="ListParagraph"/>
        <w:numPr>
          <w:ilvl w:val="1"/>
          <w:numId w:val="21"/>
        </w:numPr>
        <w:spacing w:after="160" w:line="252" w:lineRule="auto"/>
        <w:rPr>
          <w:rFonts w:eastAsia="Times New Roman"/>
        </w:rPr>
      </w:pPr>
      <w:r>
        <w:rPr>
          <w:rFonts w:eastAsia="Times New Roman"/>
        </w:rPr>
        <w:t xml:space="preserve">From ARLN: With regards to standards and messaging, this is a large focus for the team. We are working on building more detail into standards-based messages for many pathogens. </w:t>
      </w:r>
    </w:p>
    <w:p w14:paraId="35FFF6D5" w14:textId="1E3E8D89" w:rsidR="008C2F9E" w:rsidRDefault="008C2F9E" w:rsidP="008C2F9E">
      <w:pPr>
        <w:pStyle w:val="ListParagraph"/>
        <w:numPr>
          <w:ilvl w:val="2"/>
          <w:numId w:val="21"/>
        </w:numPr>
        <w:spacing w:after="160" w:line="252" w:lineRule="auto"/>
        <w:rPr>
          <w:rFonts w:eastAsia="Times New Roman"/>
        </w:rPr>
      </w:pPr>
      <w:r>
        <w:rPr>
          <w:rFonts w:eastAsia="Times New Roman"/>
        </w:rPr>
        <w:t>Currently have vocab folks working with both state and CDC partners to facilitate data collection.</w:t>
      </w:r>
    </w:p>
    <w:p w14:paraId="60C87525" w14:textId="247146BD" w:rsidR="008C2F9E" w:rsidRDefault="008C2F9E" w:rsidP="008C2F9E">
      <w:pPr>
        <w:pStyle w:val="ListParagraph"/>
        <w:numPr>
          <w:ilvl w:val="2"/>
          <w:numId w:val="21"/>
        </w:numPr>
        <w:spacing w:after="160" w:line="252" w:lineRule="auto"/>
        <w:rPr>
          <w:rFonts w:eastAsia="Times New Roman"/>
        </w:rPr>
      </w:pPr>
      <w:r>
        <w:rPr>
          <w:rFonts w:eastAsia="Times New Roman"/>
        </w:rPr>
        <w:t xml:space="preserve">Common observation: Data that state PH or CDC want are not intrinsically collected </w:t>
      </w:r>
      <w:r w:rsidR="00D71952">
        <w:rPr>
          <w:rFonts w:eastAsia="Times New Roman"/>
        </w:rPr>
        <w:t>within a traditional LIMS. Some accommodations have been made to “fix” this; perhaps that work done by ARLN can be reused by the ARSTF to some degree. E.g., using datasets already defined by ARLN to reach out to the clinical labs.</w:t>
      </w:r>
    </w:p>
    <w:p w14:paraId="28B396C1" w14:textId="68496FA7" w:rsidR="00D71952" w:rsidRDefault="00D71952" w:rsidP="008C2F9E">
      <w:pPr>
        <w:pStyle w:val="ListParagraph"/>
        <w:numPr>
          <w:ilvl w:val="2"/>
          <w:numId w:val="21"/>
        </w:numPr>
        <w:spacing w:after="160" w:line="252" w:lineRule="auto"/>
        <w:rPr>
          <w:rFonts w:eastAsia="Times New Roman"/>
        </w:rPr>
      </w:pPr>
      <w:r>
        <w:rPr>
          <w:rFonts w:eastAsia="Times New Roman"/>
        </w:rPr>
        <w:t xml:space="preserve">ARLN is not looking at patch-fixes or short-term solutions, rather standards-based approaches that can expand as ARLN scales up. </w:t>
      </w:r>
    </w:p>
    <w:p w14:paraId="70FACEB8" w14:textId="5C35F836" w:rsidR="000B6EDF" w:rsidRDefault="00D71952" w:rsidP="000B6EDF">
      <w:pPr>
        <w:pStyle w:val="ListParagraph"/>
        <w:numPr>
          <w:ilvl w:val="0"/>
          <w:numId w:val="21"/>
        </w:numPr>
        <w:spacing w:after="160" w:line="252" w:lineRule="auto"/>
        <w:rPr>
          <w:rFonts w:eastAsia="Times New Roman"/>
        </w:rPr>
      </w:pPr>
      <w:r>
        <w:rPr>
          <w:rFonts w:eastAsia="Times New Roman"/>
        </w:rPr>
        <w:t xml:space="preserve">Question from ARSTF: For AIMS and ETOR, are there points regarding these efforts </w:t>
      </w:r>
      <w:r>
        <w:rPr>
          <w:rFonts w:eastAsia="Times New Roman"/>
        </w:rPr>
        <w:t>that the ARSTF</w:t>
      </w:r>
      <w:r>
        <w:rPr>
          <w:rFonts w:eastAsia="Times New Roman"/>
        </w:rPr>
        <w:t xml:space="preserve"> should be highlighting in its recommendation process?</w:t>
      </w:r>
    </w:p>
    <w:p w14:paraId="1D800616" w14:textId="26393FB6" w:rsidR="00D71952" w:rsidRDefault="00D71952" w:rsidP="00D71952">
      <w:pPr>
        <w:pStyle w:val="ListParagraph"/>
        <w:numPr>
          <w:ilvl w:val="1"/>
          <w:numId w:val="21"/>
        </w:numPr>
        <w:spacing w:after="160" w:line="252" w:lineRule="auto"/>
        <w:rPr>
          <w:rFonts w:eastAsia="Times New Roman"/>
        </w:rPr>
      </w:pPr>
      <w:r>
        <w:rPr>
          <w:rFonts w:eastAsia="Times New Roman"/>
        </w:rPr>
        <w:t xml:space="preserve">Response: Using ARLN, </w:t>
      </w:r>
      <w:r w:rsidR="00D530AD">
        <w:rPr>
          <w:rFonts w:eastAsia="Times New Roman"/>
        </w:rPr>
        <w:t xml:space="preserve">we </w:t>
      </w:r>
      <w:r>
        <w:rPr>
          <w:rFonts w:eastAsia="Times New Roman"/>
        </w:rPr>
        <w:t xml:space="preserve">put out an RFP </w:t>
      </w:r>
      <w:r w:rsidR="00D530AD">
        <w:rPr>
          <w:rFonts w:eastAsia="Times New Roman"/>
        </w:rPr>
        <w:t xml:space="preserve">to develop </w:t>
      </w:r>
      <w:r>
        <w:rPr>
          <w:rFonts w:eastAsia="Times New Roman"/>
        </w:rPr>
        <w:t xml:space="preserve">a web portal to be hosted on AIMS. Manual data entry for now on the clinician side. What we wanted to accomplish was to take the lab order interface and the lab results interface and create a hybrid approach we were are producing, </w:t>
      </w:r>
      <w:r w:rsidR="00D530AD">
        <w:rPr>
          <w:rFonts w:eastAsia="Times New Roman"/>
        </w:rPr>
        <w:t>consuming, and transmitting</w:t>
      </w:r>
      <w:r>
        <w:rPr>
          <w:rFonts w:eastAsia="Times New Roman"/>
        </w:rPr>
        <w:t xml:space="preserve"> the LOI and LRI between the portal and the LIMS.</w:t>
      </w:r>
    </w:p>
    <w:p w14:paraId="023B7D6B" w14:textId="4C2FCDDA" w:rsidR="00F02231" w:rsidRDefault="00D530AD" w:rsidP="00D530AD">
      <w:pPr>
        <w:pStyle w:val="ListParagraph"/>
        <w:numPr>
          <w:ilvl w:val="2"/>
          <w:numId w:val="21"/>
        </w:numPr>
        <w:spacing w:after="160" w:line="252" w:lineRule="auto"/>
        <w:rPr>
          <w:rFonts w:eastAsia="Times New Roman"/>
        </w:rPr>
      </w:pPr>
      <w:r>
        <w:rPr>
          <w:rFonts w:eastAsia="Times New Roman"/>
        </w:rPr>
        <w:t>We have one state that</w:t>
      </w:r>
      <w:r w:rsidR="00F02231">
        <w:rPr>
          <w:rFonts w:eastAsia="Times New Roman"/>
        </w:rPr>
        <w:t xml:space="preserve"> is fully live and another that is close.</w:t>
      </w:r>
    </w:p>
    <w:p w14:paraId="4C38CC8D" w14:textId="60F8F0FF" w:rsidR="00F02231" w:rsidRDefault="00F02231" w:rsidP="00D530AD">
      <w:pPr>
        <w:pStyle w:val="ListParagraph"/>
        <w:numPr>
          <w:ilvl w:val="2"/>
          <w:numId w:val="21"/>
        </w:numPr>
        <w:spacing w:after="160" w:line="252" w:lineRule="auto"/>
        <w:rPr>
          <w:rFonts w:eastAsia="Times New Roman"/>
        </w:rPr>
      </w:pPr>
      <w:r>
        <w:rPr>
          <w:rFonts w:eastAsia="Times New Roman"/>
        </w:rPr>
        <w:t xml:space="preserve">Over the next couple of months, we are going to let ETOR stabilize and evaluate its performance. </w:t>
      </w:r>
    </w:p>
    <w:p w14:paraId="6BE5A001" w14:textId="159A4287" w:rsidR="00F02231" w:rsidRDefault="00F02231" w:rsidP="00D71952">
      <w:pPr>
        <w:pStyle w:val="ListParagraph"/>
        <w:numPr>
          <w:ilvl w:val="1"/>
          <w:numId w:val="21"/>
        </w:numPr>
        <w:spacing w:after="160" w:line="252" w:lineRule="auto"/>
        <w:rPr>
          <w:rFonts w:eastAsia="Times New Roman"/>
        </w:rPr>
      </w:pPr>
      <w:r>
        <w:rPr>
          <w:rFonts w:eastAsia="Times New Roman"/>
        </w:rPr>
        <w:t xml:space="preserve">We also want to look at the synergies between other projects like ETORS. Looking at how to build in strategies to support prioritization and authorization of testing, EHR to lab portal capability. APHL would like to explore creating a consortium </w:t>
      </w:r>
      <w:r w:rsidR="00D530AD">
        <w:rPr>
          <w:rFonts w:eastAsia="Times New Roman"/>
        </w:rPr>
        <w:t xml:space="preserve">of states </w:t>
      </w:r>
      <w:r>
        <w:rPr>
          <w:rFonts w:eastAsia="Times New Roman"/>
        </w:rPr>
        <w:t xml:space="preserve">using and replicating these different capabilities within a web portal. </w:t>
      </w:r>
    </w:p>
    <w:p w14:paraId="10624832" w14:textId="15169A20" w:rsidR="00F02231" w:rsidRDefault="00F02231" w:rsidP="00D530AD">
      <w:pPr>
        <w:pStyle w:val="ListParagraph"/>
        <w:numPr>
          <w:ilvl w:val="2"/>
          <w:numId w:val="21"/>
        </w:numPr>
        <w:spacing w:after="160" w:line="252" w:lineRule="auto"/>
        <w:rPr>
          <w:rFonts w:eastAsia="Times New Roman"/>
        </w:rPr>
      </w:pPr>
      <w:r>
        <w:rPr>
          <w:rFonts w:eastAsia="Times New Roman"/>
        </w:rPr>
        <w:lastRenderedPageBreak/>
        <w:t>The next release of the ARLN portal will have some of this new epi functionality.</w:t>
      </w:r>
    </w:p>
    <w:p w14:paraId="33C06F4F" w14:textId="147B8E7C" w:rsidR="00F02231" w:rsidRDefault="00F02231" w:rsidP="00F02231">
      <w:pPr>
        <w:pStyle w:val="ListParagraph"/>
        <w:numPr>
          <w:ilvl w:val="2"/>
          <w:numId w:val="21"/>
        </w:numPr>
        <w:spacing w:after="160" w:line="252" w:lineRule="auto"/>
        <w:rPr>
          <w:rFonts w:eastAsia="Times New Roman"/>
        </w:rPr>
      </w:pPr>
      <w:r>
        <w:rPr>
          <w:rFonts w:eastAsia="Times New Roman"/>
        </w:rPr>
        <w:t>For example, initi</w:t>
      </w:r>
      <w:r w:rsidR="00D530AD">
        <w:rPr>
          <w:rFonts w:eastAsia="Times New Roman"/>
        </w:rPr>
        <w:t>al use case for this was Zika. For this case, there were n</w:t>
      </w:r>
      <w:r>
        <w:rPr>
          <w:rFonts w:eastAsia="Times New Roman"/>
        </w:rPr>
        <w:t>umerous steps to get a test result back to a provider.</w:t>
      </w:r>
      <w:r w:rsidR="00D530AD">
        <w:rPr>
          <w:rFonts w:eastAsia="Times New Roman"/>
        </w:rPr>
        <w:t xml:space="preserve"> T</w:t>
      </w:r>
      <w:r>
        <w:rPr>
          <w:rFonts w:eastAsia="Times New Roman"/>
        </w:rPr>
        <w:t>he prioritization and authorization</w:t>
      </w:r>
      <w:r w:rsidR="00D530AD">
        <w:rPr>
          <w:rFonts w:eastAsia="Times New Roman"/>
        </w:rPr>
        <w:t xml:space="preserve"> were</w:t>
      </w:r>
      <w:r>
        <w:rPr>
          <w:rFonts w:eastAsia="Times New Roman"/>
        </w:rPr>
        <w:t xml:space="preserve"> done on the epi side based on the clinical data, which resulted in a lot of manual work. </w:t>
      </w:r>
      <w:r w:rsidR="00154322">
        <w:rPr>
          <w:rFonts w:eastAsia="Times New Roman"/>
        </w:rPr>
        <w:t>An automated process through a web portal would cut down on some of this manual work regarding prioritization and authorization</w:t>
      </w:r>
      <w:r w:rsidR="00D530AD">
        <w:rPr>
          <w:rFonts w:eastAsia="Times New Roman"/>
        </w:rPr>
        <w:t xml:space="preserve">, as well as communication back to the provider. </w:t>
      </w:r>
    </w:p>
    <w:p w14:paraId="1F236C88" w14:textId="5595643E" w:rsidR="00F02231" w:rsidRDefault="00F02231" w:rsidP="00F02231">
      <w:pPr>
        <w:pStyle w:val="ListParagraph"/>
        <w:numPr>
          <w:ilvl w:val="2"/>
          <w:numId w:val="21"/>
        </w:numPr>
        <w:spacing w:after="160" w:line="252" w:lineRule="auto"/>
        <w:rPr>
          <w:rFonts w:eastAsia="Times New Roman"/>
        </w:rPr>
      </w:pPr>
      <w:r>
        <w:rPr>
          <w:rFonts w:eastAsia="Times New Roman"/>
        </w:rPr>
        <w:t xml:space="preserve">Another piece: Determine how many specimens are being submitted from a specific area. This would display in a dashboard format.  </w:t>
      </w:r>
    </w:p>
    <w:p w14:paraId="26EF6621" w14:textId="77777777" w:rsidR="00D22950" w:rsidRDefault="00D22950" w:rsidP="00271E4F">
      <w:pPr>
        <w:spacing w:before="100" w:beforeAutospacing="1" w:after="160" w:line="252" w:lineRule="atLeast"/>
        <w:ind w:left="360"/>
      </w:pPr>
      <w:bookmarkStart w:id="0" w:name="_GoBack"/>
      <w:bookmarkEnd w:id="0"/>
    </w:p>
    <w:sectPr w:rsidR="00D22950" w:rsidSect="002308F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87648"/>
    <w:multiLevelType w:val="hybridMultilevel"/>
    <w:tmpl w:val="02222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B1F29"/>
    <w:multiLevelType w:val="hybridMultilevel"/>
    <w:tmpl w:val="5A1699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EA231F"/>
    <w:multiLevelType w:val="hybridMultilevel"/>
    <w:tmpl w:val="7FE4BD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F96750"/>
    <w:multiLevelType w:val="multilevel"/>
    <w:tmpl w:val="828003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D6227FB"/>
    <w:multiLevelType w:val="hybridMultilevel"/>
    <w:tmpl w:val="965EFD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F596D1F"/>
    <w:multiLevelType w:val="hybridMultilevel"/>
    <w:tmpl w:val="1BB683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7660DD"/>
    <w:multiLevelType w:val="hybridMultilevel"/>
    <w:tmpl w:val="8020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AB6F67"/>
    <w:multiLevelType w:val="hybridMultilevel"/>
    <w:tmpl w:val="01A8DC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57D076A"/>
    <w:multiLevelType w:val="hybridMultilevel"/>
    <w:tmpl w:val="1DA47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AD575A"/>
    <w:multiLevelType w:val="hybridMultilevel"/>
    <w:tmpl w:val="DD0CA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C1625EE"/>
    <w:multiLevelType w:val="hybridMultilevel"/>
    <w:tmpl w:val="C53ABC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51F5F07"/>
    <w:multiLevelType w:val="hybridMultilevel"/>
    <w:tmpl w:val="8FDA4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871737"/>
    <w:multiLevelType w:val="hybridMultilevel"/>
    <w:tmpl w:val="ABE4F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CB5936"/>
    <w:multiLevelType w:val="hybridMultilevel"/>
    <w:tmpl w:val="79A2C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4675C09"/>
    <w:multiLevelType w:val="hybridMultilevel"/>
    <w:tmpl w:val="073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6D58B3"/>
    <w:multiLevelType w:val="multilevel"/>
    <w:tmpl w:val="2B362FD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A2D7044"/>
    <w:multiLevelType w:val="hybridMultilevel"/>
    <w:tmpl w:val="BFA491A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C080318"/>
    <w:multiLevelType w:val="hybridMultilevel"/>
    <w:tmpl w:val="AEC8B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16"/>
  </w:num>
  <w:num w:numId="3">
    <w:abstractNumId w:val="5"/>
  </w:num>
  <w:num w:numId="4">
    <w:abstractNumId w:val="1"/>
  </w:num>
  <w:num w:numId="5">
    <w:abstractNumId w:val="9"/>
  </w:num>
  <w:num w:numId="6">
    <w:abstractNumId w:val="13"/>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0"/>
  </w:num>
  <w:num w:numId="13">
    <w:abstractNumId w:val="10"/>
  </w:num>
  <w:num w:numId="14">
    <w:abstractNumId w:val="8"/>
  </w:num>
  <w:num w:numId="15">
    <w:abstractNumId w:val="11"/>
  </w:num>
  <w:num w:numId="16">
    <w:abstractNumId w:val="17"/>
  </w:num>
  <w:num w:numId="17">
    <w:abstractNumId w:val="14"/>
  </w:num>
  <w:num w:numId="18">
    <w:abstractNumId w:val="1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950"/>
    <w:rsid w:val="00003877"/>
    <w:rsid w:val="00011A96"/>
    <w:rsid w:val="0001618E"/>
    <w:rsid w:val="00057F0C"/>
    <w:rsid w:val="0007082D"/>
    <w:rsid w:val="00081F59"/>
    <w:rsid w:val="00092C43"/>
    <w:rsid w:val="000A2D32"/>
    <w:rsid w:val="000B6B53"/>
    <w:rsid w:val="000B6EDF"/>
    <w:rsid w:val="000C079D"/>
    <w:rsid w:val="000C331F"/>
    <w:rsid w:val="001000D3"/>
    <w:rsid w:val="001010DD"/>
    <w:rsid w:val="00101585"/>
    <w:rsid w:val="0011764D"/>
    <w:rsid w:val="00142837"/>
    <w:rsid w:val="00144286"/>
    <w:rsid w:val="00154322"/>
    <w:rsid w:val="00161401"/>
    <w:rsid w:val="00182D6D"/>
    <w:rsid w:val="001B2DCC"/>
    <w:rsid w:val="001B3F83"/>
    <w:rsid w:val="001E63F9"/>
    <w:rsid w:val="001E732C"/>
    <w:rsid w:val="00210066"/>
    <w:rsid w:val="0022561C"/>
    <w:rsid w:val="002308F1"/>
    <w:rsid w:val="00244F13"/>
    <w:rsid w:val="00245A36"/>
    <w:rsid w:val="0026192F"/>
    <w:rsid w:val="00271E4F"/>
    <w:rsid w:val="002829B4"/>
    <w:rsid w:val="002D6E57"/>
    <w:rsid w:val="00327153"/>
    <w:rsid w:val="00330383"/>
    <w:rsid w:val="00380DF7"/>
    <w:rsid w:val="00384814"/>
    <w:rsid w:val="003929C8"/>
    <w:rsid w:val="003A0F12"/>
    <w:rsid w:val="003A22CD"/>
    <w:rsid w:val="003B11F1"/>
    <w:rsid w:val="003B1CED"/>
    <w:rsid w:val="003B6DF3"/>
    <w:rsid w:val="003C74D2"/>
    <w:rsid w:val="003C7A99"/>
    <w:rsid w:val="003D043A"/>
    <w:rsid w:val="003E6735"/>
    <w:rsid w:val="003E7713"/>
    <w:rsid w:val="00407725"/>
    <w:rsid w:val="00422E0B"/>
    <w:rsid w:val="004314D0"/>
    <w:rsid w:val="00455655"/>
    <w:rsid w:val="00463847"/>
    <w:rsid w:val="0047562B"/>
    <w:rsid w:val="004B1849"/>
    <w:rsid w:val="004B2FFD"/>
    <w:rsid w:val="004B7029"/>
    <w:rsid w:val="004E0C11"/>
    <w:rsid w:val="004E7B42"/>
    <w:rsid w:val="004F0805"/>
    <w:rsid w:val="004F3A0F"/>
    <w:rsid w:val="0052066F"/>
    <w:rsid w:val="00526B46"/>
    <w:rsid w:val="00584445"/>
    <w:rsid w:val="005948AA"/>
    <w:rsid w:val="005A47CF"/>
    <w:rsid w:val="005C34E6"/>
    <w:rsid w:val="00601103"/>
    <w:rsid w:val="006109DA"/>
    <w:rsid w:val="00624E1A"/>
    <w:rsid w:val="00651619"/>
    <w:rsid w:val="00654571"/>
    <w:rsid w:val="00665CAC"/>
    <w:rsid w:val="00672452"/>
    <w:rsid w:val="00675A46"/>
    <w:rsid w:val="00690E02"/>
    <w:rsid w:val="006C2B7B"/>
    <w:rsid w:val="007027AB"/>
    <w:rsid w:val="007230AC"/>
    <w:rsid w:val="0073347D"/>
    <w:rsid w:val="00756E28"/>
    <w:rsid w:val="00764F27"/>
    <w:rsid w:val="00774598"/>
    <w:rsid w:val="007756CD"/>
    <w:rsid w:val="00791345"/>
    <w:rsid w:val="007C43FE"/>
    <w:rsid w:val="007E1855"/>
    <w:rsid w:val="007F5548"/>
    <w:rsid w:val="00802104"/>
    <w:rsid w:val="00807E32"/>
    <w:rsid w:val="00807FE2"/>
    <w:rsid w:val="0081392A"/>
    <w:rsid w:val="00814D72"/>
    <w:rsid w:val="0082091B"/>
    <w:rsid w:val="00821E26"/>
    <w:rsid w:val="0083433C"/>
    <w:rsid w:val="0087119C"/>
    <w:rsid w:val="00872569"/>
    <w:rsid w:val="00876679"/>
    <w:rsid w:val="008778E3"/>
    <w:rsid w:val="008900AA"/>
    <w:rsid w:val="008B591F"/>
    <w:rsid w:val="008B77B5"/>
    <w:rsid w:val="008C1FA9"/>
    <w:rsid w:val="008C2F9E"/>
    <w:rsid w:val="008D09B9"/>
    <w:rsid w:val="008D1C69"/>
    <w:rsid w:val="008D6BD5"/>
    <w:rsid w:val="008F6BF4"/>
    <w:rsid w:val="009152AA"/>
    <w:rsid w:val="009436D3"/>
    <w:rsid w:val="00945B45"/>
    <w:rsid w:val="009878C9"/>
    <w:rsid w:val="009B1DA6"/>
    <w:rsid w:val="009C2FC2"/>
    <w:rsid w:val="009C7990"/>
    <w:rsid w:val="009D4366"/>
    <w:rsid w:val="009D4906"/>
    <w:rsid w:val="009F1F75"/>
    <w:rsid w:val="009F5260"/>
    <w:rsid w:val="00A011B4"/>
    <w:rsid w:val="00A3239B"/>
    <w:rsid w:val="00A35D48"/>
    <w:rsid w:val="00A3787F"/>
    <w:rsid w:val="00A64D25"/>
    <w:rsid w:val="00A75EEE"/>
    <w:rsid w:val="00A839A6"/>
    <w:rsid w:val="00AB2AB7"/>
    <w:rsid w:val="00AC2912"/>
    <w:rsid w:val="00AD3029"/>
    <w:rsid w:val="00B031BC"/>
    <w:rsid w:val="00B10BE4"/>
    <w:rsid w:val="00B22AF5"/>
    <w:rsid w:val="00B43A81"/>
    <w:rsid w:val="00B65F11"/>
    <w:rsid w:val="00B82D83"/>
    <w:rsid w:val="00B9548F"/>
    <w:rsid w:val="00BC3DBE"/>
    <w:rsid w:val="00BC6D9C"/>
    <w:rsid w:val="00BE79AB"/>
    <w:rsid w:val="00BF4C2A"/>
    <w:rsid w:val="00C03C9D"/>
    <w:rsid w:val="00C04FF3"/>
    <w:rsid w:val="00C135F8"/>
    <w:rsid w:val="00C152B4"/>
    <w:rsid w:val="00C35D2F"/>
    <w:rsid w:val="00C74B07"/>
    <w:rsid w:val="00C87B63"/>
    <w:rsid w:val="00CC11C3"/>
    <w:rsid w:val="00CE18A0"/>
    <w:rsid w:val="00CE644F"/>
    <w:rsid w:val="00CF440B"/>
    <w:rsid w:val="00D06EFC"/>
    <w:rsid w:val="00D10586"/>
    <w:rsid w:val="00D11A20"/>
    <w:rsid w:val="00D22950"/>
    <w:rsid w:val="00D2784E"/>
    <w:rsid w:val="00D432BE"/>
    <w:rsid w:val="00D530AD"/>
    <w:rsid w:val="00D61715"/>
    <w:rsid w:val="00D71952"/>
    <w:rsid w:val="00D77C62"/>
    <w:rsid w:val="00D8208E"/>
    <w:rsid w:val="00DB0DB3"/>
    <w:rsid w:val="00DB186A"/>
    <w:rsid w:val="00DF3FC8"/>
    <w:rsid w:val="00E55FE3"/>
    <w:rsid w:val="00E76F05"/>
    <w:rsid w:val="00E773B8"/>
    <w:rsid w:val="00E946E6"/>
    <w:rsid w:val="00EA059D"/>
    <w:rsid w:val="00EA6CD8"/>
    <w:rsid w:val="00ED2602"/>
    <w:rsid w:val="00ED3E8E"/>
    <w:rsid w:val="00ED5155"/>
    <w:rsid w:val="00F00120"/>
    <w:rsid w:val="00F02231"/>
    <w:rsid w:val="00F21AB0"/>
    <w:rsid w:val="00F31E48"/>
    <w:rsid w:val="00F36043"/>
    <w:rsid w:val="00F52F44"/>
    <w:rsid w:val="00F5609E"/>
    <w:rsid w:val="00F76BB4"/>
    <w:rsid w:val="00F9626D"/>
    <w:rsid w:val="00FF2CBE"/>
    <w:rsid w:val="00FF3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FDA6"/>
  <w15:chartTrackingRefBased/>
  <w15:docId w15:val="{C7C2D793-7060-4C7F-979F-2FAAC455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paragraph" w:customStyle="1" w:styleId="xmsolistparagraph">
    <w:name w:val="x_msolistparagraph"/>
    <w:basedOn w:val="Normal"/>
    <w:rsid w:val="008D6BD5"/>
  </w:style>
  <w:style w:type="paragraph" w:styleId="NoSpacing">
    <w:name w:val="No Spacing"/>
    <w:uiPriority w:val="1"/>
    <w:qFormat/>
    <w:rsid w:val="00380DF7"/>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1E63F9"/>
    <w:rPr>
      <w:sz w:val="16"/>
      <w:szCs w:val="16"/>
    </w:rPr>
  </w:style>
  <w:style w:type="paragraph" w:styleId="CommentText">
    <w:name w:val="annotation text"/>
    <w:basedOn w:val="Normal"/>
    <w:link w:val="CommentTextChar"/>
    <w:uiPriority w:val="99"/>
    <w:semiHidden/>
    <w:unhideWhenUsed/>
    <w:rsid w:val="001E63F9"/>
    <w:rPr>
      <w:sz w:val="20"/>
      <w:szCs w:val="20"/>
    </w:rPr>
  </w:style>
  <w:style w:type="character" w:customStyle="1" w:styleId="CommentTextChar">
    <w:name w:val="Comment Text Char"/>
    <w:basedOn w:val="DefaultParagraphFont"/>
    <w:link w:val="CommentText"/>
    <w:uiPriority w:val="99"/>
    <w:semiHidden/>
    <w:rsid w:val="001E63F9"/>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E63F9"/>
    <w:rPr>
      <w:b/>
      <w:bCs/>
    </w:rPr>
  </w:style>
  <w:style w:type="character" w:customStyle="1" w:styleId="CommentSubjectChar">
    <w:name w:val="Comment Subject Char"/>
    <w:basedOn w:val="CommentTextChar"/>
    <w:link w:val="CommentSubject"/>
    <w:uiPriority w:val="99"/>
    <w:semiHidden/>
    <w:rsid w:val="001E63F9"/>
    <w:rPr>
      <w:rFonts w:ascii="Calibri" w:hAnsi="Calibri" w:cs="Calibri"/>
      <w:b/>
      <w:bCs/>
      <w:sz w:val="20"/>
      <w:szCs w:val="20"/>
    </w:rPr>
  </w:style>
  <w:style w:type="paragraph" w:styleId="BalloonText">
    <w:name w:val="Balloon Text"/>
    <w:basedOn w:val="Normal"/>
    <w:link w:val="BalloonTextChar"/>
    <w:uiPriority w:val="99"/>
    <w:semiHidden/>
    <w:unhideWhenUsed/>
    <w:rsid w:val="001E63F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3F9"/>
    <w:rPr>
      <w:rFonts w:ascii="Segoe UI" w:hAnsi="Segoe UI" w:cs="Segoe UI"/>
      <w:sz w:val="18"/>
      <w:szCs w:val="18"/>
    </w:rPr>
  </w:style>
  <w:style w:type="character" w:styleId="Hyperlink">
    <w:name w:val="Hyperlink"/>
    <w:basedOn w:val="DefaultParagraphFont"/>
    <w:uiPriority w:val="99"/>
    <w:unhideWhenUsed/>
    <w:rsid w:val="00D530AD"/>
    <w:rPr>
      <w:color w:val="0563C1" w:themeColor="hyperlink"/>
      <w:u w:val="single"/>
    </w:rPr>
  </w:style>
  <w:style w:type="character" w:styleId="UnresolvedMention">
    <w:name w:val="Unresolved Mention"/>
    <w:basedOn w:val="DefaultParagraphFont"/>
    <w:uiPriority w:val="99"/>
    <w:semiHidden/>
    <w:unhideWhenUsed/>
    <w:rsid w:val="00D530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725163">
      <w:bodyDiv w:val="1"/>
      <w:marLeft w:val="0"/>
      <w:marRight w:val="0"/>
      <w:marTop w:val="0"/>
      <w:marBottom w:val="0"/>
      <w:divBdr>
        <w:top w:val="none" w:sz="0" w:space="0" w:color="auto"/>
        <w:left w:val="none" w:sz="0" w:space="0" w:color="auto"/>
        <w:bottom w:val="none" w:sz="0" w:space="0" w:color="auto"/>
        <w:right w:val="none" w:sz="0" w:space="0" w:color="auto"/>
      </w:divBdr>
    </w:div>
    <w:div w:id="1336493848">
      <w:bodyDiv w:val="1"/>
      <w:marLeft w:val="0"/>
      <w:marRight w:val="0"/>
      <w:marTop w:val="0"/>
      <w:marBottom w:val="0"/>
      <w:divBdr>
        <w:top w:val="none" w:sz="0" w:space="0" w:color="auto"/>
        <w:left w:val="none" w:sz="0" w:space="0" w:color="auto"/>
        <w:bottom w:val="none" w:sz="0" w:space="0" w:color="auto"/>
        <w:right w:val="none" w:sz="0" w:space="0" w:color="auto"/>
      </w:divBdr>
    </w:div>
    <w:div w:id="1516917263">
      <w:bodyDiv w:val="1"/>
      <w:marLeft w:val="0"/>
      <w:marRight w:val="0"/>
      <w:marTop w:val="0"/>
      <w:marBottom w:val="0"/>
      <w:divBdr>
        <w:top w:val="none" w:sz="0" w:space="0" w:color="auto"/>
        <w:left w:val="none" w:sz="0" w:space="0" w:color="auto"/>
        <w:bottom w:val="none" w:sz="0" w:space="0" w:color="auto"/>
        <w:right w:val="none" w:sz="0" w:space="0" w:color="auto"/>
      </w:divBdr>
    </w:div>
    <w:div w:id="183410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dc.gov/elr/progres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Brooke Beaulieu</cp:lastModifiedBy>
  <cp:revision>2</cp:revision>
  <dcterms:created xsi:type="dcterms:W3CDTF">2018-05-14T13:22:00Z</dcterms:created>
  <dcterms:modified xsi:type="dcterms:W3CDTF">2018-05-14T13:22:00Z</dcterms:modified>
</cp:coreProperties>
</file>