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2950"/>
      </w:tblGrid>
      <w:tr w:rsidR="00F46921" w14:paraId="7357A88B" w14:textId="77777777" w:rsidTr="00B80AE1">
        <w:trPr>
          <w:trHeight w:val="710"/>
        </w:trPr>
        <w:tc>
          <w:tcPr>
            <w:tcW w:w="12950" w:type="dxa"/>
          </w:tcPr>
          <w:p w14:paraId="478924DA" w14:textId="77777777" w:rsidR="00F46921" w:rsidRPr="00B80AE1" w:rsidRDefault="00F46921" w:rsidP="00B80AE1">
            <w:pPr>
              <w:jc w:val="center"/>
              <w:rPr>
                <w:b/>
                <w:sz w:val="36"/>
                <w:szCs w:val="36"/>
              </w:rPr>
            </w:pPr>
            <w:r w:rsidRPr="00B80AE1">
              <w:rPr>
                <w:b/>
                <w:sz w:val="36"/>
                <w:szCs w:val="36"/>
              </w:rPr>
              <w:t>Strategic Objectives</w:t>
            </w:r>
          </w:p>
        </w:tc>
      </w:tr>
      <w:tr w:rsidR="00A61F28" w14:paraId="173DF963" w14:textId="77777777" w:rsidTr="009E5C79">
        <w:trPr>
          <w:trHeight w:val="260"/>
        </w:trPr>
        <w:tc>
          <w:tcPr>
            <w:tcW w:w="12950" w:type="dxa"/>
          </w:tcPr>
          <w:p w14:paraId="04E9C52D" w14:textId="77777777" w:rsidR="00A61F28" w:rsidRDefault="00A61F28" w:rsidP="00A61F28">
            <w:pPr>
              <w:jc w:val="center"/>
              <w:rPr>
                <w:b/>
                <w:sz w:val="24"/>
                <w:szCs w:val="24"/>
              </w:rPr>
            </w:pPr>
            <w:r w:rsidRPr="00E6173E">
              <w:rPr>
                <w:b/>
                <w:sz w:val="24"/>
                <w:szCs w:val="24"/>
                <w:highlight w:val="yellow"/>
              </w:rPr>
              <w:t>FINAL VERSION</w:t>
            </w:r>
            <w:r>
              <w:rPr>
                <w:b/>
                <w:sz w:val="24"/>
                <w:szCs w:val="24"/>
              </w:rPr>
              <w:t xml:space="preserve"> January 2018</w:t>
            </w:r>
          </w:p>
        </w:tc>
      </w:tr>
      <w:tr w:rsidR="006530FB" w14:paraId="47EC9822" w14:textId="77777777" w:rsidTr="009E5C79">
        <w:trPr>
          <w:trHeight w:val="683"/>
        </w:trPr>
        <w:tc>
          <w:tcPr>
            <w:tcW w:w="12950" w:type="dxa"/>
          </w:tcPr>
          <w:p w14:paraId="54F1A82C" w14:textId="77777777" w:rsidR="006530FB" w:rsidRPr="006530FB" w:rsidRDefault="006530FB" w:rsidP="006530FB">
            <w:pPr>
              <w:rPr>
                <w:b/>
                <w:u w:val="single"/>
              </w:rPr>
            </w:pPr>
            <w:r w:rsidRPr="006530FB">
              <w:rPr>
                <w:b/>
                <w:u w:val="single"/>
              </w:rPr>
              <w:t>Public Health Informatics Tools for Epidemiology</w:t>
            </w:r>
          </w:p>
          <w:p w14:paraId="55CD8177" w14:textId="77777777" w:rsidR="006530FB" w:rsidRDefault="006530FB" w:rsidP="002E0A2A">
            <w:pPr>
              <w:rPr>
                <w:b/>
                <w:sz w:val="24"/>
                <w:szCs w:val="24"/>
              </w:rPr>
            </w:pPr>
          </w:p>
        </w:tc>
      </w:tr>
      <w:tr w:rsidR="006530FB" w14:paraId="09997335" w14:textId="77777777" w:rsidTr="00A41F45">
        <w:trPr>
          <w:trHeight w:val="2150"/>
        </w:trPr>
        <w:tc>
          <w:tcPr>
            <w:tcW w:w="12950" w:type="dxa"/>
          </w:tcPr>
          <w:p w14:paraId="52DDBC19" w14:textId="77777777" w:rsidR="006530FB" w:rsidRPr="00E52CC2" w:rsidRDefault="006530FB" w:rsidP="002E0A2A">
            <w:pPr>
              <w:pStyle w:val="BlackBullet"/>
              <w:ind w:left="360" w:hanging="360"/>
              <w:rPr>
                <w:rFonts w:asciiTheme="minorHAnsi" w:hAnsiTheme="minorHAnsi" w:cstheme="minorHAnsi"/>
              </w:rPr>
            </w:pPr>
            <w:r w:rsidRPr="00E52CC2">
              <w:rPr>
                <w:rFonts w:asciiTheme="minorHAnsi" w:hAnsiTheme="minorHAnsi" w:cstheme="minorHAnsi"/>
              </w:rPr>
              <w:t>C</w:t>
            </w:r>
            <w:r w:rsidRPr="00A902D3">
              <w:rPr>
                <w:rFonts w:asciiTheme="minorHAnsi" w:hAnsiTheme="minorHAnsi" w:cstheme="minorHAnsi"/>
                <w:u w:val="single"/>
              </w:rPr>
              <w:t>-1:  Evaluate, enhance and promote existing systems, processes and tools.</w:t>
            </w:r>
          </w:p>
          <w:p w14:paraId="1F85F5C8" w14:textId="64FA34A3" w:rsidR="006530FB" w:rsidRDefault="006530FB" w:rsidP="002E0A2A">
            <w:pPr>
              <w:pStyle w:val="BlackBullet"/>
              <w:numPr>
                <w:ilvl w:val="0"/>
                <w:numId w:val="2"/>
              </w:numPr>
              <w:rPr>
                <w:rFonts w:asciiTheme="minorHAnsi" w:hAnsiTheme="minorHAnsi" w:cstheme="minorHAnsi"/>
              </w:rPr>
            </w:pPr>
            <w:r w:rsidRPr="00E52CC2">
              <w:rPr>
                <w:rFonts w:asciiTheme="minorHAnsi" w:hAnsiTheme="minorHAnsi" w:cstheme="minorHAnsi"/>
              </w:rPr>
              <w:t xml:space="preserve">Conduct an </w:t>
            </w:r>
            <w:r>
              <w:rPr>
                <w:rFonts w:asciiTheme="minorHAnsi" w:hAnsiTheme="minorHAnsi" w:cstheme="minorHAnsi"/>
              </w:rPr>
              <w:t>assessment</w:t>
            </w:r>
          </w:p>
          <w:p w14:paraId="7132C64E" w14:textId="77777777" w:rsidR="006530FB" w:rsidRDefault="006530FB" w:rsidP="002E0A2A">
            <w:pPr>
              <w:pStyle w:val="BlackBullet"/>
              <w:numPr>
                <w:ilvl w:val="1"/>
                <w:numId w:val="2"/>
              </w:numPr>
              <w:rPr>
                <w:rFonts w:asciiTheme="minorHAnsi" w:hAnsiTheme="minorHAnsi" w:cstheme="minorHAnsi"/>
              </w:rPr>
            </w:pPr>
            <w:r>
              <w:rPr>
                <w:rFonts w:asciiTheme="minorHAnsi" w:hAnsiTheme="minorHAnsi" w:cstheme="minorHAnsi"/>
              </w:rPr>
              <w:t>Assess and describe the current structure of AR surveillance</w:t>
            </w:r>
          </w:p>
          <w:p w14:paraId="43EE9792" w14:textId="77777777" w:rsidR="006530FB" w:rsidRDefault="006530FB" w:rsidP="002E0A2A">
            <w:pPr>
              <w:pStyle w:val="BlackBullet"/>
              <w:numPr>
                <w:ilvl w:val="1"/>
                <w:numId w:val="2"/>
              </w:numPr>
              <w:rPr>
                <w:rFonts w:asciiTheme="minorHAnsi" w:hAnsiTheme="minorHAnsi" w:cstheme="minorHAnsi"/>
              </w:rPr>
            </w:pPr>
            <w:r>
              <w:rPr>
                <w:rFonts w:asciiTheme="minorHAnsi" w:hAnsiTheme="minorHAnsi" w:cstheme="minorHAnsi"/>
              </w:rPr>
              <w:t>Identify and describe gaps</w:t>
            </w:r>
          </w:p>
          <w:p w14:paraId="333991FC" w14:textId="77777777" w:rsidR="006530FB" w:rsidRDefault="006530FB" w:rsidP="002E0A2A">
            <w:pPr>
              <w:pStyle w:val="BlackBullet"/>
              <w:numPr>
                <w:ilvl w:val="1"/>
                <w:numId w:val="2"/>
              </w:numPr>
              <w:rPr>
                <w:rFonts w:asciiTheme="minorHAnsi" w:hAnsiTheme="minorHAnsi" w:cstheme="minorHAnsi"/>
              </w:rPr>
            </w:pPr>
            <w:r w:rsidRPr="002E0A2A">
              <w:rPr>
                <w:rFonts w:asciiTheme="minorHAnsi" w:hAnsiTheme="minorHAnsi" w:cstheme="minorHAnsi"/>
              </w:rPr>
              <w:t>Identify model systems</w:t>
            </w:r>
          </w:p>
          <w:p w14:paraId="42A23123" w14:textId="77777777" w:rsidR="006530FB" w:rsidRPr="002E0A2A" w:rsidRDefault="006530FB" w:rsidP="002E0A2A">
            <w:pPr>
              <w:pStyle w:val="BlackBullet"/>
              <w:numPr>
                <w:ilvl w:val="1"/>
                <w:numId w:val="2"/>
              </w:numPr>
              <w:rPr>
                <w:rFonts w:asciiTheme="minorHAnsi" w:hAnsiTheme="minorHAnsi" w:cstheme="minorHAnsi"/>
              </w:rPr>
            </w:pPr>
            <w:r>
              <w:rPr>
                <w:rFonts w:asciiTheme="minorHAnsi" w:hAnsiTheme="minorHAnsi" w:cstheme="minorHAnsi"/>
              </w:rPr>
              <w:t xml:space="preserve">Identify </w:t>
            </w:r>
            <w:r w:rsidRPr="002E0A2A">
              <w:rPr>
                <w:rFonts w:asciiTheme="minorHAnsi" w:hAnsiTheme="minorHAnsi" w:cstheme="minorHAnsi"/>
              </w:rPr>
              <w:t>opportunities for interoperability among existing systems</w:t>
            </w:r>
            <w:r>
              <w:rPr>
                <w:rFonts w:asciiTheme="minorHAnsi" w:hAnsiTheme="minorHAnsi" w:cstheme="minorHAnsi"/>
              </w:rPr>
              <w:t xml:space="preserve"> (also A-5)</w:t>
            </w:r>
          </w:p>
          <w:p w14:paraId="3C57A674" w14:textId="565E65AF" w:rsidR="006530FB" w:rsidRDefault="006530FB" w:rsidP="00A41F45">
            <w:pPr>
              <w:pStyle w:val="BlackBullet"/>
              <w:numPr>
                <w:ilvl w:val="0"/>
                <w:numId w:val="2"/>
              </w:numPr>
              <w:tabs>
                <w:tab w:val="left" w:pos="-360"/>
              </w:tabs>
              <w:rPr>
                <w:b/>
                <w:sz w:val="24"/>
                <w:szCs w:val="24"/>
              </w:rPr>
            </w:pPr>
            <w:r w:rsidRPr="006530FB">
              <w:rPr>
                <w:rFonts w:asciiTheme="minorHAnsi" w:hAnsiTheme="minorHAnsi" w:cstheme="minorHAnsi"/>
              </w:rPr>
              <w:t xml:space="preserve">Produce a data flow diagram with annotation reflecting </w:t>
            </w:r>
            <w:r w:rsidRPr="006530FB">
              <w:rPr>
                <w:rFonts w:asciiTheme="minorHAnsi" w:hAnsiTheme="minorHAnsi" w:cstheme="minorHAnsi"/>
                <w:u w:val="single"/>
              </w:rPr>
              <w:t>current</w:t>
            </w:r>
            <w:r w:rsidRPr="006530FB">
              <w:rPr>
                <w:rFonts w:asciiTheme="minorHAnsi" w:hAnsiTheme="minorHAnsi" w:cstheme="minorHAnsi"/>
              </w:rPr>
              <w:t xml:space="preserve"> systems and processes that a variety of stakeholders can understand</w:t>
            </w:r>
            <w:r>
              <w:rPr>
                <w:sz w:val="24"/>
                <w:szCs w:val="24"/>
              </w:rPr>
              <w:t xml:space="preserve">  </w:t>
            </w:r>
          </w:p>
        </w:tc>
      </w:tr>
      <w:tr w:rsidR="006530FB" w14:paraId="5505002A" w14:textId="77777777" w:rsidTr="004B11EF">
        <w:tc>
          <w:tcPr>
            <w:tcW w:w="12950" w:type="dxa"/>
          </w:tcPr>
          <w:p w14:paraId="57A47211" w14:textId="77777777" w:rsidR="006530FB" w:rsidRDefault="006530FB" w:rsidP="002E0A2A">
            <w:pPr>
              <w:pStyle w:val="BlackBullet"/>
              <w:rPr>
                <w:rFonts w:asciiTheme="minorHAnsi" w:hAnsiTheme="minorHAnsi" w:cstheme="minorHAnsi"/>
              </w:rPr>
            </w:pPr>
            <w:r w:rsidRPr="00A902D3">
              <w:rPr>
                <w:rFonts w:asciiTheme="minorHAnsi" w:hAnsiTheme="minorHAnsi" w:cstheme="minorHAnsi"/>
                <w:u w:val="single"/>
              </w:rPr>
              <w:t>D-2:  Integrate epi, lab and clinical data</w:t>
            </w:r>
            <w:r w:rsidRPr="00E52CC2">
              <w:rPr>
                <w:rFonts w:asciiTheme="minorHAnsi" w:hAnsiTheme="minorHAnsi" w:cstheme="minorHAnsi"/>
              </w:rPr>
              <w:t>.</w:t>
            </w:r>
          </w:p>
          <w:p w14:paraId="5AB8E4EB" w14:textId="77777777" w:rsidR="006530FB" w:rsidRPr="00E50244" w:rsidRDefault="006530FB" w:rsidP="00BA7040">
            <w:pPr>
              <w:pStyle w:val="BlackBullet"/>
              <w:numPr>
                <w:ilvl w:val="0"/>
                <w:numId w:val="6"/>
              </w:numPr>
              <w:rPr>
                <w:rFonts w:asciiTheme="minorHAnsi" w:hAnsiTheme="minorHAnsi" w:cstheme="minorHAnsi"/>
              </w:rPr>
            </w:pPr>
            <w:r w:rsidRPr="00E50244">
              <w:rPr>
                <w:rFonts w:asciiTheme="minorHAnsi" w:hAnsiTheme="minorHAnsi" w:cstheme="minorHAnsi"/>
              </w:rPr>
              <w:t xml:space="preserve">Assess what epi lab and clinical data is available and needs to be integrated to have an effective AR surveillance system </w:t>
            </w:r>
          </w:p>
          <w:p w14:paraId="0232F70C" w14:textId="77777777" w:rsidR="006530FB" w:rsidRPr="00E50244" w:rsidRDefault="006530FB" w:rsidP="00BA7040">
            <w:pPr>
              <w:pStyle w:val="BlackBullet"/>
              <w:numPr>
                <w:ilvl w:val="1"/>
                <w:numId w:val="2"/>
              </w:numPr>
              <w:rPr>
                <w:rFonts w:asciiTheme="minorHAnsi" w:hAnsiTheme="minorHAnsi" w:cstheme="minorHAnsi"/>
              </w:rPr>
            </w:pPr>
            <w:r w:rsidRPr="00E50244">
              <w:rPr>
                <w:rFonts w:asciiTheme="minorHAnsi" w:hAnsiTheme="minorHAnsi" w:cstheme="minorHAnsi"/>
                <w:color w:val="000000"/>
              </w:rPr>
              <w:t>Assess current levels of integration and identify model programs</w:t>
            </w:r>
          </w:p>
          <w:p w14:paraId="783C3B82" w14:textId="77777777" w:rsidR="006530FB" w:rsidRPr="00E50244" w:rsidRDefault="006530FB" w:rsidP="00BA7040">
            <w:pPr>
              <w:pStyle w:val="BlackBullet"/>
              <w:numPr>
                <w:ilvl w:val="1"/>
                <w:numId w:val="2"/>
              </w:numPr>
              <w:rPr>
                <w:rFonts w:asciiTheme="minorHAnsi" w:hAnsiTheme="minorHAnsi" w:cstheme="minorHAnsi"/>
              </w:rPr>
            </w:pPr>
            <w:r w:rsidRPr="00E50244">
              <w:rPr>
                <w:rFonts w:asciiTheme="minorHAnsi" w:hAnsiTheme="minorHAnsi" w:cstheme="minorHAnsi"/>
                <w:color w:val="000000"/>
              </w:rPr>
              <w:t>Make recommendations for national integration “expectations, standards” (also A-5)</w:t>
            </w:r>
          </w:p>
          <w:p w14:paraId="64D4DBE6" w14:textId="7E6FC4DC" w:rsidR="006530FB" w:rsidRDefault="006530FB" w:rsidP="00A41F45">
            <w:pPr>
              <w:pStyle w:val="BlackBullet"/>
              <w:numPr>
                <w:ilvl w:val="0"/>
                <w:numId w:val="2"/>
              </w:numPr>
              <w:rPr>
                <w:b/>
                <w:sz w:val="24"/>
                <w:szCs w:val="24"/>
              </w:rPr>
            </w:pPr>
            <w:r w:rsidRPr="00E50244">
              <w:rPr>
                <w:rFonts w:asciiTheme="minorHAnsi" w:hAnsiTheme="minorHAnsi" w:cstheme="minorHAnsi"/>
                <w:color w:val="000000"/>
              </w:rPr>
              <w:t>Create a vision</w:t>
            </w:r>
            <w:r w:rsidRPr="00E52CC2">
              <w:rPr>
                <w:rFonts w:asciiTheme="minorHAnsi" w:hAnsiTheme="minorHAnsi" w:cs="Times"/>
                <w:color w:val="000000"/>
              </w:rPr>
              <w:t xml:space="preserve"> of what integration and standardization would look like</w:t>
            </w:r>
            <w:r>
              <w:rPr>
                <w:rFonts w:asciiTheme="minorHAnsi" w:hAnsiTheme="minorHAnsi" w:cs="Times"/>
                <w:color w:val="000000"/>
              </w:rPr>
              <w:t xml:space="preserve"> –  including a data flow diagram with annotation reflecting </w:t>
            </w:r>
            <w:r w:rsidRPr="00BA7040">
              <w:rPr>
                <w:rFonts w:asciiTheme="minorHAnsi" w:hAnsiTheme="minorHAnsi" w:cs="Times"/>
                <w:color w:val="000000"/>
                <w:u w:val="single"/>
              </w:rPr>
              <w:t>recommended</w:t>
            </w:r>
            <w:r>
              <w:rPr>
                <w:rFonts w:asciiTheme="minorHAnsi" w:hAnsiTheme="minorHAnsi" w:cs="Times"/>
                <w:color w:val="000000"/>
              </w:rPr>
              <w:t xml:space="preserve"> </w:t>
            </w:r>
            <w:r>
              <w:rPr>
                <w:rFonts w:asciiTheme="minorHAnsi" w:hAnsiTheme="minorHAnsi" w:cstheme="minorHAnsi"/>
              </w:rPr>
              <w:t>systems and processes that a variety of stakeholders can understand (also A-5).  Also include One Health in the vision for integration.</w:t>
            </w:r>
          </w:p>
        </w:tc>
      </w:tr>
      <w:tr w:rsidR="006530FB" w14:paraId="77C83EC2" w14:textId="77777777" w:rsidTr="00F63971">
        <w:tc>
          <w:tcPr>
            <w:tcW w:w="12950" w:type="dxa"/>
          </w:tcPr>
          <w:p w14:paraId="010CE0C7" w14:textId="7C8C461A" w:rsidR="006530FB" w:rsidRPr="006530FB" w:rsidRDefault="006530FB" w:rsidP="00A902D3">
            <w:pPr>
              <w:pStyle w:val="BlackBullet"/>
              <w:rPr>
                <w:rFonts w:asciiTheme="minorHAnsi" w:hAnsiTheme="minorHAnsi" w:cstheme="minorHAnsi"/>
              </w:rPr>
            </w:pPr>
            <w:r w:rsidRPr="00A902D3">
              <w:rPr>
                <w:rFonts w:asciiTheme="minorHAnsi" w:hAnsiTheme="minorHAnsi" w:cstheme="minorHAnsi"/>
                <w:u w:val="single"/>
              </w:rPr>
              <w:t>C-2:  Leverage shared technical infrastructure and services</w:t>
            </w:r>
            <w:r w:rsidRPr="006530FB">
              <w:rPr>
                <w:rFonts w:asciiTheme="minorHAnsi" w:hAnsiTheme="minorHAnsi" w:cstheme="minorHAnsi"/>
              </w:rPr>
              <w:t xml:space="preserve">.  </w:t>
            </w:r>
          </w:p>
          <w:p w14:paraId="6617DFC6" w14:textId="77777777" w:rsidR="006530FB" w:rsidRPr="00045AFF" w:rsidRDefault="006530FB" w:rsidP="00611A14">
            <w:pPr>
              <w:pStyle w:val="BlackBullet"/>
              <w:numPr>
                <w:ilvl w:val="0"/>
                <w:numId w:val="2"/>
              </w:numPr>
              <w:rPr>
                <w:rFonts w:asciiTheme="minorHAnsi" w:hAnsiTheme="minorHAnsi"/>
              </w:rPr>
            </w:pPr>
            <w:r w:rsidRPr="00045AFF">
              <w:rPr>
                <w:rFonts w:asciiTheme="minorHAnsi" w:hAnsiTheme="minorHAnsi"/>
              </w:rPr>
              <w:t>Based on C-1 and D-2, identify the work that will be required to enable leveraging</w:t>
            </w:r>
          </w:p>
          <w:p w14:paraId="3CF09296" w14:textId="448FF49A" w:rsidR="006530FB" w:rsidRDefault="006530FB" w:rsidP="006530FB">
            <w:pPr>
              <w:pStyle w:val="BlackBullet"/>
              <w:numPr>
                <w:ilvl w:val="0"/>
                <w:numId w:val="2"/>
              </w:numPr>
              <w:rPr>
                <w:rFonts w:asciiTheme="minorHAnsi" w:hAnsiTheme="minorHAnsi"/>
              </w:rPr>
            </w:pPr>
            <w:r w:rsidRPr="00045AFF">
              <w:rPr>
                <w:rFonts w:asciiTheme="minorHAnsi" w:hAnsiTheme="minorHAnsi"/>
              </w:rPr>
              <w:t>Specify leveraging opportunities</w:t>
            </w:r>
            <w:bookmarkStart w:id="0" w:name="_GoBack"/>
            <w:bookmarkEnd w:id="0"/>
            <w:proofErr w:type="gramStart"/>
            <w:r>
              <w:rPr>
                <w:rFonts w:asciiTheme="minorHAnsi" w:hAnsiTheme="minorHAnsi"/>
              </w:rPr>
              <w:t>, in particular</w:t>
            </w:r>
            <w:r w:rsidR="00A902D3">
              <w:rPr>
                <w:rFonts w:asciiTheme="minorHAnsi" w:hAnsiTheme="minorHAnsi"/>
              </w:rPr>
              <w:t>,</w:t>
            </w:r>
            <w:r>
              <w:rPr>
                <w:rFonts w:asciiTheme="minorHAnsi" w:hAnsiTheme="minorHAnsi"/>
              </w:rPr>
              <w:t xml:space="preserve"> identify</w:t>
            </w:r>
            <w:proofErr w:type="gramEnd"/>
            <w:r>
              <w:rPr>
                <w:rFonts w:asciiTheme="minorHAnsi" w:hAnsiTheme="minorHAnsi"/>
              </w:rPr>
              <w:t xml:space="preserve"> opportunities and work needed to leverage opportunities with LIS and HER vendors</w:t>
            </w:r>
          </w:p>
          <w:p w14:paraId="743459C2" w14:textId="77777777" w:rsidR="006530FB" w:rsidRPr="00045AFF" w:rsidRDefault="006530FB" w:rsidP="006530FB">
            <w:pPr>
              <w:pStyle w:val="BlackBullet"/>
              <w:numPr>
                <w:ilvl w:val="0"/>
                <w:numId w:val="2"/>
              </w:numPr>
              <w:rPr>
                <w:rFonts w:asciiTheme="minorHAnsi" w:hAnsiTheme="minorHAnsi"/>
              </w:rPr>
            </w:pPr>
            <w:r w:rsidRPr="00045AFF">
              <w:rPr>
                <w:rFonts w:asciiTheme="minorHAnsi" w:hAnsiTheme="minorHAnsi"/>
              </w:rPr>
              <w:t>Assess what work will be needed to make the leveraging happen</w:t>
            </w:r>
          </w:p>
          <w:p w14:paraId="003B235C" w14:textId="20E02768" w:rsidR="006530FB" w:rsidRPr="00045AFF" w:rsidRDefault="006530FB" w:rsidP="00A41F45">
            <w:pPr>
              <w:pStyle w:val="BlackBullet"/>
              <w:numPr>
                <w:ilvl w:val="0"/>
                <w:numId w:val="2"/>
              </w:numPr>
              <w:rPr>
                <w:b/>
                <w:sz w:val="24"/>
                <w:szCs w:val="24"/>
              </w:rPr>
            </w:pPr>
            <w:r w:rsidRPr="00045AFF">
              <w:rPr>
                <w:rFonts w:asciiTheme="minorHAnsi" w:hAnsiTheme="minorHAnsi"/>
              </w:rPr>
              <w:t>Make recommendations for leveraging with priorities (also A-5)</w:t>
            </w:r>
          </w:p>
        </w:tc>
      </w:tr>
      <w:tr w:rsidR="006530FB" w14:paraId="52D0414E" w14:textId="77777777" w:rsidTr="003B205B">
        <w:tc>
          <w:tcPr>
            <w:tcW w:w="12950" w:type="dxa"/>
          </w:tcPr>
          <w:p w14:paraId="0E13A3ED" w14:textId="19AEB429" w:rsidR="006530FB" w:rsidRPr="00A902D3" w:rsidRDefault="006530FB" w:rsidP="002E0A2A">
            <w:pPr>
              <w:rPr>
                <w:rFonts w:cstheme="minorHAnsi"/>
                <w:u w:val="single"/>
              </w:rPr>
            </w:pPr>
            <w:r w:rsidRPr="00A902D3">
              <w:rPr>
                <w:rFonts w:cstheme="minorHAnsi"/>
                <w:u w:val="single"/>
              </w:rPr>
              <w:t xml:space="preserve">A-5:  Increase public health, lab and clinical informatics capacity. </w:t>
            </w:r>
          </w:p>
          <w:p w14:paraId="4EE04012" w14:textId="1F213E0B" w:rsidR="006530FB" w:rsidRPr="006530FB" w:rsidRDefault="006530FB" w:rsidP="00F232EC">
            <w:pPr>
              <w:pStyle w:val="ListParagraph"/>
              <w:numPr>
                <w:ilvl w:val="0"/>
                <w:numId w:val="7"/>
              </w:numPr>
              <w:rPr>
                <w:rFonts w:cstheme="minorHAnsi"/>
              </w:rPr>
            </w:pPr>
            <w:r w:rsidRPr="006530FB">
              <w:rPr>
                <w:sz w:val="24"/>
                <w:szCs w:val="24"/>
              </w:rPr>
              <w:t xml:space="preserve">Prior objectives (as noted) will address various aspects of A-5 </w:t>
            </w:r>
          </w:p>
          <w:p w14:paraId="7EE393FD" w14:textId="000E505E" w:rsidR="006530FB" w:rsidRPr="006530FB" w:rsidRDefault="006530FB" w:rsidP="00944D78">
            <w:pPr>
              <w:pStyle w:val="ListParagraph"/>
              <w:numPr>
                <w:ilvl w:val="0"/>
                <w:numId w:val="7"/>
              </w:numPr>
              <w:rPr>
                <w:rFonts w:cstheme="minorHAnsi"/>
              </w:rPr>
            </w:pPr>
            <w:r w:rsidRPr="006530FB">
              <w:rPr>
                <w:rFonts w:cstheme="minorHAnsi"/>
              </w:rPr>
              <w:t>Identify actions to increase capacity with current resources</w:t>
            </w:r>
          </w:p>
          <w:p w14:paraId="7BB15082" w14:textId="77777777" w:rsidR="006530FB" w:rsidRPr="00611A14" w:rsidRDefault="006530FB" w:rsidP="00611A14">
            <w:pPr>
              <w:pStyle w:val="ListParagraph"/>
              <w:numPr>
                <w:ilvl w:val="0"/>
                <w:numId w:val="7"/>
              </w:numPr>
              <w:rPr>
                <w:rFonts w:cstheme="minorHAnsi"/>
              </w:rPr>
            </w:pPr>
            <w:r w:rsidRPr="00611A14">
              <w:rPr>
                <w:rFonts w:cstheme="minorHAnsi"/>
              </w:rPr>
              <w:t>Consider performing estimates of additional resources for increase in capacity</w:t>
            </w:r>
          </w:p>
          <w:p w14:paraId="00623678" w14:textId="77777777" w:rsidR="006530FB" w:rsidRDefault="006530FB" w:rsidP="002E0A2A">
            <w:pPr>
              <w:rPr>
                <w:b/>
                <w:sz w:val="24"/>
                <w:szCs w:val="24"/>
              </w:rPr>
            </w:pPr>
          </w:p>
        </w:tc>
      </w:tr>
      <w:tr w:rsidR="00A61F28" w14:paraId="0AA5844A" w14:textId="77777777" w:rsidTr="009E5C79">
        <w:trPr>
          <w:trHeight w:val="845"/>
        </w:trPr>
        <w:tc>
          <w:tcPr>
            <w:tcW w:w="12950" w:type="dxa"/>
          </w:tcPr>
          <w:p w14:paraId="7C67A38D" w14:textId="05FB6629" w:rsidR="00A61F28" w:rsidRDefault="00A61F28" w:rsidP="002E0A2A">
            <w:pPr>
              <w:rPr>
                <w:b/>
                <w:sz w:val="24"/>
                <w:szCs w:val="24"/>
              </w:rPr>
            </w:pPr>
          </w:p>
          <w:p w14:paraId="5D86778F" w14:textId="076D050E" w:rsidR="00A61F28" w:rsidRPr="006530FB" w:rsidRDefault="00A61F28" w:rsidP="006530FB">
            <w:pPr>
              <w:rPr>
                <w:b/>
                <w:sz w:val="24"/>
                <w:szCs w:val="24"/>
              </w:rPr>
            </w:pPr>
            <w:r w:rsidRPr="006530FB">
              <w:rPr>
                <w:rFonts w:cstheme="minorHAnsi"/>
                <w:b/>
                <w:u w:val="single"/>
              </w:rPr>
              <w:t>Laboratory Data to Public Health</w:t>
            </w:r>
          </w:p>
        </w:tc>
      </w:tr>
      <w:tr w:rsidR="006530FB" w14:paraId="0BA85DA0" w14:textId="77777777" w:rsidTr="00187F1B">
        <w:tc>
          <w:tcPr>
            <w:tcW w:w="12950" w:type="dxa"/>
          </w:tcPr>
          <w:p w14:paraId="0793C06D" w14:textId="77777777" w:rsidR="006530FB" w:rsidRDefault="006530FB" w:rsidP="006530FB">
            <w:pPr>
              <w:rPr>
                <w:rFonts w:cstheme="minorHAnsi"/>
                <w:sz w:val="24"/>
                <w:szCs w:val="24"/>
                <w:u w:val="single"/>
              </w:rPr>
            </w:pPr>
            <w:bookmarkStart w:id="1" w:name="_Hlk503515884"/>
            <w:r w:rsidRPr="007E5AA6">
              <w:rPr>
                <w:rFonts w:ascii="Calibri" w:eastAsiaTheme="minorEastAsia" w:hAnsi="Calibri" w:cs="Calibri"/>
                <w:sz w:val="24"/>
                <w:szCs w:val="24"/>
                <w:u w:val="single"/>
                <w:lang w:val="en"/>
              </w:rPr>
              <w:t xml:space="preserve">Objective B-4 (Laboratory WG):  </w:t>
            </w:r>
            <w:r w:rsidRPr="007E5AA6">
              <w:rPr>
                <w:rFonts w:cstheme="minorHAnsi"/>
                <w:sz w:val="24"/>
                <w:szCs w:val="24"/>
                <w:u w:val="single"/>
              </w:rPr>
              <w:t xml:space="preserve">Enable </w:t>
            </w:r>
            <w:r>
              <w:rPr>
                <w:rFonts w:cstheme="minorHAnsi"/>
                <w:sz w:val="24"/>
                <w:szCs w:val="24"/>
                <w:u w:val="single"/>
              </w:rPr>
              <w:t xml:space="preserve">or improve </w:t>
            </w:r>
            <w:r w:rsidRPr="007E5AA6">
              <w:rPr>
                <w:rFonts w:cstheme="minorHAnsi"/>
                <w:sz w:val="24"/>
                <w:szCs w:val="24"/>
                <w:u w:val="single"/>
              </w:rPr>
              <w:t>capture of data using standardized vocabulary codes for new tests and other antimicrobial resistance data.</w:t>
            </w:r>
          </w:p>
          <w:p w14:paraId="4A49BB10" w14:textId="77777777" w:rsidR="006530FB" w:rsidRPr="006530FB" w:rsidRDefault="006530FB" w:rsidP="006530FB">
            <w:pPr>
              <w:pStyle w:val="ListParagraph"/>
              <w:numPr>
                <w:ilvl w:val="0"/>
                <w:numId w:val="18"/>
              </w:numPr>
              <w:rPr>
                <w:rFonts w:cstheme="minorHAnsi"/>
              </w:rPr>
            </w:pPr>
            <w:r w:rsidRPr="006530FB">
              <w:rPr>
                <w:rFonts w:cstheme="minorHAnsi"/>
              </w:rPr>
              <w:t>Define data that are needed</w:t>
            </w:r>
          </w:p>
          <w:p w14:paraId="099A27C3" w14:textId="77777777" w:rsidR="006530FB" w:rsidRPr="006530FB" w:rsidRDefault="006530FB" w:rsidP="006530FB">
            <w:pPr>
              <w:pStyle w:val="ListParagraph"/>
              <w:numPr>
                <w:ilvl w:val="0"/>
                <w:numId w:val="18"/>
              </w:numPr>
              <w:rPr>
                <w:rFonts w:cstheme="minorHAnsi"/>
              </w:rPr>
            </w:pPr>
            <w:r w:rsidRPr="006530FB">
              <w:rPr>
                <w:rFonts w:cstheme="minorHAnsi"/>
              </w:rPr>
              <w:t>Assess how standardized the codes are currently and how mapping to codes is conducted</w:t>
            </w:r>
          </w:p>
          <w:p w14:paraId="79F41A3C" w14:textId="77777777" w:rsidR="006530FB" w:rsidRPr="006530FB" w:rsidRDefault="006530FB" w:rsidP="006530FB">
            <w:pPr>
              <w:pStyle w:val="ListParagraph"/>
              <w:numPr>
                <w:ilvl w:val="0"/>
                <w:numId w:val="18"/>
              </w:numPr>
              <w:rPr>
                <w:rFonts w:cstheme="minorHAnsi"/>
              </w:rPr>
            </w:pPr>
            <w:r w:rsidRPr="006530FB">
              <w:rPr>
                <w:rFonts w:cstheme="minorHAnsi"/>
              </w:rPr>
              <w:t>Make recommendations on implementation of standardized codes</w:t>
            </w:r>
          </w:p>
          <w:p w14:paraId="249F6B0E" w14:textId="77777777" w:rsidR="006530FB" w:rsidRPr="006530FB" w:rsidRDefault="006530FB" w:rsidP="006530FB">
            <w:pPr>
              <w:pStyle w:val="ListParagraph"/>
              <w:numPr>
                <w:ilvl w:val="0"/>
                <w:numId w:val="18"/>
              </w:numPr>
              <w:rPr>
                <w:rFonts w:cstheme="minorHAnsi"/>
                <w:sz w:val="24"/>
                <w:szCs w:val="24"/>
              </w:rPr>
            </w:pPr>
            <w:r w:rsidRPr="006530FB">
              <w:rPr>
                <w:rFonts w:cstheme="minorHAnsi"/>
              </w:rPr>
              <w:t>List principles for standardization to apply to new tests</w:t>
            </w:r>
          </w:p>
          <w:bookmarkEnd w:id="1"/>
          <w:p w14:paraId="51BAF07A" w14:textId="77777777" w:rsidR="006530FB" w:rsidRPr="007E5AA6" w:rsidRDefault="006530FB" w:rsidP="00A61F28">
            <w:pPr>
              <w:widowControl w:val="0"/>
              <w:autoSpaceDE w:val="0"/>
              <w:autoSpaceDN w:val="0"/>
              <w:adjustRightInd w:val="0"/>
              <w:rPr>
                <w:rFonts w:ascii="Calibri" w:eastAsiaTheme="minorEastAsia" w:hAnsi="Calibri" w:cs="Calibri"/>
                <w:sz w:val="24"/>
                <w:szCs w:val="24"/>
                <w:lang w:val="en"/>
              </w:rPr>
            </w:pPr>
          </w:p>
        </w:tc>
      </w:tr>
      <w:tr w:rsidR="006530FB" w14:paraId="0164281D" w14:textId="77777777" w:rsidTr="00187F1B">
        <w:tc>
          <w:tcPr>
            <w:tcW w:w="12950" w:type="dxa"/>
          </w:tcPr>
          <w:p w14:paraId="2B32502B" w14:textId="77777777" w:rsidR="006530FB" w:rsidRPr="00A61F28" w:rsidRDefault="006530FB" w:rsidP="006530FB">
            <w:pPr>
              <w:rPr>
                <w:rFonts w:cstheme="minorHAnsi"/>
                <w:sz w:val="24"/>
                <w:szCs w:val="24"/>
                <w:u w:val="single"/>
              </w:rPr>
            </w:pPr>
            <w:bookmarkStart w:id="2" w:name="_Hlk503516173"/>
            <w:r w:rsidRPr="00A61F28">
              <w:rPr>
                <w:rFonts w:ascii="Calibri" w:eastAsiaTheme="minorEastAsia" w:hAnsi="Calibri" w:cs="Calibri"/>
                <w:sz w:val="24"/>
                <w:szCs w:val="24"/>
                <w:u w:val="single"/>
                <w:lang w:val="en"/>
              </w:rPr>
              <w:t>Objective B-5 (Laboratory WG)</w:t>
            </w:r>
            <w:r w:rsidRPr="00A61F28">
              <w:rPr>
                <w:rFonts w:cstheme="minorHAnsi"/>
                <w:sz w:val="24"/>
                <w:szCs w:val="24"/>
                <w:u w:val="single"/>
              </w:rPr>
              <w:t>:  Implement a strategy to extract suppressed antimicrobial susceptibility test results that are critical to public health surveillance and response.</w:t>
            </w:r>
          </w:p>
          <w:p w14:paraId="443A44AF" w14:textId="77777777" w:rsidR="006530FB" w:rsidRPr="00A61F28" w:rsidRDefault="006530FB" w:rsidP="006530FB">
            <w:pPr>
              <w:numPr>
                <w:ilvl w:val="0"/>
                <w:numId w:val="19"/>
              </w:numPr>
              <w:contextualSpacing/>
              <w:rPr>
                <w:rFonts w:cstheme="minorHAnsi"/>
                <w:sz w:val="24"/>
                <w:szCs w:val="24"/>
              </w:rPr>
            </w:pPr>
            <w:r w:rsidRPr="00A61F28">
              <w:rPr>
                <w:rFonts w:cstheme="minorHAnsi"/>
                <w:sz w:val="24"/>
                <w:szCs w:val="24"/>
              </w:rPr>
              <w:t>Define “data suppression” and “cascading suppression” for AR</w:t>
            </w:r>
          </w:p>
          <w:p w14:paraId="0A69B6DC" w14:textId="77777777" w:rsidR="006530FB" w:rsidRPr="00A61F28" w:rsidRDefault="006530FB" w:rsidP="006530FB">
            <w:pPr>
              <w:numPr>
                <w:ilvl w:val="0"/>
                <w:numId w:val="19"/>
              </w:numPr>
              <w:contextualSpacing/>
              <w:rPr>
                <w:rFonts w:cstheme="minorHAnsi"/>
                <w:sz w:val="24"/>
                <w:szCs w:val="24"/>
              </w:rPr>
            </w:pPr>
            <w:r w:rsidRPr="00A61F28">
              <w:rPr>
                <w:rFonts w:cstheme="minorHAnsi"/>
                <w:sz w:val="24"/>
                <w:szCs w:val="24"/>
              </w:rPr>
              <w:t>Assess the prevalence and patters of suppression, where suppression occurs in laboratory or health care systems, support for and barriers to de-suppression in the clinical and laboratory communities</w:t>
            </w:r>
          </w:p>
          <w:p w14:paraId="1498BBC3" w14:textId="77777777" w:rsidR="006530FB" w:rsidRPr="00A61F28" w:rsidRDefault="006530FB" w:rsidP="006530FB">
            <w:pPr>
              <w:numPr>
                <w:ilvl w:val="0"/>
                <w:numId w:val="19"/>
              </w:numPr>
              <w:contextualSpacing/>
              <w:rPr>
                <w:rFonts w:cstheme="minorHAnsi"/>
                <w:sz w:val="24"/>
                <w:szCs w:val="24"/>
              </w:rPr>
            </w:pPr>
            <w:r w:rsidRPr="00A61F28">
              <w:rPr>
                <w:rFonts w:cstheme="minorHAnsi"/>
                <w:sz w:val="24"/>
                <w:szCs w:val="24"/>
              </w:rPr>
              <w:t>Make recommendations on how de-suppression could be accomplished</w:t>
            </w:r>
          </w:p>
          <w:bookmarkEnd w:id="2"/>
          <w:p w14:paraId="6E8F0FF5" w14:textId="77777777" w:rsidR="006530FB" w:rsidRPr="007E5AA6" w:rsidRDefault="006530FB" w:rsidP="00A61F28">
            <w:pPr>
              <w:widowControl w:val="0"/>
              <w:autoSpaceDE w:val="0"/>
              <w:autoSpaceDN w:val="0"/>
              <w:adjustRightInd w:val="0"/>
              <w:rPr>
                <w:rFonts w:ascii="Calibri" w:eastAsiaTheme="minorEastAsia" w:hAnsi="Calibri" w:cs="Calibri"/>
                <w:sz w:val="24"/>
                <w:szCs w:val="24"/>
                <w:lang w:val="en"/>
              </w:rPr>
            </w:pPr>
          </w:p>
        </w:tc>
      </w:tr>
      <w:tr w:rsidR="00A61F28" w14:paraId="04ECC686" w14:textId="77777777" w:rsidTr="00187F1B">
        <w:tc>
          <w:tcPr>
            <w:tcW w:w="12950" w:type="dxa"/>
          </w:tcPr>
          <w:p w14:paraId="73B71898" w14:textId="77777777" w:rsidR="00A61F28" w:rsidRPr="007E5AA6" w:rsidRDefault="00A61F28" w:rsidP="00A61F28">
            <w:pPr>
              <w:pStyle w:val="BlackBullet"/>
              <w:rPr>
                <w:rFonts w:asciiTheme="minorHAnsi" w:hAnsiTheme="minorHAnsi" w:cstheme="minorHAnsi"/>
                <w:sz w:val="24"/>
                <w:szCs w:val="24"/>
                <w:u w:val="single"/>
              </w:rPr>
            </w:pPr>
            <w:r w:rsidRPr="007E5AA6">
              <w:rPr>
                <w:rFonts w:ascii="Calibri" w:eastAsiaTheme="minorEastAsia" w:hAnsi="Calibri" w:cs="Calibri"/>
                <w:sz w:val="24"/>
                <w:szCs w:val="24"/>
                <w:u w:val="single"/>
                <w:lang w:val="en"/>
              </w:rPr>
              <w:t xml:space="preserve">Objective </w:t>
            </w:r>
            <w:r w:rsidRPr="007E5AA6">
              <w:rPr>
                <w:rFonts w:asciiTheme="minorHAnsi" w:hAnsiTheme="minorHAnsi" w:cstheme="minorHAnsi"/>
                <w:sz w:val="24"/>
                <w:szCs w:val="24"/>
                <w:u w:val="single"/>
              </w:rPr>
              <w:t>C-4</w:t>
            </w:r>
            <w:r w:rsidRPr="007E5AA6">
              <w:rPr>
                <w:rFonts w:ascii="Calibri" w:eastAsiaTheme="minorEastAsia" w:hAnsi="Calibri" w:cs="Calibri"/>
                <w:sz w:val="24"/>
                <w:szCs w:val="24"/>
                <w:u w:val="single"/>
                <w:lang w:val="en"/>
              </w:rPr>
              <w:t xml:space="preserve"> (Laboratory WG)</w:t>
            </w:r>
            <w:r w:rsidRPr="007E5AA6">
              <w:rPr>
                <w:rFonts w:asciiTheme="minorHAnsi" w:hAnsiTheme="minorHAnsi" w:cstheme="minorHAnsi"/>
                <w:sz w:val="24"/>
                <w:szCs w:val="24"/>
                <w:u w:val="single"/>
              </w:rPr>
              <w:t>:  Establish and align standards for data collection, transmission and provisioning.</w:t>
            </w:r>
          </w:p>
          <w:p w14:paraId="35F2260D" w14:textId="77777777" w:rsidR="00A61F28" w:rsidRPr="007E5AA6" w:rsidRDefault="00A61F28" w:rsidP="00A61F28">
            <w:pPr>
              <w:widowControl w:val="0"/>
              <w:autoSpaceDE w:val="0"/>
              <w:autoSpaceDN w:val="0"/>
              <w:adjustRightInd w:val="0"/>
              <w:rPr>
                <w:rFonts w:ascii="Calibri" w:eastAsiaTheme="minorEastAsia" w:hAnsi="Calibri" w:cs="Calibri"/>
                <w:sz w:val="24"/>
                <w:szCs w:val="24"/>
                <w:lang w:val="en"/>
              </w:rPr>
            </w:pPr>
            <w:r w:rsidRPr="007E5AA6">
              <w:rPr>
                <w:rFonts w:ascii="Calibri" w:eastAsiaTheme="minorEastAsia" w:hAnsi="Calibri" w:cs="Calibri"/>
                <w:sz w:val="24"/>
                <w:szCs w:val="24"/>
                <w:lang w:val="en"/>
              </w:rPr>
              <w:t>Fundamental question: Where is the data collection, referred to here, happening?</w:t>
            </w:r>
          </w:p>
          <w:p w14:paraId="25AA964B" w14:textId="77777777" w:rsidR="00A61F28" w:rsidRPr="007E5AA6" w:rsidRDefault="00A61F28" w:rsidP="00A61F28">
            <w:pPr>
              <w:widowControl w:val="0"/>
              <w:numPr>
                <w:ilvl w:val="0"/>
                <w:numId w:val="20"/>
              </w:numPr>
              <w:autoSpaceDE w:val="0"/>
              <w:autoSpaceDN w:val="0"/>
              <w:adjustRightInd w:val="0"/>
              <w:ind w:left="720" w:hanging="360"/>
              <w:rPr>
                <w:rFonts w:ascii="Calibri" w:eastAsiaTheme="minorEastAsia" w:hAnsi="Calibri" w:cs="Calibri"/>
                <w:sz w:val="24"/>
                <w:szCs w:val="24"/>
                <w:u w:val="single"/>
                <w:lang w:val="en"/>
              </w:rPr>
            </w:pPr>
            <w:r w:rsidRPr="007E5AA6">
              <w:rPr>
                <w:rFonts w:ascii="Calibri" w:eastAsiaTheme="minorEastAsia" w:hAnsi="Calibri" w:cs="Calibri"/>
                <w:sz w:val="24"/>
                <w:szCs w:val="24"/>
                <w:lang w:val="en"/>
              </w:rPr>
              <w:t>Is this an area for the development of recommendations regarding electronic data transfer from labs to public health?</w:t>
            </w:r>
          </w:p>
          <w:p w14:paraId="1C547F5C" w14:textId="77777777" w:rsidR="00A61F28" w:rsidRPr="007E5AA6" w:rsidRDefault="00A61F28" w:rsidP="00A61F28">
            <w:pPr>
              <w:widowControl w:val="0"/>
              <w:numPr>
                <w:ilvl w:val="0"/>
                <w:numId w:val="20"/>
              </w:numPr>
              <w:autoSpaceDE w:val="0"/>
              <w:autoSpaceDN w:val="0"/>
              <w:adjustRightInd w:val="0"/>
              <w:ind w:left="720" w:hanging="360"/>
              <w:rPr>
                <w:rFonts w:ascii="Calibri" w:eastAsiaTheme="minorEastAsia" w:hAnsi="Calibri" w:cs="Calibri"/>
                <w:sz w:val="24"/>
                <w:szCs w:val="24"/>
                <w:u w:val="single"/>
                <w:lang w:val="en"/>
              </w:rPr>
            </w:pPr>
            <w:r w:rsidRPr="007E5AA6">
              <w:rPr>
                <w:rFonts w:ascii="Calibri" w:eastAsiaTheme="minorEastAsia" w:hAnsi="Calibri" w:cs="Calibri"/>
                <w:sz w:val="24"/>
                <w:szCs w:val="24"/>
                <w:lang w:val="en"/>
              </w:rPr>
              <w:t xml:space="preserve">How many states currently have capacity to receive to ELR? Most states. However, whether they can use that data and receive susceptibility data is another question. </w:t>
            </w:r>
          </w:p>
          <w:p w14:paraId="70A6A42A" w14:textId="77777777" w:rsidR="00A61F28" w:rsidRPr="007E5AA6" w:rsidRDefault="00A61F28" w:rsidP="00A61F28">
            <w:pPr>
              <w:widowControl w:val="0"/>
              <w:numPr>
                <w:ilvl w:val="0"/>
                <w:numId w:val="20"/>
              </w:numPr>
              <w:autoSpaceDE w:val="0"/>
              <w:autoSpaceDN w:val="0"/>
              <w:adjustRightInd w:val="0"/>
              <w:ind w:left="720" w:hanging="360"/>
              <w:rPr>
                <w:rFonts w:ascii="Calibri" w:eastAsiaTheme="minorEastAsia" w:hAnsi="Calibri" w:cs="Calibri"/>
                <w:sz w:val="24"/>
                <w:szCs w:val="24"/>
                <w:u w:val="single"/>
                <w:lang w:val="en"/>
              </w:rPr>
            </w:pPr>
            <w:r w:rsidRPr="007E5AA6">
              <w:rPr>
                <w:rFonts w:ascii="Calibri" w:eastAsiaTheme="minorEastAsia" w:hAnsi="Calibri" w:cs="Calibri"/>
                <w:sz w:val="24"/>
                <w:szCs w:val="24"/>
                <w:lang w:val="en"/>
              </w:rPr>
              <w:t xml:space="preserve">Suggestion: look carefully at ELR message and determine if it includes all the desired data elements. If not, now is the time to provide input on adding those elements. </w:t>
            </w:r>
          </w:p>
          <w:p w14:paraId="43F4E4DB" w14:textId="77777777" w:rsidR="00A61F28" w:rsidRPr="007E5AA6" w:rsidRDefault="00A61F28" w:rsidP="00A61F28">
            <w:pPr>
              <w:widowControl w:val="0"/>
              <w:numPr>
                <w:ilvl w:val="0"/>
                <w:numId w:val="20"/>
              </w:numPr>
              <w:autoSpaceDE w:val="0"/>
              <w:autoSpaceDN w:val="0"/>
              <w:adjustRightInd w:val="0"/>
              <w:ind w:left="720" w:hanging="360"/>
              <w:rPr>
                <w:rFonts w:ascii="Calibri" w:eastAsiaTheme="minorEastAsia" w:hAnsi="Calibri" w:cs="Calibri"/>
                <w:sz w:val="24"/>
                <w:szCs w:val="24"/>
                <w:u w:val="single"/>
                <w:lang w:val="en"/>
              </w:rPr>
            </w:pPr>
            <w:r w:rsidRPr="007E5AA6">
              <w:rPr>
                <w:rFonts w:ascii="Calibri" w:eastAsiaTheme="minorEastAsia" w:hAnsi="Calibri" w:cs="Calibri"/>
                <w:sz w:val="24"/>
                <w:szCs w:val="24"/>
                <w:lang w:val="en"/>
              </w:rPr>
              <w:t xml:space="preserve">Another avenue to consider: implications for HL7 messages, barriers associated with that format. </w:t>
            </w:r>
          </w:p>
          <w:p w14:paraId="24FC7A4E" w14:textId="77777777" w:rsidR="00A61F28" w:rsidRDefault="00A61F28" w:rsidP="002E0A2A">
            <w:pPr>
              <w:rPr>
                <w:b/>
                <w:sz w:val="24"/>
                <w:szCs w:val="24"/>
              </w:rPr>
            </w:pPr>
          </w:p>
        </w:tc>
      </w:tr>
      <w:tr w:rsidR="00A61F28" w14:paraId="670743CA" w14:textId="77777777" w:rsidTr="00717E82">
        <w:tc>
          <w:tcPr>
            <w:tcW w:w="12950" w:type="dxa"/>
          </w:tcPr>
          <w:p w14:paraId="144A0DD1" w14:textId="77777777" w:rsidR="00A61F28" w:rsidRDefault="00A61F28" w:rsidP="003114B0">
            <w:pPr>
              <w:rPr>
                <w:b/>
              </w:rPr>
            </w:pPr>
          </w:p>
          <w:p w14:paraId="2C346030" w14:textId="705AD70B" w:rsidR="00F40E73" w:rsidRPr="00611A14" w:rsidRDefault="00A61F28" w:rsidP="00F40E73">
            <w:pPr>
              <w:spacing w:after="120"/>
              <w:contextualSpacing/>
              <w:rPr>
                <w:rFonts w:eastAsia="Calibri" w:cstheme="minorHAnsi"/>
              </w:rPr>
            </w:pPr>
            <w:r w:rsidRPr="00F40E73">
              <w:rPr>
                <w:rFonts w:eastAsia="Calibri" w:cstheme="minorHAnsi"/>
                <w:u w:val="single"/>
              </w:rPr>
              <w:t>A-5:  Increase public health, lab and clinical informatics and bioinformatics capacity.</w:t>
            </w:r>
          </w:p>
          <w:p w14:paraId="57B87C50" w14:textId="77777777" w:rsidR="00821ABF" w:rsidRPr="00611A14" w:rsidRDefault="00821ABF" w:rsidP="009F1B83">
            <w:pPr>
              <w:numPr>
                <w:ilvl w:val="0"/>
                <w:numId w:val="4"/>
              </w:numPr>
              <w:spacing w:after="120"/>
              <w:contextualSpacing/>
              <w:rPr>
                <w:rFonts w:eastAsia="Calibri" w:cstheme="minorHAnsi"/>
              </w:rPr>
            </w:pPr>
            <w:r w:rsidRPr="00611A14">
              <w:rPr>
                <w:rFonts w:ascii="Calibri" w:eastAsia="Calibri" w:hAnsi="Calibri" w:cs="Calibri"/>
                <w:color w:val="333333"/>
                <w:lang w:val="en"/>
              </w:rPr>
              <w:t>Enhance laboratory IT, informatics and bioinformatics capacity to generate, store, analyze, and transfer large and complex data sets capable of AR surveillance.  These data sets should be readily modifiable to address changes in pathogens under surveillance, information on resistance, and in testing technology.</w:t>
            </w:r>
          </w:p>
          <w:p w14:paraId="4252B7FF" w14:textId="77777777" w:rsidR="00A61F28" w:rsidRDefault="00A61F28" w:rsidP="00F40E73">
            <w:pPr>
              <w:numPr>
                <w:ilvl w:val="0"/>
                <w:numId w:val="4"/>
              </w:numPr>
              <w:spacing w:after="120"/>
              <w:contextualSpacing/>
              <w:rPr>
                <w:rFonts w:eastAsia="Calibri" w:cstheme="minorHAnsi"/>
              </w:rPr>
            </w:pPr>
            <w:r>
              <w:rPr>
                <w:rFonts w:eastAsia="Calibri" w:cstheme="minorHAnsi"/>
              </w:rPr>
              <w:lastRenderedPageBreak/>
              <w:t>Define what “capacity” means vis-a-via AR.</w:t>
            </w:r>
          </w:p>
          <w:p w14:paraId="7A6994EA" w14:textId="77777777" w:rsidR="00A61F28" w:rsidRPr="00611A14" w:rsidRDefault="00A61F28" w:rsidP="00F40E73">
            <w:pPr>
              <w:numPr>
                <w:ilvl w:val="0"/>
                <w:numId w:val="4"/>
              </w:numPr>
              <w:spacing w:after="120"/>
              <w:contextualSpacing/>
              <w:rPr>
                <w:rFonts w:eastAsia="Calibri" w:cstheme="minorHAnsi"/>
              </w:rPr>
            </w:pPr>
            <w:r w:rsidRPr="00611A14">
              <w:rPr>
                <w:rFonts w:eastAsia="Calibri" w:cstheme="minorHAnsi"/>
              </w:rPr>
              <w:t>Assess current capacity in these areas.</w:t>
            </w:r>
          </w:p>
          <w:p w14:paraId="3F82C8B3" w14:textId="77777777" w:rsidR="00A61F28" w:rsidRPr="00611A14" w:rsidRDefault="00A61F28" w:rsidP="00F40E73">
            <w:pPr>
              <w:numPr>
                <w:ilvl w:val="0"/>
                <w:numId w:val="4"/>
              </w:numPr>
              <w:spacing w:after="120"/>
              <w:ind w:hanging="390"/>
              <w:contextualSpacing/>
              <w:rPr>
                <w:rFonts w:eastAsia="Calibri" w:cstheme="minorHAnsi"/>
              </w:rPr>
            </w:pPr>
            <w:r w:rsidRPr="00611A14">
              <w:rPr>
                <w:rFonts w:eastAsia="Calibri" w:cstheme="minorHAnsi"/>
              </w:rPr>
              <w:t>Make recommendations for increase, with priorities.</w:t>
            </w:r>
          </w:p>
          <w:p w14:paraId="175A3FE4" w14:textId="00EB1E1C" w:rsidR="00A61F28" w:rsidRPr="00611A14" w:rsidRDefault="00A61F28" w:rsidP="00F40E73">
            <w:pPr>
              <w:numPr>
                <w:ilvl w:val="0"/>
                <w:numId w:val="4"/>
              </w:numPr>
              <w:spacing w:after="120"/>
              <w:contextualSpacing/>
              <w:rPr>
                <w:rFonts w:eastAsia="Calibri" w:cstheme="minorHAnsi"/>
              </w:rPr>
            </w:pPr>
            <w:r w:rsidRPr="00611A14">
              <w:rPr>
                <w:rFonts w:eastAsia="Calibri" w:cstheme="minorHAnsi"/>
              </w:rPr>
              <w:t xml:space="preserve">Identify actions to increase capacity with current </w:t>
            </w:r>
            <w:proofErr w:type="gramStart"/>
            <w:r w:rsidR="00133D0A" w:rsidRPr="00611A14">
              <w:rPr>
                <w:rFonts w:eastAsia="Calibri" w:cstheme="minorHAnsi"/>
              </w:rPr>
              <w:t>resourc</w:t>
            </w:r>
            <w:r w:rsidR="00133D0A">
              <w:rPr>
                <w:rFonts w:eastAsia="Calibri" w:cstheme="minorHAnsi"/>
              </w:rPr>
              <w:t>e</w:t>
            </w:r>
            <w:r w:rsidR="00133D0A" w:rsidRPr="00611A14">
              <w:rPr>
                <w:rFonts w:eastAsia="Calibri" w:cstheme="minorHAnsi"/>
              </w:rPr>
              <w:t xml:space="preserve">s, </w:t>
            </w:r>
            <w:r w:rsidR="00133D0A">
              <w:rPr>
                <w:rFonts w:eastAsia="Calibri" w:cstheme="minorHAnsi"/>
              </w:rPr>
              <w:t>and</w:t>
            </w:r>
            <w:proofErr w:type="gramEnd"/>
            <w:r w:rsidRPr="00611A14">
              <w:rPr>
                <w:rFonts w:eastAsia="Calibri" w:cstheme="minorHAnsi"/>
              </w:rPr>
              <w:t xml:space="preserve"> estimates of additional resources for increase in capacity.</w:t>
            </w:r>
          </w:p>
          <w:p w14:paraId="7C51BE87" w14:textId="77777777" w:rsidR="00A61F28" w:rsidRDefault="00A61F28" w:rsidP="002E0A2A">
            <w:pPr>
              <w:rPr>
                <w:b/>
                <w:sz w:val="24"/>
                <w:szCs w:val="24"/>
              </w:rPr>
            </w:pPr>
          </w:p>
        </w:tc>
      </w:tr>
    </w:tbl>
    <w:p w14:paraId="1CC09B3D" w14:textId="77777777" w:rsidR="002E0A2A" w:rsidRPr="00611A14" w:rsidRDefault="002E0A2A" w:rsidP="00611A14">
      <w:pPr>
        <w:pStyle w:val="BlackBullet"/>
        <w:rPr>
          <w:rFonts w:ascii="Calibri" w:hAnsi="Calibri" w:cs="Calibri"/>
          <w:color w:val="333333"/>
          <w:lang w:val="en"/>
        </w:rPr>
        <w:sectPr w:rsidR="002E0A2A" w:rsidRPr="00611A14" w:rsidSect="002E0A2A">
          <w:type w:val="continuous"/>
          <w:pgSz w:w="15840" w:h="12240" w:orient="landscape"/>
          <w:pgMar w:top="1440" w:right="1440" w:bottom="1440" w:left="1440" w:header="720" w:footer="720" w:gutter="0"/>
          <w:cols w:space="720"/>
          <w:docGrid w:linePitch="360"/>
        </w:sectPr>
      </w:pPr>
    </w:p>
    <w:p w14:paraId="24103A7E" w14:textId="77777777" w:rsidR="002E0A2A" w:rsidRPr="00611A14" w:rsidRDefault="002E0A2A" w:rsidP="00611A14">
      <w:pPr>
        <w:pStyle w:val="BlackBullet"/>
        <w:rPr>
          <w:rFonts w:asciiTheme="minorHAnsi" w:hAnsiTheme="minorHAnsi" w:cstheme="minorHAnsi"/>
        </w:rPr>
      </w:pPr>
    </w:p>
    <w:p w14:paraId="1DA0CA9E" w14:textId="4D914523" w:rsidR="00DF389D" w:rsidRDefault="00B80AE1" w:rsidP="00B80AE1">
      <w:pPr>
        <w:pStyle w:val="BlackBullet"/>
      </w:pPr>
      <w:r>
        <w:rPr>
          <w:rFonts w:asciiTheme="minorHAnsi" w:hAnsiTheme="minorHAnsi" w:cstheme="minorHAnsi"/>
        </w:rPr>
        <w:t>1/</w:t>
      </w:r>
      <w:r w:rsidR="00A61F28">
        <w:rPr>
          <w:rFonts w:asciiTheme="minorHAnsi" w:hAnsiTheme="minorHAnsi" w:cstheme="minorHAnsi"/>
        </w:rPr>
        <w:t>30</w:t>
      </w:r>
      <w:r>
        <w:rPr>
          <w:rFonts w:asciiTheme="minorHAnsi" w:hAnsiTheme="minorHAnsi" w:cstheme="minorHAnsi"/>
        </w:rPr>
        <w:t>/1</w:t>
      </w:r>
      <w:r w:rsidR="00A61F28">
        <w:rPr>
          <w:rFonts w:asciiTheme="minorHAnsi" w:hAnsiTheme="minorHAnsi" w:cstheme="minorHAnsi"/>
        </w:rPr>
        <w:t>8</w:t>
      </w:r>
      <w:r w:rsidR="002E0A2A">
        <w:br w:type="column"/>
      </w:r>
      <w:r w:rsidR="00611A14">
        <w:t xml:space="preserve"> </w:t>
      </w:r>
    </w:p>
    <w:sectPr w:rsidR="00DF389D" w:rsidSect="002E0A2A">
      <w:type w:val="continuous"/>
      <w:pgSz w:w="15840" w:h="12240" w:orient="landscape"/>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B46779A"/>
    <w:lvl w:ilvl="0">
      <w:numFmt w:val="bullet"/>
      <w:lvlText w:val="*"/>
      <w:lvlJc w:val="left"/>
    </w:lvl>
  </w:abstractNum>
  <w:abstractNum w:abstractNumId="1" w15:restartNumberingAfterBreak="0">
    <w:nsid w:val="0AF928A8"/>
    <w:multiLevelType w:val="hybridMultilevel"/>
    <w:tmpl w:val="E0F25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FE5B38"/>
    <w:multiLevelType w:val="hybridMultilevel"/>
    <w:tmpl w:val="7F94A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6656A"/>
    <w:multiLevelType w:val="hybridMultilevel"/>
    <w:tmpl w:val="BAFE1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A551B"/>
    <w:multiLevelType w:val="hybridMultilevel"/>
    <w:tmpl w:val="7D524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7272BB"/>
    <w:multiLevelType w:val="hybridMultilevel"/>
    <w:tmpl w:val="9D8C6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17DE7"/>
    <w:multiLevelType w:val="hybridMultilevel"/>
    <w:tmpl w:val="B2445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A527E"/>
    <w:multiLevelType w:val="multilevel"/>
    <w:tmpl w:val="3B08EC9C"/>
    <w:styleLink w:val="BlueNoSpacing"/>
    <w:lvl w:ilvl="0">
      <w:start w:val="1"/>
      <w:numFmt w:val="bullet"/>
      <w:lvlText w:val=""/>
      <w:lvlJc w:val="left"/>
      <w:pPr>
        <w:ind w:left="360" w:hanging="360"/>
      </w:pPr>
      <w:rPr>
        <w:rFonts w:ascii="Wingdings" w:hAnsi="Wingdings" w:hint="default"/>
        <w:b w:val="0"/>
        <w:i w:val="0"/>
        <w:color w:val="auto"/>
        <w:sz w:val="16"/>
      </w:rPr>
    </w:lvl>
    <w:lvl w:ilvl="1">
      <w:start w:val="1"/>
      <w:numFmt w:val="bullet"/>
      <w:lvlText w:val=""/>
      <w:lvlJc w:val="left"/>
      <w:pPr>
        <w:ind w:left="720" w:hanging="360"/>
      </w:pPr>
      <w:rPr>
        <w:rFonts w:ascii="Symbol" w:hAnsi="Symbol" w:hint="default"/>
        <w:color w:val="auto"/>
        <w:sz w:val="20"/>
      </w:rPr>
    </w:lvl>
    <w:lvl w:ilvl="2">
      <w:start w:val="1"/>
      <w:numFmt w:val="bullet"/>
      <w:lvlText w:val=""/>
      <w:lvlJc w:val="left"/>
      <w:pPr>
        <w:ind w:left="1080" w:hanging="360"/>
      </w:pPr>
      <w:rPr>
        <w:rFonts w:ascii="Wingdings" w:hAnsi="Wingdings" w:hint="default"/>
        <w:color w:val="auto"/>
        <w:sz w:val="18"/>
      </w:rPr>
    </w:lvl>
    <w:lvl w:ilvl="3">
      <w:start w:val="1"/>
      <w:numFmt w:val="bullet"/>
      <w:lvlText w:val=""/>
      <w:lvlJc w:val="left"/>
      <w:pPr>
        <w:ind w:left="1440" w:hanging="360"/>
      </w:pPr>
      <w:rPr>
        <w:rFonts w:ascii="Symbol" w:hAnsi="Symbol" w:hint="default"/>
        <w:color w:val="auto"/>
        <w:sz w:val="22"/>
      </w:rPr>
    </w:lvl>
    <w:lvl w:ilvl="4">
      <w:start w:val="1"/>
      <w:numFmt w:val="bullet"/>
      <w:lvlText w:val=""/>
      <w:lvlJc w:val="left"/>
      <w:pPr>
        <w:ind w:left="1800" w:hanging="360"/>
      </w:pPr>
      <w:rPr>
        <w:rFonts w:ascii="Wingdings" w:hAnsi="Wingdings" w:hint="default"/>
        <w:color w:val="auto"/>
        <w:sz w:val="16"/>
      </w:rPr>
    </w:lvl>
    <w:lvl w:ilvl="5">
      <w:start w:val="1"/>
      <w:numFmt w:val="bullet"/>
      <w:lvlText w:val=""/>
      <w:lvlJc w:val="left"/>
      <w:pPr>
        <w:ind w:left="2160" w:hanging="360"/>
      </w:pPr>
      <w:rPr>
        <w:rFonts w:ascii="Wingdings" w:hAnsi="Wingdings" w:hint="default"/>
        <w:color w:val="auto"/>
        <w:sz w:val="16"/>
      </w:rPr>
    </w:lvl>
    <w:lvl w:ilvl="6">
      <w:start w:val="1"/>
      <w:numFmt w:val="bullet"/>
      <w:lvlText w:val=""/>
      <w:lvlJc w:val="left"/>
      <w:pPr>
        <w:ind w:left="2520" w:hanging="360"/>
      </w:pPr>
      <w:rPr>
        <w:rFonts w:ascii="Symbol" w:hAnsi="Symbol" w:hint="default"/>
        <w:color w:val="auto"/>
      </w:rPr>
    </w:lvl>
    <w:lvl w:ilvl="7">
      <w:start w:val="1"/>
      <w:numFmt w:val="none"/>
      <w:lvlText w:val=""/>
      <w:lvlJc w:val="left"/>
      <w:pPr>
        <w:ind w:left="2880" w:hanging="360"/>
      </w:pPr>
    </w:lvl>
    <w:lvl w:ilvl="8">
      <w:start w:val="1"/>
      <w:numFmt w:val="none"/>
      <w:lvlText w:val=""/>
      <w:lvlJc w:val="left"/>
      <w:pPr>
        <w:ind w:left="3240" w:hanging="360"/>
      </w:pPr>
    </w:lvl>
  </w:abstractNum>
  <w:abstractNum w:abstractNumId="8" w15:restartNumberingAfterBreak="0">
    <w:nsid w:val="4C55164E"/>
    <w:multiLevelType w:val="hybridMultilevel"/>
    <w:tmpl w:val="D916D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737E35"/>
    <w:multiLevelType w:val="hybridMultilevel"/>
    <w:tmpl w:val="03A8A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6D1686"/>
    <w:multiLevelType w:val="hybridMultilevel"/>
    <w:tmpl w:val="A6AC9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A8C58A6"/>
    <w:multiLevelType w:val="hybridMultilevel"/>
    <w:tmpl w:val="3572A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C30156"/>
    <w:multiLevelType w:val="hybridMultilevel"/>
    <w:tmpl w:val="D54E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66053B"/>
    <w:multiLevelType w:val="hybridMultilevel"/>
    <w:tmpl w:val="94EC8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E44995"/>
    <w:multiLevelType w:val="hybridMultilevel"/>
    <w:tmpl w:val="273CA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C187BF8"/>
    <w:multiLevelType w:val="hybridMultilevel"/>
    <w:tmpl w:val="40C66ED0"/>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7"/>
  </w:num>
  <w:num w:numId="2">
    <w:abstractNumId w:val="11"/>
  </w:num>
  <w:num w:numId="3">
    <w:abstractNumId w:val="15"/>
  </w:num>
  <w:num w:numId="4">
    <w:abstractNumId w:val="1"/>
  </w:num>
  <w:num w:numId="5">
    <w:abstractNumId w:val="8"/>
  </w:num>
  <w:num w:numId="6">
    <w:abstractNumId w:val="2"/>
  </w:num>
  <w:num w:numId="7">
    <w:abstractNumId w:val="3"/>
  </w:num>
  <w:num w:numId="8">
    <w:abstractNumId w:val="4"/>
  </w:num>
  <w:num w:numId="9">
    <w:abstractNumId w:val="6"/>
  </w:num>
  <w:num w:numId="10">
    <w:abstractNumId w:val="5"/>
  </w:num>
  <w:num w:numId="11">
    <w:abstractNumId w:val="12"/>
  </w:num>
  <w:num w:numId="12">
    <w:abstractNumId w:val="10"/>
  </w:num>
  <w:num w:numId="13">
    <w:abstractNumId w:val="6"/>
  </w:num>
  <w:num w:numId="14">
    <w:abstractNumId w:val="5"/>
  </w:num>
  <w:num w:numId="15">
    <w:abstractNumId w:val="1"/>
  </w:num>
  <w:num w:numId="16">
    <w:abstractNumId w:val="14"/>
  </w:num>
  <w:num w:numId="17">
    <w:abstractNumId w:val="12"/>
  </w:num>
  <w:num w:numId="18">
    <w:abstractNumId w:val="13"/>
  </w:num>
  <w:num w:numId="19">
    <w:abstractNumId w:val="9"/>
  </w:num>
  <w:num w:numId="20">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2A"/>
    <w:rsid w:val="00045AFF"/>
    <w:rsid w:val="00133D0A"/>
    <w:rsid w:val="002E0A2A"/>
    <w:rsid w:val="003114B0"/>
    <w:rsid w:val="003267C0"/>
    <w:rsid w:val="00611A14"/>
    <w:rsid w:val="006530FB"/>
    <w:rsid w:val="00821ABF"/>
    <w:rsid w:val="009E5C79"/>
    <w:rsid w:val="009F1B83"/>
    <w:rsid w:val="00A41F45"/>
    <w:rsid w:val="00A61F28"/>
    <w:rsid w:val="00A902D3"/>
    <w:rsid w:val="00B80AE1"/>
    <w:rsid w:val="00B81961"/>
    <w:rsid w:val="00BA7040"/>
    <w:rsid w:val="00DF389D"/>
    <w:rsid w:val="00E50244"/>
    <w:rsid w:val="00E6173E"/>
    <w:rsid w:val="00E86253"/>
    <w:rsid w:val="00F40E73"/>
    <w:rsid w:val="00F46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FE6FD"/>
  <w15:chartTrackingRefBased/>
  <w15:docId w15:val="{E9A00CD7-9B48-45CE-AEC4-EC055E04B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A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A2A"/>
    <w:pPr>
      <w:ind w:left="720"/>
      <w:contextualSpacing/>
    </w:pPr>
  </w:style>
  <w:style w:type="character" w:customStyle="1" w:styleId="BlackBulletChar">
    <w:name w:val="Black Bullet Char"/>
    <w:basedOn w:val="DefaultParagraphFont"/>
    <w:link w:val="BlackBullet"/>
    <w:locked/>
    <w:rsid w:val="002E0A2A"/>
    <w:rPr>
      <w:rFonts w:ascii="Century Gothic" w:eastAsia="Calibri" w:hAnsi="Century Gothic"/>
    </w:rPr>
  </w:style>
  <w:style w:type="paragraph" w:customStyle="1" w:styleId="BlackBullet">
    <w:name w:val="Black Bullet"/>
    <w:basedOn w:val="NoSpacing"/>
    <w:link w:val="BlackBulletChar"/>
    <w:qFormat/>
    <w:rsid w:val="002E0A2A"/>
    <w:pPr>
      <w:spacing w:after="120"/>
      <w:contextualSpacing/>
    </w:pPr>
    <w:rPr>
      <w:rFonts w:ascii="Century Gothic" w:eastAsia="Calibri" w:hAnsi="Century Gothic"/>
    </w:rPr>
  </w:style>
  <w:style w:type="numbering" w:customStyle="1" w:styleId="BlueNoSpacing">
    <w:name w:val="Blue No Spacing"/>
    <w:uiPriority w:val="99"/>
    <w:rsid w:val="002E0A2A"/>
    <w:pPr>
      <w:numPr>
        <w:numId w:val="1"/>
      </w:numPr>
    </w:pPr>
  </w:style>
  <w:style w:type="paragraph" w:styleId="NoSpacing">
    <w:name w:val="No Spacing"/>
    <w:uiPriority w:val="1"/>
    <w:qFormat/>
    <w:rsid w:val="002E0A2A"/>
    <w:pPr>
      <w:spacing w:after="0" w:line="240" w:lineRule="auto"/>
    </w:pPr>
  </w:style>
  <w:style w:type="table" w:styleId="TableGrid">
    <w:name w:val="Table Grid"/>
    <w:basedOn w:val="TableNormal"/>
    <w:uiPriority w:val="39"/>
    <w:rsid w:val="002E0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1F28"/>
    <w:rPr>
      <w:sz w:val="16"/>
      <w:szCs w:val="16"/>
    </w:rPr>
  </w:style>
  <w:style w:type="paragraph" w:styleId="CommentText">
    <w:name w:val="annotation text"/>
    <w:basedOn w:val="Normal"/>
    <w:link w:val="CommentTextChar"/>
    <w:uiPriority w:val="99"/>
    <w:semiHidden/>
    <w:unhideWhenUsed/>
    <w:rsid w:val="00A61F28"/>
    <w:pPr>
      <w:spacing w:line="240" w:lineRule="auto"/>
    </w:pPr>
    <w:rPr>
      <w:sz w:val="20"/>
      <w:szCs w:val="20"/>
    </w:rPr>
  </w:style>
  <w:style w:type="character" w:customStyle="1" w:styleId="CommentTextChar">
    <w:name w:val="Comment Text Char"/>
    <w:basedOn w:val="DefaultParagraphFont"/>
    <w:link w:val="CommentText"/>
    <w:uiPriority w:val="99"/>
    <w:semiHidden/>
    <w:rsid w:val="00A61F28"/>
    <w:rPr>
      <w:sz w:val="20"/>
      <w:szCs w:val="20"/>
    </w:rPr>
  </w:style>
  <w:style w:type="paragraph" w:styleId="BalloonText">
    <w:name w:val="Balloon Text"/>
    <w:basedOn w:val="Normal"/>
    <w:link w:val="BalloonTextChar"/>
    <w:uiPriority w:val="99"/>
    <w:semiHidden/>
    <w:unhideWhenUsed/>
    <w:rsid w:val="00F40E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E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279310">
      <w:bodyDiv w:val="1"/>
      <w:marLeft w:val="0"/>
      <w:marRight w:val="0"/>
      <w:marTop w:val="0"/>
      <w:marBottom w:val="0"/>
      <w:divBdr>
        <w:top w:val="none" w:sz="0" w:space="0" w:color="auto"/>
        <w:left w:val="none" w:sz="0" w:space="0" w:color="auto"/>
        <w:bottom w:val="none" w:sz="0" w:space="0" w:color="auto"/>
        <w:right w:val="none" w:sz="0" w:space="0" w:color="auto"/>
      </w:divBdr>
    </w:div>
    <w:div w:id="439767468">
      <w:bodyDiv w:val="1"/>
      <w:marLeft w:val="0"/>
      <w:marRight w:val="0"/>
      <w:marTop w:val="0"/>
      <w:marBottom w:val="0"/>
      <w:divBdr>
        <w:top w:val="none" w:sz="0" w:space="0" w:color="auto"/>
        <w:left w:val="none" w:sz="0" w:space="0" w:color="auto"/>
        <w:bottom w:val="none" w:sz="0" w:space="0" w:color="auto"/>
        <w:right w:val="none" w:sz="0" w:space="0" w:color="auto"/>
      </w:divBdr>
    </w:div>
    <w:div w:id="1091580530">
      <w:bodyDiv w:val="1"/>
      <w:marLeft w:val="0"/>
      <w:marRight w:val="0"/>
      <w:marTop w:val="0"/>
      <w:marBottom w:val="0"/>
      <w:divBdr>
        <w:top w:val="none" w:sz="0" w:space="0" w:color="auto"/>
        <w:left w:val="none" w:sz="0" w:space="0" w:color="auto"/>
        <w:bottom w:val="none" w:sz="0" w:space="0" w:color="auto"/>
        <w:right w:val="none" w:sz="0" w:space="0" w:color="auto"/>
      </w:divBdr>
    </w:div>
    <w:div w:id="1655141902">
      <w:bodyDiv w:val="1"/>
      <w:marLeft w:val="0"/>
      <w:marRight w:val="0"/>
      <w:marTop w:val="0"/>
      <w:marBottom w:val="0"/>
      <w:divBdr>
        <w:top w:val="none" w:sz="0" w:space="0" w:color="auto"/>
        <w:left w:val="none" w:sz="0" w:space="0" w:color="auto"/>
        <w:bottom w:val="none" w:sz="0" w:space="0" w:color="auto"/>
        <w:right w:val="none" w:sz="0" w:space="0" w:color="auto"/>
      </w:divBdr>
    </w:div>
    <w:div w:id="207411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Melchreit</dc:creator>
  <cp:keywords/>
  <dc:description/>
  <cp:lastModifiedBy>Richard Melchreit</cp:lastModifiedBy>
  <cp:revision>10</cp:revision>
  <dcterms:created xsi:type="dcterms:W3CDTF">2018-01-30T16:38:00Z</dcterms:created>
  <dcterms:modified xsi:type="dcterms:W3CDTF">2018-02-01T17:31:00Z</dcterms:modified>
</cp:coreProperties>
</file>