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6AC0B5" w14:textId="77777777" w:rsidR="00D56308" w:rsidRPr="00201A5C" w:rsidRDefault="00D56308" w:rsidP="00D56308">
      <w:pPr>
        <w:rPr>
          <w:b/>
          <w:sz w:val="24"/>
          <w:szCs w:val="24"/>
        </w:rPr>
      </w:pPr>
      <w:r w:rsidRPr="00201A5C">
        <w:rPr>
          <w:b/>
          <w:sz w:val="24"/>
          <w:szCs w:val="24"/>
        </w:rPr>
        <w:t xml:space="preserve">Best Practices for Surveillance of Antimicrobial Resistance via Electronic Laboratory Reporting  Recommendations from the CSTE AR/ELR Working Group, June 2017 – UPDATED BY THE ATSTF JUNE 2019 </w:t>
      </w:r>
    </w:p>
    <w:p w14:paraId="1C6FD997" w14:textId="4AAA1759" w:rsidR="00D56308" w:rsidRDefault="00D56308" w:rsidP="00D56308">
      <w:r>
        <w:t>Surveillance for antimicrobial resistance (e.g., Carbapenem-Resistant Enterobacteriaceae (CRE)</w:t>
      </w:r>
      <w:r w:rsidR="009914B0">
        <w:t xml:space="preserve">, C. </w:t>
      </w:r>
      <w:proofErr w:type="spellStart"/>
      <w:r w:rsidR="009914B0">
        <w:t>auris</w:t>
      </w:r>
      <w:proofErr w:type="spellEnd"/>
      <w:r>
        <w:t xml:space="preserve">), may be conducted entirely on laboratory observation findings and only possible through electronic laboratory reporting (ELR), because manual data collection is too resource intensive. This is an update of guidance from 2017  on capturing CRE in HL7 2.5.1 standard format for ELR to Public Health Agencies (PHA).  </w:t>
      </w:r>
    </w:p>
    <w:p w14:paraId="09FB36AC" w14:textId="77777777" w:rsidR="00D56308" w:rsidRDefault="00D56308" w:rsidP="00D56308">
      <w:r>
        <w:t xml:space="preserve">The purpose of this document is to recommend practices for working with laboratories </w:t>
      </w:r>
      <w:r w:rsidR="000A0B1F">
        <w:t>o</w:t>
      </w:r>
      <w:r>
        <w:t xml:space="preserve">n </w:t>
      </w:r>
      <w:r w:rsidR="000A0B1F">
        <w:t>A</w:t>
      </w:r>
      <w:r>
        <w:t xml:space="preserve">R ELR messages. It refers to laboratory reporting only; reporting from providers </w:t>
      </w:r>
      <w:r w:rsidR="00657555">
        <w:t xml:space="preserve">(i.e., Electronic Health Records or Health Information Exchanges) </w:t>
      </w:r>
      <w:r>
        <w:t>is outside its scope. PHAs are the primary audience for these best practices, but many recommendations are closely tied to laboratory systems and practices and may be applicable to th</w:t>
      </w:r>
      <w:r w:rsidR="00657555">
        <w:t>em</w:t>
      </w:r>
      <w:r>
        <w:t xml:space="preserve">. The focus of the 2017 guidance was on CRE reporting, this update is applicable to surveillance for other antimicrobial-resistant organisms.  </w:t>
      </w:r>
    </w:p>
    <w:p w14:paraId="056D1C89" w14:textId="77777777" w:rsidR="0063529B" w:rsidRDefault="0063529B" w:rsidP="0063529B">
      <w:r>
        <w:t>I. Communicating with Lab</w:t>
      </w:r>
      <w:r w:rsidR="00AD0E09">
        <w:t>oratorie</w:t>
      </w:r>
      <w:r>
        <w:t xml:space="preserve">s </w:t>
      </w:r>
    </w:p>
    <w:p w14:paraId="45EC6226" w14:textId="77777777" w:rsidR="0063529B" w:rsidRDefault="0063529B" w:rsidP="0063529B">
      <w:r>
        <w:t xml:space="preserve">A.  </w:t>
      </w:r>
      <w:r w:rsidR="00BD6A5E">
        <w:t>A</w:t>
      </w:r>
      <w:r>
        <w:t xml:space="preserve">s is standard practice with </w:t>
      </w:r>
      <w:r w:rsidR="00BD6A5E">
        <w:t>laboratory</w:t>
      </w:r>
      <w:r>
        <w:t>-r</w:t>
      </w:r>
      <w:r w:rsidR="00BD6A5E">
        <w:t>e</w:t>
      </w:r>
      <w:r>
        <w:t>p</w:t>
      </w:r>
      <w:r w:rsidR="00BD6A5E">
        <w:t>ortable</w:t>
      </w:r>
      <w:r>
        <w:t xml:space="preserve"> conditions, PHA should clearly communicate with laboratories regarding reporting requirements for AR with as much time as possible before reporting is </w:t>
      </w:r>
      <w:r w:rsidR="00BD6A5E">
        <w:t>required</w:t>
      </w:r>
      <w:r>
        <w:t xml:space="preserve">, </w:t>
      </w:r>
      <w:r w:rsidR="00BD6A5E">
        <w:t>preferentially</w:t>
      </w:r>
      <w:r>
        <w:t xml:space="preserve"> as much as six months</w:t>
      </w:r>
      <w:r w:rsidR="00BD6A5E">
        <w:t xml:space="preserve"> to one year</w:t>
      </w:r>
      <w:r>
        <w:t xml:space="preserve">. </w:t>
      </w:r>
      <w:r w:rsidR="0080489C">
        <w:t xml:space="preserve">This is </w:t>
      </w:r>
      <w:r w:rsidR="0020485F">
        <w:t>particularly</w:t>
      </w:r>
      <w:r w:rsidR="0080489C">
        <w:t xml:space="preserve"> helpful because of the </w:t>
      </w:r>
      <w:r w:rsidR="0020485F">
        <w:t xml:space="preserve">complexity </w:t>
      </w:r>
      <w:r w:rsidR="0080489C">
        <w:t xml:space="preserve">of AR </w:t>
      </w:r>
      <w:r w:rsidR="0020485F">
        <w:t>identification</w:t>
      </w:r>
      <w:r w:rsidR="0080489C">
        <w:t xml:space="preserve"> and </w:t>
      </w:r>
      <w:r w:rsidR="0020485F">
        <w:t>reporting</w:t>
      </w:r>
      <w:r w:rsidR="0080489C">
        <w:t xml:space="preserve"> information.  </w:t>
      </w:r>
      <w:r>
        <w:t xml:space="preserve">This communication should include: </w:t>
      </w:r>
    </w:p>
    <w:p w14:paraId="187E365B" w14:textId="7B546515" w:rsidR="0063529B" w:rsidRDefault="0063529B" w:rsidP="0063529B">
      <w:r>
        <w:t xml:space="preserve">o </w:t>
      </w:r>
      <w:r w:rsidR="004C535B">
        <w:t>T</w:t>
      </w:r>
      <w:r>
        <w:t xml:space="preserve">he </w:t>
      </w:r>
      <w:r w:rsidR="004C535B">
        <w:t>jurisdictional</w:t>
      </w:r>
      <w:r>
        <w:t xml:space="preserve"> </w:t>
      </w:r>
      <w:r w:rsidR="004C535B">
        <w:t>surveillance</w:t>
      </w:r>
      <w:r>
        <w:t xml:space="preserve"> definition for the AR that is being made reportable in their jurisdiction, </w:t>
      </w:r>
      <w:r w:rsidR="004C535B">
        <w:t>specified</w:t>
      </w:r>
      <w:r>
        <w:t xml:space="preserve"> by </w:t>
      </w:r>
      <w:r w:rsidR="00DC0D4B">
        <w:t xml:space="preserve">pathogen </w:t>
      </w:r>
      <w:r>
        <w:t xml:space="preserve">species, </w:t>
      </w:r>
      <w:r w:rsidR="0092020C">
        <w:t xml:space="preserve">and </w:t>
      </w:r>
      <w:r w:rsidR="004C535B">
        <w:t>phenotypic</w:t>
      </w:r>
      <w:r>
        <w:t xml:space="preserve"> </w:t>
      </w:r>
      <w:r w:rsidR="007D5B0A">
        <w:t>and</w:t>
      </w:r>
      <w:r>
        <w:t xml:space="preserve"> genotypic </w:t>
      </w:r>
      <w:r w:rsidR="007D5B0A">
        <w:t>mechanism</w:t>
      </w:r>
      <w:r w:rsidR="0092020C">
        <w:t xml:space="preserve"> test results.  T</w:t>
      </w:r>
      <w:r>
        <w:t xml:space="preserve">his applies to new </w:t>
      </w:r>
      <w:r w:rsidR="007D5B0A">
        <w:t>reporting</w:t>
      </w:r>
      <w:r>
        <w:t xml:space="preserve"> and to </w:t>
      </w:r>
      <w:r w:rsidR="00B52858">
        <w:t>modifications</w:t>
      </w:r>
      <w:r>
        <w:t xml:space="preserve"> of </w:t>
      </w:r>
      <w:r w:rsidR="00B52858">
        <w:t>standardized</w:t>
      </w:r>
      <w:r>
        <w:t xml:space="preserve"> reporting for AR for that species. Note that this may differ from clinical definitions.  </w:t>
      </w:r>
      <w:r w:rsidR="007D5B0A">
        <w:t>Generally</w:t>
      </w:r>
      <w:r>
        <w:t xml:space="preserve"> the CSTE position statement for </w:t>
      </w:r>
      <w:r w:rsidR="007D5B0A">
        <w:t>standardized</w:t>
      </w:r>
      <w:r>
        <w:t xml:space="preserve"> </w:t>
      </w:r>
      <w:r w:rsidR="007D5B0A">
        <w:t>surveillance,</w:t>
      </w:r>
      <w:r>
        <w:t xml:space="preserve"> if it e</w:t>
      </w:r>
      <w:r w:rsidR="007D5B0A">
        <w:t>x</w:t>
      </w:r>
      <w:r>
        <w:t>i</w:t>
      </w:r>
      <w:r w:rsidR="007D5B0A">
        <w:t>s</w:t>
      </w:r>
      <w:r>
        <w:t>ts for that AR, will desc</w:t>
      </w:r>
      <w:r w:rsidR="007D5B0A">
        <w:t>r</w:t>
      </w:r>
      <w:r>
        <w:t>i</w:t>
      </w:r>
      <w:r w:rsidR="007D5B0A">
        <w:t>b</w:t>
      </w:r>
      <w:r>
        <w:t xml:space="preserve">e the </w:t>
      </w:r>
      <w:r w:rsidR="007D5B0A">
        <w:t>definition</w:t>
      </w:r>
      <w:r>
        <w:t xml:space="preserve"> in </w:t>
      </w:r>
      <w:r w:rsidR="007D5B0A">
        <w:t>detail</w:t>
      </w:r>
      <w:r>
        <w:t xml:space="preserve">.  Use of </w:t>
      </w:r>
      <w:r w:rsidR="007D5B0A">
        <w:t>standardized</w:t>
      </w:r>
      <w:r>
        <w:t xml:space="preserve"> def</w:t>
      </w:r>
      <w:r w:rsidR="007D5B0A">
        <w:t xml:space="preserve">inition adopted by </w:t>
      </w:r>
      <w:r>
        <w:t>CSTE and CD</w:t>
      </w:r>
      <w:r w:rsidR="007D5B0A">
        <w:t>C</w:t>
      </w:r>
      <w:r>
        <w:t xml:space="preserve"> is highly </w:t>
      </w:r>
      <w:r w:rsidR="007D5B0A">
        <w:t>recommended</w:t>
      </w:r>
      <w:r>
        <w:t xml:space="preserve"> both for </w:t>
      </w:r>
      <w:r w:rsidR="007D5B0A">
        <w:t>accuracy</w:t>
      </w:r>
      <w:r>
        <w:t xml:space="preserve"> </w:t>
      </w:r>
      <w:r w:rsidR="0092020C">
        <w:t>an</w:t>
      </w:r>
      <w:r w:rsidR="007D5B0A">
        <w:t>d</w:t>
      </w:r>
      <w:r>
        <w:t xml:space="preserve"> for </w:t>
      </w:r>
      <w:r w:rsidR="007D5B0A">
        <w:t xml:space="preserve">comparability </w:t>
      </w:r>
      <w:r>
        <w:t xml:space="preserve">across </w:t>
      </w:r>
      <w:r w:rsidR="007D5B0A">
        <w:t>jurisdictions</w:t>
      </w:r>
      <w:r>
        <w:t>.</w:t>
      </w:r>
    </w:p>
    <w:p w14:paraId="3CF7FFC6" w14:textId="77777777" w:rsidR="0063529B" w:rsidRDefault="0063529B" w:rsidP="0063529B">
      <w:r>
        <w:t xml:space="preserve">o </w:t>
      </w:r>
      <w:r w:rsidR="00900087">
        <w:t>W</w:t>
      </w:r>
      <w:r>
        <w:t xml:space="preserve">hen to report </w:t>
      </w:r>
      <w:r w:rsidR="006B5046">
        <w:t>the AR of concern</w:t>
      </w:r>
      <w:r w:rsidR="00900087">
        <w:t>, the required timeframe between identification and submission of the report to the PHA (e.g., monthly, 48 hours</w:t>
      </w:r>
      <w:r w:rsidR="00900087" w:rsidRPr="00C2271D">
        <w:rPr>
          <w:highlight w:val="yellow"/>
        </w:rPr>
        <w:t>). [or do we mean it must be confirmed by additional or repeat testing before reporting?]</w:t>
      </w:r>
    </w:p>
    <w:p w14:paraId="111C2A0C" w14:textId="77777777" w:rsidR="00900087" w:rsidRDefault="0063529B" w:rsidP="0063529B">
      <w:r>
        <w:t>o How to report</w:t>
      </w:r>
      <w:r w:rsidR="000A0B1F">
        <w:t xml:space="preserve"> electronically</w:t>
      </w:r>
      <w:r>
        <w:t xml:space="preserve">: see </w:t>
      </w:r>
      <w:r w:rsidR="00201A5C">
        <w:t>II below</w:t>
      </w:r>
    </w:p>
    <w:p w14:paraId="0085BD0B" w14:textId="77777777" w:rsidR="00E74E57" w:rsidRDefault="0063529B" w:rsidP="0063529B">
      <w:r>
        <w:t xml:space="preserve">o Whom to contact at the  </w:t>
      </w:r>
      <w:r w:rsidR="0080489C">
        <w:t xml:space="preserve">PHA.  </w:t>
      </w:r>
      <w:r w:rsidR="0020485F">
        <w:t>Both a</w:t>
      </w:r>
      <w:r w:rsidR="0080489C">
        <w:t xml:space="preserve"> labor</w:t>
      </w:r>
      <w:r w:rsidR="0020485F">
        <w:t>atory</w:t>
      </w:r>
      <w:r w:rsidR="0080489C">
        <w:t xml:space="preserve"> contact person and an epide</w:t>
      </w:r>
      <w:r w:rsidR="0020485F">
        <w:t>miologist</w:t>
      </w:r>
      <w:r w:rsidR="0080489C">
        <w:t xml:space="preserve"> (such as the jurisdictional AR expert or their staff) are recommended </w:t>
      </w:r>
      <w:r>
        <w:t>for questions regarding testing methods and reporting</w:t>
      </w:r>
      <w:r w:rsidR="0080489C">
        <w:t>.</w:t>
      </w:r>
    </w:p>
    <w:p w14:paraId="25B208B1" w14:textId="77777777" w:rsidR="00900087" w:rsidRDefault="00E74E57" w:rsidP="0063529B">
      <w:r>
        <w:t>A template is attached</w:t>
      </w:r>
      <w:r w:rsidR="0063529B">
        <w:t xml:space="preserve"> (See Appendix </w:t>
      </w:r>
      <w:r>
        <w:t>A</w:t>
      </w:r>
      <w:r w:rsidR="0063529B">
        <w:t xml:space="preserve">): </w:t>
      </w:r>
      <w:r w:rsidRPr="00DC0D4B">
        <w:rPr>
          <w:highlight w:val="yellow"/>
        </w:rPr>
        <w:t xml:space="preserve">[Do we need this?  PHAs already do this all the time for a </w:t>
      </w:r>
      <w:r w:rsidR="0080489C" w:rsidRPr="00DC0D4B">
        <w:rPr>
          <w:highlight w:val="yellow"/>
        </w:rPr>
        <w:t>variety</w:t>
      </w:r>
      <w:r w:rsidRPr="00DC0D4B">
        <w:rPr>
          <w:highlight w:val="yellow"/>
        </w:rPr>
        <w:t xml:space="preserve"> o</w:t>
      </w:r>
      <w:r w:rsidR="0080489C" w:rsidRPr="00DC0D4B">
        <w:rPr>
          <w:highlight w:val="yellow"/>
        </w:rPr>
        <w:t>f infectious diseases.]</w:t>
      </w:r>
    </w:p>
    <w:p w14:paraId="3A0442E6" w14:textId="77777777" w:rsidR="0020485F" w:rsidRDefault="0063529B" w:rsidP="00900087">
      <w:r>
        <w:t xml:space="preserve">B. </w:t>
      </w:r>
      <w:r w:rsidR="00900087">
        <w:t>PHA</w:t>
      </w:r>
      <w:r>
        <w:t xml:space="preserve"> should also be aware of laboratory practices that may impact the quality of ELR messages for </w:t>
      </w:r>
      <w:r w:rsidR="00900087">
        <w:t>A</w:t>
      </w:r>
      <w:r>
        <w:t>R. These may include:</w:t>
      </w:r>
    </w:p>
    <w:p w14:paraId="5087334E" w14:textId="77777777" w:rsidR="0020485F" w:rsidRDefault="0063529B" w:rsidP="00900087">
      <w:r>
        <w:t xml:space="preserve">o Differences among laboratories in how </w:t>
      </w:r>
      <w:r w:rsidR="0020485F">
        <w:t>A</w:t>
      </w:r>
      <w:r>
        <w:t xml:space="preserve">R ELR messages are triggered. If the lab is able to automate </w:t>
      </w:r>
      <w:r w:rsidR="0020485F">
        <w:t>A</w:t>
      </w:r>
      <w:r>
        <w:t xml:space="preserve">R ELR messaging, this will require less work for the lab and reduce opportunities for missed reports. </w:t>
      </w:r>
      <w:r>
        <w:lastRenderedPageBreak/>
        <w:t>However, some lab</w:t>
      </w:r>
      <w:r w:rsidR="00657555">
        <w:t>oratorie</w:t>
      </w:r>
      <w:r>
        <w:t xml:space="preserve">s will need to trigger ELRs manually, depending on a jurisdiction’s definition of </w:t>
      </w:r>
      <w:r w:rsidR="0020485F">
        <w:t>A</w:t>
      </w:r>
      <w:r>
        <w:t>R and its complexity.</w:t>
      </w:r>
    </w:p>
    <w:p w14:paraId="6DC80CE7" w14:textId="77777777" w:rsidR="0020485F" w:rsidRDefault="0063529B" w:rsidP="00900087">
      <w:r>
        <w:t xml:space="preserve">o Laboratory compliance with current </w:t>
      </w:r>
      <w:r w:rsidR="00657555">
        <w:t>Clinical and Laboratory Standards Institute (</w:t>
      </w:r>
      <w:r>
        <w:t>CLSI</w:t>
      </w:r>
      <w:r w:rsidR="00657555">
        <w:t>)</w:t>
      </w:r>
      <w:r>
        <w:t xml:space="preserve"> guidelines for </w:t>
      </w:r>
      <w:r w:rsidR="00657555">
        <w:t>Minimum Inhibitory Concentration (</w:t>
      </w:r>
      <w:r>
        <w:t>MIC</w:t>
      </w:r>
      <w:r w:rsidR="00657555">
        <w:t>)</w:t>
      </w:r>
      <w:r>
        <w:t xml:space="preserve"> values. The use of outdated MIC breakpoints can affect the interpretation of test results, especially for </w:t>
      </w:r>
      <w:r w:rsidR="00657555">
        <w:t>those reported qualitatively (i.e., not as dilutions, instead as “resistant” “intermediate” or “susceptible”)</w:t>
      </w:r>
      <w:r>
        <w:t xml:space="preserve">. </w:t>
      </w:r>
    </w:p>
    <w:p w14:paraId="2EA3E464" w14:textId="3131D214" w:rsidR="0020485F" w:rsidRDefault="0063529B" w:rsidP="00900087">
      <w:r>
        <w:t xml:space="preserve">o </w:t>
      </w:r>
      <w:r w:rsidR="0020485F">
        <w:t>Selective reporting (also known as “s</w:t>
      </w:r>
      <w:r>
        <w:t>uppression</w:t>
      </w:r>
      <w:r w:rsidR="0020485F">
        <w:t>”)</w:t>
      </w:r>
      <w:r>
        <w:t xml:space="preserve"> of </w:t>
      </w:r>
      <w:r w:rsidR="00657555">
        <w:t>components of an isolate’s resistance profile</w:t>
      </w:r>
      <w:r>
        <w:t xml:space="preserve"> </w:t>
      </w:r>
      <w:r w:rsidR="00657555">
        <w:t xml:space="preserve">in response to </w:t>
      </w:r>
      <w:r>
        <w:t xml:space="preserve">CLSI guidelines and/or </w:t>
      </w:r>
      <w:r w:rsidR="00657555">
        <w:t>the</w:t>
      </w:r>
      <w:r>
        <w:t xml:space="preserve"> </w:t>
      </w:r>
      <w:r w:rsidR="00657555">
        <w:t xml:space="preserve">clinical antimicrobial </w:t>
      </w:r>
      <w:r>
        <w:t>formular</w:t>
      </w:r>
      <w:r w:rsidR="00657555">
        <w:t>y</w:t>
      </w:r>
      <w:r>
        <w:t xml:space="preserve">. This may result </w:t>
      </w:r>
      <w:r w:rsidR="00657555">
        <w:t>the ina</w:t>
      </w:r>
      <w:r>
        <w:t xml:space="preserve">bility </w:t>
      </w:r>
      <w:r w:rsidR="00657555">
        <w:t xml:space="preserve">of the laboratory </w:t>
      </w:r>
      <w:r>
        <w:t>to identify cases and report them to PHAs</w:t>
      </w:r>
      <w:r w:rsidR="00657555" w:rsidRPr="00657555">
        <w:t xml:space="preserve"> </w:t>
      </w:r>
      <w:r w:rsidR="00657555">
        <w:t>or in missing test results in reported cases for some antimicrobials of interest to PHA</w:t>
      </w:r>
      <w:r>
        <w:t xml:space="preserve">.  </w:t>
      </w:r>
      <w:r w:rsidR="00DC0D4B">
        <w:t>[</w:t>
      </w:r>
      <w:r w:rsidR="00DC0D4B" w:rsidRPr="00DC0D4B">
        <w:rPr>
          <w:highlight w:val="yellow"/>
        </w:rPr>
        <w:t xml:space="preserve">Automated  testing devices (e.g., </w:t>
      </w:r>
      <w:proofErr w:type="spellStart"/>
      <w:r w:rsidR="00DC0D4B" w:rsidRPr="00DC0D4B">
        <w:rPr>
          <w:highlight w:val="yellow"/>
        </w:rPr>
        <w:t>Vitek</w:t>
      </w:r>
      <w:proofErr w:type="spellEnd"/>
      <w:r w:rsidR="00DC0D4B" w:rsidRPr="00DC0D4B">
        <w:rPr>
          <w:highlight w:val="yellow"/>
        </w:rPr>
        <w:t xml:space="preserve"> 2) store all antibiogram data on tested isolates and can be accessed either directly on the machine or via de-suppressing reports that are sent from the testing device to the LIM.  Laboratories can be advised to consult the device manufactures or their Information Technology staff or constituents to give PHA access to these otherwise suppressed data.</w:t>
      </w:r>
      <w:r w:rsidR="00DC0D4B">
        <w:t>]</w:t>
      </w:r>
    </w:p>
    <w:p w14:paraId="607DAE83" w14:textId="77777777" w:rsidR="00987216" w:rsidRDefault="0063529B" w:rsidP="00900087">
      <w:r>
        <w:t xml:space="preserve">C. </w:t>
      </w:r>
      <w:r w:rsidR="000A0B1F">
        <w:t xml:space="preserve">At the onset of </w:t>
      </w:r>
      <w:r w:rsidR="00987216">
        <w:t>reporting</w:t>
      </w:r>
      <w:r w:rsidR="000A0B1F">
        <w:t xml:space="preserve"> and </w:t>
      </w:r>
      <w:r w:rsidR="00987216">
        <w:t>occasionally</w:t>
      </w:r>
      <w:r w:rsidR="000A0B1F">
        <w:t xml:space="preserve"> thereafter, a</w:t>
      </w:r>
      <w:r>
        <w:t xml:space="preserve"> survey of lab</w:t>
      </w:r>
      <w:r w:rsidR="000A0B1F">
        <w:t>oratorie</w:t>
      </w:r>
      <w:r>
        <w:t xml:space="preserve">s </w:t>
      </w:r>
      <w:r w:rsidR="000A0B1F">
        <w:t>is</w:t>
      </w:r>
      <w:r>
        <w:t xml:space="preserve"> helpful to understand the test methods and breakpoints labs are using to identify </w:t>
      </w:r>
      <w:r w:rsidR="00657555">
        <w:t>A</w:t>
      </w:r>
      <w:r>
        <w:t xml:space="preserve">R. </w:t>
      </w:r>
    </w:p>
    <w:p w14:paraId="509CBDCB" w14:textId="77777777" w:rsidR="00987216" w:rsidRDefault="0063529B" w:rsidP="00900087">
      <w:r>
        <w:t xml:space="preserve">Survey items may include: </w:t>
      </w:r>
    </w:p>
    <w:p w14:paraId="2829E54C" w14:textId="77777777" w:rsidR="00987216" w:rsidRDefault="0063529B" w:rsidP="00900087">
      <w:r>
        <w:t>o Laboratory’s knowledge of</w:t>
      </w:r>
      <w:r w:rsidR="00987216">
        <w:t xml:space="preserve"> </w:t>
      </w:r>
      <w:r w:rsidR="00657555">
        <w:t xml:space="preserve">current </w:t>
      </w:r>
      <w:r>
        <w:t xml:space="preserve">reportability and plans for </w:t>
      </w:r>
      <w:r w:rsidR="00657555">
        <w:t xml:space="preserve">new or modified </w:t>
      </w:r>
      <w:r>
        <w:t>reporting</w:t>
      </w:r>
      <w:r w:rsidR="00987216">
        <w:t xml:space="preserve"> of the AR of interest</w:t>
      </w:r>
      <w:r>
        <w:t xml:space="preserve"> </w:t>
      </w:r>
      <w:r w:rsidR="00987216" w:rsidRPr="00C2271D">
        <w:rPr>
          <w:highlight w:val="yellow"/>
        </w:rPr>
        <w:t>[Needed?  Seeing as you will be telling them.]</w:t>
      </w:r>
    </w:p>
    <w:p w14:paraId="6A4E5233" w14:textId="77777777" w:rsidR="00BD6A5E" w:rsidRDefault="0063529B" w:rsidP="00900087">
      <w:r>
        <w:t xml:space="preserve">o Capacity to identify organisms and perform susceptibility and </w:t>
      </w:r>
      <w:r w:rsidR="00987216">
        <w:t>AR mechanistic</w:t>
      </w:r>
      <w:r>
        <w:t xml:space="preserve"> testing  </w:t>
      </w:r>
    </w:p>
    <w:p w14:paraId="59B45434" w14:textId="77777777" w:rsidR="00BD6A5E" w:rsidRDefault="0063529B" w:rsidP="0063529B">
      <w:r>
        <w:t>o Capacity to send test results via ELR, including version of HL7 ELR messages</w:t>
      </w:r>
      <w:r w:rsidR="0026306E">
        <w:t xml:space="preserve"> for the AR of interest</w:t>
      </w:r>
    </w:p>
    <w:p w14:paraId="760F3B62" w14:textId="77777777" w:rsidR="00BD6A5E" w:rsidRDefault="0063529B" w:rsidP="0063529B">
      <w:r>
        <w:t xml:space="preserve">o Tests used to identify organisms </w:t>
      </w:r>
      <w:r w:rsidR="0026306E">
        <w:t xml:space="preserve">of the species proposed for surveillance </w:t>
      </w:r>
      <w:r w:rsidR="0026306E" w:rsidRPr="00DC0D4B">
        <w:rPr>
          <w:highlight w:val="yellow"/>
        </w:rPr>
        <w:t>[(e.g., culture, CIDT?}]</w:t>
      </w:r>
    </w:p>
    <w:p w14:paraId="41661F67" w14:textId="77777777" w:rsidR="00BD6A5E" w:rsidRDefault="0063529B" w:rsidP="0063529B">
      <w:r>
        <w:t xml:space="preserve">o Tests and MIC interpretive criteria and or zone diameter interpretive criteria used to identify antimicrobial susceptibility </w:t>
      </w:r>
    </w:p>
    <w:p w14:paraId="05CF958D" w14:textId="77777777" w:rsidR="00BD6A5E" w:rsidRDefault="0063529B" w:rsidP="0063529B">
      <w:r>
        <w:t>o Confirmatory tests</w:t>
      </w:r>
      <w:r w:rsidR="00BD6A5E">
        <w:t xml:space="preserve">, if </w:t>
      </w:r>
      <w:r w:rsidR="0026306E">
        <w:t>being used</w:t>
      </w:r>
    </w:p>
    <w:p w14:paraId="07A9019E" w14:textId="77777777" w:rsidR="00BD6A5E" w:rsidRDefault="0063529B" w:rsidP="0063529B">
      <w:r>
        <w:t xml:space="preserve">o Practices for sending isolates to other labs for additional testing </w:t>
      </w:r>
    </w:p>
    <w:p w14:paraId="79AFB122" w14:textId="77777777" w:rsidR="0063529B" w:rsidRDefault="0063529B" w:rsidP="0063529B">
      <w:r>
        <w:t>o The approximate</w:t>
      </w:r>
      <w:r w:rsidR="00BD6A5E">
        <w:t xml:space="preserve"> total </w:t>
      </w:r>
      <w:r>
        <w:t xml:space="preserve">number </w:t>
      </w:r>
      <w:r w:rsidR="00BD6A5E">
        <w:t>the pat</w:t>
      </w:r>
      <w:r w:rsidR="004B2EC2">
        <w:t xml:space="preserve">hogen in question </w:t>
      </w:r>
      <w:r w:rsidR="00BD6A5E">
        <w:t>(regardless of sensitivity to antimicrobials)</w:t>
      </w:r>
      <w:r>
        <w:t xml:space="preserve"> </w:t>
      </w:r>
      <w:r w:rsidR="00BD6A5E">
        <w:t>identified</w:t>
      </w:r>
      <w:r>
        <w:t xml:space="preserve"> by the laboratory during a specific time period </w:t>
      </w:r>
    </w:p>
    <w:p w14:paraId="642B6208" w14:textId="77777777" w:rsidR="0063529B" w:rsidRDefault="0063529B" w:rsidP="0063529B">
      <w:r>
        <w:t xml:space="preserve">II. Receiving and Processing HL7 ELR Messages </w:t>
      </w:r>
    </w:p>
    <w:p w14:paraId="6F5CB055" w14:textId="77777777" w:rsidR="0063529B" w:rsidRDefault="0063529B" w:rsidP="0063529B">
      <w:r>
        <w:t xml:space="preserve">To fully assess antimicrobial resistance and categorize resistance properly, public health agencies need to receive enough information about resistance testing for specific organisms. This includes: 1) the antimicrobial being tested; 2) the </w:t>
      </w:r>
      <w:r w:rsidR="00FA3B8D">
        <w:t xml:space="preserve">testing </w:t>
      </w:r>
      <w:r>
        <w:t xml:space="preserve">method (K-B, MIC, etc.); 3) the </w:t>
      </w:r>
      <w:r w:rsidR="00FA3B8D">
        <w:t>(</w:t>
      </w:r>
      <w:r>
        <w:t>quantitative and qualitative</w:t>
      </w:r>
      <w:r w:rsidR="00FA3B8D">
        <w:t>)</w:t>
      </w:r>
      <w:r>
        <w:t xml:space="preserve"> results and interpretations. This information is used to monitor for multi-drug resistant organisms that </w:t>
      </w:r>
      <w:r w:rsidR="00201A5C">
        <w:t>are not susceptible to the antimicrobials usually used to treat them.</w:t>
      </w:r>
      <w:r>
        <w:t xml:space="preserve"> </w:t>
      </w:r>
    </w:p>
    <w:p w14:paraId="51E5AE81" w14:textId="275C57ED" w:rsidR="0063529B" w:rsidRDefault="0063529B" w:rsidP="0063529B">
      <w:r>
        <w:t xml:space="preserve">Specific fields in the HL7 </w:t>
      </w:r>
      <w:r w:rsidR="00FA3B8D">
        <w:t>“</w:t>
      </w:r>
      <w:r>
        <w:t>message</w:t>
      </w:r>
      <w:r w:rsidR="00FA3B8D">
        <w:t>”</w:t>
      </w:r>
      <w:r>
        <w:t xml:space="preserve"> allow the </w:t>
      </w:r>
      <w:r w:rsidR="00311658">
        <w:t xml:space="preserve">antibiogram of the pathogen </w:t>
      </w:r>
      <w:r>
        <w:t xml:space="preserve">to be reported to PHA. The message(s) used to report </w:t>
      </w:r>
      <w:r w:rsidR="00311658">
        <w:t>A</w:t>
      </w:r>
      <w:r>
        <w:t xml:space="preserve">R should contain the organism, antibiotic susceptibilities, and the specimen </w:t>
      </w:r>
      <w:r>
        <w:lastRenderedPageBreak/>
        <w:t xml:space="preserve">source. </w:t>
      </w:r>
      <w:r w:rsidR="00FA3B8D">
        <w:t xml:space="preserve">HL7 messages have both “parent” and “child” information.  Parent observations are more general/fundamental and child observations depend on and add more specificity to the “parent” message.  One should note that “parent” and “child” terminology in this instance has nothing to do with allowances, curfews, the keys, screens, or K-pop.  </w:t>
      </w:r>
      <w:r>
        <w:t xml:space="preserve">The parent observation is the identified organism (e.g. Klebsiella pneumoniae) and the child observation is the antibiotic susceptibility results. The child observation should list all antibiotics tested against the organism, the measured MIC values, and the phenotypic interpretation (e.g. drug 1 … &lt;1  ug/mL susceptible, drug 2 …  = 2 ug/mL intermediate, drug 3 … &gt;= 16 ug/mL resistant).  </w:t>
      </w:r>
      <w:r w:rsidR="00E018EB" w:rsidRPr="00E018EB">
        <w:t xml:space="preserve">The use of a parent/child relationships is to link together child sensitivity results to the parent culture results. This is important in public health surveillance to determine the resistance of organisms to different types of medications. These results are </w:t>
      </w:r>
      <w:r w:rsidR="00D72D0B">
        <w:t>fundamental to the proper monitoring of antimicrobial resistance</w:t>
      </w:r>
      <w:r w:rsidR="00E018EB" w:rsidRPr="00E018EB">
        <w:t>.  In HL7 2.5.1 structure, this can be done in the observation request (OBR) segment of the HL7 message by linking the parent filler order number located in OBR 3 to the child Parent sequence located in OBR 29.2</w:t>
      </w:r>
    </w:p>
    <w:p w14:paraId="73646DFE" w14:textId="4CC70B87" w:rsidR="0063529B" w:rsidRDefault="0063529B" w:rsidP="0063529B">
      <w:r>
        <w:t xml:space="preserve">In order to link the parent-child observations, the child OBR should contain a </w:t>
      </w:r>
      <w:proofErr w:type="spellStart"/>
      <w:r>
        <w:t>sub_id</w:t>
      </w:r>
      <w:proofErr w:type="spellEnd"/>
      <w:r>
        <w:t xml:space="preserve">, sent in the child OBR 26.3, that links with the correct organism </w:t>
      </w:r>
      <w:proofErr w:type="spellStart"/>
      <w:r>
        <w:t>sub_id</w:t>
      </w:r>
      <w:proofErr w:type="spellEnd"/>
      <w:r>
        <w:t xml:space="preserve"> located in the parent OBX 4. The child OBR should also contain the parent filler order number and placer order number located in the OBR 29.2 and OBR 29.1 that matches the parent filler order number and placer order number located in the parent OBR 3. </w:t>
      </w:r>
      <w:r w:rsidR="00311658">
        <w:t xml:space="preserve">  See </w:t>
      </w:r>
      <w:hyperlink r:id="rId6" w:history="1">
        <w:r w:rsidR="00E018EB" w:rsidRPr="00DA2B50">
          <w:rPr>
            <w:rStyle w:val="Hyperlink"/>
          </w:rPr>
          <w:t>http://www.hl7.org/implement/standards/product_brief.cfm?product_id=98</w:t>
        </w:r>
      </w:hyperlink>
      <w:r>
        <w:t xml:space="preserve"> </w:t>
      </w:r>
    </w:p>
    <w:p w14:paraId="6BB65C43" w14:textId="1A3E671F" w:rsidR="00E018EB" w:rsidRDefault="00E018EB" w:rsidP="0063529B">
      <w:r w:rsidRPr="00E018EB">
        <w:t xml:space="preserve">When a culture grows more than one organism, the message sent may contain multiple susceptibility (child) results, one susceptibility result group for each organism. To make sure the child results successfully link to the correct parent results, the child OBR segment should contain a </w:t>
      </w:r>
      <w:proofErr w:type="spellStart"/>
      <w:r w:rsidRPr="00E018EB">
        <w:t>sub_id</w:t>
      </w:r>
      <w:proofErr w:type="spellEnd"/>
      <w:r w:rsidRPr="00E018EB">
        <w:t xml:space="preserve">, sent in the Parent Result sequence located in OBR 26.2, that links with the correct organism </w:t>
      </w:r>
      <w:proofErr w:type="spellStart"/>
      <w:r w:rsidRPr="00E018EB">
        <w:t>sub_id</w:t>
      </w:r>
      <w:proofErr w:type="spellEnd"/>
      <w:r w:rsidRPr="00E018EB">
        <w:t xml:space="preserve"> located in the parent result’s OBX 4 segment, </w:t>
      </w:r>
      <w:proofErr w:type="spellStart"/>
      <w:r w:rsidRPr="00E018EB">
        <w:t>sub_id</w:t>
      </w:r>
      <w:proofErr w:type="spellEnd"/>
    </w:p>
    <w:p w14:paraId="389B5E15" w14:textId="309AE9DF" w:rsidR="00A91A14" w:rsidRDefault="00CE7827" w:rsidP="00A91A14">
      <w:r>
        <w:t xml:space="preserve">III.  </w:t>
      </w:r>
      <w:r w:rsidR="00A91A14">
        <w:t xml:space="preserve">Links to HL7 Implementation Guides: </w:t>
      </w:r>
    </w:p>
    <w:p w14:paraId="16D24DCA" w14:textId="77777777" w:rsidR="00A91A14" w:rsidRDefault="00A91A14" w:rsidP="00A91A14">
      <w:r>
        <w:t xml:space="preserve">HL7 2.5.1 for ELR is the ideal message structure for sending antimicrobial resistance messages, as it allows for the capturing of parent-child relationships in a more complete fashion than using HL7 2.3.1. Culture and susceptibility reporting is outlined in Appendix A of the R1 ELR IG.  </w:t>
      </w:r>
    </w:p>
    <w:p w14:paraId="6FF46866" w14:textId="2E957D5A" w:rsidR="00A91A14" w:rsidRDefault="00A91A14" w:rsidP="00A91A14">
      <w:r>
        <w:t xml:space="preserve"> HL7 Version 2.5.1 Implementation Guide: Electronic Laboratory Reporting to Public Health, Release 1 (US Realm) HL7 Version 2.5.1: ORU^R01: http://www.hl7.org/implement/standards/product_brief.cfm?product_id=98 Section of Parent/child, Culture and Susceptibilities should be noted.</w:t>
      </w:r>
    </w:p>
    <w:p w14:paraId="50D2ED19" w14:textId="46FF131E" w:rsidR="00A91A14" w:rsidRDefault="00A91A14" w:rsidP="00A91A14">
      <w:r>
        <w:t xml:space="preserve">Errata for V251 Implementation Guide: Electronic Laboratory Reporting to Public Health (US Realm), Release 1 http://www.hl7.org/implement/standards/product_brief.cfm?product_id=245  </w:t>
      </w:r>
    </w:p>
    <w:p w14:paraId="54C3F684" w14:textId="108F8EF4" w:rsidR="00A91A14" w:rsidRDefault="00A91A14" w:rsidP="00A91A14">
      <w:r>
        <w:t xml:space="preserve"> HL7 Version 2.5.1 Implementation Guide: S&amp;I Framework Lab Results Interface, Release 1- US Realm* http://www.hl7.org/implement/standards/product_brief.cfm?product_id=279   </w:t>
      </w:r>
    </w:p>
    <w:p w14:paraId="7CD4F66C" w14:textId="713C5577" w:rsidR="00A91A14" w:rsidRDefault="00A91A14" w:rsidP="00A91A14">
      <w:r>
        <w:t xml:space="preserve">*A newer version of this implementation guide is currently in HL7 Ballot and is </w:t>
      </w:r>
      <w:r w:rsidRPr="00D72D0B">
        <w:rPr>
          <w:highlight w:val="yellow"/>
        </w:rPr>
        <w:t>expected to be published later in 2017</w:t>
      </w:r>
      <w:r>
        <w:t xml:space="preserve">. This newer version will actually harmonize the Lab Ordering and Lab Results interfaces and will also include profiles to support more specific lab reporting use cases, including reporting to public health. This public health profile will in effect replace, or serve as an update to the previously referenced ELR implementation guide, list above. Once published, this document will be made available at </w:t>
      </w:r>
      <w:r>
        <w:lastRenderedPageBreak/>
        <w:t>http://www.hl7.org/implement/standards/product_matrix.cfm?ref=</w:t>
      </w:r>
      <w:r w:rsidRPr="00C2271D">
        <w:rPr>
          <w:highlight w:val="yellow"/>
        </w:rPr>
        <w:t xml:space="preserve">nav  </w:t>
      </w:r>
      <w:r w:rsidR="00CE7827" w:rsidRPr="00C2271D">
        <w:rPr>
          <w:highlight w:val="yellow"/>
        </w:rPr>
        <w:t xml:space="preserve"> [Do we want to suggest they use 2.7.1?  I’ve heard comments to the effect that that isn’t desirable?  But not sure why…]</w:t>
      </w:r>
    </w:p>
    <w:p w14:paraId="10FE9096" w14:textId="5BD2EF55" w:rsidR="00A91A14" w:rsidRDefault="00A91A14" w:rsidP="00A91A14">
      <w:r>
        <w:t xml:space="preserve"> </w:t>
      </w:r>
      <w:r w:rsidR="00CE7827">
        <w:t xml:space="preserve">IV.  </w:t>
      </w:r>
      <w:r w:rsidR="00D772D8">
        <w:t>Problems and recommendations on HL7 use for AR reporting</w:t>
      </w:r>
    </w:p>
    <w:p w14:paraId="29453730" w14:textId="77777777" w:rsidR="00CE7827" w:rsidRDefault="00A91A14" w:rsidP="00A91A14">
      <w:r>
        <w:t xml:space="preserve">A. Commonly observed deficiencies in received HL7 ELR messages: </w:t>
      </w:r>
    </w:p>
    <w:p w14:paraId="73BE316E" w14:textId="77777777" w:rsidR="00CE7827" w:rsidRDefault="00A91A14" w:rsidP="00A91A14">
      <w:r>
        <w:t>1) No utilization of parent/child linking of susceptibility labs to the organism(s), or parent/child relationships are used incorrectly. Without proper parent/child linkages, determining which susceptibility results go with each identified organism may be difficult without the verification of paper laboratory results. See Appendix D on parent</w:t>
      </w:r>
      <w:r w:rsidR="00CE7827">
        <w:t>/</w:t>
      </w:r>
      <w:r>
        <w:t xml:space="preserve">child guidance. </w:t>
      </w:r>
    </w:p>
    <w:p w14:paraId="203B03AF" w14:textId="77777777" w:rsidR="00CE7827" w:rsidRDefault="00A91A14" w:rsidP="00A91A14">
      <w:r>
        <w:t>o Recommendation: Make sure facilities are submitting the correct linking values and the jurisdictions have the capabilities to utilize the parent/child result to link the susceptibility test to the organism.</w:t>
      </w:r>
    </w:p>
    <w:p w14:paraId="724DA035" w14:textId="77777777" w:rsidR="00CE7827" w:rsidRDefault="00A91A14" w:rsidP="00A91A14">
      <w:r>
        <w:t xml:space="preserve">2) Missing organism. Organism information is needed for public health to determine new versus recurrent cases. </w:t>
      </w:r>
    </w:p>
    <w:p w14:paraId="304240DD" w14:textId="727DCD1B" w:rsidR="00CE7827" w:rsidRDefault="00E018EB" w:rsidP="00A91A14">
      <w:r>
        <w:t xml:space="preserve">o </w:t>
      </w:r>
      <w:r w:rsidR="00CE7827">
        <w:t>E</w:t>
      </w:r>
      <w:r w:rsidR="00A91A14">
        <w:t>xample: A reference lab</w:t>
      </w:r>
      <w:r w:rsidR="00447F9A">
        <w:t>oratory</w:t>
      </w:r>
      <w:r w:rsidR="00A91A14">
        <w:t xml:space="preserve"> may test for resistance mechanism but not for the organism, so a received report may only include the mechanism report and not be linked the original organism result.  </w:t>
      </w:r>
      <w:r w:rsidR="00D72D0B">
        <w:t>As various pathogens have different inherent resistance, proper linkage of resistance data to species of pathogen is essential.</w:t>
      </w:r>
    </w:p>
    <w:p w14:paraId="5B65CEF5" w14:textId="77777777" w:rsidR="00CE7827" w:rsidRDefault="00A91A14" w:rsidP="00A91A14">
      <w:r>
        <w:t xml:space="preserve">o Recommendation: Organism information should be sent.  </w:t>
      </w:r>
    </w:p>
    <w:p w14:paraId="79C08E07" w14:textId="7DF731D5" w:rsidR="00CE7827" w:rsidRDefault="00A91A14" w:rsidP="00A91A14">
      <w:r>
        <w:t xml:space="preserve">3) Missing specimen information: specimen source site (SPM8), specimen type, etc. Specimen information is needed to determine the timeframe for defining a case as new or recurrent. </w:t>
      </w:r>
      <w:r w:rsidR="00D72D0B">
        <w:t>Likewise, site of infection is nece</w:t>
      </w:r>
      <w:r w:rsidR="00737545">
        <w:t>ss</w:t>
      </w:r>
      <w:r w:rsidR="00D72D0B">
        <w:t xml:space="preserve">ary to determine if a case </w:t>
      </w:r>
    </w:p>
    <w:p w14:paraId="383F4911" w14:textId="488F0115" w:rsidR="00CE7827" w:rsidRDefault="00A91A14" w:rsidP="00A91A14">
      <w:r>
        <w:t>o Recommendation: Specimen information should be sent</w:t>
      </w:r>
      <w:r w:rsidR="00D10BB1">
        <w:t xml:space="preserve"> and requested if missing</w:t>
      </w:r>
      <w:r>
        <w:t>.</w:t>
      </w:r>
    </w:p>
    <w:p w14:paraId="76AAEE08" w14:textId="77777777" w:rsidR="00CE7827" w:rsidRDefault="00A91A14" w:rsidP="00A91A14">
      <w:r>
        <w:t xml:space="preserve">4) Results are sent in NTE </w:t>
      </w:r>
      <w:r w:rsidR="00CE7827" w:rsidRPr="00CE7827">
        <w:rPr>
          <w:highlight w:val="yellow"/>
        </w:rPr>
        <w:t>[what is NTE?]</w:t>
      </w:r>
      <w:r w:rsidR="00CE7827">
        <w:t xml:space="preserve"> </w:t>
      </w:r>
      <w:r>
        <w:t xml:space="preserve">segments.  </w:t>
      </w:r>
    </w:p>
    <w:p w14:paraId="7C61CD6A" w14:textId="36AFF98D" w:rsidR="00CE7827" w:rsidRDefault="00A91A14" w:rsidP="00A91A14">
      <w:r>
        <w:t xml:space="preserve">o Recommendation: All results should be sent in an OBX segment; quantitative results should be sent in a numeric or structured numeric segment. Qualitative results should be sent in an </w:t>
      </w:r>
      <w:r w:rsidR="00D10BB1">
        <w:t>______</w:t>
      </w:r>
      <w:r>
        <w:t xml:space="preserve">OBX segment, perhaps using a </w:t>
      </w:r>
      <w:r w:rsidR="00D10BB1">
        <w:t>_____</w:t>
      </w:r>
      <w:r>
        <w:t xml:space="preserve">CE or </w:t>
      </w:r>
      <w:r w:rsidR="00D10BB1">
        <w:t>______</w:t>
      </w:r>
      <w:r>
        <w:t xml:space="preserve">CWE data type, </w:t>
      </w:r>
      <w:r w:rsidRPr="00737545">
        <w:t xml:space="preserve">using national standard vocabulary such as </w:t>
      </w:r>
      <w:r w:rsidR="00737545" w:rsidRPr="00737545">
        <w:rPr>
          <w:rFonts w:ascii="Arial" w:hAnsi="Arial" w:cs="Arial"/>
          <w:sz w:val="20"/>
          <w:szCs w:val="20"/>
        </w:rPr>
        <w:t>Logical Observation Identifiers Names and Codes</w:t>
      </w:r>
      <w:r w:rsidR="00D10BB1" w:rsidRPr="00737545">
        <w:t xml:space="preserve"> (</w:t>
      </w:r>
      <w:r w:rsidRPr="00737545">
        <w:t>LOINC</w:t>
      </w:r>
      <w:r w:rsidR="00D10BB1" w:rsidRPr="00737545">
        <w:t>)</w:t>
      </w:r>
      <w:r w:rsidRPr="00737545">
        <w:t xml:space="preserve"> a</w:t>
      </w:r>
      <w:r>
        <w:t>nd/</w:t>
      </w:r>
      <w:r w:rsidRPr="00737545">
        <w:t xml:space="preserve">or </w:t>
      </w:r>
      <w:r w:rsidR="00737545" w:rsidRPr="00737545">
        <w:rPr>
          <w:rFonts w:ascii="Arial" w:hAnsi="Arial" w:cs="Arial"/>
          <w:sz w:val="20"/>
          <w:szCs w:val="20"/>
        </w:rPr>
        <w:t xml:space="preserve">Systemized Nomenclature of Medicine &amp; Veterinary Health </w:t>
      </w:r>
      <w:r w:rsidR="00737545">
        <w:rPr>
          <w:rFonts w:ascii="Arial" w:hAnsi="Arial" w:cs="Arial"/>
          <w:sz w:val="20"/>
          <w:szCs w:val="20"/>
        </w:rPr>
        <w:t>I</w:t>
      </w:r>
      <w:r w:rsidR="00737545" w:rsidRPr="00737545">
        <w:rPr>
          <w:rFonts w:ascii="Arial" w:hAnsi="Arial" w:cs="Arial"/>
          <w:sz w:val="20"/>
          <w:szCs w:val="20"/>
        </w:rPr>
        <w:t>nformatic</w:t>
      </w:r>
      <w:r w:rsidR="00737545">
        <w:rPr>
          <w:rFonts w:ascii="Arial" w:hAnsi="Arial" w:cs="Arial"/>
          <w:sz w:val="20"/>
          <w:szCs w:val="20"/>
        </w:rPr>
        <w:t>s</w:t>
      </w:r>
      <w:r w:rsidR="00D10BB1" w:rsidRPr="00737545">
        <w:t xml:space="preserve"> (</w:t>
      </w:r>
      <w:r w:rsidRPr="00737545">
        <w:t>SNOMED</w:t>
      </w:r>
      <w:r w:rsidR="00D10BB1" w:rsidRPr="00737545">
        <w:t>)</w:t>
      </w:r>
      <w:r w:rsidRPr="00737545">
        <w:t>. NTE segments s</w:t>
      </w:r>
      <w:r>
        <w:t xml:space="preserve">hould not be used to communicate important information. </w:t>
      </w:r>
    </w:p>
    <w:p w14:paraId="2D25EADB" w14:textId="4DC3CCFF" w:rsidR="00CE7827" w:rsidRDefault="00A91A14" w:rsidP="00A91A14">
      <w:r>
        <w:t xml:space="preserve">5) Comments are sent in multiple result (OBX) segments. </w:t>
      </w:r>
      <w:r w:rsidR="00D772D8">
        <w:t>I</w:t>
      </w:r>
      <w:r>
        <w:t>mportant information</w:t>
      </w:r>
      <w:r w:rsidR="00D772D8">
        <w:t xml:space="preserve"> may</w:t>
      </w:r>
      <w:r>
        <w:t xml:space="preserve"> not be communicated to downstream systems. If the information does come through, use of multiple OBX segments can make reading results difficult.  </w:t>
      </w:r>
    </w:p>
    <w:p w14:paraId="48B8B26F" w14:textId="77777777" w:rsidR="00CE7827" w:rsidRDefault="00A91A14" w:rsidP="00A91A14">
      <w:r>
        <w:t xml:space="preserve">o Example: OBX|7 “identification and susceptibility,” OBX|8 “Testing to follow” </w:t>
      </w:r>
    </w:p>
    <w:p w14:paraId="4695FA3E" w14:textId="757B063F" w:rsidR="00D772D8" w:rsidRDefault="00A91A14" w:rsidP="00A91A14">
      <w:r>
        <w:t xml:space="preserve">o Recommendation: </w:t>
      </w:r>
      <w:r w:rsidR="00D772D8">
        <w:t>p</w:t>
      </w:r>
      <w:r>
        <w:t>lac</w:t>
      </w:r>
      <w:r w:rsidR="00D772D8">
        <w:t>e</w:t>
      </w:r>
      <w:r>
        <w:t xml:space="preserve"> comments in NTE segments rather than OBX segments. When there</w:t>
      </w:r>
      <w:r w:rsidR="00EF2A28">
        <w:t xml:space="preserve"> </w:t>
      </w:r>
      <w:r>
        <w:t xml:space="preserve">are multiple OBXs, use the OBX|4 (observation sub-id) to group related OBXs B. Issues with LOINC and SNOMED codes  1) Generic LOINC codes may be used, making it difficult for system to classify results correctly. Culture tests where LOINC codes are used are “generic” and require SNOMED codes in order </w:t>
      </w:r>
      <w:r>
        <w:lastRenderedPageBreak/>
        <w:t>to properly classify the results to the correct condition without being done manually. Positive culture results cannot be received by systems if generic LOINC codes are used without SNOMED codes.</w:t>
      </w:r>
    </w:p>
    <w:p w14:paraId="3A672299" w14:textId="777434D9" w:rsidR="00D772D8" w:rsidRDefault="00A91A14" w:rsidP="00A91A14">
      <w:r>
        <w:t>o Recommendation: u</w:t>
      </w:r>
      <w:r w:rsidR="00D772D8">
        <w:t>s</w:t>
      </w:r>
      <w:r>
        <w:t xml:space="preserve">e standard specific LOINC and SNOMED codes that can assist in properly identifying </w:t>
      </w:r>
      <w:r w:rsidR="007D4DF0">
        <w:t>A</w:t>
      </w:r>
      <w:r>
        <w:t xml:space="preserve">R, and work with laboratory and epidemiology staff to ensure that the selected codes are correct.  </w:t>
      </w:r>
    </w:p>
    <w:p w14:paraId="22D9C7FF" w14:textId="50D0813F" w:rsidR="00D772D8" w:rsidRDefault="00A91A14" w:rsidP="00A91A14">
      <w:r>
        <w:t xml:space="preserve">▪ LOINC Code look up: </w:t>
      </w:r>
      <w:hyperlink r:id="rId7" w:history="1">
        <w:r w:rsidR="00D772D8" w:rsidRPr="00DA2B50">
          <w:rPr>
            <w:rStyle w:val="Hyperlink"/>
          </w:rPr>
          <w:t>https://search.loinc.org/</w:t>
        </w:r>
      </w:hyperlink>
      <w:r>
        <w:t xml:space="preserve"> </w:t>
      </w:r>
    </w:p>
    <w:p w14:paraId="624706B7" w14:textId="3CDC4737" w:rsidR="00D772D8" w:rsidRDefault="00A91A14" w:rsidP="00A91A14">
      <w:r>
        <w:t xml:space="preserve">▪ SNOMED Code look up:  http://www.snomedbrowser.com/  </w:t>
      </w:r>
      <w:hyperlink r:id="rId8" w:history="1">
        <w:r w:rsidR="00D772D8" w:rsidRPr="00DA2B50">
          <w:rPr>
            <w:rStyle w:val="Hyperlink"/>
          </w:rPr>
          <w:t>https://uts.nlm.nih.gov//snomedctBrowser.html</w:t>
        </w:r>
      </w:hyperlink>
      <w:r>
        <w:t xml:space="preserve"> </w:t>
      </w:r>
    </w:p>
    <w:p w14:paraId="753B546F" w14:textId="69A4DA20" w:rsidR="00D772D8" w:rsidRDefault="00A91A14" w:rsidP="00A91A14">
      <w:r>
        <w:t xml:space="preserve">2) LOINC codes that do not specify the method used (e.g. disk diffusion, broth dilution/MIC, </w:t>
      </w:r>
      <w:proofErr w:type="spellStart"/>
      <w:r>
        <w:t>ETest</w:t>
      </w:r>
      <w:proofErr w:type="spellEnd"/>
      <w:r>
        <w:t xml:space="preserve">, etc.) </w:t>
      </w:r>
    </w:p>
    <w:p w14:paraId="3D3AE067" w14:textId="02225FE8" w:rsidR="00D772D8" w:rsidRDefault="00A91A14" w:rsidP="00A91A14">
      <w:r>
        <w:t xml:space="preserve">o Recommendation: </w:t>
      </w:r>
      <w:r w:rsidR="007D4DF0">
        <w:t>Laboratories</w:t>
      </w:r>
      <w:r>
        <w:t xml:space="preserve"> should use method-specific LOINC codes</w:t>
      </w:r>
      <w:r w:rsidR="00C2271D">
        <w:t xml:space="preserve"> in HL7 reports</w:t>
      </w:r>
      <w:r>
        <w:t xml:space="preserve">. </w:t>
      </w:r>
    </w:p>
    <w:p w14:paraId="74119632" w14:textId="77777777" w:rsidR="00447F9A" w:rsidRDefault="00A91A14" w:rsidP="00A91A14">
      <w:r>
        <w:t xml:space="preserve">C. Minimum Inhibitory Concentration (MIC) values.  Both MIC values and interpretations are needed by the PHA. MIC values are needed for trend data, which would be lost if only phenotypic interpretations are collected and the CLSI breakpoints used to determine those interpretations change over time.    </w:t>
      </w:r>
    </w:p>
    <w:p w14:paraId="73D0260E" w14:textId="77777777" w:rsidR="007D4DF0" w:rsidRDefault="00A91A14" w:rsidP="00A91A14">
      <w:r>
        <w:t xml:space="preserve">1) Missing MIC values </w:t>
      </w:r>
    </w:p>
    <w:p w14:paraId="0F287A8C" w14:textId="7BC5F18A" w:rsidR="00447F9A" w:rsidRDefault="00A91A14" w:rsidP="00A91A14">
      <w:r>
        <w:t xml:space="preserve">o Recommendation: Use the most current CLSI guidelines (M100-S27) for MIC breakpoints, available at http://clsi.org/m100/ (free web version).   </w:t>
      </w:r>
    </w:p>
    <w:p w14:paraId="45AA846B" w14:textId="77777777" w:rsidR="00447F9A" w:rsidRDefault="00A91A14" w:rsidP="00A91A14">
      <w:r>
        <w:t xml:space="preserve">2) Reference lab reporting of MIC values may be affected by their clients’ limitations, such as their willingness and ability to receive MIC values. If ordering providers are not willing or able to receive MIC values, they may not be entered in the LIMS and reference labs may not be able to send these directly to PHAs.  </w:t>
      </w:r>
    </w:p>
    <w:p w14:paraId="5C6ACA79" w14:textId="67CB9A49" w:rsidR="00C2271D" w:rsidRDefault="00A91A14" w:rsidP="00A91A14">
      <w:r>
        <w:t>D. Issues with sending laboratory’s</w:t>
      </w:r>
      <w:r w:rsidR="00E018EB">
        <w:t xml:space="preserve"> Laboratory Information Management (</w:t>
      </w:r>
      <w:r>
        <w:t>LIM</w:t>
      </w:r>
      <w:r w:rsidR="00E018EB">
        <w:t>)</w:t>
      </w:r>
      <w:r>
        <w:t xml:space="preserve"> system</w:t>
      </w:r>
      <w:r w:rsidR="00C2271D">
        <w:t>.</w:t>
      </w:r>
    </w:p>
    <w:p w14:paraId="026AF723" w14:textId="07E66DAF" w:rsidR="00A91A14" w:rsidRDefault="00A91A14" w:rsidP="00A91A14">
      <w:r>
        <w:t xml:space="preserve">1) Missing results. Lack of </w:t>
      </w:r>
      <w:r w:rsidR="00447F9A">
        <w:t>mechanistic</w:t>
      </w:r>
      <w:r>
        <w:t xml:space="preserve"> testing results (</w:t>
      </w:r>
      <w:r w:rsidR="00447F9A">
        <w:t xml:space="preserve">e.g., for CRE, </w:t>
      </w:r>
      <w:r>
        <w:t>MHT/</w:t>
      </w:r>
      <w:proofErr w:type="spellStart"/>
      <w:r>
        <w:t>CarbaNP</w:t>
      </w:r>
      <w:proofErr w:type="spellEnd"/>
      <w:r>
        <w:t xml:space="preserve">, molecular panels, PCR). Facilities may be performing </w:t>
      </w:r>
      <w:r w:rsidR="00447F9A">
        <w:t>mechanistic/genotypic</w:t>
      </w:r>
      <w:r>
        <w:t xml:space="preserve"> testing but not sending results to PHAs. This results in PHAs not knowing the resistance mechanism fo</w:t>
      </w:r>
      <w:r w:rsidR="00447F9A">
        <w:t>r</w:t>
      </w:r>
      <w:r>
        <w:t xml:space="preserve"> cases and needing to contact facilities to find out the testing mechanism. Some labs may report these results in </w:t>
      </w:r>
      <w:r w:rsidR="00447F9A">
        <w:t>the “</w:t>
      </w:r>
      <w:r>
        <w:t>comments</w:t>
      </w:r>
      <w:r w:rsidR="00447F9A">
        <w:t>” section</w:t>
      </w:r>
      <w:r>
        <w:t xml:space="preserve"> without including what tests were used to come to that conclusion, or the lab may not have run the appropriate tests.  </w:t>
      </w:r>
    </w:p>
    <w:p w14:paraId="66777EDD" w14:textId="77777777" w:rsidR="00C2271D" w:rsidRDefault="00A91A14" w:rsidP="00A91A14">
      <w:r>
        <w:t xml:space="preserve">o Recommendation: PHAs should understand which labs in </w:t>
      </w:r>
      <w:r w:rsidR="00447F9A">
        <w:t xml:space="preserve">their </w:t>
      </w:r>
      <w:r>
        <w:t xml:space="preserve">jurisdiction are performing </w:t>
      </w:r>
      <w:r w:rsidR="00447F9A">
        <w:t>what types of AR</w:t>
      </w:r>
      <w:r>
        <w:t xml:space="preserve"> tests. If a </w:t>
      </w:r>
      <w:r w:rsidR="00447F9A">
        <w:t>phenotypic/genotypic</w:t>
      </w:r>
      <w:r>
        <w:t xml:space="preserve"> test is done, labs should send results, whether positive or negative.  </w:t>
      </w:r>
    </w:p>
    <w:p w14:paraId="54555F0A" w14:textId="114ADB93" w:rsidR="00447F9A" w:rsidRDefault="00A91A14" w:rsidP="00A91A14">
      <w:r>
        <w:t>2) Ambiguous notes/comments which may or may not indicate that</w:t>
      </w:r>
      <w:r w:rsidR="00447F9A">
        <w:t xml:space="preserve"> genotypic/phenotypic testing was </w:t>
      </w:r>
      <w:r>
        <w:t>pe</w:t>
      </w:r>
      <w:r w:rsidR="00447F9A">
        <w:t>rf</w:t>
      </w:r>
      <w:r>
        <w:t xml:space="preserve">ormed. </w:t>
      </w:r>
      <w:r w:rsidR="00447F9A">
        <w:t>For instance, s</w:t>
      </w:r>
      <w:r>
        <w:t xml:space="preserve">ome labs perform </w:t>
      </w:r>
      <w:proofErr w:type="spellStart"/>
      <w:r>
        <w:t>carbapenemase</w:t>
      </w:r>
      <w:proofErr w:type="spellEnd"/>
      <w:r>
        <w:t xml:space="preserve"> testing while others make assumptions about </w:t>
      </w:r>
      <w:proofErr w:type="spellStart"/>
      <w:r>
        <w:t>carbapenemase</w:t>
      </w:r>
      <w:proofErr w:type="spellEnd"/>
      <w:r>
        <w:t xml:space="preserve"> production based on overall phenotype. ELR message comments may not always make it clear whether a test was performed or not. </w:t>
      </w:r>
    </w:p>
    <w:p w14:paraId="0CD142B2" w14:textId="77777777" w:rsidR="00447F9A" w:rsidRDefault="00A91A14" w:rsidP="00A91A14">
      <w:r>
        <w:t xml:space="preserve">o Examples: “Demonstrates production of a </w:t>
      </w:r>
      <w:bookmarkStart w:id="0" w:name="_GoBack"/>
      <w:bookmarkEnd w:id="0"/>
      <w:proofErr w:type="spellStart"/>
      <w:r>
        <w:t>carbapenemase</w:t>
      </w:r>
      <w:proofErr w:type="spellEnd"/>
      <w:r>
        <w:t xml:space="preserve">,” “Likely </w:t>
      </w:r>
      <w:proofErr w:type="spellStart"/>
      <w:r>
        <w:t>carbapenemase</w:t>
      </w:r>
      <w:proofErr w:type="spellEnd"/>
      <w:r>
        <w:t xml:space="preserve"> producer”</w:t>
      </w:r>
    </w:p>
    <w:p w14:paraId="52E7C040" w14:textId="77777777" w:rsidR="009C0FCA" w:rsidRDefault="00A91A14" w:rsidP="00A91A14">
      <w:r>
        <w:lastRenderedPageBreak/>
        <w:t xml:space="preserve">o Recommendation: PHAs should request that labs include confirmatory </w:t>
      </w:r>
      <w:proofErr w:type="spellStart"/>
      <w:r>
        <w:t>carbapenemase</w:t>
      </w:r>
      <w:proofErr w:type="spellEnd"/>
      <w:r>
        <w:t xml:space="preserve"> test results as “child” linkages to the “parent” organism ID. If this isn’t possible, PHAs should be aware of what </w:t>
      </w:r>
      <w:proofErr w:type="spellStart"/>
      <w:r>
        <w:t>carbapenemase</w:t>
      </w:r>
      <w:proofErr w:type="spellEnd"/>
      <w:r>
        <w:t xml:space="preserve"> test (if any) a lab uses, and what phenotypes trigger its use. </w:t>
      </w:r>
    </w:p>
    <w:p w14:paraId="3412CE6D" w14:textId="1F1DBCFC" w:rsidR="00A91A14" w:rsidRDefault="00A91A14" w:rsidP="00A91A14">
      <w:r>
        <w:t xml:space="preserve">  </w:t>
      </w:r>
    </w:p>
    <w:p w14:paraId="10FB2338" w14:textId="77777777" w:rsidR="009C0FCA" w:rsidRDefault="009C0FCA" w:rsidP="009C0FCA">
      <w:r>
        <w:t>V.</w:t>
      </w:r>
      <w:r w:rsidRPr="009C0FCA">
        <w:t xml:space="preserve"> Additional resources: </w:t>
      </w:r>
    </w:p>
    <w:p w14:paraId="0F286C14" w14:textId="18320605" w:rsidR="0063529B" w:rsidRDefault="009C0FCA" w:rsidP="0063529B">
      <w:r w:rsidRPr="009C0FCA">
        <w:t xml:space="preserve">• CDC technical standards resources: https://www.cdc.gov/elr/technicalstandards.html </w:t>
      </w:r>
    </w:p>
    <w:p w14:paraId="1CC6F710" w14:textId="77777777" w:rsidR="0063529B" w:rsidRDefault="0063529B" w:rsidP="0063529B">
      <w:r>
        <w:t xml:space="preserve"> </w:t>
      </w:r>
    </w:p>
    <w:sectPr w:rsidR="0063529B">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B97BC7" w14:textId="77777777" w:rsidR="00E55549" w:rsidRDefault="00E55549" w:rsidP="009914B0">
      <w:pPr>
        <w:spacing w:after="0" w:line="240" w:lineRule="auto"/>
      </w:pPr>
      <w:r>
        <w:separator/>
      </w:r>
    </w:p>
  </w:endnote>
  <w:endnote w:type="continuationSeparator" w:id="0">
    <w:p w14:paraId="4217A72D" w14:textId="77777777" w:rsidR="00E55549" w:rsidRDefault="00E55549" w:rsidP="00991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4025919"/>
      <w:docPartObj>
        <w:docPartGallery w:val="Page Numbers (Bottom of Page)"/>
        <w:docPartUnique/>
      </w:docPartObj>
    </w:sdtPr>
    <w:sdtEndPr>
      <w:rPr>
        <w:color w:val="7F7F7F" w:themeColor="background1" w:themeShade="7F"/>
        <w:spacing w:val="60"/>
      </w:rPr>
    </w:sdtEndPr>
    <w:sdtContent>
      <w:p w14:paraId="70F302DD" w14:textId="65ACC6FC" w:rsidR="00CE7827" w:rsidRDefault="00CE782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3844AE2" w14:textId="59F040CE" w:rsidR="009914B0" w:rsidRDefault="009914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3971A0" w14:textId="77777777" w:rsidR="00E55549" w:rsidRDefault="00E55549" w:rsidP="009914B0">
      <w:pPr>
        <w:spacing w:after="0" w:line="240" w:lineRule="auto"/>
      </w:pPr>
      <w:r>
        <w:separator/>
      </w:r>
    </w:p>
  </w:footnote>
  <w:footnote w:type="continuationSeparator" w:id="0">
    <w:p w14:paraId="4BD8C782" w14:textId="77777777" w:rsidR="00E55549" w:rsidRDefault="00E55549" w:rsidP="009914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425194"/>
      <w:docPartObj>
        <w:docPartGallery w:val="Watermarks"/>
        <w:docPartUnique/>
      </w:docPartObj>
    </w:sdtPr>
    <w:sdtEndPr/>
    <w:sdtContent>
      <w:p w14:paraId="4F2EA6CF" w14:textId="77777777" w:rsidR="00201A5C" w:rsidRDefault="00E55549">
        <w:pPr>
          <w:pStyle w:val="Header"/>
        </w:pPr>
        <w:r>
          <w:rPr>
            <w:noProof/>
          </w:rPr>
          <w:pict w14:anchorId="18B763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308"/>
    <w:rsid w:val="000A0B1F"/>
    <w:rsid w:val="00201A5C"/>
    <w:rsid w:val="0020485F"/>
    <w:rsid w:val="0026306E"/>
    <w:rsid w:val="00311658"/>
    <w:rsid w:val="00447F9A"/>
    <w:rsid w:val="004B2EC2"/>
    <w:rsid w:val="004C535B"/>
    <w:rsid w:val="004E2D5E"/>
    <w:rsid w:val="0063529B"/>
    <w:rsid w:val="00657555"/>
    <w:rsid w:val="006B5046"/>
    <w:rsid w:val="00737545"/>
    <w:rsid w:val="007D4DF0"/>
    <w:rsid w:val="007D5B0A"/>
    <w:rsid w:val="0080489C"/>
    <w:rsid w:val="008A2CA9"/>
    <w:rsid w:val="00900087"/>
    <w:rsid w:val="0092020C"/>
    <w:rsid w:val="00987216"/>
    <w:rsid w:val="009914B0"/>
    <w:rsid w:val="009C0FCA"/>
    <w:rsid w:val="00A075B6"/>
    <w:rsid w:val="00A91A14"/>
    <w:rsid w:val="00AD0E09"/>
    <w:rsid w:val="00B52858"/>
    <w:rsid w:val="00BD6A5E"/>
    <w:rsid w:val="00C2271D"/>
    <w:rsid w:val="00CE7827"/>
    <w:rsid w:val="00D10BB1"/>
    <w:rsid w:val="00D56308"/>
    <w:rsid w:val="00D72D0B"/>
    <w:rsid w:val="00D772D8"/>
    <w:rsid w:val="00DC0D4B"/>
    <w:rsid w:val="00E018EB"/>
    <w:rsid w:val="00E55549"/>
    <w:rsid w:val="00E74E57"/>
    <w:rsid w:val="00EF2A28"/>
    <w:rsid w:val="00F80C97"/>
    <w:rsid w:val="00FA3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D9A5AD9"/>
  <w15:chartTrackingRefBased/>
  <w15:docId w15:val="{24A1D52D-DA32-44B1-AF43-1A523C54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4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4B0"/>
  </w:style>
  <w:style w:type="paragraph" w:styleId="Footer">
    <w:name w:val="footer"/>
    <w:basedOn w:val="Normal"/>
    <w:link w:val="FooterChar"/>
    <w:uiPriority w:val="99"/>
    <w:unhideWhenUsed/>
    <w:rsid w:val="009914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4B0"/>
  </w:style>
  <w:style w:type="character" w:styleId="Hyperlink">
    <w:name w:val="Hyperlink"/>
    <w:basedOn w:val="DefaultParagraphFont"/>
    <w:uiPriority w:val="99"/>
    <w:unhideWhenUsed/>
    <w:rsid w:val="00D772D8"/>
    <w:rPr>
      <w:color w:val="0563C1" w:themeColor="hyperlink"/>
      <w:u w:val="single"/>
    </w:rPr>
  </w:style>
  <w:style w:type="character" w:styleId="UnresolvedMention">
    <w:name w:val="Unresolved Mention"/>
    <w:basedOn w:val="DefaultParagraphFont"/>
    <w:uiPriority w:val="99"/>
    <w:semiHidden/>
    <w:unhideWhenUsed/>
    <w:rsid w:val="00D772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nlm.nih.gov//snomedctBrowser.html" TargetMode="External"/><Relationship Id="rId3" Type="http://schemas.openxmlformats.org/officeDocument/2006/relationships/webSettings" Target="webSettings.xml"/><Relationship Id="rId7" Type="http://schemas.openxmlformats.org/officeDocument/2006/relationships/hyperlink" Target="https://search.loinc.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l7.org/implement/standards/product_brief.cfm?product_id=98"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2428</Words>
  <Characters>13840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Richard Melchreit</cp:lastModifiedBy>
  <cp:revision>31</cp:revision>
  <dcterms:created xsi:type="dcterms:W3CDTF">2019-05-19T17:08:00Z</dcterms:created>
  <dcterms:modified xsi:type="dcterms:W3CDTF">2019-05-19T20:13:00Z</dcterms:modified>
</cp:coreProperties>
</file>