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5391" w:rsidRPr="00332334" w:rsidRDefault="009C5391" w:rsidP="00EB1B14">
      <w:pPr>
        <w:jc w:val="center"/>
        <w:rPr>
          <w:b/>
          <w:u w:val="single"/>
        </w:rPr>
      </w:pPr>
      <w:r w:rsidRPr="00332334">
        <w:rPr>
          <w:b/>
          <w:u w:val="single"/>
        </w:rPr>
        <w:t xml:space="preserve">ARSTF WG </w:t>
      </w:r>
      <w:r w:rsidR="00EB1B14" w:rsidRPr="00332334">
        <w:rPr>
          <w:b/>
          <w:u w:val="single"/>
        </w:rPr>
        <w:t>4</w:t>
      </w:r>
      <w:r w:rsidRPr="00332334">
        <w:rPr>
          <w:b/>
          <w:u w:val="single"/>
        </w:rPr>
        <w:t xml:space="preserve"> Call Minutes – </w:t>
      </w:r>
      <w:r w:rsidR="00EB1B14" w:rsidRPr="00332334">
        <w:rPr>
          <w:b/>
          <w:u w:val="single"/>
        </w:rPr>
        <w:t>Friday</w:t>
      </w:r>
      <w:r w:rsidRPr="00332334">
        <w:rPr>
          <w:b/>
          <w:u w:val="single"/>
        </w:rPr>
        <w:t xml:space="preserve">, </w:t>
      </w:r>
      <w:r w:rsidR="00EB1B14" w:rsidRPr="00332334">
        <w:rPr>
          <w:b/>
          <w:u w:val="single"/>
        </w:rPr>
        <w:t>3/1</w:t>
      </w:r>
      <w:r w:rsidR="00A71355" w:rsidRPr="00332334">
        <w:rPr>
          <w:b/>
          <w:u w:val="single"/>
        </w:rPr>
        <w:t>5</w:t>
      </w:r>
      <w:r w:rsidRPr="00332334">
        <w:rPr>
          <w:b/>
          <w:u w:val="single"/>
        </w:rPr>
        <w:t>/19</w:t>
      </w:r>
      <w:r w:rsidR="00EB1B14" w:rsidRPr="00332334">
        <w:rPr>
          <w:b/>
          <w:u w:val="single"/>
        </w:rPr>
        <w:t>; 1:00 – 2:00 PM ET</w:t>
      </w:r>
    </w:p>
    <w:p w:rsidR="00EB1B14" w:rsidRPr="00EB1B14" w:rsidRDefault="00EB1B14" w:rsidP="00EB1B14">
      <w:pPr>
        <w:jc w:val="center"/>
        <w:rPr>
          <w:b/>
        </w:rPr>
      </w:pPr>
    </w:p>
    <w:p w:rsidR="009C5391" w:rsidRDefault="009C5391">
      <w:r w:rsidRPr="00EB594C">
        <w:rPr>
          <w:b/>
        </w:rPr>
        <w:t>Attendees:</w:t>
      </w:r>
      <w:r w:rsidR="003F12A3">
        <w:t xml:space="preserve"> </w:t>
      </w:r>
      <w:r w:rsidR="00EB594C">
        <w:t xml:space="preserve">Sopheay Hun, </w:t>
      </w:r>
      <w:r w:rsidR="00EB1B14">
        <w:t>Brooke Beaulieu, Richard Melchreit, Nychie Dotson, Amy Webb, Justine Celli, Emily Valencia, Hsiu Wu, DJ Shannon, Ravi Kafle, Erica Runningdeer</w:t>
      </w:r>
      <w:r w:rsidR="00015297">
        <w:t>, Wes Kennemore</w:t>
      </w:r>
      <w:r w:rsidR="00DF6619">
        <w:t>, Sheri Tejedor, Dan Pollock</w:t>
      </w:r>
      <w:r w:rsidR="00DC49AC">
        <w:t>, Wes Kennemore, Dawn Terashita, Stacy Hartmann, Christine Feaster</w:t>
      </w:r>
      <w:r w:rsidR="00B903C2">
        <w:t>, John Stelling</w:t>
      </w:r>
    </w:p>
    <w:p w:rsidR="00EB1B14" w:rsidRPr="00EB1B14" w:rsidRDefault="00EB1B14">
      <w:r w:rsidRPr="00EB1B14">
        <w:rPr>
          <w:b/>
        </w:rPr>
        <w:t>Review of last call’s minutes:</w:t>
      </w:r>
      <w:r>
        <w:rPr>
          <w:b/>
        </w:rPr>
        <w:t xml:space="preserve"> </w:t>
      </w:r>
      <w:r w:rsidRPr="00EB1B14">
        <w:t>Please let staff know if you do not see your name on the attendee list</w:t>
      </w:r>
      <w:r w:rsidR="00EB3F2B">
        <w:t xml:space="preserve"> as we may have not fully captured call-in users</w:t>
      </w:r>
      <w:r w:rsidRPr="00EB1B14">
        <w:t>.</w:t>
      </w:r>
    </w:p>
    <w:p w:rsidR="009C5391" w:rsidRDefault="00EB1B14" w:rsidP="00EB1B14">
      <w:pPr>
        <w:rPr>
          <w:b/>
        </w:rPr>
      </w:pPr>
      <w:r w:rsidRPr="00EB1B14">
        <w:rPr>
          <w:b/>
        </w:rPr>
        <w:t>Agenda:</w:t>
      </w:r>
    </w:p>
    <w:p w:rsidR="00EB1B14" w:rsidRDefault="00EB1B14" w:rsidP="00EB1B14">
      <w:pPr>
        <w:pStyle w:val="ListParagraph"/>
        <w:numPr>
          <w:ilvl w:val="0"/>
          <w:numId w:val="2"/>
        </w:numPr>
      </w:pPr>
      <w:r>
        <w:t>NHSN A</w:t>
      </w:r>
      <w:r w:rsidR="00DC49AC">
        <w:t>R option, looking over JPHIT recommendations</w:t>
      </w:r>
    </w:p>
    <w:p w:rsidR="00DC49AC" w:rsidRDefault="00DC49AC" w:rsidP="00DC49AC">
      <w:pPr>
        <w:pStyle w:val="ListParagraph"/>
        <w:numPr>
          <w:ilvl w:val="1"/>
          <w:numId w:val="2"/>
        </w:numPr>
      </w:pPr>
      <w:r>
        <w:t>JPHIT white paper is currently posted on the Basecamp</w:t>
      </w:r>
    </w:p>
    <w:p w:rsidR="00DC49AC" w:rsidRDefault="00DC49AC" w:rsidP="00DC49AC">
      <w:pPr>
        <w:pStyle w:val="ListParagraph"/>
        <w:numPr>
          <w:ilvl w:val="1"/>
          <w:numId w:val="2"/>
        </w:numPr>
      </w:pPr>
      <w:r>
        <w:t>Recommendation 1: Evaluate and communicate the value of the AU/AR modules.</w:t>
      </w:r>
    </w:p>
    <w:p w:rsidR="00DC49AC" w:rsidRDefault="00DC49AC" w:rsidP="00DC49AC">
      <w:pPr>
        <w:pStyle w:val="ListParagraph"/>
        <w:numPr>
          <w:ilvl w:val="2"/>
          <w:numId w:val="2"/>
        </w:numPr>
      </w:pPr>
      <w:r>
        <w:t>Does this recommendation resonate from the NHSN point of view? Are the</w:t>
      </w:r>
      <w:r w:rsidR="00B903C2">
        <w:t>re</w:t>
      </w:r>
      <w:r>
        <w:t xml:space="preserve"> results that can be put together to demonstrate the value and promote update? What</w:t>
      </w:r>
      <w:r w:rsidR="00B903C2">
        <w:t xml:space="preserve"> elements</w:t>
      </w:r>
      <w:r>
        <w:t xml:space="preserve"> help foster this uptake?</w:t>
      </w:r>
    </w:p>
    <w:p w:rsidR="00DC49AC" w:rsidRDefault="00DC49AC" w:rsidP="00DC49AC">
      <w:pPr>
        <w:pStyle w:val="ListParagraph"/>
        <w:numPr>
          <w:ilvl w:val="2"/>
          <w:numId w:val="2"/>
        </w:numPr>
      </w:pPr>
      <w:r>
        <w:t>Focus on AU and A</w:t>
      </w:r>
      <w:r w:rsidR="00BE1BA0">
        <w:t>R</w:t>
      </w:r>
      <w:r>
        <w:t xml:space="preserve"> options in the module separately.</w:t>
      </w:r>
    </w:p>
    <w:p w:rsidR="00DC49AC" w:rsidRDefault="00DC49AC" w:rsidP="00DC49AC">
      <w:pPr>
        <w:pStyle w:val="ListParagraph"/>
        <w:numPr>
          <w:ilvl w:val="2"/>
          <w:numId w:val="2"/>
        </w:numPr>
      </w:pPr>
      <w:r>
        <w:t xml:space="preserve">The AU option has been available in the module longer and is more widely used (&gt;1000 hospitals reporting AU data). These hospitals are reporting on a voluntary basis. </w:t>
      </w:r>
    </w:p>
    <w:p w:rsidR="00DC49AC" w:rsidRDefault="00DC49AC" w:rsidP="00DC49AC">
      <w:pPr>
        <w:pStyle w:val="ListParagraph"/>
        <w:numPr>
          <w:ilvl w:val="2"/>
          <w:numId w:val="2"/>
        </w:numPr>
      </w:pPr>
      <w:r>
        <w:t xml:space="preserve">In terms of what the </w:t>
      </w:r>
      <w:r w:rsidR="00B903C2">
        <w:t xml:space="preserve">AU </w:t>
      </w:r>
      <w:r>
        <w:t xml:space="preserve">results enable, in working with the early adopters, there are forthcoming abstracts and articles that speak to the experience and evaluating the impact. </w:t>
      </w:r>
      <w:r w:rsidR="00B903C2">
        <w:t>Feedback is also coming</w:t>
      </w:r>
      <w:r w:rsidR="00C57FBC">
        <w:t xml:space="preserve"> in</w:t>
      </w:r>
      <w:r w:rsidR="00B903C2">
        <w:t xml:space="preserve"> anecdotally regarding how the AU option is being used and what can be improved.</w:t>
      </w:r>
    </w:p>
    <w:p w:rsidR="00DC49AC" w:rsidRDefault="00B903C2" w:rsidP="00DC49AC">
      <w:pPr>
        <w:pStyle w:val="ListParagraph"/>
        <w:numPr>
          <w:ilvl w:val="1"/>
          <w:numId w:val="2"/>
        </w:numPr>
      </w:pPr>
      <w:r>
        <w:t>AR option is not as far along. ~500 hospitals that have reported at least a month of data.</w:t>
      </w:r>
    </w:p>
    <w:p w:rsidR="00B903C2" w:rsidRDefault="00B903C2" w:rsidP="00B903C2">
      <w:pPr>
        <w:pStyle w:val="ListParagraph"/>
        <w:numPr>
          <w:ilvl w:val="2"/>
          <w:numId w:val="2"/>
        </w:numPr>
      </w:pPr>
      <w:r>
        <w:t>Early value of the AR data will be to provide evidence of the extent to which data suppression is occurring.</w:t>
      </w:r>
    </w:p>
    <w:p w:rsidR="00B903C2" w:rsidRDefault="00B903C2" w:rsidP="00B903C2">
      <w:pPr>
        <w:pStyle w:val="ListParagraph"/>
        <w:numPr>
          <w:ilvl w:val="2"/>
          <w:numId w:val="2"/>
        </w:numPr>
      </w:pPr>
      <w:r>
        <w:t>AR results through NHSN enable facility-level antibiograms, and over time as increasing populations are covered, could enable antibiograms of those extended geographic areas.</w:t>
      </w:r>
    </w:p>
    <w:p w:rsidR="00B903C2" w:rsidRDefault="00B903C2" w:rsidP="00B903C2">
      <w:pPr>
        <w:pStyle w:val="ListParagraph"/>
        <w:numPr>
          <w:ilvl w:val="2"/>
          <w:numId w:val="2"/>
        </w:numPr>
      </w:pPr>
      <w:r>
        <w:t>We acknowledge there are some differences in data flows for ELR at the state and local level (lab-based) and data flows with respect to NHSN (facility-based). Lab-based may not cover all facilities reporting to NHSN, and NHSN may not cover all lab results submitted via ELR.</w:t>
      </w:r>
    </w:p>
    <w:p w:rsidR="00B903C2" w:rsidRDefault="00B903C2" w:rsidP="00B903C2">
      <w:pPr>
        <w:pStyle w:val="ListParagraph"/>
        <w:numPr>
          <w:ilvl w:val="3"/>
          <w:numId w:val="2"/>
        </w:numPr>
      </w:pPr>
      <w:r>
        <w:t xml:space="preserve">Therefore, not redundant but complimentary systems. </w:t>
      </w:r>
    </w:p>
    <w:p w:rsidR="00B903C2" w:rsidRDefault="006D1F9A" w:rsidP="00B903C2">
      <w:pPr>
        <w:pStyle w:val="ListParagraph"/>
        <w:numPr>
          <w:ilvl w:val="2"/>
          <w:numId w:val="2"/>
        </w:numPr>
      </w:pPr>
      <w:r>
        <w:t xml:space="preserve">Development of antibiograms with the AR option could be a selling point to hospitals. Have there been any issues that the AR option antibiogram is set up slightly different than the M39 standard (reporting % not susceptible and opposed to % susceptible). </w:t>
      </w:r>
    </w:p>
    <w:p w:rsidR="006D1F9A" w:rsidRDefault="006D1F9A" w:rsidP="006D1F9A">
      <w:pPr>
        <w:pStyle w:val="ListParagraph"/>
        <w:numPr>
          <w:ilvl w:val="3"/>
          <w:numId w:val="2"/>
        </w:numPr>
      </w:pPr>
      <w:r>
        <w:t xml:space="preserve">Shouldn’t be too difficult for NHSN to change to % susceptible if that is what people would like to see. </w:t>
      </w:r>
    </w:p>
    <w:p w:rsidR="006D1F9A" w:rsidRDefault="006D1F9A" w:rsidP="006D1F9A">
      <w:pPr>
        <w:pStyle w:val="ListParagraph"/>
        <w:numPr>
          <w:ilvl w:val="3"/>
          <w:numId w:val="2"/>
        </w:numPr>
      </w:pPr>
      <w:r>
        <w:t xml:space="preserve">Additionally, NHSN protocol is not 100% in line with M39 because we include not just the first isolate of the year. </w:t>
      </w:r>
    </w:p>
    <w:p w:rsidR="006D1F9A" w:rsidRDefault="006D1F9A" w:rsidP="006D1F9A"/>
    <w:p w:rsidR="00B903C2" w:rsidRDefault="006D1F9A" w:rsidP="00DC49AC">
      <w:pPr>
        <w:pStyle w:val="ListParagraph"/>
        <w:numPr>
          <w:ilvl w:val="1"/>
          <w:numId w:val="2"/>
        </w:numPr>
      </w:pPr>
      <w:r>
        <w:lastRenderedPageBreak/>
        <w:t xml:space="preserve">Recommendation 2: Creating an environment for success. This recommendation is speaking more to incentivization of uptake. </w:t>
      </w:r>
    </w:p>
    <w:p w:rsidR="006D1F9A" w:rsidRDefault="006D1F9A" w:rsidP="006D1F9A">
      <w:pPr>
        <w:pStyle w:val="ListParagraph"/>
        <w:numPr>
          <w:ilvl w:val="2"/>
          <w:numId w:val="2"/>
        </w:numPr>
      </w:pPr>
      <w:r>
        <w:t xml:space="preserve">For AU option, </w:t>
      </w:r>
      <w:r w:rsidR="00C87686">
        <w:t xml:space="preserve">currently </w:t>
      </w:r>
      <w:r>
        <w:t>pursuing endorsement from the National Quality Forum (NQF), which may</w:t>
      </w:r>
      <w:r w:rsidR="00332334">
        <w:t>/may not</w:t>
      </w:r>
      <w:r>
        <w:t xml:space="preserve"> lead to incentivization by CMS. Could this also be possible downstream for the AR option?</w:t>
      </w:r>
    </w:p>
    <w:p w:rsidR="004F0BB8" w:rsidRDefault="004F0BB8" w:rsidP="004F0BB8">
      <w:pPr>
        <w:pStyle w:val="ListParagraph"/>
        <w:numPr>
          <w:ilvl w:val="3"/>
          <w:numId w:val="2"/>
        </w:numPr>
      </w:pPr>
      <w:r>
        <w:t>Incentives are not simply payment. This is demonstrated by the &gt;1000 hospitals that are already participating voluntarily. That message can get lost if we jump immediately to “when will CMS start using this?”</w:t>
      </w:r>
    </w:p>
    <w:p w:rsidR="004F0BB8" w:rsidRDefault="004F0BB8" w:rsidP="004F0BB8">
      <w:pPr>
        <w:pStyle w:val="ListParagraph"/>
        <w:numPr>
          <w:ilvl w:val="3"/>
          <w:numId w:val="2"/>
        </w:numPr>
      </w:pPr>
      <w:r>
        <w:t xml:space="preserve">Hospitals may be participating already because, beyond incentives and NHSN, it is compelling for facilities to better understand the level and appropriateness of their antibiotic use when viewing the trajectories of their stewardship efforts. Having </w:t>
      </w:r>
      <w:r w:rsidR="00C87686">
        <w:t xml:space="preserve">and contributing to the development of </w:t>
      </w:r>
      <w:r>
        <w:t xml:space="preserve">national benchmarks factor into these trajectories. </w:t>
      </w:r>
    </w:p>
    <w:p w:rsidR="004F0BB8" w:rsidRDefault="004F0BB8" w:rsidP="004F0BB8">
      <w:pPr>
        <w:pStyle w:val="ListParagraph"/>
        <w:numPr>
          <w:ilvl w:val="3"/>
          <w:numId w:val="2"/>
        </w:numPr>
      </w:pPr>
      <w:r>
        <w:t>I</w:t>
      </w:r>
      <w:r w:rsidR="00C87686">
        <w:t>t is i</w:t>
      </w:r>
      <w:r>
        <w:t>mportant to understand the positives of AU/AR option use and do what we can to promote uptake on that basis. Resource-dependent, health departments c</w:t>
      </w:r>
      <w:r w:rsidR="00C87686">
        <w:t>ould</w:t>
      </w:r>
      <w:r>
        <w:t xml:space="preserve"> help to promote the importance of this reporting. </w:t>
      </w:r>
    </w:p>
    <w:p w:rsidR="004F0BB8" w:rsidRDefault="004F0BB8" w:rsidP="006D1F9A">
      <w:pPr>
        <w:pStyle w:val="ListParagraph"/>
        <w:numPr>
          <w:ilvl w:val="2"/>
          <w:numId w:val="2"/>
        </w:numPr>
      </w:pPr>
      <w:r>
        <w:t xml:space="preserve">Important to note that the measure that will introduce AU option as an NQF metric </w:t>
      </w:r>
      <w:r w:rsidR="00C87686">
        <w:t xml:space="preserve">in April </w:t>
      </w:r>
      <w:r>
        <w:t xml:space="preserve">will NOT call for CMS payment/incentivization. </w:t>
      </w:r>
    </w:p>
    <w:p w:rsidR="00E60473" w:rsidRDefault="00461011" w:rsidP="00E60473">
      <w:pPr>
        <w:pStyle w:val="ListParagraph"/>
        <w:numPr>
          <w:ilvl w:val="3"/>
          <w:numId w:val="2"/>
        </w:numPr>
      </w:pPr>
      <w:r>
        <w:t xml:space="preserve">There can still be benefit to an NQF measure that is not used for payment, and the AU measure is a good example of that. </w:t>
      </w:r>
    </w:p>
    <w:p w:rsidR="006D1F9A" w:rsidRDefault="00461011" w:rsidP="00461011">
      <w:pPr>
        <w:pStyle w:val="ListParagraph"/>
        <w:numPr>
          <w:ilvl w:val="2"/>
          <w:numId w:val="2"/>
        </w:numPr>
      </w:pPr>
      <w:r>
        <w:t>Policy as incentivization is an attractive approach. Anecdotal evidence compiled as success stories that could be given to the facilities might be a good idea to promote a “carrot over the stick” approach.</w:t>
      </w:r>
    </w:p>
    <w:p w:rsidR="00461011" w:rsidRDefault="00461011" w:rsidP="00461011">
      <w:pPr>
        <w:pStyle w:val="ListParagraph"/>
        <w:numPr>
          <w:ilvl w:val="3"/>
          <w:numId w:val="2"/>
        </w:numPr>
      </w:pPr>
      <w:r>
        <w:t>NHSN posted first series of AU Case Examples from a facility in North Carolin</w:t>
      </w:r>
      <w:r w:rsidR="0048516C">
        <w:t>a</w:t>
      </w:r>
      <w:r>
        <w:t>. Essentially shows a facility that used their SARS to determine if interventions were successful. Planning to extend that idea to AU option.</w:t>
      </w:r>
    </w:p>
    <w:p w:rsidR="00461011" w:rsidRDefault="00461011" w:rsidP="00461011">
      <w:pPr>
        <w:pStyle w:val="ListParagraph"/>
        <w:numPr>
          <w:ilvl w:val="2"/>
          <w:numId w:val="2"/>
        </w:numPr>
      </w:pPr>
      <w:r>
        <w:t>Guidance would be helpful to better understand how state and large city health departments can help promote AU/AR u</w:t>
      </w:r>
      <w:r w:rsidR="00293F4F">
        <w:t>ptake</w:t>
      </w:r>
      <w:r>
        <w:t xml:space="preserve"> in facilities, because health departments are not always familiar with the NHSN side of things. </w:t>
      </w:r>
    </w:p>
    <w:p w:rsidR="00461011" w:rsidRDefault="00461011" w:rsidP="00461011">
      <w:pPr>
        <w:pStyle w:val="ListParagraph"/>
        <w:numPr>
          <w:ilvl w:val="3"/>
          <w:numId w:val="2"/>
        </w:numPr>
      </w:pPr>
      <w:r>
        <w:t xml:space="preserve">Perhaps having some sort of intense, train-the-trainer resource for health departments to be able to help facilities would enable this promotion, better equipping them to perform this outreach to facilities. </w:t>
      </w:r>
    </w:p>
    <w:p w:rsidR="00461011" w:rsidRDefault="003A7829" w:rsidP="00DC49AC">
      <w:pPr>
        <w:pStyle w:val="ListParagraph"/>
        <w:numPr>
          <w:ilvl w:val="1"/>
          <w:numId w:val="2"/>
        </w:numPr>
      </w:pPr>
      <w:r>
        <w:t>Recommendation 3: Push to a future call</w:t>
      </w:r>
    </w:p>
    <w:p w:rsidR="00293F4F" w:rsidRDefault="00293F4F" w:rsidP="00293F4F">
      <w:pPr>
        <w:pStyle w:val="ListParagraph"/>
        <w:ind w:left="1440"/>
      </w:pPr>
    </w:p>
    <w:p w:rsidR="00EB1B14" w:rsidRDefault="00293F4F" w:rsidP="00EB1B14">
      <w:pPr>
        <w:pStyle w:val="ListParagraph"/>
        <w:numPr>
          <w:ilvl w:val="0"/>
          <w:numId w:val="2"/>
        </w:numPr>
      </w:pPr>
      <w:r>
        <w:t>National perspective on t</w:t>
      </w:r>
      <w:r w:rsidR="00EB1B14">
        <w:t>racking registries</w:t>
      </w:r>
      <w:r>
        <w:t xml:space="preserve"> – comments from Sheri on currently on the Basecamp.</w:t>
      </w:r>
    </w:p>
    <w:p w:rsidR="00293F4F" w:rsidRDefault="00293F4F" w:rsidP="00293F4F">
      <w:pPr>
        <w:pStyle w:val="ListParagraph"/>
        <w:numPr>
          <w:ilvl w:val="1"/>
          <w:numId w:val="2"/>
        </w:numPr>
      </w:pPr>
      <w:r>
        <w:t xml:space="preserve">No near-term plans to create a national XDRO registry; however, there is an awareness of the challenge of developing these for various jurisdictions. </w:t>
      </w:r>
    </w:p>
    <w:p w:rsidR="00293F4F" w:rsidRDefault="00293F4F" w:rsidP="00293F4F">
      <w:pPr>
        <w:pStyle w:val="ListParagraph"/>
        <w:numPr>
          <w:ilvl w:val="1"/>
          <w:numId w:val="2"/>
        </w:numPr>
      </w:pPr>
      <w:r>
        <w:t>Great clinical need to exchange information regarding pathogens and patient precautions. There is a lot to learn from EHR implementations and interoperability, and the lesson in avoiding siloes. Information exchange may also be across state lines.</w:t>
      </w:r>
    </w:p>
    <w:p w:rsidR="00293F4F" w:rsidRDefault="00293F4F" w:rsidP="00293F4F">
      <w:pPr>
        <w:pStyle w:val="ListParagraph"/>
        <w:numPr>
          <w:ilvl w:val="1"/>
          <w:numId w:val="2"/>
        </w:numPr>
      </w:pPr>
      <w:r>
        <w:t xml:space="preserve"> At a minimum, need to emphasize adherence to data standards from the outset to serve all stakeholders and promote interoperability. </w:t>
      </w:r>
    </w:p>
    <w:p w:rsidR="00293F4F" w:rsidRDefault="000F6B31" w:rsidP="00293F4F">
      <w:pPr>
        <w:pStyle w:val="ListParagraph"/>
        <w:numPr>
          <w:ilvl w:val="1"/>
          <w:numId w:val="2"/>
        </w:numPr>
      </w:pPr>
      <w:r>
        <w:t>Privacy</w:t>
      </w:r>
      <w:r w:rsidR="00293F4F">
        <w:t xml:space="preserve"> and security concerns as </w:t>
      </w:r>
      <w:r>
        <w:t>activities</w:t>
      </w:r>
      <w:r w:rsidR="00293F4F">
        <w:t xml:space="preserve"> move across </w:t>
      </w:r>
      <w:r>
        <w:t>domains</w:t>
      </w:r>
      <w:r w:rsidR="00293F4F">
        <w:t xml:space="preserve"> (e.g., from public health</w:t>
      </w:r>
      <w:r>
        <w:t xml:space="preserve"> </w:t>
      </w:r>
      <w:r w:rsidR="00293F4F">
        <w:t xml:space="preserve">to </w:t>
      </w:r>
      <w:r w:rsidR="0048516C">
        <w:t>clinical) should be addressed.</w:t>
      </w:r>
    </w:p>
    <w:p w:rsidR="000F6B31" w:rsidRDefault="000F6B31" w:rsidP="00293F4F">
      <w:pPr>
        <w:pStyle w:val="ListParagraph"/>
        <w:numPr>
          <w:ilvl w:val="1"/>
          <w:numId w:val="2"/>
        </w:numPr>
      </w:pPr>
      <w:r>
        <w:lastRenderedPageBreak/>
        <w:t>CDC may need to provide much more technical guidance to states developing these registries</w:t>
      </w:r>
      <w:r w:rsidR="0048516C">
        <w:t xml:space="preserve"> than originally envisioned</w:t>
      </w:r>
      <w:r>
        <w:t xml:space="preserve">. Still deciding what would need to be covered by this guidance. </w:t>
      </w:r>
    </w:p>
    <w:p w:rsidR="000F6B31" w:rsidRDefault="000F6B31" w:rsidP="000F6B31">
      <w:pPr>
        <w:pStyle w:val="ListParagraph"/>
        <w:numPr>
          <w:ilvl w:val="2"/>
          <w:numId w:val="2"/>
        </w:numPr>
      </w:pPr>
      <w:r>
        <w:t xml:space="preserve">Perhaps </w:t>
      </w:r>
      <w:r w:rsidR="0048516C">
        <w:t xml:space="preserve">in </w:t>
      </w:r>
      <w:r>
        <w:t xml:space="preserve">hearing from our state examples, some themes in needed guidance may emerge. </w:t>
      </w:r>
    </w:p>
    <w:p w:rsidR="00293F4F" w:rsidRDefault="000F6B31" w:rsidP="00EB1B14">
      <w:pPr>
        <w:pStyle w:val="ListParagraph"/>
        <w:numPr>
          <w:ilvl w:val="0"/>
          <w:numId w:val="2"/>
        </w:numPr>
      </w:pPr>
      <w:r>
        <w:t>XDRO in Illinois – to be continued on the next call (slides on Basecamp)</w:t>
      </w:r>
    </w:p>
    <w:p w:rsidR="000F6B31" w:rsidRDefault="000F6B31" w:rsidP="000F6B31">
      <w:pPr>
        <w:pStyle w:val="ListParagraph"/>
        <w:numPr>
          <w:ilvl w:val="1"/>
          <w:numId w:val="2"/>
        </w:numPr>
      </w:pPr>
      <w:r>
        <w:t>The central challenge is detailed in the 2016 position statement on interfacility communication (on Basecamp.)</w:t>
      </w:r>
    </w:p>
    <w:p w:rsidR="000F6B31" w:rsidRDefault="000F6B31" w:rsidP="000F6B31">
      <w:pPr>
        <w:pStyle w:val="ListParagraph"/>
        <w:numPr>
          <w:ilvl w:val="2"/>
          <w:numId w:val="2"/>
        </w:numPr>
      </w:pPr>
      <w:r>
        <w:t xml:space="preserve">In short, a failure to communicate can translate into unnecessary transmission of pathogens between healthcare settings. </w:t>
      </w:r>
    </w:p>
    <w:p w:rsidR="000F6B31" w:rsidRDefault="0048516C" w:rsidP="000F6B31">
      <w:pPr>
        <w:pStyle w:val="ListParagraph"/>
        <w:numPr>
          <w:ilvl w:val="2"/>
          <w:numId w:val="2"/>
        </w:numPr>
      </w:pPr>
      <w:r>
        <w:t>The p</w:t>
      </w:r>
      <w:r w:rsidR="000F6B31">
        <w:t xml:space="preserve">osition statement proposes recommended actions/solutions. </w:t>
      </w:r>
    </w:p>
    <w:p w:rsidR="000F6B31" w:rsidRDefault="000F6B31" w:rsidP="000F6B31">
      <w:pPr>
        <w:pStyle w:val="ListParagraph"/>
        <w:numPr>
          <w:ilvl w:val="1"/>
          <w:numId w:val="2"/>
        </w:numPr>
      </w:pPr>
      <w:r>
        <w:t>In Illinois, XDRO registry automates processes that they are already allowed to do.</w:t>
      </w:r>
    </w:p>
    <w:p w:rsidR="001D1F7C" w:rsidRDefault="000F6B31" w:rsidP="001D1F7C">
      <w:pPr>
        <w:pStyle w:val="ListParagraph"/>
        <w:numPr>
          <w:ilvl w:val="2"/>
          <w:numId w:val="2"/>
        </w:numPr>
      </w:pPr>
      <w:r>
        <w:t xml:space="preserve">However, registry is bidirectional, and so facilities can </w:t>
      </w:r>
      <w:proofErr w:type="gramStart"/>
      <w:r>
        <w:t>actually query</w:t>
      </w:r>
      <w:proofErr w:type="gramEnd"/>
      <w:r>
        <w:t xml:space="preserve"> the registry as well. </w:t>
      </w:r>
    </w:p>
    <w:p w:rsidR="00EB1B14" w:rsidRDefault="00EB1B14" w:rsidP="00EB1B14">
      <w:pPr>
        <w:pStyle w:val="ListParagraph"/>
        <w:ind w:left="1440"/>
      </w:pPr>
    </w:p>
    <w:p w:rsidR="00EB1B14" w:rsidRDefault="00EB1B14" w:rsidP="00EB1B14">
      <w:pPr>
        <w:pStyle w:val="ListParagraph"/>
        <w:numPr>
          <w:ilvl w:val="0"/>
          <w:numId w:val="2"/>
        </w:numPr>
      </w:pPr>
      <w:r>
        <w:t>Next steps/action items</w:t>
      </w:r>
    </w:p>
    <w:p w:rsidR="000F6B31" w:rsidRDefault="000F6B31" w:rsidP="00DC49AC">
      <w:pPr>
        <w:pStyle w:val="ListParagraph"/>
        <w:numPr>
          <w:ilvl w:val="1"/>
          <w:numId w:val="2"/>
        </w:numPr>
      </w:pPr>
      <w:r>
        <w:t>Continue discussion on JPHIT AUR recommendation 3 on a future call</w:t>
      </w:r>
    </w:p>
    <w:p w:rsidR="00EB1B14" w:rsidRDefault="00DC49AC" w:rsidP="00DC49AC">
      <w:pPr>
        <w:pStyle w:val="ListParagraph"/>
        <w:numPr>
          <w:ilvl w:val="1"/>
          <w:numId w:val="2"/>
        </w:numPr>
      </w:pPr>
      <w:r>
        <w:t xml:space="preserve">Continue Erica </w:t>
      </w:r>
      <w:proofErr w:type="spellStart"/>
      <w:r>
        <w:t>Runningdeer’s</w:t>
      </w:r>
      <w:proofErr w:type="spellEnd"/>
      <w:r>
        <w:t xml:space="preserve"> presentation on Illinois’ XDRO registry</w:t>
      </w:r>
      <w:r w:rsidR="0048516C">
        <w:t xml:space="preserve"> on 3/29 call.</w:t>
      </w:r>
    </w:p>
    <w:p w:rsidR="000F6B31" w:rsidRDefault="000F6B31" w:rsidP="000F6B31">
      <w:pPr>
        <w:pStyle w:val="ListParagraph"/>
        <w:numPr>
          <w:ilvl w:val="2"/>
          <w:numId w:val="2"/>
        </w:numPr>
      </w:pPr>
      <w:r>
        <w:t>Other state examples will also be presented. These examples can help frame some of the requests for national guidance on developing registries</w:t>
      </w:r>
      <w:r w:rsidR="001D1F7C">
        <w:t xml:space="preserve"> and what that guidance could </w:t>
      </w:r>
      <w:r w:rsidR="0048516C">
        <w:t xml:space="preserve">and should </w:t>
      </w:r>
      <w:bookmarkStart w:id="0" w:name="_GoBack"/>
      <w:bookmarkEnd w:id="0"/>
      <w:r w:rsidR="001D1F7C">
        <w:t xml:space="preserve">possibly cover. </w:t>
      </w:r>
    </w:p>
    <w:p w:rsidR="00EB1B14" w:rsidRPr="00EB1B14" w:rsidRDefault="00EB1B14" w:rsidP="00EB1B14">
      <w:pPr>
        <w:pStyle w:val="ListParagraph"/>
        <w:numPr>
          <w:ilvl w:val="1"/>
          <w:numId w:val="2"/>
        </w:numPr>
        <w:rPr>
          <w:b/>
        </w:rPr>
      </w:pPr>
      <w:r w:rsidRPr="00EB1B14">
        <w:rPr>
          <w:b/>
        </w:rPr>
        <w:t xml:space="preserve">Next call date: Friday, March </w:t>
      </w:r>
      <w:r w:rsidR="00DC49AC">
        <w:rPr>
          <w:b/>
        </w:rPr>
        <w:t>29</w:t>
      </w:r>
      <w:r w:rsidRPr="00EB1B14">
        <w:rPr>
          <w:b/>
          <w:vertAlign w:val="superscript"/>
        </w:rPr>
        <w:t>th</w:t>
      </w:r>
      <w:r w:rsidRPr="00EB1B14">
        <w:rPr>
          <w:b/>
        </w:rPr>
        <w:t xml:space="preserve"> at 1:00 PM ET.</w:t>
      </w:r>
    </w:p>
    <w:sectPr w:rsidR="00EB1B14" w:rsidRPr="00EB1B14" w:rsidSect="006D1F9A">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4156"/>
    <w:multiLevelType w:val="hybridMultilevel"/>
    <w:tmpl w:val="6262E1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584557"/>
    <w:multiLevelType w:val="hybridMultilevel"/>
    <w:tmpl w:val="CBB22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391"/>
    <w:rsid w:val="00015297"/>
    <w:rsid w:val="000F6B31"/>
    <w:rsid w:val="001D1F7C"/>
    <w:rsid w:val="00293F4F"/>
    <w:rsid w:val="00332334"/>
    <w:rsid w:val="003A7829"/>
    <w:rsid w:val="003F12A3"/>
    <w:rsid w:val="00461011"/>
    <w:rsid w:val="0048516C"/>
    <w:rsid w:val="004D37FE"/>
    <w:rsid w:val="004F0BB8"/>
    <w:rsid w:val="0058208D"/>
    <w:rsid w:val="006D1F9A"/>
    <w:rsid w:val="009C5391"/>
    <w:rsid w:val="00A71355"/>
    <w:rsid w:val="00B903C2"/>
    <w:rsid w:val="00BE1BA0"/>
    <w:rsid w:val="00C57FBC"/>
    <w:rsid w:val="00C87686"/>
    <w:rsid w:val="00D76382"/>
    <w:rsid w:val="00DC49AC"/>
    <w:rsid w:val="00DF6619"/>
    <w:rsid w:val="00E60473"/>
    <w:rsid w:val="00EB1B14"/>
    <w:rsid w:val="00EB3F2B"/>
    <w:rsid w:val="00EB5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F6DB7"/>
  <w15:chartTrackingRefBased/>
  <w15:docId w15:val="{7C4E7DB7-D1C2-4311-A85F-044FBEF12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3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1015</Words>
  <Characters>5788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Beaulieu</dc:creator>
  <cp:keywords/>
  <dc:description/>
  <cp:lastModifiedBy>Brooke Beaulieu</cp:lastModifiedBy>
  <cp:revision>10</cp:revision>
  <dcterms:created xsi:type="dcterms:W3CDTF">2019-03-25T19:42:00Z</dcterms:created>
  <dcterms:modified xsi:type="dcterms:W3CDTF">2019-03-25T20:31:00Z</dcterms:modified>
</cp:coreProperties>
</file>