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45B" w:rsidRDefault="0039298D" w:rsidP="00D7445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Template</w:t>
      </w:r>
      <w:r w:rsidR="00D7445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of CDC DOSE Caveat and Limitation Language: </w:t>
      </w:r>
      <w:hyperlink r:id="rId5" w:history="1">
        <w:r w:rsidR="00D7445B" w:rsidRPr="00D7445B">
          <w:rPr>
            <w:rStyle w:val="Hyperlink"/>
            <w:rFonts w:ascii="Times New Roman" w:eastAsia="Times New Roman" w:hAnsi="Times New Roman" w:cs="Times New Roman"/>
            <w:sz w:val="27"/>
            <w:szCs w:val="27"/>
          </w:rPr>
          <w:t>https://www.cdc.gov/drugoverdose/data/nonfatal/states/covid-19.html</w:t>
        </w:r>
      </w:hyperlink>
    </w:p>
    <w:p w:rsidR="00D7445B" w:rsidRPr="00D7445B" w:rsidRDefault="00EF6E91" w:rsidP="00D7445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F6E91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</w:rPr>
        <w:t>______Jurisdiction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example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D7445B" w:rsidRPr="00D7445B">
        <w:rPr>
          <w:rFonts w:ascii="Times New Roman" w:eastAsia="Times New Roman" w:hAnsi="Times New Roman" w:cs="Times New Roman"/>
          <w:color w:val="000000"/>
          <w:sz w:val="27"/>
          <w:szCs w:val="27"/>
        </w:rPr>
        <w:t>State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  <w:r w:rsidR="00D7445B" w:rsidRPr="00D7445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-specific Nonfatal </w:t>
      </w:r>
      <w:r w:rsidRPr="00A73DA3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</w:rPr>
        <w:t>________disease or condition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example </w:t>
      </w:r>
      <w:r w:rsidR="00D7445B" w:rsidRPr="00D7445B">
        <w:rPr>
          <w:rFonts w:ascii="Times New Roman" w:eastAsia="Times New Roman" w:hAnsi="Times New Roman" w:cs="Times New Roman"/>
          <w:color w:val="000000"/>
          <w:sz w:val="27"/>
          <w:szCs w:val="27"/>
        </w:rPr>
        <w:t>Drug Overdoses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  <w:r w:rsidR="00D7445B" w:rsidRPr="00D7445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during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A73DA3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</w:rPr>
        <w:t>_______event/outbreak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(example </w:t>
      </w:r>
      <w:r w:rsidR="00D7445B" w:rsidRPr="00D7445B">
        <w:rPr>
          <w:rFonts w:ascii="Times New Roman" w:eastAsia="Times New Roman" w:hAnsi="Times New Roman" w:cs="Times New Roman"/>
          <w:color w:val="000000"/>
          <w:sz w:val="27"/>
          <w:szCs w:val="27"/>
        </w:rPr>
        <w:t>COVID-19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:rsidR="00D7445B" w:rsidRPr="00D7445B" w:rsidRDefault="00A73DA3" w:rsidP="00D744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EF6E91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</w:rPr>
        <w:t>______Jurisdiction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(example </w:t>
      </w:r>
      <w:r w:rsidRPr="00D7445B">
        <w:rPr>
          <w:rFonts w:ascii="Times New Roman" w:eastAsia="Times New Roman" w:hAnsi="Times New Roman" w:cs="Times New Roman"/>
          <w:color w:val="000000"/>
          <w:sz w:val="27"/>
          <w:szCs w:val="27"/>
        </w:rPr>
        <w:t>State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-specific data from </w:t>
      </w:r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___________syndromic surveillance system/registry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CDC’s DOSE system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are presented below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________Analysis Period of Time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(from March through September for 2019 and 2020)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to indicate how </w:t>
      </w:r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_________disease or condition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overdoses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changed between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________Analysis Period of Time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>
        <w:rPr>
          <w:rFonts w:ascii="Segoe UI" w:eastAsia="Times New Roman" w:hAnsi="Segoe UI" w:cs="Segoe UI"/>
          <w:color w:val="000000"/>
          <w:sz w:val="26"/>
          <w:szCs w:val="26"/>
        </w:rPr>
        <w:t>(example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March 2020 and September 2020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across states and how </w:t>
      </w:r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_______disease or condition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overdoses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during this time period in </w:t>
      </w:r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________Analysis Period of Time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2020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were similar or different during the same months in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________Ana</w:t>
      </w:r>
      <w:bookmarkStart w:id="0" w:name="_GoBack"/>
      <w:bookmarkEnd w:id="0"/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lysis Period of Time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2019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. </w:t>
      </w:r>
      <w:r w:rsidRPr="00EF6E91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</w:rPr>
        <w:t>______Jurisdiction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(example </w:t>
      </w:r>
      <w:r w:rsidRPr="00D7445B">
        <w:rPr>
          <w:rFonts w:ascii="Times New Roman" w:eastAsia="Times New Roman" w:hAnsi="Times New Roman" w:cs="Times New Roman"/>
          <w:color w:val="000000"/>
          <w:sz w:val="27"/>
          <w:szCs w:val="27"/>
        </w:rPr>
        <w:t>State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-specific data include numbers of total </w:t>
      </w:r>
      <w:r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>
        <w:rPr>
          <w:rFonts w:ascii="Segoe UI" w:eastAsia="Times New Roman" w:hAnsi="Segoe UI" w:cs="Segoe UI"/>
          <w:color w:val="000000"/>
          <w:sz w:val="26"/>
          <w:szCs w:val="26"/>
        </w:rPr>
        <w:t>s)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visits, numbers of suspected </w:t>
      </w:r>
      <w:r w:rsidRPr="0039298D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 xml:space="preserve">_________disease </w:t>
      </w:r>
      <w:r w:rsidR="0039298D" w:rsidRPr="0039298D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o</w:t>
      </w:r>
      <w:r w:rsidRPr="0039298D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r condition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drug overdose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>
        <w:rPr>
          <w:rFonts w:ascii="Segoe UI" w:eastAsia="Times New Roman" w:hAnsi="Segoe UI" w:cs="Segoe UI"/>
          <w:color w:val="000000"/>
          <w:sz w:val="26"/>
          <w:szCs w:val="26"/>
        </w:rPr>
        <w:t>s)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visits, and rates of suspected </w:t>
      </w:r>
      <w:r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_________disease or condition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drug overdoses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per 10,000 </w:t>
      </w:r>
      <w:r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>
        <w:rPr>
          <w:rFonts w:ascii="Segoe UI" w:eastAsia="Times New Roman" w:hAnsi="Segoe UI" w:cs="Segoe UI"/>
          <w:color w:val="000000"/>
          <w:sz w:val="26"/>
          <w:szCs w:val="26"/>
        </w:rPr>
        <w:t>s)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visits.</w:t>
      </w:r>
    </w:p>
    <w:p w:rsidR="00D7445B" w:rsidRPr="00D7445B" w:rsidRDefault="00D7445B" w:rsidP="00D744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Click on the </w:t>
      </w:r>
      <w:r w:rsidR="001D67BE" w:rsidRPr="001D67BE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_______jurisdiction</w:t>
      </w:r>
      <w:r w:rsidR="001D67BE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state</w:t>
      </w:r>
      <w:r w:rsidR="001D67BE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name to view the </w:t>
      </w:r>
      <w:r w:rsidR="001D67BE" w:rsidRPr="001D67BE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_______jurisdiction</w:t>
      </w:r>
      <w:r w:rsidR="001D67BE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state</w:t>
      </w:r>
      <w:r w:rsidR="001D67BE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-specific figure.</w:t>
      </w:r>
    </w:p>
    <w:p w:rsidR="00D7445B" w:rsidRPr="00D7445B" w:rsidRDefault="00D7445B" w:rsidP="00D744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 xml:space="preserve">It is important to review </w:t>
      </w:r>
      <w:r w:rsidR="001D67BE" w:rsidRPr="001D67BE">
        <w:rPr>
          <w:rFonts w:ascii="Segoe UI" w:eastAsia="Times New Roman" w:hAnsi="Segoe UI" w:cs="Segoe UI"/>
          <w:b/>
          <w:bCs/>
          <w:color w:val="000000"/>
          <w:sz w:val="26"/>
          <w:szCs w:val="26"/>
          <w:highlight w:val="yellow"/>
        </w:rPr>
        <w:t>_______jurisdiction</w:t>
      </w:r>
      <w:r w:rsidR="001D67BE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state</w:t>
      </w:r>
      <w:r w:rsidR="001D67BE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-specific numbers and rates with caution. Important caveats to consider when interpreting the data include:</w:t>
      </w:r>
    </w:p>
    <w:p w:rsidR="00D7445B" w:rsidRPr="00D7445B" w:rsidRDefault="00D7445B" w:rsidP="00D744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Some data may be missing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. Data sent from </w:t>
      </w:r>
      <w:r w:rsidR="00515BDD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515BDD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s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to health departments may be delayed or may stop for a period of time. When </w:t>
      </w:r>
      <w:r w:rsidR="00515BDD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515BDD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s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begin sharing data again, information about visits during the lapse may never be shared.</w:t>
      </w:r>
    </w:p>
    <w:p w:rsidR="00D7445B" w:rsidRPr="00D7445B" w:rsidRDefault="00D7445B" w:rsidP="00D744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Reporting facilities and the data they report can change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. Numbers and rates could change over time as more facilities began sharing data or sharing higher quality data. Some states had increases in the number of </w:t>
      </w:r>
      <w:r w:rsidR="00515BDD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515BDD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s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reporting data during </w:t>
      </w:r>
      <w:r w:rsid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 xml:space="preserve">____________Analysis </w:t>
      </w:r>
      <w:r w:rsidR="00A73DA3"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P</w:t>
      </w:r>
      <w:r w:rsidR="00515BDD"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eriod</w:t>
      </w:r>
      <w:r w:rsidR="00A73DA3"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 xml:space="preserve"> of Time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March through September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lastRenderedPageBreak/>
        <w:t>2020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, and some </w:t>
      </w:r>
      <w:r w:rsidR="00515BDD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515BDD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s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had increases in the proportion of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EF6E91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visits in syndromic data that contain </w:t>
      </w:r>
      <w:hyperlink r:id="rId6" w:history="1">
        <w:r w:rsidRPr="00D7445B">
          <w:rPr>
            <w:rFonts w:ascii="Segoe UI" w:eastAsia="Times New Roman" w:hAnsi="Segoe UI" w:cs="Segoe UI"/>
            <w:color w:val="075290"/>
            <w:sz w:val="26"/>
            <w:szCs w:val="26"/>
            <w:u w:val="single"/>
          </w:rPr>
          <w:t>diagnosis codes</w:t>
        </w:r>
      </w:hyperlink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, which facilitate the identification of </w:t>
      </w:r>
      <w:r w:rsidR="00515BDD" w:rsidRPr="0039298D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_______________</w:t>
      </w:r>
      <w:r w:rsidR="0039298D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disease or</w:t>
      </w:r>
      <w:r w:rsidR="00515BDD" w:rsidRPr="0039298D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 xml:space="preserve"> condition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overdose-related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visits.</w:t>
      </w:r>
    </w:p>
    <w:p w:rsidR="00D7445B" w:rsidRPr="00D7445B" w:rsidRDefault="00D7445B" w:rsidP="00D744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Data are updated over time.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 The chief complaint, or the reason for the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515BDD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visit, is available in syndromic surveillance systems within 48 hours for </w:t>
      </w:r>
      <w:r w:rsidR="00EF6E91" w:rsidRPr="00EF6E91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_______data quality threshold</w:t>
      </w:r>
      <w:r w:rsidR="00EF6E91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~70%</w:t>
      </w:r>
      <w:r w:rsidR="00EF6E91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of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visits. However, the chief complaint field may be incomplete.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 data may be updated over the course of several weeks, and relevant </w:t>
      </w:r>
      <w:r w:rsidR="00A73DA3"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_________disease or condition</w:t>
      </w:r>
      <w:r w:rsidR="00A73DA3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overdose</w:t>
      </w:r>
      <w:r w:rsidR="00A73DA3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discharge diagnosis codes or revised chief complaint text may be received during this time. Therefore, rates may change over time as the visit records are completed and new </w:t>
      </w:r>
      <w:r w:rsidR="00A73DA3" w:rsidRPr="00A73DA3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_______disease or condition</w:t>
      </w:r>
      <w:r w:rsidR="00A73DA3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drug overdose</w:t>
      </w:r>
      <w:r w:rsidR="00A73DA3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 are identified.</w:t>
      </w:r>
    </w:p>
    <w:p w:rsidR="00D7445B" w:rsidRPr="00D7445B" w:rsidRDefault="00D7445B" w:rsidP="00D744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Data should not be interpreted as exact case numbers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 because quality of visit information may change over time and facility data submission may be interrupted or delayed.</w:t>
      </w:r>
    </w:p>
    <w:p w:rsidR="00D7445B" w:rsidRPr="00D7445B" w:rsidRDefault="00D7445B" w:rsidP="00D744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 xml:space="preserve">These are suspected </w:t>
      </w:r>
      <w:r w:rsidR="005541BA" w:rsidRPr="0039298D">
        <w:rPr>
          <w:rFonts w:ascii="Segoe UI" w:eastAsia="Times New Roman" w:hAnsi="Segoe UI" w:cs="Segoe UI"/>
          <w:b/>
          <w:bCs/>
          <w:color w:val="000000"/>
          <w:sz w:val="26"/>
          <w:szCs w:val="26"/>
          <w:highlight w:val="yellow"/>
        </w:rPr>
        <w:t>________disease or conditions</w:t>
      </w:r>
      <w:r w:rsidR="005541BA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overdoses</w:t>
      </w:r>
      <w:r w:rsidR="0039298D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. Because these data are not determined by </w:t>
      </w:r>
      <w:r w:rsidR="005541BA" w:rsidRPr="005541BA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___________type of lab tests</w:t>
      </w:r>
      <w:r w:rsidR="005541BA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toxicological</w:t>
      </w:r>
      <w:r w:rsidR="005541BA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testing, they are not considered confirmed cases, but “suspected”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_________disease or condition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overdoses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.</w:t>
      </w:r>
    </w:p>
    <w:p w:rsidR="00D7445B" w:rsidRPr="00D7445B" w:rsidRDefault="00D7445B" w:rsidP="00D744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Data likely represent an undercount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, given inaccuracies in coding and missing chief complaint information.</w:t>
      </w:r>
    </w:p>
    <w:p w:rsidR="00D7445B" w:rsidRPr="00D7445B" w:rsidRDefault="00D7445B" w:rsidP="00D744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Rates may be difficult to interpret. 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Although the calculation of rates per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___________rate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10,000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 accounts for changes in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facility participation in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___________syndromic surveillance system/registry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DOSE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over time, these rates may be influenced by characteristics of the populations served by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or changes in total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visits, which declined substantially and remained low during the early months of the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__________event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COVID-19 pandemic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(March through September 2020).</w:t>
      </w:r>
      <w:r w:rsidRPr="00D7445B">
        <w:rPr>
          <w:rFonts w:ascii="Segoe UI" w:eastAsia="Times New Roman" w:hAnsi="Segoe UI" w:cs="Segoe UI"/>
          <w:color w:val="000000"/>
          <w:sz w:val="17"/>
          <w:szCs w:val="17"/>
          <w:vertAlign w:val="superscript"/>
        </w:rPr>
        <w:t>1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 Therefore, changes in rates in some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__________jurisdictions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states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may not necessarily provide an indication of a substantially worsening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lastRenderedPageBreak/>
        <w:t>________disease or condition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overdose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crisis in those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__________jurisdictions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states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. Because of the substantial changes in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 volume following the onset of the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__________event/outbreak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COVID-19 pandemic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, readers must interpret data cautiously, especially if trends in suspected nonfatal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__________disease or condition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drug overdose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per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_________threshold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10,000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>ED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visits differ from trends in numbers of suspected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_______disease or condition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drug overdoses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.</w:t>
      </w:r>
    </w:p>
    <w:p w:rsidR="00D7445B" w:rsidRPr="00D7445B" w:rsidRDefault="00412884" w:rsidP="00D744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412884">
        <w:rPr>
          <w:rFonts w:ascii="Segoe UI" w:eastAsia="Times New Roman" w:hAnsi="Segoe UI" w:cs="Segoe UI"/>
          <w:b/>
          <w:bCs/>
          <w:color w:val="000000"/>
          <w:sz w:val="26"/>
          <w:szCs w:val="26"/>
          <w:highlight w:val="yellow"/>
        </w:rPr>
        <w:t>_________Disease or Condition</w:t>
      </w:r>
      <w:r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Overdose</w:t>
      </w:r>
      <w:r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b/>
          <w:bCs/>
          <w:color w:val="000000"/>
          <w:sz w:val="26"/>
          <w:szCs w:val="26"/>
        </w:rPr>
        <w:t xml:space="preserve"> visit numbers are not mutually exclusive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 but rather reflect nesting of </w:t>
      </w:r>
      <w:r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__________disease or condition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drug categories: numbers of suspected opioid-, heroin-, and stimulant-involved overdose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 are included in the numbers of suspected all </w:t>
      </w:r>
      <w:r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________disease or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condition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drug overdose visits; suspected heroin-involved overdose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 are included in the numbers of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 xml:space="preserve">suspected </w:t>
      </w:r>
      <w:r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________disease or condition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opioid-involved overdose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visits; and some </w:t>
      </w:r>
      <w:r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_________disease or condition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overdose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visits involved multiple </w:t>
      </w:r>
      <w:r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_________disease or condition</w:t>
      </w:r>
      <w:r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substances (e.g., a given overdose </w:t>
      </w:r>
      <w:r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___________Facility Type/Patient Class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visit could have involved both opioids and stimulants)</w:t>
      </w:r>
      <w:r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="00D7445B" w:rsidRPr="00D7445B">
        <w:rPr>
          <w:rFonts w:ascii="Segoe UI" w:eastAsia="Times New Roman" w:hAnsi="Segoe UI" w:cs="Segoe UI"/>
          <w:color w:val="000000"/>
          <w:sz w:val="26"/>
          <w:szCs w:val="26"/>
        </w:rPr>
        <w:t>.</w:t>
      </w:r>
    </w:p>
    <w:p w:rsidR="00D7445B" w:rsidRPr="00D7445B" w:rsidRDefault="00D7445B" w:rsidP="00D7445B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445B">
        <w:rPr>
          <w:rFonts w:ascii="Times New Roman" w:eastAsia="Times New Roman" w:hAnsi="Times New Roman" w:cs="Times New Roman"/>
          <w:color w:val="000000"/>
          <w:sz w:val="24"/>
          <w:szCs w:val="24"/>
        </w:rPr>
        <w:t>Data Suppression</w:t>
      </w:r>
    </w:p>
    <w:p w:rsidR="00D7445B" w:rsidRPr="00D7445B" w:rsidRDefault="00D7445B" w:rsidP="00D7445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</w:rPr>
      </w:pP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Both counts and rates are suppressed when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________disease or condition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overdose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counts are less than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_________number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20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. Data for each specific figure are displayed if at least two data points can be presented in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__________Year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2020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. Additionally,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__________Year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2019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data were included if there w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ere at least two data points in</w:t>
      </w:r>
      <w:r w:rsidR="00D10859"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__________Year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2019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. In addition, data for some states were not available in every month during the time presented. Data presented in the downloadable CSV file are suppressed for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_________disease or condition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overdose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counts of less than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__________number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10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, and rates included in the downloadable CSV file are suppressed when </w:t>
      </w:r>
      <w:r w:rsidR="00412884" w:rsidRPr="00412884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_________disease or condition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overdose</w:t>
      </w:r>
      <w:r w:rsidR="00412884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 xml:space="preserve"> counts are less than </w:t>
      </w:r>
      <w:r w:rsidR="00D10859" w:rsidRPr="00D10859">
        <w:rPr>
          <w:rFonts w:ascii="Segoe UI" w:eastAsia="Times New Roman" w:hAnsi="Segoe UI" w:cs="Segoe UI"/>
          <w:color w:val="000000"/>
          <w:sz w:val="26"/>
          <w:szCs w:val="26"/>
          <w:highlight w:val="yellow"/>
        </w:rPr>
        <w:t>__________number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 xml:space="preserve"> (example 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20</w:t>
      </w:r>
      <w:r w:rsidR="00D10859">
        <w:rPr>
          <w:rFonts w:ascii="Segoe UI" w:eastAsia="Times New Roman" w:hAnsi="Segoe UI" w:cs="Segoe UI"/>
          <w:color w:val="000000"/>
          <w:sz w:val="26"/>
          <w:szCs w:val="26"/>
        </w:rPr>
        <w:t>)</w:t>
      </w:r>
      <w:r w:rsidRPr="00D7445B">
        <w:rPr>
          <w:rFonts w:ascii="Segoe UI" w:eastAsia="Times New Roman" w:hAnsi="Segoe UI" w:cs="Segoe UI"/>
          <w:color w:val="000000"/>
          <w:sz w:val="26"/>
          <w:szCs w:val="26"/>
        </w:rPr>
        <w:t>.</w:t>
      </w:r>
    </w:p>
    <w:p w:rsidR="00362B6F" w:rsidRDefault="00362B6F"/>
    <w:sectPr w:rsidR="00362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42A2D"/>
    <w:multiLevelType w:val="multilevel"/>
    <w:tmpl w:val="81AE8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5B"/>
    <w:rsid w:val="001D67BE"/>
    <w:rsid w:val="00362B6F"/>
    <w:rsid w:val="0039298D"/>
    <w:rsid w:val="00412884"/>
    <w:rsid w:val="00515BDD"/>
    <w:rsid w:val="005541BA"/>
    <w:rsid w:val="00A73DA3"/>
    <w:rsid w:val="00D10859"/>
    <w:rsid w:val="00D7445B"/>
    <w:rsid w:val="00EF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20160"/>
  <w15:chartTrackingRefBased/>
  <w15:docId w15:val="{945EF55A-15E6-421D-A86B-27D74E6E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4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drugoverdose/data/nonfatal/case.html" TargetMode="External"/><Relationship Id="rId5" Type="http://schemas.openxmlformats.org/officeDocument/2006/relationships/hyperlink" Target="https://www.cdc.gov/drugoverdose/data/nonfatal/states/covid-1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Department of Health Services</Company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Collier</dc:creator>
  <cp:keywords/>
  <dc:description/>
  <cp:lastModifiedBy>Krystal Collier</cp:lastModifiedBy>
  <cp:revision>5</cp:revision>
  <dcterms:created xsi:type="dcterms:W3CDTF">2021-04-22T22:45:00Z</dcterms:created>
  <dcterms:modified xsi:type="dcterms:W3CDTF">2021-04-22T23:17:00Z</dcterms:modified>
</cp:coreProperties>
</file>