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45B" w:rsidRDefault="00D7445B" w:rsidP="00D7445B">
      <w:pPr>
        <w:shd w:val="clear" w:color="auto" w:fill="FFFFFF"/>
        <w:spacing w:before="100" w:beforeAutospacing="1" w:after="100" w:afterAutospacing="1" w:line="240" w:lineRule="auto"/>
        <w:outlineLvl w:val="2"/>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Example of CDC DOSE Caveat and Limitation Language: </w:t>
      </w:r>
      <w:hyperlink r:id="rId5" w:history="1">
        <w:r w:rsidRPr="00D7445B">
          <w:rPr>
            <w:rStyle w:val="Hyperlink"/>
            <w:rFonts w:ascii="Times New Roman" w:eastAsia="Times New Roman" w:hAnsi="Times New Roman" w:cs="Times New Roman"/>
            <w:sz w:val="27"/>
            <w:szCs w:val="27"/>
          </w:rPr>
          <w:t>https://www.cdc.gov/drugoverdose/data/nonfatal/states/covid-19.html</w:t>
        </w:r>
      </w:hyperlink>
      <w:bookmarkStart w:id="0" w:name="_GoBack"/>
      <w:bookmarkEnd w:id="0"/>
    </w:p>
    <w:p w:rsidR="00D7445B" w:rsidRPr="00D7445B" w:rsidRDefault="00D7445B" w:rsidP="00D7445B">
      <w:pPr>
        <w:shd w:val="clear" w:color="auto" w:fill="FFFFFF"/>
        <w:spacing w:before="100" w:beforeAutospacing="1" w:after="100" w:afterAutospacing="1" w:line="240" w:lineRule="auto"/>
        <w:outlineLvl w:val="2"/>
        <w:rPr>
          <w:rFonts w:ascii="Times New Roman" w:eastAsia="Times New Roman" w:hAnsi="Times New Roman" w:cs="Times New Roman"/>
          <w:color w:val="000000"/>
          <w:sz w:val="27"/>
          <w:szCs w:val="27"/>
        </w:rPr>
      </w:pPr>
      <w:r w:rsidRPr="00D7445B">
        <w:rPr>
          <w:rFonts w:ascii="Times New Roman" w:eastAsia="Times New Roman" w:hAnsi="Times New Roman" w:cs="Times New Roman"/>
          <w:color w:val="000000"/>
          <w:sz w:val="27"/>
          <w:szCs w:val="27"/>
        </w:rPr>
        <w:t>State-specific Nonfatal Drug Overdoses during COVID-19</w:t>
      </w:r>
    </w:p>
    <w:p w:rsidR="00D7445B" w:rsidRPr="00D7445B" w:rsidRDefault="00D7445B" w:rsidP="00D7445B">
      <w:pPr>
        <w:shd w:val="clear" w:color="auto" w:fill="FFFFFF"/>
        <w:spacing w:after="100" w:afterAutospacing="1" w:line="240" w:lineRule="auto"/>
        <w:rPr>
          <w:rFonts w:ascii="Segoe UI" w:eastAsia="Times New Roman" w:hAnsi="Segoe UI" w:cs="Segoe UI"/>
          <w:color w:val="000000"/>
          <w:sz w:val="26"/>
          <w:szCs w:val="26"/>
        </w:rPr>
      </w:pPr>
      <w:r w:rsidRPr="00D7445B">
        <w:rPr>
          <w:rFonts w:ascii="Segoe UI" w:eastAsia="Times New Roman" w:hAnsi="Segoe UI" w:cs="Segoe UI"/>
          <w:color w:val="000000"/>
          <w:sz w:val="26"/>
          <w:szCs w:val="26"/>
        </w:rPr>
        <w:t>State-specific data from CDC’s DOSE system are presented below (from March through September for 2019 and 2020) to indicate how overdoses changed between March 2020 and September 2020 across states and how overdoses during this time period in 2020 were similar or different during the same months in 2019. State-specific data include numbers of total ED visits, numbers of suspected drug overdose ED visits, and rates of suspected drug overdoses per 10,000 ED visits.</w:t>
      </w:r>
    </w:p>
    <w:p w:rsidR="00D7445B" w:rsidRPr="00D7445B" w:rsidRDefault="00D7445B" w:rsidP="00D7445B">
      <w:pPr>
        <w:shd w:val="clear" w:color="auto" w:fill="FFFFFF"/>
        <w:spacing w:after="100" w:afterAutospacing="1" w:line="240" w:lineRule="auto"/>
        <w:rPr>
          <w:rFonts w:ascii="Segoe UI" w:eastAsia="Times New Roman" w:hAnsi="Segoe UI" w:cs="Segoe UI"/>
          <w:color w:val="000000"/>
          <w:sz w:val="26"/>
          <w:szCs w:val="26"/>
        </w:rPr>
      </w:pPr>
      <w:r w:rsidRPr="00D7445B">
        <w:rPr>
          <w:rFonts w:ascii="Segoe UI" w:eastAsia="Times New Roman" w:hAnsi="Segoe UI" w:cs="Segoe UI"/>
          <w:color w:val="000000"/>
          <w:sz w:val="26"/>
          <w:szCs w:val="26"/>
        </w:rPr>
        <w:t>Click on the state name to view the state-specific figure.</w:t>
      </w:r>
    </w:p>
    <w:p w:rsidR="00D7445B" w:rsidRPr="00D7445B" w:rsidRDefault="00D7445B" w:rsidP="00D7445B">
      <w:pPr>
        <w:shd w:val="clear" w:color="auto" w:fill="FFFFFF"/>
        <w:spacing w:after="100" w:afterAutospacing="1" w:line="240" w:lineRule="auto"/>
        <w:rPr>
          <w:rFonts w:ascii="Segoe UI" w:eastAsia="Times New Roman" w:hAnsi="Segoe UI" w:cs="Segoe UI"/>
          <w:color w:val="000000"/>
          <w:sz w:val="26"/>
          <w:szCs w:val="26"/>
        </w:rPr>
      </w:pPr>
      <w:r w:rsidRPr="00D7445B">
        <w:rPr>
          <w:rFonts w:ascii="Segoe UI" w:eastAsia="Times New Roman" w:hAnsi="Segoe UI" w:cs="Segoe UI"/>
          <w:b/>
          <w:bCs/>
          <w:color w:val="000000"/>
          <w:sz w:val="26"/>
          <w:szCs w:val="26"/>
        </w:rPr>
        <w:t>It is important to review state-specific numbers and rates with caution. Important caveats to consider when interpreting the data include:</w:t>
      </w:r>
    </w:p>
    <w:p w:rsidR="00D7445B" w:rsidRPr="00D7445B" w:rsidRDefault="00D7445B" w:rsidP="00D7445B">
      <w:pPr>
        <w:numPr>
          <w:ilvl w:val="0"/>
          <w:numId w:val="1"/>
        </w:numPr>
        <w:shd w:val="clear" w:color="auto" w:fill="FFFFFF"/>
        <w:spacing w:before="100" w:beforeAutospacing="1" w:after="100" w:afterAutospacing="1" w:line="240" w:lineRule="auto"/>
        <w:rPr>
          <w:rFonts w:ascii="Segoe UI" w:eastAsia="Times New Roman" w:hAnsi="Segoe UI" w:cs="Segoe UI"/>
          <w:color w:val="000000"/>
          <w:sz w:val="26"/>
          <w:szCs w:val="26"/>
        </w:rPr>
      </w:pPr>
      <w:r w:rsidRPr="00D7445B">
        <w:rPr>
          <w:rFonts w:ascii="Segoe UI" w:eastAsia="Times New Roman" w:hAnsi="Segoe UI" w:cs="Segoe UI"/>
          <w:b/>
          <w:bCs/>
          <w:color w:val="000000"/>
          <w:sz w:val="26"/>
          <w:szCs w:val="26"/>
        </w:rPr>
        <w:t>Some data may be missing</w:t>
      </w:r>
      <w:r w:rsidRPr="00D7445B">
        <w:rPr>
          <w:rFonts w:ascii="Segoe UI" w:eastAsia="Times New Roman" w:hAnsi="Segoe UI" w:cs="Segoe UI"/>
          <w:color w:val="000000"/>
          <w:sz w:val="26"/>
          <w:szCs w:val="26"/>
        </w:rPr>
        <w:t>. Data sent from EDs to health departments may be delayed or may stop for a period of time. When EDs begin sharing data again, information about visits during the lapse may never be shared.</w:t>
      </w:r>
    </w:p>
    <w:p w:rsidR="00D7445B" w:rsidRPr="00D7445B" w:rsidRDefault="00D7445B" w:rsidP="00D7445B">
      <w:pPr>
        <w:numPr>
          <w:ilvl w:val="0"/>
          <w:numId w:val="1"/>
        </w:numPr>
        <w:shd w:val="clear" w:color="auto" w:fill="FFFFFF"/>
        <w:spacing w:before="100" w:beforeAutospacing="1" w:after="100" w:afterAutospacing="1" w:line="240" w:lineRule="auto"/>
        <w:rPr>
          <w:rFonts w:ascii="Segoe UI" w:eastAsia="Times New Roman" w:hAnsi="Segoe UI" w:cs="Segoe UI"/>
          <w:color w:val="000000"/>
          <w:sz w:val="26"/>
          <w:szCs w:val="26"/>
        </w:rPr>
      </w:pPr>
      <w:r w:rsidRPr="00D7445B">
        <w:rPr>
          <w:rFonts w:ascii="Segoe UI" w:eastAsia="Times New Roman" w:hAnsi="Segoe UI" w:cs="Segoe UI"/>
          <w:b/>
          <w:bCs/>
          <w:color w:val="000000"/>
          <w:sz w:val="26"/>
          <w:szCs w:val="26"/>
        </w:rPr>
        <w:t>Reporting facilities and the data they report can change</w:t>
      </w:r>
      <w:r w:rsidRPr="00D7445B">
        <w:rPr>
          <w:rFonts w:ascii="Segoe UI" w:eastAsia="Times New Roman" w:hAnsi="Segoe UI" w:cs="Segoe UI"/>
          <w:color w:val="000000"/>
          <w:sz w:val="26"/>
          <w:szCs w:val="26"/>
        </w:rPr>
        <w:t>. Numbers and rates could change over time as more facilities began sharing data or sharing higher quality data. Some states had increases in the number of EDs reporting data during March through September 2020, and some EDs had increases in the proportion of ED visits in syndromic data that contain </w:t>
      </w:r>
      <w:hyperlink r:id="rId6" w:history="1">
        <w:r w:rsidRPr="00D7445B">
          <w:rPr>
            <w:rFonts w:ascii="Segoe UI" w:eastAsia="Times New Roman" w:hAnsi="Segoe UI" w:cs="Segoe UI"/>
            <w:color w:val="075290"/>
            <w:sz w:val="26"/>
            <w:szCs w:val="26"/>
            <w:u w:val="single"/>
          </w:rPr>
          <w:t>diagnosis codes</w:t>
        </w:r>
      </w:hyperlink>
      <w:r w:rsidRPr="00D7445B">
        <w:rPr>
          <w:rFonts w:ascii="Segoe UI" w:eastAsia="Times New Roman" w:hAnsi="Segoe UI" w:cs="Segoe UI"/>
          <w:color w:val="000000"/>
          <w:sz w:val="26"/>
          <w:szCs w:val="26"/>
        </w:rPr>
        <w:t>, which facilitate the identification of overdose-related visits.</w:t>
      </w:r>
    </w:p>
    <w:p w:rsidR="00D7445B" w:rsidRPr="00D7445B" w:rsidRDefault="00D7445B" w:rsidP="00D7445B">
      <w:pPr>
        <w:numPr>
          <w:ilvl w:val="0"/>
          <w:numId w:val="1"/>
        </w:numPr>
        <w:shd w:val="clear" w:color="auto" w:fill="FFFFFF"/>
        <w:spacing w:before="100" w:beforeAutospacing="1" w:after="100" w:afterAutospacing="1" w:line="240" w:lineRule="auto"/>
        <w:rPr>
          <w:rFonts w:ascii="Segoe UI" w:eastAsia="Times New Roman" w:hAnsi="Segoe UI" w:cs="Segoe UI"/>
          <w:color w:val="000000"/>
          <w:sz w:val="26"/>
          <w:szCs w:val="26"/>
        </w:rPr>
      </w:pPr>
      <w:r w:rsidRPr="00D7445B">
        <w:rPr>
          <w:rFonts w:ascii="Segoe UI" w:eastAsia="Times New Roman" w:hAnsi="Segoe UI" w:cs="Segoe UI"/>
          <w:b/>
          <w:bCs/>
          <w:color w:val="000000"/>
          <w:sz w:val="26"/>
          <w:szCs w:val="26"/>
        </w:rPr>
        <w:t>Data are updated over time.</w:t>
      </w:r>
      <w:r w:rsidRPr="00D7445B">
        <w:rPr>
          <w:rFonts w:ascii="Segoe UI" w:eastAsia="Times New Roman" w:hAnsi="Segoe UI" w:cs="Segoe UI"/>
          <w:color w:val="000000"/>
          <w:sz w:val="26"/>
          <w:szCs w:val="26"/>
        </w:rPr>
        <w:t> The chief complaint, or the reason for the ED visit, is available in syndromic surveillance systems within 48 hours for ~70% of ED visits. However, the chief complaint field may be incomplete. ED visit data may be updated over the course of several weeks, and relevant overdose discharge diagnosis codes or revised chief complaint text may be received during this time. Therefore, rates may change over time as the visit records are completed and new drug overdose visits are identified.</w:t>
      </w:r>
    </w:p>
    <w:p w:rsidR="00D7445B" w:rsidRPr="00D7445B" w:rsidRDefault="00D7445B" w:rsidP="00D7445B">
      <w:pPr>
        <w:numPr>
          <w:ilvl w:val="0"/>
          <w:numId w:val="1"/>
        </w:numPr>
        <w:shd w:val="clear" w:color="auto" w:fill="FFFFFF"/>
        <w:spacing w:before="100" w:beforeAutospacing="1" w:after="100" w:afterAutospacing="1" w:line="240" w:lineRule="auto"/>
        <w:rPr>
          <w:rFonts w:ascii="Segoe UI" w:eastAsia="Times New Roman" w:hAnsi="Segoe UI" w:cs="Segoe UI"/>
          <w:color w:val="000000"/>
          <w:sz w:val="26"/>
          <w:szCs w:val="26"/>
        </w:rPr>
      </w:pPr>
      <w:r w:rsidRPr="00D7445B">
        <w:rPr>
          <w:rFonts w:ascii="Segoe UI" w:eastAsia="Times New Roman" w:hAnsi="Segoe UI" w:cs="Segoe UI"/>
          <w:b/>
          <w:bCs/>
          <w:color w:val="000000"/>
          <w:sz w:val="26"/>
          <w:szCs w:val="26"/>
        </w:rPr>
        <w:lastRenderedPageBreak/>
        <w:t>Data should not be interpreted as exact case numbers</w:t>
      </w:r>
      <w:r w:rsidRPr="00D7445B">
        <w:rPr>
          <w:rFonts w:ascii="Segoe UI" w:eastAsia="Times New Roman" w:hAnsi="Segoe UI" w:cs="Segoe UI"/>
          <w:color w:val="000000"/>
          <w:sz w:val="26"/>
          <w:szCs w:val="26"/>
        </w:rPr>
        <w:t> because quality of visit information may change over time and facility data submission may be interrupted or delayed.</w:t>
      </w:r>
    </w:p>
    <w:p w:rsidR="00D7445B" w:rsidRPr="00D7445B" w:rsidRDefault="00D7445B" w:rsidP="00D7445B">
      <w:pPr>
        <w:numPr>
          <w:ilvl w:val="0"/>
          <w:numId w:val="1"/>
        </w:numPr>
        <w:shd w:val="clear" w:color="auto" w:fill="FFFFFF"/>
        <w:spacing w:before="100" w:beforeAutospacing="1" w:after="100" w:afterAutospacing="1" w:line="240" w:lineRule="auto"/>
        <w:rPr>
          <w:rFonts w:ascii="Segoe UI" w:eastAsia="Times New Roman" w:hAnsi="Segoe UI" w:cs="Segoe UI"/>
          <w:color w:val="000000"/>
          <w:sz w:val="26"/>
          <w:szCs w:val="26"/>
        </w:rPr>
      </w:pPr>
      <w:r w:rsidRPr="00D7445B">
        <w:rPr>
          <w:rFonts w:ascii="Segoe UI" w:eastAsia="Times New Roman" w:hAnsi="Segoe UI" w:cs="Segoe UI"/>
          <w:b/>
          <w:bCs/>
          <w:color w:val="000000"/>
          <w:sz w:val="26"/>
          <w:szCs w:val="26"/>
        </w:rPr>
        <w:t>These are suspected overdoses</w:t>
      </w:r>
      <w:r w:rsidRPr="00D7445B">
        <w:rPr>
          <w:rFonts w:ascii="Segoe UI" w:eastAsia="Times New Roman" w:hAnsi="Segoe UI" w:cs="Segoe UI"/>
          <w:color w:val="000000"/>
          <w:sz w:val="26"/>
          <w:szCs w:val="26"/>
        </w:rPr>
        <w:t>. Because these data are not determined by toxicological testing, they are not considered confirmed cases, but “suspected” overdoses.</w:t>
      </w:r>
    </w:p>
    <w:p w:rsidR="00D7445B" w:rsidRPr="00D7445B" w:rsidRDefault="00D7445B" w:rsidP="00D7445B">
      <w:pPr>
        <w:numPr>
          <w:ilvl w:val="0"/>
          <w:numId w:val="1"/>
        </w:numPr>
        <w:shd w:val="clear" w:color="auto" w:fill="FFFFFF"/>
        <w:spacing w:before="100" w:beforeAutospacing="1" w:after="100" w:afterAutospacing="1" w:line="240" w:lineRule="auto"/>
        <w:rPr>
          <w:rFonts w:ascii="Segoe UI" w:eastAsia="Times New Roman" w:hAnsi="Segoe UI" w:cs="Segoe UI"/>
          <w:color w:val="000000"/>
          <w:sz w:val="26"/>
          <w:szCs w:val="26"/>
        </w:rPr>
      </w:pPr>
      <w:r w:rsidRPr="00D7445B">
        <w:rPr>
          <w:rFonts w:ascii="Segoe UI" w:eastAsia="Times New Roman" w:hAnsi="Segoe UI" w:cs="Segoe UI"/>
          <w:b/>
          <w:bCs/>
          <w:color w:val="000000"/>
          <w:sz w:val="26"/>
          <w:szCs w:val="26"/>
        </w:rPr>
        <w:t>Data likely represent an undercount</w:t>
      </w:r>
      <w:r w:rsidRPr="00D7445B">
        <w:rPr>
          <w:rFonts w:ascii="Segoe UI" w:eastAsia="Times New Roman" w:hAnsi="Segoe UI" w:cs="Segoe UI"/>
          <w:color w:val="000000"/>
          <w:sz w:val="26"/>
          <w:szCs w:val="26"/>
        </w:rPr>
        <w:t>, given inaccuracies in coding and missing chief complaint information.</w:t>
      </w:r>
    </w:p>
    <w:p w:rsidR="00D7445B" w:rsidRPr="00D7445B" w:rsidRDefault="00D7445B" w:rsidP="00D7445B">
      <w:pPr>
        <w:numPr>
          <w:ilvl w:val="0"/>
          <w:numId w:val="1"/>
        </w:numPr>
        <w:shd w:val="clear" w:color="auto" w:fill="FFFFFF"/>
        <w:spacing w:before="100" w:beforeAutospacing="1" w:after="100" w:afterAutospacing="1" w:line="240" w:lineRule="auto"/>
        <w:rPr>
          <w:rFonts w:ascii="Segoe UI" w:eastAsia="Times New Roman" w:hAnsi="Segoe UI" w:cs="Segoe UI"/>
          <w:color w:val="000000"/>
          <w:sz w:val="26"/>
          <w:szCs w:val="26"/>
        </w:rPr>
      </w:pPr>
      <w:r w:rsidRPr="00D7445B">
        <w:rPr>
          <w:rFonts w:ascii="Segoe UI" w:eastAsia="Times New Roman" w:hAnsi="Segoe UI" w:cs="Segoe UI"/>
          <w:b/>
          <w:bCs/>
          <w:color w:val="000000"/>
          <w:sz w:val="26"/>
          <w:szCs w:val="26"/>
        </w:rPr>
        <w:t>Rates may be difficult to interpret. </w:t>
      </w:r>
      <w:r w:rsidRPr="00D7445B">
        <w:rPr>
          <w:rFonts w:ascii="Segoe UI" w:eastAsia="Times New Roman" w:hAnsi="Segoe UI" w:cs="Segoe UI"/>
          <w:color w:val="000000"/>
          <w:sz w:val="26"/>
          <w:szCs w:val="26"/>
        </w:rPr>
        <w:t>Although the calculation of rates per 10,000 ED visits accounts for changes in ED facility participation in DOSE over time, these rates may be influenced by characteristics of the populations served by EDs or changes in total ED visits, which declined substantially and remained low during the early months of the COVID-19 pandemic (March through September 2020).</w:t>
      </w:r>
      <w:r w:rsidRPr="00D7445B">
        <w:rPr>
          <w:rFonts w:ascii="Segoe UI" w:eastAsia="Times New Roman" w:hAnsi="Segoe UI" w:cs="Segoe UI"/>
          <w:color w:val="000000"/>
          <w:sz w:val="17"/>
          <w:szCs w:val="17"/>
          <w:vertAlign w:val="superscript"/>
        </w:rPr>
        <w:t>1</w:t>
      </w:r>
      <w:r w:rsidRPr="00D7445B">
        <w:rPr>
          <w:rFonts w:ascii="Segoe UI" w:eastAsia="Times New Roman" w:hAnsi="Segoe UI" w:cs="Segoe UI"/>
          <w:color w:val="000000"/>
          <w:sz w:val="26"/>
          <w:szCs w:val="26"/>
        </w:rPr>
        <w:t> Therefore, changes in rates in some states may not necessarily provide an indication of a substantially worsening overdose crisis in those states. Because of the substantial changes in ED visit volume following the onset of the COVID-19 pandemic, readers must interpret data cautiously, especially if trends in suspected nonfatal drug overdose per 10,000 ED visits differ from trends in numbers of suspected drug overdoses.</w:t>
      </w:r>
    </w:p>
    <w:p w:rsidR="00D7445B" w:rsidRPr="00D7445B" w:rsidRDefault="00D7445B" w:rsidP="00D7445B">
      <w:pPr>
        <w:numPr>
          <w:ilvl w:val="0"/>
          <w:numId w:val="1"/>
        </w:numPr>
        <w:shd w:val="clear" w:color="auto" w:fill="FFFFFF"/>
        <w:spacing w:before="100" w:beforeAutospacing="1" w:after="100" w:afterAutospacing="1" w:line="240" w:lineRule="auto"/>
        <w:rPr>
          <w:rFonts w:ascii="Segoe UI" w:eastAsia="Times New Roman" w:hAnsi="Segoe UI" w:cs="Segoe UI"/>
          <w:color w:val="000000"/>
          <w:sz w:val="26"/>
          <w:szCs w:val="26"/>
        </w:rPr>
      </w:pPr>
      <w:r w:rsidRPr="00D7445B">
        <w:rPr>
          <w:rFonts w:ascii="Segoe UI" w:eastAsia="Times New Roman" w:hAnsi="Segoe UI" w:cs="Segoe UI"/>
          <w:b/>
          <w:bCs/>
          <w:color w:val="000000"/>
          <w:sz w:val="26"/>
          <w:szCs w:val="26"/>
        </w:rPr>
        <w:t>Overdose visit numbers are not mutually exclusive</w:t>
      </w:r>
      <w:r w:rsidRPr="00D7445B">
        <w:rPr>
          <w:rFonts w:ascii="Segoe UI" w:eastAsia="Times New Roman" w:hAnsi="Segoe UI" w:cs="Segoe UI"/>
          <w:color w:val="000000"/>
          <w:sz w:val="26"/>
          <w:szCs w:val="26"/>
        </w:rPr>
        <w:t> but rather reflect nesting of drug categories: numbers of suspected opioid-, heroin-, and stimulant-involved overdose visits are included in the numbers of suspected all drug overdose visits; suspected heroin-involved overdose visits are included in the numbers of suspected opioid-involved overdose visits; and some overdose visits involved multiple substances (e.g., a given overdose ED visit could have involved both opioids and stimulants).</w:t>
      </w:r>
    </w:p>
    <w:p w:rsidR="00D7445B" w:rsidRPr="00D7445B" w:rsidRDefault="00D7445B" w:rsidP="00D7445B">
      <w:pPr>
        <w:shd w:val="clear" w:color="auto" w:fill="FFFFFF"/>
        <w:spacing w:before="100" w:beforeAutospacing="1" w:after="100" w:afterAutospacing="1" w:line="240" w:lineRule="auto"/>
        <w:outlineLvl w:val="3"/>
        <w:rPr>
          <w:rFonts w:ascii="Times New Roman" w:eastAsia="Times New Roman" w:hAnsi="Times New Roman" w:cs="Times New Roman"/>
          <w:color w:val="000000"/>
          <w:sz w:val="24"/>
          <w:szCs w:val="24"/>
        </w:rPr>
      </w:pPr>
      <w:r w:rsidRPr="00D7445B">
        <w:rPr>
          <w:rFonts w:ascii="Times New Roman" w:eastAsia="Times New Roman" w:hAnsi="Times New Roman" w:cs="Times New Roman"/>
          <w:color w:val="000000"/>
          <w:sz w:val="24"/>
          <w:szCs w:val="24"/>
        </w:rPr>
        <w:t>Data Suppression</w:t>
      </w:r>
    </w:p>
    <w:p w:rsidR="00D7445B" w:rsidRPr="00D7445B" w:rsidRDefault="00D7445B" w:rsidP="00D7445B">
      <w:pPr>
        <w:shd w:val="clear" w:color="auto" w:fill="FFFFFF"/>
        <w:spacing w:after="100" w:afterAutospacing="1" w:line="240" w:lineRule="auto"/>
        <w:rPr>
          <w:rFonts w:ascii="Segoe UI" w:eastAsia="Times New Roman" w:hAnsi="Segoe UI" w:cs="Segoe UI"/>
          <w:color w:val="000000"/>
          <w:sz w:val="26"/>
          <w:szCs w:val="26"/>
        </w:rPr>
      </w:pPr>
      <w:r w:rsidRPr="00D7445B">
        <w:rPr>
          <w:rFonts w:ascii="Segoe UI" w:eastAsia="Times New Roman" w:hAnsi="Segoe UI" w:cs="Segoe UI"/>
          <w:color w:val="000000"/>
          <w:sz w:val="26"/>
          <w:szCs w:val="26"/>
        </w:rPr>
        <w:t>Both counts and rates are suppressed when overdose counts are less than 20. Data for each specific figure are displayed if at least two data points can be presented in 2020. Additionally, 2019 data were included if there were at least two data points in 2019. In addition, data for some states were not available in every month during the time presented. Data presented in the downloadable CSV file are suppressed for overdose counts of less than 10, and rates included in the downloadable CSV file are suppressed when overdose counts are less than 20.</w:t>
      </w:r>
    </w:p>
    <w:p w:rsidR="00362B6F" w:rsidRDefault="00362B6F"/>
    <w:sectPr w:rsidR="00362B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442A2D"/>
    <w:multiLevelType w:val="multilevel"/>
    <w:tmpl w:val="81AE8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45B"/>
    <w:rsid w:val="00362B6F"/>
    <w:rsid w:val="00D74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20160"/>
  <w15:chartTrackingRefBased/>
  <w15:docId w15:val="{945EF55A-15E6-421D-A86B-27D74E6E8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44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40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drugoverdose/data/nonfatal/case.html" TargetMode="External"/><Relationship Id="rId5" Type="http://schemas.openxmlformats.org/officeDocument/2006/relationships/hyperlink" Target="https://www.cdc.gov/drugoverdose/data/nonfatal/states/covid-19.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Arizona Department of Health Services</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Krystal Collier</dc:creator>
  <cp:keywords/>
  <dc:description/>
  <cp:lastModifiedBy>Krystal Collier</cp:lastModifiedBy>
  <cp:revision>1</cp:revision>
  <dcterms:created xsi:type="dcterms:W3CDTF">2021-04-22T22:27:00Z</dcterms:created>
  <dcterms:modified xsi:type="dcterms:W3CDTF">2021-04-22T22:30:00Z</dcterms:modified>
</cp:coreProperties>
</file>