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r>
        <w:rPr/>
        <w:pict>
          <v:group style="position:absolute;margin-left:0pt;margin-top:0pt;width:504pt;height:271pt;mso-position-horizontal-relative:page;mso-position-vertical-relative:page;z-index:1072" coordorigin="0,0" coordsize="10080,5420">
            <v:shape style="position:absolute;left:0;top:900;width:10080;height:4500" type="#_x0000_t75" stroked="false">
              <v:imagedata r:id="rId7" o:title=""/>
            </v:shape>
            <v:shape style="position:absolute;left:0;top:900;width:10080;height:4500" type="#_x0000_t75" stroked="false">
              <v:imagedata r:id="rId8" o:title=""/>
            </v:shape>
            <v:shape style="position:absolute;left:0;top:0;width:10080;height:900" type="#_x0000_t75" stroked="false">
              <v:imagedata r:id="rId9" o:title=""/>
            </v:shape>
            <v:rect style="position:absolute;left:0;top:900;width:10080;height:20" filled="true" fillcolor="#1c3e94" stroked="false">
              <v:fill type="solid"/>
            </v:rect>
            <v:shape style="position:absolute;left:6870;top:390;width:2460;height:2460" coordorigin="6870,390" coordsize="2460,2460" path="m8100,390l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xe" filled="true" fillcolor="#ffffff" stroked="false">
              <v:path arrowok="t"/>
              <v:fill type="solid"/>
            </v:shape>
            <v:shape style="position:absolute;left:6870;top:390;width:2460;height:2460" coordorigin="6870,390" coordsize="2460,2460" path="m8100,2850l8175,2848,8249,2841,8321,2830,8392,2815,8461,2796,8529,2773,8595,2746,8659,2716,8721,2682,8780,2645,8838,2604,8892,2561,8945,2514,8994,2465,9041,2412,9084,2358,9125,2300,9162,2241,9196,2179,9226,2115,9253,2049,9276,1981,9295,1912,9310,1841,9321,1769,9328,1695,9330,1620,9328,1545,9321,1471,9310,1399,9295,1328,9276,1259,9253,1191,9226,1125,9196,1061,9162,999,9125,940,9084,882,9041,828,8994,775,8945,726,8892,679,8838,636,8780,595,8721,558,8659,524,8595,494,8529,467,8461,444,8392,425,8321,410,8249,399,8175,392,8100,390,8025,392,7951,399,7879,410,7808,425,7739,444,7671,467,7605,494,7541,524,7479,558,7420,595,7362,636,7308,679,7255,726,7206,775,7159,828,7116,882,7075,940,7038,999,7004,1061,6974,1125,6947,1191,6924,1259,6905,1328,6890,1399,6879,1471,6872,1545,6870,1620,6872,1695,6879,1769,6890,1841,6905,1912,6924,1981,6947,2049,6974,2115,7004,2179,7038,2241,7075,2300,7116,2358,7159,2412,7206,2465,7255,2514,7308,2561,7362,2604,7420,2645,7479,2682,7541,2716,7605,2746,7671,2773,7739,2796,7808,2815,7879,2830,7951,2841,8025,2848,8100,2850xe" filled="false" stroked="true" strokeweight="3pt" strokecolor="#ffffff">
              <v:path arrowok="t"/>
              <v:stroke dashstyle="solid"/>
            </v:shape>
            <v:shape style="position:absolute;left:6912;top:435;width:2363;height:2363" coordorigin="6912,435" coordsize="2363,2363" path="m8093,435l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xe" filled="true" fillcolor="#ffffff" stroked="false">
              <v:path arrowok="t"/>
              <v:fill type="solid"/>
            </v:shape>
            <v:shape style="position:absolute;left:6912;top:435;width:2363;height:2363" coordorigin="6912,435" coordsize="2363,2363" path="m8093,2797l8168,2795,8242,2788,8314,2777,8384,2761,8453,2741,8520,2718,8586,2690,8649,2659,8710,2624,8768,2585,8824,2544,8878,2499,8929,2451,8976,2400,9021,2347,9063,2291,9101,2232,9136,2171,9167,2108,9195,2043,9219,1976,9238,1907,9254,1836,9265,1764,9272,1691,9275,1616,9272,1541,9265,1468,9254,1396,9238,1325,9219,1256,9195,1189,9167,1124,9136,1061,9101,1000,9063,941,9021,885,8976,831,8929,781,8878,733,8824,688,8768,646,8710,608,8649,573,8586,542,8520,514,8453,490,8384,471,8314,455,8242,444,8168,437,8093,435,8019,437,7945,444,7873,455,7803,471,7734,490,7666,514,7601,542,7538,573,7477,608,7419,646,7362,688,7309,733,7258,781,7210,831,7165,885,7124,941,7085,1000,7051,1061,7019,1124,6992,1189,6968,1256,6948,1325,6933,1396,6921,1468,6915,1541,6912,1616,6915,1691,6921,1764,6933,1836,6948,1907,6968,1976,6992,2043,7019,2108,7051,2171,7085,2232,7124,2291,7165,2347,7210,2400,7258,2451,7309,2499,7362,2544,7419,2585,7477,2624,7538,2659,7601,2690,7666,2718,7734,2741,7803,2761,7873,2777,7945,2788,8019,2795,8093,2797xe" filled="false" stroked="true" strokeweight="3pt" strokecolor="#0079c1">
              <v:path arrowok="t"/>
              <v:stroke dashstyle="solid"/>
            </v:shape>
            <v:rect style="position:absolute;left:0;top:5400;width:10080;height:20" filled="true" fillcolor="#1c3e94" stroked="false">
              <v:fill type="solid"/>
            </v:rect>
            <v:shapetype id="_x0000_t202" o:spt="202" coordsize="21600,21600" path="m,l,21600r21600,l21600,xe">
              <v:stroke joinstyle="miter"/>
              <v:path gradientshapeok="t" o:connecttype="rect"/>
            </v:shapetype>
            <v:shape style="position:absolute;left:7495;top:873;width:1202;height:1570" type="#_x0000_t202" filled="false" stroked="false">
              <v:textbox inset="0,0,0,0">
                <w:txbxContent>
                  <w:p>
                    <w:pPr>
                      <w:spacing w:before="0"/>
                      <w:ind w:left="29" w:right="47" w:firstLine="0"/>
                      <w:jc w:val="center"/>
                      <w:rPr>
                        <w:rFonts w:ascii="Trebuchet MS"/>
                        <w:b/>
                        <w:sz w:val="24"/>
                      </w:rPr>
                    </w:pPr>
                    <w:r>
                      <w:rPr>
                        <w:rFonts w:ascii="Trebuchet MS"/>
                        <w:b/>
                        <w:color w:val="0079C1"/>
                        <w:w w:val="105"/>
                        <w:sz w:val="24"/>
                      </w:rPr>
                      <w:t>CHAPTER</w:t>
                    </w:r>
                  </w:p>
                  <w:p>
                    <w:pPr>
                      <w:spacing w:before="54"/>
                      <w:ind w:left="7" w:right="0" w:firstLine="0"/>
                      <w:jc w:val="center"/>
                      <w:rPr>
                        <w:rFonts w:ascii="Times New Roman"/>
                        <w:b/>
                        <w:sz w:val="104"/>
                      </w:rPr>
                    </w:pPr>
                    <w:r>
                      <w:rPr>
                        <w:rFonts w:ascii="Times New Roman"/>
                        <w:b/>
                        <w:color w:val="0079C1"/>
                        <w:w w:val="108"/>
                        <w:sz w:val="104"/>
                      </w:rPr>
                      <w:t>1</w:t>
                    </w:r>
                  </w:p>
                </w:txbxContent>
              </v:textbox>
              <w10:wrap type="none"/>
            </v:shape>
            <v:shape style="position:absolute;left:4610;top:3554;width:4071;height:1227" type="#_x0000_t202" filled="false" stroked="false">
              <v:textbox inset="0,0,0,0">
                <w:txbxContent>
                  <w:p>
                    <w:pPr>
                      <w:spacing w:line="477" w:lineRule="exact" w:before="0"/>
                      <w:ind w:left="0" w:right="0" w:firstLine="0"/>
                      <w:jc w:val="left"/>
                      <w:rPr>
                        <w:rFonts w:ascii="Lucida Sans"/>
                        <w:sz w:val="42"/>
                      </w:rPr>
                    </w:pPr>
                    <w:r>
                      <w:rPr>
                        <w:rFonts w:ascii="Lucida Sans"/>
                        <w:color w:val="FFFFFF"/>
                        <w:sz w:val="42"/>
                      </w:rPr>
                      <w:t>Overview of CIFOR</w:t>
                    </w:r>
                  </w:p>
                  <w:p>
                    <w:pPr>
                      <w:spacing w:before="225"/>
                      <w:ind w:left="1834" w:right="0" w:firstLine="0"/>
                      <w:jc w:val="left"/>
                      <w:rPr>
                        <w:rFonts w:ascii="Lucida Sans"/>
                        <w:sz w:val="42"/>
                      </w:rPr>
                    </w:pPr>
                    <w:r>
                      <w:rPr>
                        <w:rFonts w:ascii="Lucida Sans"/>
                        <w:color w:val="FFFFFF"/>
                        <w:w w:val="90"/>
                        <w:sz w:val="42"/>
                      </w:rPr>
                      <w:t>Guidelines</w:t>
                    </w:r>
                  </w:p>
                </w:txbxContent>
              </v:textbox>
              <w10:wrap type="none"/>
            </v:shape>
            <w10:wrap type="none"/>
          </v:group>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9"/>
        <w:rPr>
          <w:rFonts w:ascii="Times New Roman"/>
          <w:sz w:val="17"/>
        </w:rPr>
      </w:pPr>
    </w:p>
    <w:p>
      <w:pPr>
        <w:pStyle w:val="BodyText"/>
        <w:spacing w:before="4"/>
        <w:rPr>
          <w:rFonts w:ascii="Times New Roman"/>
          <w:sz w:val="31"/>
        </w:rPr>
      </w:pPr>
    </w:p>
    <w:p>
      <w:pPr>
        <w:pStyle w:val="BodyText"/>
        <w:spacing w:line="453" w:lineRule="auto"/>
        <w:ind w:left="3509" w:right="1437"/>
        <w:jc w:val="both"/>
        <w:rPr>
          <w:rFonts w:ascii="Trebuchet MS"/>
        </w:rPr>
      </w:pPr>
      <w:r>
        <w:rPr/>
        <w:pict>
          <v:shape style="position:absolute;margin-left:126pt;margin-top:-12.985511pt;width:49.5pt;height:87.2pt;mso-position-horizontal-relative:page;mso-position-vertical-relative:paragraph;z-index:-36112" type="#_x0000_t202" filled="false" stroked="false">
            <v:textbox inset="0,0,0,0">
              <w:txbxContent>
                <w:p>
                  <w:pPr>
                    <w:spacing w:line="1647" w:lineRule="exact" w:before="0"/>
                    <w:ind w:left="0" w:right="0" w:firstLine="0"/>
                    <w:jc w:val="left"/>
                    <w:rPr>
                      <w:rFonts w:ascii="Trebuchet MS"/>
                      <w:sz w:val="144"/>
                    </w:rPr>
                  </w:pPr>
                  <w:r>
                    <w:rPr>
                      <w:rFonts w:ascii="Trebuchet MS"/>
                      <w:color w:val="00A94F"/>
                      <w:w w:val="116"/>
                      <w:sz w:val="144"/>
                    </w:rPr>
                    <w:t>A</w:t>
                  </w:r>
                </w:p>
              </w:txbxContent>
            </v:textbox>
            <w10:wrap type="none"/>
          </v:shape>
        </w:pict>
      </w:r>
      <w:r>
        <w:rPr>
          <w:rFonts w:ascii="Trebuchet MS"/>
          <w:color w:val="1C3E94"/>
        </w:rPr>
        <w:t>lthough a variety of steps for investigating an outbreak exist in the training literature, no agreed-upon standard approach exists for response to an outbreak. Why is this?</w:t>
      </w:r>
    </w:p>
    <w:p>
      <w:pPr>
        <w:pStyle w:val="BodyText"/>
        <w:spacing w:line="453" w:lineRule="auto" w:before="1"/>
        <w:ind w:left="2520" w:right="1437"/>
        <w:jc w:val="both"/>
        <w:rPr>
          <w:rFonts w:ascii="Trebuchet MS"/>
        </w:rPr>
      </w:pPr>
      <w:r>
        <w:rPr>
          <w:rFonts w:ascii="Trebuchet MS"/>
          <w:color w:val="1C3E94"/>
        </w:rPr>
        <w:t>Simply put, no one set of steps is appropriate for all outbreaks. Response varies by outbreak and surrounding circumstances (e.g., etiologic agent, number of cases, and likely source of exposure). Response also varies by the agencies involved, available resources, and expertise of investigators.</w:t>
      </w:r>
    </w:p>
    <w:p>
      <w:pPr>
        <w:pStyle w:val="BodyText"/>
        <w:rPr>
          <w:rFonts w:ascii="Trebuchet MS"/>
          <w:sz w:val="24"/>
        </w:rPr>
      </w:pPr>
    </w:p>
    <w:p>
      <w:pPr>
        <w:pStyle w:val="BodyText"/>
        <w:spacing w:line="453" w:lineRule="auto" w:before="162"/>
        <w:ind w:left="2520" w:right="1437"/>
        <w:jc w:val="both"/>
        <w:rPr>
          <w:rFonts w:ascii="Trebuchet MS"/>
        </w:rPr>
      </w:pPr>
      <w:r>
        <w:rPr>
          <w:rFonts w:ascii="Trebuchet MS"/>
          <w:color w:val="1C3E94"/>
          <w:spacing w:val="-12"/>
        </w:rPr>
        <w:t>To </w:t>
      </w:r>
      <w:r>
        <w:rPr>
          <w:rFonts w:ascii="Trebuchet MS"/>
          <w:color w:val="1C3E94"/>
        </w:rPr>
        <w:t>add to the possible range of responses to an outbreak, certain activities might be required by local ordinance or state statute in some jurisdictions but not in others. In addition, some activities considered</w:t>
      </w:r>
      <w:r>
        <w:rPr>
          <w:rFonts w:ascii="Trebuchet MS"/>
          <w:color w:val="1C3E94"/>
          <w:spacing w:val="-5"/>
        </w:rPr>
        <w:t> </w:t>
      </w:r>
      <w:r>
        <w:rPr>
          <w:rFonts w:ascii="Trebuchet MS"/>
          <w:color w:val="1C3E94"/>
        </w:rPr>
        <w:t>part</w:t>
      </w:r>
      <w:r>
        <w:rPr>
          <w:rFonts w:ascii="Trebuchet MS"/>
          <w:color w:val="1C3E94"/>
          <w:spacing w:val="-5"/>
        </w:rPr>
        <w:t> </w:t>
      </w:r>
      <w:r>
        <w:rPr>
          <w:rFonts w:ascii="Trebuchet MS"/>
          <w:color w:val="1C3E94"/>
        </w:rPr>
        <w:t>of</w:t>
      </w:r>
      <w:r>
        <w:rPr>
          <w:rFonts w:ascii="Trebuchet MS"/>
          <w:color w:val="1C3E94"/>
          <w:spacing w:val="-5"/>
        </w:rPr>
        <w:t> </w:t>
      </w:r>
      <w:r>
        <w:rPr>
          <w:rFonts w:ascii="Trebuchet MS"/>
          <w:color w:val="1C3E94"/>
        </w:rPr>
        <w:t>an</w:t>
      </w:r>
      <w:r>
        <w:rPr>
          <w:rFonts w:ascii="Trebuchet MS"/>
          <w:color w:val="1C3E94"/>
          <w:spacing w:val="-5"/>
        </w:rPr>
        <w:t> </w:t>
      </w:r>
      <w:r>
        <w:rPr>
          <w:rFonts w:ascii="Trebuchet MS"/>
          <w:color w:val="1C3E94"/>
        </w:rPr>
        <w:t>outbreak</w:t>
      </w:r>
      <w:r>
        <w:rPr>
          <w:rFonts w:ascii="Trebuchet MS"/>
          <w:color w:val="1C3E94"/>
          <w:spacing w:val="-5"/>
        </w:rPr>
        <w:t> </w:t>
      </w:r>
      <w:r>
        <w:rPr>
          <w:rFonts w:ascii="Trebuchet MS"/>
          <w:color w:val="1C3E94"/>
        </w:rPr>
        <w:t>response</w:t>
      </w:r>
      <w:r>
        <w:rPr>
          <w:rFonts w:ascii="Trebuchet MS"/>
          <w:color w:val="1C3E94"/>
          <w:spacing w:val="-5"/>
        </w:rPr>
        <w:t> </w:t>
      </w:r>
      <w:r>
        <w:rPr>
          <w:rFonts w:ascii="Trebuchet MS"/>
          <w:color w:val="1C3E94"/>
        </w:rPr>
        <w:t>are</w:t>
      </w:r>
      <w:r>
        <w:rPr>
          <w:rFonts w:ascii="Trebuchet MS"/>
          <w:color w:val="1C3E94"/>
          <w:spacing w:val="-5"/>
        </w:rPr>
        <w:t> </w:t>
      </w:r>
      <w:r>
        <w:rPr>
          <w:rFonts w:ascii="Trebuchet MS"/>
          <w:color w:val="1C3E94"/>
        </w:rPr>
        <w:t>routinely</w:t>
      </w:r>
      <w:r>
        <w:rPr>
          <w:rFonts w:ascii="Trebuchet MS"/>
          <w:color w:val="1C3E94"/>
          <w:spacing w:val="-5"/>
        </w:rPr>
        <w:t> </w:t>
      </w:r>
      <w:r>
        <w:rPr>
          <w:rFonts w:ascii="Trebuchet MS"/>
          <w:color w:val="1C3E94"/>
        </w:rPr>
        <w:t>undertaken</w:t>
      </w:r>
      <w:r>
        <w:rPr>
          <w:rFonts w:ascii="Trebuchet MS"/>
          <w:color w:val="1C3E94"/>
          <w:spacing w:val="-5"/>
        </w:rPr>
        <w:t> </w:t>
      </w:r>
      <w:r>
        <w:rPr>
          <w:rFonts w:ascii="Trebuchet MS"/>
          <w:color w:val="1C3E94"/>
        </w:rPr>
        <w:t>in some</w:t>
      </w:r>
      <w:r>
        <w:rPr>
          <w:rFonts w:ascii="Trebuchet MS"/>
          <w:color w:val="1C3E94"/>
          <w:spacing w:val="-26"/>
        </w:rPr>
        <w:t> </w:t>
      </w:r>
      <w:r>
        <w:rPr>
          <w:rFonts w:ascii="Trebuchet MS"/>
          <w:color w:val="1C3E94"/>
        </w:rPr>
        <w:t>jurisdictions</w:t>
      </w:r>
      <w:r>
        <w:rPr>
          <w:rFonts w:ascii="Trebuchet MS"/>
          <w:color w:val="1C3E94"/>
          <w:spacing w:val="-26"/>
        </w:rPr>
        <w:t> </w:t>
      </w:r>
      <w:r>
        <w:rPr>
          <w:rFonts w:ascii="Trebuchet MS"/>
          <w:color w:val="1C3E94"/>
        </w:rPr>
        <w:t>before</w:t>
      </w:r>
      <w:r>
        <w:rPr>
          <w:rFonts w:ascii="Trebuchet MS"/>
          <w:color w:val="1C3E94"/>
          <w:spacing w:val="-26"/>
        </w:rPr>
        <w:t> </w:t>
      </w:r>
      <w:r>
        <w:rPr>
          <w:rFonts w:ascii="Trebuchet MS"/>
          <w:color w:val="1C3E94"/>
        </w:rPr>
        <w:t>an</w:t>
      </w:r>
      <w:r>
        <w:rPr>
          <w:rFonts w:ascii="Trebuchet MS"/>
          <w:color w:val="1C3E94"/>
          <w:spacing w:val="-26"/>
        </w:rPr>
        <w:t> </w:t>
      </w:r>
      <w:r>
        <w:rPr>
          <w:rFonts w:ascii="Trebuchet MS"/>
          <w:color w:val="1C3E94"/>
        </w:rPr>
        <w:t>outbreak</w:t>
      </w:r>
      <w:r>
        <w:rPr>
          <w:rFonts w:ascii="Trebuchet MS"/>
          <w:color w:val="1C3E94"/>
          <w:spacing w:val="-26"/>
        </w:rPr>
        <w:t> </w:t>
      </w:r>
      <w:r>
        <w:rPr>
          <w:rFonts w:ascii="Trebuchet MS"/>
          <w:color w:val="1C3E94"/>
        </w:rPr>
        <w:t>is</w:t>
      </w:r>
      <w:r>
        <w:rPr>
          <w:rFonts w:ascii="Trebuchet MS"/>
          <w:color w:val="1C3E94"/>
          <w:spacing w:val="-26"/>
        </w:rPr>
        <w:t> </w:t>
      </w:r>
      <w:r>
        <w:rPr>
          <w:rFonts w:ascii="Trebuchet MS"/>
          <w:color w:val="1C3E94"/>
        </w:rPr>
        <w:t>ever</w:t>
      </w:r>
      <w:r>
        <w:rPr>
          <w:rFonts w:ascii="Trebuchet MS"/>
          <w:color w:val="1C3E94"/>
          <w:spacing w:val="-26"/>
        </w:rPr>
        <w:t> </w:t>
      </w:r>
      <w:r>
        <w:rPr>
          <w:rFonts w:ascii="Trebuchet MS"/>
          <w:color w:val="1C3E94"/>
        </w:rPr>
        <w:t>recognized</w:t>
      </w:r>
      <w:r>
        <w:rPr>
          <w:rFonts w:ascii="Trebuchet MS"/>
          <w:color w:val="1C3E94"/>
          <w:spacing w:val="-26"/>
        </w:rPr>
        <w:t> </w:t>
      </w:r>
      <w:r>
        <w:rPr>
          <w:rFonts w:ascii="Trebuchet MS"/>
          <w:color w:val="1C3E94"/>
        </w:rPr>
        <w:t>(e.g.,</w:t>
      </w:r>
      <w:r>
        <w:rPr>
          <w:rFonts w:ascii="Trebuchet MS"/>
          <w:color w:val="1C3E94"/>
          <w:spacing w:val="-26"/>
        </w:rPr>
        <w:t> </w:t>
      </w:r>
      <w:r>
        <w:rPr>
          <w:rFonts w:ascii="Trebuchet MS"/>
          <w:color w:val="1C3E94"/>
        </w:rPr>
        <w:t>follow- up</w:t>
      </w:r>
      <w:r>
        <w:rPr>
          <w:rFonts w:ascii="Trebuchet MS"/>
          <w:color w:val="1C3E94"/>
          <w:spacing w:val="-13"/>
        </w:rPr>
        <w:t> </w:t>
      </w:r>
      <w:r>
        <w:rPr>
          <w:rFonts w:ascii="Trebuchet MS"/>
          <w:color w:val="1C3E94"/>
        </w:rPr>
        <w:t>of</w:t>
      </w:r>
      <w:r>
        <w:rPr>
          <w:rFonts w:ascii="Trebuchet MS"/>
          <w:color w:val="1C3E94"/>
          <w:spacing w:val="-13"/>
        </w:rPr>
        <w:t> </w:t>
      </w:r>
      <w:r>
        <w:rPr>
          <w:rFonts w:ascii="Trebuchet MS"/>
          <w:color w:val="1C3E94"/>
        </w:rPr>
        <w:t>cases</w:t>
      </w:r>
      <w:r>
        <w:rPr>
          <w:rFonts w:ascii="Trebuchet MS"/>
          <w:color w:val="1C3E94"/>
          <w:spacing w:val="-13"/>
        </w:rPr>
        <w:t> </w:t>
      </w:r>
      <w:r>
        <w:rPr>
          <w:rFonts w:ascii="Trebuchet MS"/>
          <w:color w:val="1C3E94"/>
        </w:rPr>
        <w:t>to</w:t>
      </w:r>
      <w:r>
        <w:rPr>
          <w:rFonts w:ascii="Trebuchet MS"/>
          <w:color w:val="1C3E94"/>
          <w:spacing w:val="-13"/>
        </w:rPr>
        <w:t> </w:t>
      </w:r>
      <w:r>
        <w:rPr>
          <w:rFonts w:ascii="Trebuchet MS"/>
          <w:color w:val="1C3E94"/>
        </w:rPr>
        <w:t>collect</w:t>
      </w:r>
      <w:r>
        <w:rPr>
          <w:rFonts w:ascii="Trebuchet MS"/>
          <w:color w:val="1C3E94"/>
          <w:spacing w:val="-13"/>
        </w:rPr>
        <w:t> </w:t>
      </w:r>
      <w:r>
        <w:rPr>
          <w:rFonts w:ascii="Trebuchet MS"/>
          <w:color w:val="1C3E94"/>
        </w:rPr>
        <w:t>detailed</w:t>
      </w:r>
      <w:r>
        <w:rPr>
          <w:rFonts w:ascii="Trebuchet MS"/>
          <w:color w:val="1C3E94"/>
          <w:spacing w:val="-13"/>
        </w:rPr>
        <w:t> </w:t>
      </w:r>
      <w:r>
        <w:rPr>
          <w:rFonts w:ascii="Trebuchet MS"/>
          <w:color w:val="1C3E94"/>
        </w:rPr>
        <w:t>information</w:t>
      </w:r>
      <w:r>
        <w:rPr>
          <w:rFonts w:ascii="Trebuchet MS"/>
          <w:color w:val="1C3E94"/>
          <w:spacing w:val="-13"/>
        </w:rPr>
        <w:t> </w:t>
      </w:r>
      <w:r>
        <w:rPr>
          <w:rFonts w:ascii="Trebuchet MS"/>
          <w:color w:val="1C3E94"/>
        </w:rPr>
        <w:t>about</w:t>
      </w:r>
      <w:r>
        <w:rPr>
          <w:rFonts w:ascii="Trebuchet MS"/>
          <w:color w:val="1C3E94"/>
          <w:spacing w:val="-13"/>
        </w:rPr>
        <w:t> </w:t>
      </w:r>
      <w:r>
        <w:rPr>
          <w:rFonts w:ascii="Trebuchet MS"/>
          <w:color w:val="1C3E94"/>
        </w:rPr>
        <w:t>exposures).</w:t>
      </w:r>
    </w:p>
    <w:p>
      <w:pPr>
        <w:spacing w:after="0" w:line="453" w:lineRule="auto"/>
        <w:jc w:val="both"/>
        <w:rPr>
          <w:rFonts w:ascii="Trebuchet MS"/>
        </w:rPr>
        <w:sectPr>
          <w:footerReference w:type="default" r:id="rId5"/>
          <w:footerReference w:type="even" r:id="rId6"/>
          <w:type w:val="continuous"/>
          <w:pgSz w:w="10080" w:h="14400"/>
          <w:pgMar w:footer="160" w:top="0" w:bottom="360" w:left="0" w:right="0"/>
        </w:sectPr>
      </w:pPr>
    </w:p>
    <w:p>
      <w:pPr>
        <w:pStyle w:val="BodyText"/>
        <w:spacing w:before="4"/>
        <w:rPr>
          <w:rFonts w:ascii="Trebuchet MS"/>
          <w:sz w:val="10"/>
        </w:rPr>
      </w:pPr>
    </w:p>
    <w:p>
      <w:pPr>
        <w:pStyle w:val="Heading1"/>
        <w:spacing w:before="98"/>
      </w:pPr>
      <w:r>
        <w:rPr/>
        <w:pict>
          <v:line style="position:absolute;mso-position-horizontal-relative:page;mso-position-vertical-relative:paragraph;z-index:1120;mso-wrap-distance-left:0;mso-wrap-distance-right:0" from="72pt,24.041843pt" to="468pt,24.041843pt" stroked="true" strokeweight=".5pt" strokecolor="#00a94f">
            <v:stroke dashstyle="solid"/>
            <w10:wrap type="topAndBottom"/>
          </v:line>
        </w:pict>
      </w:r>
      <w:r>
        <w:rPr/>
        <w:pict>
          <v:rect style="position:absolute;margin-left:0pt;margin-top:7.391943pt;width:45pt;height:18pt;mso-position-horizontal-relative:page;mso-position-vertical-relative:paragraph;z-index:1168" filled="true" fillcolor="#0079c1" stroked="false">
            <v:fill type="solid"/>
            <w10:wrap type="none"/>
          </v:rect>
        </w:pict>
      </w:r>
      <w:r>
        <w:rPr/>
        <w:pict>
          <v:line style="position:absolute;mso-position-horizontal-relative:page;mso-position-vertical-relative:paragraph;z-index:1192" from="54.5pt,7.391943pt" to="54.5pt,191.669943pt" stroked="true" strokeweight="1pt" strokecolor="#0079c1">
            <v:stroke dashstyle="solid"/>
            <w10:wrap type="none"/>
          </v:line>
        </w:pict>
      </w:r>
      <w:r>
        <w:rPr/>
        <w:pict>
          <v:shape style="position:absolute;margin-left:18.200388pt;margin-top:12.142896pt;width:15.85pt;height:180.55pt;mso-position-horizontal-relative:page;mso-position-vertical-relative:paragraph;z-index:1216"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CIFOR Guidelines</w:t>
      </w:r>
    </w:p>
    <w:p>
      <w:pPr>
        <w:pStyle w:val="BodyText"/>
        <w:rPr>
          <w:rFonts w:ascii="Arial"/>
          <w:sz w:val="18"/>
        </w:rPr>
      </w:pPr>
    </w:p>
    <w:p>
      <w:pPr>
        <w:spacing w:after="0"/>
        <w:rPr>
          <w:rFonts w:ascii="Arial"/>
          <w:sz w:val="18"/>
        </w:rPr>
        <w:sectPr>
          <w:headerReference w:type="even" r:id="rId10"/>
          <w:headerReference w:type="default" r:id="rId11"/>
          <w:pgSz w:w="10080" w:h="14400"/>
          <w:pgMar w:header="0" w:footer="160" w:top="1160" w:bottom="360" w:left="0" w:right="0"/>
          <w:pgNumType w:start="22"/>
        </w:sectPr>
      </w:pPr>
    </w:p>
    <w:p>
      <w:pPr>
        <w:pStyle w:val="BodyText"/>
        <w:spacing w:line="266" w:lineRule="auto" w:before="93"/>
        <w:ind w:left="1440" w:right="281"/>
      </w:pPr>
      <w:r>
        <w:rPr>
          <w:rFonts w:ascii="Times New Roman"/>
          <w:color w:val="231F20"/>
        </w:rPr>
        <w:t>The challenge of developing standard steps </w:t>
      </w:r>
      <w:r>
        <w:rPr>
          <w:color w:val="231F20"/>
        </w:rPr>
        <w:t>for an outbreak response is amplified </w:t>
      </w:r>
      <w:r>
        <w:rPr>
          <w:color w:val="231F20"/>
          <w:spacing w:val="-3"/>
        </w:rPr>
        <w:t>by </w:t>
      </w:r>
      <w:r>
        <w:rPr>
          <w:color w:val="231F20"/>
        </w:rPr>
        <w:t>the fact that investigation activities are rarely undertaken sequentially or </w:t>
      </w:r>
      <w:r>
        <w:rPr>
          <w:color w:val="231F20"/>
          <w:spacing w:val="-4"/>
        </w:rPr>
        <w:t>linearly. </w:t>
      </w:r>
      <w:r>
        <w:rPr>
          <w:color w:val="231F20"/>
        </w:rPr>
        <w:t>Some activities can take place concurrently with other activities, while others must wait for the results of earlier activities. Furthermore, </w:t>
      </w:r>
      <w:r>
        <w:rPr>
          <w:rFonts w:ascii="Times New Roman"/>
          <w:color w:val="231F20"/>
        </w:rPr>
        <w:t>some activities, such as communication or implementation of control measures, occur </w:t>
      </w:r>
      <w:r>
        <w:rPr>
          <w:color w:val="231F20"/>
        </w:rPr>
        <w:t>repeatedly  throughout  an</w:t>
      </w:r>
      <w:r>
        <w:rPr>
          <w:color w:val="231F20"/>
          <w:spacing w:val="10"/>
        </w:rPr>
        <w:t> </w:t>
      </w:r>
      <w:r>
        <w:rPr>
          <w:color w:val="231F20"/>
        </w:rPr>
        <w:t>investigation.</w:t>
      </w:r>
    </w:p>
    <w:p>
      <w:pPr>
        <w:pStyle w:val="BodyText"/>
        <w:spacing w:line="264" w:lineRule="auto" w:before="179"/>
        <w:ind w:left="1440" w:right="-14"/>
      </w:pPr>
      <w:r>
        <w:rPr>
          <w:color w:val="231F20"/>
          <w:w w:val="105"/>
        </w:rPr>
        <w:t>The</w:t>
      </w:r>
      <w:r>
        <w:rPr>
          <w:color w:val="231F20"/>
          <w:spacing w:val="-18"/>
          <w:w w:val="105"/>
        </w:rPr>
        <w:t> </w:t>
      </w:r>
      <w:r>
        <w:rPr>
          <w:color w:val="231F20"/>
          <w:w w:val="105"/>
        </w:rPr>
        <w:t>CIFOR</w:t>
      </w:r>
      <w:r>
        <w:rPr>
          <w:color w:val="231F20"/>
          <w:spacing w:val="-18"/>
          <w:w w:val="105"/>
        </w:rPr>
        <w:t> </w:t>
      </w:r>
      <w:r>
        <w:rPr>
          <w:color w:val="231F20"/>
          <w:w w:val="105"/>
        </w:rPr>
        <w:t>Guidelines</w:t>
      </w:r>
      <w:r>
        <w:rPr>
          <w:color w:val="231F20"/>
          <w:spacing w:val="-18"/>
          <w:w w:val="105"/>
        </w:rPr>
        <w:t> </w:t>
      </w:r>
      <w:r>
        <w:rPr>
          <w:color w:val="231F20"/>
          <w:w w:val="105"/>
        </w:rPr>
        <w:t>for</w:t>
      </w:r>
      <w:r>
        <w:rPr>
          <w:color w:val="231F20"/>
          <w:spacing w:val="-18"/>
          <w:w w:val="105"/>
        </w:rPr>
        <w:t> </w:t>
      </w:r>
      <w:r>
        <w:rPr>
          <w:color w:val="231F20"/>
          <w:w w:val="105"/>
        </w:rPr>
        <w:t>Foodborne</w:t>
      </w:r>
      <w:r>
        <w:rPr>
          <w:color w:val="231F20"/>
          <w:spacing w:val="-18"/>
          <w:w w:val="105"/>
        </w:rPr>
        <w:t> </w:t>
      </w:r>
      <w:r>
        <w:rPr>
          <w:color w:val="231F20"/>
          <w:w w:val="105"/>
        </w:rPr>
        <w:t>Disease Outbreak Response describe the overarching </w:t>
      </w:r>
      <w:r>
        <w:rPr>
          <w:rFonts w:ascii="Times New Roman"/>
          <w:color w:val="231F20"/>
          <w:w w:val="105"/>
        </w:rPr>
        <w:t>functions and related activities that are </w:t>
      </w:r>
      <w:r>
        <w:rPr>
          <w:color w:val="231F20"/>
          <w:w w:val="105"/>
        </w:rPr>
        <w:t>common</w:t>
      </w:r>
      <w:r>
        <w:rPr>
          <w:color w:val="231F20"/>
          <w:spacing w:val="-28"/>
          <w:w w:val="105"/>
        </w:rPr>
        <w:t> </w:t>
      </w:r>
      <w:r>
        <w:rPr>
          <w:color w:val="231F20"/>
          <w:w w:val="105"/>
        </w:rPr>
        <w:t>to</w:t>
      </w:r>
      <w:r>
        <w:rPr>
          <w:color w:val="231F20"/>
          <w:spacing w:val="-28"/>
          <w:w w:val="105"/>
        </w:rPr>
        <w:t> </w:t>
      </w:r>
      <w:r>
        <w:rPr>
          <w:color w:val="231F20"/>
          <w:w w:val="105"/>
        </w:rPr>
        <w:t>most</w:t>
      </w:r>
      <w:r>
        <w:rPr>
          <w:color w:val="231F20"/>
          <w:spacing w:val="-28"/>
          <w:w w:val="105"/>
        </w:rPr>
        <w:t> </w:t>
      </w:r>
      <w:r>
        <w:rPr>
          <w:color w:val="231F20"/>
          <w:w w:val="105"/>
        </w:rPr>
        <w:t>outbreak</w:t>
      </w:r>
      <w:r>
        <w:rPr>
          <w:color w:val="231F20"/>
          <w:spacing w:val="-28"/>
          <w:w w:val="105"/>
        </w:rPr>
        <w:t> </w:t>
      </w:r>
      <w:r>
        <w:rPr>
          <w:color w:val="231F20"/>
          <w:w w:val="105"/>
        </w:rPr>
        <w:t>investigations.</w:t>
      </w:r>
    </w:p>
    <w:p>
      <w:pPr>
        <w:pStyle w:val="BodyText"/>
        <w:spacing w:line="218" w:lineRule="exact"/>
        <w:ind w:left="1440"/>
        <w:rPr>
          <w:rFonts w:ascii="Times New Roman"/>
        </w:rPr>
      </w:pPr>
      <w:r>
        <w:rPr>
          <w:rFonts w:ascii="Times New Roman"/>
          <w:color w:val="231F20"/>
        </w:rPr>
        <w:t>These functions include:</w:t>
      </w:r>
    </w:p>
    <w:p>
      <w:pPr>
        <w:pStyle w:val="BodyText"/>
        <w:spacing w:before="5"/>
        <w:rPr>
          <w:rFonts w:ascii="Times New Roman"/>
          <w:sz w:val="17"/>
        </w:rPr>
      </w:pPr>
    </w:p>
    <w:p>
      <w:pPr>
        <w:pStyle w:val="ListParagraph"/>
        <w:numPr>
          <w:ilvl w:val="0"/>
          <w:numId w:val="1"/>
        </w:numPr>
        <w:tabs>
          <w:tab w:pos="1620" w:val="left" w:leader="none"/>
        </w:tabs>
        <w:spacing w:line="240" w:lineRule="auto" w:before="0" w:after="0"/>
        <w:ind w:left="1620" w:right="0" w:hanging="180"/>
        <w:jc w:val="left"/>
        <w:rPr>
          <w:rFonts w:ascii="Times New Roman"/>
          <w:b/>
          <w:sz w:val="20"/>
        </w:rPr>
      </w:pPr>
      <w:r>
        <w:rPr>
          <w:rFonts w:ascii="Times New Roman"/>
          <w:b/>
          <w:color w:val="231F20"/>
          <w:sz w:val="20"/>
        </w:rPr>
        <w:t>Planning</w:t>
      </w:r>
      <w:r>
        <w:rPr>
          <w:rFonts w:ascii="Times New Roman"/>
          <w:b/>
          <w:color w:val="231F20"/>
          <w:spacing w:val="-20"/>
          <w:sz w:val="20"/>
        </w:rPr>
        <w:t> </w:t>
      </w:r>
      <w:r>
        <w:rPr>
          <w:rFonts w:ascii="Times New Roman"/>
          <w:b/>
          <w:color w:val="231F20"/>
          <w:sz w:val="20"/>
        </w:rPr>
        <w:t>and</w:t>
      </w:r>
      <w:r>
        <w:rPr>
          <w:rFonts w:ascii="Times New Roman"/>
          <w:b/>
          <w:color w:val="231F20"/>
          <w:spacing w:val="-21"/>
          <w:sz w:val="20"/>
        </w:rPr>
        <w:t> </w:t>
      </w:r>
      <w:r>
        <w:rPr>
          <w:rFonts w:ascii="Times New Roman"/>
          <w:b/>
          <w:color w:val="231F20"/>
          <w:sz w:val="20"/>
        </w:rPr>
        <w:t>Preparation</w:t>
      </w:r>
      <w:r>
        <w:rPr>
          <w:rFonts w:ascii="Times New Roman"/>
          <w:b/>
          <w:color w:val="231F20"/>
          <w:spacing w:val="-20"/>
          <w:sz w:val="20"/>
        </w:rPr>
        <w:t> </w:t>
      </w:r>
      <w:r>
        <w:rPr>
          <w:rFonts w:ascii="Times New Roman"/>
          <w:b/>
          <w:color w:val="231F20"/>
          <w:sz w:val="20"/>
        </w:rPr>
        <w:t>(Chapter</w:t>
      </w:r>
      <w:r>
        <w:rPr>
          <w:rFonts w:ascii="Times New Roman"/>
          <w:b/>
          <w:color w:val="231F20"/>
          <w:spacing w:val="-21"/>
          <w:sz w:val="20"/>
        </w:rPr>
        <w:t> </w:t>
      </w:r>
      <w:r>
        <w:rPr>
          <w:rFonts w:ascii="Times New Roman"/>
          <w:b/>
          <w:color w:val="231F20"/>
          <w:sz w:val="20"/>
        </w:rPr>
        <w:t>3);</w:t>
      </w:r>
    </w:p>
    <w:p>
      <w:pPr>
        <w:pStyle w:val="ListParagraph"/>
        <w:numPr>
          <w:ilvl w:val="0"/>
          <w:numId w:val="1"/>
        </w:numPr>
        <w:tabs>
          <w:tab w:pos="1620" w:val="left" w:leader="none"/>
        </w:tabs>
        <w:spacing w:line="249" w:lineRule="auto" w:before="100" w:after="0"/>
        <w:ind w:left="1620" w:right="455" w:hanging="180"/>
        <w:jc w:val="left"/>
        <w:rPr>
          <w:rFonts w:ascii="Times New Roman"/>
          <w:b/>
          <w:sz w:val="20"/>
        </w:rPr>
      </w:pPr>
      <w:r>
        <w:rPr>
          <w:rFonts w:ascii="Times New Roman"/>
          <w:b/>
          <w:color w:val="231F20"/>
          <w:sz w:val="20"/>
        </w:rPr>
        <w:t>Surveillance</w:t>
      </w:r>
      <w:r>
        <w:rPr>
          <w:rFonts w:ascii="Times New Roman"/>
          <w:b/>
          <w:color w:val="231F20"/>
          <w:spacing w:val="-14"/>
          <w:sz w:val="20"/>
        </w:rPr>
        <w:t> </w:t>
      </w:r>
      <w:r>
        <w:rPr>
          <w:rFonts w:ascii="Times New Roman"/>
          <w:b/>
          <w:color w:val="231F20"/>
          <w:sz w:val="20"/>
        </w:rPr>
        <w:t>and</w:t>
      </w:r>
      <w:r>
        <w:rPr>
          <w:rFonts w:ascii="Times New Roman"/>
          <w:b/>
          <w:color w:val="231F20"/>
          <w:spacing w:val="-15"/>
          <w:sz w:val="20"/>
        </w:rPr>
        <w:t> </w:t>
      </w:r>
      <w:r>
        <w:rPr>
          <w:rFonts w:ascii="Times New Roman"/>
          <w:b/>
          <w:color w:val="231F20"/>
          <w:sz w:val="20"/>
        </w:rPr>
        <w:t>Outbreak</w:t>
      </w:r>
      <w:r>
        <w:rPr>
          <w:rFonts w:ascii="Times New Roman"/>
          <w:b/>
          <w:color w:val="231F20"/>
          <w:spacing w:val="-14"/>
          <w:sz w:val="20"/>
        </w:rPr>
        <w:t> </w:t>
      </w:r>
      <w:r>
        <w:rPr>
          <w:rFonts w:ascii="Times New Roman"/>
          <w:b/>
          <w:color w:val="231F20"/>
          <w:sz w:val="20"/>
        </w:rPr>
        <w:t>Detection (Chapter</w:t>
      </w:r>
      <w:r>
        <w:rPr>
          <w:rFonts w:ascii="Times New Roman"/>
          <w:b/>
          <w:color w:val="231F20"/>
          <w:spacing w:val="-35"/>
          <w:sz w:val="20"/>
        </w:rPr>
        <w:t> </w:t>
      </w:r>
      <w:r>
        <w:rPr>
          <w:rFonts w:ascii="Times New Roman"/>
          <w:b/>
          <w:color w:val="231F20"/>
          <w:sz w:val="20"/>
        </w:rPr>
        <w:t>4);</w:t>
      </w:r>
    </w:p>
    <w:p>
      <w:pPr>
        <w:pStyle w:val="ListParagraph"/>
        <w:numPr>
          <w:ilvl w:val="0"/>
          <w:numId w:val="1"/>
        </w:numPr>
        <w:tabs>
          <w:tab w:pos="1620" w:val="left" w:leader="none"/>
        </w:tabs>
        <w:spacing w:line="249" w:lineRule="auto" w:before="100" w:after="0"/>
        <w:ind w:left="1620" w:right="334" w:hanging="180"/>
        <w:jc w:val="left"/>
        <w:rPr>
          <w:rFonts w:ascii="Times New Roman"/>
          <w:b/>
          <w:sz w:val="20"/>
        </w:rPr>
      </w:pPr>
      <w:r>
        <w:rPr>
          <w:rFonts w:ascii="Times New Roman"/>
          <w:b/>
          <w:color w:val="231F20"/>
          <w:sz w:val="20"/>
        </w:rPr>
        <w:t>Investigation of Complaints, Clusters, and</w:t>
      </w:r>
      <w:r>
        <w:rPr>
          <w:rFonts w:ascii="Times New Roman"/>
          <w:b/>
          <w:color w:val="231F20"/>
          <w:spacing w:val="-16"/>
          <w:sz w:val="20"/>
        </w:rPr>
        <w:t> </w:t>
      </w:r>
      <w:r>
        <w:rPr>
          <w:rFonts w:ascii="Times New Roman"/>
          <w:b/>
          <w:color w:val="231F20"/>
          <w:sz w:val="20"/>
        </w:rPr>
        <w:t>Outbreaks</w:t>
      </w:r>
      <w:r>
        <w:rPr>
          <w:rFonts w:ascii="Times New Roman"/>
          <w:b/>
          <w:color w:val="231F20"/>
          <w:spacing w:val="-16"/>
          <w:sz w:val="20"/>
        </w:rPr>
        <w:t> </w:t>
      </w:r>
      <w:r>
        <w:rPr>
          <w:rFonts w:ascii="Times New Roman"/>
          <w:b/>
          <w:color w:val="231F20"/>
          <w:sz w:val="20"/>
        </w:rPr>
        <w:t>(Chapter</w:t>
      </w:r>
      <w:r>
        <w:rPr>
          <w:rFonts w:ascii="Times New Roman"/>
          <w:b/>
          <w:color w:val="231F20"/>
          <w:spacing w:val="-16"/>
          <w:sz w:val="20"/>
        </w:rPr>
        <w:t> </w:t>
      </w:r>
      <w:r>
        <w:rPr>
          <w:rFonts w:ascii="Times New Roman"/>
          <w:b/>
          <w:color w:val="231F20"/>
          <w:sz w:val="20"/>
        </w:rPr>
        <w:t>5);</w:t>
      </w:r>
      <w:r>
        <w:rPr>
          <w:rFonts w:ascii="Times New Roman"/>
          <w:b/>
          <w:color w:val="231F20"/>
          <w:spacing w:val="-16"/>
          <w:sz w:val="20"/>
        </w:rPr>
        <w:t> </w:t>
      </w:r>
      <w:r>
        <w:rPr>
          <w:rFonts w:ascii="Times New Roman"/>
          <w:b/>
          <w:color w:val="231F20"/>
          <w:sz w:val="20"/>
        </w:rPr>
        <w:t>and</w:t>
      </w:r>
    </w:p>
    <w:p>
      <w:pPr>
        <w:pStyle w:val="ListParagraph"/>
        <w:numPr>
          <w:ilvl w:val="0"/>
          <w:numId w:val="1"/>
        </w:numPr>
        <w:tabs>
          <w:tab w:pos="1620" w:val="left" w:leader="none"/>
        </w:tabs>
        <w:spacing w:line="240" w:lineRule="auto" w:before="100" w:after="0"/>
        <w:ind w:left="1620" w:right="0" w:hanging="180"/>
        <w:jc w:val="left"/>
        <w:rPr>
          <w:rFonts w:ascii="Times New Roman"/>
          <w:b/>
          <w:sz w:val="20"/>
        </w:rPr>
      </w:pPr>
      <w:r>
        <w:rPr>
          <w:rFonts w:ascii="Times New Roman"/>
          <w:b/>
          <w:color w:val="231F20"/>
          <w:sz w:val="20"/>
        </w:rPr>
        <w:t>Control Measures (Chapter</w:t>
      </w:r>
      <w:r>
        <w:rPr>
          <w:rFonts w:ascii="Times New Roman"/>
          <w:b/>
          <w:color w:val="231F20"/>
          <w:spacing w:val="-36"/>
          <w:sz w:val="20"/>
        </w:rPr>
        <w:t> </w:t>
      </w:r>
      <w:r>
        <w:rPr>
          <w:rFonts w:ascii="Times New Roman"/>
          <w:b/>
          <w:color w:val="231F20"/>
          <w:sz w:val="20"/>
        </w:rPr>
        <w:t>6).</w:t>
      </w:r>
    </w:p>
    <w:p>
      <w:pPr>
        <w:pStyle w:val="BodyText"/>
        <w:spacing w:line="264" w:lineRule="auto" w:before="114"/>
        <w:ind w:left="1440" w:right="262"/>
      </w:pPr>
      <w:r>
        <w:rPr>
          <w:color w:val="231F20"/>
          <w:w w:val="105"/>
        </w:rPr>
        <w:t>The CIFOR Guidelines are not limited to </w:t>
      </w:r>
      <w:r>
        <w:rPr>
          <w:rFonts w:ascii="Times New Roman"/>
          <w:color w:val="231F20"/>
          <w:w w:val="105"/>
        </w:rPr>
        <w:t>one</w:t>
      </w:r>
      <w:r>
        <w:rPr>
          <w:rFonts w:ascii="Times New Roman"/>
          <w:color w:val="231F20"/>
          <w:spacing w:val="-31"/>
          <w:w w:val="105"/>
        </w:rPr>
        <w:t> </w:t>
      </w:r>
      <w:r>
        <w:rPr>
          <w:rFonts w:ascii="Times New Roman"/>
          <w:color w:val="231F20"/>
          <w:w w:val="105"/>
        </w:rPr>
        <w:t>approach</w:t>
      </w:r>
      <w:r>
        <w:rPr>
          <w:rFonts w:ascii="Times New Roman"/>
          <w:color w:val="231F20"/>
          <w:spacing w:val="-32"/>
          <w:w w:val="105"/>
        </w:rPr>
        <w:t> </w:t>
      </w:r>
      <w:r>
        <w:rPr>
          <w:rFonts w:ascii="Times New Roman"/>
          <w:color w:val="231F20"/>
          <w:w w:val="105"/>
        </w:rPr>
        <w:t>to</w:t>
      </w:r>
      <w:r>
        <w:rPr>
          <w:rFonts w:ascii="Times New Roman"/>
          <w:color w:val="231F20"/>
          <w:spacing w:val="-32"/>
          <w:w w:val="105"/>
        </w:rPr>
        <w:t> </w:t>
      </w:r>
      <w:r>
        <w:rPr>
          <w:rFonts w:ascii="Times New Roman"/>
          <w:color w:val="231F20"/>
          <w:w w:val="105"/>
        </w:rPr>
        <w:t>performing</w:t>
      </w:r>
      <w:r>
        <w:rPr>
          <w:rFonts w:ascii="Times New Roman"/>
          <w:color w:val="231F20"/>
          <w:spacing w:val="-31"/>
          <w:w w:val="105"/>
        </w:rPr>
        <w:t> </w:t>
      </w:r>
      <w:r>
        <w:rPr>
          <w:rFonts w:ascii="Times New Roman"/>
          <w:color w:val="231F20"/>
          <w:w w:val="105"/>
        </w:rPr>
        <w:t>these</w:t>
      </w:r>
      <w:r>
        <w:rPr>
          <w:rFonts w:ascii="Times New Roman"/>
          <w:color w:val="231F20"/>
          <w:spacing w:val="-32"/>
          <w:w w:val="105"/>
        </w:rPr>
        <w:t> </w:t>
      </w:r>
      <w:r>
        <w:rPr>
          <w:rFonts w:ascii="Times New Roman"/>
          <w:color w:val="231F20"/>
          <w:w w:val="105"/>
        </w:rPr>
        <w:t>functions </w:t>
      </w:r>
      <w:r>
        <w:rPr>
          <w:color w:val="231F20"/>
          <w:w w:val="105"/>
        </w:rPr>
        <w:t>but</w:t>
      </w:r>
      <w:r>
        <w:rPr>
          <w:color w:val="231F20"/>
          <w:spacing w:val="-11"/>
          <w:w w:val="105"/>
        </w:rPr>
        <w:t> </w:t>
      </w:r>
      <w:r>
        <w:rPr>
          <w:color w:val="231F20"/>
          <w:w w:val="105"/>
        </w:rPr>
        <w:t>provide</w:t>
      </w:r>
      <w:r>
        <w:rPr>
          <w:color w:val="231F20"/>
          <w:spacing w:val="-11"/>
          <w:w w:val="105"/>
        </w:rPr>
        <w:t> </w:t>
      </w:r>
      <w:r>
        <w:rPr>
          <w:color w:val="231F20"/>
          <w:w w:val="105"/>
        </w:rPr>
        <w:t>a</w:t>
      </w:r>
      <w:r>
        <w:rPr>
          <w:color w:val="231F20"/>
          <w:spacing w:val="-11"/>
          <w:w w:val="105"/>
        </w:rPr>
        <w:t> </w:t>
      </w:r>
      <w:r>
        <w:rPr>
          <w:color w:val="231F20"/>
          <w:w w:val="105"/>
        </w:rPr>
        <w:t>range</w:t>
      </w:r>
      <w:r>
        <w:rPr>
          <w:color w:val="231F20"/>
          <w:spacing w:val="-11"/>
          <w:w w:val="105"/>
        </w:rPr>
        <w:t> </w:t>
      </w:r>
      <w:r>
        <w:rPr>
          <w:color w:val="231F20"/>
          <w:w w:val="105"/>
        </w:rPr>
        <w:t>of</w:t>
      </w:r>
      <w:r>
        <w:rPr>
          <w:color w:val="231F20"/>
          <w:spacing w:val="13"/>
          <w:w w:val="105"/>
        </w:rPr>
        <w:t> </w:t>
      </w:r>
      <w:r>
        <w:rPr>
          <w:color w:val="231F20"/>
          <w:w w:val="105"/>
        </w:rPr>
        <w:t>approaches</w:t>
      </w:r>
      <w:r>
        <w:rPr>
          <w:color w:val="231F20"/>
          <w:spacing w:val="-11"/>
          <w:w w:val="105"/>
        </w:rPr>
        <w:t> </w:t>
      </w:r>
      <w:r>
        <w:rPr>
          <w:color w:val="231F20"/>
          <w:w w:val="105"/>
        </w:rPr>
        <w:t>with</w:t>
      </w:r>
    </w:p>
    <w:p>
      <w:pPr>
        <w:pStyle w:val="BodyText"/>
        <w:spacing w:line="259" w:lineRule="auto" w:before="2"/>
        <w:ind w:left="1440" w:right="323"/>
        <w:rPr>
          <w:rFonts w:ascii="Times New Roman" w:hAnsi="Times New Roman"/>
        </w:rPr>
      </w:pPr>
      <w:r>
        <w:rPr>
          <w:color w:val="231F20"/>
          <w:w w:val="105"/>
        </w:rPr>
        <w:t>the rationale behind them. In this way, the Guidelines enable users to make practical </w:t>
      </w:r>
      <w:r>
        <w:rPr>
          <w:rFonts w:ascii="Times New Roman" w:hAnsi="Times New Roman"/>
          <w:color w:val="231F20"/>
        </w:rPr>
        <w:t>decisions about their (or their agencies’)</w:t>
      </w:r>
    </w:p>
    <w:p>
      <w:pPr>
        <w:pStyle w:val="BodyText"/>
        <w:spacing w:line="271" w:lineRule="auto" w:before="93"/>
        <w:ind w:left="319" w:right="914"/>
      </w:pPr>
      <w:r>
        <w:rPr/>
        <w:br w:type="column"/>
      </w:r>
      <w:r>
        <w:rPr>
          <w:rFonts w:ascii="Times New Roman"/>
          <w:color w:val="231F20"/>
        </w:rPr>
        <w:t>response to an outbreak, including the order, </w:t>
      </w:r>
      <w:r>
        <w:rPr>
          <w:color w:val="231F20"/>
        </w:rPr>
        <w:t>magnitude, or necessity of the associated activities.</w:t>
      </w:r>
    </w:p>
    <w:p>
      <w:pPr>
        <w:pStyle w:val="BodyText"/>
        <w:spacing w:line="264" w:lineRule="auto" w:before="160"/>
        <w:ind w:left="319" w:right="748"/>
        <w:rPr>
          <w:rFonts w:ascii="Times New Roman"/>
          <w:b/>
        </w:rPr>
      </w:pPr>
      <w:r>
        <w:rPr>
          <w:rFonts w:ascii="Times New Roman"/>
          <w:color w:val="231F20"/>
        </w:rPr>
        <w:t>Because investigations that involve multiple </w:t>
      </w:r>
      <w:r>
        <w:rPr>
          <w:color w:val="231F20"/>
        </w:rPr>
        <w:t>agencies in different geographic locations or from different sectors are complex, the CIFOR Guidelines provide special considerations for </w:t>
      </w:r>
      <w:r>
        <w:rPr>
          <w:rFonts w:ascii="Times New Roman"/>
          <w:b/>
          <w:color w:val="231F20"/>
        </w:rPr>
        <w:t>Multijurisdictional Outbreaks (Chapter</w:t>
      </w:r>
    </w:p>
    <w:p>
      <w:pPr>
        <w:spacing w:line="259" w:lineRule="auto" w:before="0"/>
        <w:ind w:left="319" w:right="748" w:firstLine="0"/>
        <w:jc w:val="left"/>
        <w:rPr>
          <w:rFonts w:ascii="Times New Roman"/>
          <w:b/>
          <w:sz w:val="20"/>
        </w:rPr>
      </w:pPr>
      <w:r>
        <w:rPr>
          <w:rFonts w:ascii="Times New Roman"/>
          <w:b/>
          <w:color w:val="231F20"/>
          <w:sz w:val="20"/>
        </w:rPr>
        <w:t>7). </w:t>
      </w:r>
      <w:r>
        <w:rPr>
          <w:color w:val="231F20"/>
          <w:sz w:val="20"/>
        </w:rPr>
        <w:t>As a context for responding to foodborne disease outbreaks, the Guidelines also cover </w:t>
      </w:r>
      <w:r>
        <w:rPr>
          <w:rFonts w:ascii="Times New Roman"/>
          <w:b/>
          <w:color w:val="231F20"/>
          <w:sz w:val="20"/>
        </w:rPr>
        <w:t>Fundamental Concepts of Public Health Surveillance and Foodborne Disease (Chapter 2) </w:t>
      </w:r>
      <w:r>
        <w:rPr>
          <w:rFonts w:ascii="Times New Roman"/>
          <w:color w:val="231F20"/>
          <w:sz w:val="20"/>
        </w:rPr>
        <w:t>and </w:t>
      </w:r>
      <w:r>
        <w:rPr>
          <w:rFonts w:ascii="Times New Roman"/>
          <w:b/>
          <w:color w:val="231F20"/>
          <w:sz w:val="20"/>
        </w:rPr>
        <w:t>Legal Considerations for the Surveillance and Control of Foodborne Disease Outbreaks (Chapter 9). </w:t>
      </w:r>
      <w:r>
        <w:rPr>
          <w:color w:val="231F20"/>
          <w:sz w:val="20"/>
        </w:rPr>
        <w:t>Finally, to </w:t>
      </w:r>
      <w:r>
        <w:rPr>
          <w:rFonts w:ascii="Times New Roman"/>
          <w:color w:val="231F20"/>
          <w:sz w:val="20"/>
        </w:rPr>
        <w:t>assist agencies in assessing their response to </w:t>
      </w:r>
      <w:r>
        <w:rPr>
          <w:color w:val="231F20"/>
          <w:sz w:val="20"/>
        </w:rPr>
        <w:t>foodborne disease outbreaks, the Guidelines </w:t>
      </w:r>
      <w:r>
        <w:rPr>
          <w:rFonts w:ascii="Times New Roman"/>
          <w:color w:val="231F20"/>
          <w:sz w:val="20"/>
        </w:rPr>
        <w:t>provide </w:t>
      </w:r>
      <w:r>
        <w:rPr>
          <w:rFonts w:ascii="Times New Roman"/>
          <w:b/>
          <w:color w:val="231F20"/>
          <w:sz w:val="20"/>
        </w:rPr>
        <w:t>Performance Measures for Foodborne Disease Programs (Chapter 8).</w:t>
      </w:r>
    </w:p>
    <w:p>
      <w:pPr>
        <w:pStyle w:val="BodyText"/>
        <w:spacing w:before="4"/>
        <w:rPr>
          <w:rFonts w:ascii="Times New Roman"/>
          <w:b/>
          <w:sz w:val="17"/>
        </w:rPr>
      </w:pPr>
    </w:p>
    <w:p>
      <w:pPr>
        <w:pStyle w:val="BodyText"/>
        <w:spacing w:line="259" w:lineRule="auto"/>
        <w:ind w:left="319" w:right="744"/>
        <w:rPr>
          <w:rFonts w:ascii="Times New Roman"/>
        </w:rPr>
      </w:pPr>
      <w:r>
        <w:rPr>
          <w:color w:val="231F20"/>
          <w:w w:val="105"/>
        </w:rPr>
        <w:t>The</w:t>
      </w:r>
      <w:r>
        <w:rPr>
          <w:color w:val="231F20"/>
          <w:spacing w:val="-21"/>
          <w:w w:val="105"/>
        </w:rPr>
        <w:t> </w:t>
      </w:r>
      <w:r>
        <w:rPr>
          <w:color w:val="231F20"/>
          <w:w w:val="105"/>
        </w:rPr>
        <w:t>following</w:t>
      </w:r>
      <w:r>
        <w:rPr>
          <w:color w:val="231F20"/>
          <w:spacing w:val="-21"/>
          <w:w w:val="105"/>
        </w:rPr>
        <w:t> </w:t>
      </w:r>
      <w:r>
        <w:rPr>
          <w:color w:val="231F20"/>
          <w:w w:val="105"/>
        </w:rPr>
        <w:t>sections</w:t>
      </w:r>
      <w:r>
        <w:rPr>
          <w:color w:val="231F20"/>
          <w:spacing w:val="-21"/>
          <w:w w:val="105"/>
        </w:rPr>
        <w:t> </w:t>
      </w:r>
      <w:r>
        <w:rPr>
          <w:color w:val="231F20"/>
          <w:w w:val="105"/>
        </w:rPr>
        <w:t>summarize</w:t>
      </w:r>
      <w:r>
        <w:rPr>
          <w:color w:val="231F20"/>
          <w:spacing w:val="-21"/>
          <w:w w:val="105"/>
        </w:rPr>
        <w:t> </w:t>
      </w:r>
      <w:r>
        <w:rPr>
          <w:color w:val="231F20"/>
          <w:w w:val="105"/>
        </w:rPr>
        <w:t>the</w:t>
      </w:r>
      <w:r>
        <w:rPr>
          <w:color w:val="231F20"/>
          <w:spacing w:val="-21"/>
          <w:w w:val="105"/>
        </w:rPr>
        <w:t> </w:t>
      </w:r>
      <w:r>
        <w:rPr>
          <w:color w:val="231F20"/>
          <w:w w:val="105"/>
        </w:rPr>
        <w:t>contents of all chapters in these Guidelines. These </w:t>
      </w:r>
      <w:r>
        <w:rPr>
          <w:rFonts w:ascii="Times New Roman"/>
          <w:color w:val="231F20"/>
          <w:w w:val="105"/>
        </w:rPr>
        <w:t>summaries</w:t>
      </w:r>
      <w:r>
        <w:rPr>
          <w:rFonts w:ascii="Times New Roman"/>
          <w:color w:val="231F20"/>
          <w:spacing w:val="-28"/>
          <w:w w:val="105"/>
        </w:rPr>
        <w:t> </w:t>
      </w:r>
      <w:r>
        <w:rPr>
          <w:rFonts w:ascii="Times New Roman"/>
          <w:color w:val="231F20"/>
          <w:w w:val="105"/>
        </w:rPr>
        <w:t>are</w:t>
      </w:r>
      <w:r>
        <w:rPr>
          <w:rFonts w:ascii="Times New Roman"/>
          <w:color w:val="231F20"/>
          <w:spacing w:val="-29"/>
          <w:w w:val="105"/>
        </w:rPr>
        <w:t> </w:t>
      </w:r>
      <w:r>
        <w:rPr>
          <w:rFonts w:ascii="Times New Roman"/>
          <w:color w:val="231F20"/>
          <w:w w:val="105"/>
        </w:rPr>
        <w:t>intended</w:t>
      </w:r>
      <w:r>
        <w:rPr>
          <w:rFonts w:ascii="Times New Roman"/>
          <w:color w:val="231F20"/>
          <w:spacing w:val="-29"/>
          <w:w w:val="105"/>
        </w:rPr>
        <w:t> </w:t>
      </w:r>
      <w:r>
        <w:rPr>
          <w:rFonts w:ascii="Times New Roman"/>
          <w:color w:val="231F20"/>
          <w:w w:val="105"/>
        </w:rPr>
        <w:t>to</w:t>
      </w:r>
      <w:r>
        <w:rPr>
          <w:rFonts w:ascii="Times New Roman"/>
          <w:color w:val="231F20"/>
          <w:spacing w:val="-29"/>
          <w:w w:val="105"/>
        </w:rPr>
        <w:t> </w:t>
      </w:r>
      <w:r>
        <w:rPr>
          <w:rFonts w:ascii="Times New Roman"/>
          <w:color w:val="231F20"/>
          <w:w w:val="105"/>
        </w:rPr>
        <w:t>give</w:t>
      </w:r>
      <w:r>
        <w:rPr>
          <w:rFonts w:ascii="Times New Roman"/>
          <w:color w:val="231F20"/>
          <w:spacing w:val="-29"/>
          <w:w w:val="105"/>
        </w:rPr>
        <w:t> </w:t>
      </w:r>
      <w:r>
        <w:rPr>
          <w:rFonts w:ascii="Times New Roman"/>
          <w:color w:val="231F20"/>
          <w:w w:val="105"/>
        </w:rPr>
        <w:t>a</w:t>
      </w:r>
      <w:r>
        <w:rPr>
          <w:rFonts w:ascii="Times New Roman"/>
          <w:color w:val="231F20"/>
          <w:spacing w:val="-29"/>
          <w:w w:val="105"/>
        </w:rPr>
        <w:t> </w:t>
      </w:r>
      <w:r>
        <w:rPr>
          <w:rFonts w:ascii="Times New Roman"/>
          <w:color w:val="231F20"/>
          <w:w w:val="105"/>
        </w:rPr>
        <w:t>high-</w:t>
      </w:r>
    </w:p>
    <w:p>
      <w:pPr>
        <w:pStyle w:val="BodyText"/>
        <w:spacing w:line="264" w:lineRule="auto" w:before="16"/>
        <w:ind w:left="319" w:right="914"/>
      </w:pPr>
      <w:r>
        <w:rPr>
          <w:color w:val="231F20"/>
        </w:rPr>
        <w:t>level overview of each chapter, thus making </w:t>
      </w:r>
      <w:r>
        <w:rPr>
          <w:rFonts w:ascii="Times New Roman"/>
          <w:color w:val="231F20"/>
        </w:rPr>
        <w:t>information of particular interest easier to </w:t>
      </w:r>
      <w:r>
        <w:rPr>
          <w:color w:val="231F20"/>
        </w:rPr>
        <w:t>find. The detailed information about each topic covered below can be found under the </w:t>
      </w:r>
      <w:r>
        <w:rPr>
          <w:rFonts w:ascii="Times New Roman"/>
          <w:color w:val="231F20"/>
        </w:rPr>
        <w:t>chapter and section numbers referenced in </w:t>
      </w:r>
      <w:r>
        <w:rPr>
          <w:color w:val="231F20"/>
        </w:rPr>
        <w:t>each  paragraph.</w:t>
      </w:r>
    </w:p>
    <w:p>
      <w:pPr>
        <w:spacing w:after="0" w:line="264" w:lineRule="auto"/>
        <w:sectPr>
          <w:type w:val="continuous"/>
          <w:pgSz w:w="10080" w:h="14400"/>
          <w:pgMar w:top="0" w:bottom="360" w:left="0" w:right="0"/>
          <w:cols w:num="2" w:equalWidth="0">
            <w:col w:w="5221" w:space="40"/>
            <w:col w:w="4819"/>
          </w:cols>
        </w:sectPr>
      </w:pPr>
    </w:p>
    <w:p>
      <w:pPr>
        <w:pStyle w:val="BodyText"/>
        <w:spacing w:before="9"/>
        <w:rPr>
          <w:sz w:val="22"/>
        </w:rPr>
      </w:pPr>
    </w:p>
    <w:p>
      <w:pPr>
        <w:pStyle w:val="Heading1"/>
        <w:spacing w:line="249" w:lineRule="auto"/>
        <w:ind w:right="1582"/>
      </w:pPr>
      <w:r>
        <w:rPr/>
        <w:pict>
          <v:line style="position:absolute;mso-position-horizontal-relative:page;mso-position-vertical-relative:paragraph;z-index:1144;mso-wrap-distance-left:0;mso-wrap-distance-right:0" from="72pt,40.791836pt" to="468pt,40.791836pt" stroked="true" strokeweight=".5pt" strokecolor="#00a94f">
            <v:stroke dashstyle="solid"/>
            <w10:wrap type="topAndBottom"/>
          </v:line>
        </w:pict>
      </w:r>
      <w:r>
        <w:rPr>
          <w:color w:val="00A94F"/>
        </w:rPr>
        <w:t>Overview of Chapter 2. Fundamental Concepts of Public Health Surveillance and Foodborne Disease</w:t>
      </w:r>
    </w:p>
    <w:p>
      <w:pPr>
        <w:pStyle w:val="BodyText"/>
        <w:spacing w:before="10"/>
        <w:rPr>
          <w:rFonts w:ascii="Arial"/>
          <w:sz w:val="18"/>
        </w:rPr>
      </w:pPr>
    </w:p>
    <w:p>
      <w:pPr>
        <w:spacing w:after="0"/>
        <w:rPr>
          <w:rFonts w:ascii="Arial"/>
          <w:sz w:val="18"/>
        </w:rPr>
        <w:sectPr>
          <w:type w:val="continuous"/>
          <w:pgSz w:w="10080" w:h="14400"/>
          <w:pgMar w:top="0" w:bottom="360" w:left="0" w:right="0"/>
        </w:sectPr>
      </w:pPr>
    </w:p>
    <w:p>
      <w:pPr>
        <w:pStyle w:val="BodyText"/>
        <w:spacing w:before="110"/>
        <w:ind w:left="1440"/>
        <w:rPr>
          <w:rFonts w:ascii="Arial"/>
        </w:rPr>
      </w:pPr>
      <w:r>
        <w:rPr>
          <w:rFonts w:ascii="Arial"/>
          <w:color w:val="1C3E94"/>
        </w:rPr>
        <w:t>Introduction (Section 2.0)</w:t>
      </w:r>
    </w:p>
    <w:p>
      <w:pPr>
        <w:pStyle w:val="BodyText"/>
        <w:spacing w:before="5"/>
        <w:rPr>
          <w:rFonts w:ascii="Arial"/>
          <w:sz w:val="17"/>
        </w:rPr>
      </w:pPr>
    </w:p>
    <w:p>
      <w:pPr>
        <w:pStyle w:val="BodyText"/>
        <w:spacing w:line="264" w:lineRule="auto"/>
        <w:ind w:left="1440" w:right="-17"/>
        <w:rPr>
          <w:rFonts w:ascii="Times New Roman"/>
        </w:rPr>
      </w:pPr>
      <w:r>
        <w:rPr>
          <w:rFonts w:ascii="Times New Roman"/>
          <w:color w:val="231F20"/>
          <w:w w:val="105"/>
        </w:rPr>
        <w:t>Preventing foodborne illness relies on our </w:t>
      </w:r>
      <w:r>
        <w:rPr>
          <w:color w:val="231F20"/>
          <w:w w:val="105"/>
        </w:rPr>
        <w:t>ability to translate the principles of food safety into</w:t>
      </w:r>
      <w:r>
        <w:rPr>
          <w:color w:val="231F20"/>
          <w:spacing w:val="-19"/>
          <w:w w:val="105"/>
        </w:rPr>
        <w:t> </w:t>
      </w:r>
      <w:r>
        <w:rPr>
          <w:color w:val="231F20"/>
          <w:w w:val="105"/>
        </w:rPr>
        <w:t>the</w:t>
      </w:r>
      <w:r>
        <w:rPr>
          <w:color w:val="231F20"/>
          <w:spacing w:val="-19"/>
          <w:w w:val="105"/>
        </w:rPr>
        <w:t> </w:t>
      </w:r>
      <w:r>
        <w:rPr>
          <w:color w:val="231F20"/>
          <w:w w:val="105"/>
        </w:rPr>
        <w:t>practices</w:t>
      </w:r>
      <w:r>
        <w:rPr>
          <w:color w:val="231F20"/>
          <w:spacing w:val="-19"/>
          <w:w w:val="105"/>
        </w:rPr>
        <w:t> </w:t>
      </w:r>
      <w:r>
        <w:rPr>
          <w:color w:val="231F20"/>
          <w:w w:val="105"/>
        </w:rPr>
        <w:t>food</w:t>
      </w:r>
      <w:r>
        <w:rPr>
          <w:color w:val="231F20"/>
          <w:spacing w:val="-19"/>
          <w:w w:val="105"/>
        </w:rPr>
        <w:t> </w:t>
      </w:r>
      <w:r>
        <w:rPr>
          <w:color w:val="231F20"/>
          <w:w w:val="105"/>
        </w:rPr>
        <w:t>production.</w:t>
      </w:r>
      <w:r>
        <w:rPr>
          <w:color w:val="231F20"/>
          <w:spacing w:val="-19"/>
          <w:w w:val="105"/>
        </w:rPr>
        <w:t> </w:t>
      </w:r>
      <w:r>
        <w:rPr>
          <w:color w:val="231F20"/>
          <w:w w:val="105"/>
        </w:rPr>
        <w:t>Foodborne diseases</w:t>
      </w:r>
      <w:r>
        <w:rPr>
          <w:color w:val="231F20"/>
          <w:spacing w:val="-13"/>
          <w:w w:val="105"/>
        </w:rPr>
        <w:t> </w:t>
      </w:r>
      <w:r>
        <w:rPr>
          <w:color w:val="231F20"/>
          <w:w w:val="105"/>
        </w:rPr>
        <w:t>and</w:t>
      </w:r>
      <w:r>
        <w:rPr>
          <w:color w:val="231F20"/>
          <w:spacing w:val="-13"/>
          <w:w w:val="105"/>
        </w:rPr>
        <w:t> </w:t>
      </w:r>
      <w:r>
        <w:rPr>
          <w:color w:val="231F20"/>
          <w:w w:val="105"/>
        </w:rPr>
        <w:t>outbreaks</w:t>
      </w:r>
      <w:r>
        <w:rPr>
          <w:color w:val="231F20"/>
          <w:spacing w:val="-13"/>
          <w:w w:val="105"/>
        </w:rPr>
        <w:t> </w:t>
      </w:r>
      <w:r>
        <w:rPr>
          <w:color w:val="231F20"/>
          <w:w w:val="105"/>
        </w:rPr>
        <w:t>reflect</w:t>
      </w:r>
      <w:r>
        <w:rPr>
          <w:color w:val="231F20"/>
          <w:spacing w:val="-13"/>
          <w:w w:val="105"/>
        </w:rPr>
        <w:t> </w:t>
      </w:r>
      <w:r>
        <w:rPr>
          <w:color w:val="231F20"/>
          <w:w w:val="105"/>
        </w:rPr>
        <w:t>what</w:t>
      </w:r>
      <w:r>
        <w:rPr>
          <w:color w:val="231F20"/>
          <w:spacing w:val="-13"/>
          <w:w w:val="105"/>
        </w:rPr>
        <w:t> </w:t>
      </w:r>
      <w:r>
        <w:rPr>
          <w:color w:val="231F20"/>
          <w:w w:val="105"/>
        </w:rPr>
        <w:t>we</w:t>
      </w:r>
      <w:r>
        <w:rPr>
          <w:color w:val="231F20"/>
          <w:spacing w:val="-13"/>
          <w:w w:val="105"/>
        </w:rPr>
        <w:t> </w:t>
      </w:r>
      <w:r>
        <w:rPr>
          <w:color w:val="231F20"/>
          <w:w w:val="105"/>
        </w:rPr>
        <w:t>eat;</w:t>
      </w:r>
      <w:r>
        <w:rPr>
          <w:color w:val="231F20"/>
          <w:spacing w:val="-13"/>
          <w:w w:val="105"/>
        </w:rPr>
        <w:t> </w:t>
      </w:r>
      <w:r>
        <w:rPr>
          <w:color w:val="231F20"/>
          <w:w w:val="105"/>
        </w:rPr>
        <w:t>how </w:t>
      </w:r>
      <w:r>
        <w:rPr>
          <w:rFonts w:ascii="Times New Roman"/>
          <w:color w:val="231F20"/>
          <w:w w:val="105"/>
        </w:rPr>
        <w:t>our</w:t>
      </w:r>
      <w:r>
        <w:rPr>
          <w:rFonts w:ascii="Times New Roman"/>
          <w:color w:val="231F20"/>
          <w:spacing w:val="-26"/>
          <w:w w:val="105"/>
        </w:rPr>
        <w:t> </w:t>
      </w:r>
      <w:r>
        <w:rPr>
          <w:rFonts w:ascii="Times New Roman"/>
          <w:color w:val="231F20"/>
          <w:w w:val="105"/>
        </w:rPr>
        <w:t>food</w:t>
      </w:r>
      <w:r>
        <w:rPr>
          <w:rFonts w:ascii="Times New Roman"/>
          <w:color w:val="231F20"/>
          <w:spacing w:val="-26"/>
          <w:w w:val="105"/>
        </w:rPr>
        <w:t> </w:t>
      </w:r>
      <w:r>
        <w:rPr>
          <w:rFonts w:ascii="Times New Roman"/>
          <w:color w:val="231F20"/>
          <w:w w:val="105"/>
        </w:rPr>
        <w:t>is</w:t>
      </w:r>
      <w:r>
        <w:rPr>
          <w:rFonts w:ascii="Times New Roman"/>
          <w:color w:val="231F20"/>
          <w:spacing w:val="-26"/>
          <w:w w:val="105"/>
        </w:rPr>
        <w:t> </w:t>
      </w:r>
      <w:r>
        <w:rPr>
          <w:rFonts w:ascii="Times New Roman"/>
          <w:color w:val="231F20"/>
          <w:w w:val="105"/>
        </w:rPr>
        <w:t>cultivated</w:t>
      </w:r>
      <w:r>
        <w:rPr>
          <w:rFonts w:ascii="Times New Roman"/>
          <w:color w:val="231F20"/>
          <w:spacing w:val="-26"/>
          <w:w w:val="105"/>
        </w:rPr>
        <w:t> </w:t>
      </w:r>
      <w:r>
        <w:rPr>
          <w:rFonts w:ascii="Times New Roman"/>
          <w:color w:val="231F20"/>
          <w:w w:val="105"/>
        </w:rPr>
        <w:t>or</w:t>
      </w:r>
      <w:r>
        <w:rPr>
          <w:rFonts w:ascii="Times New Roman"/>
          <w:color w:val="231F20"/>
          <w:spacing w:val="-26"/>
          <w:w w:val="105"/>
        </w:rPr>
        <w:t> </w:t>
      </w:r>
      <w:r>
        <w:rPr>
          <w:rFonts w:ascii="Times New Roman"/>
          <w:color w:val="231F20"/>
          <w:w w:val="105"/>
        </w:rPr>
        <w:t>raised,</w:t>
      </w:r>
      <w:r>
        <w:rPr>
          <w:rFonts w:ascii="Times New Roman"/>
          <w:color w:val="231F20"/>
          <w:spacing w:val="-26"/>
          <w:w w:val="105"/>
        </w:rPr>
        <w:t> </w:t>
      </w:r>
      <w:r>
        <w:rPr>
          <w:rFonts w:ascii="Times New Roman"/>
          <w:color w:val="231F20"/>
          <w:w w:val="105"/>
        </w:rPr>
        <w:t>processed,</w:t>
      </w:r>
      <w:r>
        <w:rPr>
          <w:rFonts w:ascii="Times New Roman"/>
          <w:color w:val="231F20"/>
          <w:spacing w:val="-26"/>
          <w:w w:val="105"/>
        </w:rPr>
        <w:t> </w:t>
      </w:r>
      <w:r>
        <w:rPr>
          <w:rFonts w:ascii="Times New Roman"/>
          <w:color w:val="231F20"/>
          <w:w w:val="105"/>
        </w:rPr>
        <w:t>and </w:t>
      </w:r>
      <w:r>
        <w:rPr>
          <w:color w:val="231F20"/>
          <w:w w:val="105"/>
        </w:rPr>
        <w:t>distributed; and how and </w:t>
      </w:r>
      <w:r>
        <w:rPr>
          <w:color w:val="231F20"/>
          <w:spacing w:val="-3"/>
          <w:w w:val="105"/>
        </w:rPr>
        <w:t>by </w:t>
      </w:r>
      <w:r>
        <w:rPr>
          <w:color w:val="231F20"/>
          <w:w w:val="105"/>
        </w:rPr>
        <w:t>whom our food is prepared; A variety of surveillance programs are necessary to track foodborne diseases and </w:t>
      </w:r>
      <w:r>
        <w:rPr>
          <w:rFonts w:ascii="Times New Roman"/>
          <w:color w:val="231F20"/>
        </w:rPr>
        <w:t>outbreaks</w:t>
      </w:r>
      <w:r>
        <w:rPr>
          <w:rFonts w:ascii="Times New Roman"/>
          <w:color w:val="231F20"/>
          <w:spacing w:val="-9"/>
        </w:rPr>
        <w:t> </w:t>
      </w:r>
      <w:r>
        <w:rPr>
          <w:rFonts w:ascii="Times New Roman"/>
          <w:color w:val="231F20"/>
        </w:rPr>
        <w:t>and</w:t>
      </w:r>
      <w:r>
        <w:rPr>
          <w:rFonts w:ascii="Times New Roman"/>
          <w:color w:val="231F20"/>
          <w:spacing w:val="-9"/>
        </w:rPr>
        <w:t> </w:t>
      </w:r>
      <w:r>
        <w:rPr>
          <w:rFonts w:ascii="Times New Roman"/>
          <w:color w:val="231F20"/>
        </w:rPr>
        <w:t>shed</w:t>
      </w:r>
      <w:r>
        <w:rPr>
          <w:rFonts w:ascii="Times New Roman"/>
          <w:color w:val="231F20"/>
          <w:spacing w:val="-8"/>
        </w:rPr>
        <w:t> </w:t>
      </w:r>
      <w:r>
        <w:rPr>
          <w:rFonts w:ascii="Times New Roman"/>
          <w:color w:val="231F20"/>
        </w:rPr>
        <w:t>light</w:t>
      </w:r>
      <w:r>
        <w:rPr>
          <w:rFonts w:ascii="Times New Roman"/>
          <w:color w:val="231F20"/>
          <w:spacing w:val="-9"/>
        </w:rPr>
        <w:t> </w:t>
      </w:r>
      <w:r>
        <w:rPr>
          <w:rFonts w:ascii="Times New Roman"/>
          <w:color w:val="231F20"/>
        </w:rPr>
        <w:t>on</w:t>
      </w:r>
      <w:r>
        <w:rPr>
          <w:rFonts w:ascii="Times New Roman"/>
          <w:color w:val="231F20"/>
          <w:spacing w:val="-9"/>
        </w:rPr>
        <w:t> </w:t>
      </w:r>
      <w:r>
        <w:rPr>
          <w:rFonts w:ascii="Times New Roman"/>
          <w:color w:val="231F20"/>
        </w:rPr>
        <w:t>food</w:t>
      </w:r>
      <w:r>
        <w:rPr>
          <w:rFonts w:ascii="Times New Roman"/>
          <w:color w:val="231F20"/>
          <w:spacing w:val="-8"/>
        </w:rPr>
        <w:t> </w:t>
      </w:r>
      <w:r>
        <w:rPr>
          <w:rFonts w:ascii="Times New Roman"/>
          <w:color w:val="231F20"/>
        </w:rPr>
        <w:t>vehicles,</w:t>
      </w:r>
    </w:p>
    <w:p>
      <w:pPr>
        <w:pStyle w:val="BodyText"/>
        <w:spacing w:line="271" w:lineRule="auto" w:before="93"/>
        <w:ind w:left="255" w:right="732"/>
      </w:pPr>
      <w:r>
        <w:rPr/>
        <w:br w:type="column"/>
      </w:r>
      <w:r>
        <w:rPr>
          <w:rFonts w:ascii="Times New Roman"/>
          <w:color w:val="231F20"/>
        </w:rPr>
        <w:t>settings, pathogens, contributing factors, and </w:t>
      </w:r>
      <w:r>
        <w:rPr>
          <w:color w:val="231F20"/>
        </w:rPr>
        <w:t>environmental antecedents to develop effective control and prevention  measures.</w:t>
      </w:r>
    </w:p>
    <w:p>
      <w:pPr>
        <w:pStyle w:val="BodyText"/>
        <w:spacing w:line="261" w:lineRule="auto" w:before="160"/>
        <w:ind w:left="255" w:right="732"/>
        <w:rPr>
          <w:rFonts w:ascii="Arial"/>
        </w:rPr>
      </w:pPr>
      <w:r>
        <w:rPr>
          <w:rFonts w:ascii="Arial"/>
          <w:color w:val="1C3E94"/>
        </w:rPr>
        <w:t>Trends in Diet and the Food Industry (Section 2.1)</w:t>
      </w:r>
    </w:p>
    <w:p>
      <w:pPr>
        <w:pStyle w:val="BodyText"/>
        <w:spacing w:before="2"/>
        <w:rPr>
          <w:rFonts w:ascii="Arial"/>
          <w:sz w:val="17"/>
        </w:rPr>
      </w:pPr>
    </w:p>
    <w:p>
      <w:pPr>
        <w:spacing w:before="1"/>
        <w:ind w:left="255" w:right="0" w:firstLine="0"/>
        <w:jc w:val="left"/>
        <w:rPr>
          <w:rFonts w:ascii="Arial"/>
          <w:sz w:val="18"/>
        </w:rPr>
      </w:pPr>
      <w:r>
        <w:rPr>
          <w:rFonts w:ascii="Arial"/>
          <w:color w:val="00A94F"/>
          <w:sz w:val="18"/>
        </w:rPr>
        <w:t>Dietary Changes (2.1.1)</w:t>
      </w:r>
    </w:p>
    <w:p>
      <w:pPr>
        <w:pStyle w:val="BodyText"/>
        <w:spacing w:line="271" w:lineRule="auto" w:before="25"/>
        <w:ind w:left="255" w:right="732"/>
      </w:pPr>
      <w:r>
        <w:rPr>
          <w:rFonts w:ascii="Times New Roman"/>
          <w:color w:val="231F20"/>
          <w:w w:val="105"/>
        </w:rPr>
        <w:t>The American diet has transformed </w:t>
      </w:r>
      <w:r>
        <w:rPr>
          <w:color w:val="231F20"/>
          <w:w w:val="105"/>
        </w:rPr>
        <w:t>significantly in recent years with the consumption of a broader variety of foods and</w:t>
      </w:r>
    </w:p>
    <w:p>
      <w:pPr>
        <w:spacing w:after="0" w:line="271" w:lineRule="auto"/>
        <w:sectPr>
          <w:type w:val="continuous"/>
          <w:pgSz w:w="10080" w:h="14400"/>
          <w:pgMar w:top="0" w:bottom="360" w:left="0" w:right="0"/>
          <w:cols w:num="2" w:equalWidth="0">
            <w:col w:w="5225" w:space="40"/>
            <w:col w:w="4815"/>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1240;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1264" filled="true" fillcolor="#0079c1" stroked="false">
            <v:fill type="solid"/>
            <w10:wrap type="none"/>
          </v:rect>
        </w:pict>
      </w:r>
      <w:r>
        <w:rPr/>
        <w:pict>
          <v:line style="position:absolute;mso-position-horizontal-relative:page;mso-position-vertical-relative:paragraph;z-index:1288"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13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1336"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68" w:lineRule="auto" w:before="93"/>
        <w:ind w:left="720" w:right="-4"/>
      </w:pPr>
      <w:r>
        <w:rPr>
          <w:rFonts w:ascii="Times New Roman" w:hAnsi="Times New Roman"/>
          <w:color w:val="231F20"/>
          <w:w w:val="105"/>
        </w:rPr>
        <w:t>increasing amounts of fruit, vegetables, and </w:t>
      </w:r>
      <w:r>
        <w:rPr>
          <w:color w:val="231F20"/>
          <w:w w:val="105"/>
        </w:rPr>
        <w:t>seafood.</w:t>
      </w:r>
      <w:r>
        <w:rPr>
          <w:color w:val="231F20"/>
          <w:spacing w:val="-16"/>
          <w:w w:val="105"/>
        </w:rPr>
        <w:t> </w:t>
      </w:r>
      <w:r>
        <w:rPr>
          <w:color w:val="231F20"/>
          <w:w w:val="105"/>
        </w:rPr>
        <w:t>The</w:t>
      </w:r>
      <w:r>
        <w:rPr>
          <w:color w:val="231F20"/>
          <w:spacing w:val="-16"/>
          <w:w w:val="105"/>
        </w:rPr>
        <w:t> </w:t>
      </w:r>
      <w:r>
        <w:rPr>
          <w:color w:val="231F20"/>
          <w:w w:val="105"/>
        </w:rPr>
        <w:t>food</w:t>
      </w:r>
      <w:r>
        <w:rPr>
          <w:color w:val="231F20"/>
          <w:spacing w:val="-16"/>
          <w:w w:val="105"/>
        </w:rPr>
        <w:t> </w:t>
      </w:r>
      <w:r>
        <w:rPr>
          <w:color w:val="231F20"/>
          <w:w w:val="105"/>
        </w:rPr>
        <w:t>industry</w:t>
      </w:r>
      <w:r>
        <w:rPr>
          <w:color w:val="231F20"/>
          <w:spacing w:val="-16"/>
          <w:w w:val="105"/>
        </w:rPr>
        <w:t> </w:t>
      </w:r>
      <w:r>
        <w:rPr>
          <w:color w:val="231F20"/>
          <w:w w:val="105"/>
        </w:rPr>
        <w:t>has</w:t>
      </w:r>
      <w:r>
        <w:rPr>
          <w:color w:val="231F20"/>
          <w:spacing w:val="-16"/>
          <w:w w:val="105"/>
        </w:rPr>
        <w:t> </w:t>
      </w:r>
      <w:r>
        <w:rPr>
          <w:color w:val="231F20"/>
          <w:w w:val="105"/>
        </w:rPr>
        <w:t>accommodated Americans’ dietary demands </w:t>
      </w:r>
      <w:r>
        <w:rPr>
          <w:color w:val="231F20"/>
          <w:spacing w:val="-3"/>
          <w:w w:val="105"/>
        </w:rPr>
        <w:t>by </w:t>
      </w:r>
      <w:r>
        <w:rPr>
          <w:color w:val="231F20"/>
          <w:w w:val="105"/>
        </w:rPr>
        <w:t>moving from locally grown and raised products to routine importation</w:t>
      </w:r>
      <w:r>
        <w:rPr>
          <w:color w:val="231F20"/>
          <w:spacing w:val="-25"/>
          <w:w w:val="105"/>
        </w:rPr>
        <w:t> </w:t>
      </w:r>
      <w:r>
        <w:rPr>
          <w:color w:val="231F20"/>
          <w:w w:val="105"/>
        </w:rPr>
        <w:t>of</w:t>
      </w:r>
      <w:r>
        <w:rPr>
          <w:color w:val="231F20"/>
          <w:spacing w:val="-9"/>
          <w:w w:val="105"/>
        </w:rPr>
        <w:t> </w:t>
      </w:r>
      <w:r>
        <w:rPr>
          <w:color w:val="231F20"/>
          <w:w w:val="105"/>
        </w:rPr>
        <w:t>foods</w:t>
      </w:r>
      <w:r>
        <w:rPr>
          <w:color w:val="231F20"/>
          <w:spacing w:val="-25"/>
          <w:w w:val="105"/>
        </w:rPr>
        <w:t> </w:t>
      </w:r>
      <w:r>
        <w:rPr>
          <w:color w:val="231F20"/>
          <w:w w:val="105"/>
        </w:rPr>
        <w:t>from</w:t>
      </w:r>
      <w:r>
        <w:rPr>
          <w:color w:val="231F20"/>
          <w:spacing w:val="-25"/>
          <w:w w:val="105"/>
        </w:rPr>
        <w:t> </w:t>
      </w:r>
      <w:r>
        <w:rPr>
          <w:color w:val="231F20"/>
          <w:w w:val="105"/>
        </w:rPr>
        <w:t>other</w:t>
      </w:r>
      <w:r>
        <w:rPr>
          <w:color w:val="231F20"/>
          <w:spacing w:val="-25"/>
          <w:w w:val="105"/>
        </w:rPr>
        <w:t> </w:t>
      </w:r>
      <w:r>
        <w:rPr>
          <w:color w:val="231F20"/>
          <w:w w:val="105"/>
        </w:rPr>
        <w:t>countries.</w:t>
      </w:r>
    </w:p>
    <w:p>
      <w:pPr>
        <w:pStyle w:val="BodyText"/>
        <w:spacing w:line="266" w:lineRule="auto"/>
        <w:ind w:left="720" w:right="-4"/>
      </w:pPr>
      <w:r>
        <w:rPr>
          <w:color w:val="231F20"/>
        </w:rPr>
        <w:t>The safety of imported food products depends largely on the public health and food-safety systems of other countries and contributes to trends in foodborne diseases and  outbreaks.</w:t>
      </w:r>
    </w:p>
    <w:p>
      <w:pPr>
        <w:pStyle w:val="BodyText"/>
        <w:spacing w:line="264" w:lineRule="auto" w:before="183"/>
        <w:ind w:left="720" w:right="291"/>
      </w:pPr>
      <w:r>
        <w:rPr>
          <w:color w:val="231F20"/>
          <w:w w:val="105"/>
        </w:rPr>
        <w:t>Culinary practices that use undercooked</w:t>
      </w:r>
      <w:r>
        <w:rPr>
          <w:color w:val="231F20"/>
          <w:spacing w:val="-29"/>
          <w:w w:val="105"/>
        </w:rPr>
        <w:t> </w:t>
      </w:r>
      <w:r>
        <w:rPr>
          <w:color w:val="231F20"/>
          <w:w w:val="105"/>
        </w:rPr>
        <w:t>or raw</w:t>
      </w:r>
      <w:r>
        <w:rPr>
          <w:color w:val="231F20"/>
          <w:spacing w:val="-10"/>
          <w:w w:val="105"/>
        </w:rPr>
        <w:t> </w:t>
      </w:r>
      <w:r>
        <w:rPr>
          <w:color w:val="231F20"/>
          <w:w w:val="105"/>
        </w:rPr>
        <w:t>foods</w:t>
      </w:r>
      <w:r>
        <w:rPr>
          <w:color w:val="231F20"/>
          <w:spacing w:val="-10"/>
          <w:w w:val="105"/>
        </w:rPr>
        <w:t> </w:t>
      </w:r>
      <w:r>
        <w:rPr>
          <w:color w:val="231F20"/>
          <w:spacing w:val="-3"/>
          <w:w w:val="105"/>
        </w:rPr>
        <w:t>have</w:t>
      </w:r>
      <w:r>
        <w:rPr>
          <w:color w:val="231F20"/>
          <w:spacing w:val="-10"/>
          <w:w w:val="105"/>
        </w:rPr>
        <w:t> </w:t>
      </w:r>
      <w:r>
        <w:rPr>
          <w:color w:val="231F20"/>
          <w:w w:val="105"/>
        </w:rPr>
        <w:t>become</w:t>
      </w:r>
      <w:r>
        <w:rPr>
          <w:color w:val="231F20"/>
          <w:spacing w:val="-10"/>
          <w:w w:val="105"/>
        </w:rPr>
        <w:t> </w:t>
      </w:r>
      <w:r>
        <w:rPr>
          <w:color w:val="231F20"/>
          <w:w w:val="105"/>
        </w:rPr>
        <w:t>popular</w:t>
      </w:r>
      <w:r>
        <w:rPr>
          <w:color w:val="231F20"/>
          <w:spacing w:val="-10"/>
          <w:w w:val="105"/>
        </w:rPr>
        <w:t> </w:t>
      </w:r>
      <w:r>
        <w:rPr>
          <w:color w:val="231F20"/>
          <w:w w:val="105"/>
        </w:rPr>
        <w:t>and</w:t>
      </w:r>
      <w:r>
        <w:rPr>
          <w:color w:val="231F20"/>
          <w:spacing w:val="-10"/>
          <w:w w:val="105"/>
        </w:rPr>
        <w:t> </w:t>
      </w:r>
      <w:r>
        <w:rPr>
          <w:color w:val="231F20"/>
          <w:w w:val="105"/>
        </w:rPr>
        <w:t>might </w:t>
      </w:r>
      <w:r>
        <w:rPr>
          <w:rFonts w:ascii="Times New Roman"/>
          <w:color w:val="231F20"/>
          <w:w w:val="105"/>
        </w:rPr>
        <w:t>also</w:t>
      </w:r>
      <w:r>
        <w:rPr>
          <w:rFonts w:ascii="Times New Roman"/>
          <w:color w:val="231F20"/>
          <w:spacing w:val="-28"/>
          <w:w w:val="105"/>
        </w:rPr>
        <w:t> </w:t>
      </w:r>
      <w:r>
        <w:rPr>
          <w:rFonts w:ascii="Times New Roman"/>
          <w:color w:val="231F20"/>
          <w:w w:val="105"/>
        </w:rPr>
        <w:t>contribute</w:t>
      </w:r>
      <w:r>
        <w:rPr>
          <w:rFonts w:ascii="Times New Roman"/>
          <w:color w:val="231F20"/>
          <w:spacing w:val="-28"/>
          <w:w w:val="105"/>
        </w:rPr>
        <w:t> </w:t>
      </w:r>
      <w:r>
        <w:rPr>
          <w:rFonts w:ascii="Times New Roman"/>
          <w:color w:val="231F20"/>
          <w:w w:val="105"/>
        </w:rPr>
        <w:t>to</w:t>
      </w:r>
      <w:r>
        <w:rPr>
          <w:rFonts w:ascii="Times New Roman"/>
          <w:color w:val="231F20"/>
          <w:spacing w:val="-28"/>
          <w:w w:val="105"/>
        </w:rPr>
        <w:t> </w:t>
      </w:r>
      <w:r>
        <w:rPr>
          <w:rFonts w:ascii="Times New Roman"/>
          <w:color w:val="231F20"/>
          <w:w w:val="105"/>
        </w:rPr>
        <w:t>increased</w:t>
      </w:r>
      <w:r>
        <w:rPr>
          <w:rFonts w:ascii="Times New Roman"/>
          <w:color w:val="231F20"/>
          <w:spacing w:val="-28"/>
          <w:w w:val="105"/>
        </w:rPr>
        <w:t> </w:t>
      </w:r>
      <w:r>
        <w:rPr>
          <w:rFonts w:ascii="Times New Roman"/>
          <w:color w:val="231F20"/>
          <w:w w:val="105"/>
        </w:rPr>
        <w:t>infections</w:t>
      </w:r>
      <w:r>
        <w:rPr>
          <w:rFonts w:ascii="Times New Roman"/>
          <w:color w:val="231F20"/>
          <w:spacing w:val="-28"/>
          <w:w w:val="105"/>
        </w:rPr>
        <w:t> </w:t>
      </w:r>
      <w:r>
        <w:rPr>
          <w:rFonts w:ascii="Times New Roman"/>
          <w:color w:val="231F20"/>
          <w:w w:val="105"/>
        </w:rPr>
        <w:t>and </w:t>
      </w:r>
      <w:r>
        <w:rPr>
          <w:color w:val="231F20"/>
          <w:w w:val="105"/>
        </w:rPr>
        <w:t>outbreaks caused </w:t>
      </w:r>
      <w:r>
        <w:rPr>
          <w:color w:val="231F20"/>
          <w:spacing w:val="-3"/>
          <w:w w:val="105"/>
        </w:rPr>
        <w:t>by </w:t>
      </w:r>
      <w:r>
        <w:rPr>
          <w:color w:val="231F20"/>
          <w:w w:val="105"/>
        </w:rPr>
        <w:t>the microorganisms associated</w:t>
      </w:r>
      <w:r>
        <w:rPr>
          <w:color w:val="231F20"/>
          <w:spacing w:val="-29"/>
          <w:w w:val="105"/>
        </w:rPr>
        <w:t> </w:t>
      </w:r>
      <w:r>
        <w:rPr>
          <w:color w:val="231F20"/>
          <w:w w:val="105"/>
        </w:rPr>
        <w:t>with</w:t>
      </w:r>
      <w:r>
        <w:rPr>
          <w:color w:val="231F20"/>
          <w:spacing w:val="-29"/>
          <w:w w:val="105"/>
        </w:rPr>
        <w:t> </w:t>
      </w:r>
      <w:r>
        <w:rPr>
          <w:color w:val="231F20"/>
          <w:w w:val="105"/>
        </w:rPr>
        <w:t>these</w:t>
      </w:r>
      <w:r>
        <w:rPr>
          <w:color w:val="231F20"/>
          <w:spacing w:val="-29"/>
          <w:w w:val="105"/>
        </w:rPr>
        <w:t> </w:t>
      </w:r>
      <w:r>
        <w:rPr>
          <w:color w:val="231F20"/>
          <w:w w:val="105"/>
        </w:rPr>
        <w:t>foods.</w:t>
      </w:r>
    </w:p>
    <w:p>
      <w:pPr>
        <w:spacing w:line="290" w:lineRule="auto" w:before="186"/>
        <w:ind w:left="720" w:right="-4" w:firstLine="0"/>
        <w:jc w:val="left"/>
        <w:rPr>
          <w:rFonts w:ascii="Arial"/>
          <w:sz w:val="18"/>
        </w:rPr>
      </w:pPr>
      <w:r>
        <w:rPr>
          <w:rFonts w:ascii="Arial"/>
          <w:color w:val="00A94F"/>
          <w:sz w:val="18"/>
        </w:rPr>
        <w:t>Changes in Food Production and Preparation (2.1.2)</w:t>
      </w:r>
    </w:p>
    <w:p>
      <w:pPr>
        <w:pStyle w:val="BodyText"/>
        <w:spacing w:line="264" w:lineRule="auto"/>
        <w:ind w:left="720" w:right="8"/>
      </w:pPr>
      <w:r>
        <w:rPr>
          <w:color w:val="231F20"/>
          <w:w w:val="105"/>
        </w:rPr>
        <w:t>Changes in food-production technology and improved growing, harvesting, packaging, and </w:t>
      </w:r>
      <w:r>
        <w:rPr>
          <w:rFonts w:ascii="Times New Roman"/>
          <w:color w:val="231F20"/>
          <w:w w:val="105"/>
        </w:rPr>
        <w:t>transportation practices contribute to trends </w:t>
      </w:r>
      <w:r>
        <w:rPr>
          <w:color w:val="231F20"/>
          <w:w w:val="105"/>
        </w:rPr>
        <w:t>in foodborne disease. The industrialization</w:t>
      </w:r>
    </w:p>
    <w:p>
      <w:pPr>
        <w:pStyle w:val="BodyText"/>
        <w:spacing w:line="266" w:lineRule="auto"/>
        <w:ind w:left="720" w:right="37"/>
      </w:pPr>
      <w:r>
        <w:rPr>
          <w:rFonts w:ascii="Times New Roman"/>
          <w:color w:val="231F20"/>
        </w:rPr>
        <w:t>of food production has led to concentrated </w:t>
      </w:r>
      <w:r>
        <w:rPr>
          <w:color w:val="231F20"/>
        </w:rPr>
        <w:t>animal feeding operations and increasingly </w:t>
      </w:r>
      <w:r>
        <w:rPr>
          <w:rFonts w:ascii="Times New Roman"/>
          <w:color w:val="231F20"/>
        </w:rPr>
        <w:t>intense agricultural practices that can  facilitate spread of disease and contamination </w:t>
      </w:r>
      <w:r>
        <w:rPr>
          <w:color w:val="231F20"/>
        </w:rPr>
        <w:t>of food products. Changes in agricultural </w:t>
      </w:r>
      <w:r>
        <w:rPr>
          <w:rFonts w:ascii="Times New Roman"/>
          <w:color w:val="231F20"/>
        </w:rPr>
        <w:t>processing</w:t>
      </w:r>
      <w:r>
        <w:rPr>
          <w:rFonts w:ascii="Times New Roman"/>
          <w:color w:val="231F20"/>
          <w:spacing w:val="-9"/>
        </w:rPr>
        <w:t> </w:t>
      </w:r>
      <w:r>
        <w:rPr>
          <w:rFonts w:ascii="Times New Roman"/>
          <w:color w:val="231F20"/>
        </w:rPr>
        <w:t>or</w:t>
      </w:r>
      <w:r>
        <w:rPr>
          <w:rFonts w:ascii="Times New Roman"/>
          <w:color w:val="231F20"/>
          <w:spacing w:val="-8"/>
        </w:rPr>
        <w:t> </w:t>
      </w:r>
      <w:r>
        <w:rPr>
          <w:rFonts w:ascii="Times New Roman"/>
          <w:color w:val="231F20"/>
        </w:rPr>
        <w:t>packaging</w:t>
      </w:r>
      <w:r>
        <w:rPr>
          <w:rFonts w:ascii="Times New Roman"/>
          <w:color w:val="231F20"/>
          <w:spacing w:val="-8"/>
        </w:rPr>
        <w:t> </w:t>
      </w:r>
      <w:r>
        <w:rPr>
          <w:rFonts w:ascii="Times New Roman"/>
          <w:color w:val="231F20"/>
        </w:rPr>
        <w:t>can</w:t>
      </w:r>
      <w:r>
        <w:rPr>
          <w:rFonts w:ascii="Times New Roman"/>
          <w:color w:val="231F20"/>
          <w:spacing w:val="-8"/>
        </w:rPr>
        <w:t> </w:t>
      </w:r>
      <w:r>
        <w:rPr>
          <w:rFonts w:ascii="Times New Roman"/>
          <w:color w:val="231F20"/>
        </w:rPr>
        <w:t>facilitate</w:t>
      </w:r>
      <w:r>
        <w:rPr>
          <w:rFonts w:ascii="Times New Roman"/>
          <w:color w:val="231F20"/>
          <w:spacing w:val="-8"/>
        </w:rPr>
        <w:t> </w:t>
      </w:r>
      <w:r>
        <w:rPr>
          <w:rFonts w:ascii="Times New Roman"/>
          <w:color w:val="231F20"/>
        </w:rPr>
        <w:t>bacterial </w:t>
      </w:r>
      <w:r>
        <w:rPr>
          <w:color w:val="231F20"/>
        </w:rPr>
        <w:t>contamination or growth, and routine use of antibiotics to promote the growth of livestock and poultry most likely has contributed to increased human infections caused </w:t>
      </w:r>
      <w:r>
        <w:rPr>
          <w:color w:val="231F20"/>
          <w:spacing w:val="-3"/>
        </w:rPr>
        <w:t>by  </w:t>
      </w:r>
      <w:r>
        <w:rPr>
          <w:color w:val="231F20"/>
          <w:spacing w:val="32"/>
        </w:rPr>
        <w:t> </w:t>
      </w:r>
      <w:r>
        <w:rPr>
          <w:color w:val="231F20"/>
        </w:rPr>
        <w:t>drug-</w:t>
      </w:r>
    </w:p>
    <w:p>
      <w:pPr>
        <w:pStyle w:val="BodyText"/>
        <w:spacing w:line="256" w:lineRule="auto" w:before="9"/>
        <w:ind w:left="720" w:right="-5"/>
        <w:rPr>
          <w:rFonts w:ascii="Times New Roman"/>
        </w:rPr>
      </w:pPr>
      <w:r>
        <w:rPr>
          <w:color w:val="231F20"/>
          <w:w w:val="105"/>
        </w:rPr>
        <w:t>resistant bacteria. The broadening distribution </w:t>
      </w:r>
      <w:r>
        <w:rPr>
          <w:rFonts w:ascii="Times New Roman"/>
          <w:color w:val="231F20"/>
          <w:w w:val="105"/>
        </w:rPr>
        <w:t>of foods has contributed to outbreaks of </w:t>
      </w:r>
      <w:r>
        <w:rPr>
          <w:rFonts w:ascii="Times New Roman"/>
          <w:color w:val="231F20"/>
        </w:rPr>
        <w:t>foodborne disease involving larger numbers</w:t>
      </w:r>
    </w:p>
    <w:p>
      <w:pPr>
        <w:pStyle w:val="BodyText"/>
        <w:spacing w:line="276" w:lineRule="auto" w:before="4"/>
        <w:ind w:left="720" w:right="-4"/>
      </w:pPr>
      <w:r>
        <w:rPr>
          <w:rFonts w:ascii="Times New Roman"/>
          <w:color w:val="231F20"/>
        </w:rPr>
        <w:t>of people, multiple states, and even multiple </w:t>
      </w:r>
      <w:r>
        <w:rPr>
          <w:color w:val="231F20"/>
        </w:rPr>
        <w:t>countries.</w:t>
      </w:r>
    </w:p>
    <w:p>
      <w:pPr>
        <w:pStyle w:val="BodyText"/>
        <w:spacing w:line="256" w:lineRule="auto" w:before="171"/>
        <w:ind w:left="720" w:right="421"/>
        <w:rPr>
          <w:rFonts w:ascii="Times New Roman"/>
        </w:rPr>
      </w:pPr>
      <w:r>
        <w:rPr>
          <w:color w:val="231F20"/>
        </w:rPr>
        <w:t>Recent interest in eating locally produced </w:t>
      </w:r>
      <w:r>
        <w:rPr>
          <w:rFonts w:ascii="Times New Roman"/>
          <w:color w:val="231F20"/>
        </w:rPr>
        <w:t>foods has resulted in increased numbers of small food producers and direct-to-</w:t>
      </w:r>
    </w:p>
    <w:p>
      <w:pPr>
        <w:pStyle w:val="BodyText"/>
        <w:spacing w:line="264" w:lineRule="auto" w:before="19"/>
        <w:ind w:left="720" w:right="-9"/>
      </w:pPr>
      <w:r>
        <w:rPr>
          <w:color w:val="231F20"/>
          <w:w w:val="105"/>
        </w:rPr>
        <w:t>consumer</w:t>
      </w:r>
      <w:r>
        <w:rPr>
          <w:color w:val="231F20"/>
          <w:spacing w:val="-17"/>
          <w:w w:val="105"/>
        </w:rPr>
        <w:t> </w:t>
      </w:r>
      <w:r>
        <w:rPr>
          <w:color w:val="231F20"/>
          <w:w w:val="105"/>
        </w:rPr>
        <w:t>marketing.</w:t>
      </w:r>
      <w:r>
        <w:rPr>
          <w:color w:val="231F20"/>
          <w:spacing w:val="-17"/>
          <w:w w:val="105"/>
        </w:rPr>
        <w:t> </w:t>
      </w:r>
      <w:r>
        <w:rPr>
          <w:color w:val="231F20"/>
          <w:w w:val="105"/>
        </w:rPr>
        <w:t>The</w:t>
      </w:r>
      <w:r>
        <w:rPr>
          <w:color w:val="231F20"/>
          <w:spacing w:val="-17"/>
          <w:w w:val="105"/>
        </w:rPr>
        <w:t> </w:t>
      </w:r>
      <w:r>
        <w:rPr>
          <w:color w:val="231F20"/>
          <w:w w:val="105"/>
        </w:rPr>
        <w:t>effect</w:t>
      </w:r>
      <w:r>
        <w:rPr>
          <w:color w:val="231F20"/>
          <w:spacing w:val="-17"/>
          <w:w w:val="105"/>
        </w:rPr>
        <w:t> </w:t>
      </w:r>
      <w:r>
        <w:rPr>
          <w:color w:val="231F20"/>
          <w:w w:val="105"/>
        </w:rPr>
        <w:t>on</w:t>
      </w:r>
      <w:r>
        <w:rPr>
          <w:color w:val="231F20"/>
          <w:spacing w:val="-17"/>
          <w:w w:val="105"/>
        </w:rPr>
        <w:t> </w:t>
      </w:r>
      <w:r>
        <w:rPr>
          <w:color w:val="231F20"/>
          <w:w w:val="105"/>
        </w:rPr>
        <w:t>foodborne disease trends is yet to be determined, but implementation of improved food-safety </w:t>
      </w:r>
      <w:r>
        <w:rPr>
          <w:rFonts w:ascii="Times New Roman"/>
          <w:color w:val="231F20"/>
          <w:w w:val="105"/>
        </w:rPr>
        <w:t>measures</w:t>
      </w:r>
      <w:r>
        <w:rPr>
          <w:rFonts w:ascii="Times New Roman"/>
          <w:color w:val="231F20"/>
          <w:spacing w:val="-32"/>
          <w:w w:val="105"/>
        </w:rPr>
        <w:t> </w:t>
      </w:r>
      <w:r>
        <w:rPr>
          <w:rFonts w:ascii="Times New Roman"/>
          <w:color w:val="231F20"/>
          <w:w w:val="105"/>
        </w:rPr>
        <w:t>could</w:t>
      </w:r>
      <w:r>
        <w:rPr>
          <w:rFonts w:ascii="Times New Roman"/>
          <w:color w:val="231F20"/>
          <w:spacing w:val="-32"/>
          <w:w w:val="105"/>
        </w:rPr>
        <w:t> </w:t>
      </w:r>
      <w:r>
        <w:rPr>
          <w:rFonts w:ascii="Times New Roman"/>
          <w:color w:val="231F20"/>
          <w:w w:val="105"/>
        </w:rPr>
        <w:t>be</w:t>
      </w:r>
      <w:r>
        <w:rPr>
          <w:rFonts w:ascii="Times New Roman"/>
          <w:color w:val="231F20"/>
          <w:spacing w:val="-32"/>
          <w:w w:val="105"/>
        </w:rPr>
        <w:t> </w:t>
      </w:r>
      <w:r>
        <w:rPr>
          <w:rFonts w:ascii="Times New Roman"/>
          <w:color w:val="231F20"/>
          <w:w w:val="105"/>
        </w:rPr>
        <w:t>more</w:t>
      </w:r>
      <w:r>
        <w:rPr>
          <w:rFonts w:ascii="Times New Roman"/>
          <w:color w:val="231F20"/>
          <w:spacing w:val="-32"/>
          <w:w w:val="105"/>
        </w:rPr>
        <w:t> </w:t>
      </w:r>
      <w:r>
        <w:rPr>
          <w:rFonts w:ascii="Times New Roman"/>
          <w:color w:val="231F20"/>
          <w:w w:val="105"/>
        </w:rPr>
        <w:t>challenging</w:t>
      </w:r>
      <w:r>
        <w:rPr>
          <w:rFonts w:ascii="Times New Roman"/>
          <w:color w:val="231F20"/>
          <w:spacing w:val="-32"/>
          <w:w w:val="105"/>
        </w:rPr>
        <w:t> </w:t>
      </w:r>
      <w:r>
        <w:rPr>
          <w:rFonts w:ascii="Times New Roman"/>
          <w:color w:val="231F20"/>
          <w:w w:val="105"/>
        </w:rPr>
        <w:t>among</w:t>
      </w:r>
      <w:r>
        <w:rPr>
          <w:rFonts w:ascii="Times New Roman"/>
          <w:color w:val="231F20"/>
          <w:spacing w:val="-32"/>
          <w:w w:val="105"/>
        </w:rPr>
        <w:t> </w:t>
      </w:r>
      <w:r>
        <w:rPr>
          <w:rFonts w:ascii="Times New Roman"/>
          <w:color w:val="231F20"/>
          <w:w w:val="105"/>
        </w:rPr>
        <w:t>an </w:t>
      </w:r>
      <w:r>
        <w:rPr>
          <w:color w:val="231F20"/>
          <w:w w:val="105"/>
        </w:rPr>
        <w:t>increased number of more widespread</w:t>
      </w:r>
      <w:r>
        <w:rPr>
          <w:color w:val="231F20"/>
          <w:spacing w:val="-28"/>
          <w:w w:val="105"/>
        </w:rPr>
        <w:t> </w:t>
      </w:r>
      <w:r>
        <w:rPr>
          <w:color w:val="231F20"/>
          <w:w w:val="105"/>
        </w:rPr>
        <w:t>smaller</w:t>
      </w:r>
    </w:p>
    <w:p>
      <w:pPr>
        <w:pStyle w:val="BodyText"/>
        <w:spacing w:line="266" w:lineRule="auto" w:before="108"/>
        <w:ind w:left="338" w:right="1494"/>
      </w:pPr>
      <w:r>
        <w:rPr/>
        <w:br w:type="column"/>
      </w:r>
      <w:r>
        <w:rPr>
          <w:color w:val="231F20"/>
          <w:w w:val="105"/>
        </w:rPr>
        <w:t>food producers, many of which are exempted from food-safety regulations that pertain to other retail food establishments.</w:t>
      </w:r>
    </w:p>
    <w:p>
      <w:pPr>
        <w:pStyle w:val="BodyText"/>
        <w:spacing w:line="266" w:lineRule="auto" w:before="166"/>
        <w:ind w:left="338" w:right="1350"/>
      </w:pPr>
      <w:r>
        <w:rPr>
          <w:rFonts w:ascii="Times New Roman"/>
          <w:color w:val="231F20"/>
          <w:w w:val="105"/>
        </w:rPr>
        <w:t>In addition, an increasing number of </w:t>
      </w:r>
      <w:r>
        <w:rPr>
          <w:color w:val="231F20"/>
          <w:w w:val="105"/>
        </w:rPr>
        <w:t>Americans eat their meals away from home. Analyses of foodborne disease outbreaks and </w:t>
      </w:r>
      <w:r>
        <w:rPr>
          <w:rFonts w:ascii="Times New Roman"/>
          <w:color w:val="231F20"/>
          <w:w w:val="105"/>
        </w:rPr>
        <w:t>special studies suggest that commercial food- </w:t>
      </w:r>
      <w:r>
        <w:rPr>
          <w:color w:val="231F20"/>
          <w:w w:val="105"/>
        </w:rPr>
        <w:t>service establishments, such as restaurants, play </w:t>
      </w:r>
      <w:r>
        <w:rPr>
          <w:rFonts w:ascii="Times New Roman"/>
          <w:color w:val="231F20"/>
          <w:w w:val="105"/>
        </w:rPr>
        <w:t>an important role in foodborne disease in the </w:t>
      </w:r>
      <w:r>
        <w:rPr>
          <w:color w:val="231F20"/>
          <w:w w:val="105"/>
        </w:rPr>
        <w:t>United States.</w:t>
      </w:r>
    </w:p>
    <w:p>
      <w:pPr>
        <w:pStyle w:val="BodyText"/>
        <w:spacing w:line="261" w:lineRule="auto" w:before="165"/>
        <w:ind w:left="338" w:right="1627"/>
        <w:rPr>
          <w:rFonts w:ascii="Arial"/>
        </w:rPr>
      </w:pPr>
      <w:r>
        <w:rPr>
          <w:rFonts w:ascii="Arial"/>
          <w:color w:val="1C3E94"/>
        </w:rPr>
        <w:t>Trends in Food-Safety Problems (Section 2.2)</w:t>
      </w:r>
    </w:p>
    <w:p>
      <w:pPr>
        <w:pStyle w:val="BodyText"/>
        <w:spacing w:before="3"/>
        <w:rPr>
          <w:rFonts w:ascii="Arial"/>
          <w:sz w:val="17"/>
        </w:rPr>
      </w:pPr>
    </w:p>
    <w:p>
      <w:pPr>
        <w:spacing w:before="0"/>
        <w:ind w:left="338" w:right="0" w:firstLine="0"/>
        <w:jc w:val="left"/>
        <w:rPr>
          <w:rFonts w:ascii="Arial"/>
          <w:sz w:val="18"/>
        </w:rPr>
      </w:pPr>
      <w:r>
        <w:rPr>
          <w:rFonts w:ascii="Arial"/>
          <w:color w:val="00A94F"/>
          <w:sz w:val="18"/>
        </w:rPr>
        <w:t>Food-Product Recalls (2.2.1)</w:t>
      </w:r>
    </w:p>
    <w:p>
      <w:pPr>
        <w:pStyle w:val="BodyText"/>
        <w:spacing w:line="266" w:lineRule="auto" w:before="39"/>
        <w:ind w:left="338" w:right="1495"/>
      </w:pPr>
      <w:r>
        <w:rPr>
          <w:color w:val="231F20"/>
          <w:w w:val="105"/>
        </w:rPr>
        <w:t>Food recalls are one indication of food-safety problems. During 2012, the U.S. Food and Drug Administration (FDA) and the U.S. Department of Agriculture (USDA) Food Safety and Inspection Service (FSIS) reported more than 258 recalls of food associated</w:t>
      </w:r>
    </w:p>
    <w:p>
      <w:pPr>
        <w:pStyle w:val="BodyText"/>
        <w:spacing w:line="261" w:lineRule="auto"/>
        <w:ind w:left="338" w:right="1423"/>
      </w:pPr>
      <w:r>
        <w:rPr>
          <w:color w:val="231F20"/>
          <w:w w:val="105"/>
        </w:rPr>
        <w:t>with microbial contamination. Recalled products were distributed </w:t>
      </w:r>
      <w:r>
        <w:rPr>
          <w:color w:val="231F20"/>
          <w:spacing w:val="-4"/>
          <w:w w:val="105"/>
        </w:rPr>
        <w:t>locally, </w:t>
      </w:r>
      <w:r>
        <w:rPr>
          <w:color w:val="231F20"/>
          <w:spacing w:val="-3"/>
          <w:w w:val="105"/>
        </w:rPr>
        <w:t>nationally, </w:t>
      </w:r>
      <w:r>
        <w:rPr>
          <w:color w:val="231F20"/>
          <w:w w:val="105"/>
        </w:rPr>
        <w:t>or internationally and were sold in a variety of retail settings. The most commonly identified contaminating pathogens were </w:t>
      </w:r>
      <w:r>
        <w:rPr>
          <w:i/>
          <w:color w:val="231F20"/>
          <w:w w:val="105"/>
        </w:rPr>
        <w:t>Listeria </w:t>
      </w:r>
      <w:r>
        <w:rPr>
          <w:i/>
          <w:color w:val="231F20"/>
          <w:w w:val="105"/>
        </w:rPr>
        <w:t>monocytogenes, </w:t>
      </w:r>
      <w:r>
        <w:rPr>
          <w:color w:val="231F20"/>
          <w:w w:val="105"/>
        </w:rPr>
        <w:t>Shiga toxin–producing </w:t>
      </w:r>
      <w:r>
        <w:rPr>
          <w:i/>
          <w:color w:val="231F20"/>
          <w:w w:val="105"/>
        </w:rPr>
        <w:t>Escherichia </w:t>
      </w:r>
      <w:r>
        <w:rPr>
          <w:i/>
          <w:color w:val="231F20"/>
          <w:w w:val="105"/>
        </w:rPr>
        <w:t>coli, </w:t>
      </w:r>
      <w:r>
        <w:rPr>
          <w:rFonts w:ascii="Times New Roman" w:hAnsi="Times New Roman"/>
          <w:color w:val="231F20"/>
          <w:w w:val="105"/>
        </w:rPr>
        <w:t>and </w:t>
      </w:r>
      <w:r>
        <w:rPr>
          <w:i/>
          <w:color w:val="231F20"/>
          <w:w w:val="105"/>
        </w:rPr>
        <w:t>Salmonella </w:t>
      </w:r>
      <w:r>
        <w:rPr>
          <w:color w:val="231F20"/>
          <w:w w:val="105"/>
        </w:rPr>
        <w:t>species; the latter two were associated</w:t>
      </w:r>
      <w:r>
        <w:rPr>
          <w:color w:val="231F20"/>
          <w:spacing w:val="-18"/>
          <w:w w:val="105"/>
        </w:rPr>
        <w:t> </w:t>
      </w:r>
      <w:r>
        <w:rPr>
          <w:color w:val="231F20"/>
          <w:w w:val="105"/>
        </w:rPr>
        <w:t>most</w:t>
      </w:r>
      <w:r>
        <w:rPr>
          <w:color w:val="231F20"/>
          <w:spacing w:val="-18"/>
          <w:w w:val="105"/>
        </w:rPr>
        <w:t> </w:t>
      </w:r>
      <w:r>
        <w:rPr>
          <w:color w:val="231F20"/>
          <w:w w:val="105"/>
        </w:rPr>
        <w:t>frequently</w:t>
      </w:r>
      <w:r>
        <w:rPr>
          <w:color w:val="231F20"/>
          <w:spacing w:val="-18"/>
          <w:w w:val="105"/>
        </w:rPr>
        <w:t> </w:t>
      </w:r>
      <w:r>
        <w:rPr>
          <w:color w:val="231F20"/>
          <w:w w:val="105"/>
        </w:rPr>
        <w:t>with</w:t>
      </w:r>
      <w:r>
        <w:rPr>
          <w:color w:val="231F20"/>
          <w:spacing w:val="-18"/>
          <w:w w:val="105"/>
        </w:rPr>
        <w:t> </w:t>
      </w:r>
      <w:r>
        <w:rPr>
          <w:color w:val="231F20"/>
          <w:w w:val="105"/>
        </w:rPr>
        <w:t>recalls</w:t>
      </w:r>
      <w:r>
        <w:rPr>
          <w:color w:val="231F20"/>
          <w:spacing w:val="-18"/>
          <w:w w:val="105"/>
        </w:rPr>
        <w:t> </w:t>
      </w:r>
      <w:r>
        <w:rPr>
          <w:color w:val="231F20"/>
          <w:w w:val="105"/>
        </w:rPr>
        <w:t>resulting </w:t>
      </w:r>
      <w:r>
        <w:rPr>
          <w:rFonts w:ascii="Times New Roman" w:hAnsi="Times New Roman"/>
          <w:color w:val="231F20"/>
        </w:rPr>
        <w:t>from the investigation of human</w:t>
      </w:r>
      <w:r>
        <w:rPr>
          <w:rFonts w:ascii="Times New Roman" w:hAnsi="Times New Roman"/>
          <w:color w:val="231F20"/>
          <w:spacing w:val="-27"/>
        </w:rPr>
        <w:t> </w:t>
      </w:r>
      <w:r>
        <w:rPr>
          <w:rFonts w:ascii="Times New Roman" w:hAnsi="Times New Roman"/>
          <w:color w:val="231F20"/>
        </w:rPr>
        <w:t>illness</w:t>
      </w:r>
      <w:r>
        <w:rPr>
          <w:color w:val="231F20"/>
        </w:rPr>
        <w:t>.</w:t>
      </w:r>
    </w:p>
    <w:p>
      <w:pPr>
        <w:pStyle w:val="BodyText"/>
        <w:spacing w:line="266" w:lineRule="auto" w:before="188"/>
        <w:ind w:left="338" w:right="1550"/>
      </w:pPr>
      <w:r>
        <w:rPr>
          <w:rFonts w:ascii="Arial"/>
          <w:color w:val="00A94F"/>
          <w:w w:val="105"/>
          <w:sz w:val="18"/>
        </w:rPr>
        <w:t>Foodborne Disease and Outbreaks (2.2.2) </w:t>
      </w:r>
      <w:r>
        <w:rPr>
          <w:rFonts w:ascii="Times New Roman"/>
          <w:color w:val="231F20"/>
          <w:w w:val="105"/>
        </w:rPr>
        <w:t>The occurrence of foodborne disease and </w:t>
      </w:r>
      <w:r>
        <w:rPr>
          <w:color w:val="231F20"/>
          <w:w w:val="105"/>
        </w:rPr>
        <w:t>outbreaks is another indicator of food-safety problems</w:t>
      </w:r>
      <w:r>
        <w:rPr>
          <w:color w:val="231F20"/>
          <w:spacing w:val="-23"/>
          <w:w w:val="105"/>
        </w:rPr>
        <w:t> </w:t>
      </w:r>
      <w:r>
        <w:rPr>
          <w:color w:val="231F20"/>
          <w:w w:val="105"/>
        </w:rPr>
        <w:t>but</w:t>
      </w:r>
      <w:r>
        <w:rPr>
          <w:color w:val="231F20"/>
          <w:spacing w:val="-23"/>
          <w:w w:val="105"/>
        </w:rPr>
        <w:t> </w:t>
      </w:r>
      <w:r>
        <w:rPr>
          <w:color w:val="231F20"/>
          <w:w w:val="105"/>
        </w:rPr>
        <w:t>also</w:t>
      </w:r>
      <w:r>
        <w:rPr>
          <w:color w:val="231F20"/>
          <w:spacing w:val="-23"/>
          <w:w w:val="105"/>
        </w:rPr>
        <w:t> </w:t>
      </w:r>
      <w:r>
        <w:rPr>
          <w:color w:val="231F20"/>
          <w:w w:val="105"/>
        </w:rPr>
        <w:t>reflects</w:t>
      </w:r>
      <w:r>
        <w:rPr>
          <w:color w:val="231F20"/>
          <w:spacing w:val="-23"/>
          <w:w w:val="105"/>
        </w:rPr>
        <w:t> </w:t>
      </w:r>
      <w:r>
        <w:rPr>
          <w:color w:val="231F20"/>
          <w:w w:val="105"/>
        </w:rPr>
        <w:t>surveillance</w:t>
      </w:r>
      <w:r>
        <w:rPr>
          <w:color w:val="231F20"/>
          <w:spacing w:val="-23"/>
          <w:w w:val="105"/>
        </w:rPr>
        <w:t> </w:t>
      </w:r>
      <w:r>
        <w:rPr>
          <w:color w:val="231F20"/>
          <w:w w:val="105"/>
        </w:rPr>
        <w:t>efforts. In the United States, recent years </w:t>
      </w:r>
      <w:r>
        <w:rPr>
          <w:color w:val="231F20"/>
          <w:spacing w:val="-3"/>
          <w:w w:val="105"/>
        </w:rPr>
        <w:t>have </w:t>
      </w:r>
      <w:r>
        <w:rPr>
          <w:color w:val="231F20"/>
          <w:w w:val="105"/>
        </w:rPr>
        <w:t>seen an increase in outbreaks associated with </w:t>
      </w:r>
      <w:r>
        <w:rPr>
          <w:rFonts w:ascii="Times New Roman"/>
          <w:color w:val="231F20"/>
          <w:w w:val="105"/>
        </w:rPr>
        <w:t>commercial products contaminated before </w:t>
      </w:r>
      <w:r>
        <w:rPr>
          <w:color w:val="231F20"/>
          <w:w w:val="105"/>
        </w:rPr>
        <w:t>the point of sale rather than associated with</w:t>
      </w:r>
      <w:r>
        <w:rPr>
          <w:color w:val="231F20"/>
          <w:spacing w:val="-33"/>
          <w:w w:val="105"/>
        </w:rPr>
        <w:t> </w:t>
      </w:r>
      <w:r>
        <w:rPr>
          <w:color w:val="231F20"/>
          <w:w w:val="105"/>
        </w:rPr>
        <w:t>a localized</w:t>
      </w:r>
      <w:r>
        <w:rPr>
          <w:color w:val="231F20"/>
          <w:spacing w:val="-17"/>
          <w:w w:val="105"/>
        </w:rPr>
        <w:t> </w:t>
      </w:r>
      <w:r>
        <w:rPr>
          <w:color w:val="231F20"/>
          <w:w w:val="105"/>
        </w:rPr>
        <w:t>endpoint</w:t>
      </w:r>
      <w:r>
        <w:rPr>
          <w:color w:val="231F20"/>
          <w:spacing w:val="-17"/>
          <w:w w:val="105"/>
        </w:rPr>
        <w:t> </w:t>
      </w:r>
      <w:r>
        <w:rPr>
          <w:color w:val="231F20"/>
          <w:w w:val="105"/>
        </w:rPr>
        <w:t>contamination</w:t>
      </w:r>
      <w:r>
        <w:rPr>
          <w:color w:val="231F20"/>
          <w:spacing w:val="-17"/>
          <w:w w:val="105"/>
        </w:rPr>
        <w:t> </w:t>
      </w:r>
      <w:r>
        <w:rPr>
          <w:color w:val="231F20"/>
          <w:w w:val="105"/>
        </w:rPr>
        <w:t>event.</w:t>
      </w:r>
    </w:p>
    <w:p>
      <w:pPr>
        <w:pStyle w:val="BodyText"/>
        <w:spacing w:line="268" w:lineRule="auto" w:before="166"/>
        <w:ind w:left="338" w:right="1494"/>
      </w:pPr>
      <w:r>
        <w:rPr>
          <w:rFonts w:ascii="Times New Roman"/>
          <w:color w:val="231F20"/>
        </w:rPr>
        <w:t>The traditional foodborne disease outbreak </w:t>
      </w:r>
      <w:r>
        <w:rPr>
          <w:color w:val="231F20"/>
        </w:rPr>
        <w:t>scenario involves a highly local outbreak, resulting from a localized endpoint contamination event that occurred shortly</w:t>
      </w:r>
    </w:p>
    <w:p>
      <w:pPr>
        <w:spacing w:after="0" w:line="268" w:lineRule="auto"/>
        <w:sectPr>
          <w:type w:val="continuous"/>
          <w:pgSz w:w="10080" w:h="14400"/>
          <w:pgMar w:top="0" w:bottom="360" w:left="0" w:right="0"/>
          <w:cols w:num="2" w:equalWidth="0">
            <w:col w:w="4482" w:space="40"/>
            <w:col w:w="5558"/>
          </w:cols>
        </w:sectPr>
      </w:pPr>
    </w:p>
    <w:p>
      <w:pPr>
        <w:pStyle w:val="BodyText"/>
        <w:spacing w:before="8"/>
        <w:rPr>
          <w:sz w:val="10"/>
        </w:rPr>
      </w:pPr>
    </w:p>
    <w:p>
      <w:pPr>
        <w:pStyle w:val="Heading1"/>
        <w:spacing w:line="249" w:lineRule="auto"/>
        <w:ind w:right="1582"/>
      </w:pPr>
      <w:r>
        <w:rPr/>
        <w:pict>
          <v:line style="position:absolute;mso-position-horizontal-relative:page;mso-position-vertical-relative:paragraph;z-index:1360;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1384" filled="true" fillcolor="#0079c1" stroked="false">
            <v:fill type="solid"/>
            <w10:wrap type="none"/>
          </v:rect>
        </w:pict>
      </w:r>
      <w:r>
        <w:rPr/>
        <w:pict>
          <v:line style="position:absolute;mso-position-horizontal-relative:page;mso-position-vertical-relative:paragraph;z-index:1408"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1432"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71" w:lineRule="auto" w:before="93"/>
        <w:ind w:left="1440" w:right="388"/>
      </w:pPr>
      <w:r>
        <w:rPr>
          <w:rFonts w:ascii="Times New Roman"/>
          <w:color w:val="231F20"/>
        </w:rPr>
        <w:t>before consumption of the implicated </w:t>
      </w:r>
      <w:r>
        <w:rPr>
          <w:color w:val="231F20"/>
        </w:rPr>
        <w:t>food. Localized event outbreaks are usually investigated and addressed by local public</w:t>
      </w:r>
    </w:p>
    <w:p>
      <w:pPr>
        <w:pStyle w:val="BodyText"/>
        <w:spacing w:line="266" w:lineRule="auto"/>
        <w:ind w:left="1440"/>
      </w:pPr>
      <w:r>
        <w:rPr>
          <w:color w:val="231F20"/>
        </w:rPr>
        <w:t>health agencies and constitute more than 95%  of outbreaks reported to the Centers for Disease Control and Prevention (CDC)</w:t>
      </w:r>
      <w:r>
        <w:rPr>
          <w:color w:val="231F20"/>
          <w:spacing w:val="29"/>
        </w:rPr>
        <w:t> </w:t>
      </w:r>
      <w:r>
        <w:rPr>
          <w:color w:val="231F20"/>
        </w:rPr>
        <w:t>(2.2.2.1).</w:t>
      </w:r>
    </w:p>
    <w:p>
      <w:pPr>
        <w:pStyle w:val="BodyText"/>
        <w:spacing w:line="266" w:lineRule="auto" w:before="171"/>
        <w:ind w:left="1440" w:right="13"/>
      </w:pPr>
      <w:r>
        <w:rPr>
          <w:rFonts w:ascii="Times New Roman"/>
          <w:color w:val="231F20"/>
        </w:rPr>
        <w:t>Another kind of outbreak involves commercial food products that are contaminated upstream </w:t>
      </w:r>
      <w:r>
        <w:rPr>
          <w:color w:val="231F20"/>
        </w:rPr>
        <w:t>of the point of sale. Cases are typically exposed in multiple locations that reflect the distribution of the product. Commercial food-product outbreaks involve a variety of  investigators </w:t>
      </w:r>
      <w:r>
        <w:rPr>
          <w:rFonts w:ascii="Times New Roman"/>
          <w:color w:val="231F20"/>
        </w:rPr>
        <w:t>from local, state, and federal agencies and can </w:t>
      </w:r>
      <w:r>
        <w:rPr>
          <w:color w:val="231F20"/>
        </w:rPr>
        <w:t>highlight food-safety problems in national (or multinational) corporations with industrywide implications with regard to control measures. Although probably undercounted, commercial food-product outbreaks account for only a  small proportion (2%) of all foodborne disease outbreaks reported to CDC. Such outbreaks, </w:t>
      </w:r>
      <w:r>
        <w:rPr>
          <w:color w:val="231F20"/>
          <w:spacing w:val="-5"/>
        </w:rPr>
        <w:t>however, </w:t>
      </w:r>
      <w:r>
        <w:rPr>
          <w:color w:val="231F20"/>
        </w:rPr>
        <w:t>constitute a disproportionate number  of reported outbreak-related illnesses (7%), hospitalizations (31%), and deaths</w:t>
      </w:r>
      <w:r>
        <w:rPr>
          <w:color w:val="231F20"/>
          <w:spacing w:val="42"/>
        </w:rPr>
        <w:t> </w:t>
      </w:r>
      <w:r>
        <w:rPr>
          <w:color w:val="231F20"/>
        </w:rPr>
        <w:t>(34%)</w:t>
      </w:r>
    </w:p>
    <w:p>
      <w:pPr>
        <w:pStyle w:val="BodyText"/>
        <w:ind w:left="1440"/>
      </w:pPr>
      <w:r>
        <w:rPr>
          <w:color w:val="231F20"/>
          <w:w w:val="105"/>
        </w:rPr>
        <w:t>(2.2.2.2).</w:t>
      </w:r>
    </w:p>
    <w:p>
      <w:pPr>
        <w:pStyle w:val="BodyText"/>
        <w:spacing w:before="2"/>
        <w:rPr>
          <w:sz w:val="18"/>
        </w:rPr>
      </w:pPr>
    </w:p>
    <w:p>
      <w:pPr>
        <w:pStyle w:val="BodyText"/>
        <w:spacing w:line="264" w:lineRule="auto"/>
        <w:ind w:left="1440" w:right="-12"/>
      </w:pPr>
      <w:r>
        <w:rPr>
          <w:color w:val="231F20"/>
        </w:rPr>
        <w:t>Local public health agencies play an important </w:t>
      </w:r>
      <w:r>
        <w:rPr>
          <w:rFonts w:ascii="Times New Roman"/>
          <w:color w:val="231F20"/>
        </w:rPr>
        <w:t>role in the investigation of contaminated </w:t>
      </w:r>
      <w:r>
        <w:rPr>
          <w:color w:val="231F20"/>
        </w:rPr>
        <w:t>commercial food-product outbreaks </w:t>
      </w:r>
      <w:r>
        <w:rPr>
          <w:color w:val="231F20"/>
          <w:spacing w:val="-3"/>
        </w:rPr>
        <w:t>by</w:t>
      </w:r>
      <w:r>
        <w:rPr>
          <w:color w:val="231F20"/>
          <w:spacing w:val="-35"/>
        </w:rPr>
        <w:t> </w:t>
      </w:r>
      <w:r>
        <w:rPr>
          <w:color w:val="231F20"/>
        </w:rPr>
        <w:t>searching for local cases, participating in hypothesis </w:t>
      </w:r>
      <w:r>
        <w:rPr>
          <w:rFonts w:ascii="Times New Roman"/>
          <w:color w:val="231F20"/>
        </w:rPr>
        <w:t>generation, and performing other agreed-upon </w:t>
      </w:r>
      <w:r>
        <w:rPr>
          <w:color w:val="231F20"/>
        </w:rPr>
        <w:t>tasks, such as case interviews in an expedient </w:t>
      </w:r>
      <w:r>
        <w:rPr>
          <w:color w:val="231F20"/>
          <w:spacing w:val="-3"/>
        </w:rPr>
        <w:t>manner. </w:t>
      </w:r>
      <w:r>
        <w:rPr>
          <w:color w:val="231F20"/>
        </w:rPr>
        <w:t>Because a seemingly</w:t>
      </w:r>
      <w:r>
        <w:rPr>
          <w:color w:val="231F20"/>
          <w:spacing w:val="44"/>
        </w:rPr>
        <w:t> </w:t>
      </w:r>
      <w:r>
        <w:rPr>
          <w:color w:val="231F20"/>
        </w:rPr>
        <w:t>localized</w:t>
      </w:r>
    </w:p>
    <w:p>
      <w:pPr>
        <w:pStyle w:val="BodyText"/>
        <w:spacing w:line="266" w:lineRule="auto" w:before="2"/>
        <w:ind w:left="1440" w:right="-13"/>
      </w:pPr>
      <w:r>
        <w:rPr>
          <w:color w:val="231F20"/>
        </w:rPr>
        <w:t>outbreak might herald a more widespread and diffuse food-safety problem affecting multiple jurisdictions, local investigators should always watch for indicators of a commercial food-safety problem when investigating an apparent local outbreak (2.2.2.3).</w:t>
      </w:r>
    </w:p>
    <w:p>
      <w:pPr>
        <w:pStyle w:val="BodyText"/>
        <w:spacing w:before="164"/>
        <w:ind w:left="1440"/>
        <w:rPr>
          <w:rFonts w:ascii="Arial"/>
        </w:rPr>
      </w:pPr>
      <w:r>
        <w:rPr>
          <w:rFonts w:ascii="Arial"/>
          <w:color w:val="1C3E94"/>
        </w:rPr>
        <w:t>Trends in Surveillance (Section 2.3)</w:t>
      </w:r>
    </w:p>
    <w:p>
      <w:pPr>
        <w:pStyle w:val="BodyText"/>
        <w:spacing w:before="11"/>
        <w:rPr>
          <w:rFonts w:ascii="Arial"/>
          <w:sz w:val="18"/>
        </w:rPr>
      </w:pPr>
    </w:p>
    <w:p>
      <w:pPr>
        <w:spacing w:before="0"/>
        <w:ind w:left="1440" w:right="0" w:firstLine="0"/>
        <w:jc w:val="left"/>
        <w:rPr>
          <w:rFonts w:ascii="Arial"/>
          <w:sz w:val="18"/>
        </w:rPr>
      </w:pPr>
      <w:r>
        <w:rPr>
          <w:rFonts w:ascii="Arial"/>
          <w:color w:val="00A94F"/>
          <w:sz w:val="18"/>
        </w:rPr>
        <w:t>Overview (2.3.1)</w:t>
      </w:r>
    </w:p>
    <w:p>
      <w:pPr>
        <w:pStyle w:val="BodyText"/>
        <w:spacing w:line="271" w:lineRule="auto" w:before="25"/>
        <w:ind w:left="1440"/>
      </w:pPr>
      <w:r>
        <w:rPr>
          <w:rFonts w:ascii="Times New Roman"/>
          <w:color w:val="231F20"/>
        </w:rPr>
        <w:t>Public health surveillance is an active process </w:t>
      </w:r>
      <w:r>
        <w:rPr>
          <w:color w:val="231F20"/>
        </w:rPr>
        <w:t>of collecting, analyzing, interpreting, and disseminating data about selected diseases   with</w:t>
      </w:r>
    </w:p>
    <w:p>
      <w:pPr>
        <w:pStyle w:val="BodyText"/>
        <w:spacing w:line="268" w:lineRule="auto" w:before="93"/>
        <w:ind w:left="320" w:right="726"/>
      </w:pPr>
      <w:r>
        <w:rPr/>
        <w:br w:type="column"/>
      </w:r>
      <w:r>
        <w:rPr>
          <w:rFonts w:ascii="Times New Roman"/>
          <w:color w:val="231F20"/>
          <w:w w:val="105"/>
        </w:rPr>
        <w:t>the</w:t>
      </w:r>
      <w:r>
        <w:rPr>
          <w:rFonts w:ascii="Times New Roman"/>
          <w:color w:val="231F20"/>
          <w:spacing w:val="-20"/>
          <w:w w:val="105"/>
        </w:rPr>
        <w:t> </w:t>
      </w:r>
      <w:r>
        <w:rPr>
          <w:rFonts w:ascii="Times New Roman"/>
          <w:color w:val="231F20"/>
          <w:w w:val="105"/>
        </w:rPr>
        <w:t>purpose</w:t>
      </w:r>
      <w:r>
        <w:rPr>
          <w:rFonts w:ascii="Times New Roman"/>
          <w:color w:val="231F20"/>
          <w:spacing w:val="-20"/>
          <w:w w:val="105"/>
        </w:rPr>
        <w:t> </w:t>
      </w:r>
      <w:r>
        <w:rPr>
          <w:rFonts w:ascii="Times New Roman"/>
          <w:color w:val="231F20"/>
          <w:w w:val="105"/>
        </w:rPr>
        <w:t>of</w:t>
      </w:r>
      <w:r>
        <w:rPr>
          <w:rFonts w:ascii="Times New Roman"/>
          <w:color w:val="231F20"/>
          <w:spacing w:val="-1"/>
          <w:w w:val="105"/>
        </w:rPr>
        <w:t> </w:t>
      </w:r>
      <w:r>
        <w:rPr>
          <w:rFonts w:ascii="Times New Roman"/>
          <w:color w:val="231F20"/>
          <w:w w:val="105"/>
        </w:rPr>
        <w:t>initiating</w:t>
      </w:r>
      <w:r>
        <w:rPr>
          <w:rFonts w:ascii="Times New Roman"/>
          <w:color w:val="231F20"/>
          <w:spacing w:val="-20"/>
          <w:w w:val="105"/>
        </w:rPr>
        <w:t> </w:t>
      </w:r>
      <w:r>
        <w:rPr>
          <w:rFonts w:ascii="Times New Roman"/>
          <w:color w:val="231F20"/>
          <w:w w:val="105"/>
        </w:rPr>
        <w:t>action</w:t>
      </w:r>
      <w:r>
        <w:rPr>
          <w:rFonts w:ascii="Times New Roman"/>
          <w:color w:val="231F20"/>
          <w:spacing w:val="-20"/>
          <w:w w:val="105"/>
        </w:rPr>
        <w:t> </w:t>
      </w:r>
      <w:r>
        <w:rPr>
          <w:rFonts w:ascii="Times New Roman"/>
          <w:color w:val="231F20"/>
          <w:w w:val="105"/>
        </w:rPr>
        <w:t>to</w:t>
      </w:r>
      <w:r>
        <w:rPr>
          <w:rFonts w:ascii="Times New Roman"/>
          <w:color w:val="231F20"/>
          <w:spacing w:val="-20"/>
          <w:w w:val="105"/>
        </w:rPr>
        <w:t> </w:t>
      </w:r>
      <w:r>
        <w:rPr>
          <w:rFonts w:ascii="Times New Roman"/>
          <w:color w:val="231F20"/>
          <w:spacing w:val="-3"/>
          <w:w w:val="105"/>
        </w:rPr>
        <w:t>improve</w:t>
      </w:r>
      <w:r>
        <w:rPr>
          <w:rFonts w:ascii="Times New Roman"/>
          <w:color w:val="231F20"/>
          <w:spacing w:val="-20"/>
          <w:w w:val="105"/>
        </w:rPr>
        <w:t> </w:t>
      </w:r>
      <w:r>
        <w:rPr>
          <w:rFonts w:ascii="Times New Roman"/>
          <w:color w:val="231F20"/>
          <w:w w:val="105"/>
        </w:rPr>
        <w:t>the </w:t>
      </w:r>
      <w:r>
        <w:rPr>
          <w:color w:val="231F20"/>
          <w:w w:val="105"/>
        </w:rPr>
        <w:t>health of the </w:t>
      </w:r>
      <w:r>
        <w:rPr>
          <w:color w:val="231F20"/>
          <w:spacing w:val="-3"/>
          <w:w w:val="105"/>
        </w:rPr>
        <w:t>community. </w:t>
      </w:r>
      <w:r>
        <w:rPr>
          <w:color w:val="231F20"/>
          <w:w w:val="105"/>
        </w:rPr>
        <w:t>It is the foundation of communicable disease epidemiology and</w:t>
      </w:r>
      <w:r>
        <w:rPr>
          <w:color w:val="231F20"/>
          <w:spacing w:val="-21"/>
          <w:w w:val="105"/>
        </w:rPr>
        <w:t> </w:t>
      </w:r>
      <w:r>
        <w:rPr>
          <w:color w:val="231F20"/>
          <w:w w:val="105"/>
        </w:rPr>
        <w:t>an essential</w:t>
      </w:r>
      <w:r>
        <w:rPr>
          <w:color w:val="231F20"/>
          <w:spacing w:val="-20"/>
          <w:w w:val="105"/>
        </w:rPr>
        <w:t> </w:t>
      </w:r>
      <w:r>
        <w:rPr>
          <w:color w:val="231F20"/>
          <w:w w:val="105"/>
        </w:rPr>
        <w:t>component</w:t>
      </w:r>
      <w:r>
        <w:rPr>
          <w:color w:val="231F20"/>
          <w:spacing w:val="-20"/>
          <w:w w:val="105"/>
        </w:rPr>
        <w:t> </w:t>
      </w:r>
      <w:r>
        <w:rPr>
          <w:color w:val="231F20"/>
          <w:w w:val="105"/>
        </w:rPr>
        <w:t>of</w:t>
      </w:r>
      <w:r>
        <w:rPr>
          <w:color w:val="231F20"/>
          <w:spacing w:val="-1"/>
          <w:w w:val="105"/>
        </w:rPr>
        <w:t> </w:t>
      </w:r>
      <w:r>
        <w:rPr>
          <w:color w:val="231F20"/>
          <w:w w:val="105"/>
        </w:rPr>
        <w:t>a</w:t>
      </w:r>
      <w:r>
        <w:rPr>
          <w:color w:val="231F20"/>
          <w:spacing w:val="-20"/>
          <w:w w:val="105"/>
        </w:rPr>
        <w:t> </w:t>
      </w:r>
      <w:r>
        <w:rPr>
          <w:color w:val="231F20"/>
          <w:w w:val="105"/>
        </w:rPr>
        <w:t>food-safety</w:t>
      </w:r>
      <w:r>
        <w:rPr>
          <w:color w:val="231F20"/>
          <w:spacing w:val="-20"/>
          <w:w w:val="105"/>
        </w:rPr>
        <w:t> </w:t>
      </w:r>
      <w:r>
        <w:rPr>
          <w:color w:val="231F20"/>
          <w:w w:val="105"/>
        </w:rPr>
        <w:t>program.</w:t>
      </w:r>
    </w:p>
    <w:p>
      <w:pPr>
        <w:spacing w:line="290" w:lineRule="auto" w:before="181"/>
        <w:ind w:left="320" w:right="708" w:firstLine="0"/>
        <w:jc w:val="left"/>
        <w:rPr>
          <w:rFonts w:ascii="Arial"/>
          <w:sz w:val="18"/>
        </w:rPr>
      </w:pPr>
      <w:r>
        <w:rPr>
          <w:rFonts w:ascii="Arial"/>
          <w:color w:val="00A94F"/>
          <w:sz w:val="18"/>
        </w:rPr>
        <w:t>Selected Surveillance Systems of Relevance to Foodborne Diseases (2.3.2)</w:t>
      </w:r>
    </w:p>
    <w:p>
      <w:pPr>
        <w:pStyle w:val="BodyText"/>
        <w:spacing w:line="264" w:lineRule="auto"/>
        <w:ind w:left="320" w:right="726"/>
      </w:pPr>
      <w:r>
        <w:rPr>
          <w:color w:val="231F20"/>
          <w:w w:val="105"/>
        </w:rPr>
        <w:t>Many surveillance systems are used in the United States to provide information about </w:t>
      </w:r>
      <w:r>
        <w:rPr>
          <w:rFonts w:ascii="Times New Roman"/>
          <w:color w:val="231F20"/>
        </w:rPr>
        <w:t>foodborne disease, outbreaks, and conditions </w:t>
      </w:r>
      <w:r>
        <w:rPr>
          <w:color w:val="231F20"/>
          <w:w w:val="105"/>
        </w:rPr>
        <w:t>contributing to their occurrence. Some</w:t>
      </w:r>
    </w:p>
    <w:p>
      <w:pPr>
        <w:pStyle w:val="BodyText"/>
        <w:spacing w:line="264" w:lineRule="auto" w:before="5"/>
        <w:ind w:left="320" w:right="888"/>
      </w:pPr>
      <w:r>
        <w:rPr>
          <w:color w:val="231F20"/>
          <w:w w:val="105"/>
        </w:rPr>
        <w:t>focus on specific enteric pathogens likely to </w:t>
      </w:r>
      <w:r>
        <w:rPr>
          <w:rFonts w:ascii="Times New Roman"/>
          <w:color w:val="231F20"/>
          <w:w w:val="105"/>
        </w:rPr>
        <w:t>be transmitted through food and </w:t>
      </w:r>
      <w:r>
        <w:rPr>
          <w:rFonts w:ascii="Times New Roman"/>
          <w:color w:val="231F20"/>
          <w:spacing w:val="-3"/>
          <w:w w:val="105"/>
        </w:rPr>
        <w:t>have </w:t>
      </w:r>
      <w:r>
        <w:rPr>
          <w:rFonts w:ascii="Times New Roman"/>
          <w:color w:val="231F20"/>
          <w:w w:val="105"/>
        </w:rPr>
        <w:t>been </w:t>
      </w:r>
      <w:r>
        <w:rPr>
          <w:color w:val="231F20"/>
          <w:w w:val="105"/>
        </w:rPr>
        <w:t>used extensively for decades. More </w:t>
      </w:r>
      <w:r>
        <w:rPr>
          <w:color w:val="231F20"/>
          <w:spacing w:val="-4"/>
          <w:w w:val="105"/>
        </w:rPr>
        <w:t>recently, </w:t>
      </w:r>
      <w:r>
        <w:rPr>
          <w:color w:val="231F20"/>
          <w:w w:val="105"/>
        </w:rPr>
        <w:t>new surveillance methods </w:t>
      </w:r>
      <w:r>
        <w:rPr>
          <w:color w:val="231F20"/>
          <w:spacing w:val="-3"/>
          <w:w w:val="105"/>
        </w:rPr>
        <w:t>have </w:t>
      </w:r>
      <w:r>
        <w:rPr>
          <w:color w:val="231F20"/>
          <w:w w:val="105"/>
        </w:rPr>
        <w:t>emerged </w:t>
      </w:r>
      <w:r>
        <w:rPr>
          <w:color w:val="231F20"/>
          <w:spacing w:val="-4"/>
          <w:w w:val="105"/>
        </w:rPr>
        <w:t>(e.g.,</w:t>
      </w:r>
      <w:r>
        <w:rPr>
          <w:color w:val="231F20"/>
          <w:spacing w:val="-16"/>
          <w:w w:val="105"/>
        </w:rPr>
        <w:t> </w:t>
      </w:r>
      <w:r>
        <w:rPr>
          <w:color w:val="231F20"/>
          <w:w w:val="105"/>
        </w:rPr>
        <w:t>contributing</w:t>
      </w:r>
      <w:r>
        <w:rPr>
          <w:color w:val="231F20"/>
          <w:spacing w:val="-16"/>
          <w:w w:val="105"/>
        </w:rPr>
        <w:t> </w:t>
      </w:r>
      <w:r>
        <w:rPr>
          <w:color w:val="231F20"/>
          <w:w w:val="105"/>
        </w:rPr>
        <w:t>factor</w:t>
      </w:r>
      <w:r>
        <w:rPr>
          <w:color w:val="231F20"/>
          <w:spacing w:val="-16"/>
          <w:w w:val="105"/>
        </w:rPr>
        <w:t> </w:t>
      </w:r>
      <w:r>
        <w:rPr>
          <w:color w:val="231F20"/>
          <w:w w:val="105"/>
        </w:rPr>
        <w:t>surveillance,</w:t>
      </w:r>
      <w:r>
        <w:rPr>
          <w:color w:val="231F20"/>
          <w:spacing w:val="-16"/>
          <w:w w:val="105"/>
        </w:rPr>
        <w:t> </w:t>
      </w:r>
      <w:r>
        <w:rPr>
          <w:color w:val="231F20"/>
          <w:w w:val="105"/>
        </w:rPr>
        <w:t>sentinel</w:t>
      </w:r>
    </w:p>
    <w:p>
      <w:pPr>
        <w:pStyle w:val="BodyText"/>
        <w:spacing w:before="2"/>
        <w:ind w:left="320"/>
      </w:pPr>
      <w:r>
        <w:rPr>
          <w:color w:val="231F20"/>
          <w:w w:val="105"/>
        </w:rPr>
        <w:t>surveillance, and national laboratory networks).</w:t>
      </w:r>
    </w:p>
    <w:p>
      <w:pPr>
        <w:pStyle w:val="BodyText"/>
        <w:spacing w:line="264" w:lineRule="auto" w:before="24"/>
        <w:ind w:left="320" w:right="797"/>
      </w:pPr>
      <w:r>
        <w:rPr>
          <w:color w:val="231F20"/>
          <w:w w:val="105"/>
        </w:rPr>
        <w:t>Each surveillance system plays a critical role </w:t>
      </w:r>
      <w:r>
        <w:rPr>
          <w:rFonts w:ascii="Times New Roman"/>
          <w:color w:val="231F20"/>
        </w:rPr>
        <w:t>in detecting and preventing foodborne disease </w:t>
      </w:r>
      <w:r>
        <w:rPr>
          <w:color w:val="231F20"/>
          <w:w w:val="105"/>
        </w:rPr>
        <w:t>and outbreaks.</w:t>
      </w:r>
    </w:p>
    <w:p>
      <w:pPr>
        <w:spacing w:before="182"/>
        <w:ind w:left="320" w:right="0" w:firstLine="0"/>
        <w:jc w:val="left"/>
        <w:rPr>
          <w:i/>
          <w:sz w:val="20"/>
        </w:rPr>
      </w:pPr>
      <w:r>
        <w:rPr>
          <w:i/>
          <w:color w:val="E36F1E"/>
          <w:w w:val="105"/>
          <w:sz w:val="20"/>
        </w:rPr>
        <w:t>Notifiable disease surveillance (2.3.2.1)</w:t>
      </w:r>
    </w:p>
    <w:p>
      <w:pPr>
        <w:pStyle w:val="BodyText"/>
        <w:spacing w:line="266" w:lineRule="auto" w:before="25"/>
        <w:ind w:left="320" w:right="828"/>
      </w:pPr>
      <w:r>
        <w:rPr>
          <w:color w:val="231F20"/>
          <w:w w:val="105"/>
        </w:rPr>
        <w:t>In notifiable disease surveillance, health-care providers and laboratorians are required </w:t>
      </w:r>
      <w:r>
        <w:rPr>
          <w:color w:val="231F20"/>
          <w:spacing w:val="-3"/>
          <w:w w:val="105"/>
        </w:rPr>
        <w:t>by </w:t>
      </w:r>
      <w:r>
        <w:rPr>
          <w:color w:val="231F20"/>
          <w:w w:val="105"/>
        </w:rPr>
        <w:t>law</w:t>
      </w:r>
      <w:r>
        <w:rPr>
          <w:color w:val="231F20"/>
          <w:spacing w:val="-11"/>
          <w:w w:val="105"/>
        </w:rPr>
        <w:t> </w:t>
      </w:r>
      <w:r>
        <w:rPr>
          <w:color w:val="231F20"/>
          <w:w w:val="105"/>
        </w:rPr>
        <w:t>to</w:t>
      </w:r>
      <w:r>
        <w:rPr>
          <w:color w:val="231F20"/>
          <w:spacing w:val="-11"/>
          <w:w w:val="105"/>
        </w:rPr>
        <w:t> </w:t>
      </w:r>
      <w:r>
        <w:rPr>
          <w:color w:val="231F20"/>
          <w:w w:val="105"/>
        </w:rPr>
        <w:t>report</w:t>
      </w:r>
      <w:r>
        <w:rPr>
          <w:color w:val="231F20"/>
          <w:spacing w:val="-11"/>
          <w:w w:val="105"/>
        </w:rPr>
        <w:t> </w:t>
      </w:r>
      <w:r>
        <w:rPr>
          <w:color w:val="231F20"/>
          <w:w w:val="105"/>
        </w:rPr>
        <w:t>individual</w:t>
      </w:r>
      <w:r>
        <w:rPr>
          <w:color w:val="231F20"/>
          <w:spacing w:val="-11"/>
          <w:w w:val="105"/>
        </w:rPr>
        <w:t> </w:t>
      </w:r>
      <w:r>
        <w:rPr>
          <w:color w:val="231F20"/>
          <w:w w:val="105"/>
        </w:rPr>
        <w:t>cases</w:t>
      </w:r>
      <w:r>
        <w:rPr>
          <w:color w:val="231F20"/>
          <w:spacing w:val="-11"/>
          <w:w w:val="105"/>
        </w:rPr>
        <w:t> </w:t>
      </w:r>
      <w:r>
        <w:rPr>
          <w:color w:val="231F20"/>
          <w:w w:val="105"/>
        </w:rPr>
        <w:t>of</w:t>
      </w:r>
      <w:r>
        <w:rPr>
          <w:color w:val="231F20"/>
          <w:spacing w:val="12"/>
          <w:w w:val="105"/>
        </w:rPr>
        <w:t> </w:t>
      </w:r>
      <w:r>
        <w:rPr>
          <w:color w:val="231F20"/>
          <w:w w:val="105"/>
        </w:rPr>
        <w:t>disease</w:t>
      </w:r>
      <w:r>
        <w:rPr>
          <w:color w:val="231F20"/>
          <w:spacing w:val="-11"/>
          <w:w w:val="105"/>
        </w:rPr>
        <w:t> </w:t>
      </w:r>
      <w:r>
        <w:rPr>
          <w:color w:val="231F20"/>
          <w:w w:val="105"/>
        </w:rPr>
        <w:t>when selected pathogens are identified in patient specimens or specific clinical syndromes are recognized. Local public health agencies </w:t>
      </w:r>
      <w:r>
        <w:rPr>
          <w:rFonts w:ascii="Times New Roman"/>
          <w:color w:val="231F20"/>
          <w:w w:val="105"/>
        </w:rPr>
        <w:t>report</w:t>
      </w:r>
      <w:r>
        <w:rPr>
          <w:rFonts w:ascii="Times New Roman"/>
          <w:color w:val="231F20"/>
          <w:spacing w:val="-22"/>
          <w:w w:val="105"/>
        </w:rPr>
        <w:t> </w:t>
      </w:r>
      <w:r>
        <w:rPr>
          <w:rFonts w:ascii="Times New Roman"/>
          <w:color w:val="231F20"/>
          <w:w w:val="105"/>
        </w:rPr>
        <w:t>these</w:t>
      </w:r>
      <w:r>
        <w:rPr>
          <w:rFonts w:ascii="Times New Roman"/>
          <w:color w:val="231F20"/>
          <w:spacing w:val="-23"/>
          <w:w w:val="105"/>
        </w:rPr>
        <w:t> </w:t>
      </w:r>
      <w:r>
        <w:rPr>
          <w:rFonts w:ascii="Times New Roman"/>
          <w:color w:val="231F20"/>
          <w:w w:val="105"/>
        </w:rPr>
        <w:t>diseases</w:t>
      </w:r>
      <w:r>
        <w:rPr>
          <w:rFonts w:ascii="Times New Roman"/>
          <w:color w:val="231F20"/>
          <w:spacing w:val="-23"/>
          <w:w w:val="105"/>
        </w:rPr>
        <w:t> </w:t>
      </w:r>
      <w:r>
        <w:rPr>
          <w:rFonts w:ascii="Times New Roman"/>
          <w:color w:val="231F20"/>
          <w:w w:val="105"/>
        </w:rPr>
        <w:t>to</w:t>
      </w:r>
      <w:r>
        <w:rPr>
          <w:rFonts w:ascii="Times New Roman"/>
          <w:color w:val="231F20"/>
          <w:spacing w:val="-23"/>
          <w:w w:val="105"/>
        </w:rPr>
        <w:t> </w:t>
      </w:r>
      <w:r>
        <w:rPr>
          <w:rFonts w:ascii="Times New Roman"/>
          <w:color w:val="231F20"/>
          <w:w w:val="105"/>
        </w:rPr>
        <w:t>the</w:t>
      </w:r>
      <w:r>
        <w:rPr>
          <w:rFonts w:ascii="Times New Roman"/>
          <w:color w:val="231F20"/>
          <w:spacing w:val="-23"/>
          <w:w w:val="105"/>
        </w:rPr>
        <w:t> </w:t>
      </w:r>
      <w:r>
        <w:rPr>
          <w:rFonts w:ascii="Times New Roman"/>
          <w:color w:val="231F20"/>
          <w:w w:val="105"/>
        </w:rPr>
        <w:t>state</w:t>
      </w:r>
      <w:r>
        <w:rPr>
          <w:rFonts w:ascii="Times New Roman"/>
          <w:color w:val="231F20"/>
          <w:spacing w:val="-22"/>
          <w:w w:val="105"/>
        </w:rPr>
        <w:t> </w:t>
      </w:r>
      <w:r>
        <w:rPr>
          <w:rFonts w:ascii="Times New Roman"/>
          <w:color w:val="231F20"/>
          <w:w w:val="105"/>
        </w:rPr>
        <w:t>or</w:t>
      </w:r>
      <w:r>
        <w:rPr>
          <w:rFonts w:ascii="Times New Roman"/>
          <w:color w:val="231F20"/>
          <w:spacing w:val="-22"/>
          <w:w w:val="105"/>
        </w:rPr>
        <w:t> </w:t>
      </w:r>
      <w:r>
        <w:rPr>
          <w:rFonts w:ascii="Times New Roman"/>
          <w:color w:val="231F20"/>
          <w:w w:val="105"/>
        </w:rPr>
        <w:t>territorial </w:t>
      </w:r>
      <w:r>
        <w:rPr>
          <w:color w:val="231F20"/>
          <w:w w:val="105"/>
        </w:rPr>
        <w:t>public health </w:t>
      </w:r>
      <w:r>
        <w:rPr>
          <w:color w:val="231F20"/>
          <w:spacing w:val="-4"/>
          <w:w w:val="105"/>
        </w:rPr>
        <w:t>agency. </w:t>
      </w:r>
      <w:r>
        <w:rPr>
          <w:color w:val="231F20"/>
          <w:w w:val="105"/>
        </w:rPr>
        <w:t>States and</w:t>
      </w:r>
      <w:r>
        <w:rPr>
          <w:color w:val="231F20"/>
          <w:spacing w:val="-1"/>
          <w:w w:val="105"/>
        </w:rPr>
        <w:t> </w:t>
      </w:r>
      <w:r>
        <w:rPr>
          <w:color w:val="231F20"/>
          <w:w w:val="105"/>
        </w:rPr>
        <w:t>territories</w:t>
      </w:r>
    </w:p>
    <w:p>
      <w:pPr>
        <w:pStyle w:val="BodyText"/>
        <w:spacing w:line="216" w:lineRule="exact"/>
        <w:ind w:left="320"/>
        <w:rPr>
          <w:rFonts w:ascii="Times New Roman"/>
        </w:rPr>
      </w:pPr>
      <w:r>
        <w:rPr>
          <w:rFonts w:ascii="Times New Roman"/>
          <w:color w:val="231F20"/>
        </w:rPr>
        <w:t>(or sometimes local public health agencies)</w:t>
      </w:r>
    </w:p>
    <w:p>
      <w:pPr>
        <w:pStyle w:val="BodyText"/>
        <w:spacing w:line="264" w:lineRule="auto" w:before="34"/>
        <w:ind w:left="320" w:right="741"/>
      </w:pPr>
      <w:r>
        <w:rPr>
          <w:color w:val="231F20"/>
          <w:w w:val="105"/>
        </w:rPr>
        <w:t>voluntarily share selected information with CDC</w:t>
      </w:r>
      <w:r>
        <w:rPr>
          <w:color w:val="231F20"/>
          <w:spacing w:val="-17"/>
          <w:w w:val="105"/>
        </w:rPr>
        <w:t> </w:t>
      </w:r>
      <w:r>
        <w:rPr>
          <w:color w:val="231F20"/>
          <w:w w:val="105"/>
        </w:rPr>
        <w:t>through</w:t>
      </w:r>
      <w:r>
        <w:rPr>
          <w:color w:val="231F20"/>
          <w:spacing w:val="-17"/>
          <w:w w:val="105"/>
        </w:rPr>
        <w:t> </w:t>
      </w:r>
      <w:r>
        <w:rPr>
          <w:color w:val="231F20"/>
          <w:w w:val="105"/>
        </w:rPr>
        <w:t>the</w:t>
      </w:r>
      <w:r>
        <w:rPr>
          <w:color w:val="231F20"/>
          <w:spacing w:val="-17"/>
          <w:w w:val="105"/>
        </w:rPr>
        <w:t> </w:t>
      </w:r>
      <w:r>
        <w:rPr>
          <w:color w:val="231F20"/>
          <w:w w:val="105"/>
        </w:rPr>
        <w:t>National</w:t>
      </w:r>
      <w:r>
        <w:rPr>
          <w:color w:val="231F20"/>
          <w:spacing w:val="-17"/>
          <w:w w:val="105"/>
        </w:rPr>
        <w:t> </w:t>
      </w:r>
      <w:r>
        <w:rPr>
          <w:color w:val="231F20"/>
          <w:w w:val="105"/>
        </w:rPr>
        <w:t>Notifiable</w:t>
      </w:r>
      <w:r>
        <w:rPr>
          <w:color w:val="231F20"/>
          <w:spacing w:val="-17"/>
          <w:w w:val="105"/>
        </w:rPr>
        <w:t> </w:t>
      </w:r>
      <w:r>
        <w:rPr>
          <w:color w:val="231F20"/>
          <w:w w:val="105"/>
        </w:rPr>
        <w:t>Diseases Surveillance System (NNDSS), which CDC oversees. Combining the information in these </w:t>
      </w:r>
      <w:r>
        <w:rPr>
          <w:rFonts w:ascii="Times New Roman"/>
          <w:color w:val="231F20"/>
          <w:w w:val="105"/>
        </w:rPr>
        <w:t>individual reports enables investigators to detect</w:t>
      </w:r>
      <w:r>
        <w:rPr>
          <w:rFonts w:ascii="Times New Roman"/>
          <w:color w:val="231F20"/>
          <w:spacing w:val="-26"/>
          <w:w w:val="105"/>
        </w:rPr>
        <w:t> </w:t>
      </w:r>
      <w:r>
        <w:rPr>
          <w:rFonts w:ascii="Times New Roman"/>
          <w:color w:val="231F20"/>
          <w:w w:val="105"/>
        </w:rPr>
        <w:t>illness</w:t>
      </w:r>
      <w:r>
        <w:rPr>
          <w:rFonts w:ascii="Times New Roman"/>
          <w:color w:val="231F20"/>
          <w:spacing w:val="-27"/>
          <w:w w:val="105"/>
        </w:rPr>
        <w:t> </w:t>
      </w:r>
      <w:r>
        <w:rPr>
          <w:rFonts w:ascii="Times New Roman"/>
          <w:color w:val="231F20"/>
          <w:w w:val="105"/>
        </w:rPr>
        <w:t>clusters</w:t>
      </w:r>
      <w:r>
        <w:rPr>
          <w:rFonts w:ascii="Times New Roman"/>
          <w:color w:val="231F20"/>
          <w:spacing w:val="-27"/>
          <w:w w:val="105"/>
        </w:rPr>
        <w:t> </w:t>
      </w:r>
      <w:r>
        <w:rPr>
          <w:rFonts w:ascii="Times New Roman"/>
          <w:color w:val="231F20"/>
          <w:w w:val="105"/>
        </w:rPr>
        <w:t>that</w:t>
      </w:r>
      <w:r>
        <w:rPr>
          <w:rFonts w:ascii="Times New Roman"/>
          <w:color w:val="231F20"/>
          <w:spacing w:val="-26"/>
          <w:w w:val="105"/>
        </w:rPr>
        <w:t> </w:t>
      </w:r>
      <w:r>
        <w:rPr>
          <w:rFonts w:ascii="Times New Roman"/>
          <w:color w:val="231F20"/>
          <w:w w:val="105"/>
        </w:rPr>
        <w:t>might</w:t>
      </w:r>
      <w:r>
        <w:rPr>
          <w:rFonts w:ascii="Times New Roman"/>
          <w:color w:val="231F20"/>
          <w:spacing w:val="-26"/>
          <w:w w:val="105"/>
        </w:rPr>
        <w:t> </w:t>
      </w:r>
      <w:r>
        <w:rPr>
          <w:rFonts w:ascii="Times New Roman"/>
          <w:color w:val="231F20"/>
          <w:w w:val="105"/>
        </w:rPr>
        <w:t>be</w:t>
      </w:r>
      <w:r>
        <w:rPr>
          <w:rFonts w:ascii="Times New Roman"/>
          <w:color w:val="231F20"/>
          <w:spacing w:val="-26"/>
          <w:w w:val="105"/>
        </w:rPr>
        <w:t> </w:t>
      </w:r>
      <w:r>
        <w:rPr>
          <w:rFonts w:ascii="Times New Roman"/>
          <w:color w:val="231F20"/>
          <w:w w:val="105"/>
        </w:rPr>
        <w:t>outbreaks </w:t>
      </w:r>
      <w:r>
        <w:rPr>
          <w:color w:val="231F20"/>
          <w:w w:val="105"/>
        </w:rPr>
        <w:t>caused </w:t>
      </w:r>
      <w:r>
        <w:rPr>
          <w:color w:val="231F20"/>
          <w:spacing w:val="-3"/>
          <w:w w:val="105"/>
        </w:rPr>
        <w:t>by </w:t>
      </w:r>
      <w:r>
        <w:rPr>
          <w:color w:val="231F20"/>
          <w:w w:val="105"/>
        </w:rPr>
        <w:t>contaminated</w:t>
      </w:r>
      <w:r>
        <w:rPr>
          <w:color w:val="231F20"/>
          <w:spacing w:val="-36"/>
          <w:w w:val="105"/>
        </w:rPr>
        <w:t> </w:t>
      </w:r>
      <w:r>
        <w:rPr>
          <w:color w:val="231F20"/>
          <w:w w:val="105"/>
        </w:rPr>
        <w:t>food.</w:t>
      </w:r>
    </w:p>
    <w:p>
      <w:pPr>
        <w:pStyle w:val="BodyText"/>
        <w:spacing w:line="264" w:lineRule="auto" w:before="182"/>
        <w:ind w:left="320" w:right="929"/>
      </w:pPr>
      <w:r>
        <w:rPr>
          <w:i/>
          <w:color w:val="E36F1E"/>
        </w:rPr>
        <w:t>Foodborne  illness  complaints  (2.3.2.2) </w:t>
      </w:r>
      <w:r>
        <w:rPr>
          <w:color w:val="231F20"/>
        </w:rPr>
        <w:t>Foodborne illness complaint systems enable </w:t>
      </w:r>
      <w:r>
        <w:rPr>
          <w:rFonts w:ascii="Times New Roman"/>
          <w:color w:val="231F20"/>
        </w:rPr>
        <w:t>public health agencies to receive, triage, and respond to reports from the public about </w:t>
      </w:r>
      <w:r>
        <w:rPr>
          <w:color w:val="231F20"/>
        </w:rPr>
        <w:t>possible foodborne illnesses. The processing</w:t>
      </w:r>
    </w:p>
    <w:p>
      <w:pPr>
        <w:pStyle w:val="BodyText"/>
        <w:spacing w:line="266" w:lineRule="auto" w:before="2"/>
        <w:ind w:left="320" w:right="750"/>
      </w:pPr>
      <w:r>
        <w:rPr>
          <w:color w:val="231F20"/>
          <w:w w:val="105"/>
        </w:rPr>
        <w:t>of complaints varies by agency. Most agencies collect some exposure information and</w:t>
      </w:r>
    </w:p>
    <w:p>
      <w:pPr>
        <w:spacing w:after="0" w:line="266" w:lineRule="auto"/>
        <w:sectPr>
          <w:type w:val="continuous"/>
          <w:pgSz w:w="10080" w:h="14400"/>
          <w:pgMar w:top="0" w:bottom="360" w:left="0" w:right="0"/>
          <w:cols w:num="2" w:equalWidth="0">
            <w:col w:w="5220" w:space="40"/>
            <w:col w:w="4820"/>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1456;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1480" filled="true" fillcolor="#0079c1" stroked="false">
            <v:fill type="solid"/>
            <w10:wrap type="none"/>
          </v:rect>
        </w:pict>
      </w:r>
      <w:r>
        <w:rPr/>
        <w:pict>
          <v:line style="position:absolute;mso-position-horizontal-relative:page;mso-position-vertical-relative:paragraph;z-index:1504"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15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1552"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66" w:lineRule="auto" w:before="93"/>
        <w:ind w:left="720" w:right="74"/>
      </w:pPr>
      <w:r>
        <w:rPr>
          <w:rFonts w:ascii="Times New Roman"/>
          <w:color w:val="231F20"/>
          <w:w w:val="105"/>
        </w:rPr>
        <w:t>record the complaint in a log book or on a </w:t>
      </w:r>
      <w:r>
        <w:rPr>
          <w:color w:val="231F20"/>
          <w:w w:val="105"/>
        </w:rPr>
        <w:t>standardized form; a growing number of </w:t>
      </w:r>
      <w:r>
        <w:rPr>
          <w:rFonts w:ascii="Times New Roman"/>
          <w:color w:val="231F20"/>
          <w:w w:val="105"/>
        </w:rPr>
        <w:t>health departments enter this information </w:t>
      </w:r>
      <w:r>
        <w:rPr>
          <w:color w:val="231F20"/>
          <w:w w:val="105"/>
        </w:rPr>
        <w:t>into an electronic database for easy review and analysis. Regular review of these reports for trends or commonalities can identify foodborne illnesses in the community and</w:t>
      </w:r>
    </w:p>
    <w:p>
      <w:pPr>
        <w:pStyle w:val="BodyText"/>
        <w:spacing w:line="264" w:lineRule="auto"/>
        <w:ind w:left="720" w:right="42"/>
        <w:jc w:val="both"/>
      </w:pPr>
      <w:r>
        <w:rPr>
          <w:color w:val="231F20"/>
        </w:rPr>
        <w:t>possibly clusters of foodborne diseases. A large </w:t>
      </w:r>
      <w:r>
        <w:rPr>
          <w:rFonts w:ascii="Times New Roman"/>
          <w:color w:val="231F20"/>
        </w:rPr>
        <w:t>proportion of foodborne disease outbreaks are </w:t>
      </w:r>
      <w:r>
        <w:rPr>
          <w:color w:val="231F20"/>
        </w:rPr>
        <w:t>detected  through  complaint systems.</w:t>
      </w:r>
    </w:p>
    <w:p>
      <w:pPr>
        <w:spacing w:line="266" w:lineRule="auto" w:before="183"/>
        <w:ind w:left="720" w:right="471" w:firstLine="0"/>
        <w:jc w:val="left"/>
        <w:rPr>
          <w:i/>
          <w:sz w:val="20"/>
        </w:rPr>
      </w:pPr>
      <w:r>
        <w:rPr>
          <w:i/>
          <w:color w:val="E36F1E"/>
          <w:w w:val="105"/>
          <w:sz w:val="20"/>
        </w:rPr>
        <w:t>Contributing</w:t>
      </w:r>
      <w:r>
        <w:rPr>
          <w:i/>
          <w:color w:val="E36F1E"/>
          <w:spacing w:val="-28"/>
          <w:w w:val="105"/>
          <w:sz w:val="20"/>
        </w:rPr>
        <w:t> </w:t>
      </w:r>
      <w:r>
        <w:rPr>
          <w:i/>
          <w:color w:val="E36F1E"/>
          <w:w w:val="105"/>
          <w:sz w:val="20"/>
        </w:rPr>
        <w:t>factor</w:t>
      </w:r>
      <w:r>
        <w:rPr>
          <w:i/>
          <w:color w:val="E36F1E"/>
          <w:spacing w:val="-28"/>
          <w:w w:val="105"/>
          <w:sz w:val="20"/>
        </w:rPr>
        <w:t> </w:t>
      </w:r>
      <w:r>
        <w:rPr>
          <w:i/>
          <w:color w:val="E36F1E"/>
          <w:w w:val="105"/>
          <w:sz w:val="20"/>
        </w:rPr>
        <w:t>and</w:t>
      </w:r>
      <w:r>
        <w:rPr>
          <w:i/>
          <w:color w:val="E36F1E"/>
          <w:spacing w:val="-28"/>
          <w:w w:val="105"/>
          <w:sz w:val="20"/>
        </w:rPr>
        <w:t> </w:t>
      </w:r>
      <w:r>
        <w:rPr>
          <w:i/>
          <w:color w:val="E36F1E"/>
          <w:w w:val="105"/>
          <w:sz w:val="20"/>
        </w:rPr>
        <w:t>environmental</w:t>
      </w:r>
      <w:r>
        <w:rPr>
          <w:i/>
          <w:color w:val="E36F1E"/>
          <w:spacing w:val="-28"/>
          <w:w w:val="105"/>
          <w:sz w:val="20"/>
        </w:rPr>
        <w:t> </w:t>
      </w:r>
      <w:r>
        <w:rPr>
          <w:i/>
          <w:color w:val="E36F1E"/>
          <w:w w:val="105"/>
          <w:sz w:val="20"/>
        </w:rPr>
        <w:t>antecedent </w:t>
      </w:r>
      <w:r>
        <w:rPr>
          <w:i/>
          <w:color w:val="E36F1E"/>
          <w:w w:val="105"/>
          <w:sz w:val="20"/>
        </w:rPr>
        <w:t>surveillance</w:t>
      </w:r>
      <w:r>
        <w:rPr>
          <w:i/>
          <w:color w:val="E36F1E"/>
          <w:spacing w:val="19"/>
          <w:w w:val="105"/>
          <w:sz w:val="20"/>
        </w:rPr>
        <w:t> </w:t>
      </w:r>
      <w:r>
        <w:rPr>
          <w:i/>
          <w:color w:val="E36F1E"/>
          <w:w w:val="105"/>
          <w:sz w:val="20"/>
        </w:rPr>
        <w:t>(2.3.2.3)</w:t>
      </w:r>
    </w:p>
    <w:p>
      <w:pPr>
        <w:pStyle w:val="BodyText"/>
        <w:spacing w:line="216" w:lineRule="exact"/>
        <w:ind w:left="720"/>
        <w:rPr>
          <w:rFonts w:ascii="Times New Roman"/>
        </w:rPr>
      </w:pPr>
      <w:r>
        <w:rPr>
          <w:rFonts w:ascii="Times New Roman"/>
          <w:color w:val="231F20"/>
        </w:rPr>
        <w:t>Contributing factors are a listing of factors</w:t>
      </w:r>
    </w:p>
    <w:p>
      <w:pPr>
        <w:pStyle w:val="BodyText"/>
        <w:spacing w:line="266" w:lineRule="auto" w:before="20"/>
        <w:ind w:left="720" w:right="55"/>
      </w:pPr>
      <w:r>
        <w:rPr>
          <w:rFonts w:ascii="Times New Roman" w:hAnsi="Times New Roman"/>
          <w:color w:val="231F20"/>
        </w:rPr>
        <w:t>that increase the risk of foodborne diseases </w:t>
      </w:r>
      <w:r>
        <w:rPr>
          <w:color w:val="231F20"/>
        </w:rPr>
        <w:t>and  repeatedly  contribute  to  foodborne disease outbreaks. Contributing factors are </w:t>
      </w:r>
      <w:r>
        <w:rPr>
          <w:rFonts w:ascii="Times New Roman" w:hAnsi="Times New Roman"/>
          <w:color w:val="231F20"/>
        </w:rPr>
        <w:t>factors that lead to contamination of  food </w:t>
      </w:r>
      <w:r>
        <w:rPr>
          <w:color w:val="231F20"/>
        </w:rPr>
        <w:t>with microorganisms or toxins, enable survival and growth of microorganisms in food, or prevent inactivation of toxins present in food. </w:t>
      </w:r>
      <w:r>
        <w:rPr>
          <w:rFonts w:ascii="Times New Roman" w:hAnsi="Times New Roman"/>
          <w:color w:val="231F20"/>
        </w:rPr>
        <w:t>Environmental antecedents—root causes—are </w:t>
      </w:r>
      <w:r>
        <w:rPr>
          <w:color w:val="231F20"/>
        </w:rPr>
        <w:t>the underlying reasons for the contributing factors. Environmental antecedents must be identified and addressed for the contributing factors to be prevented in the </w:t>
      </w:r>
      <w:r>
        <w:rPr>
          <w:color w:val="231F20"/>
          <w:spacing w:val="2"/>
        </w:rPr>
        <w:t> </w:t>
      </w:r>
      <w:r>
        <w:rPr>
          <w:color w:val="231F20"/>
        </w:rPr>
        <w:t>future.</w:t>
      </w:r>
    </w:p>
    <w:p>
      <w:pPr>
        <w:pStyle w:val="BodyText"/>
        <w:spacing w:line="261" w:lineRule="auto" w:before="166"/>
        <w:ind w:left="720"/>
        <w:jc w:val="both"/>
        <w:rPr>
          <w:rFonts w:ascii="Times New Roman"/>
        </w:rPr>
      </w:pPr>
      <w:r>
        <w:rPr>
          <w:rFonts w:ascii="Times New Roman"/>
          <w:color w:val="231F20"/>
        </w:rPr>
        <w:t>Investigators from state and local public health agencies gather information about contributing factors and environmental antecedents</w:t>
      </w:r>
    </w:p>
    <w:p>
      <w:pPr>
        <w:pStyle w:val="BodyText"/>
        <w:spacing w:line="264" w:lineRule="auto"/>
        <w:ind w:left="720" w:right="74"/>
        <w:rPr>
          <w:rFonts w:ascii="Times New Roman"/>
        </w:rPr>
      </w:pPr>
      <w:r>
        <w:rPr>
          <w:rFonts w:ascii="Times New Roman"/>
          <w:color w:val="231F20"/>
        </w:rPr>
        <w:t>in foodborne disease outbreaks through environmental health assessments conducted </w:t>
      </w:r>
      <w:r>
        <w:rPr>
          <w:color w:val="231F20"/>
          <w:spacing w:val="-3"/>
        </w:rPr>
        <w:t>by </w:t>
      </w:r>
      <w:r>
        <w:rPr>
          <w:color w:val="231F20"/>
        </w:rPr>
        <w:t>food-control officials and/or their own staff and report the results to CDC. Contributing factors cannot be identified through general inspections of operating procedures or sanitary </w:t>
      </w:r>
      <w:r>
        <w:rPr>
          <w:rFonts w:ascii="Times New Roman"/>
          <w:color w:val="231F20"/>
        </w:rPr>
        <w:t>conditions like those used for licensing or the routine inspection of  a restaurant but</w:t>
      </w:r>
      <w:r>
        <w:rPr>
          <w:rFonts w:ascii="Times New Roman"/>
          <w:color w:val="231F20"/>
          <w:spacing w:val="6"/>
        </w:rPr>
        <w:t> </w:t>
      </w:r>
      <w:r>
        <w:rPr>
          <w:rFonts w:ascii="Times New Roman"/>
          <w:color w:val="231F20"/>
        </w:rPr>
        <w:t>require</w:t>
      </w:r>
    </w:p>
    <w:p>
      <w:pPr>
        <w:pStyle w:val="BodyText"/>
        <w:spacing w:line="264" w:lineRule="auto" w:before="12"/>
        <w:ind w:left="720" w:right="231"/>
        <w:rPr>
          <w:rFonts w:ascii="Times New Roman"/>
        </w:rPr>
      </w:pPr>
      <w:r>
        <w:rPr>
          <w:color w:val="231F20"/>
        </w:rPr>
        <w:t>a systematic description of what happened and how events most likely unfolded in an outbreak. Because many investigators fail to adjust their day-to-day regulatory inspection </w:t>
      </w:r>
      <w:r>
        <w:rPr>
          <w:rFonts w:ascii="Times New Roman"/>
          <w:color w:val="231F20"/>
        </w:rPr>
        <w:t>process to conduct an environmental</w:t>
      </w:r>
    </w:p>
    <w:p>
      <w:pPr>
        <w:pStyle w:val="BodyText"/>
        <w:spacing w:line="268" w:lineRule="auto"/>
        <w:ind w:left="720" w:right="128"/>
      </w:pPr>
      <w:r>
        <w:rPr>
          <w:rFonts w:ascii="Times New Roman"/>
          <w:color w:val="231F20"/>
        </w:rPr>
        <w:t>health assessment, contributing factors and environmental antecedents in outbreaks often </w:t>
      </w:r>
      <w:r>
        <w:rPr>
          <w:color w:val="231F20"/>
        </w:rPr>
        <w:t>are  not  adequately assessed.</w:t>
      </w:r>
    </w:p>
    <w:p>
      <w:pPr>
        <w:pStyle w:val="BodyText"/>
        <w:spacing w:line="266" w:lineRule="auto" w:before="108"/>
        <w:ind w:left="319" w:right="1873"/>
      </w:pPr>
      <w:r>
        <w:rPr/>
        <w:br w:type="column"/>
      </w:r>
      <w:r>
        <w:rPr>
          <w:color w:val="231F20"/>
        </w:rPr>
        <w:t>CDC’s Environmental Health Specialists Network (EHS-Net) was established in 2000 to address the environmental causes of  foodborne disease. Current participants</w:t>
      </w:r>
    </w:p>
    <w:p>
      <w:pPr>
        <w:pStyle w:val="BodyText"/>
        <w:spacing w:line="216" w:lineRule="exact"/>
        <w:ind w:left="319"/>
        <w:rPr>
          <w:rFonts w:ascii="Times New Roman"/>
        </w:rPr>
      </w:pPr>
      <w:r>
        <w:rPr>
          <w:rFonts w:ascii="Times New Roman"/>
          <w:color w:val="231F20"/>
        </w:rPr>
        <w:t>include environmental health specialists and</w:t>
      </w:r>
    </w:p>
    <w:p>
      <w:pPr>
        <w:pStyle w:val="BodyText"/>
        <w:spacing w:line="261" w:lineRule="auto" w:before="20"/>
        <w:ind w:left="319" w:right="1501"/>
        <w:rPr>
          <w:rFonts w:ascii="Times New Roman"/>
        </w:rPr>
      </w:pPr>
      <w:r>
        <w:rPr>
          <w:rFonts w:ascii="Times New Roman"/>
          <w:color w:val="231F20"/>
        </w:rPr>
        <w:t>epidemiologists from eight state and local </w:t>
      </w:r>
      <w:r>
        <w:rPr>
          <w:color w:val="231F20"/>
        </w:rPr>
        <w:t>health departments, </w:t>
      </w:r>
      <w:r>
        <w:rPr>
          <w:color w:val="231F20"/>
          <w:spacing w:val="-4"/>
        </w:rPr>
        <w:t>FDA, </w:t>
      </w:r>
      <w:r>
        <w:rPr>
          <w:color w:val="231F20"/>
          <w:spacing w:val="-3"/>
        </w:rPr>
        <w:t>USDA, </w:t>
      </w:r>
      <w:r>
        <w:rPr>
          <w:color w:val="231F20"/>
        </w:rPr>
        <w:t>and CDC. </w:t>
      </w:r>
      <w:r>
        <w:rPr>
          <w:rFonts w:ascii="Times New Roman"/>
          <w:color w:val="231F20"/>
        </w:rPr>
        <w:t>Improving</w:t>
      </w:r>
      <w:r>
        <w:rPr>
          <w:rFonts w:ascii="Times New Roman"/>
          <w:color w:val="231F20"/>
          <w:spacing w:val="-28"/>
        </w:rPr>
        <w:t> </w:t>
      </w:r>
      <w:r>
        <w:rPr>
          <w:rFonts w:ascii="Times New Roman"/>
          <w:color w:val="231F20"/>
        </w:rPr>
        <w:t>environmental</w:t>
      </w:r>
      <w:r>
        <w:rPr>
          <w:rFonts w:ascii="Times New Roman"/>
          <w:color w:val="231F20"/>
          <w:spacing w:val="-28"/>
        </w:rPr>
        <w:t> </w:t>
      </w:r>
      <w:r>
        <w:rPr>
          <w:rFonts w:ascii="Times New Roman"/>
          <w:color w:val="231F20"/>
        </w:rPr>
        <w:t>health</w:t>
      </w:r>
      <w:r>
        <w:rPr>
          <w:rFonts w:ascii="Times New Roman"/>
          <w:color w:val="231F20"/>
          <w:spacing w:val="-28"/>
        </w:rPr>
        <w:t> </w:t>
      </w:r>
      <w:r>
        <w:rPr>
          <w:rFonts w:ascii="Times New Roman"/>
          <w:color w:val="231F20"/>
        </w:rPr>
        <w:t>assessments</w:t>
      </w:r>
      <w:r>
        <w:rPr>
          <w:rFonts w:ascii="Times New Roman"/>
          <w:color w:val="231F20"/>
          <w:spacing w:val="-28"/>
        </w:rPr>
        <w:t> </w:t>
      </w:r>
      <w:r>
        <w:rPr>
          <w:rFonts w:ascii="Times New Roman"/>
          <w:color w:val="231F20"/>
        </w:rPr>
        <w:t>in foodborne</w:t>
      </w:r>
      <w:r>
        <w:rPr>
          <w:rFonts w:ascii="Times New Roman"/>
          <w:color w:val="231F20"/>
          <w:spacing w:val="-27"/>
        </w:rPr>
        <w:t> </w:t>
      </w:r>
      <w:r>
        <w:rPr>
          <w:rFonts w:ascii="Times New Roman"/>
          <w:color w:val="231F20"/>
        </w:rPr>
        <w:t>disease</w:t>
      </w:r>
      <w:r>
        <w:rPr>
          <w:rFonts w:ascii="Times New Roman"/>
          <w:color w:val="231F20"/>
          <w:spacing w:val="-27"/>
        </w:rPr>
        <w:t> </w:t>
      </w:r>
      <w:r>
        <w:rPr>
          <w:rFonts w:ascii="Times New Roman"/>
          <w:color w:val="231F20"/>
        </w:rPr>
        <w:t>outbreak</w:t>
      </w:r>
      <w:r>
        <w:rPr>
          <w:rFonts w:ascii="Times New Roman"/>
          <w:color w:val="231F20"/>
          <w:spacing w:val="-27"/>
        </w:rPr>
        <w:t> </w:t>
      </w:r>
      <w:r>
        <w:rPr>
          <w:rFonts w:ascii="Times New Roman"/>
          <w:color w:val="231F20"/>
        </w:rPr>
        <w:t>investigations</w:t>
      </w:r>
      <w:r>
        <w:rPr>
          <w:rFonts w:ascii="Times New Roman"/>
          <w:color w:val="231F20"/>
          <w:spacing w:val="-27"/>
        </w:rPr>
        <w:t> </w:t>
      </w:r>
      <w:r>
        <w:rPr>
          <w:rFonts w:ascii="Times New Roman"/>
          <w:color w:val="231F20"/>
        </w:rPr>
        <w:t>and</w:t>
      </w:r>
    </w:p>
    <w:p>
      <w:pPr>
        <w:pStyle w:val="BodyText"/>
        <w:spacing w:line="266" w:lineRule="auto"/>
        <w:ind w:left="319" w:right="1330"/>
      </w:pPr>
      <w:r>
        <w:rPr>
          <w:rFonts w:ascii="Times New Roman" w:hAnsi="Times New Roman"/>
          <w:color w:val="231F20"/>
        </w:rPr>
        <w:t>reporting contributing factor and environmental </w:t>
      </w:r>
      <w:r>
        <w:rPr>
          <w:color w:val="231F20"/>
        </w:rPr>
        <w:t>antecedent data to CDC is one of EHS-Net’s primary research activities. Through EHS-Net, CDC has developed the National Voluntary Environmental Assessment Information System (NVEAIS), a surveillance system that routinely and systematically monitors and evaluates </w:t>
      </w:r>
      <w:r>
        <w:rPr>
          <w:rFonts w:ascii="Times New Roman" w:hAnsi="Times New Roman"/>
          <w:color w:val="231F20"/>
        </w:rPr>
        <w:t>environmental causes of foodborne disease outbreaks including contributing factors and </w:t>
      </w:r>
      <w:r>
        <w:rPr>
          <w:color w:val="231F20"/>
        </w:rPr>
        <w:t>environmental antecedents.</w:t>
      </w:r>
    </w:p>
    <w:p>
      <w:pPr>
        <w:spacing w:line="266" w:lineRule="auto" w:before="180"/>
        <w:ind w:left="319" w:right="1988" w:firstLine="0"/>
        <w:jc w:val="left"/>
        <w:rPr>
          <w:i/>
          <w:sz w:val="20"/>
        </w:rPr>
      </w:pPr>
      <w:r>
        <w:rPr>
          <w:i/>
          <w:color w:val="E36F1E"/>
          <w:w w:val="105"/>
          <w:sz w:val="20"/>
        </w:rPr>
        <w:t>Hazard surveillance during routine inspections </w:t>
      </w:r>
      <w:r>
        <w:rPr>
          <w:i/>
          <w:color w:val="E36F1E"/>
          <w:w w:val="105"/>
          <w:sz w:val="20"/>
        </w:rPr>
        <w:t>(2.3.2.4)</w:t>
      </w:r>
    </w:p>
    <w:p>
      <w:pPr>
        <w:pStyle w:val="BodyText"/>
        <w:spacing w:line="216" w:lineRule="exact"/>
        <w:ind w:left="319"/>
        <w:rPr>
          <w:rFonts w:ascii="Times New Roman"/>
        </w:rPr>
      </w:pPr>
      <w:r>
        <w:rPr>
          <w:rFonts w:ascii="Times New Roman"/>
          <w:color w:val="231F20"/>
        </w:rPr>
        <w:t>Contributing factors are used to develop</w:t>
      </w:r>
    </w:p>
    <w:p>
      <w:pPr>
        <w:pStyle w:val="BodyText"/>
        <w:spacing w:line="266" w:lineRule="auto" w:before="20"/>
        <w:ind w:left="319" w:right="1645"/>
      </w:pPr>
      <w:r>
        <w:rPr>
          <w:rFonts w:ascii="Times New Roman"/>
          <w:color w:val="231F20"/>
        </w:rPr>
        <w:t>prevention and control measures at food- production and food-service facilities before </w:t>
      </w:r>
      <w:r>
        <w:rPr>
          <w:color w:val="231F20"/>
        </w:rPr>
        <w:t>a food-safety problem occurs. Inspections of these facilities, often referred to as Hazard Analysis Critical Control Point   (HACCP)</w:t>
      </w:r>
    </w:p>
    <w:p>
      <w:pPr>
        <w:pStyle w:val="BodyText"/>
        <w:spacing w:line="216" w:lineRule="exact"/>
        <w:ind w:left="319"/>
        <w:rPr>
          <w:rFonts w:ascii="Times New Roman"/>
        </w:rPr>
      </w:pPr>
      <w:r>
        <w:rPr>
          <w:rFonts w:ascii="Times New Roman"/>
          <w:color w:val="231F20"/>
        </w:rPr>
        <w:t>inspections, are targeted at the implementation</w:t>
      </w:r>
    </w:p>
    <w:p>
      <w:pPr>
        <w:pStyle w:val="BodyText"/>
        <w:spacing w:line="266" w:lineRule="auto" w:before="34"/>
        <w:ind w:left="319" w:right="1501"/>
      </w:pPr>
      <w:r>
        <w:rPr>
          <w:color w:val="231F20"/>
        </w:rPr>
        <w:t>of these measures. Results of these inspections form the basis for hazard surveillance. No national hazard surveillance system   exists.</w:t>
      </w:r>
    </w:p>
    <w:p>
      <w:pPr>
        <w:spacing w:line="266" w:lineRule="auto" w:before="179"/>
        <w:ind w:left="319" w:right="1873" w:firstLine="0"/>
        <w:jc w:val="left"/>
        <w:rPr>
          <w:i/>
          <w:sz w:val="20"/>
        </w:rPr>
      </w:pPr>
      <w:r>
        <w:rPr>
          <w:i/>
          <w:color w:val="E36F1E"/>
          <w:sz w:val="20"/>
        </w:rPr>
        <w:t>Foodborne Diseases Active Surveillance System </w:t>
      </w:r>
      <w:r>
        <w:rPr>
          <w:i/>
          <w:color w:val="E36F1E"/>
          <w:sz w:val="20"/>
        </w:rPr>
        <w:t>(FoodNet) (2.3.2.5)</w:t>
      </w:r>
    </w:p>
    <w:p>
      <w:pPr>
        <w:pStyle w:val="BodyText"/>
        <w:spacing w:line="266" w:lineRule="auto"/>
        <w:ind w:left="319" w:right="1521"/>
      </w:pPr>
      <w:r>
        <w:rPr>
          <w:color w:val="231F20"/>
          <w:w w:val="105"/>
        </w:rPr>
        <w:t>FoodNet is a sentinel surveillance system at 10 participating sites in the United States, undertaken in collaboration with CDC, USDA, and FDA. FoodNet concentrates on foodborne disease documented by laboratory</w:t>
      </w:r>
    </w:p>
    <w:p>
      <w:pPr>
        <w:pStyle w:val="BodyText"/>
        <w:spacing w:line="266" w:lineRule="auto"/>
        <w:ind w:left="319" w:right="1381"/>
      </w:pPr>
      <w:r>
        <w:rPr>
          <w:color w:val="231F20"/>
          <w:w w:val="105"/>
        </w:rPr>
        <w:t>testing and is an active surveillance system (i.e., investigators regularly contact laboratories</w:t>
      </w:r>
    </w:p>
    <w:p>
      <w:pPr>
        <w:pStyle w:val="BodyText"/>
        <w:spacing w:line="264" w:lineRule="auto"/>
        <w:ind w:left="319" w:right="1501"/>
      </w:pPr>
      <w:r>
        <w:rPr>
          <w:color w:val="231F20"/>
          <w:w w:val="105"/>
        </w:rPr>
        <w:t>to enhance reporting). </w:t>
      </w:r>
      <w:r>
        <w:rPr>
          <w:color w:val="231F20"/>
          <w:spacing w:val="-3"/>
          <w:w w:val="105"/>
        </w:rPr>
        <w:t>FoodNet </w:t>
      </w:r>
      <w:r>
        <w:rPr>
          <w:color w:val="231F20"/>
          <w:w w:val="105"/>
        </w:rPr>
        <w:t>serves as a platform</w:t>
      </w:r>
      <w:r>
        <w:rPr>
          <w:color w:val="231F20"/>
          <w:spacing w:val="-14"/>
          <w:w w:val="105"/>
        </w:rPr>
        <w:t> </w:t>
      </w:r>
      <w:r>
        <w:rPr>
          <w:color w:val="231F20"/>
          <w:w w:val="105"/>
        </w:rPr>
        <w:t>for</w:t>
      </w:r>
      <w:r>
        <w:rPr>
          <w:color w:val="231F20"/>
          <w:spacing w:val="-14"/>
          <w:w w:val="105"/>
        </w:rPr>
        <w:t> </w:t>
      </w:r>
      <w:r>
        <w:rPr>
          <w:color w:val="231F20"/>
          <w:w w:val="105"/>
        </w:rPr>
        <w:t>a</w:t>
      </w:r>
      <w:r>
        <w:rPr>
          <w:color w:val="231F20"/>
          <w:spacing w:val="-14"/>
          <w:w w:val="105"/>
        </w:rPr>
        <w:t> </w:t>
      </w:r>
      <w:r>
        <w:rPr>
          <w:color w:val="231F20"/>
          <w:w w:val="105"/>
        </w:rPr>
        <w:t>variety</w:t>
      </w:r>
      <w:r>
        <w:rPr>
          <w:color w:val="231F20"/>
          <w:spacing w:val="-14"/>
          <w:w w:val="105"/>
        </w:rPr>
        <w:t> </w:t>
      </w:r>
      <w:r>
        <w:rPr>
          <w:color w:val="231F20"/>
          <w:w w:val="105"/>
        </w:rPr>
        <w:t>of</w:t>
      </w:r>
      <w:r>
        <w:rPr>
          <w:color w:val="231F20"/>
          <w:spacing w:val="7"/>
          <w:w w:val="105"/>
        </w:rPr>
        <w:t> </w:t>
      </w:r>
      <w:r>
        <w:rPr>
          <w:color w:val="231F20"/>
          <w:w w:val="105"/>
        </w:rPr>
        <w:t>epidemiologic</w:t>
      </w:r>
      <w:r>
        <w:rPr>
          <w:color w:val="231F20"/>
          <w:spacing w:val="-14"/>
          <w:w w:val="105"/>
        </w:rPr>
        <w:t> </w:t>
      </w:r>
      <w:r>
        <w:rPr>
          <w:color w:val="231F20"/>
          <w:w w:val="105"/>
        </w:rPr>
        <w:t>studies </w:t>
      </w:r>
      <w:r>
        <w:rPr>
          <w:rFonts w:ascii="Times New Roman"/>
          <w:color w:val="231F20"/>
          <w:w w:val="105"/>
        </w:rPr>
        <w:t>that</w:t>
      </w:r>
      <w:r>
        <w:rPr>
          <w:rFonts w:ascii="Times New Roman"/>
          <w:color w:val="231F20"/>
          <w:spacing w:val="-25"/>
          <w:w w:val="105"/>
        </w:rPr>
        <w:t> </w:t>
      </w:r>
      <w:r>
        <w:rPr>
          <w:rFonts w:ascii="Times New Roman"/>
          <w:color w:val="231F20"/>
          <w:w w:val="105"/>
        </w:rPr>
        <w:t>provide</w:t>
      </w:r>
      <w:r>
        <w:rPr>
          <w:rFonts w:ascii="Times New Roman"/>
          <w:color w:val="231F20"/>
          <w:spacing w:val="-25"/>
          <w:w w:val="105"/>
        </w:rPr>
        <w:t> </w:t>
      </w:r>
      <w:r>
        <w:rPr>
          <w:rFonts w:ascii="Times New Roman"/>
          <w:color w:val="231F20"/>
          <w:w w:val="105"/>
        </w:rPr>
        <w:t>insights</w:t>
      </w:r>
      <w:r>
        <w:rPr>
          <w:rFonts w:ascii="Times New Roman"/>
          <w:color w:val="231F20"/>
          <w:spacing w:val="-26"/>
          <w:w w:val="105"/>
        </w:rPr>
        <w:t> </w:t>
      </w:r>
      <w:r>
        <w:rPr>
          <w:rFonts w:ascii="Times New Roman"/>
          <w:color w:val="231F20"/>
          <w:w w:val="105"/>
        </w:rPr>
        <w:t>into</w:t>
      </w:r>
      <w:r>
        <w:rPr>
          <w:rFonts w:ascii="Times New Roman"/>
          <w:color w:val="231F20"/>
          <w:spacing w:val="-25"/>
          <w:w w:val="105"/>
        </w:rPr>
        <w:t> </w:t>
      </w:r>
      <w:r>
        <w:rPr>
          <w:rFonts w:ascii="Times New Roman"/>
          <w:color w:val="231F20"/>
          <w:w w:val="105"/>
        </w:rPr>
        <w:t>the</w:t>
      </w:r>
      <w:r>
        <w:rPr>
          <w:rFonts w:ascii="Times New Roman"/>
          <w:color w:val="231F20"/>
          <w:spacing w:val="-26"/>
          <w:w w:val="105"/>
        </w:rPr>
        <w:t> </w:t>
      </w:r>
      <w:r>
        <w:rPr>
          <w:rFonts w:ascii="Times New Roman"/>
          <w:color w:val="231F20"/>
          <w:w w:val="105"/>
        </w:rPr>
        <w:t>incidence</w:t>
      </w:r>
      <w:r>
        <w:rPr>
          <w:rFonts w:ascii="Times New Roman"/>
          <w:color w:val="231F20"/>
          <w:spacing w:val="-25"/>
          <w:w w:val="105"/>
        </w:rPr>
        <w:t> </w:t>
      </w:r>
      <w:r>
        <w:rPr>
          <w:rFonts w:ascii="Times New Roman"/>
          <w:color w:val="231F20"/>
          <w:w w:val="105"/>
        </w:rPr>
        <w:t>of</w:t>
      </w:r>
      <w:r>
        <w:rPr>
          <w:rFonts w:ascii="Times New Roman"/>
          <w:color w:val="231F20"/>
          <w:spacing w:val="-9"/>
          <w:w w:val="105"/>
        </w:rPr>
        <w:t> </w:t>
      </w:r>
      <w:r>
        <w:rPr>
          <w:rFonts w:ascii="Times New Roman"/>
          <w:color w:val="231F20"/>
          <w:w w:val="105"/>
        </w:rPr>
        <w:t>and </w:t>
      </w:r>
      <w:r>
        <w:rPr>
          <w:color w:val="231F20"/>
          <w:w w:val="105"/>
        </w:rPr>
        <w:t>trends</w:t>
      </w:r>
      <w:r>
        <w:rPr>
          <w:color w:val="231F20"/>
          <w:spacing w:val="-10"/>
          <w:w w:val="105"/>
        </w:rPr>
        <w:t> </w:t>
      </w:r>
      <w:r>
        <w:rPr>
          <w:color w:val="231F20"/>
          <w:w w:val="105"/>
        </w:rPr>
        <w:t>in</w:t>
      </w:r>
      <w:r>
        <w:rPr>
          <w:color w:val="231F20"/>
          <w:spacing w:val="-10"/>
          <w:w w:val="105"/>
        </w:rPr>
        <w:t> </w:t>
      </w:r>
      <w:r>
        <w:rPr>
          <w:color w:val="231F20"/>
          <w:w w:val="105"/>
        </w:rPr>
        <w:t>foodborne</w:t>
      </w:r>
      <w:r>
        <w:rPr>
          <w:color w:val="231F20"/>
          <w:spacing w:val="-10"/>
          <w:w w:val="105"/>
        </w:rPr>
        <w:t> </w:t>
      </w:r>
      <w:r>
        <w:rPr>
          <w:color w:val="231F20"/>
          <w:w w:val="105"/>
        </w:rPr>
        <w:t>and</w:t>
      </w:r>
      <w:r>
        <w:rPr>
          <w:color w:val="231F20"/>
          <w:spacing w:val="-10"/>
          <w:w w:val="105"/>
        </w:rPr>
        <w:t> </w:t>
      </w:r>
      <w:r>
        <w:rPr>
          <w:color w:val="231F20"/>
          <w:w w:val="105"/>
        </w:rPr>
        <w:t>diarrheal</w:t>
      </w:r>
      <w:r>
        <w:rPr>
          <w:color w:val="231F20"/>
          <w:spacing w:val="-10"/>
          <w:w w:val="105"/>
        </w:rPr>
        <w:t> </w:t>
      </w:r>
      <w:r>
        <w:rPr>
          <w:color w:val="231F20"/>
          <w:w w:val="105"/>
        </w:rPr>
        <w:t>diseases.</w:t>
      </w:r>
    </w:p>
    <w:p>
      <w:pPr>
        <w:spacing w:after="0" w:line="264" w:lineRule="auto"/>
        <w:sectPr>
          <w:type w:val="continuous"/>
          <w:pgSz w:w="10080" w:h="14400"/>
          <w:pgMar w:top="0" w:bottom="360" w:left="0" w:right="0"/>
          <w:cols w:num="2" w:equalWidth="0">
            <w:col w:w="4501" w:space="40"/>
            <w:col w:w="5539"/>
          </w:cols>
        </w:sectPr>
      </w:pPr>
    </w:p>
    <w:p>
      <w:pPr>
        <w:pStyle w:val="BodyText"/>
        <w:spacing w:before="8"/>
        <w:rPr>
          <w:sz w:val="10"/>
        </w:rPr>
      </w:pPr>
    </w:p>
    <w:p>
      <w:pPr>
        <w:pStyle w:val="Heading1"/>
        <w:spacing w:line="249" w:lineRule="auto"/>
        <w:ind w:right="1582"/>
      </w:pPr>
      <w:r>
        <w:rPr/>
        <w:pict>
          <v:line style="position:absolute;mso-position-horizontal-relative:page;mso-position-vertical-relative:paragraph;z-index:1576;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1600" filled="true" fillcolor="#0079c1" stroked="false">
            <v:fill type="solid"/>
            <w10:wrap type="none"/>
          </v:rect>
        </w:pict>
      </w:r>
      <w:r>
        <w:rPr/>
        <w:pict>
          <v:line style="position:absolute;mso-position-horizontal-relative:page;mso-position-vertical-relative:paragraph;z-index:1624"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1648"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4" w:lineRule="auto" w:before="108"/>
        <w:ind w:left="1440" w:right="123"/>
        <w:jc w:val="both"/>
      </w:pPr>
      <w:r>
        <w:rPr>
          <w:color w:val="231F20"/>
          <w:spacing w:val="-3"/>
        </w:rPr>
        <w:t>FoodNet </w:t>
      </w:r>
      <w:r>
        <w:rPr>
          <w:color w:val="231F20"/>
        </w:rPr>
        <w:t>sites periodically conduct surveys of </w:t>
      </w:r>
      <w:r>
        <w:rPr>
          <w:rFonts w:ascii="Times New Roman"/>
          <w:color w:val="231F20"/>
        </w:rPr>
        <w:t>the population to estimate background rates </w:t>
      </w:r>
      <w:r>
        <w:rPr>
          <w:color w:val="231F20"/>
        </w:rPr>
        <w:t>of consumption of a variety of food items in the </w:t>
      </w:r>
      <w:r>
        <w:rPr>
          <w:color w:val="231F20"/>
          <w:spacing w:val="-3"/>
        </w:rPr>
        <w:t>community.  </w:t>
      </w:r>
      <w:r>
        <w:rPr>
          <w:color w:val="231F20"/>
        </w:rPr>
        <w:t>The results, distributed in  the</w:t>
      </w:r>
    </w:p>
    <w:p>
      <w:pPr>
        <w:pStyle w:val="BodyText"/>
        <w:spacing w:line="264" w:lineRule="auto" w:before="2"/>
        <w:ind w:left="1440" w:right="20"/>
      </w:pPr>
      <w:r>
        <w:rPr>
          <w:color w:val="231F20"/>
          <w:spacing w:val="-3"/>
          <w:w w:val="105"/>
        </w:rPr>
        <w:t>FoodNet</w:t>
      </w:r>
      <w:r>
        <w:rPr>
          <w:color w:val="231F20"/>
          <w:spacing w:val="-20"/>
          <w:w w:val="105"/>
        </w:rPr>
        <w:t> </w:t>
      </w:r>
      <w:r>
        <w:rPr>
          <w:color w:val="231F20"/>
          <w:w w:val="105"/>
        </w:rPr>
        <w:t>Atlas</w:t>
      </w:r>
      <w:r>
        <w:rPr>
          <w:color w:val="231F20"/>
          <w:spacing w:val="-20"/>
          <w:w w:val="105"/>
        </w:rPr>
        <w:t> </w:t>
      </w:r>
      <w:r>
        <w:rPr>
          <w:color w:val="231F20"/>
          <w:w w:val="105"/>
        </w:rPr>
        <w:t>of</w:t>
      </w:r>
      <w:r>
        <w:rPr>
          <w:color w:val="231F20"/>
          <w:spacing w:val="-1"/>
          <w:w w:val="105"/>
        </w:rPr>
        <w:t> </w:t>
      </w:r>
      <w:r>
        <w:rPr>
          <w:color w:val="231F20"/>
          <w:w w:val="105"/>
        </w:rPr>
        <w:t>Exposures,</w:t>
      </w:r>
      <w:r>
        <w:rPr>
          <w:color w:val="231F20"/>
          <w:spacing w:val="-20"/>
          <w:w w:val="105"/>
        </w:rPr>
        <w:t> </w:t>
      </w:r>
      <w:r>
        <w:rPr>
          <w:color w:val="231F20"/>
          <w:w w:val="105"/>
        </w:rPr>
        <w:t>can</w:t>
      </w:r>
      <w:r>
        <w:rPr>
          <w:color w:val="231F20"/>
          <w:spacing w:val="-20"/>
          <w:w w:val="105"/>
        </w:rPr>
        <w:t> </w:t>
      </w:r>
      <w:r>
        <w:rPr>
          <w:color w:val="231F20"/>
          <w:w w:val="105"/>
        </w:rPr>
        <w:t>be</w:t>
      </w:r>
      <w:r>
        <w:rPr>
          <w:color w:val="231F20"/>
          <w:spacing w:val="-20"/>
          <w:w w:val="105"/>
        </w:rPr>
        <w:t> </w:t>
      </w:r>
      <w:r>
        <w:rPr>
          <w:color w:val="231F20"/>
          <w:w w:val="105"/>
        </w:rPr>
        <w:t>compared to rates of exposure to certain food items </w:t>
      </w:r>
      <w:r>
        <w:rPr>
          <w:rFonts w:ascii="Times New Roman"/>
          <w:color w:val="231F20"/>
          <w:w w:val="105"/>
        </w:rPr>
        <w:t>among</w:t>
      </w:r>
      <w:r>
        <w:rPr>
          <w:rFonts w:ascii="Times New Roman"/>
          <w:color w:val="231F20"/>
          <w:spacing w:val="-24"/>
          <w:w w:val="105"/>
        </w:rPr>
        <w:t> </w:t>
      </w:r>
      <w:r>
        <w:rPr>
          <w:rFonts w:ascii="Times New Roman"/>
          <w:color w:val="231F20"/>
          <w:w w:val="105"/>
        </w:rPr>
        <w:t>cases</w:t>
      </w:r>
      <w:r>
        <w:rPr>
          <w:rFonts w:ascii="Times New Roman"/>
          <w:color w:val="231F20"/>
          <w:spacing w:val="-23"/>
          <w:w w:val="105"/>
        </w:rPr>
        <w:t> </w:t>
      </w:r>
      <w:r>
        <w:rPr>
          <w:rFonts w:ascii="Times New Roman"/>
          <w:color w:val="231F20"/>
          <w:w w:val="105"/>
        </w:rPr>
        <w:t>in</w:t>
      </w:r>
      <w:r>
        <w:rPr>
          <w:rFonts w:ascii="Times New Roman"/>
          <w:color w:val="231F20"/>
          <w:spacing w:val="-24"/>
          <w:w w:val="105"/>
        </w:rPr>
        <w:t> </w:t>
      </w:r>
      <w:r>
        <w:rPr>
          <w:rFonts w:ascii="Times New Roman"/>
          <w:color w:val="231F20"/>
          <w:w w:val="105"/>
        </w:rPr>
        <w:t>a</w:t>
      </w:r>
      <w:r>
        <w:rPr>
          <w:rFonts w:ascii="Times New Roman"/>
          <w:color w:val="231F20"/>
          <w:spacing w:val="-23"/>
          <w:w w:val="105"/>
        </w:rPr>
        <w:t> </w:t>
      </w:r>
      <w:r>
        <w:rPr>
          <w:rFonts w:ascii="Times New Roman"/>
          <w:color w:val="231F20"/>
          <w:w w:val="105"/>
        </w:rPr>
        <w:t>foodborne</w:t>
      </w:r>
      <w:r>
        <w:rPr>
          <w:rFonts w:ascii="Times New Roman"/>
          <w:color w:val="231F20"/>
          <w:spacing w:val="-23"/>
          <w:w w:val="105"/>
        </w:rPr>
        <w:t> </w:t>
      </w:r>
      <w:r>
        <w:rPr>
          <w:rFonts w:ascii="Times New Roman"/>
          <w:color w:val="231F20"/>
          <w:w w:val="105"/>
        </w:rPr>
        <w:t>disease</w:t>
      </w:r>
      <w:r>
        <w:rPr>
          <w:rFonts w:ascii="Times New Roman"/>
          <w:color w:val="231F20"/>
          <w:spacing w:val="-23"/>
          <w:w w:val="105"/>
        </w:rPr>
        <w:t> </w:t>
      </w:r>
      <w:r>
        <w:rPr>
          <w:rFonts w:ascii="Times New Roman"/>
          <w:color w:val="231F20"/>
          <w:w w:val="105"/>
        </w:rPr>
        <w:t>outbreak </w:t>
      </w:r>
      <w:r>
        <w:rPr>
          <w:color w:val="231F20"/>
          <w:w w:val="105"/>
        </w:rPr>
        <w:t>investigation</w:t>
      </w:r>
      <w:r>
        <w:rPr>
          <w:color w:val="231F20"/>
          <w:spacing w:val="-30"/>
          <w:w w:val="105"/>
        </w:rPr>
        <w:t> </w:t>
      </w:r>
      <w:r>
        <w:rPr>
          <w:color w:val="231F20"/>
          <w:w w:val="105"/>
        </w:rPr>
        <w:t>for</w:t>
      </w:r>
      <w:r>
        <w:rPr>
          <w:color w:val="231F20"/>
          <w:spacing w:val="-30"/>
          <w:w w:val="105"/>
        </w:rPr>
        <w:t> </w:t>
      </w:r>
      <w:r>
        <w:rPr>
          <w:color w:val="231F20"/>
          <w:w w:val="105"/>
        </w:rPr>
        <w:t>hypothesis</w:t>
      </w:r>
      <w:r>
        <w:rPr>
          <w:color w:val="231F20"/>
          <w:spacing w:val="-30"/>
          <w:w w:val="105"/>
        </w:rPr>
        <w:t> </w:t>
      </w:r>
      <w:r>
        <w:rPr>
          <w:color w:val="231F20"/>
          <w:w w:val="105"/>
        </w:rPr>
        <w:t>generation.</w:t>
      </w:r>
    </w:p>
    <w:p>
      <w:pPr>
        <w:spacing w:line="266" w:lineRule="auto" w:before="182"/>
        <w:ind w:left="1440" w:right="92" w:firstLine="0"/>
        <w:jc w:val="left"/>
        <w:rPr>
          <w:i/>
          <w:sz w:val="20"/>
        </w:rPr>
      </w:pPr>
      <w:r>
        <w:rPr>
          <w:i/>
          <w:color w:val="E36F1E"/>
          <w:w w:val="105"/>
          <w:sz w:val="20"/>
        </w:rPr>
        <w:t>Behavioral</w:t>
      </w:r>
      <w:r>
        <w:rPr>
          <w:i/>
          <w:color w:val="E36F1E"/>
          <w:spacing w:val="-31"/>
          <w:w w:val="105"/>
          <w:sz w:val="20"/>
        </w:rPr>
        <w:t> </w:t>
      </w:r>
      <w:r>
        <w:rPr>
          <w:i/>
          <w:color w:val="E36F1E"/>
          <w:w w:val="105"/>
          <w:sz w:val="20"/>
        </w:rPr>
        <w:t>Risk</w:t>
      </w:r>
      <w:r>
        <w:rPr>
          <w:i/>
          <w:color w:val="E36F1E"/>
          <w:spacing w:val="-31"/>
          <w:w w:val="105"/>
          <w:sz w:val="20"/>
        </w:rPr>
        <w:t> </w:t>
      </w:r>
      <w:r>
        <w:rPr>
          <w:i/>
          <w:color w:val="E36F1E"/>
          <w:w w:val="105"/>
          <w:sz w:val="20"/>
        </w:rPr>
        <w:t>Factor</w:t>
      </w:r>
      <w:r>
        <w:rPr>
          <w:i/>
          <w:color w:val="E36F1E"/>
          <w:spacing w:val="-31"/>
          <w:w w:val="105"/>
          <w:sz w:val="20"/>
        </w:rPr>
        <w:t> </w:t>
      </w:r>
      <w:r>
        <w:rPr>
          <w:i/>
          <w:color w:val="E36F1E"/>
          <w:w w:val="105"/>
          <w:sz w:val="20"/>
        </w:rPr>
        <w:t>Surveillance</w:t>
      </w:r>
      <w:r>
        <w:rPr>
          <w:i/>
          <w:color w:val="E36F1E"/>
          <w:spacing w:val="-31"/>
          <w:w w:val="105"/>
          <w:sz w:val="20"/>
        </w:rPr>
        <w:t> </w:t>
      </w:r>
      <w:r>
        <w:rPr>
          <w:i/>
          <w:color w:val="E36F1E"/>
          <w:w w:val="105"/>
          <w:sz w:val="20"/>
        </w:rPr>
        <w:t>System</w:t>
      </w:r>
      <w:r>
        <w:rPr>
          <w:i/>
          <w:color w:val="E36F1E"/>
          <w:spacing w:val="-31"/>
          <w:w w:val="105"/>
          <w:sz w:val="20"/>
        </w:rPr>
        <w:t> </w:t>
      </w:r>
      <w:r>
        <w:rPr>
          <w:i/>
          <w:color w:val="E36F1E"/>
          <w:w w:val="105"/>
          <w:sz w:val="20"/>
        </w:rPr>
        <w:t>(BRFSS) </w:t>
      </w:r>
      <w:r>
        <w:rPr>
          <w:i/>
          <w:color w:val="E36F1E"/>
          <w:w w:val="105"/>
          <w:sz w:val="20"/>
        </w:rPr>
        <w:t>(2.3.2.6)</w:t>
      </w:r>
    </w:p>
    <w:p>
      <w:pPr>
        <w:pStyle w:val="BodyText"/>
        <w:spacing w:line="266" w:lineRule="auto"/>
        <w:ind w:left="1440" w:right="20"/>
      </w:pPr>
      <w:r>
        <w:rPr>
          <w:color w:val="231F20"/>
        </w:rPr>
        <w:t>BRFSS is a state-based telephone survey established by CDC that collects information </w:t>
      </w:r>
      <w:r>
        <w:rPr>
          <w:rFonts w:ascii="Times New Roman"/>
          <w:color w:val="231F20"/>
        </w:rPr>
        <w:t>about health risk behaviors, preventive health </w:t>
      </w:r>
      <w:r>
        <w:rPr>
          <w:color w:val="231F20"/>
        </w:rPr>
        <w:t>practices, and health-care access. BRFSS is not</w:t>
      </w:r>
      <w:r>
        <w:rPr>
          <w:color w:val="231F20"/>
          <w:w w:val="100"/>
        </w:rPr>
        <w:t> </w:t>
      </w:r>
      <w:r>
        <w:rPr>
          <w:color w:val="231F20"/>
        </w:rPr>
        <w:t>an appropriate system for detecting foodborne illness, but it can be used to identify behaviors (e.g., food-handling practices and eating meals away from home) that can inform foodborne illness prevention efforts.</w:t>
      </w:r>
    </w:p>
    <w:p>
      <w:pPr>
        <w:spacing w:line="266" w:lineRule="auto" w:before="180"/>
        <w:ind w:left="1440" w:right="20" w:firstLine="0"/>
        <w:jc w:val="left"/>
        <w:rPr>
          <w:i/>
          <w:sz w:val="20"/>
        </w:rPr>
      </w:pPr>
      <w:r>
        <w:rPr>
          <w:i/>
          <w:color w:val="E36F1E"/>
          <w:sz w:val="20"/>
        </w:rPr>
        <w:t>National Molecular Subtyping Network for Foodborne </w:t>
      </w:r>
      <w:r>
        <w:rPr>
          <w:i/>
          <w:color w:val="E36F1E"/>
          <w:w w:val="105"/>
          <w:sz w:val="20"/>
        </w:rPr>
        <w:t>Disease Surveillance (PulseNet) (2.3.2.7)</w:t>
      </w:r>
    </w:p>
    <w:p>
      <w:pPr>
        <w:pStyle w:val="BodyText"/>
        <w:spacing w:line="264" w:lineRule="auto"/>
        <w:ind w:left="1440" w:right="323"/>
      </w:pPr>
      <w:r>
        <w:rPr>
          <w:color w:val="231F20"/>
        </w:rPr>
        <w:t>PulseNet is a national network of local, </w:t>
      </w:r>
      <w:r>
        <w:rPr>
          <w:rFonts w:ascii="Times New Roman"/>
          <w:color w:val="231F20"/>
        </w:rPr>
        <w:t>state, territorial, and federal laboratories </w:t>
      </w:r>
      <w:r>
        <w:rPr>
          <w:color w:val="231F20"/>
        </w:rPr>
        <w:t>coordinated by CDC that perform pulsed- field gel electrophoresis (PFGE) on selected enteric pathogens by  using  standardized</w:t>
      </w:r>
    </w:p>
    <w:p>
      <w:pPr>
        <w:pStyle w:val="BodyText"/>
        <w:spacing w:line="266" w:lineRule="auto" w:before="2"/>
        <w:ind w:left="1440" w:right="188"/>
      </w:pPr>
      <w:r>
        <w:rPr>
          <w:color w:val="231F20"/>
        </w:rPr>
        <w:t>methods. PulseNet enables investigators from participating sites to upload PFGE patterns  </w:t>
      </w:r>
      <w:r>
        <w:rPr>
          <w:rFonts w:ascii="Times New Roman"/>
          <w:color w:val="231F20"/>
        </w:rPr>
        <w:t>to an electronic database and compare them </w:t>
      </w:r>
      <w:r>
        <w:rPr>
          <w:color w:val="231F20"/>
        </w:rPr>
        <w:t>with patterns of  other pathogens isolated from humans, animals, and foods to identify matches and possible linkages </w:t>
      </w:r>
      <w:r>
        <w:rPr>
          <w:color w:val="231F20"/>
          <w:spacing w:val="28"/>
        </w:rPr>
        <w:t> </w:t>
      </w:r>
      <w:r>
        <w:rPr>
          <w:color w:val="231F20"/>
        </w:rPr>
        <w:t>between</w:t>
      </w:r>
    </w:p>
    <w:p>
      <w:pPr>
        <w:pStyle w:val="BodyText"/>
        <w:spacing w:line="264" w:lineRule="auto"/>
        <w:ind w:left="1440" w:right="31"/>
      </w:pPr>
      <w:r>
        <w:rPr>
          <w:color w:val="231F20"/>
        </w:rPr>
        <w:t>pathogens (e.g., outbreaks). PulseNet has vastly improved rapid detection of even relatively </w:t>
      </w:r>
      <w:r>
        <w:rPr>
          <w:rFonts w:ascii="Times New Roman"/>
          <w:color w:val="231F20"/>
        </w:rPr>
        <w:t>small foodborne disease outbreaks that occur </w:t>
      </w:r>
      <w:r>
        <w:rPr>
          <w:color w:val="231F20"/>
        </w:rPr>
        <w:t>in multiple sites across the  country.</w:t>
      </w:r>
    </w:p>
    <w:p>
      <w:pPr>
        <w:spacing w:line="266" w:lineRule="auto" w:before="182"/>
        <w:ind w:left="1440" w:right="108" w:firstLine="0"/>
        <w:jc w:val="left"/>
        <w:rPr>
          <w:sz w:val="20"/>
        </w:rPr>
      </w:pPr>
      <w:r>
        <w:rPr>
          <w:i/>
          <w:color w:val="E36F1E"/>
          <w:w w:val="105"/>
          <w:sz w:val="20"/>
        </w:rPr>
        <w:t>National Antimicrobial Resistance Monitoring </w:t>
      </w:r>
      <w:r>
        <w:rPr>
          <w:i/>
          <w:color w:val="E36F1E"/>
          <w:w w:val="105"/>
          <w:sz w:val="20"/>
        </w:rPr>
        <w:t>System—Enteric Bacteria (NARMS) (2.3.2.8) </w:t>
      </w:r>
      <w:r>
        <w:rPr>
          <w:color w:val="231F20"/>
          <w:w w:val="105"/>
          <w:sz w:val="20"/>
        </w:rPr>
        <w:t>NARMS</w:t>
      </w:r>
      <w:r>
        <w:rPr>
          <w:color w:val="231F20"/>
          <w:spacing w:val="-13"/>
          <w:w w:val="105"/>
          <w:sz w:val="20"/>
        </w:rPr>
        <w:t> </w:t>
      </w:r>
      <w:r>
        <w:rPr>
          <w:color w:val="231F20"/>
          <w:w w:val="105"/>
          <w:sz w:val="20"/>
        </w:rPr>
        <w:t>was</w:t>
      </w:r>
      <w:r>
        <w:rPr>
          <w:color w:val="231F20"/>
          <w:spacing w:val="-13"/>
          <w:w w:val="105"/>
          <w:sz w:val="20"/>
        </w:rPr>
        <w:t> </w:t>
      </w:r>
      <w:r>
        <w:rPr>
          <w:color w:val="231F20"/>
          <w:w w:val="105"/>
          <w:sz w:val="20"/>
        </w:rPr>
        <w:t>developed</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monitor</w:t>
      </w:r>
      <w:r>
        <w:rPr>
          <w:color w:val="231F20"/>
          <w:spacing w:val="-13"/>
          <w:w w:val="105"/>
          <w:sz w:val="20"/>
        </w:rPr>
        <w:t> </w:t>
      </w:r>
      <w:r>
        <w:rPr>
          <w:color w:val="231F20"/>
          <w:w w:val="105"/>
          <w:sz w:val="20"/>
        </w:rPr>
        <w:t>antibiotic </w:t>
      </w:r>
      <w:r>
        <w:rPr>
          <w:rFonts w:ascii="Times New Roman" w:hAnsi="Times New Roman"/>
          <w:color w:val="231F20"/>
          <w:w w:val="105"/>
          <w:sz w:val="20"/>
        </w:rPr>
        <w:t>resistance</w:t>
      </w:r>
      <w:r>
        <w:rPr>
          <w:rFonts w:ascii="Times New Roman" w:hAnsi="Times New Roman"/>
          <w:color w:val="231F20"/>
          <w:spacing w:val="-31"/>
          <w:w w:val="105"/>
          <w:sz w:val="20"/>
        </w:rPr>
        <w:t> </w:t>
      </w:r>
      <w:r>
        <w:rPr>
          <w:rFonts w:ascii="Times New Roman" w:hAnsi="Times New Roman"/>
          <w:color w:val="231F20"/>
          <w:w w:val="105"/>
          <w:sz w:val="20"/>
        </w:rPr>
        <w:t>patterns</w:t>
      </w:r>
      <w:r>
        <w:rPr>
          <w:rFonts w:ascii="Times New Roman" w:hAnsi="Times New Roman"/>
          <w:color w:val="231F20"/>
          <w:spacing w:val="-30"/>
          <w:w w:val="105"/>
          <w:sz w:val="20"/>
        </w:rPr>
        <w:t> </w:t>
      </w:r>
      <w:r>
        <w:rPr>
          <w:rFonts w:ascii="Times New Roman" w:hAnsi="Times New Roman"/>
          <w:color w:val="231F20"/>
          <w:w w:val="105"/>
          <w:sz w:val="20"/>
        </w:rPr>
        <w:t>in</w:t>
      </w:r>
      <w:r>
        <w:rPr>
          <w:rFonts w:ascii="Times New Roman" w:hAnsi="Times New Roman"/>
          <w:color w:val="231F20"/>
          <w:spacing w:val="-30"/>
          <w:w w:val="105"/>
          <w:sz w:val="20"/>
        </w:rPr>
        <w:t> </w:t>
      </w:r>
      <w:r>
        <w:rPr>
          <w:rFonts w:ascii="Times New Roman" w:hAnsi="Times New Roman"/>
          <w:color w:val="231F20"/>
          <w:w w:val="105"/>
          <w:sz w:val="20"/>
        </w:rPr>
        <w:t>selected</w:t>
      </w:r>
      <w:r>
        <w:rPr>
          <w:rFonts w:ascii="Times New Roman" w:hAnsi="Times New Roman"/>
          <w:color w:val="231F20"/>
          <w:spacing w:val="-29"/>
          <w:w w:val="105"/>
          <w:sz w:val="20"/>
        </w:rPr>
        <w:t> </w:t>
      </w:r>
      <w:r>
        <w:rPr>
          <w:rFonts w:ascii="Times New Roman" w:hAnsi="Times New Roman"/>
          <w:color w:val="231F20"/>
          <w:w w:val="105"/>
          <w:sz w:val="20"/>
        </w:rPr>
        <w:t>bacteria</w:t>
      </w:r>
      <w:r>
        <w:rPr>
          <w:rFonts w:ascii="Times New Roman" w:hAnsi="Times New Roman"/>
          <w:color w:val="231F20"/>
          <w:spacing w:val="-30"/>
          <w:w w:val="105"/>
          <w:sz w:val="20"/>
        </w:rPr>
        <w:t> </w:t>
      </w:r>
      <w:r>
        <w:rPr>
          <w:rFonts w:ascii="Times New Roman" w:hAnsi="Times New Roman"/>
          <w:color w:val="231F20"/>
          <w:w w:val="105"/>
          <w:sz w:val="20"/>
        </w:rPr>
        <w:t>found </w:t>
      </w:r>
      <w:r>
        <w:rPr>
          <w:color w:val="231F20"/>
          <w:w w:val="105"/>
          <w:sz w:val="20"/>
        </w:rPr>
        <w:t>in humans, animals, and meat and poultry products. NARMS data enable investigators to</w:t>
      </w:r>
      <w:r>
        <w:rPr>
          <w:color w:val="231F20"/>
          <w:spacing w:val="-10"/>
          <w:w w:val="105"/>
          <w:sz w:val="20"/>
        </w:rPr>
        <w:t> </w:t>
      </w:r>
      <w:r>
        <w:rPr>
          <w:color w:val="231F20"/>
          <w:w w:val="105"/>
          <w:sz w:val="20"/>
        </w:rPr>
        <w:t>better</w:t>
      </w:r>
      <w:r>
        <w:rPr>
          <w:color w:val="231F20"/>
          <w:spacing w:val="-10"/>
          <w:w w:val="105"/>
          <w:sz w:val="20"/>
        </w:rPr>
        <w:t> </w:t>
      </w:r>
      <w:r>
        <w:rPr>
          <w:color w:val="231F20"/>
          <w:w w:val="105"/>
          <w:sz w:val="20"/>
        </w:rPr>
        <w:t>understand</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interaction</w:t>
      </w:r>
      <w:r>
        <w:rPr>
          <w:color w:val="231F20"/>
          <w:spacing w:val="-10"/>
          <w:w w:val="105"/>
          <w:sz w:val="20"/>
        </w:rPr>
        <w:t> </w:t>
      </w:r>
      <w:r>
        <w:rPr>
          <w:color w:val="231F20"/>
          <w:w w:val="105"/>
          <w:sz w:val="20"/>
        </w:rPr>
        <w:t>between</w:t>
      </w:r>
    </w:p>
    <w:p>
      <w:pPr>
        <w:pStyle w:val="BodyText"/>
        <w:spacing w:line="268" w:lineRule="auto" w:before="93"/>
        <w:ind w:left="336" w:right="704"/>
      </w:pPr>
      <w:r>
        <w:rPr/>
        <w:br w:type="column"/>
      </w:r>
      <w:r>
        <w:rPr>
          <w:rFonts w:ascii="Times New Roman"/>
          <w:color w:val="231F20"/>
        </w:rPr>
        <w:t>antibiotic use in livestock and antibiotic resistance in pathogens from animals and </w:t>
      </w:r>
      <w:r>
        <w:rPr>
          <w:color w:val="231F20"/>
        </w:rPr>
        <w:t>humans who ingest animal food  products.</w:t>
      </w:r>
    </w:p>
    <w:p>
      <w:pPr>
        <w:spacing w:line="266" w:lineRule="auto" w:before="177"/>
        <w:ind w:left="336" w:right="1180" w:firstLine="0"/>
        <w:jc w:val="left"/>
        <w:rPr>
          <w:i/>
          <w:sz w:val="20"/>
        </w:rPr>
      </w:pPr>
      <w:r>
        <w:rPr>
          <w:i/>
          <w:color w:val="E36F1E"/>
          <w:sz w:val="20"/>
        </w:rPr>
        <w:t>Foodborne Disease Outbreak Surveillance System </w:t>
      </w:r>
      <w:r>
        <w:rPr>
          <w:i/>
          <w:color w:val="E36F1E"/>
          <w:sz w:val="20"/>
        </w:rPr>
        <w:t>(FDOSS) (2.3.2.9)</w:t>
      </w:r>
    </w:p>
    <w:p>
      <w:pPr>
        <w:pStyle w:val="BodyText"/>
        <w:spacing w:line="266" w:lineRule="auto"/>
        <w:ind w:left="336" w:right="704"/>
      </w:pPr>
      <w:r>
        <w:rPr>
          <w:color w:val="231F20"/>
          <w:w w:val="105"/>
        </w:rPr>
        <w:t>CDC collects voluntary reports from public health agencies summarizing the results of foodborne</w:t>
      </w:r>
      <w:r>
        <w:rPr>
          <w:color w:val="231F20"/>
          <w:spacing w:val="-25"/>
          <w:w w:val="105"/>
        </w:rPr>
        <w:t> </w:t>
      </w:r>
      <w:r>
        <w:rPr>
          <w:color w:val="231F20"/>
          <w:w w:val="105"/>
        </w:rPr>
        <w:t>disease</w:t>
      </w:r>
      <w:r>
        <w:rPr>
          <w:color w:val="231F20"/>
          <w:spacing w:val="-25"/>
          <w:w w:val="105"/>
        </w:rPr>
        <w:t> </w:t>
      </w:r>
      <w:r>
        <w:rPr>
          <w:color w:val="231F20"/>
          <w:w w:val="105"/>
        </w:rPr>
        <w:t>outbreak</w:t>
      </w:r>
      <w:r>
        <w:rPr>
          <w:color w:val="231F20"/>
          <w:spacing w:val="-25"/>
          <w:w w:val="105"/>
        </w:rPr>
        <w:t> </w:t>
      </w:r>
      <w:r>
        <w:rPr>
          <w:color w:val="231F20"/>
          <w:w w:val="105"/>
        </w:rPr>
        <w:t>investigations.</w:t>
      </w:r>
      <w:r>
        <w:rPr>
          <w:color w:val="231F20"/>
          <w:spacing w:val="-25"/>
          <w:w w:val="105"/>
        </w:rPr>
        <w:t> </w:t>
      </w:r>
      <w:r>
        <w:rPr>
          <w:color w:val="231F20"/>
          <w:w w:val="105"/>
        </w:rPr>
        <w:t>This system has been modified and expanded </w:t>
      </w:r>
      <w:r>
        <w:rPr>
          <w:color w:val="231F20"/>
          <w:spacing w:val="-3"/>
          <w:w w:val="105"/>
        </w:rPr>
        <w:t>over </w:t>
      </w:r>
      <w:r>
        <w:rPr>
          <w:color w:val="231F20"/>
          <w:w w:val="105"/>
        </w:rPr>
        <w:t>time. In 2009, the system was expanded to include reporting of waterborne outbreaks</w:t>
      </w:r>
      <w:r>
        <w:rPr>
          <w:color w:val="231F20"/>
          <w:spacing w:val="-26"/>
          <w:w w:val="105"/>
        </w:rPr>
        <w:t> </w:t>
      </w:r>
      <w:r>
        <w:rPr>
          <w:color w:val="231F20"/>
          <w:w w:val="105"/>
        </w:rPr>
        <w:t>and enteric disease outbreaks caused </w:t>
      </w:r>
      <w:r>
        <w:rPr>
          <w:color w:val="231F20"/>
          <w:spacing w:val="-3"/>
          <w:w w:val="105"/>
        </w:rPr>
        <w:t>by </w:t>
      </w:r>
      <w:r>
        <w:rPr>
          <w:color w:val="231F20"/>
          <w:w w:val="105"/>
        </w:rPr>
        <w:t>person-to- person contact, direct contact with animals, and contact with contaminated environments. The expanded system is called the National Outbreak Reporting System (NORS). CDC, USDA/FSIS, </w:t>
      </w:r>
      <w:r>
        <w:rPr>
          <w:color w:val="231F20"/>
          <w:spacing w:val="-4"/>
          <w:w w:val="105"/>
        </w:rPr>
        <w:t>FDA, </w:t>
      </w:r>
      <w:r>
        <w:rPr>
          <w:color w:val="231F20"/>
          <w:w w:val="105"/>
        </w:rPr>
        <w:t>and other investigators analyze the data to </w:t>
      </w:r>
      <w:r>
        <w:rPr>
          <w:color w:val="231F20"/>
          <w:spacing w:val="-3"/>
          <w:w w:val="105"/>
        </w:rPr>
        <w:t>improve </w:t>
      </w:r>
      <w:r>
        <w:rPr>
          <w:color w:val="231F20"/>
          <w:w w:val="105"/>
        </w:rPr>
        <w:t>the understanding </w:t>
      </w:r>
      <w:r>
        <w:rPr>
          <w:rFonts w:ascii="Times New Roman"/>
          <w:color w:val="231F20"/>
          <w:w w:val="105"/>
        </w:rPr>
        <w:t>of the human health impact of foodborne disease outbreaks and the pathogens, foods, </w:t>
      </w:r>
      <w:r>
        <w:rPr>
          <w:color w:val="231F20"/>
          <w:w w:val="105"/>
        </w:rPr>
        <w:t>and</w:t>
      </w:r>
      <w:r>
        <w:rPr>
          <w:color w:val="231F20"/>
          <w:spacing w:val="-20"/>
          <w:w w:val="105"/>
        </w:rPr>
        <w:t> </w:t>
      </w:r>
      <w:r>
        <w:rPr>
          <w:color w:val="231F20"/>
          <w:w w:val="105"/>
        </w:rPr>
        <w:t>settings</w:t>
      </w:r>
      <w:r>
        <w:rPr>
          <w:color w:val="231F20"/>
          <w:spacing w:val="-20"/>
          <w:w w:val="105"/>
        </w:rPr>
        <w:t> </w:t>
      </w:r>
      <w:r>
        <w:rPr>
          <w:color w:val="231F20"/>
          <w:w w:val="105"/>
        </w:rPr>
        <w:t>involved</w:t>
      </w:r>
      <w:r>
        <w:rPr>
          <w:color w:val="231F20"/>
          <w:spacing w:val="-20"/>
          <w:w w:val="105"/>
        </w:rPr>
        <w:t> </w:t>
      </w:r>
      <w:r>
        <w:rPr>
          <w:color w:val="231F20"/>
          <w:w w:val="105"/>
        </w:rPr>
        <w:t>in</w:t>
      </w:r>
      <w:r>
        <w:rPr>
          <w:color w:val="231F20"/>
          <w:spacing w:val="-20"/>
          <w:w w:val="105"/>
        </w:rPr>
        <w:t> </w:t>
      </w:r>
      <w:r>
        <w:rPr>
          <w:color w:val="231F20"/>
          <w:w w:val="105"/>
        </w:rPr>
        <w:t>these</w:t>
      </w:r>
      <w:r>
        <w:rPr>
          <w:color w:val="231F20"/>
          <w:spacing w:val="-20"/>
          <w:w w:val="105"/>
        </w:rPr>
        <w:t> </w:t>
      </w:r>
      <w:r>
        <w:rPr>
          <w:color w:val="231F20"/>
          <w:w w:val="105"/>
        </w:rPr>
        <w:t>outbreaks.</w:t>
      </w:r>
    </w:p>
    <w:p>
      <w:pPr>
        <w:spacing w:line="266" w:lineRule="auto" w:before="180"/>
        <w:ind w:left="336" w:right="1157" w:firstLine="0"/>
        <w:jc w:val="left"/>
        <w:rPr>
          <w:i/>
          <w:sz w:val="20"/>
        </w:rPr>
      </w:pPr>
      <w:r>
        <w:rPr>
          <w:i/>
          <w:color w:val="E36F1E"/>
          <w:sz w:val="20"/>
        </w:rPr>
        <w:t>National</w:t>
      </w:r>
      <w:r>
        <w:rPr>
          <w:i/>
          <w:color w:val="E36F1E"/>
          <w:spacing w:val="-23"/>
          <w:sz w:val="20"/>
        </w:rPr>
        <w:t> </w:t>
      </w:r>
      <w:r>
        <w:rPr>
          <w:i/>
          <w:color w:val="E36F1E"/>
          <w:sz w:val="20"/>
        </w:rPr>
        <w:t>Electronic</w:t>
      </w:r>
      <w:r>
        <w:rPr>
          <w:i/>
          <w:color w:val="E36F1E"/>
          <w:spacing w:val="-23"/>
          <w:sz w:val="20"/>
        </w:rPr>
        <w:t> </w:t>
      </w:r>
      <w:r>
        <w:rPr>
          <w:i/>
          <w:color w:val="E36F1E"/>
          <w:sz w:val="20"/>
        </w:rPr>
        <w:t>Norovirus</w:t>
      </w:r>
      <w:r>
        <w:rPr>
          <w:i/>
          <w:color w:val="E36F1E"/>
          <w:spacing w:val="-23"/>
          <w:sz w:val="20"/>
        </w:rPr>
        <w:t> </w:t>
      </w:r>
      <w:r>
        <w:rPr>
          <w:i/>
          <w:color w:val="E36F1E"/>
          <w:sz w:val="20"/>
        </w:rPr>
        <w:t>Outbreak</w:t>
      </w:r>
      <w:r>
        <w:rPr>
          <w:i/>
          <w:color w:val="E36F1E"/>
          <w:spacing w:val="-23"/>
          <w:sz w:val="20"/>
        </w:rPr>
        <w:t> </w:t>
      </w:r>
      <w:r>
        <w:rPr>
          <w:i/>
          <w:color w:val="E36F1E"/>
          <w:sz w:val="20"/>
        </w:rPr>
        <w:t>Network </w:t>
      </w:r>
      <w:r>
        <w:rPr>
          <w:i/>
          <w:color w:val="E36F1E"/>
          <w:sz w:val="20"/>
        </w:rPr>
        <w:t>(CaliciNet) </w:t>
      </w:r>
      <w:r>
        <w:rPr>
          <w:i/>
          <w:color w:val="E36F1E"/>
          <w:spacing w:val="8"/>
          <w:sz w:val="20"/>
        </w:rPr>
        <w:t> </w:t>
      </w:r>
      <w:r>
        <w:rPr>
          <w:i/>
          <w:color w:val="E36F1E"/>
          <w:sz w:val="20"/>
        </w:rPr>
        <w:t>(2.3.2.10)</w:t>
      </w:r>
    </w:p>
    <w:p>
      <w:pPr>
        <w:pStyle w:val="BodyText"/>
        <w:spacing w:line="266" w:lineRule="auto"/>
        <w:ind w:left="336" w:right="738"/>
      </w:pPr>
      <w:r>
        <w:rPr>
          <w:color w:val="231F20"/>
          <w:w w:val="105"/>
        </w:rPr>
        <w:t>CaliciNet is a network of public health and food-regulatory laboratories that submit norovirus</w:t>
      </w:r>
      <w:r>
        <w:rPr>
          <w:color w:val="231F20"/>
          <w:spacing w:val="-21"/>
          <w:w w:val="105"/>
        </w:rPr>
        <w:t> </w:t>
      </w:r>
      <w:r>
        <w:rPr>
          <w:color w:val="231F20"/>
          <w:w w:val="105"/>
        </w:rPr>
        <w:t>sequences</w:t>
      </w:r>
      <w:r>
        <w:rPr>
          <w:color w:val="231F20"/>
          <w:spacing w:val="-21"/>
          <w:w w:val="105"/>
        </w:rPr>
        <w:t> </w:t>
      </w:r>
      <w:r>
        <w:rPr>
          <w:color w:val="231F20"/>
          <w:w w:val="105"/>
        </w:rPr>
        <w:t>identified</w:t>
      </w:r>
      <w:r>
        <w:rPr>
          <w:color w:val="231F20"/>
          <w:spacing w:val="-21"/>
          <w:w w:val="105"/>
        </w:rPr>
        <w:t> </w:t>
      </w:r>
      <w:r>
        <w:rPr>
          <w:color w:val="231F20"/>
          <w:w w:val="105"/>
        </w:rPr>
        <w:t>from</w:t>
      </w:r>
      <w:r>
        <w:rPr>
          <w:color w:val="231F20"/>
          <w:spacing w:val="-21"/>
          <w:w w:val="105"/>
        </w:rPr>
        <w:t> </w:t>
      </w:r>
      <w:r>
        <w:rPr>
          <w:color w:val="231F20"/>
          <w:w w:val="105"/>
        </w:rPr>
        <w:t>outbreaks to a national database. CaliciNet participants use standardized laboratory protocols. The </w:t>
      </w:r>
      <w:r>
        <w:rPr>
          <w:rFonts w:ascii="Times New Roman"/>
          <w:color w:val="231F20"/>
          <w:w w:val="105"/>
        </w:rPr>
        <w:t>information</w:t>
      </w:r>
      <w:r>
        <w:rPr>
          <w:rFonts w:ascii="Times New Roman"/>
          <w:color w:val="231F20"/>
          <w:spacing w:val="-34"/>
          <w:w w:val="105"/>
        </w:rPr>
        <w:t> </w:t>
      </w:r>
      <w:r>
        <w:rPr>
          <w:rFonts w:ascii="Times New Roman"/>
          <w:color w:val="231F20"/>
          <w:w w:val="105"/>
        </w:rPr>
        <w:t>is</w:t>
      </w:r>
      <w:r>
        <w:rPr>
          <w:rFonts w:ascii="Times New Roman"/>
          <w:color w:val="231F20"/>
          <w:spacing w:val="-34"/>
          <w:w w:val="105"/>
        </w:rPr>
        <w:t> </w:t>
      </w:r>
      <w:r>
        <w:rPr>
          <w:rFonts w:ascii="Times New Roman"/>
          <w:color w:val="231F20"/>
          <w:w w:val="105"/>
        </w:rPr>
        <w:t>used</w:t>
      </w:r>
      <w:r>
        <w:rPr>
          <w:rFonts w:ascii="Times New Roman"/>
          <w:color w:val="231F20"/>
          <w:spacing w:val="-34"/>
          <w:w w:val="105"/>
        </w:rPr>
        <w:t> </w:t>
      </w:r>
      <w:r>
        <w:rPr>
          <w:rFonts w:ascii="Times New Roman"/>
          <w:color w:val="231F20"/>
          <w:w w:val="105"/>
        </w:rPr>
        <w:t>to</w:t>
      </w:r>
      <w:r>
        <w:rPr>
          <w:rFonts w:ascii="Times New Roman"/>
          <w:color w:val="231F20"/>
          <w:spacing w:val="-34"/>
          <w:w w:val="105"/>
        </w:rPr>
        <w:t> </w:t>
      </w:r>
      <w:r>
        <w:rPr>
          <w:rFonts w:ascii="Times New Roman"/>
          <w:color w:val="231F20"/>
          <w:w w:val="105"/>
        </w:rPr>
        <w:t>link</w:t>
      </w:r>
      <w:r>
        <w:rPr>
          <w:rFonts w:ascii="Times New Roman"/>
          <w:color w:val="231F20"/>
          <w:spacing w:val="-34"/>
          <w:w w:val="105"/>
        </w:rPr>
        <w:t> </w:t>
      </w:r>
      <w:r>
        <w:rPr>
          <w:rFonts w:ascii="Times New Roman"/>
          <w:color w:val="231F20"/>
          <w:w w:val="105"/>
        </w:rPr>
        <w:t>norovirus</w:t>
      </w:r>
      <w:r>
        <w:rPr>
          <w:rFonts w:ascii="Times New Roman"/>
          <w:color w:val="231F20"/>
          <w:spacing w:val="-34"/>
          <w:w w:val="105"/>
        </w:rPr>
        <w:t> </w:t>
      </w:r>
      <w:r>
        <w:rPr>
          <w:rFonts w:ascii="Times New Roman"/>
          <w:color w:val="231F20"/>
          <w:w w:val="105"/>
        </w:rPr>
        <w:t>outbreaks </w:t>
      </w:r>
      <w:r>
        <w:rPr>
          <w:color w:val="231F20"/>
          <w:w w:val="105"/>
        </w:rPr>
        <w:t>that may be caused </w:t>
      </w:r>
      <w:r>
        <w:rPr>
          <w:color w:val="231F20"/>
          <w:spacing w:val="-3"/>
          <w:w w:val="105"/>
        </w:rPr>
        <w:t>by </w:t>
      </w:r>
      <w:r>
        <w:rPr>
          <w:color w:val="231F20"/>
          <w:w w:val="105"/>
        </w:rPr>
        <w:t>common sources (such as</w:t>
      </w:r>
      <w:r>
        <w:rPr>
          <w:color w:val="231F20"/>
          <w:spacing w:val="-15"/>
          <w:w w:val="105"/>
        </w:rPr>
        <w:t> </w:t>
      </w:r>
      <w:r>
        <w:rPr>
          <w:color w:val="231F20"/>
          <w:w w:val="105"/>
        </w:rPr>
        <w:t>food),</w:t>
      </w:r>
      <w:r>
        <w:rPr>
          <w:color w:val="231F20"/>
          <w:spacing w:val="-15"/>
          <w:w w:val="105"/>
        </w:rPr>
        <w:t> </w:t>
      </w:r>
      <w:r>
        <w:rPr>
          <w:color w:val="231F20"/>
          <w:w w:val="105"/>
        </w:rPr>
        <w:t>monitor</w:t>
      </w:r>
      <w:r>
        <w:rPr>
          <w:color w:val="231F20"/>
          <w:spacing w:val="-15"/>
          <w:w w:val="105"/>
        </w:rPr>
        <w:t> </w:t>
      </w:r>
      <w:r>
        <w:rPr>
          <w:color w:val="231F20"/>
          <w:w w:val="105"/>
        </w:rPr>
        <w:t>trends,</w:t>
      </w:r>
      <w:r>
        <w:rPr>
          <w:color w:val="231F20"/>
          <w:spacing w:val="-15"/>
          <w:w w:val="105"/>
        </w:rPr>
        <w:t> </w:t>
      </w:r>
      <w:r>
        <w:rPr>
          <w:color w:val="231F20"/>
          <w:w w:val="105"/>
        </w:rPr>
        <w:t>and</w:t>
      </w:r>
      <w:r>
        <w:rPr>
          <w:color w:val="231F20"/>
          <w:spacing w:val="-15"/>
          <w:w w:val="105"/>
        </w:rPr>
        <w:t> </w:t>
      </w:r>
      <w:r>
        <w:rPr>
          <w:color w:val="231F20"/>
          <w:w w:val="105"/>
        </w:rPr>
        <w:t>identify</w:t>
      </w:r>
      <w:r>
        <w:rPr>
          <w:color w:val="231F20"/>
          <w:spacing w:val="-15"/>
          <w:w w:val="105"/>
        </w:rPr>
        <w:t> </w:t>
      </w:r>
      <w:r>
        <w:rPr>
          <w:color w:val="231F20"/>
          <w:w w:val="105"/>
        </w:rPr>
        <w:t>emerging </w:t>
      </w:r>
      <w:r>
        <w:rPr>
          <w:color w:val="231F20"/>
        </w:rPr>
        <w:t>norovirus</w:t>
      </w:r>
      <w:r>
        <w:rPr>
          <w:color w:val="231F20"/>
          <w:spacing w:val="21"/>
        </w:rPr>
        <w:t> </w:t>
      </w:r>
      <w:r>
        <w:rPr>
          <w:color w:val="231F20"/>
        </w:rPr>
        <w:t>strains.</w:t>
      </w:r>
    </w:p>
    <w:p>
      <w:pPr>
        <w:spacing w:line="266" w:lineRule="auto" w:before="180"/>
        <w:ind w:left="336" w:right="997" w:firstLine="0"/>
        <w:jc w:val="left"/>
        <w:rPr>
          <w:sz w:val="20"/>
        </w:rPr>
      </w:pPr>
      <w:r>
        <w:rPr>
          <w:i/>
          <w:color w:val="E36F1E"/>
          <w:w w:val="105"/>
          <w:sz w:val="20"/>
        </w:rPr>
        <w:t>Surveillance of  the food supply (2.3.2.11) </w:t>
      </w:r>
      <w:r>
        <w:rPr>
          <w:color w:val="231F20"/>
          <w:spacing w:val="-3"/>
          <w:w w:val="105"/>
          <w:sz w:val="20"/>
        </w:rPr>
        <w:t>Testing </w:t>
      </w:r>
      <w:r>
        <w:rPr>
          <w:color w:val="231F20"/>
          <w:w w:val="105"/>
          <w:sz w:val="20"/>
        </w:rPr>
        <w:t>of the food supply and associated environments is performed </w:t>
      </w:r>
      <w:r>
        <w:rPr>
          <w:color w:val="231F20"/>
          <w:spacing w:val="-3"/>
          <w:w w:val="105"/>
          <w:sz w:val="20"/>
        </w:rPr>
        <w:t>by </w:t>
      </w:r>
      <w:r>
        <w:rPr>
          <w:color w:val="231F20"/>
          <w:w w:val="105"/>
          <w:sz w:val="20"/>
        </w:rPr>
        <w:t>local, state, and</w:t>
      </w:r>
      <w:r>
        <w:rPr>
          <w:color w:val="231F20"/>
          <w:spacing w:val="-12"/>
          <w:w w:val="105"/>
          <w:sz w:val="20"/>
        </w:rPr>
        <w:t> </w:t>
      </w:r>
      <w:r>
        <w:rPr>
          <w:color w:val="231F20"/>
          <w:w w:val="105"/>
          <w:sz w:val="20"/>
        </w:rPr>
        <w:t>federal</w:t>
      </w:r>
      <w:r>
        <w:rPr>
          <w:color w:val="231F20"/>
          <w:spacing w:val="-12"/>
          <w:w w:val="105"/>
          <w:sz w:val="20"/>
        </w:rPr>
        <w:t> </w:t>
      </w:r>
      <w:r>
        <w:rPr>
          <w:color w:val="231F20"/>
          <w:w w:val="105"/>
          <w:sz w:val="20"/>
        </w:rPr>
        <w:t>regulatory</w:t>
      </w:r>
      <w:r>
        <w:rPr>
          <w:color w:val="231F20"/>
          <w:spacing w:val="-12"/>
          <w:w w:val="105"/>
          <w:sz w:val="20"/>
        </w:rPr>
        <w:t> </w:t>
      </w:r>
      <w:r>
        <w:rPr>
          <w:color w:val="231F20"/>
          <w:w w:val="105"/>
          <w:sz w:val="20"/>
        </w:rPr>
        <w:t>officials</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food</w:t>
      </w:r>
    </w:p>
    <w:p>
      <w:pPr>
        <w:pStyle w:val="BodyText"/>
        <w:spacing w:line="266" w:lineRule="auto"/>
        <w:ind w:left="336" w:right="662"/>
      </w:pPr>
      <w:r>
        <w:rPr>
          <w:color w:val="231F20"/>
          <w:spacing w:val="-3"/>
          <w:w w:val="105"/>
        </w:rPr>
        <w:t>industry. </w:t>
      </w:r>
      <w:r>
        <w:rPr>
          <w:color w:val="231F20"/>
          <w:spacing w:val="-5"/>
          <w:w w:val="105"/>
        </w:rPr>
        <w:t>FDA </w:t>
      </w:r>
      <w:r>
        <w:rPr>
          <w:color w:val="231F20"/>
          <w:w w:val="105"/>
        </w:rPr>
        <w:t>is leading an effort to bring state manufactured food regulatory microbiological </w:t>
      </w:r>
      <w:r>
        <w:rPr>
          <w:rFonts w:ascii="Times New Roman"/>
          <w:color w:val="231F20"/>
          <w:w w:val="105"/>
        </w:rPr>
        <w:t>and chemical food-testing laboratories under </w:t>
      </w:r>
      <w:r>
        <w:rPr>
          <w:color w:val="231F20"/>
          <w:w w:val="105"/>
        </w:rPr>
        <w:t>ISO 17025 accreditation, the international standard for laboratory quality systems. Data generated </w:t>
      </w:r>
      <w:r>
        <w:rPr>
          <w:color w:val="231F20"/>
          <w:spacing w:val="-3"/>
          <w:w w:val="105"/>
        </w:rPr>
        <w:t>by </w:t>
      </w:r>
      <w:r>
        <w:rPr>
          <w:color w:val="231F20"/>
          <w:w w:val="105"/>
        </w:rPr>
        <w:t>accredited laboratories will be used to support </w:t>
      </w:r>
      <w:r>
        <w:rPr>
          <w:color w:val="231F20"/>
          <w:spacing w:val="-5"/>
          <w:w w:val="105"/>
        </w:rPr>
        <w:t>FDA </w:t>
      </w:r>
      <w:r>
        <w:rPr>
          <w:color w:val="231F20"/>
          <w:w w:val="105"/>
        </w:rPr>
        <w:t>enforcement actions, for</w:t>
      </w:r>
    </w:p>
    <w:p>
      <w:pPr>
        <w:spacing w:after="0" w:line="266" w:lineRule="auto"/>
        <w:sectPr>
          <w:type w:val="continuous"/>
          <w:pgSz w:w="10080" w:h="14400"/>
          <w:pgMar w:top="0" w:bottom="360" w:left="0" w:right="0"/>
          <w:cols w:num="2" w:equalWidth="0">
            <w:col w:w="5204" w:space="40"/>
            <w:col w:w="4836"/>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1672;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1696" filled="true" fillcolor="#0079c1" stroked="false">
            <v:fill type="solid"/>
            <w10:wrap type="none"/>
          </v:rect>
        </w:pict>
      </w:r>
      <w:r>
        <w:rPr/>
        <w:pict>
          <v:line style="position:absolute;mso-position-horizontal-relative:page;mso-position-vertical-relative:paragraph;z-index:1720"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17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1768"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76" w:lineRule="auto" w:before="93"/>
        <w:ind w:left="720" w:right="-4"/>
      </w:pPr>
      <w:r>
        <w:rPr>
          <w:rFonts w:ascii="Times New Roman"/>
          <w:color w:val="231F20"/>
        </w:rPr>
        <w:t>surveillance, and during response to foodborne </w:t>
      </w:r>
      <w:r>
        <w:rPr>
          <w:color w:val="231F20"/>
        </w:rPr>
        <w:t>disease outbreaks.</w:t>
      </w:r>
    </w:p>
    <w:p>
      <w:pPr>
        <w:spacing w:line="290" w:lineRule="auto" w:before="174"/>
        <w:ind w:left="720" w:right="-4" w:firstLine="0"/>
        <w:jc w:val="left"/>
        <w:rPr>
          <w:rFonts w:ascii="Arial"/>
          <w:sz w:val="18"/>
        </w:rPr>
      </w:pPr>
      <w:r>
        <w:rPr>
          <w:rFonts w:ascii="Arial"/>
          <w:color w:val="00A94F"/>
          <w:sz w:val="18"/>
        </w:rPr>
        <w:t>Quality and Usefulness of Surveillance Data (2.3.3)</w:t>
      </w:r>
    </w:p>
    <w:p>
      <w:pPr>
        <w:pStyle w:val="BodyText"/>
        <w:spacing w:line="213" w:lineRule="exact"/>
        <w:ind w:left="720"/>
        <w:rPr>
          <w:rFonts w:ascii="Times New Roman"/>
        </w:rPr>
      </w:pPr>
      <w:r>
        <w:rPr>
          <w:rFonts w:ascii="Times New Roman"/>
          <w:color w:val="231F20"/>
        </w:rPr>
        <w:t>Although surveillance data are of great</w:t>
      </w:r>
    </w:p>
    <w:p>
      <w:pPr>
        <w:pStyle w:val="BodyText"/>
        <w:spacing w:line="266" w:lineRule="auto" w:before="34"/>
        <w:ind w:left="720" w:right="-16"/>
      </w:pPr>
      <w:r>
        <w:rPr>
          <w:color w:val="231F20"/>
          <w:spacing w:val="-4"/>
          <w:w w:val="105"/>
        </w:rPr>
        <w:t>utility, </w:t>
      </w:r>
      <w:r>
        <w:rPr>
          <w:color w:val="231F20"/>
          <w:w w:val="105"/>
        </w:rPr>
        <w:t>they are far short of perfect, and their shortcomings often compromise their </w:t>
      </w:r>
      <w:r>
        <w:rPr>
          <w:color w:val="231F20"/>
          <w:spacing w:val="-4"/>
          <w:w w:val="105"/>
        </w:rPr>
        <w:t>utility. </w:t>
      </w:r>
      <w:r>
        <w:rPr>
          <w:color w:val="231F20"/>
          <w:w w:val="105"/>
        </w:rPr>
        <w:t>Surveillance statistics reflect only a fraction of cases that occur in the </w:t>
      </w:r>
      <w:r>
        <w:rPr>
          <w:color w:val="231F20"/>
          <w:spacing w:val="-4"/>
          <w:w w:val="105"/>
        </w:rPr>
        <w:t>community. </w:t>
      </w:r>
      <w:r>
        <w:rPr>
          <w:color w:val="231F20"/>
          <w:w w:val="105"/>
        </w:rPr>
        <w:t>Incomplete </w:t>
      </w:r>
      <w:r>
        <w:rPr>
          <w:rFonts w:ascii="Times New Roman"/>
          <w:color w:val="231F20"/>
          <w:w w:val="105"/>
        </w:rPr>
        <w:t>diagnosis</w:t>
      </w:r>
      <w:r>
        <w:rPr>
          <w:rFonts w:ascii="Times New Roman"/>
          <w:color w:val="231F20"/>
          <w:spacing w:val="-35"/>
          <w:w w:val="105"/>
        </w:rPr>
        <w:t> </w:t>
      </w:r>
      <w:r>
        <w:rPr>
          <w:rFonts w:ascii="Times New Roman"/>
          <w:color w:val="231F20"/>
          <w:w w:val="105"/>
        </w:rPr>
        <w:t>and</w:t>
      </w:r>
      <w:r>
        <w:rPr>
          <w:rFonts w:ascii="Times New Roman"/>
          <w:color w:val="231F20"/>
          <w:spacing w:val="-35"/>
          <w:w w:val="105"/>
        </w:rPr>
        <w:t> </w:t>
      </w:r>
      <w:r>
        <w:rPr>
          <w:rFonts w:ascii="Times New Roman"/>
          <w:color w:val="231F20"/>
          <w:w w:val="105"/>
        </w:rPr>
        <w:t>reporting</w:t>
      </w:r>
      <w:r>
        <w:rPr>
          <w:rFonts w:ascii="Times New Roman"/>
          <w:color w:val="231F20"/>
          <w:spacing w:val="-35"/>
          <w:w w:val="105"/>
        </w:rPr>
        <w:t> </w:t>
      </w:r>
      <w:r>
        <w:rPr>
          <w:rFonts w:ascii="Times New Roman"/>
          <w:color w:val="231F20"/>
          <w:w w:val="105"/>
        </w:rPr>
        <w:t>of</w:t>
      </w:r>
      <w:r>
        <w:rPr>
          <w:rFonts w:ascii="Times New Roman"/>
          <w:color w:val="231F20"/>
          <w:spacing w:val="-24"/>
          <w:w w:val="105"/>
        </w:rPr>
        <w:t> </w:t>
      </w:r>
      <w:r>
        <w:rPr>
          <w:rFonts w:ascii="Times New Roman"/>
          <w:color w:val="231F20"/>
          <w:w w:val="105"/>
        </w:rPr>
        <w:t>foodborne</w:t>
      </w:r>
      <w:r>
        <w:rPr>
          <w:rFonts w:ascii="Times New Roman"/>
          <w:color w:val="231F20"/>
          <w:spacing w:val="-35"/>
          <w:w w:val="105"/>
        </w:rPr>
        <w:t> </w:t>
      </w:r>
      <w:r>
        <w:rPr>
          <w:rFonts w:ascii="Times New Roman"/>
          <w:color w:val="231F20"/>
          <w:w w:val="105"/>
        </w:rPr>
        <w:t>illnesses </w:t>
      </w:r>
      <w:r>
        <w:rPr>
          <w:color w:val="231F20"/>
          <w:w w:val="105"/>
        </w:rPr>
        <w:t>(2.3.3.1) and use of culture-independent diagnostic</w:t>
      </w:r>
      <w:r>
        <w:rPr>
          <w:color w:val="231F20"/>
          <w:spacing w:val="-21"/>
          <w:w w:val="105"/>
        </w:rPr>
        <w:t> </w:t>
      </w:r>
      <w:r>
        <w:rPr>
          <w:color w:val="231F20"/>
          <w:w w:val="105"/>
        </w:rPr>
        <w:t>tests</w:t>
      </w:r>
      <w:r>
        <w:rPr>
          <w:color w:val="231F20"/>
          <w:spacing w:val="-21"/>
          <w:w w:val="105"/>
        </w:rPr>
        <w:t> </w:t>
      </w:r>
      <w:r>
        <w:rPr>
          <w:color w:val="231F20"/>
          <w:w w:val="105"/>
        </w:rPr>
        <w:t>(2.3.3.2)</w:t>
      </w:r>
      <w:r>
        <w:rPr>
          <w:color w:val="231F20"/>
          <w:spacing w:val="-21"/>
          <w:w w:val="105"/>
        </w:rPr>
        <w:t> </w:t>
      </w:r>
      <w:r>
        <w:rPr>
          <w:color w:val="231F20"/>
          <w:w w:val="105"/>
        </w:rPr>
        <w:t>inhibit</w:t>
      </w:r>
      <w:r>
        <w:rPr>
          <w:color w:val="231F20"/>
          <w:spacing w:val="-21"/>
          <w:w w:val="105"/>
        </w:rPr>
        <w:t> </w:t>
      </w:r>
      <w:r>
        <w:rPr>
          <w:color w:val="231F20"/>
          <w:w w:val="105"/>
        </w:rPr>
        <w:t>surveillance</w:t>
      </w:r>
      <w:r>
        <w:rPr>
          <w:color w:val="231F20"/>
          <w:spacing w:val="-21"/>
          <w:w w:val="105"/>
        </w:rPr>
        <w:t> </w:t>
      </w:r>
      <w:r>
        <w:rPr>
          <w:color w:val="231F20"/>
          <w:w w:val="105"/>
        </w:rPr>
        <w:t>and the detection of foodborne disease outbreaks. The specific data elements collected through surveillance and the validity and accuracy of </w:t>
      </w:r>
      <w:r>
        <w:rPr>
          <w:rFonts w:ascii="Times New Roman"/>
          <w:color w:val="231F20"/>
          <w:w w:val="105"/>
        </w:rPr>
        <w:t>the information collected further impact the </w:t>
      </w:r>
      <w:r>
        <w:rPr>
          <w:color w:val="231F20"/>
          <w:w w:val="105"/>
        </w:rPr>
        <w:t>usefulness</w:t>
      </w:r>
      <w:r>
        <w:rPr>
          <w:color w:val="231F20"/>
          <w:spacing w:val="-27"/>
          <w:w w:val="105"/>
        </w:rPr>
        <w:t> </w:t>
      </w:r>
      <w:r>
        <w:rPr>
          <w:color w:val="231F20"/>
          <w:w w:val="105"/>
        </w:rPr>
        <w:t>of</w:t>
      </w:r>
      <w:r>
        <w:rPr>
          <w:color w:val="231F20"/>
          <w:spacing w:val="-12"/>
          <w:w w:val="105"/>
        </w:rPr>
        <w:t> </w:t>
      </w:r>
      <w:r>
        <w:rPr>
          <w:color w:val="231F20"/>
          <w:w w:val="105"/>
        </w:rPr>
        <w:t>surveillance</w:t>
      </w:r>
      <w:r>
        <w:rPr>
          <w:color w:val="231F20"/>
          <w:spacing w:val="-27"/>
          <w:w w:val="105"/>
        </w:rPr>
        <w:t> </w:t>
      </w:r>
      <w:r>
        <w:rPr>
          <w:color w:val="231F20"/>
          <w:w w:val="105"/>
        </w:rPr>
        <w:t>information</w:t>
      </w:r>
      <w:r>
        <w:rPr>
          <w:color w:val="231F20"/>
          <w:spacing w:val="-27"/>
          <w:w w:val="105"/>
        </w:rPr>
        <w:t> </w:t>
      </w:r>
      <w:r>
        <w:rPr>
          <w:color w:val="231F20"/>
          <w:w w:val="105"/>
        </w:rPr>
        <w:t>(2.3.3.3). Nonetheless, it should still be appreciated that even with the capture of only a fraction of </w:t>
      </w:r>
      <w:r>
        <w:rPr>
          <w:rFonts w:ascii="Times New Roman"/>
          <w:color w:val="231F20"/>
        </w:rPr>
        <w:t>foodborne illnesses through surveillance, these </w:t>
      </w:r>
      <w:r>
        <w:rPr>
          <w:color w:val="231F20"/>
          <w:w w:val="105"/>
        </w:rPr>
        <w:t>intensely</w:t>
      </w:r>
      <w:r>
        <w:rPr>
          <w:color w:val="231F20"/>
          <w:spacing w:val="-28"/>
          <w:w w:val="105"/>
        </w:rPr>
        <w:t> </w:t>
      </w:r>
      <w:r>
        <w:rPr>
          <w:color w:val="231F20"/>
          <w:w w:val="105"/>
        </w:rPr>
        <w:t>investigated</w:t>
      </w:r>
      <w:r>
        <w:rPr>
          <w:color w:val="231F20"/>
          <w:spacing w:val="-28"/>
          <w:w w:val="105"/>
        </w:rPr>
        <w:t> </w:t>
      </w:r>
      <w:r>
        <w:rPr>
          <w:color w:val="231F20"/>
          <w:w w:val="105"/>
        </w:rPr>
        <w:t>events</w:t>
      </w:r>
      <w:r>
        <w:rPr>
          <w:color w:val="231F20"/>
          <w:spacing w:val="-28"/>
          <w:w w:val="105"/>
        </w:rPr>
        <w:t> </w:t>
      </w:r>
      <w:r>
        <w:rPr>
          <w:color w:val="231F20"/>
          <w:w w:val="105"/>
        </w:rPr>
        <w:t>shed</w:t>
      </w:r>
      <w:r>
        <w:rPr>
          <w:color w:val="231F20"/>
          <w:spacing w:val="-28"/>
          <w:w w:val="105"/>
        </w:rPr>
        <w:t> </w:t>
      </w:r>
      <w:r>
        <w:rPr>
          <w:color w:val="231F20"/>
          <w:w w:val="105"/>
        </w:rPr>
        <w:t>light</w:t>
      </w:r>
      <w:r>
        <w:rPr>
          <w:color w:val="231F20"/>
          <w:spacing w:val="-28"/>
          <w:w w:val="105"/>
        </w:rPr>
        <w:t> </w:t>
      </w:r>
      <w:r>
        <w:rPr>
          <w:color w:val="231F20"/>
          <w:w w:val="105"/>
        </w:rPr>
        <w:t>on</w:t>
      </w:r>
    </w:p>
    <w:p>
      <w:pPr>
        <w:pStyle w:val="BodyText"/>
        <w:spacing w:line="216" w:lineRule="exact"/>
        <w:ind w:left="720"/>
        <w:rPr>
          <w:rFonts w:ascii="Times New Roman"/>
        </w:rPr>
      </w:pPr>
      <w:r>
        <w:rPr>
          <w:rFonts w:ascii="Times New Roman"/>
          <w:color w:val="231F20"/>
        </w:rPr>
        <w:t>food</w:t>
      </w:r>
      <w:r>
        <w:rPr>
          <w:rFonts w:ascii="Times New Roman"/>
          <w:color w:val="231F20"/>
          <w:spacing w:val="-31"/>
        </w:rPr>
        <w:t> </w:t>
      </w:r>
      <w:r>
        <w:rPr>
          <w:rFonts w:ascii="Times New Roman"/>
          <w:color w:val="231F20"/>
        </w:rPr>
        <w:t>vehicles,</w:t>
      </w:r>
      <w:r>
        <w:rPr>
          <w:rFonts w:ascii="Times New Roman"/>
          <w:color w:val="231F20"/>
          <w:spacing w:val="-31"/>
        </w:rPr>
        <w:t> </w:t>
      </w:r>
      <w:r>
        <w:rPr>
          <w:rFonts w:ascii="Times New Roman"/>
          <w:color w:val="231F20"/>
        </w:rPr>
        <w:t>settings,</w:t>
      </w:r>
      <w:r>
        <w:rPr>
          <w:rFonts w:ascii="Times New Roman"/>
          <w:color w:val="231F20"/>
          <w:spacing w:val="-31"/>
        </w:rPr>
        <w:t> </w:t>
      </w:r>
      <w:r>
        <w:rPr>
          <w:rFonts w:ascii="Times New Roman"/>
          <w:color w:val="231F20"/>
        </w:rPr>
        <w:t>pathogens,</w:t>
      </w:r>
      <w:r>
        <w:rPr>
          <w:rFonts w:ascii="Times New Roman"/>
          <w:color w:val="231F20"/>
          <w:spacing w:val="-31"/>
        </w:rPr>
        <w:t> </w:t>
      </w:r>
      <w:r>
        <w:rPr>
          <w:rFonts w:ascii="Times New Roman"/>
          <w:color w:val="231F20"/>
        </w:rPr>
        <w:t>contributing</w:t>
      </w:r>
    </w:p>
    <w:p>
      <w:pPr>
        <w:pStyle w:val="BodyText"/>
        <w:spacing w:line="276" w:lineRule="auto" w:before="20"/>
        <w:ind w:left="720" w:right="-4"/>
      </w:pPr>
      <w:r>
        <w:rPr>
          <w:rFonts w:ascii="Times New Roman"/>
          <w:color w:val="231F20"/>
        </w:rPr>
        <w:t>factors, and environmental antecedents and </w:t>
      </w:r>
      <w:r>
        <w:rPr>
          <w:color w:val="231F20"/>
        </w:rPr>
        <w:t>provide  extremely  valuable information.</w:t>
      </w:r>
    </w:p>
    <w:p>
      <w:pPr>
        <w:pStyle w:val="BodyText"/>
        <w:spacing w:line="261" w:lineRule="auto" w:before="155"/>
        <w:ind w:left="720" w:right="-4"/>
        <w:rPr>
          <w:rFonts w:ascii="Arial"/>
        </w:rPr>
      </w:pPr>
      <w:r>
        <w:rPr>
          <w:rFonts w:ascii="Arial"/>
          <w:color w:val="1C3E94"/>
        </w:rPr>
        <w:t>Etiologic Agents Associated with Foodborne Diseases (Section 2.4)</w:t>
      </w:r>
    </w:p>
    <w:p>
      <w:pPr>
        <w:pStyle w:val="BodyText"/>
        <w:spacing w:before="2"/>
        <w:rPr>
          <w:rFonts w:ascii="Arial"/>
          <w:sz w:val="17"/>
        </w:rPr>
      </w:pPr>
    </w:p>
    <w:p>
      <w:pPr>
        <w:spacing w:before="0"/>
        <w:ind w:left="720" w:right="0" w:firstLine="0"/>
        <w:jc w:val="left"/>
        <w:rPr>
          <w:rFonts w:ascii="Arial"/>
          <w:sz w:val="18"/>
        </w:rPr>
      </w:pPr>
      <w:r>
        <w:rPr>
          <w:rFonts w:ascii="Arial"/>
          <w:color w:val="00A94F"/>
          <w:sz w:val="18"/>
        </w:rPr>
        <w:t>Overview (2.4.1)</w:t>
      </w:r>
    </w:p>
    <w:p>
      <w:pPr>
        <w:pStyle w:val="BodyText"/>
        <w:spacing w:line="266" w:lineRule="auto" w:before="39"/>
        <w:ind w:left="720" w:right="171"/>
      </w:pPr>
      <w:r>
        <w:rPr>
          <w:color w:val="231F20"/>
          <w:w w:val="105"/>
        </w:rPr>
        <w:t>Foodborne illnesses have myriad causes including microorganisms (e.g., bacteria, </w:t>
      </w:r>
      <w:r>
        <w:rPr>
          <w:rFonts w:ascii="Times New Roman"/>
          <w:color w:val="231F20"/>
          <w:w w:val="105"/>
        </w:rPr>
        <w:t>viruses, parasites, and marine algae) and </w:t>
      </w:r>
      <w:r>
        <w:rPr>
          <w:color w:val="231F20"/>
          <w:w w:val="105"/>
        </w:rPr>
        <w:t>their toxins, mushroom toxins, fish toxins, heavy metals, pesticides, and other chemical contaminants. Human illness caused by these agents is often categorized into those caused by toxins present in food before it is</w:t>
      </w:r>
    </w:p>
    <w:p>
      <w:pPr>
        <w:pStyle w:val="BodyText"/>
        <w:spacing w:line="264" w:lineRule="auto"/>
        <w:ind w:left="720" w:right="74"/>
        <w:jc w:val="both"/>
      </w:pPr>
      <w:r>
        <w:rPr>
          <w:color w:val="231F20"/>
        </w:rPr>
        <w:t>ingested (preformed toxins) or those caused by </w:t>
      </w:r>
      <w:r>
        <w:rPr>
          <w:rFonts w:ascii="Times New Roman"/>
          <w:color w:val="231F20"/>
        </w:rPr>
        <w:t>multiplication of the pathogen in the host and </w:t>
      </w:r>
      <w:r>
        <w:rPr>
          <w:color w:val="231F20"/>
        </w:rPr>
        <w:t>damage from toxins produced within the host or invasion of  host cells (infection).</w:t>
      </w:r>
    </w:p>
    <w:p>
      <w:pPr>
        <w:spacing w:line="290" w:lineRule="auto" w:before="185"/>
        <w:ind w:left="720" w:right="-4" w:firstLine="0"/>
        <w:jc w:val="left"/>
        <w:rPr>
          <w:rFonts w:ascii="Arial"/>
          <w:sz w:val="18"/>
        </w:rPr>
      </w:pPr>
      <w:r>
        <w:rPr>
          <w:rFonts w:ascii="Arial"/>
          <w:color w:val="00A94F"/>
          <w:sz w:val="18"/>
        </w:rPr>
        <w:t>Patterns in Etiologic Agents Associated with Foodborne Disease Outbreaks (2.4.2)</w:t>
      </w:r>
    </w:p>
    <w:p>
      <w:pPr>
        <w:pStyle w:val="BodyText"/>
        <w:spacing w:line="222" w:lineRule="exact"/>
        <w:ind w:left="720"/>
      </w:pPr>
      <w:r>
        <w:rPr>
          <w:color w:val="231F20"/>
        </w:rPr>
        <w:t>On the basis of  reports to CDC’s Foodborne</w:t>
      </w:r>
    </w:p>
    <w:p>
      <w:pPr>
        <w:pStyle w:val="BodyText"/>
        <w:spacing w:line="266" w:lineRule="auto" w:before="108"/>
        <w:ind w:left="329" w:right="1432"/>
      </w:pPr>
      <w:r>
        <w:rPr/>
        <w:br w:type="column"/>
      </w:r>
      <w:r>
        <w:rPr>
          <w:color w:val="231F20"/>
          <w:w w:val="105"/>
        </w:rPr>
        <w:t>Disease Outbreak Surveillance System (FDOSS) in 2009–2010, bacteria (including their toxins) accounted for 46% of reported outbreaks</w:t>
      </w:r>
      <w:r>
        <w:rPr>
          <w:color w:val="231F20"/>
          <w:spacing w:val="-9"/>
          <w:w w:val="105"/>
        </w:rPr>
        <w:t> </w:t>
      </w:r>
      <w:r>
        <w:rPr>
          <w:color w:val="231F20"/>
          <w:w w:val="105"/>
        </w:rPr>
        <w:t>that</w:t>
      </w:r>
      <w:r>
        <w:rPr>
          <w:color w:val="231F20"/>
          <w:spacing w:val="-9"/>
          <w:w w:val="105"/>
        </w:rPr>
        <w:t> </w:t>
      </w:r>
      <w:r>
        <w:rPr>
          <w:color w:val="231F20"/>
          <w:w w:val="105"/>
        </w:rPr>
        <w:t>had</w:t>
      </w:r>
      <w:r>
        <w:rPr>
          <w:color w:val="231F20"/>
          <w:spacing w:val="-9"/>
          <w:w w:val="105"/>
        </w:rPr>
        <w:t> </w:t>
      </w:r>
      <w:r>
        <w:rPr>
          <w:color w:val="231F20"/>
          <w:w w:val="105"/>
        </w:rPr>
        <w:t>an</w:t>
      </w:r>
      <w:r>
        <w:rPr>
          <w:color w:val="231F20"/>
          <w:spacing w:val="-9"/>
          <w:w w:val="105"/>
        </w:rPr>
        <w:t> </w:t>
      </w:r>
      <w:r>
        <w:rPr>
          <w:color w:val="231F20"/>
          <w:w w:val="105"/>
        </w:rPr>
        <w:t>identified</w:t>
      </w:r>
      <w:r>
        <w:rPr>
          <w:color w:val="231F20"/>
          <w:spacing w:val="-9"/>
          <w:w w:val="105"/>
        </w:rPr>
        <w:t> </w:t>
      </w:r>
      <w:r>
        <w:rPr>
          <w:color w:val="231F20"/>
          <w:w w:val="105"/>
        </w:rPr>
        <w:t>cause.</w:t>
      </w:r>
      <w:r>
        <w:rPr>
          <w:color w:val="231F20"/>
          <w:spacing w:val="-9"/>
          <w:w w:val="105"/>
        </w:rPr>
        <w:t> </w:t>
      </w:r>
      <w:r>
        <w:rPr>
          <w:color w:val="231F20"/>
          <w:w w:val="105"/>
        </w:rPr>
        <w:t>Viruses constituted 47% of identified causes of </w:t>
      </w:r>
      <w:r>
        <w:rPr>
          <w:rFonts w:ascii="Times New Roman" w:hAnsi="Times New Roman"/>
          <w:color w:val="231F20"/>
          <w:w w:val="105"/>
        </w:rPr>
        <w:t>foodborne</w:t>
      </w:r>
      <w:r>
        <w:rPr>
          <w:rFonts w:ascii="Times New Roman" w:hAnsi="Times New Roman"/>
          <w:color w:val="231F20"/>
          <w:spacing w:val="-31"/>
          <w:w w:val="105"/>
        </w:rPr>
        <w:t> </w:t>
      </w:r>
      <w:r>
        <w:rPr>
          <w:rFonts w:ascii="Times New Roman" w:hAnsi="Times New Roman"/>
          <w:color w:val="231F20"/>
          <w:w w:val="105"/>
        </w:rPr>
        <w:t>disease</w:t>
      </w:r>
      <w:r>
        <w:rPr>
          <w:rFonts w:ascii="Times New Roman" w:hAnsi="Times New Roman"/>
          <w:color w:val="231F20"/>
          <w:spacing w:val="-31"/>
          <w:w w:val="105"/>
        </w:rPr>
        <w:t> </w:t>
      </w:r>
      <w:r>
        <w:rPr>
          <w:rFonts w:ascii="Times New Roman" w:hAnsi="Times New Roman"/>
          <w:color w:val="231F20"/>
          <w:w w:val="105"/>
        </w:rPr>
        <w:t>outbreaks,</w:t>
      </w:r>
      <w:r>
        <w:rPr>
          <w:rFonts w:ascii="Times New Roman" w:hAnsi="Times New Roman"/>
          <w:color w:val="231F20"/>
          <w:spacing w:val="-31"/>
          <w:w w:val="105"/>
        </w:rPr>
        <w:t> </w:t>
      </w:r>
      <w:r>
        <w:rPr>
          <w:rFonts w:ascii="Times New Roman" w:hAnsi="Times New Roman"/>
          <w:color w:val="231F20"/>
          <w:w w:val="105"/>
        </w:rPr>
        <w:t>increasing</w:t>
      </w:r>
      <w:r>
        <w:rPr>
          <w:rFonts w:ascii="Times New Roman" w:hAnsi="Times New Roman"/>
          <w:color w:val="231F20"/>
          <w:spacing w:val="-31"/>
          <w:w w:val="105"/>
        </w:rPr>
        <w:t> </w:t>
      </w:r>
      <w:r>
        <w:rPr>
          <w:rFonts w:ascii="Times New Roman" w:hAnsi="Times New Roman"/>
          <w:color w:val="231F20"/>
          <w:w w:val="105"/>
        </w:rPr>
        <w:t>from </w:t>
      </w:r>
      <w:r>
        <w:rPr>
          <w:color w:val="231F20"/>
          <w:w w:val="105"/>
        </w:rPr>
        <w:t>16% in 1998; the increase largely reflects the increased availability of methods to diagnose viral agents. Marine algae and fish toxins, mushroom</w:t>
      </w:r>
      <w:r>
        <w:rPr>
          <w:color w:val="231F20"/>
          <w:spacing w:val="-19"/>
          <w:w w:val="105"/>
        </w:rPr>
        <w:t> </w:t>
      </w:r>
      <w:r>
        <w:rPr>
          <w:color w:val="231F20"/>
          <w:w w:val="105"/>
        </w:rPr>
        <w:t>toxins,</w:t>
      </w:r>
      <w:r>
        <w:rPr>
          <w:color w:val="231F20"/>
          <w:spacing w:val="-19"/>
          <w:w w:val="105"/>
        </w:rPr>
        <w:t> </w:t>
      </w:r>
      <w:r>
        <w:rPr>
          <w:color w:val="231F20"/>
          <w:w w:val="105"/>
        </w:rPr>
        <w:t>and</w:t>
      </w:r>
      <w:r>
        <w:rPr>
          <w:color w:val="231F20"/>
          <w:spacing w:val="-19"/>
          <w:w w:val="105"/>
        </w:rPr>
        <w:t> </w:t>
      </w:r>
      <w:r>
        <w:rPr>
          <w:color w:val="231F20"/>
          <w:w w:val="105"/>
        </w:rPr>
        <w:t>chemicals</w:t>
      </w:r>
      <w:r>
        <w:rPr>
          <w:color w:val="231F20"/>
          <w:spacing w:val="-19"/>
          <w:w w:val="105"/>
        </w:rPr>
        <w:t> </w:t>
      </w:r>
      <w:r>
        <w:rPr>
          <w:color w:val="231F20"/>
          <w:w w:val="105"/>
        </w:rPr>
        <w:t>accounted</w:t>
      </w:r>
      <w:r>
        <w:rPr>
          <w:color w:val="231F20"/>
          <w:spacing w:val="-19"/>
          <w:w w:val="105"/>
        </w:rPr>
        <w:t> </w:t>
      </w:r>
      <w:r>
        <w:rPr>
          <w:color w:val="231F20"/>
          <w:w w:val="105"/>
        </w:rPr>
        <w:t>for 4%</w:t>
      </w:r>
      <w:r>
        <w:rPr>
          <w:color w:val="231F20"/>
          <w:spacing w:val="-11"/>
          <w:w w:val="105"/>
        </w:rPr>
        <w:t> </w:t>
      </w:r>
      <w:r>
        <w:rPr>
          <w:color w:val="231F20"/>
          <w:w w:val="105"/>
        </w:rPr>
        <w:t>of</w:t>
      </w:r>
      <w:r>
        <w:rPr>
          <w:color w:val="231F20"/>
          <w:spacing w:val="12"/>
          <w:w w:val="105"/>
        </w:rPr>
        <w:t> </w:t>
      </w:r>
      <w:r>
        <w:rPr>
          <w:color w:val="231F20"/>
          <w:w w:val="105"/>
        </w:rPr>
        <w:t>outbreaks</w:t>
      </w:r>
      <w:r>
        <w:rPr>
          <w:color w:val="231F20"/>
          <w:spacing w:val="-11"/>
          <w:w w:val="105"/>
        </w:rPr>
        <w:t> </w:t>
      </w:r>
      <w:r>
        <w:rPr>
          <w:color w:val="231F20"/>
          <w:w w:val="105"/>
        </w:rPr>
        <w:t>with</w:t>
      </w:r>
      <w:r>
        <w:rPr>
          <w:color w:val="231F20"/>
          <w:spacing w:val="-11"/>
          <w:w w:val="105"/>
        </w:rPr>
        <w:t> </w:t>
      </w:r>
      <w:r>
        <w:rPr>
          <w:color w:val="231F20"/>
          <w:w w:val="105"/>
        </w:rPr>
        <w:t>an</w:t>
      </w:r>
      <w:r>
        <w:rPr>
          <w:color w:val="231F20"/>
          <w:spacing w:val="-11"/>
          <w:w w:val="105"/>
        </w:rPr>
        <w:t> </w:t>
      </w:r>
      <w:r>
        <w:rPr>
          <w:color w:val="231F20"/>
          <w:w w:val="105"/>
        </w:rPr>
        <w:t>identified</w:t>
      </w:r>
      <w:r>
        <w:rPr>
          <w:color w:val="231F20"/>
          <w:spacing w:val="-11"/>
          <w:w w:val="105"/>
        </w:rPr>
        <w:t> </w:t>
      </w:r>
      <w:r>
        <w:rPr>
          <w:color w:val="231F20"/>
          <w:w w:val="105"/>
        </w:rPr>
        <w:t>cause.</w:t>
      </w:r>
    </w:p>
    <w:p>
      <w:pPr>
        <w:pStyle w:val="BodyText"/>
        <w:spacing w:line="252" w:lineRule="auto" w:before="180"/>
        <w:ind w:left="329" w:right="1859"/>
        <w:rPr>
          <w:rFonts w:ascii="Times New Roman"/>
        </w:rPr>
      </w:pPr>
      <w:r>
        <w:rPr>
          <w:color w:val="231F20"/>
        </w:rPr>
        <w:t>Because no etiologic agent is identified for </w:t>
      </w:r>
      <w:r>
        <w:rPr>
          <w:rFonts w:ascii="Times New Roman"/>
          <w:color w:val="231F20"/>
        </w:rPr>
        <w:t>a large proportion of  foodborne disease</w:t>
      </w:r>
    </w:p>
    <w:p>
      <w:pPr>
        <w:pStyle w:val="BodyText"/>
        <w:spacing w:line="266" w:lineRule="auto" w:before="8"/>
        <w:ind w:left="329" w:right="1453"/>
      </w:pPr>
      <w:r>
        <w:rPr>
          <w:rFonts w:ascii="Times New Roman"/>
          <w:color w:val="231F20"/>
          <w:w w:val="105"/>
        </w:rPr>
        <w:t>outbreaks and not all outbreaks are detected, </w:t>
      </w:r>
      <w:r>
        <w:rPr>
          <w:color w:val="231F20"/>
          <w:w w:val="105"/>
        </w:rPr>
        <w:t>investigated, and reported through FDOSS, the relative frequency of various etiologic </w:t>
      </w:r>
      <w:r>
        <w:rPr>
          <w:rFonts w:ascii="Times New Roman"/>
          <w:color w:val="231F20"/>
          <w:w w:val="105"/>
        </w:rPr>
        <w:t>agents</w:t>
      </w:r>
      <w:r>
        <w:rPr>
          <w:rFonts w:ascii="Times New Roman"/>
          <w:color w:val="231F20"/>
          <w:spacing w:val="-25"/>
          <w:w w:val="105"/>
        </w:rPr>
        <w:t> </w:t>
      </w:r>
      <w:r>
        <w:rPr>
          <w:rFonts w:ascii="Times New Roman"/>
          <w:color w:val="231F20"/>
          <w:w w:val="105"/>
        </w:rPr>
        <w:t>based</w:t>
      </w:r>
      <w:r>
        <w:rPr>
          <w:rFonts w:ascii="Times New Roman"/>
          <w:color w:val="231F20"/>
          <w:spacing w:val="-24"/>
          <w:w w:val="105"/>
        </w:rPr>
        <w:t> </w:t>
      </w:r>
      <w:r>
        <w:rPr>
          <w:rFonts w:ascii="Times New Roman"/>
          <w:color w:val="231F20"/>
          <w:w w:val="105"/>
        </w:rPr>
        <w:t>on</w:t>
      </w:r>
      <w:r>
        <w:rPr>
          <w:rFonts w:ascii="Times New Roman"/>
          <w:color w:val="231F20"/>
          <w:spacing w:val="-25"/>
          <w:w w:val="105"/>
        </w:rPr>
        <w:t> </w:t>
      </w:r>
      <w:r>
        <w:rPr>
          <w:rFonts w:ascii="Times New Roman"/>
          <w:color w:val="231F20"/>
          <w:w w:val="105"/>
        </w:rPr>
        <w:t>these</w:t>
      </w:r>
      <w:r>
        <w:rPr>
          <w:rFonts w:ascii="Times New Roman"/>
          <w:color w:val="231F20"/>
          <w:spacing w:val="-25"/>
          <w:w w:val="105"/>
        </w:rPr>
        <w:t> </w:t>
      </w:r>
      <w:r>
        <w:rPr>
          <w:rFonts w:ascii="Times New Roman"/>
          <w:color w:val="231F20"/>
          <w:w w:val="105"/>
        </w:rPr>
        <w:t>or</w:t>
      </w:r>
      <w:r>
        <w:rPr>
          <w:rFonts w:ascii="Times New Roman"/>
          <w:color w:val="231F20"/>
          <w:spacing w:val="-24"/>
          <w:w w:val="105"/>
        </w:rPr>
        <w:t> </w:t>
      </w:r>
      <w:r>
        <w:rPr>
          <w:rFonts w:ascii="Times New Roman"/>
          <w:color w:val="231F20"/>
          <w:w w:val="105"/>
        </w:rPr>
        <w:t>similar</w:t>
      </w:r>
      <w:r>
        <w:rPr>
          <w:rFonts w:ascii="Times New Roman"/>
          <w:color w:val="231F20"/>
          <w:spacing w:val="-24"/>
          <w:w w:val="105"/>
        </w:rPr>
        <w:t> </w:t>
      </w:r>
      <w:r>
        <w:rPr>
          <w:rFonts w:ascii="Times New Roman"/>
          <w:color w:val="231F20"/>
          <w:w w:val="105"/>
        </w:rPr>
        <w:t>data</w:t>
      </w:r>
      <w:r>
        <w:rPr>
          <w:rFonts w:ascii="Times New Roman"/>
          <w:color w:val="231F20"/>
          <w:spacing w:val="-25"/>
          <w:w w:val="105"/>
        </w:rPr>
        <w:t> </w:t>
      </w:r>
      <w:r>
        <w:rPr>
          <w:rFonts w:ascii="Times New Roman"/>
          <w:color w:val="231F20"/>
          <w:w w:val="105"/>
        </w:rPr>
        <w:t>should</w:t>
      </w:r>
      <w:r>
        <w:rPr>
          <w:rFonts w:ascii="Times New Roman"/>
          <w:color w:val="231F20"/>
          <w:spacing w:val="-24"/>
          <w:w w:val="105"/>
        </w:rPr>
        <w:t> </w:t>
      </w:r>
      <w:r>
        <w:rPr>
          <w:rFonts w:ascii="Times New Roman"/>
          <w:color w:val="231F20"/>
          <w:w w:val="105"/>
        </w:rPr>
        <w:t>be </w:t>
      </w:r>
      <w:r>
        <w:rPr>
          <w:color w:val="231F20"/>
          <w:w w:val="105"/>
        </w:rPr>
        <w:t>interpreted with</w:t>
      </w:r>
      <w:r>
        <w:rPr>
          <w:color w:val="231F20"/>
          <w:spacing w:val="-8"/>
          <w:w w:val="105"/>
        </w:rPr>
        <w:t> </w:t>
      </w:r>
      <w:r>
        <w:rPr>
          <w:color w:val="231F20"/>
          <w:w w:val="105"/>
        </w:rPr>
        <w:t>caution.</w:t>
      </w:r>
    </w:p>
    <w:p>
      <w:pPr>
        <w:spacing w:line="290" w:lineRule="auto" w:before="183"/>
        <w:ind w:left="329" w:right="1432" w:firstLine="0"/>
        <w:jc w:val="left"/>
        <w:rPr>
          <w:rFonts w:ascii="Arial"/>
          <w:sz w:val="18"/>
        </w:rPr>
      </w:pPr>
      <w:r>
        <w:rPr>
          <w:rFonts w:ascii="Arial"/>
          <w:color w:val="00A94F"/>
          <w:w w:val="105"/>
          <w:sz w:val="18"/>
        </w:rPr>
        <w:t>Determining the Etiologic Agent in an </w:t>
      </w:r>
      <w:r>
        <w:rPr>
          <w:rFonts w:ascii="Arial"/>
          <w:color w:val="00A94F"/>
          <w:sz w:val="18"/>
        </w:rPr>
        <w:t>Outbreak (2.4.3)</w:t>
      </w:r>
    </w:p>
    <w:p>
      <w:pPr>
        <w:pStyle w:val="BodyText"/>
        <w:spacing w:line="266" w:lineRule="auto"/>
        <w:ind w:left="329" w:right="1451"/>
      </w:pPr>
      <w:r>
        <w:rPr>
          <w:color w:val="231F20"/>
        </w:rPr>
        <w:t>Laboratory testing of clinical specimens from patients is critical in determining the etiology    of a foodborne disease outbreak. </w:t>
      </w:r>
      <w:r>
        <w:rPr>
          <w:color w:val="231F20"/>
          <w:spacing w:val="-7"/>
        </w:rPr>
        <w:t>For </w:t>
      </w:r>
      <w:r>
        <w:rPr>
          <w:color w:val="231F20"/>
        </w:rPr>
        <w:t>most </w:t>
      </w:r>
      <w:r>
        <w:rPr>
          <w:rFonts w:ascii="Times New Roman"/>
          <w:color w:val="231F20"/>
        </w:rPr>
        <w:t>foodborne diseases, stool is the specimen of </w:t>
      </w:r>
      <w:r>
        <w:rPr>
          <w:color w:val="231F20"/>
        </w:rPr>
        <w:t>choice. In an outbreak, specimens are collected as soon as possible after onset of</w:t>
      </w:r>
      <w:r>
        <w:rPr>
          <w:color w:val="231F20"/>
          <w:spacing w:val="43"/>
        </w:rPr>
        <w:t> </w:t>
      </w:r>
      <w:r>
        <w:rPr>
          <w:color w:val="231F20"/>
        </w:rPr>
        <w:t>symptoms.</w:t>
      </w:r>
    </w:p>
    <w:p>
      <w:pPr>
        <w:pStyle w:val="BodyText"/>
        <w:spacing w:line="216" w:lineRule="exact" w:before="2"/>
        <w:ind w:left="329"/>
        <w:rPr>
          <w:rFonts w:ascii="Times New Roman"/>
        </w:rPr>
      </w:pPr>
      <w:r>
        <w:rPr>
          <w:rFonts w:ascii="Times New Roman"/>
          <w:color w:val="231F20"/>
        </w:rPr>
        <w:t>The number of specimens collected depends</w:t>
      </w:r>
    </w:p>
    <w:p>
      <w:pPr>
        <w:pStyle w:val="BodyText"/>
        <w:spacing w:line="266" w:lineRule="auto" w:before="33"/>
        <w:ind w:left="329" w:right="1363"/>
      </w:pPr>
      <w:r>
        <w:rPr>
          <w:color w:val="231F20"/>
          <w:w w:val="105"/>
        </w:rPr>
        <w:t>on the suspected agent and capacity of the testing laboratory; ideally, specimens from 5-10 persons are collected and tested (2.4.3.1).</w:t>
      </w:r>
    </w:p>
    <w:p>
      <w:pPr>
        <w:pStyle w:val="BodyText"/>
        <w:spacing w:line="266" w:lineRule="auto" w:before="165"/>
        <w:ind w:left="329" w:right="1512"/>
      </w:pPr>
      <w:r>
        <w:rPr>
          <w:rFonts w:ascii="Times New Roman"/>
          <w:color w:val="231F20"/>
          <w:w w:val="105"/>
        </w:rPr>
        <w:t>Isolation of the etiologic agent from food is </w:t>
      </w:r>
      <w:r>
        <w:rPr>
          <w:rFonts w:ascii="Times New Roman"/>
          <w:color w:val="231F20"/>
        </w:rPr>
        <w:t>challenging because certain pathogens require </w:t>
      </w:r>
      <w:r>
        <w:rPr>
          <w:color w:val="231F20"/>
          <w:w w:val="105"/>
        </w:rPr>
        <w:t>special collection and testing techniques. In </w:t>
      </w:r>
      <w:r>
        <w:rPr>
          <w:rFonts w:ascii="Times New Roman"/>
          <w:color w:val="231F20"/>
          <w:w w:val="105"/>
        </w:rPr>
        <w:t>addition, food samples collected during the </w:t>
      </w:r>
      <w:r>
        <w:rPr>
          <w:color w:val="231F20"/>
          <w:w w:val="105"/>
        </w:rPr>
        <w:t>investigation might not reflect foods eaten at the time of the outbreak. As a result, food testing results should be interpreted with caution (2.4.3.1).</w:t>
      </w:r>
    </w:p>
    <w:p>
      <w:pPr>
        <w:pStyle w:val="BodyText"/>
        <w:spacing w:line="264" w:lineRule="auto" w:before="180"/>
        <w:ind w:left="329" w:right="1363"/>
      </w:pPr>
      <w:r>
        <w:rPr>
          <w:color w:val="231F20"/>
          <w:w w:val="105"/>
        </w:rPr>
        <w:t>Predominant signs and symptoms, and the </w:t>
      </w:r>
      <w:r>
        <w:rPr>
          <w:rFonts w:ascii="Times New Roman"/>
          <w:color w:val="231F20"/>
        </w:rPr>
        <w:t>average incubation period, can provide insights </w:t>
      </w:r>
      <w:r>
        <w:rPr>
          <w:color w:val="231F20"/>
          <w:w w:val="105"/>
        </w:rPr>
        <w:t>into the etiologic agent before laboratory</w:t>
      </w:r>
    </w:p>
    <w:p>
      <w:pPr>
        <w:pStyle w:val="BodyText"/>
        <w:spacing w:before="2"/>
        <w:ind w:left="329"/>
      </w:pPr>
      <w:r>
        <w:rPr>
          <w:color w:val="231F20"/>
          <w:w w:val="105"/>
        </w:rPr>
        <w:t>test results are available. Illnesses resulting</w:t>
      </w:r>
    </w:p>
    <w:p>
      <w:pPr>
        <w:spacing w:after="0"/>
        <w:sectPr>
          <w:type w:val="continuous"/>
          <w:pgSz w:w="10080" w:h="14400"/>
          <w:pgMar w:top="0" w:bottom="360" w:left="0" w:right="0"/>
          <w:cols w:num="2" w:equalWidth="0">
            <w:col w:w="4491" w:space="40"/>
            <w:col w:w="5549"/>
          </w:cols>
        </w:sectPr>
      </w:pPr>
    </w:p>
    <w:p>
      <w:pPr>
        <w:pStyle w:val="BodyText"/>
        <w:spacing w:before="8"/>
        <w:rPr>
          <w:sz w:val="10"/>
        </w:rPr>
      </w:pPr>
    </w:p>
    <w:p>
      <w:pPr>
        <w:pStyle w:val="Heading1"/>
        <w:spacing w:line="249" w:lineRule="auto"/>
        <w:ind w:right="1582"/>
      </w:pPr>
      <w:r>
        <w:rPr/>
        <w:pict>
          <v:line style="position:absolute;mso-position-horizontal-relative:page;mso-position-vertical-relative:paragraph;z-index:1792;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1816" filled="true" fillcolor="#0079c1" stroked="false">
            <v:fill type="solid"/>
            <w10:wrap type="none"/>
          </v:rect>
        </w:pict>
      </w:r>
      <w:r>
        <w:rPr/>
        <w:pict>
          <v:line style="position:absolute;mso-position-horizontal-relative:page;mso-position-vertical-relative:paragraph;z-index:1840"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1864"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2. Fundamental Concepts of Public Health Surveillance and Foodborne Disease</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6" w:lineRule="auto" w:before="108"/>
        <w:ind w:left="1440" w:right="91"/>
      </w:pPr>
      <w:r>
        <w:rPr>
          <w:color w:val="231F20"/>
        </w:rPr>
        <w:t>from preformed toxins manifest </w:t>
      </w:r>
      <w:r>
        <w:rPr>
          <w:color w:val="231F20"/>
          <w:spacing w:val="-4"/>
        </w:rPr>
        <w:t>rapidly, </w:t>
      </w:r>
      <w:r>
        <w:rPr>
          <w:color w:val="231F20"/>
        </w:rPr>
        <w:t>often  in a matter of minutes or hours; the most common symptom is vomiting, although other symptoms occur depending on the  </w:t>
      </w:r>
      <w:r>
        <w:rPr>
          <w:color w:val="231F20"/>
          <w:spacing w:val="3"/>
        </w:rPr>
        <w:t> </w:t>
      </w:r>
      <w:r>
        <w:rPr>
          <w:color w:val="231F20"/>
        </w:rPr>
        <w:t>agent.</w:t>
      </w:r>
    </w:p>
    <w:p>
      <w:pPr>
        <w:pStyle w:val="BodyText"/>
        <w:spacing w:line="266" w:lineRule="auto"/>
        <w:ind w:left="1440" w:right="-17"/>
      </w:pPr>
      <w:r>
        <w:rPr>
          <w:color w:val="231F20"/>
          <w:w w:val="105"/>
        </w:rPr>
        <w:t>Illnesses caused </w:t>
      </w:r>
      <w:r>
        <w:rPr>
          <w:color w:val="231F20"/>
          <w:spacing w:val="-3"/>
          <w:w w:val="105"/>
        </w:rPr>
        <w:t>by </w:t>
      </w:r>
      <w:r>
        <w:rPr>
          <w:color w:val="231F20"/>
          <w:w w:val="105"/>
        </w:rPr>
        <w:t>infections take longer to manifest,</w:t>
      </w:r>
      <w:r>
        <w:rPr>
          <w:color w:val="231F20"/>
          <w:spacing w:val="-12"/>
          <w:w w:val="105"/>
        </w:rPr>
        <w:t> </w:t>
      </w:r>
      <w:r>
        <w:rPr>
          <w:color w:val="231F20"/>
          <w:w w:val="105"/>
        </w:rPr>
        <w:t>ranging</w:t>
      </w:r>
      <w:r>
        <w:rPr>
          <w:color w:val="231F20"/>
          <w:spacing w:val="-12"/>
          <w:w w:val="105"/>
        </w:rPr>
        <w:t> </w:t>
      </w:r>
      <w:r>
        <w:rPr>
          <w:color w:val="231F20"/>
          <w:w w:val="105"/>
        </w:rPr>
        <w:t>from</w:t>
      </w:r>
      <w:r>
        <w:rPr>
          <w:color w:val="231F20"/>
          <w:spacing w:val="-12"/>
          <w:w w:val="105"/>
        </w:rPr>
        <w:t> </w:t>
      </w:r>
      <w:r>
        <w:rPr>
          <w:color w:val="231F20"/>
          <w:w w:val="105"/>
        </w:rPr>
        <w:t>hours</w:t>
      </w:r>
      <w:r>
        <w:rPr>
          <w:color w:val="231F20"/>
          <w:spacing w:val="-12"/>
          <w:w w:val="105"/>
        </w:rPr>
        <w:t> </w:t>
      </w:r>
      <w:r>
        <w:rPr>
          <w:color w:val="231F20"/>
          <w:w w:val="105"/>
        </w:rPr>
        <w:t>to</w:t>
      </w:r>
      <w:r>
        <w:rPr>
          <w:color w:val="231F20"/>
          <w:spacing w:val="-12"/>
          <w:w w:val="105"/>
        </w:rPr>
        <w:t> </w:t>
      </w:r>
      <w:r>
        <w:rPr>
          <w:color w:val="231F20"/>
          <w:w w:val="105"/>
        </w:rPr>
        <w:t>days</w:t>
      </w:r>
      <w:r>
        <w:rPr>
          <w:color w:val="231F20"/>
          <w:spacing w:val="-12"/>
          <w:w w:val="105"/>
        </w:rPr>
        <w:t> </w:t>
      </w:r>
      <w:r>
        <w:rPr>
          <w:color w:val="231F20"/>
          <w:w w:val="105"/>
        </w:rPr>
        <w:t>or</w:t>
      </w:r>
      <w:r>
        <w:rPr>
          <w:color w:val="231F20"/>
          <w:spacing w:val="-12"/>
          <w:w w:val="105"/>
        </w:rPr>
        <w:t> </w:t>
      </w:r>
      <w:r>
        <w:rPr>
          <w:color w:val="231F20"/>
          <w:w w:val="105"/>
        </w:rPr>
        <w:t>weeks. Symptoms usually include diarrhea, nausea, vomiting, and abdominal cramps. </w:t>
      </w:r>
      <w:r>
        <w:rPr>
          <w:color w:val="231F20"/>
          <w:spacing w:val="-5"/>
          <w:w w:val="105"/>
        </w:rPr>
        <w:t>Fever </w:t>
      </w:r>
      <w:r>
        <w:rPr>
          <w:color w:val="231F20"/>
          <w:w w:val="105"/>
        </w:rPr>
        <w:t>and</w:t>
      </w:r>
      <w:r>
        <w:rPr>
          <w:color w:val="231F20"/>
          <w:spacing w:val="-21"/>
          <w:w w:val="105"/>
        </w:rPr>
        <w:t> </w:t>
      </w:r>
      <w:r>
        <w:rPr>
          <w:color w:val="231F20"/>
          <w:w w:val="105"/>
        </w:rPr>
        <w:t>an elevated white blood cell count also can occur (2.4.3.2.1).</w:t>
      </w:r>
    </w:p>
    <w:p>
      <w:pPr>
        <w:pStyle w:val="BodyText"/>
        <w:spacing w:line="266" w:lineRule="auto" w:before="180"/>
        <w:ind w:left="1440" w:right="2"/>
      </w:pPr>
      <w:r>
        <w:rPr>
          <w:color w:val="231F20"/>
          <w:w w:val="105"/>
        </w:rPr>
        <w:t>Because certain pathogens are commonly associated with certain foods, the suspected food in an outbreak can occasionally suggest a particular disease agent. However, most foods can be associated with a variety of pathogens and new vehicles emerge each year, so care </w:t>
      </w:r>
      <w:r>
        <w:rPr>
          <w:rFonts w:ascii="Times New Roman"/>
          <w:color w:val="231F20"/>
          <w:w w:val="105"/>
        </w:rPr>
        <w:t>must be taken in inferring an etiologic agent </w:t>
      </w:r>
      <w:r>
        <w:rPr>
          <w:color w:val="231F20"/>
          <w:w w:val="105"/>
        </w:rPr>
        <w:t>on the basis of a suspected food (2.4.3.2.2).</w:t>
      </w:r>
    </w:p>
    <w:p>
      <w:pPr>
        <w:spacing w:before="183"/>
        <w:ind w:left="1440" w:right="0" w:firstLine="0"/>
        <w:jc w:val="left"/>
        <w:rPr>
          <w:rFonts w:ascii="Arial"/>
          <w:sz w:val="18"/>
        </w:rPr>
      </w:pPr>
      <w:r>
        <w:rPr>
          <w:rFonts w:ascii="Arial"/>
          <w:color w:val="00A94F"/>
          <w:sz w:val="18"/>
        </w:rPr>
        <w:t>Mode of Transmission (2.4.4)</w:t>
      </w:r>
    </w:p>
    <w:p>
      <w:pPr>
        <w:pStyle w:val="BodyText"/>
        <w:spacing w:line="264" w:lineRule="auto" w:before="38"/>
        <w:ind w:left="1440" w:right="16"/>
      </w:pPr>
      <w:r>
        <w:rPr>
          <w:color w:val="231F20"/>
        </w:rPr>
        <w:t>Many agents responsible for foodborne illness can be transmitted by other routes (e.g., water, person to person, and animal to person). Early </w:t>
      </w:r>
      <w:r>
        <w:rPr>
          <w:rFonts w:ascii="Times New Roman"/>
          <w:color w:val="231F20"/>
        </w:rPr>
        <w:t>in the investigation of a potential foodborne disease outbreak, investigators should consider </w:t>
      </w:r>
      <w:r>
        <w:rPr>
          <w:color w:val="231F20"/>
        </w:rPr>
        <w:t>all potential sources of  transmission.</w:t>
      </w:r>
    </w:p>
    <w:p>
      <w:pPr>
        <w:pStyle w:val="BodyText"/>
        <w:spacing w:line="261" w:lineRule="auto" w:before="181"/>
        <w:ind w:left="1440" w:right="-3"/>
      </w:pPr>
      <w:r>
        <w:rPr>
          <w:color w:val="231F20"/>
        </w:rPr>
        <w:t>Although in-depth case interviews and </w:t>
      </w:r>
      <w:r>
        <w:rPr>
          <w:rFonts w:ascii="Times New Roman"/>
          <w:color w:val="231F20"/>
        </w:rPr>
        <w:t>epidemiologic, environmental health, and </w:t>
      </w:r>
      <w:r>
        <w:rPr>
          <w:color w:val="231F20"/>
        </w:rPr>
        <w:t>laboratory studies are necessary to confirm </w:t>
      </w:r>
      <w:r>
        <w:rPr>
          <w:rFonts w:ascii="Times New Roman"/>
          <w:color w:val="231F20"/>
        </w:rPr>
        <w:t>suspicions about the mode of transmission in an outbreak, characteristics among cases or timing of illness onset might provide clues that </w:t>
      </w:r>
      <w:r>
        <w:rPr>
          <w:color w:val="231F20"/>
        </w:rPr>
        <w:t>suggest one mode of  transmission over others.</w:t>
      </w:r>
    </w:p>
    <w:p>
      <w:pPr>
        <w:pStyle w:val="ListParagraph"/>
        <w:numPr>
          <w:ilvl w:val="0"/>
          <w:numId w:val="2"/>
        </w:numPr>
        <w:tabs>
          <w:tab w:pos="494" w:val="left" w:leader="none"/>
        </w:tabs>
        <w:spacing w:line="264" w:lineRule="auto" w:before="108" w:after="0"/>
        <w:ind w:left="493" w:right="752" w:hanging="171"/>
        <w:jc w:val="left"/>
        <w:rPr>
          <w:sz w:val="20"/>
        </w:rPr>
      </w:pPr>
      <w:r>
        <w:rPr>
          <w:color w:val="231F20"/>
          <w:spacing w:val="-19"/>
          <w:w w:val="98"/>
          <w:sz w:val="20"/>
        </w:rPr>
        <w:br w:type="column"/>
      </w:r>
      <w:r>
        <w:rPr>
          <w:color w:val="231F20"/>
          <w:w w:val="105"/>
          <w:sz w:val="20"/>
        </w:rPr>
        <w:t>Foodborne transmission is suggested </w:t>
      </w:r>
      <w:r>
        <w:rPr>
          <w:color w:val="231F20"/>
          <w:spacing w:val="-3"/>
          <w:w w:val="105"/>
          <w:sz w:val="20"/>
        </w:rPr>
        <w:t>by </w:t>
      </w:r>
      <w:r>
        <w:rPr>
          <w:color w:val="231F20"/>
          <w:w w:val="105"/>
          <w:sz w:val="20"/>
        </w:rPr>
        <w:t>cases who </w:t>
      </w:r>
      <w:r>
        <w:rPr>
          <w:color w:val="231F20"/>
          <w:spacing w:val="-3"/>
          <w:w w:val="105"/>
          <w:sz w:val="20"/>
        </w:rPr>
        <w:t>have </w:t>
      </w:r>
      <w:r>
        <w:rPr>
          <w:color w:val="231F20"/>
          <w:w w:val="105"/>
          <w:sz w:val="20"/>
        </w:rPr>
        <w:t>shared a common meal or </w:t>
      </w:r>
      <w:r>
        <w:rPr>
          <w:rFonts w:ascii="Times New Roman"/>
          <w:color w:val="231F20"/>
          <w:w w:val="105"/>
          <w:sz w:val="20"/>
        </w:rPr>
        <w:t>food and </w:t>
      </w:r>
      <w:r>
        <w:rPr>
          <w:rFonts w:ascii="Times New Roman"/>
          <w:color w:val="231F20"/>
          <w:spacing w:val="-3"/>
          <w:w w:val="105"/>
          <w:sz w:val="20"/>
        </w:rPr>
        <w:t>have </w:t>
      </w:r>
      <w:r>
        <w:rPr>
          <w:rFonts w:ascii="Times New Roman"/>
          <w:color w:val="231F20"/>
          <w:w w:val="105"/>
          <w:sz w:val="20"/>
        </w:rPr>
        <w:t>onset of illness consistent </w:t>
      </w:r>
      <w:r>
        <w:rPr>
          <w:color w:val="231F20"/>
          <w:w w:val="105"/>
          <w:sz w:val="20"/>
        </w:rPr>
        <w:t>with</w:t>
      </w:r>
      <w:r>
        <w:rPr>
          <w:color w:val="231F20"/>
          <w:spacing w:val="-11"/>
          <w:w w:val="105"/>
          <w:sz w:val="20"/>
        </w:rPr>
        <w:t> </w:t>
      </w:r>
      <w:r>
        <w:rPr>
          <w:color w:val="231F20"/>
          <w:w w:val="105"/>
          <w:sz w:val="20"/>
        </w:rPr>
        <w:t>eating</w:t>
      </w:r>
      <w:r>
        <w:rPr>
          <w:color w:val="231F20"/>
          <w:spacing w:val="-11"/>
          <w:w w:val="105"/>
          <w:sz w:val="20"/>
        </w:rPr>
        <w:t> </w:t>
      </w:r>
      <w:r>
        <w:rPr>
          <w:color w:val="231F20"/>
          <w:w w:val="105"/>
          <w:sz w:val="20"/>
        </w:rPr>
        <w:t>of</w:t>
      </w:r>
      <w:r>
        <w:rPr>
          <w:color w:val="231F20"/>
          <w:spacing w:val="13"/>
          <w:w w:val="105"/>
          <w:sz w:val="20"/>
        </w:rPr>
        <w:t> </w:t>
      </w:r>
      <w:r>
        <w:rPr>
          <w:color w:val="231F20"/>
          <w:w w:val="105"/>
          <w:sz w:val="20"/>
        </w:rPr>
        <w:t>the</w:t>
      </w:r>
      <w:r>
        <w:rPr>
          <w:color w:val="231F20"/>
          <w:spacing w:val="-11"/>
          <w:w w:val="105"/>
          <w:sz w:val="20"/>
        </w:rPr>
        <w:t> </w:t>
      </w:r>
      <w:r>
        <w:rPr>
          <w:color w:val="231F20"/>
          <w:w w:val="105"/>
          <w:sz w:val="20"/>
        </w:rPr>
        <w:t>shared</w:t>
      </w:r>
      <w:r>
        <w:rPr>
          <w:color w:val="231F20"/>
          <w:spacing w:val="-11"/>
          <w:w w:val="105"/>
          <w:sz w:val="20"/>
        </w:rPr>
        <w:t> </w:t>
      </w:r>
      <w:r>
        <w:rPr>
          <w:color w:val="231F20"/>
          <w:w w:val="105"/>
          <w:sz w:val="20"/>
        </w:rPr>
        <w:t>meal</w:t>
      </w:r>
      <w:r>
        <w:rPr>
          <w:color w:val="231F20"/>
          <w:spacing w:val="-11"/>
          <w:w w:val="105"/>
          <w:sz w:val="20"/>
        </w:rPr>
        <w:t> </w:t>
      </w:r>
      <w:r>
        <w:rPr>
          <w:color w:val="231F20"/>
          <w:w w:val="105"/>
          <w:sz w:val="20"/>
        </w:rPr>
        <w:t>or</w:t>
      </w:r>
      <w:r>
        <w:rPr>
          <w:color w:val="231F20"/>
          <w:spacing w:val="-11"/>
          <w:w w:val="105"/>
          <w:sz w:val="20"/>
        </w:rPr>
        <w:t> </w:t>
      </w:r>
      <w:r>
        <w:rPr>
          <w:color w:val="231F20"/>
          <w:w w:val="105"/>
          <w:sz w:val="20"/>
        </w:rPr>
        <w:t>food;</w:t>
      </w:r>
      <w:r>
        <w:rPr>
          <w:color w:val="231F20"/>
          <w:spacing w:val="-11"/>
          <w:w w:val="105"/>
          <w:sz w:val="20"/>
        </w:rPr>
        <w:t> </w:t>
      </w:r>
      <w:r>
        <w:rPr>
          <w:color w:val="231F20"/>
          <w:w w:val="105"/>
          <w:sz w:val="20"/>
        </w:rPr>
        <w:t>cases with distinctive demographic characteristics (i.e., age group, sex, and ethnicity) which could reflect unique food preferences or exposures; and cases with a geographic </w:t>
      </w:r>
      <w:r>
        <w:rPr>
          <w:rFonts w:ascii="Times New Roman"/>
          <w:color w:val="231F20"/>
          <w:w w:val="105"/>
          <w:sz w:val="20"/>
        </w:rPr>
        <w:t>distribution similar to the distribution of </w:t>
      </w:r>
      <w:r>
        <w:rPr>
          <w:color w:val="231F20"/>
          <w:w w:val="105"/>
          <w:sz w:val="20"/>
        </w:rPr>
        <w:t>food products (2.4.4.1). Of note, outbreaks that</w:t>
      </w:r>
      <w:r>
        <w:rPr>
          <w:color w:val="231F20"/>
          <w:spacing w:val="-8"/>
          <w:w w:val="105"/>
          <w:sz w:val="20"/>
        </w:rPr>
        <w:t> </w:t>
      </w:r>
      <w:r>
        <w:rPr>
          <w:color w:val="231F20"/>
          <w:w w:val="105"/>
          <w:sz w:val="20"/>
        </w:rPr>
        <w:t>appear</w:t>
      </w:r>
      <w:r>
        <w:rPr>
          <w:color w:val="231F20"/>
          <w:spacing w:val="-8"/>
          <w:w w:val="105"/>
          <w:sz w:val="20"/>
        </w:rPr>
        <w:t> </w:t>
      </w:r>
      <w:r>
        <w:rPr>
          <w:color w:val="231F20"/>
          <w:w w:val="105"/>
          <w:sz w:val="20"/>
        </w:rPr>
        <w:t>to</w:t>
      </w:r>
      <w:r>
        <w:rPr>
          <w:color w:val="231F20"/>
          <w:spacing w:val="-8"/>
          <w:w w:val="105"/>
          <w:sz w:val="20"/>
        </w:rPr>
        <w:t> </w:t>
      </w:r>
      <w:r>
        <w:rPr>
          <w:color w:val="231F20"/>
          <w:w w:val="105"/>
          <w:sz w:val="20"/>
        </w:rPr>
        <w:t>be</w:t>
      </w:r>
      <w:r>
        <w:rPr>
          <w:color w:val="231F20"/>
          <w:spacing w:val="-8"/>
          <w:w w:val="105"/>
          <w:sz w:val="20"/>
        </w:rPr>
        <w:t> </w:t>
      </w:r>
      <w:r>
        <w:rPr>
          <w:color w:val="231F20"/>
          <w:w w:val="105"/>
          <w:sz w:val="20"/>
        </w:rPr>
        <w:t>foodborne</w:t>
      </w:r>
      <w:r>
        <w:rPr>
          <w:color w:val="231F20"/>
          <w:spacing w:val="-8"/>
          <w:w w:val="105"/>
          <w:sz w:val="20"/>
        </w:rPr>
        <w:t> </w:t>
      </w:r>
      <w:r>
        <w:rPr>
          <w:color w:val="231F20"/>
          <w:w w:val="105"/>
          <w:sz w:val="20"/>
        </w:rPr>
        <w:t>are</w:t>
      </w:r>
      <w:r>
        <w:rPr>
          <w:color w:val="231F20"/>
          <w:spacing w:val="-8"/>
          <w:w w:val="105"/>
          <w:sz w:val="20"/>
        </w:rPr>
        <w:t> </w:t>
      </w:r>
      <w:r>
        <w:rPr>
          <w:color w:val="231F20"/>
          <w:w w:val="105"/>
          <w:sz w:val="20"/>
        </w:rPr>
        <w:t>occasionally </w:t>
      </w:r>
      <w:r>
        <w:rPr>
          <w:rFonts w:ascii="Times New Roman"/>
          <w:color w:val="231F20"/>
          <w:w w:val="105"/>
          <w:sz w:val="20"/>
        </w:rPr>
        <w:t>linked to nonfood environmental sources </w:t>
      </w:r>
      <w:r>
        <w:rPr>
          <w:color w:val="231F20"/>
          <w:w w:val="105"/>
          <w:sz w:val="20"/>
        </w:rPr>
        <w:t>(i.e.,</w:t>
      </w:r>
      <w:r>
        <w:rPr>
          <w:color w:val="231F20"/>
          <w:spacing w:val="-32"/>
          <w:w w:val="105"/>
          <w:sz w:val="20"/>
        </w:rPr>
        <w:t> </w:t>
      </w:r>
      <w:r>
        <w:rPr>
          <w:color w:val="231F20"/>
          <w:w w:val="105"/>
          <w:sz w:val="20"/>
        </w:rPr>
        <w:t>fomites)</w:t>
      </w:r>
      <w:r>
        <w:rPr>
          <w:color w:val="231F20"/>
          <w:spacing w:val="-32"/>
          <w:w w:val="105"/>
          <w:sz w:val="20"/>
        </w:rPr>
        <w:t> </w:t>
      </w:r>
      <w:r>
        <w:rPr>
          <w:color w:val="231F20"/>
          <w:w w:val="105"/>
          <w:sz w:val="20"/>
        </w:rPr>
        <w:t>(2.4.4.4).</w:t>
      </w:r>
    </w:p>
    <w:p>
      <w:pPr>
        <w:pStyle w:val="ListParagraph"/>
        <w:numPr>
          <w:ilvl w:val="0"/>
          <w:numId w:val="2"/>
        </w:numPr>
        <w:tabs>
          <w:tab w:pos="494" w:val="left" w:leader="none"/>
        </w:tabs>
        <w:spacing w:line="266" w:lineRule="auto" w:before="78" w:after="0"/>
        <w:ind w:left="493" w:right="736" w:hanging="171"/>
        <w:jc w:val="left"/>
        <w:rPr>
          <w:sz w:val="20"/>
        </w:rPr>
      </w:pPr>
      <w:r>
        <w:rPr>
          <w:rFonts w:ascii="Times New Roman"/>
          <w:color w:val="231F20"/>
          <w:w w:val="105"/>
          <w:sz w:val="20"/>
        </w:rPr>
        <w:t>Waterborne transmission should be </w:t>
      </w:r>
      <w:r>
        <w:rPr>
          <w:color w:val="231F20"/>
          <w:w w:val="105"/>
          <w:sz w:val="20"/>
        </w:rPr>
        <w:t>considered if illness is widespread, persons of</w:t>
      </w:r>
      <w:r>
        <w:rPr>
          <w:color w:val="231F20"/>
          <w:spacing w:val="14"/>
          <w:w w:val="105"/>
          <w:sz w:val="20"/>
        </w:rPr>
        <w:t> </w:t>
      </w:r>
      <w:r>
        <w:rPr>
          <w:color w:val="231F20"/>
          <w:w w:val="105"/>
          <w:sz w:val="20"/>
        </w:rPr>
        <w:t>both</w:t>
      </w:r>
      <w:r>
        <w:rPr>
          <w:color w:val="231F20"/>
          <w:spacing w:val="-10"/>
          <w:w w:val="105"/>
          <w:sz w:val="20"/>
        </w:rPr>
        <w:t> </w:t>
      </w:r>
      <w:r>
        <w:rPr>
          <w:color w:val="231F20"/>
          <w:w w:val="105"/>
          <w:sz w:val="20"/>
        </w:rPr>
        <w:t>sexes</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all</w:t>
      </w:r>
      <w:r>
        <w:rPr>
          <w:color w:val="231F20"/>
          <w:spacing w:val="-10"/>
          <w:w w:val="105"/>
          <w:sz w:val="20"/>
        </w:rPr>
        <w:t> </w:t>
      </w:r>
      <w:r>
        <w:rPr>
          <w:color w:val="231F20"/>
          <w:w w:val="105"/>
          <w:sz w:val="20"/>
        </w:rPr>
        <w:t>age</w:t>
      </w:r>
      <w:r>
        <w:rPr>
          <w:color w:val="231F20"/>
          <w:spacing w:val="-10"/>
          <w:w w:val="105"/>
          <w:sz w:val="20"/>
        </w:rPr>
        <w:t> </w:t>
      </w:r>
      <w:r>
        <w:rPr>
          <w:color w:val="231F20"/>
          <w:w w:val="105"/>
          <w:sz w:val="20"/>
        </w:rPr>
        <w:t>groups</w:t>
      </w:r>
      <w:r>
        <w:rPr>
          <w:color w:val="231F20"/>
          <w:spacing w:val="-10"/>
          <w:w w:val="105"/>
          <w:sz w:val="20"/>
        </w:rPr>
        <w:t> </w:t>
      </w:r>
      <w:r>
        <w:rPr>
          <w:color w:val="231F20"/>
          <w:w w:val="105"/>
          <w:sz w:val="20"/>
        </w:rPr>
        <w:t>are</w:t>
      </w:r>
      <w:r>
        <w:rPr>
          <w:color w:val="231F20"/>
          <w:spacing w:val="-10"/>
          <w:w w:val="105"/>
          <w:sz w:val="20"/>
        </w:rPr>
        <w:t> </w:t>
      </w:r>
      <w:r>
        <w:rPr>
          <w:color w:val="231F20"/>
          <w:w w:val="105"/>
          <w:sz w:val="20"/>
        </w:rPr>
        <w:t>affected, </w:t>
      </w:r>
      <w:r>
        <w:rPr>
          <w:rFonts w:ascii="Times New Roman"/>
          <w:color w:val="231F20"/>
          <w:w w:val="105"/>
          <w:sz w:val="20"/>
        </w:rPr>
        <w:t>the geographic distribution of cases is </w:t>
      </w:r>
      <w:r>
        <w:rPr>
          <w:color w:val="231F20"/>
          <w:w w:val="105"/>
          <w:sz w:val="20"/>
        </w:rPr>
        <w:t>consistent with public water distribution; </w:t>
      </w:r>
      <w:r>
        <w:rPr>
          <w:rFonts w:ascii="Times New Roman"/>
          <w:color w:val="231F20"/>
          <w:w w:val="105"/>
          <w:sz w:val="20"/>
        </w:rPr>
        <w:t>cases are not reported among breast-fed </w:t>
      </w:r>
      <w:r>
        <w:rPr>
          <w:color w:val="231F20"/>
          <w:w w:val="105"/>
          <w:sz w:val="20"/>
        </w:rPr>
        <w:t>babies or persons who drink only bottled water or beverages from boiled water; complaints about water quality in the affected community </w:t>
      </w:r>
      <w:r>
        <w:rPr>
          <w:color w:val="231F20"/>
          <w:spacing w:val="-3"/>
          <w:w w:val="105"/>
          <w:sz w:val="20"/>
        </w:rPr>
        <w:t>have </w:t>
      </w:r>
      <w:r>
        <w:rPr>
          <w:color w:val="231F20"/>
          <w:w w:val="105"/>
          <w:sz w:val="20"/>
        </w:rPr>
        <w:t>been reported; or multiple</w:t>
      </w:r>
      <w:r>
        <w:rPr>
          <w:color w:val="231F20"/>
          <w:spacing w:val="-17"/>
          <w:w w:val="105"/>
          <w:sz w:val="20"/>
        </w:rPr>
        <w:t> </w:t>
      </w:r>
      <w:r>
        <w:rPr>
          <w:color w:val="231F20"/>
          <w:w w:val="105"/>
          <w:sz w:val="20"/>
        </w:rPr>
        <w:t>pathogens</w:t>
      </w:r>
      <w:r>
        <w:rPr>
          <w:color w:val="231F20"/>
          <w:spacing w:val="-17"/>
          <w:w w:val="105"/>
          <w:sz w:val="20"/>
        </w:rPr>
        <w:t> </w:t>
      </w:r>
      <w:r>
        <w:rPr>
          <w:color w:val="231F20"/>
          <w:w w:val="105"/>
          <w:sz w:val="20"/>
        </w:rPr>
        <w:t>are</w:t>
      </w:r>
      <w:r>
        <w:rPr>
          <w:color w:val="231F20"/>
          <w:spacing w:val="-17"/>
          <w:w w:val="105"/>
          <w:sz w:val="20"/>
        </w:rPr>
        <w:t> </w:t>
      </w:r>
      <w:r>
        <w:rPr>
          <w:color w:val="231F20"/>
          <w:w w:val="105"/>
          <w:sz w:val="20"/>
        </w:rPr>
        <w:t>involved</w:t>
      </w:r>
      <w:r>
        <w:rPr>
          <w:color w:val="231F20"/>
          <w:spacing w:val="-17"/>
          <w:w w:val="105"/>
          <w:sz w:val="20"/>
        </w:rPr>
        <w:t> </w:t>
      </w:r>
      <w:r>
        <w:rPr>
          <w:color w:val="231F20"/>
          <w:w w:val="105"/>
          <w:sz w:val="20"/>
        </w:rPr>
        <w:t>(2.4.4.2).</w:t>
      </w:r>
    </w:p>
    <w:p>
      <w:pPr>
        <w:pStyle w:val="ListParagraph"/>
        <w:numPr>
          <w:ilvl w:val="0"/>
          <w:numId w:val="2"/>
        </w:numPr>
        <w:tabs>
          <w:tab w:pos="494" w:val="left" w:leader="none"/>
        </w:tabs>
        <w:spacing w:line="266" w:lineRule="auto" w:before="75" w:after="0"/>
        <w:ind w:left="493" w:right="721" w:hanging="171"/>
        <w:jc w:val="left"/>
        <w:rPr>
          <w:sz w:val="20"/>
        </w:rPr>
      </w:pPr>
      <w:r>
        <w:rPr>
          <w:rFonts w:ascii="Times New Roman"/>
          <w:color w:val="231F20"/>
          <w:sz w:val="20"/>
        </w:rPr>
        <w:t>Person-to-person transmission should be </w:t>
      </w:r>
      <w:r>
        <w:rPr>
          <w:color w:val="231F20"/>
          <w:sz w:val="20"/>
        </w:rPr>
        <w:t>suspected when cases cluster in social units </w:t>
      </w:r>
      <w:r>
        <w:rPr>
          <w:color w:val="231F20"/>
          <w:spacing w:val="-4"/>
          <w:sz w:val="20"/>
        </w:rPr>
        <w:t>(e.g., </w:t>
      </w:r>
      <w:r>
        <w:rPr>
          <w:color w:val="231F20"/>
          <w:sz w:val="20"/>
        </w:rPr>
        <w:t>families, schools, dorms or dorm rooms) and when cases occur in waves separated </w:t>
      </w:r>
      <w:r>
        <w:rPr>
          <w:color w:val="231F20"/>
          <w:spacing w:val="-3"/>
          <w:sz w:val="20"/>
        </w:rPr>
        <w:t>by </w:t>
      </w:r>
      <w:r>
        <w:rPr>
          <w:color w:val="231F20"/>
          <w:sz w:val="20"/>
        </w:rPr>
        <w:t>approximately one incubation period of the disease  agent</w:t>
      </w:r>
      <w:r>
        <w:rPr>
          <w:color w:val="231F20"/>
          <w:spacing w:val="21"/>
          <w:sz w:val="20"/>
        </w:rPr>
        <w:t> </w:t>
      </w:r>
      <w:r>
        <w:rPr>
          <w:color w:val="231F20"/>
          <w:sz w:val="20"/>
        </w:rPr>
        <w:t>(2.4.4.3).</w:t>
      </w:r>
    </w:p>
    <w:p>
      <w:pPr>
        <w:spacing w:after="0" w:line="266" w:lineRule="auto"/>
        <w:jc w:val="left"/>
        <w:rPr>
          <w:sz w:val="20"/>
        </w:rPr>
        <w:sectPr>
          <w:type w:val="continuous"/>
          <w:pgSz w:w="10080" w:h="14400"/>
          <w:pgMar w:top="0" w:bottom="360" w:left="0" w:right="0"/>
          <w:cols w:num="2" w:equalWidth="0">
            <w:col w:w="5218" w:space="40"/>
            <w:col w:w="4822"/>
          </w:cols>
        </w:sectPr>
      </w:pPr>
    </w:p>
    <w:p>
      <w:pPr>
        <w:pStyle w:val="BodyText"/>
        <w:spacing w:before="8"/>
        <w:rPr>
          <w:sz w:val="26"/>
        </w:rPr>
      </w:pPr>
    </w:p>
    <w:p>
      <w:pPr>
        <w:pStyle w:val="Heading1"/>
        <w:ind w:left="720"/>
      </w:pPr>
      <w:r>
        <w:rPr/>
        <w:pict>
          <v:line style="position:absolute;mso-position-horizontal-relative:page;mso-position-vertical-relative:paragraph;z-index:1888;mso-wrap-distance-left:0;mso-wrap-distance-right:0" from="36pt,23.991844pt" to="432pt,23.991844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1912" filled="true" fillcolor="#0079c1" stroked="false">
            <v:fill type="solid"/>
            <w10:wrap type="none"/>
          </v:rect>
        </w:pict>
      </w:r>
      <w:r>
        <w:rPr/>
        <w:pict>
          <v:line style="position:absolute;mso-position-horizontal-relative:page;mso-position-vertical-relative:paragraph;z-index:1936"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196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color w:val="00A94F"/>
        </w:rPr>
        <w:t>Overview of Chapter 3. Planning and  Preparation</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1" w:lineRule="auto" w:before="108"/>
        <w:ind w:left="720"/>
        <w:rPr>
          <w:rFonts w:ascii="Times New Roman"/>
        </w:rPr>
      </w:pPr>
      <w:r>
        <w:rPr>
          <w:color w:val="231F20"/>
          <w:w w:val="105"/>
        </w:rPr>
        <w:t>Good planning and preparation will help investigators</w:t>
      </w:r>
      <w:r>
        <w:rPr>
          <w:color w:val="231F20"/>
          <w:spacing w:val="-17"/>
          <w:w w:val="105"/>
        </w:rPr>
        <w:t> </w:t>
      </w:r>
      <w:r>
        <w:rPr>
          <w:color w:val="231F20"/>
          <w:w w:val="105"/>
        </w:rPr>
        <w:t>identify</w:t>
      </w:r>
      <w:r>
        <w:rPr>
          <w:color w:val="231F20"/>
          <w:spacing w:val="-17"/>
          <w:w w:val="105"/>
        </w:rPr>
        <w:t> </w:t>
      </w:r>
      <w:r>
        <w:rPr>
          <w:color w:val="231F20"/>
          <w:w w:val="105"/>
        </w:rPr>
        <w:t>the</w:t>
      </w:r>
      <w:r>
        <w:rPr>
          <w:color w:val="231F20"/>
          <w:spacing w:val="-17"/>
          <w:w w:val="105"/>
        </w:rPr>
        <w:t> </w:t>
      </w:r>
      <w:r>
        <w:rPr>
          <w:color w:val="231F20"/>
          <w:w w:val="105"/>
        </w:rPr>
        <w:t>source</w:t>
      </w:r>
      <w:r>
        <w:rPr>
          <w:color w:val="231F20"/>
          <w:spacing w:val="-17"/>
          <w:w w:val="105"/>
        </w:rPr>
        <w:t> </w:t>
      </w:r>
      <w:r>
        <w:rPr>
          <w:color w:val="231F20"/>
          <w:w w:val="105"/>
        </w:rPr>
        <w:t>of</w:t>
      </w:r>
      <w:r>
        <w:rPr>
          <w:color w:val="231F20"/>
          <w:spacing w:val="4"/>
          <w:w w:val="105"/>
        </w:rPr>
        <w:t> </w:t>
      </w:r>
      <w:r>
        <w:rPr>
          <w:color w:val="231F20"/>
          <w:w w:val="105"/>
        </w:rPr>
        <w:t>an</w:t>
      </w:r>
      <w:r>
        <w:rPr>
          <w:color w:val="231F20"/>
          <w:spacing w:val="-17"/>
          <w:w w:val="105"/>
        </w:rPr>
        <w:t> </w:t>
      </w:r>
      <w:r>
        <w:rPr>
          <w:color w:val="231F20"/>
          <w:w w:val="105"/>
        </w:rPr>
        <w:t>outbreak more</w:t>
      </w:r>
      <w:r>
        <w:rPr>
          <w:color w:val="231F20"/>
          <w:spacing w:val="-10"/>
          <w:w w:val="105"/>
        </w:rPr>
        <w:t> </w:t>
      </w:r>
      <w:r>
        <w:rPr>
          <w:color w:val="231F20"/>
          <w:w w:val="105"/>
        </w:rPr>
        <w:t>quickly</w:t>
      </w:r>
      <w:r>
        <w:rPr>
          <w:color w:val="231F20"/>
          <w:spacing w:val="-10"/>
          <w:w w:val="105"/>
        </w:rPr>
        <w:t> </w:t>
      </w:r>
      <w:r>
        <w:rPr>
          <w:color w:val="231F20"/>
          <w:w w:val="105"/>
        </w:rPr>
        <w:t>and</w:t>
      </w:r>
      <w:r>
        <w:rPr>
          <w:color w:val="231F20"/>
          <w:spacing w:val="-10"/>
          <w:w w:val="105"/>
        </w:rPr>
        <w:t> </w:t>
      </w:r>
      <w:r>
        <w:rPr>
          <w:color w:val="231F20"/>
          <w:w w:val="105"/>
        </w:rPr>
        <w:t>implement</w:t>
      </w:r>
      <w:r>
        <w:rPr>
          <w:color w:val="231F20"/>
          <w:spacing w:val="-10"/>
          <w:w w:val="105"/>
        </w:rPr>
        <w:t> </w:t>
      </w:r>
      <w:r>
        <w:rPr>
          <w:color w:val="231F20"/>
          <w:w w:val="105"/>
        </w:rPr>
        <w:t>control</w:t>
      </w:r>
      <w:r>
        <w:rPr>
          <w:color w:val="231F20"/>
          <w:spacing w:val="-10"/>
          <w:w w:val="105"/>
        </w:rPr>
        <w:t> </w:t>
      </w:r>
      <w:r>
        <w:rPr>
          <w:color w:val="231F20"/>
          <w:w w:val="105"/>
        </w:rPr>
        <w:t>measures more efficiently and </w:t>
      </w:r>
      <w:r>
        <w:rPr>
          <w:color w:val="231F20"/>
          <w:spacing w:val="-3"/>
          <w:w w:val="105"/>
        </w:rPr>
        <w:t>effectively. </w:t>
      </w:r>
      <w:r>
        <w:rPr>
          <w:color w:val="231F20"/>
          <w:w w:val="105"/>
        </w:rPr>
        <w:t>Planning and </w:t>
      </w:r>
      <w:r>
        <w:rPr>
          <w:rFonts w:ascii="Times New Roman"/>
          <w:color w:val="231F20"/>
          <w:w w:val="105"/>
        </w:rPr>
        <w:t>preparation activities are far-reaching and include:</w:t>
      </w:r>
    </w:p>
    <w:p>
      <w:pPr>
        <w:pStyle w:val="ListParagraph"/>
        <w:numPr>
          <w:ilvl w:val="1"/>
          <w:numId w:val="2"/>
        </w:numPr>
        <w:tabs>
          <w:tab w:pos="891" w:val="left" w:leader="none"/>
        </w:tabs>
        <w:spacing w:line="264" w:lineRule="auto" w:before="194" w:after="0"/>
        <w:ind w:left="890" w:right="299" w:hanging="170"/>
        <w:jc w:val="both"/>
        <w:rPr>
          <w:sz w:val="20"/>
        </w:rPr>
      </w:pPr>
      <w:r>
        <w:rPr>
          <w:color w:val="231F20"/>
          <w:w w:val="105"/>
          <w:sz w:val="20"/>
        </w:rPr>
        <w:t>Identification</w:t>
      </w:r>
      <w:r>
        <w:rPr>
          <w:color w:val="231F20"/>
          <w:spacing w:val="-12"/>
          <w:w w:val="105"/>
          <w:sz w:val="20"/>
        </w:rPr>
        <w:t> </w:t>
      </w:r>
      <w:r>
        <w:rPr>
          <w:color w:val="231F20"/>
          <w:w w:val="105"/>
          <w:sz w:val="20"/>
        </w:rPr>
        <w:t>of</w:t>
      </w:r>
      <w:r>
        <w:rPr>
          <w:color w:val="231F20"/>
          <w:spacing w:val="11"/>
          <w:w w:val="105"/>
          <w:sz w:val="20"/>
        </w:rPr>
        <w:t> </w:t>
      </w:r>
      <w:r>
        <w:rPr>
          <w:color w:val="231F20"/>
          <w:w w:val="105"/>
          <w:sz w:val="20"/>
        </w:rPr>
        <w:t>the</w:t>
      </w:r>
      <w:r>
        <w:rPr>
          <w:color w:val="231F20"/>
          <w:spacing w:val="-12"/>
          <w:w w:val="105"/>
          <w:sz w:val="20"/>
        </w:rPr>
        <w:t> </w:t>
      </w:r>
      <w:r>
        <w:rPr>
          <w:color w:val="231F20"/>
          <w:w w:val="105"/>
          <w:sz w:val="20"/>
        </w:rPr>
        <w:t>agencies</w:t>
      </w:r>
      <w:r>
        <w:rPr>
          <w:color w:val="231F20"/>
          <w:spacing w:val="-12"/>
          <w:w w:val="105"/>
          <w:sz w:val="20"/>
        </w:rPr>
        <w:t> </w:t>
      </w:r>
      <w:r>
        <w:rPr>
          <w:color w:val="231F20"/>
          <w:w w:val="105"/>
          <w:sz w:val="20"/>
        </w:rPr>
        <w:t>likely</w:t>
      </w:r>
      <w:r>
        <w:rPr>
          <w:color w:val="231F20"/>
          <w:spacing w:val="-12"/>
          <w:w w:val="105"/>
          <w:sz w:val="20"/>
        </w:rPr>
        <w:t> </w:t>
      </w:r>
      <w:r>
        <w:rPr>
          <w:color w:val="231F20"/>
          <w:w w:val="105"/>
          <w:sz w:val="20"/>
        </w:rPr>
        <w:t>to</w:t>
      </w:r>
      <w:r>
        <w:rPr>
          <w:color w:val="231F20"/>
          <w:spacing w:val="-12"/>
          <w:w w:val="105"/>
          <w:sz w:val="20"/>
        </w:rPr>
        <w:t> </w:t>
      </w:r>
      <w:r>
        <w:rPr>
          <w:color w:val="231F20"/>
          <w:w w:val="105"/>
          <w:sz w:val="20"/>
        </w:rPr>
        <w:t>be </w:t>
      </w:r>
      <w:r>
        <w:rPr>
          <w:rFonts w:ascii="Times New Roman"/>
          <w:color w:val="231F20"/>
          <w:sz w:val="20"/>
        </w:rPr>
        <w:t>involved in an outbreak investigation</w:t>
      </w:r>
      <w:r>
        <w:rPr>
          <w:rFonts w:ascii="Times New Roman"/>
          <w:color w:val="231F20"/>
          <w:spacing w:val="-32"/>
          <w:sz w:val="20"/>
        </w:rPr>
        <w:t> </w:t>
      </w:r>
      <w:r>
        <w:rPr>
          <w:rFonts w:ascii="Times New Roman"/>
          <w:color w:val="231F20"/>
          <w:sz w:val="20"/>
        </w:rPr>
        <w:t>and </w:t>
      </w:r>
      <w:r>
        <w:rPr>
          <w:color w:val="231F20"/>
          <w:w w:val="105"/>
          <w:sz w:val="20"/>
        </w:rPr>
        <w:t>their</w:t>
      </w:r>
      <w:r>
        <w:rPr>
          <w:color w:val="231F20"/>
          <w:spacing w:val="-13"/>
          <w:w w:val="105"/>
          <w:sz w:val="20"/>
        </w:rPr>
        <w:t> </w:t>
      </w:r>
      <w:r>
        <w:rPr>
          <w:color w:val="231F20"/>
          <w:w w:val="105"/>
          <w:sz w:val="20"/>
        </w:rPr>
        <w:t>available</w:t>
      </w:r>
      <w:r>
        <w:rPr>
          <w:color w:val="231F20"/>
          <w:spacing w:val="-13"/>
          <w:w w:val="105"/>
          <w:sz w:val="20"/>
        </w:rPr>
        <w:t> </w:t>
      </w:r>
      <w:r>
        <w:rPr>
          <w:color w:val="231F20"/>
          <w:w w:val="105"/>
          <w:sz w:val="20"/>
        </w:rPr>
        <w:t>resources</w:t>
      </w:r>
      <w:r>
        <w:rPr>
          <w:color w:val="231F20"/>
          <w:spacing w:val="-13"/>
          <w:w w:val="105"/>
          <w:sz w:val="20"/>
        </w:rPr>
        <w:t> </w:t>
      </w:r>
      <w:r>
        <w:rPr>
          <w:color w:val="231F20"/>
          <w:w w:val="105"/>
          <w:sz w:val="20"/>
        </w:rPr>
        <w:t>(Section</w:t>
      </w:r>
      <w:r>
        <w:rPr>
          <w:color w:val="231F20"/>
          <w:spacing w:val="-13"/>
          <w:w w:val="105"/>
          <w:sz w:val="20"/>
        </w:rPr>
        <w:t> </w:t>
      </w:r>
      <w:r>
        <w:rPr>
          <w:color w:val="231F20"/>
          <w:w w:val="105"/>
          <w:sz w:val="20"/>
        </w:rPr>
        <w:t>3.1);</w:t>
      </w:r>
    </w:p>
    <w:p>
      <w:pPr>
        <w:pStyle w:val="ListParagraph"/>
        <w:numPr>
          <w:ilvl w:val="1"/>
          <w:numId w:val="2"/>
        </w:numPr>
        <w:tabs>
          <w:tab w:pos="891" w:val="left" w:leader="none"/>
        </w:tabs>
        <w:spacing w:line="264" w:lineRule="auto" w:before="77" w:after="0"/>
        <w:ind w:left="890" w:right="404" w:hanging="170"/>
        <w:jc w:val="left"/>
        <w:rPr>
          <w:sz w:val="20"/>
        </w:rPr>
      </w:pPr>
      <w:r>
        <w:rPr>
          <w:rFonts w:ascii="Times New Roman"/>
          <w:color w:val="231F20"/>
          <w:sz w:val="20"/>
        </w:rPr>
        <w:t>Establishment and training of a core outbreak investigation and control team </w:t>
      </w:r>
      <w:r>
        <w:rPr>
          <w:color w:val="231F20"/>
          <w:sz w:val="20"/>
        </w:rPr>
        <w:t>(Section</w:t>
      </w:r>
      <w:r>
        <w:rPr>
          <w:color w:val="231F20"/>
          <w:spacing w:val="29"/>
          <w:sz w:val="20"/>
        </w:rPr>
        <w:t> </w:t>
      </w:r>
      <w:r>
        <w:rPr>
          <w:color w:val="231F20"/>
          <w:sz w:val="20"/>
        </w:rPr>
        <w:t>3.2);</w:t>
      </w:r>
    </w:p>
    <w:p>
      <w:pPr>
        <w:pStyle w:val="ListParagraph"/>
        <w:numPr>
          <w:ilvl w:val="1"/>
          <w:numId w:val="2"/>
        </w:numPr>
        <w:tabs>
          <w:tab w:pos="891" w:val="left" w:leader="none"/>
        </w:tabs>
        <w:spacing w:line="266" w:lineRule="auto" w:before="91" w:after="0"/>
        <w:ind w:left="890" w:right="687" w:hanging="170"/>
        <w:jc w:val="left"/>
        <w:rPr>
          <w:sz w:val="20"/>
        </w:rPr>
      </w:pPr>
      <w:r>
        <w:rPr>
          <w:color w:val="231F20"/>
          <w:sz w:val="20"/>
        </w:rPr>
        <w:t>Identification of necessary resources (Section</w:t>
      </w:r>
      <w:r>
        <w:rPr>
          <w:color w:val="231F20"/>
          <w:spacing w:val="29"/>
          <w:sz w:val="20"/>
        </w:rPr>
        <w:t> </w:t>
      </w:r>
      <w:r>
        <w:rPr>
          <w:color w:val="231F20"/>
          <w:sz w:val="20"/>
        </w:rPr>
        <w:t>3.3);</w:t>
      </w:r>
    </w:p>
    <w:p>
      <w:pPr>
        <w:pStyle w:val="ListParagraph"/>
        <w:numPr>
          <w:ilvl w:val="1"/>
          <w:numId w:val="2"/>
        </w:numPr>
        <w:tabs>
          <w:tab w:pos="891" w:val="left" w:leader="none"/>
        </w:tabs>
        <w:spacing w:line="266" w:lineRule="auto" w:before="89" w:after="0"/>
        <w:ind w:left="890" w:right="91" w:hanging="170"/>
        <w:jc w:val="left"/>
        <w:rPr>
          <w:sz w:val="20"/>
        </w:rPr>
      </w:pPr>
      <w:r>
        <w:rPr>
          <w:color w:val="231F20"/>
          <w:w w:val="105"/>
          <w:sz w:val="20"/>
        </w:rPr>
        <w:t>Development of standard processes for </w:t>
      </w:r>
      <w:r>
        <w:rPr>
          <w:rFonts w:ascii="Times New Roman"/>
          <w:color w:val="231F20"/>
          <w:sz w:val="20"/>
        </w:rPr>
        <w:t>receiving</w:t>
      </w:r>
      <w:r>
        <w:rPr>
          <w:rFonts w:ascii="Times New Roman"/>
          <w:color w:val="231F20"/>
          <w:spacing w:val="-17"/>
          <w:sz w:val="20"/>
        </w:rPr>
        <w:t> </w:t>
      </w:r>
      <w:r>
        <w:rPr>
          <w:rFonts w:ascii="Times New Roman"/>
          <w:color w:val="231F20"/>
          <w:sz w:val="20"/>
        </w:rPr>
        <w:t>foodborne</w:t>
      </w:r>
      <w:r>
        <w:rPr>
          <w:rFonts w:ascii="Times New Roman"/>
          <w:color w:val="231F20"/>
          <w:spacing w:val="-16"/>
          <w:sz w:val="20"/>
        </w:rPr>
        <w:t> </w:t>
      </w:r>
      <w:r>
        <w:rPr>
          <w:rFonts w:ascii="Times New Roman"/>
          <w:color w:val="231F20"/>
          <w:sz w:val="20"/>
        </w:rPr>
        <w:t>illness</w:t>
      </w:r>
      <w:r>
        <w:rPr>
          <w:rFonts w:ascii="Times New Roman"/>
          <w:color w:val="231F20"/>
          <w:spacing w:val="-16"/>
          <w:sz w:val="20"/>
        </w:rPr>
        <w:t> </w:t>
      </w:r>
      <w:r>
        <w:rPr>
          <w:rFonts w:ascii="Times New Roman"/>
          <w:color w:val="231F20"/>
          <w:sz w:val="20"/>
        </w:rPr>
        <w:t>complaints</w:t>
      </w:r>
      <w:r>
        <w:rPr>
          <w:rFonts w:ascii="Times New Roman"/>
          <w:color w:val="231F20"/>
          <w:spacing w:val="-16"/>
          <w:sz w:val="20"/>
        </w:rPr>
        <w:t> </w:t>
      </w:r>
      <w:r>
        <w:rPr>
          <w:rFonts w:ascii="Times New Roman"/>
          <w:color w:val="231F20"/>
          <w:sz w:val="20"/>
        </w:rPr>
        <w:t>from </w:t>
      </w:r>
      <w:r>
        <w:rPr>
          <w:color w:val="231F20"/>
          <w:w w:val="105"/>
          <w:sz w:val="20"/>
        </w:rPr>
        <w:t>the public (Section 3.4), managing records (Section</w:t>
      </w:r>
      <w:r>
        <w:rPr>
          <w:color w:val="231F20"/>
          <w:spacing w:val="-13"/>
          <w:w w:val="105"/>
          <w:sz w:val="20"/>
        </w:rPr>
        <w:t> </w:t>
      </w:r>
      <w:r>
        <w:rPr>
          <w:color w:val="231F20"/>
          <w:w w:val="105"/>
          <w:sz w:val="20"/>
        </w:rPr>
        <w:t>3.5),</w:t>
      </w:r>
      <w:r>
        <w:rPr>
          <w:color w:val="231F20"/>
          <w:spacing w:val="-13"/>
          <w:w w:val="105"/>
          <w:sz w:val="20"/>
        </w:rPr>
        <w:t> </w:t>
      </w:r>
      <w:r>
        <w:rPr>
          <w:color w:val="231F20"/>
          <w:w w:val="105"/>
          <w:sz w:val="20"/>
        </w:rPr>
        <w:t>communication</w:t>
      </w:r>
      <w:r>
        <w:rPr>
          <w:color w:val="231F20"/>
          <w:spacing w:val="-13"/>
          <w:w w:val="105"/>
          <w:sz w:val="20"/>
        </w:rPr>
        <w:t> </w:t>
      </w:r>
      <w:r>
        <w:rPr>
          <w:color w:val="231F20"/>
          <w:w w:val="105"/>
          <w:sz w:val="20"/>
        </w:rPr>
        <w:t>(Section</w:t>
      </w:r>
      <w:r>
        <w:rPr>
          <w:color w:val="231F20"/>
          <w:spacing w:val="-13"/>
          <w:w w:val="105"/>
          <w:sz w:val="20"/>
        </w:rPr>
        <w:t> </w:t>
      </w:r>
      <w:r>
        <w:rPr>
          <w:color w:val="231F20"/>
          <w:w w:val="105"/>
          <w:sz w:val="20"/>
        </w:rPr>
        <w:t>3.6), escalation</w:t>
      </w:r>
      <w:r>
        <w:rPr>
          <w:color w:val="231F20"/>
          <w:spacing w:val="-18"/>
          <w:w w:val="105"/>
          <w:sz w:val="20"/>
        </w:rPr>
        <w:t> </w:t>
      </w:r>
      <w:r>
        <w:rPr>
          <w:color w:val="231F20"/>
          <w:w w:val="105"/>
          <w:sz w:val="20"/>
        </w:rPr>
        <w:t>to</w:t>
      </w:r>
      <w:r>
        <w:rPr>
          <w:color w:val="231F20"/>
          <w:spacing w:val="-18"/>
          <w:w w:val="105"/>
          <w:sz w:val="20"/>
        </w:rPr>
        <w:t> </w:t>
      </w:r>
      <w:r>
        <w:rPr>
          <w:color w:val="231F20"/>
          <w:w w:val="105"/>
          <w:sz w:val="20"/>
        </w:rPr>
        <w:t>involve</w:t>
      </w:r>
      <w:r>
        <w:rPr>
          <w:color w:val="231F20"/>
          <w:spacing w:val="-18"/>
          <w:w w:val="105"/>
          <w:sz w:val="20"/>
        </w:rPr>
        <w:t> </w:t>
      </w:r>
      <w:r>
        <w:rPr>
          <w:color w:val="231F20"/>
          <w:w w:val="105"/>
          <w:sz w:val="20"/>
        </w:rPr>
        <w:t>other</w:t>
      </w:r>
      <w:r>
        <w:rPr>
          <w:color w:val="231F20"/>
          <w:spacing w:val="-18"/>
          <w:w w:val="105"/>
          <w:sz w:val="20"/>
        </w:rPr>
        <w:t> </w:t>
      </w:r>
      <w:r>
        <w:rPr>
          <w:color w:val="231F20"/>
          <w:w w:val="105"/>
          <w:sz w:val="20"/>
        </w:rPr>
        <w:t>agencies</w:t>
      </w:r>
      <w:r>
        <w:rPr>
          <w:color w:val="231F20"/>
          <w:spacing w:val="-18"/>
          <w:w w:val="105"/>
          <w:sz w:val="20"/>
        </w:rPr>
        <w:t> </w:t>
      </w:r>
      <w:r>
        <w:rPr>
          <w:color w:val="231F20"/>
          <w:w w:val="105"/>
          <w:sz w:val="20"/>
        </w:rPr>
        <w:t>(Section 3.9), and recovery and follow-up after an outbreak (Section 3.7);</w:t>
      </w:r>
      <w:r>
        <w:rPr>
          <w:color w:val="231F20"/>
          <w:spacing w:val="-29"/>
          <w:w w:val="105"/>
          <w:sz w:val="20"/>
        </w:rPr>
        <w:t> </w:t>
      </w:r>
      <w:r>
        <w:rPr>
          <w:color w:val="231F20"/>
          <w:w w:val="105"/>
          <w:sz w:val="20"/>
        </w:rPr>
        <w:t>and</w:t>
      </w:r>
    </w:p>
    <w:p>
      <w:pPr>
        <w:pStyle w:val="ListParagraph"/>
        <w:numPr>
          <w:ilvl w:val="1"/>
          <w:numId w:val="2"/>
        </w:numPr>
        <w:tabs>
          <w:tab w:pos="888" w:val="left" w:leader="none"/>
        </w:tabs>
        <w:spacing w:line="240" w:lineRule="auto" w:before="89" w:after="0"/>
        <w:ind w:left="887" w:right="0" w:hanging="167"/>
        <w:jc w:val="left"/>
        <w:rPr>
          <w:sz w:val="20"/>
        </w:rPr>
      </w:pPr>
      <w:r>
        <w:rPr>
          <w:color w:val="231F20"/>
          <w:sz w:val="20"/>
        </w:rPr>
        <w:t>Assurance of  legal preparedness (Section</w:t>
      </w:r>
      <w:r>
        <w:rPr>
          <w:color w:val="231F20"/>
          <w:spacing w:val="2"/>
          <w:sz w:val="20"/>
        </w:rPr>
        <w:t> </w:t>
      </w:r>
      <w:r>
        <w:rPr>
          <w:color w:val="231F20"/>
          <w:sz w:val="20"/>
        </w:rPr>
        <w:t>3.8).</w:t>
      </w:r>
    </w:p>
    <w:p>
      <w:pPr>
        <w:pStyle w:val="BodyText"/>
        <w:spacing w:before="1"/>
        <w:rPr>
          <w:sz w:val="18"/>
        </w:rPr>
      </w:pPr>
    </w:p>
    <w:p>
      <w:pPr>
        <w:pStyle w:val="BodyText"/>
        <w:spacing w:line="264" w:lineRule="auto"/>
        <w:ind w:left="720" w:right="-2"/>
      </w:pPr>
      <w:r>
        <w:rPr>
          <w:color w:val="231F20"/>
          <w:w w:val="105"/>
        </w:rPr>
        <w:t>Agencies likely to be involved in an outbreak </w:t>
      </w:r>
      <w:r>
        <w:rPr>
          <w:rFonts w:ascii="Times New Roman"/>
          <w:color w:val="231F20"/>
          <w:w w:val="105"/>
        </w:rPr>
        <w:t>response also should decide in advance </w:t>
      </w:r>
      <w:r>
        <w:rPr>
          <w:color w:val="231F20"/>
          <w:w w:val="105"/>
        </w:rPr>
        <w:t>whether and how to apply an Incident Command System in the event of an outbreak (Section 3.10).</w:t>
      </w:r>
    </w:p>
    <w:p>
      <w:pPr>
        <w:pStyle w:val="BodyText"/>
        <w:spacing w:before="166"/>
        <w:ind w:left="720"/>
        <w:rPr>
          <w:rFonts w:ascii="Arial"/>
        </w:rPr>
      </w:pPr>
      <w:r>
        <w:rPr>
          <w:rFonts w:ascii="Arial"/>
          <w:color w:val="1C3E94"/>
        </w:rPr>
        <w:t>Agency Roles (Section 3.1)</w:t>
      </w:r>
    </w:p>
    <w:p>
      <w:pPr>
        <w:pStyle w:val="BodyText"/>
        <w:spacing w:before="4"/>
        <w:rPr>
          <w:rFonts w:ascii="Arial"/>
          <w:sz w:val="17"/>
        </w:rPr>
      </w:pPr>
    </w:p>
    <w:p>
      <w:pPr>
        <w:pStyle w:val="BodyText"/>
        <w:spacing w:line="268" w:lineRule="auto" w:before="1"/>
        <w:ind w:left="720" w:right="-2"/>
      </w:pPr>
      <w:r>
        <w:rPr>
          <w:rFonts w:ascii="Times New Roman"/>
          <w:color w:val="231F20"/>
          <w:w w:val="105"/>
        </w:rPr>
        <w:t>A</w:t>
      </w:r>
      <w:r>
        <w:rPr>
          <w:rFonts w:ascii="Times New Roman"/>
          <w:color w:val="231F20"/>
          <w:spacing w:val="-29"/>
          <w:w w:val="105"/>
        </w:rPr>
        <w:t> </w:t>
      </w:r>
      <w:r>
        <w:rPr>
          <w:rFonts w:ascii="Times New Roman"/>
          <w:color w:val="231F20"/>
          <w:w w:val="105"/>
        </w:rPr>
        <w:t>foodborne</w:t>
      </w:r>
      <w:r>
        <w:rPr>
          <w:rFonts w:ascii="Times New Roman"/>
          <w:color w:val="231F20"/>
          <w:spacing w:val="-29"/>
          <w:w w:val="105"/>
        </w:rPr>
        <w:t> </w:t>
      </w:r>
      <w:r>
        <w:rPr>
          <w:rFonts w:ascii="Times New Roman"/>
          <w:color w:val="231F20"/>
          <w:w w:val="105"/>
        </w:rPr>
        <w:t>disease</w:t>
      </w:r>
      <w:r>
        <w:rPr>
          <w:rFonts w:ascii="Times New Roman"/>
          <w:color w:val="231F20"/>
          <w:spacing w:val="-29"/>
          <w:w w:val="105"/>
        </w:rPr>
        <w:t> </w:t>
      </w:r>
      <w:r>
        <w:rPr>
          <w:rFonts w:ascii="Times New Roman"/>
          <w:color w:val="231F20"/>
          <w:w w:val="105"/>
        </w:rPr>
        <w:t>outbreak</w:t>
      </w:r>
      <w:r>
        <w:rPr>
          <w:rFonts w:ascii="Times New Roman"/>
          <w:color w:val="231F20"/>
          <w:spacing w:val="-29"/>
          <w:w w:val="105"/>
        </w:rPr>
        <w:t> </w:t>
      </w:r>
      <w:r>
        <w:rPr>
          <w:rFonts w:ascii="Times New Roman"/>
          <w:color w:val="231F20"/>
          <w:w w:val="105"/>
        </w:rPr>
        <w:t>can</w:t>
      </w:r>
      <w:r>
        <w:rPr>
          <w:rFonts w:ascii="Times New Roman"/>
          <w:color w:val="231F20"/>
          <w:spacing w:val="-29"/>
          <w:w w:val="105"/>
        </w:rPr>
        <w:t> </w:t>
      </w:r>
      <w:r>
        <w:rPr>
          <w:rFonts w:ascii="Times New Roman"/>
          <w:color w:val="231F20"/>
          <w:w w:val="105"/>
        </w:rPr>
        <w:t>be</w:t>
      </w:r>
      <w:r>
        <w:rPr>
          <w:rFonts w:ascii="Times New Roman"/>
          <w:color w:val="231F20"/>
          <w:spacing w:val="-29"/>
          <w:w w:val="105"/>
        </w:rPr>
        <w:t> </w:t>
      </w:r>
      <w:r>
        <w:rPr>
          <w:rFonts w:ascii="Times New Roman"/>
          <w:color w:val="231F20"/>
          <w:w w:val="105"/>
        </w:rPr>
        <w:t>managed </w:t>
      </w:r>
      <w:r>
        <w:rPr>
          <w:color w:val="231F20"/>
          <w:w w:val="105"/>
        </w:rPr>
        <w:t>solely </w:t>
      </w:r>
      <w:r>
        <w:rPr>
          <w:color w:val="231F20"/>
          <w:spacing w:val="-3"/>
          <w:w w:val="105"/>
        </w:rPr>
        <w:t>by </w:t>
      </w:r>
      <w:r>
        <w:rPr>
          <w:color w:val="231F20"/>
          <w:w w:val="105"/>
        </w:rPr>
        <w:t>a single local health agency or become the shared responsibility of multiple local, state, and federal agencies. The agencies involved will depend on the nature of the outbreak</w:t>
      </w:r>
      <w:r>
        <w:rPr>
          <w:color w:val="231F20"/>
          <w:spacing w:val="-14"/>
          <w:w w:val="105"/>
        </w:rPr>
        <w:t> </w:t>
      </w:r>
      <w:r>
        <w:rPr>
          <w:color w:val="231F20"/>
          <w:spacing w:val="-4"/>
          <w:w w:val="105"/>
        </w:rPr>
        <w:t>(e.g.,</w:t>
      </w:r>
      <w:r>
        <w:rPr>
          <w:color w:val="231F20"/>
          <w:spacing w:val="-14"/>
          <w:w w:val="105"/>
        </w:rPr>
        <w:t> </w:t>
      </w:r>
      <w:r>
        <w:rPr>
          <w:color w:val="231F20"/>
          <w:w w:val="105"/>
        </w:rPr>
        <w:t>type</w:t>
      </w:r>
      <w:r>
        <w:rPr>
          <w:color w:val="231F20"/>
          <w:spacing w:val="-14"/>
          <w:w w:val="105"/>
        </w:rPr>
        <w:t> </w:t>
      </w:r>
      <w:r>
        <w:rPr>
          <w:color w:val="231F20"/>
          <w:w w:val="105"/>
        </w:rPr>
        <w:t>of</w:t>
      </w:r>
      <w:r>
        <w:rPr>
          <w:color w:val="231F20"/>
          <w:spacing w:val="8"/>
          <w:w w:val="105"/>
        </w:rPr>
        <w:t> </w:t>
      </w:r>
      <w:r>
        <w:rPr>
          <w:color w:val="231F20"/>
          <w:w w:val="105"/>
        </w:rPr>
        <w:t>pathogen,</w:t>
      </w:r>
      <w:r>
        <w:rPr>
          <w:color w:val="231F20"/>
          <w:spacing w:val="-14"/>
          <w:w w:val="105"/>
        </w:rPr>
        <w:t> </w:t>
      </w:r>
      <w:r>
        <w:rPr>
          <w:color w:val="231F20"/>
          <w:w w:val="105"/>
        </w:rPr>
        <w:t>suspected</w:t>
      </w:r>
    </w:p>
    <w:p>
      <w:pPr>
        <w:pStyle w:val="BodyText"/>
        <w:spacing w:line="214" w:lineRule="exact"/>
        <w:ind w:left="720"/>
        <w:rPr>
          <w:rFonts w:ascii="Times New Roman"/>
        </w:rPr>
      </w:pPr>
      <w:r>
        <w:rPr>
          <w:rFonts w:ascii="Times New Roman"/>
          <w:color w:val="231F20"/>
        </w:rPr>
        <w:t>or implicated vehicle, number of persons</w:t>
      </w:r>
    </w:p>
    <w:p>
      <w:pPr>
        <w:pStyle w:val="BodyText"/>
        <w:spacing w:line="266" w:lineRule="auto" w:before="34"/>
        <w:ind w:left="720"/>
      </w:pPr>
      <w:r>
        <w:rPr>
          <w:color w:val="231F20"/>
        </w:rPr>
        <w:t>affected), the roles and responsibilities of the various agencies, and their available   resources.</w:t>
      </w:r>
    </w:p>
    <w:p>
      <w:pPr>
        <w:pStyle w:val="BodyText"/>
        <w:spacing w:line="266" w:lineRule="auto" w:before="180"/>
        <w:ind w:left="720" w:right="22"/>
      </w:pPr>
      <w:r>
        <w:rPr>
          <w:color w:val="231F20"/>
          <w:w w:val="105"/>
        </w:rPr>
        <w:t>The</w:t>
      </w:r>
      <w:r>
        <w:rPr>
          <w:color w:val="231F20"/>
          <w:spacing w:val="-8"/>
          <w:w w:val="105"/>
        </w:rPr>
        <w:t> </w:t>
      </w:r>
      <w:r>
        <w:rPr>
          <w:color w:val="231F20"/>
          <w:w w:val="105"/>
        </w:rPr>
        <w:t>following</w:t>
      </w:r>
      <w:r>
        <w:rPr>
          <w:color w:val="231F20"/>
          <w:spacing w:val="-8"/>
          <w:w w:val="105"/>
        </w:rPr>
        <w:t> </w:t>
      </w:r>
      <w:r>
        <w:rPr>
          <w:color w:val="231F20"/>
          <w:w w:val="105"/>
        </w:rPr>
        <w:t>local,</w:t>
      </w:r>
      <w:r>
        <w:rPr>
          <w:color w:val="231F20"/>
          <w:spacing w:val="-8"/>
          <w:w w:val="105"/>
        </w:rPr>
        <w:t> </w:t>
      </w:r>
      <w:r>
        <w:rPr>
          <w:color w:val="231F20"/>
          <w:w w:val="105"/>
        </w:rPr>
        <w:t>state,</w:t>
      </w:r>
      <w:r>
        <w:rPr>
          <w:color w:val="231F20"/>
          <w:spacing w:val="-8"/>
          <w:w w:val="105"/>
        </w:rPr>
        <w:t> </w:t>
      </w:r>
      <w:r>
        <w:rPr>
          <w:color w:val="231F20"/>
          <w:w w:val="105"/>
        </w:rPr>
        <w:t>and</w:t>
      </w:r>
      <w:r>
        <w:rPr>
          <w:color w:val="231F20"/>
          <w:spacing w:val="-8"/>
          <w:w w:val="105"/>
        </w:rPr>
        <w:t> </w:t>
      </w:r>
      <w:r>
        <w:rPr>
          <w:color w:val="231F20"/>
          <w:w w:val="105"/>
        </w:rPr>
        <w:t>federal</w:t>
      </w:r>
      <w:r>
        <w:rPr>
          <w:color w:val="231F20"/>
          <w:spacing w:val="-8"/>
          <w:w w:val="105"/>
        </w:rPr>
        <w:t> </w:t>
      </w:r>
      <w:r>
        <w:rPr>
          <w:color w:val="231F20"/>
          <w:w w:val="105"/>
        </w:rPr>
        <w:t>agencies </w:t>
      </w:r>
      <w:r>
        <w:rPr>
          <w:color w:val="231F20"/>
          <w:spacing w:val="-3"/>
          <w:w w:val="105"/>
        </w:rPr>
        <w:t>have </w:t>
      </w:r>
      <w:r>
        <w:rPr>
          <w:color w:val="231F20"/>
          <w:w w:val="105"/>
        </w:rPr>
        <w:t>access to different resources and can contribute to outbreak response efforts in different</w:t>
      </w:r>
      <w:r>
        <w:rPr>
          <w:color w:val="231F20"/>
          <w:spacing w:val="-33"/>
          <w:w w:val="105"/>
        </w:rPr>
        <w:t> </w:t>
      </w:r>
      <w:r>
        <w:rPr>
          <w:color w:val="231F20"/>
          <w:w w:val="105"/>
        </w:rPr>
        <w:t>ways:</w:t>
      </w:r>
    </w:p>
    <w:p>
      <w:pPr>
        <w:pStyle w:val="ListParagraph"/>
        <w:numPr>
          <w:ilvl w:val="0"/>
          <w:numId w:val="2"/>
        </w:numPr>
        <w:tabs>
          <w:tab w:pos="508" w:val="left" w:leader="none"/>
        </w:tabs>
        <w:spacing w:line="240" w:lineRule="auto" w:before="108" w:after="0"/>
        <w:ind w:left="507" w:right="0" w:hanging="170"/>
        <w:jc w:val="left"/>
        <w:rPr>
          <w:sz w:val="20"/>
        </w:rPr>
      </w:pPr>
      <w:r>
        <w:rPr>
          <w:color w:val="231F20"/>
          <w:w w:val="104"/>
          <w:sz w:val="20"/>
        </w:rPr>
        <w:br w:type="column"/>
      </w:r>
      <w:r>
        <w:rPr>
          <w:color w:val="231F20"/>
          <w:w w:val="105"/>
          <w:sz w:val="20"/>
        </w:rPr>
        <w:t>Local health agencies</w:t>
      </w:r>
      <w:r>
        <w:rPr>
          <w:color w:val="231F20"/>
          <w:spacing w:val="-11"/>
          <w:w w:val="105"/>
          <w:sz w:val="20"/>
        </w:rPr>
        <w:t> </w:t>
      </w:r>
      <w:r>
        <w:rPr>
          <w:color w:val="231F20"/>
          <w:w w:val="105"/>
          <w:sz w:val="20"/>
        </w:rPr>
        <w:t>(3.1.2.1);</w:t>
      </w:r>
    </w:p>
    <w:p>
      <w:pPr>
        <w:pStyle w:val="ListParagraph"/>
        <w:numPr>
          <w:ilvl w:val="0"/>
          <w:numId w:val="2"/>
        </w:numPr>
        <w:tabs>
          <w:tab w:pos="508" w:val="left" w:leader="none"/>
        </w:tabs>
        <w:spacing w:line="240" w:lineRule="auto" w:before="115" w:after="0"/>
        <w:ind w:left="507" w:right="0" w:hanging="170"/>
        <w:jc w:val="left"/>
        <w:rPr>
          <w:sz w:val="20"/>
        </w:rPr>
      </w:pPr>
      <w:r>
        <w:rPr/>
        <w:pict>
          <v:shape style="position:absolute;margin-left:470.346802pt;margin-top:-23.353848pt;width:12.25pt;height:164.15pt;mso-position-horizontal-relative:page;mso-position-vertical-relative:paragraph;z-index:1984"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sz w:val="20"/>
        </w:rPr>
        <w:t>State health departments</w:t>
      </w:r>
      <w:r>
        <w:rPr>
          <w:color w:val="231F20"/>
          <w:spacing w:val="-9"/>
          <w:w w:val="105"/>
          <w:sz w:val="20"/>
        </w:rPr>
        <w:t> </w:t>
      </w:r>
      <w:r>
        <w:rPr>
          <w:color w:val="231F20"/>
          <w:w w:val="105"/>
          <w:sz w:val="20"/>
        </w:rPr>
        <w:t>(3.1.2.2);</w:t>
      </w:r>
    </w:p>
    <w:p>
      <w:pPr>
        <w:pStyle w:val="ListParagraph"/>
        <w:numPr>
          <w:ilvl w:val="0"/>
          <w:numId w:val="2"/>
        </w:numPr>
        <w:tabs>
          <w:tab w:pos="508" w:val="left" w:leader="none"/>
        </w:tabs>
        <w:spacing w:line="266" w:lineRule="auto" w:before="115" w:after="0"/>
        <w:ind w:left="507" w:right="2162" w:hanging="170"/>
        <w:jc w:val="left"/>
        <w:rPr>
          <w:sz w:val="20"/>
        </w:rPr>
      </w:pPr>
      <w:r>
        <w:rPr>
          <w:color w:val="231F20"/>
          <w:w w:val="105"/>
          <w:sz w:val="20"/>
        </w:rPr>
        <w:t>State environmental health</w:t>
      </w:r>
      <w:r>
        <w:rPr>
          <w:color w:val="231F20"/>
          <w:spacing w:val="-16"/>
          <w:w w:val="105"/>
          <w:sz w:val="20"/>
        </w:rPr>
        <w:t> </w:t>
      </w:r>
      <w:r>
        <w:rPr>
          <w:color w:val="231F20"/>
          <w:w w:val="105"/>
          <w:sz w:val="20"/>
        </w:rPr>
        <w:t>agencies (3.1.2.3);</w:t>
      </w:r>
    </w:p>
    <w:p>
      <w:pPr>
        <w:pStyle w:val="ListParagraph"/>
        <w:numPr>
          <w:ilvl w:val="0"/>
          <w:numId w:val="2"/>
        </w:numPr>
        <w:tabs>
          <w:tab w:pos="508" w:val="left" w:leader="none"/>
        </w:tabs>
        <w:spacing w:line="266" w:lineRule="auto" w:before="90" w:after="0"/>
        <w:ind w:left="507" w:right="1952" w:hanging="170"/>
        <w:jc w:val="left"/>
        <w:rPr>
          <w:sz w:val="20"/>
        </w:rPr>
      </w:pPr>
      <w:r>
        <w:rPr>
          <w:color w:val="231F20"/>
          <w:w w:val="105"/>
          <w:sz w:val="20"/>
        </w:rPr>
        <w:t>State</w:t>
      </w:r>
      <w:r>
        <w:rPr>
          <w:color w:val="231F20"/>
          <w:spacing w:val="-17"/>
          <w:w w:val="105"/>
          <w:sz w:val="20"/>
        </w:rPr>
        <w:t> </w:t>
      </w:r>
      <w:r>
        <w:rPr>
          <w:color w:val="231F20"/>
          <w:w w:val="105"/>
          <w:sz w:val="20"/>
        </w:rPr>
        <w:t>food-safety</w:t>
      </w:r>
      <w:r>
        <w:rPr>
          <w:color w:val="231F20"/>
          <w:spacing w:val="-17"/>
          <w:w w:val="105"/>
          <w:sz w:val="20"/>
        </w:rPr>
        <w:t> </w:t>
      </w:r>
      <w:r>
        <w:rPr>
          <w:color w:val="231F20"/>
          <w:w w:val="105"/>
          <w:sz w:val="20"/>
        </w:rPr>
        <w:t>regulatory</w:t>
      </w:r>
      <w:r>
        <w:rPr>
          <w:color w:val="231F20"/>
          <w:spacing w:val="-17"/>
          <w:w w:val="105"/>
          <w:sz w:val="20"/>
        </w:rPr>
        <w:t> </w:t>
      </w:r>
      <w:r>
        <w:rPr>
          <w:color w:val="231F20"/>
          <w:w w:val="105"/>
          <w:sz w:val="20"/>
        </w:rPr>
        <w:t>authorities (3.1.2.4);</w:t>
      </w:r>
    </w:p>
    <w:p>
      <w:pPr>
        <w:pStyle w:val="BodyText"/>
        <w:spacing w:before="90"/>
        <w:ind w:left="337"/>
      </w:pPr>
      <w:r>
        <w:rPr>
          <w:color w:val="00A94F"/>
          <w:w w:val="105"/>
        </w:rPr>
        <w:t>•  </w:t>
      </w:r>
      <w:r>
        <w:rPr>
          <w:color w:val="231F20"/>
          <w:w w:val="105"/>
        </w:rPr>
        <w:t>CDC (3.1.2.5);</w:t>
      </w:r>
    </w:p>
    <w:p>
      <w:pPr>
        <w:pStyle w:val="BodyText"/>
        <w:spacing w:before="115"/>
        <w:ind w:left="337"/>
      </w:pPr>
      <w:r>
        <w:rPr>
          <w:color w:val="00A94F"/>
          <w:w w:val="105"/>
        </w:rPr>
        <w:t>•  </w:t>
      </w:r>
      <w:r>
        <w:rPr>
          <w:color w:val="231F20"/>
          <w:w w:val="105"/>
        </w:rPr>
        <w:t>FDA (3.1.2.6); and</w:t>
      </w:r>
    </w:p>
    <w:p>
      <w:pPr>
        <w:pStyle w:val="BodyText"/>
        <w:spacing w:before="115"/>
        <w:ind w:left="337"/>
      </w:pPr>
      <w:r>
        <w:rPr>
          <w:color w:val="00A94F"/>
          <w:w w:val="105"/>
        </w:rPr>
        <w:t>•  </w:t>
      </w:r>
      <w:r>
        <w:rPr>
          <w:color w:val="231F20"/>
          <w:w w:val="105"/>
        </w:rPr>
        <w:t>USDA/FSIS (3.1.2.7).</w:t>
      </w:r>
    </w:p>
    <w:p>
      <w:pPr>
        <w:pStyle w:val="BodyText"/>
        <w:spacing w:line="276" w:lineRule="auto" w:before="190"/>
        <w:ind w:left="337" w:right="1391"/>
      </w:pPr>
      <w:r>
        <w:rPr>
          <w:rFonts w:ascii="Times New Roman"/>
          <w:color w:val="231F20"/>
        </w:rPr>
        <w:t>In addition to these individual agencies, several </w:t>
      </w:r>
      <w:r>
        <w:rPr>
          <w:color w:val="231F20"/>
        </w:rPr>
        <w:t>cross-agency programs have  been  developed</w:t>
      </w:r>
    </w:p>
    <w:p>
      <w:pPr>
        <w:pStyle w:val="BodyText"/>
        <w:spacing w:line="207" w:lineRule="exact"/>
        <w:ind w:left="337"/>
        <w:rPr>
          <w:rFonts w:ascii="Times New Roman"/>
        </w:rPr>
      </w:pPr>
      <w:r>
        <w:rPr>
          <w:rFonts w:ascii="Times New Roman"/>
          <w:color w:val="231F20"/>
        </w:rPr>
        <w:t>to improve outbreak response including the</w:t>
      </w:r>
    </w:p>
    <w:p>
      <w:pPr>
        <w:pStyle w:val="BodyText"/>
        <w:spacing w:line="266" w:lineRule="auto" w:before="35"/>
        <w:ind w:left="337" w:right="1586"/>
      </w:pPr>
      <w:r>
        <w:rPr>
          <w:color w:val="231F20"/>
          <w:w w:val="105"/>
        </w:rPr>
        <w:t>state-based Rapid Response Teams (RRT) (3.1.2.8); the Food Emergency Response Network (FERN) of local, state, and federal laboratories (3.1.2.9); and the Federal Multi- Agency Coordination Group for Foodborne Illness Outbreaks (MAC-FIO) (3.1.2.10).</w:t>
      </w:r>
    </w:p>
    <w:p>
      <w:pPr>
        <w:pStyle w:val="BodyText"/>
        <w:spacing w:line="266" w:lineRule="auto" w:before="166"/>
        <w:ind w:left="337" w:right="1712"/>
      </w:pPr>
      <w:r>
        <w:rPr>
          <w:rFonts w:ascii="Times New Roman"/>
          <w:color w:val="231F20"/>
        </w:rPr>
        <w:t>In some communities, academic centers are </w:t>
      </w:r>
      <w:r>
        <w:rPr>
          <w:color w:val="231F20"/>
        </w:rPr>
        <w:t>available to partner with agencies before or </w:t>
      </w:r>
      <w:r>
        <w:rPr>
          <w:rFonts w:ascii="Times New Roman"/>
          <w:color w:val="231F20"/>
        </w:rPr>
        <w:t>during an outbreak investigation to provide </w:t>
      </w:r>
      <w:r>
        <w:rPr>
          <w:color w:val="231F20"/>
        </w:rPr>
        <w:t>technical assistance and training; conduct special laboratory analyses or food-safety research; or provide additional resources to conduct interviews or implement control measures (3.1.5).</w:t>
      </w:r>
    </w:p>
    <w:p>
      <w:pPr>
        <w:pStyle w:val="BodyText"/>
        <w:spacing w:line="266" w:lineRule="auto" w:before="166"/>
        <w:ind w:left="337" w:right="1556"/>
      </w:pPr>
      <w:r>
        <w:rPr>
          <w:rFonts w:ascii="Times New Roman"/>
          <w:color w:val="231F20"/>
        </w:rPr>
        <w:t>In addition, food manufacturers, distributors, retailers, and trade associations can provide </w:t>
      </w:r>
      <w:r>
        <w:rPr>
          <w:color w:val="231F20"/>
        </w:rPr>
        <w:t>knowledge and information about product </w:t>
      </w:r>
      <w:r>
        <w:rPr>
          <w:rFonts w:ascii="Times New Roman"/>
          <w:color w:val="231F20"/>
        </w:rPr>
        <w:t>identities, formulations, processing practices, </w:t>
      </w:r>
      <w:r>
        <w:rPr>
          <w:color w:val="231F20"/>
        </w:rPr>
        <w:t>and distribution patterns and are key to </w:t>
      </w:r>
      <w:r>
        <w:rPr>
          <w:rFonts w:ascii="Times New Roman"/>
          <w:color w:val="231F20"/>
        </w:rPr>
        <w:t>outbreak investigation and implementation of </w:t>
      </w:r>
      <w:r>
        <w:rPr>
          <w:color w:val="231F20"/>
        </w:rPr>
        <w:t>control measures (3.1.4).</w:t>
      </w:r>
    </w:p>
    <w:p>
      <w:pPr>
        <w:pStyle w:val="BodyText"/>
        <w:spacing w:line="264" w:lineRule="auto" w:before="180"/>
        <w:ind w:left="337" w:right="1410"/>
      </w:pPr>
      <w:r>
        <w:rPr>
          <w:color w:val="231F20"/>
          <w:w w:val="105"/>
        </w:rPr>
        <w:t>If an outbreak occurs in a facility or community managed by an agency that has some level of autonomy or operates its own </w:t>
      </w:r>
      <w:r>
        <w:rPr>
          <w:rFonts w:ascii="Times New Roman"/>
          <w:color w:val="231F20"/>
          <w:w w:val="105"/>
        </w:rPr>
        <w:t>public health program, other agencies might be involved in an investigation or take the </w:t>
      </w:r>
      <w:r>
        <w:rPr>
          <w:color w:val="231F20"/>
          <w:w w:val="105"/>
        </w:rPr>
        <w:t>lead, such as a tribal organization (3.1.3.1), the military (3.1.3.2), or National Park Service unit (3.1.3.3). Some investigations may take place</w:t>
      </w:r>
    </w:p>
    <w:p>
      <w:pPr>
        <w:spacing w:after="0" w:line="264" w:lineRule="auto"/>
        <w:sectPr>
          <w:type w:val="continuous"/>
          <w:pgSz w:w="10080" w:h="14400"/>
          <w:pgMar w:top="0" w:bottom="360" w:left="0" w:right="0"/>
          <w:cols w:num="2" w:equalWidth="0">
            <w:col w:w="4483" w:space="40"/>
            <w:col w:w="5557"/>
          </w:cols>
        </w:sectPr>
      </w:pPr>
    </w:p>
    <w:p>
      <w:pPr>
        <w:pStyle w:val="BodyText"/>
        <w:spacing w:before="8"/>
        <w:rPr>
          <w:sz w:val="10"/>
        </w:rPr>
      </w:pPr>
    </w:p>
    <w:p>
      <w:pPr>
        <w:pStyle w:val="Heading1"/>
      </w:pPr>
      <w:r>
        <w:rPr/>
        <w:pict>
          <v:line style="position:absolute;mso-position-horizontal-relative:page;mso-position-vertical-relative:paragraph;z-index:2008;mso-wrap-distance-left:0;mso-wrap-distance-right:0" from="72pt,23.991844pt" to="468pt,23.991844pt" stroked="true" strokeweight=".5pt" strokecolor="#00a94f">
            <v:stroke dashstyle="solid"/>
            <w10:wrap type="topAndBottom"/>
          </v:line>
        </w:pict>
      </w:r>
      <w:r>
        <w:rPr/>
        <w:pict>
          <v:rect style="position:absolute;margin-left:0pt;margin-top:7.341943pt;width:45pt;height:18pt;mso-position-horizontal-relative:page;mso-position-vertical-relative:paragraph;z-index:2032" filled="true" fillcolor="#0079c1" stroked="false">
            <v:fill type="solid"/>
            <w10:wrap type="none"/>
          </v:rect>
        </w:pict>
      </w:r>
      <w:r>
        <w:rPr/>
        <w:pict>
          <v:line style="position:absolute;mso-position-horizontal-relative:page;mso-position-vertical-relative:paragraph;z-index:2056"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2080"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3. Planning and  Preparation</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6" w:lineRule="auto" w:before="108"/>
        <w:ind w:left="1440"/>
      </w:pPr>
      <w:r>
        <w:rPr>
          <w:color w:val="231F20"/>
          <w:w w:val="105"/>
        </w:rPr>
        <w:t>on other federal lands (3.1.3.4) or may require the involvement of law enforcement (3.1.3.5).</w:t>
      </w:r>
    </w:p>
    <w:p>
      <w:pPr>
        <w:pStyle w:val="BodyText"/>
        <w:spacing w:line="261" w:lineRule="auto" w:before="165"/>
        <w:ind w:left="1440" w:right="388"/>
        <w:rPr>
          <w:rFonts w:ascii="Arial" w:hAnsi="Arial"/>
        </w:rPr>
      </w:pPr>
      <w:r>
        <w:rPr>
          <w:rFonts w:ascii="Arial" w:hAnsi="Arial"/>
          <w:color w:val="1C3E94"/>
        </w:rPr>
        <w:t>Outbreak Investigation and Control Team—Model Practices (Section 3.2)</w:t>
      </w:r>
    </w:p>
    <w:p>
      <w:pPr>
        <w:pStyle w:val="BodyText"/>
        <w:spacing w:line="261" w:lineRule="auto" w:before="195"/>
        <w:ind w:left="1440" w:right="252"/>
      </w:pPr>
      <w:r>
        <w:rPr>
          <w:color w:val="231F20"/>
        </w:rPr>
        <w:t>Typically,  the  responsibility  for  conducting </w:t>
      </w:r>
      <w:r>
        <w:rPr>
          <w:rFonts w:ascii="Times New Roman"/>
          <w:color w:val="231F20"/>
        </w:rPr>
        <w:t>a foodborne disease outbreak investigation, recommending control measures, and monitoring their implementation falls on a </w:t>
      </w:r>
      <w:r>
        <w:rPr>
          <w:color w:val="231F20"/>
        </w:rPr>
        <w:t>core team of  individuals. Depending on  the</w:t>
      </w:r>
    </w:p>
    <w:p>
      <w:pPr>
        <w:pStyle w:val="BodyText"/>
        <w:spacing w:line="266" w:lineRule="auto" w:before="4"/>
        <w:ind w:left="1440" w:right="46"/>
      </w:pPr>
      <w:r>
        <w:rPr>
          <w:color w:val="231F20"/>
          <w:w w:val="105"/>
        </w:rPr>
        <w:t>size and scope of the investigation, the team’s size varies from one or two to hundreds. In smaller investigations, individuals may fulfill multiple roles concurrently.</w:t>
      </w:r>
    </w:p>
    <w:p>
      <w:pPr>
        <w:pStyle w:val="BodyText"/>
        <w:spacing w:line="261" w:lineRule="auto" w:before="165"/>
        <w:ind w:left="1440"/>
        <w:rPr>
          <w:rFonts w:ascii="Times New Roman"/>
        </w:rPr>
      </w:pPr>
      <w:r>
        <w:rPr>
          <w:rFonts w:ascii="Times New Roman"/>
          <w:color w:val="231F20"/>
        </w:rPr>
        <w:t>The composition of the core team should be determined before an outbreak occurs and </w:t>
      </w:r>
      <w:r>
        <w:rPr>
          <w:color w:val="231F20"/>
        </w:rPr>
        <w:t>should include individuals with knowledge and </w:t>
      </w:r>
      <w:r>
        <w:rPr>
          <w:rFonts w:ascii="Times New Roman"/>
          <w:color w:val="231F20"/>
        </w:rPr>
        <w:t>skills</w:t>
      </w:r>
      <w:r>
        <w:rPr>
          <w:rFonts w:ascii="Times New Roman"/>
          <w:color w:val="231F20"/>
          <w:spacing w:val="-13"/>
        </w:rPr>
        <w:t> </w:t>
      </w:r>
      <w:r>
        <w:rPr>
          <w:rFonts w:ascii="Times New Roman"/>
          <w:color w:val="231F20"/>
        </w:rPr>
        <w:t>to</w:t>
      </w:r>
      <w:r>
        <w:rPr>
          <w:rFonts w:ascii="Times New Roman"/>
          <w:color w:val="231F20"/>
          <w:spacing w:val="-14"/>
        </w:rPr>
        <w:t> </w:t>
      </w:r>
      <w:r>
        <w:rPr>
          <w:rFonts w:ascii="Times New Roman"/>
          <w:color w:val="231F20"/>
        </w:rPr>
        <w:t>address</w:t>
      </w:r>
      <w:r>
        <w:rPr>
          <w:rFonts w:ascii="Times New Roman"/>
          <w:color w:val="231F20"/>
          <w:spacing w:val="-14"/>
        </w:rPr>
        <w:t> </w:t>
      </w:r>
      <w:r>
        <w:rPr>
          <w:rFonts w:ascii="Times New Roman"/>
          <w:color w:val="231F20"/>
        </w:rPr>
        <w:t>the</w:t>
      </w:r>
      <w:r>
        <w:rPr>
          <w:rFonts w:ascii="Times New Roman"/>
          <w:color w:val="231F20"/>
          <w:spacing w:val="-14"/>
        </w:rPr>
        <w:t> </w:t>
      </w:r>
      <w:r>
        <w:rPr>
          <w:rFonts w:ascii="Times New Roman"/>
          <w:color w:val="231F20"/>
        </w:rPr>
        <w:t>responsibilities</w:t>
      </w:r>
      <w:r>
        <w:rPr>
          <w:rFonts w:ascii="Times New Roman"/>
          <w:color w:val="231F20"/>
          <w:spacing w:val="-15"/>
        </w:rPr>
        <w:t> </w:t>
      </w:r>
      <w:r>
        <w:rPr>
          <w:rFonts w:ascii="Times New Roman"/>
          <w:color w:val="231F20"/>
        </w:rPr>
        <w:t>common</w:t>
      </w:r>
      <w:r>
        <w:rPr>
          <w:rFonts w:ascii="Times New Roman"/>
          <w:color w:val="231F20"/>
          <w:spacing w:val="-13"/>
        </w:rPr>
        <w:t> </w:t>
      </w:r>
      <w:r>
        <w:rPr>
          <w:rFonts w:ascii="Times New Roman"/>
          <w:color w:val="231F20"/>
        </w:rPr>
        <w:t>to most outbreaks, such</w:t>
      </w:r>
      <w:r>
        <w:rPr>
          <w:rFonts w:ascii="Times New Roman"/>
          <w:color w:val="231F20"/>
          <w:spacing w:val="-34"/>
        </w:rPr>
        <w:t> </w:t>
      </w:r>
      <w:r>
        <w:rPr>
          <w:rFonts w:ascii="Times New Roman"/>
          <w:color w:val="231F20"/>
        </w:rPr>
        <w:t>as:</w:t>
      </w:r>
    </w:p>
    <w:p>
      <w:pPr>
        <w:pStyle w:val="ListParagraph"/>
        <w:numPr>
          <w:ilvl w:val="1"/>
          <w:numId w:val="2"/>
        </w:numPr>
        <w:tabs>
          <w:tab w:pos="1611" w:val="left" w:leader="none"/>
        </w:tabs>
        <w:spacing w:line="240" w:lineRule="auto" w:before="194" w:after="0"/>
        <w:ind w:left="1610" w:right="0" w:hanging="170"/>
        <w:jc w:val="left"/>
        <w:rPr>
          <w:sz w:val="20"/>
        </w:rPr>
      </w:pPr>
      <w:r>
        <w:rPr>
          <w:color w:val="231F20"/>
          <w:spacing w:val="-6"/>
          <w:w w:val="105"/>
          <w:sz w:val="20"/>
        </w:rPr>
        <w:t>Team </w:t>
      </w:r>
      <w:r>
        <w:rPr>
          <w:color w:val="231F20"/>
          <w:w w:val="105"/>
          <w:sz w:val="20"/>
        </w:rPr>
        <w:t>leader</w:t>
      </w:r>
      <w:r>
        <w:rPr>
          <w:color w:val="231F20"/>
          <w:spacing w:val="28"/>
          <w:w w:val="105"/>
          <w:sz w:val="20"/>
        </w:rPr>
        <w:t> </w:t>
      </w:r>
      <w:r>
        <w:rPr>
          <w:color w:val="231F20"/>
          <w:w w:val="105"/>
          <w:sz w:val="20"/>
        </w:rPr>
        <w:t>(3.2.2.1);</w:t>
      </w:r>
    </w:p>
    <w:p>
      <w:pPr>
        <w:pStyle w:val="ListParagraph"/>
        <w:numPr>
          <w:ilvl w:val="1"/>
          <w:numId w:val="2"/>
        </w:numPr>
        <w:tabs>
          <w:tab w:pos="1611" w:val="left" w:leader="none"/>
        </w:tabs>
        <w:spacing w:line="240" w:lineRule="auto" w:before="115" w:after="0"/>
        <w:ind w:left="1610" w:right="0" w:hanging="170"/>
        <w:jc w:val="left"/>
        <w:rPr>
          <w:sz w:val="20"/>
        </w:rPr>
      </w:pPr>
      <w:r>
        <w:rPr>
          <w:color w:val="231F20"/>
          <w:w w:val="105"/>
          <w:sz w:val="20"/>
        </w:rPr>
        <w:t>Epidemiologic</w:t>
      </w:r>
      <w:r>
        <w:rPr>
          <w:color w:val="231F20"/>
          <w:spacing w:val="-33"/>
          <w:w w:val="105"/>
          <w:sz w:val="20"/>
        </w:rPr>
        <w:t> </w:t>
      </w:r>
      <w:r>
        <w:rPr>
          <w:color w:val="231F20"/>
          <w:w w:val="105"/>
          <w:sz w:val="20"/>
        </w:rPr>
        <w:t>investigator</w:t>
      </w:r>
      <w:r>
        <w:rPr>
          <w:color w:val="231F20"/>
          <w:spacing w:val="-33"/>
          <w:w w:val="105"/>
          <w:sz w:val="20"/>
        </w:rPr>
        <w:t> </w:t>
      </w:r>
      <w:r>
        <w:rPr>
          <w:color w:val="231F20"/>
          <w:w w:val="105"/>
          <w:sz w:val="20"/>
        </w:rPr>
        <w:t>(3.2.2.2);</w:t>
      </w:r>
    </w:p>
    <w:p>
      <w:pPr>
        <w:pStyle w:val="ListParagraph"/>
        <w:numPr>
          <w:ilvl w:val="1"/>
          <w:numId w:val="2"/>
        </w:numPr>
        <w:tabs>
          <w:tab w:pos="1611" w:val="left" w:leader="none"/>
        </w:tabs>
        <w:spacing w:line="240" w:lineRule="auto" w:before="115" w:after="0"/>
        <w:ind w:left="1610" w:right="0" w:hanging="170"/>
        <w:jc w:val="left"/>
        <w:rPr>
          <w:sz w:val="20"/>
        </w:rPr>
      </w:pPr>
      <w:r>
        <w:rPr>
          <w:color w:val="231F20"/>
          <w:w w:val="105"/>
          <w:sz w:val="20"/>
        </w:rPr>
        <w:t>Environmental</w:t>
      </w:r>
      <w:r>
        <w:rPr>
          <w:color w:val="231F20"/>
          <w:spacing w:val="-33"/>
          <w:w w:val="105"/>
          <w:sz w:val="20"/>
        </w:rPr>
        <w:t> </w:t>
      </w:r>
      <w:r>
        <w:rPr>
          <w:color w:val="231F20"/>
          <w:w w:val="105"/>
          <w:sz w:val="20"/>
        </w:rPr>
        <w:t>investigator</w:t>
      </w:r>
      <w:r>
        <w:rPr>
          <w:color w:val="231F20"/>
          <w:spacing w:val="-33"/>
          <w:w w:val="105"/>
          <w:sz w:val="20"/>
        </w:rPr>
        <w:t> </w:t>
      </w:r>
      <w:r>
        <w:rPr>
          <w:color w:val="231F20"/>
          <w:w w:val="105"/>
          <w:sz w:val="20"/>
        </w:rPr>
        <w:t>(3.2.2.3);</w:t>
      </w:r>
    </w:p>
    <w:p>
      <w:pPr>
        <w:pStyle w:val="ListParagraph"/>
        <w:numPr>
          <w:ilvl w:val="1"/>
          <w:numId w:val="2"/>
        </w:numPr>
        <w:tabs>
          <w:tab w:pos="1611" w:val="left" w:leader="none"/>
        </w:tabs>
        <w:spacing w:line="240" w:lineRule="auto" w:before="115" w:after="0"/>
        <w:ind w:left="1610" w:right="0" w:hanging="170"/>
        <w:jc w:val="left"/>
        <w:rPr>
          <w:sz w:val="20"/>
        </w:rPr>
      </w:pPr>
      <w:r>
        <w:rPr>
          <w:color w:val="231F20"/>
          <w:w w:val="105"/>
          <w:sz w:val="20"/>
        </w:rPr>
        <w:t>Laboratory investigator (3.2.2.4);</w:t>
      </w:r>
      <w:r>
        <w:rPr>
          <w:color w:val="231F20"/>
          <w:spacing w:val="-26"/>
          <w:w w:val="105"/>
          <w:sz w:val="20"/>
        </w:rPr>
        <w:t> </w:t>
      </w:r>
      <w:r>
        <w:rPr>
          <w:color w:val="231F20"/>
          <w:w w:val="105"/>
          <w:sz w:val="20"/>
        </w:rPr>
        <w:t>and</w:t>
      </w:r>
    </w:p>
    <w:p>
      <w:pPr>
        <w:pStyle w:val="ListParagraph"/>
        <w:numPr>
          <w:ilvl w:val="1"/>
          <w:numId w:val="2"/>
        </w:numPr>
        <w:tabs>
          <w:tab w:pos="1611" w:val="left" w:leader="none"/>
        </w:tabs>
        <w:spacing w:line="240" w:lineRule="auto" w:before="115" w:after="0"/>
        <w:ind w:left="1610" w:right="0" w:hanging="170"/>
        <w:jc w:val="left"/>
        <w:rPr>
          <w:sz w:val="20"/>
        </w:rPr>
      </w:pPr>
      <w:r>
        <w:rPr>
          <w:color w:val="231F20"/>
          <w:sz w:val="20"/>
        </w:rPr>
        <w:t>Public information officer </w:t>
      </w:r>
      <w:r>
        <w:rPr>
          <w:color w:val="231F20"/>
          <w:spacing w:val="15"/>
          <w:sz w:val="20"/>
        </w:rPr>
        <w:t> </w:t>
      </w:r>
      <w:r>
        <w:rPr>
          <w:color w:val="231F20"/>
          <w:sz w:val="20"/>
        </w:rPr>
        <w:t>(3.2.2.5).</w:t>
      </w:r>
    </w:p>
    <w:p>
      <w:pPr>
        <w:pStyle w:val="BodyText"/>
        <w:spacing w:before="2"/>
        <w:rPr>
          <w:sz w:val="18"/>
        </w:rPr>
      </w:pPr>
    </w:p>
    <w:p>
      <w:pPr>
        <w:pStyle w:val="BodyText"/>
        <w:spacing w:line="266" w:lineRule="auto"/>
        <w:ind w:left="1440" w:right="-14"/>
      </w:pPr>
      <w:r>
        <w:rPr>
          <w:color w:val="231F20"/>
          <w:w w:val="105"/>
        </w:rPr>
        <w:t>Depending on the unique characteristics</w:t>
      </w:r>
      <w:r>
        <w:rPr>
          <w:color w:val="231F20"/>
          <w:spacing w:val="-39"/>
          <w:w w:val="105"/>
        </w:rPr>
        <w:t> </w:t>
      </w:r>
      <w:r>
        <w:rPr>
          <w:color w:val="231F20"/>
          <w:w w:val="105"/>
        </w:rPr>
        <w:t>of the disease or the outbreak, individuals with other expertise might be needed in an outbreak investigation. Such persons might include </w:t>
      </w:r>
      <w:r>
        <w:rPr>
          <w:rFonts w:ascii="Times New Roman"/>
          <w:color w:val="231F20"/>
          <w:w w:val="105"/>
        </w:rPr>
        <w:t>public</w:t>
      </w:r>
      <w:r>
        <w:rPr>
          <w:rFonts w:ascii="Times New Roman"/>
          <w:color w:val="231F20"/>
          <w:spacing w:val="-30"/>
          <w:w w:val="105"/>
        </w:rPr>
        <w:t> </w:t>
      </w:r>
      <w:r>
        <w:rPr>
          <w:rFonts w:ascii="Times New Roman"/>
          <w:color w:val="231F20"/>
          <w:w w:val="105"/>
        </w:rPr>
        <w:t>health</w:t>
      </w:r>
      <w:r>
        <w:rPr>
          <w:rFonts w:ascii="Times New Roman"/>
          <w:color w:val="231F20"/>
          <w:spacing w:val="-30"/>
          <w:w w:val="105"/>
        </w:rPr>
        <w:t> </w:t>
      </w:r>
      <w:r>
        <w:rPr>
          <w:rFonts w:ascii="Times New Roman"/>
          <w:color w:val="231F20"/>
          <w:w w:val="105"/>
        </w:rPr>
        <w:t>nurses,</w:t>
      </w:r>
      <w:r>
        <w:rPr>
          <w:rFonts w:ascii="Times New Roman"/>
          <w:color w:val="231F20"/>
          <w:spacing w:val="-30"/>
          <w:w w:val="105"/>
        </w:rPr>
        <w:t> </w:t>
      </w:r>
      <w:r>
        <w:rPr>
          <w:rFonts w:ascii="Times New Roman"/>
          <w:color w:val="231F20"/>
          <w:w w:val="105"/>
        </w:rPr>
        <w:t>statisticians,</w:t>
      </w:r>
      <w:r>
        <w:rPr>
          <w:rFonts w:ascii="Times New Roman"/>
          <w:color w:val="231F20"/>
          <w:spacing w:val="-30"/>
          <w:w w:val="105"/>
        </w:rPr>
        <w:t> </w:t>
      </w:r>
      <w:r>
        <w:rPr>
          <w:rFonts w:ascii="Times New Roman"/>
          <w:color w:val="231F20"/>
          <w:w w:val="105"/>
        </w:rPr>
        <w:t>health-care </w:t>
      </w:r>
      <w:r>
        <w:rPr>
          <w:color w:val="231F20"/>
          <w:w w:val="105"/>
        </w:rPr>
        <w:t>providers,</w:t>
      </w:r>
      <w:r>
        <w:rPr>
          <w:color w:val="231F20"/>
          <w:spacing w:val="-16"/>
          <w:w w:val="105"/>
        </w:rPr>
        <w:t> </w:t>
      </w:r>
      <w:r>
        <w:rPr>
          <w:color w:val="231F20"/>
          <w:w w:val="105"/>
        </w:rPr>
        <w:t>and</w:t>
      </w:r>
      <w:r>
        <w:rPr>
          <w:color w:val="231F20"/>
          <w:spacing w:val="-16"/>
          <w:w w:val="105"/>
        </w:rPr>
        <w:t> </w:t>
      </w:r>
      <w:r>
        <w:rPr>
          <w:color w:val="231F20"/>
          <w:w w:val="105"/>
        </w:rPr>
        <w:t>health</w:t>
      </w:r>
      <w:r>
        <w:rPr>
          <w:color w:val="231F20"/>
          <w:spacing w:val="-16"/>
          <w:w w:val="105"/>
        </w:rPr>
        <w:t> </w:t>
      </w:r>
      <w:r>
        <w:rPr>
          <w:color w:val="231F20"/>
          <w:w w:val="105"/>
        </w:rPr>
        <w:t>educators;</w:t>
      </w:r>
      <w:r>
        <w:rPr>
          <w:color w:val="231F20"/>
          <w:spacing w:val="-16"/>
          <w:w w:val="105"/>
        </w:rPr>
        <w:t> </w:t>
      </w:r>
      <w:r>
        <w:rPr>
          <w:color w:val="231F20"/>
          <w:spacing w:val="-4"/>
          <w:w w:val="105"/>
        </w:rPr>
        <w:t>however,</w:t>
      </w:r>
      <w:r>
        <w:rPr>
          <w:color w:val="231F20"/>
          <w:spacing w:val="-16"/>
          <w:w w:val="105"/>
        </w:rPr>
        <w:t> </w:t>
      </w:r>
      <w:r>
        <w:rPr>
          <w:color w:val="231F20"/>
          <w:w w:val="105"/>
        </w:rPr>
        <w:t>those specific needs probably cannot be anticipated before an outbreak</w:t>
      </w:r>
      <w:r>
        <w:rPr>
          <w:color w:val="231F20"/>
          <w:spacing w:val="-40"/>
          <w:w w:val="105"/>
        </w:rPr>
        <w:t> </w:t>
      </w:r>
      <w:r>
        <w:rPr>
          <w:color w:val="231F20"/>
          <w:w w:val="105"/>
        </w:rPr>
        <w:t>(3.2.2.6).</w:t>
      </w:r>
    </w:p>
    <w:p>
      <w:pPr>
        <w:spacing w:line="290" w:lineRule="auto" w:before="183"/>
        <w:ind w:left="1440" w:right="0" w:firstLine="0"/>
        <w:jc w:val="left"/>
        <w:rPr>
          <w:rFonts w:ascii="Arial" w:hAnsi="Arial"/>
          <w:sz w:val="18"/>
        </w:rPr>
      </w:pPr>
      <w:r>
        <w:rPr>
          <w:rFonts w:ascii="Arial" w:hAnsi="Arial"/>
          <w:color w:val="00A94F"/>
          <w:sz w:val="18"/>
        </w:rPr>
        <w:t>Outbreak Investigation and Control Teams— Model Practices (3.2.3)</w:t>
      </w:r>
    </w:p>
    <w:p>
      <w:pPr>
        <w:pStyle w:val="BodyText"/>
        <w:spacing w:line="266" w:lineRule="auto"/>
        <w:ind w:left="1440" w:right="54"/>
      </w:pPr>
      <w:r>
        <w:rPr>
          <w:color w:val="231F20"/>
          <w:w w:val="105"/>
        </w:rPr>
        <w:t>Outbreak response team members should work</w:t>
      </w:r>
      <w:r>
        <w:rPr>
          <w:color w:val="231F20"/>
          <w:spacing w:val="-14"/>
          <w:w w:val="105"/>
        </w:rPr>
        <w:t> </w:t>
      </w:r>
      <w:r>
        <w:rPr>
          <w:color w:val="231F20"/>
          <w:w w:val="105"/>
        </w:rPr>
        <w:t>closely</w:t>
      </w:r>
      <w:r>
        <w:rPr>
          <w:color w:val="231F20"/>
          <w:spacing w:val="-14"/>
          <w:w w:val="105"/>
        </w:rPr>
        <w:t> </w:t>
      </w:r>
      <w:r>
        <w:rPr>
          <w:color w:val="231F20"/>
          <w:spacing w:val="-3"/>
          <w:w w:val="105"/>
        </w:rPr>
        <w:t>together,</w:t>
      </w:r>
      <w:r>
        <w:rPr>
          <w:color w:val="231F20"/>
          <w:spacing w:val="-14"/>
          <w:w w:val="105"/>
        </w:rPr>
        <w:t> </w:t>
      </w:r>
      <w:r>
        <w:rPr>
          <w:color w:val="231F20"/>
          <w:w w:val="105"/>
        </w:rPr>
        <w:t>not</w:t>
      </w:r>
      <w:r>
        <w:rPr>
          <w:color w:val="231F20"/>
          <w:spacing w:val="-14"/>
          <w:w w:val="105"/>
        </w:rPr>
        <w:t> </w:t>
      </w:r>
      <w:r>
        <w:rPr>
          <w:color w:val="231F20"/>
          <w:w w:val="105"/>
        </w:rPr>
        <w:t>in</w:t>
      </w:r>
      <w:r>
        <w:rPr>
          <w:color w:val="231F20"/>
          <w:spacing w:val="-14"/>
          <w:w w:val="105"/>
        </w:rPr>
        <w:t> </w:t>
      </w:r>
      <w:r>
        <w:rPr>
          <w:color w:val="231F20"/>
          <w:w w:val="105"/>
        </w:rPr>
        <w:t>isolation.</w:t>
      </w:r>
      <w:r>
        <w:rPr>
          <w:color w:val="231F20"/>
          <w:spacing w:val="-14"/>
          <w:w w:val="105"/>
        </w:rPr>
        <w:t> </w:t>
      </w:r>
      <w:r>
        <w:rPr>
          <w:color w:val="231F20"/>
          <w:w w:val="105"/>
        </w:rPr>
        <w:t>Because the</w:t>
      </w:r>
      <w:r>
        <w:rPr>
          <w:color w:val="231F20"/>
          <w:spacing w:val="-15"/>
          <w:w w:val="105"/>
        </w:rPr>
        <w:t> </w:t>
      </w:r>
      <w:r>
        <w:rPr>
          <w:color w:val="231F20"/>
          <w:w w:val="105"/>
        </w:rPr>
        <w:t>work</w:t>
      </w:r>
      <w:r>
        <w:rPr>
          <w:color w:val="231F20"/>
          <w:spacing w:val="-15"/>
          <w:w w:val="105"/>
        </w:rPr>
        <w:t> </w:t>
      </w:r>
      <w:r>
        <w:rPr>
          <w:color w:val="231F20"/>
          <w:w w:val="105"/>
        </w:rPr>
        <w:t>of</w:t>
      </w:r>
      <w:r>
        <w:rPr>
          <w:color w:val="231F20"/>
          <w:spacing w:val="6"/>
          <w:w w:val="105"/>
        </w:rPr>
        <w:t> </w:t>
      </w:r>
      <w:r>
        <w:rPr>
          <w:color w:val="231F20"/>
          <w:w w:val="105"/>
        </w:rPr>
        <w:t>one</w:t>
      </w:r>
      <w:r>
        <w:rPr>
          <w:color w:val="231F20"/>
          <w:spacing w:val="-15"/>
          <w:w w:val="105"/>
        </w:rPr>
        <w:t> </w:t>
      </w:r>
      <w:r>
        <w:rPr>
          <w:color w:val="231F20"/>
          <w:w w:val="105"/>
        </w:rPr>
        <w:t>team</w:t>
      </w:r>
      <w:r>
        <w:rPr>
          <w:color w:val="231F20"/>
          <w:spacing w:val="-15"/>
          <w:w w:val="105"/>
        </w:rPr>
        <w:t> </w:t>
      </w:r>
      <w:r>
        <w:rPr>
          <w:color w:val="231F20"/>
          <w:w w:val="105"/>
        </w:rPr>
        <w:t>member</w:t>
      </w:r>
      <w:r>
        <w:rPr>
          <w:color w:val="231F20"/>
          <w:spacing w:val="-15"/>
          <w:w w:val="105"/>
        </w:rPr>
        <w:t> </w:t>
      </w:r>
      <w:r>
        <w:rPr>
          <w:color w:val="231F20"/>
          <w:w w:val="105"/>
        </w:rPr>
        <w:t>often</w:t>
      </w:r>
      <w:r>
        <w:rPr>
          <w:color w:val="231F20"/>
          <w:spacing w:val="-15"/>
          <w:w w:val="105"/>
        </w:rPr>
        <w:t> </w:t>
      </w:r>
      <w:r>
        <w:rPr>
          <w:color w:val="231F20"/>
          <w:w w:val="105"/>
        </w:rPr>
        <w:t>builds</w:t>
      </w:r>
    </w:p>
    <w:p>
      <w:pPr>
        <w:pStyle w:val="BodyText"/>
        <w:spacing w:line="216" w:lineRule="exact" w:before="3"/>
        <w:ind w:left="1440"/>
        <w:rPr>
          <w:rFonts w:ascii="Times New Roman"/>
        </w:rPr>
      </w:pPr>
      <w:r>
        <w:rPr>
          <w:rFonts w:ascii="Times New Roman"/>
          <w:color w:val="231F20"/>
          <w:w w:val="105"/>
        </w:rPr>
        <w:t>on that of another team member, good</w:t>
      </w:r>
    </w:p>
    <w:p>
      <w:pPr>
        <w:pStyle w:val="BodyText"/>
        <w:spacing w:line="271" w:lineRule="auto" w:before="20"/>
        <w:ind w:left="1440" w:right="252"/>
      </w:pPr>
      <w:r>
        <w:rPr>
          <w:rFonts w:ascii="Times New Roman"/>
          <w:color w:val="231F20"/>
        </w:rPr>
        <w:t>communication among team members and </w:t>
      </w:r>
      <w:r>
        <w:rPr>
          <w:color w:val="231F20"/>
        </w:rPr>
        <w:t>timely sharing of pertinent information is critical. Implementation of  the  following</w:t>
      </w:r>
    </w:p>
    <w:p>
      <w:pPr>
        <w:pStyle w:val="BodyText"/>
        <w:spacing w:line="252" w:lineRule="auto" w:before="108"/>
        <w:ind w:left="320" w:right="726"/>
        <w:rPr>
          <w:rFonts w:ascii="Times New Roman"/>
        </w:rPr>
      </w:pPr>
      <w:r>
        <w:rPr/>
        <w:br w:type="column"/>
      </w:r>
      <w:r>
        <w:rPr>
          <w:color w:val="231F20"/>
        </w:rPr>
        <w:t>practices will improve the effectiveness of the </w:t>
      </w:r>
      <w:r>
        <w:rPr>
          <w:rFonts w:ascii="Times New Roman"/>
          <w:color w:val="231F20"/>
        </w:rPr>
        <w:t>team:</w:t>
      </w:r>
    </w:p>
    <w:p>
      <w:pPr>
        <w:pStyle w:val="BodyText"/>
        <w:spacing w:before="7"/>
        <w:rPr>
          <w:rFonts w:ascii="Times New Roman"/>
          <w:sz w:val="17"/>
        </w:rPr>
      </w:pPr>
    </w:p>
    <w:p>
      <w:pPr>
        <w:spacing w:before="0"/>
        <w:ind w:left="320" w:right="0" w:firstLine="0"/>
        <w:jc w:val="left"/>
        <w:rPr>
          <w:i/>
          <w:sz w:val="20"/>
        </w:rPr>
      </w:pPr>
      <w:r>
        <w:rPr>
          <w:i/>
          <w:color w:val="E36F1E"/>
          <w:w w:val="105"/>
          <w:sz w:val="20"/>
        </w:rPr>
        <w:t>Emergency response unit (3.2.3.1)</w:t>
      </w:r>
    </w:p>
    <w:p>
      <w:pPr>
        <w:pStyle w:val="BodyText"/>
        <w:spacing w:line="264" w:lineRule="auto" w:before="24"/>
        <w:ind w:left="320" w:right="806"/>
      </w:pPr>
      <w:r>
        <w:rPr>
          <w:color w:val="231F20"/>
          <w:w w:val="105"/>
        </w:rPr>
        <w:t>If population size and number of outbreaks warrants it, an emergency response unit </w:t>
      </w:r>
      <w:r>
        <w:rPr>
          <w:rFonts w:ascii="Times New Roman"/>
          <w:color w:val="231F20"/>
          <w:w w:val="105"/>
        </w:rPr>
        <w:t>consisting of senior epidemiologists, environmental scientists, and laboratorians </w:t>
      </w:r>
      <w:r>
        <w:rPr>
          <w:color w:val="231F20"/>
          <w:w w:val="105"/>
        </w:rPr>
        <w:t>that</w:t>
      </w:r>
      <w:r>
        <w:rPr>
          <w:color w:val="231F20"/>
          <w:spacing w:val="-9"/>
          <w:w w:val="105"/>
        </w:rPr>
        <w:t> </w:t>
      </w:r>
      <w:r>
        <w:rPr>
          <w:color w:val="231F20"/>
          <w:w w:val="105"/>
        </w:rPr>
        <w:t>train</w:t>
      </w:r>
      <w:r>
        <w:rPr>
          <w:color w:val="231F20"/>
          <w:spacing w:val="-9"/>
          <w:w w:val="105"/>
        </w:rPr>
        <w:t> </w:t>
      </w:r>
      <w:r>
        <w:rPr>
          <w:color w:val="231F20"/>
          <w:w w:val="105"/>
        </w:rPr>
        <w:t>and</w:t>
      </w:r>
      <w:r>
        <w:rPr>
          <w:color w:val="231F20"/>
          <w:spacing w:val="-9"/>
          <w:w w:val="105"/>
        </w:rPr>
        <w:t> </w:t>
      </w:r>
      <w:r>
        <w:rPr>
          <w:color w:val="231F20"/>
          <w:w w:val="105"/>
        </w:rPr>
        <w:t>work</w:t>
      </w:r>
      <w:r>
        <w:rPr>
          <w:color w:val="231F20"/>
          <w:spacing w:val="-9"/>
          <w:w w:val="105"/>
        </w:rPr>
        <w:t> </w:t>
      </w:r>
      <w:r>
        <w:rPr>
          <w:color w:val="231F20"/>
          <w:w w:val="105"/>
        </w:rPr>
        <w:t>together</w:t>
      </w:r>
      <w:r>
        <w:rPr>
          <w:color w:val="231F20"/>
          <w:spacing w:val="-9"/>
          <w:w w:val="105"/>
        </w:rPr>
        <w:t> </w:t>
      </w:r>
      <w:r>
        <w:rPr>
          <w:color w:val="231F20"/>
          <w:w w:val="105"/>
        </w:rPr>
        <w:t>in</w:t>
      </w:r>
      <w:r>
        <w:rPr>
          <w:color w:val="231F20"/>
          <w:spacing w:val="-9"/>
          <w:w w:val="105"/>
        </w:rPr>
        <w:t> </w:t>
      </w:r>
      <w:r>
        <w:rPr>
          <w:color w:val="231F20"/>
          <w:w w:val="105"/>
        </w:rPr>
        <w:t>response</w:t>
      </w:r>
      <w:r>
        <w:rPr>
          <w:color w:val="231F20"/>
          <w:spacing w:val="-9"/>
          <w:w w:val="105"/>
        </w:rPr>
        <w:t> </w:t>
      </w:r>
      <w:r>
        <w:rPr>
          <w:color w:val="231F20"/>
          <w:w w:val="105"/>
        </w:rPr>
        <w:t>to</w:t>
      </w:r>
      <w:r>
        <w:rPr>
          <w:color w:val="231F20"/>
          <w:spacing w:val="-9"/>
          <w:w w:val="105"/>
        </w:rPr>
        <w:t> </w:t>
      </w:r>
      <w:r>
        <w:rPr>
          <w:color w:val="231F20"/>
          <w:w w:val="105"/>
        </w:rPr>
        <w:t>all outbreaks</w:t>
      </w:r>
      <w:r>
        <w:rPr>
          <w:color w:val="231F20"/>
          <w:spacing w:val="-17"/>
          <w:w w:val="105"/>
        </w:rPr>
        <w:t> </w:t>
      </w:r>
      <w:r>
        <w:rPr>
          <w:color w:val="231F20"/>
          <w:w w:val="105"/>
        </w:rPr>
        <w:t>should</w:t>
      </w:r>
      <w:r>
        <w:rPr>
          <w:color w:val="231F20"/>
          <w:spacing w:val="-17"/>
          <w:w w:val="105"/>
        </w:rPr>
        <w:t> </w:t>
      </w:r>
      <w:r>
        <w:rPr>
          <w:color w:val="231F20"/>
          <w:w w:val="105"/>
        </w:rPr>
        <w:t>be</w:t>
      </w:r>
      <w:r>
        <w:rPr>
          <w:color w:val="231F20"/>
          <w:spacing w:val="-17"/>
          <w:w w:val="105"/>
        </w:rPr>
        <w:t> </w:t>
      </w:r>
      <w:r>
        <w:rPr>
          <w:color w:val="231F20"/>
          <w:w w:val="105"/>
        </w:rPr>
        <w:t>established.</w:t>
      </w:r>
      <w:r>
        <w:rPr>
          <w:color w:val="231F20"/>
          <w:spacing w:val="-17"/>
          <w:w w:val="105"/>
        </w:rPr>
        <w:t> </w:t>
      </w:r>
      <w:r>
        <w:rPr>
          <w:color w:val="231F20"/>
          <w:w w:val="105"/>
        </w:rPr>
        <w:t>In</w:t>
      </w:r>
      <w:r>
        <w:rPr>
          <w:color w:val="231F20"/>
          <w:spacing w:val="-17"/>
          <w:w w:val="105"/>
        </w:rPr>
        <w:t> </w:t>
      </w:r>
      <w:r>
        <w:rPr>
          <w:color w:val="231F20"/>
          <w:w w:val="105"/>
        </w:rPr>
        <w:t>states</w:t>
      </w:r>
      <w:r>
        <w:rPr>
          <w:color w:val="231F20"/>
          <w:spacing w:val="-17"/>
          <w:w w:val="105"/>
        </w:rPr>
        <w:t> </w:t>
      </w:r>
      <w:r>
        <w:rPr>
          <w:color w:val="231F20"/>
          <w:w w:val="105"/>
        </w:rPr>
        <w:t>with a Rapid Response </w:t>
      </w:r>
      <w:r>
        <w:rPr>
          <w:color w:val="231F20"/>
          <w:spacing w:val="-6"/>
          <w:w w:val="105"/>
        </w:rPr>
        <w:t>Team </w:t>
      </w:r>
      <w:r>
        <w:rPr>
          <w:color w:val="231F20"/>
          <w:spacing w:val="-4"/>
          <w:w w:val="105"/>
        </w:rPr>
        <w:t>(RRT), </w:t>
      </w:r>
      <w:r>
        <w:rPr>
          <w:color w:val="231F20"/>
          <w:w w:val="105"/>
        </w:rPr>
        <w:t>the </w:t>
      </w:r>
      <w:r>
        <w:rPr>
          <w:color w:val="231F20"/>
          <w:spacing w:val="-7"/>
          <w:w w:val="105"/>
        </w:rPr>
        <w:t>RRT </w:t>
      </w:r>
      <w:r>
        <w:rPr>
          <w:color w:val="231F20"/>
          <w:w w:val="105"/>
        </w:rPr>
        <w:t>will assume this</w:t>
      </w:r>
      <w:r>
        <w:rPr>
          <w:color w:val="231F20"/>
          <w:spacing w:val="-39"/>
          <w:w w:val="105"/>
        </w:rPr>
        <w:t> </w:t>
      </w:r>
      <w:r>
        <w:rPr>
          <w:color w:val="231F20"/>
          <w:w w:val="105"/>
        </w:rPr>
        <w:t>role.</w:t>
      </w:r>
    </w:p>
    <w:p>
      <w:pPr>
        <w:pStyle w:val="BodyText"/>
        <w:spacing w:line="264" w:lineRule="auto" w:before="182"/>
        <w:ind w:left="320" w:right="745"/>
      </w:pPr>
      <w:r>
        <w:rPr>
          <w:i/>
          <w:color w:val="E36F1E"/>
          <w:w w:val="105"/>
        </w:rPr>
        <w:t>Additional</w:t>
      </w:r>
      <w:r>
        <w:rPr>
          <w:i/>
          <w:color w:val="E36F1E"/>
          <w:spacing w:val="-17"/>
          <w:w w:val="105"/>
        </w:rPr>
        <w:t> </w:t>
      </w:r>
      <w:r>
        <w:rPr>
          <w:i/>
          <w:color w:val="E36F1E"/>
          <w:w w:val="105"/>
        </w:rPr>
        <w:t>support</w:t>
      </w:r>
      <w:r>
        <w:rPr>
          <w:i/>
          <w:color w:val="E36F1E"/>
          <w:spacing w:val="-17"/>
          <w:w w:val="105"/>
        </w:rPr>
        <w:t> </w:t>
      </w:r>
      <w:r>
        <w:rPr>
          <w:i/>
          <w:color w:val="E36F1E"/>
          <w:w w:val="105"/>
        </w:rPr>
        <w:t>for</w:t>
      </w:r>
      <w:r>
        <w:rPr>
          <w:i/>
          <w:color w:val="E36F1E"/>
          <w:spacing w:val="-17"/>
          <w:w w:val="105"/>
        </w:rPr>
        <w:t> </w:t>
      </w:r>
      <w:r>
        <w:rPr>
          <w:i/>
          <w:color w:val="E36F1E"/>
          <w:w w:val="105"/>
        </w:rPr>
        <w:t>large-scale</w:t>
      </w:r>
      <w:r>
        <w:rPr>
          <w:i/>
          <w:color w:val="E36F1E"/>
          <w:spacing w:val="-17"/>
          <w:w w:val="105"/>
        </w:rPr>
        <w:t> </w:t>
      </w:r>
      <w:r>
        <w:rPr>
          <w:i/>
          <w:color w:val="E36F1E"/>
          <w:w w:val="105"/>
        </w:rPr>
        <w:t>outbreaks</w:t>
      </w:r>
      <w:r>
        <w:rPr>
          <w:i/>
          <w:color w:val="E36F1E"/>
          <w:spacing w:val="-17"/>
          <w:w w:val="105"/>
        </w:rPr>
        <w:t> </w:t>
      </w:r>
      <w:r>
        <w:rPr>
          <w:i/>
          <w:color w:val="E36F1E"/>
          <w:w w:val="105"/>
        </w:rPr>
        <w:t>(3.2.3.2) </w:t>
      </w:r>
      <w:r>
        <w:rPr>
          <w:rFonts w:ascii="Times New Roman"/>
          <w:color w:val="231F20"/>
          <w:w w:val="105"/>
        </w:rPr>
        <w:t>Because some outbreaks are too large for a </w:t>
      </w:r>
      <w:r>
        <w:rPr>
          <w:color w:val="231F20"/>
          <w:w w:val="105"/>
        </w:rPr>
        <w:t>single agency to manage, health departments should identify and train individuals outside the agency who would be willing and able to </w:t>
      </w:r>
      <w:r>
        <w:rPr>
          <w:rFonts w:ascii="Times New Roman"/>
          <w:color w:val="231F20"/>
          <w:w w:val="105"/>
        </w:rPr>
        <w:t>provide</w:t>
      </w:r>
      <w:r>
        <w:rPr>
          <w:rFonts w:ascii="Times New Roman"/>
          <w:color w:val="231F20"/>
          <w:spacing w:val="-28"/>
          <w:w w:val="105"/>
        </w:rPr>
        <w:t> </w:t>
      </w:r>
      <w:r>
        <w:rPr>
          <w:rFonts w:ascii="Times New Roman"/>
          <w:color w:val="231F20"/>
          <w:w w:val="105"/>
        </w:rPr>
        <w:t>support</w:t>
      </w:r>
      <w:r>
        <w:rPr>
          <w:rFonts w:ascii="Times New Roman"/>
          <w:color w:val="231F20"/>
          <w:spacing w:val="-28"/>
          <w:w w:val="105"/>
        </w:rPr>
        <w:t> </w:t>
      </w:r>
      <w:r>
        <w:rPr>
          <w:rFonts w:ascii="Times New Roman"/>
          <w:color w:val="231F20"/>
          <w:w w:val="105"/>
        </w:rPr>
        <w:t>during</w:t>
      </w:r>
      <w:r>
        <w:rPr>
          <w:rFonts w:ascii="Times New Roman"/>
          <w:color w:val="231F20"/>
          <w:spacing w:val="-28"/>
          <w:w w:val="105"/>
        </w:rPr>
        <w:t> </w:t>
      </w:r>
      <w:r>
        <w:rPr>
          <w:rFonts w:ascii="Times New Roman"/>
          <w:color w:val="231F20"/>
          <w:w w:val="105"/>
        </w:rPr>
        <w:t>a</w:t>
      </w:r>
      <w:r>
        <w:rPr>
          <w:rFonts w:ascii="Times New Roman"/>
          <w:color w:val="231F20"/>
          <w:spacing w:val="-28"/>
          <w:w w:val="105"/>
        </w:rPr>
        <w:t> </w:t>
      </w:r>
      <w:r>
        <w:rPr>
          <w:rFonts w:ascii="Times New Roman"/>
          <w:color w:val="231F20"/>
          <w:w w:val="105"/>
        </w:rPr>
        <w:t>large-scale</w:t>
      </w:r>
      <w:r>
        <w:rPr>
          <w:rFonts w:ascii="Times New Roman"/>
          <w:color w:val="231F20"/>
          <w:spacing w:val="-29"/>
          <w:w w:val="105"/>
        </w:rPr>
        <w:t> </w:t>
      </w:r>
      <w:r>
        <w:rPr>
          <w:rFonts w:ascii="Times New Roman"/>
          <w:color w:val="231F20"/>
          <w:w w:val="105"/>
        </w:rPr>
        <w:t>outbreak </w:t>
      </w:r>
      <w:r>
        <w:rPr>
          <w:color w:val="231F20"/>
          <w:spacing w:val="-4"/>
          <w:w w:val="105"/>
        </w:rPr>
        <w:t>(e.g.,</w:t>
      </w:r>
      <w:r>
        <w:rPr>
          <w:color w:val="231F20"/>
          <w:spacing w:val="-18"/>
          <w:w w:val="105"/>
        </w:rPr>
        <w:t> </w:t>
      </w:r>
      <w:r>
        <w:rPr>
          <w:color w:val="231F20"/>
          <w:w w:val="105"/>
        </w:rPr>
        <w:t>staff</w:t>
      </w:r>
      <w:r>
        <w:rPr>
          <w:color w:val="231F20"/>
          <w:spacing w:val="-18"/>
          <w:w w:val="105"/>
        </w:rPr>
        <w:t> </w:t>
      </w:r>
      <w:r>
        <w:rPr>
          <w:color w:val="231F20"/>
          <w:w w:val="105"/>
        </w:rPr>
        <w:t>from</w:t>
      </w:r>
      <w:r>
        <w:rPr>
          <w:color w:val="231F20"/>
          <w:spacing w:val="-18"/>
          <w:w w:val="105"/>
        </w:rPr>
        <w:t> </w:t>
      </w:r>
      <w:r>
        <w:rPr>
          <w:color w:val="231F20"/>
          <w:w w:val="105"/>
        </w:rPr>
        <w:t>other</w:t>
      </w:r>
      <w:r>
        <w:rPr>
          <w:color w:val="231F20"/>
          <w:spacing w:val="-18"/>
          <w:w w:val="105"/>
        </w:rPr>
        <w:t> </w:t>
      </w:r>
      <w:r>
        <w:rPr>
          <w:color w:val="231F20"/>
          <w:w w:val="105"/>
        </w:rPr>
        <w:t>branches</w:t>
      </w:r>
      <w:r>
        <w:rPr>
          <w:color w:val="231F20"/>
          <w:spacing w:val="-18"/>
          <w:w w:val="105"/>
        </w:rPr>
        <w:t> </w:t>
      </w:r>
      <w:r>
        <w:rPr>
          <w:color w:val="231F20"/>
          <w:w w:val="105"/>
        </w:rPr>
        <w:t>of</w:t>
      </w:r>
      <w:r>
        <w:rPr>
          <w:color w:val="231F20"/>
          <w:spacing w:val="2"/>
          <w:w w:val="105"/>
        </w:rPr>
        <w:t> </w:t>
      </w:r>
      <w:r>
        <w:rPr>
          <w:color w:val="231F20"/>
          <w:w w:val="105"/>
        </w:rPr>
        <w:t>government, university students, and Medical Reserve</w:t>
      </w:r>
      <w:r>
        <w:rPr>
          <w:color w:val="231F20"/>
          <w:spacing w:val="-30"/>
          <w:w w:val="105"/>
        </w:rPr>
        <w:t> </w:t>
      </w:r>
      <w:r>
        <w:rPr>
          <w:color w:val="231F20"/>
          <w:w w:val="105"/>
        </w:rPr>
        <w:t>Corp volunteers).</w:t>
      </w:r>
    </w:p>
    <w:p>
      <w:pPr>
        <w:spacing w:line="266" w:lineRule="auto" w:before="182"/>
        <w:ind w:left="320" w:right="1006" w:firstLine="0"/>
        <w:jc w:val="left"/>
        <w:rPr>
          <w:i/>
          <w:sz w:val="20"/>
        </w:rPr>
      </w:pPr>
      <w:r>
        <w:rPr>
          <w:i/>
          <w:color w:val="E36F1E"/>
          <w:w w:val="105"/>
          <w:sz w:val="20"/>
        </w:rPr>
        <w:t>Agency-specific</w:t>
      </w:r>
      <w:r>
        <w:rPr>
          <w:i/>
          <w:color w:val="E36F1E"/>
          <w:spacing w:val="-18"/>
          <w:w w:val="105"/>
          <w:sz w:val="20"/>
        </w:rPr>
        <w:t> </w:t>
      </w:r>
      <w:r>
        <w:rPr>
          <w:i/>
          <w:color w:val="E36F1E"/>
          <w:w w:val="105"/>
          <w:sz w:val="20"/>
        </w:rPr>
        <w:t>response</w:t>
      </w:r>
      <w:r>
        <w:rPr>
          <w:i/>
          <w:color w:val="E36F1E"/>
          <w:spacing w:val="-18"/>
          <w:w w:val="105"/>
          <w:sz w:val="20"/>
        </w:rPr>
        <w:t> </w:t>
      </w:r>
      <w:r>
        <w:rPr>
          <w:i/>
          <w:color w:val="E36F1E"/>
          <w:w w:val="105"/>
          <w:sz w:val="20"/>
        </w:rPr>
        <w:t>protocol</w:t>
      </w:r>
      <w:r>
        <w:rPr>
          <w:i/>
          <w:color w:val="E36F1E"/>
          <w:spacing w:val="-18"/>
          <w:w w:val="105"/>
          <w:sz w:val="20"/>
        </w:rPr>
        <w:t> </w:t>
      </w:r>
      <w:r>
        <w:rPr>
          <w:i/>
          <w:color w:val="E36F1E"/>
          <w:w w:val="105"/>
          <w:sz w:val="20"/>
        </w:rPr>
        <w:t>and</w:t>
      </w:r>
      <w:r>
        <w:rPr>
          <w:i/>
          <w:color w:val="E36F1E"/>
          <w:spacing w:val="-18"/>
          <w:w w:val="105"/>
          <w:sz w:val="20"/>
        </w:rPr>
        <w:t> </w:t>
      </w:r>
      <w:r>
        <w:rPr>
          <w:i/>
          <w:color w:val="E36F1E"/>
          <w:w w:val="105"/>
          <w:sz w:val="20"/>
        </w:rPr>
        <w:t>other</w:t>
      </w:r>
      <w:r>
        <w:rPr>
          <w:i/>
          <w:color w:val="E36F1E"/>
          <w:spacing w:val="-18"/>
          <w:w w:val="105"/>
          <w:sz w:val="20"/>
        </w:rPr>
        <w:t> </w:t>
      </w:r>
      <w:r>
        <w:rPr>
          <w:i/>
          <w:color w:val="E36F1E"/>
          <w:w w:val="105"/>
          <w:sz w:val="20"/>
        </w:rPr>
        <w:t>resources </w:t>
      </w:r>
      <w:r>
        <w:rPr>
          <w:i/>
          <w:color w:val="E36F1E"/>
          <w:w w:val="105"/>
          <w:sz w:val="20"/>
        </w:rPr>
        <w:t>(3.2.3.3)</w:t>
      </w:r>
    </w:p>
    <w:p>
      <w:pPr>
        <w:pStyle w:val="BodyText"/>
        <w:spacing w:line="216" w:lineRule="exact"/>
        <w:ind w:left="320"/>
        <w:rPr>
          <w:rFonts w:ascii="Times New Roman"/>
        </w:rPr>
      </w:pPr>
      <w:r>
        <w:rPr>
          <w:rFonts w:ascii="Times New Roman"/>
          <w:color w:val="231F20"/>
        </w:rPr>
        <w:t>The outbreak response team should have pre-</w:t>
      </w:r>
    </w:p>
    <w:p>
      <w:pPr>
        <w:pStyle w:val="BodyText"/>
        <w:spacing w:line="266" w:lineRule="auto" w:before="34"/>
        <w:ind w:left="320" w:right="841"/>
      </w:pPr>
      <w:r>
        <w:rPr>
          <w:color w:val="231F20"/>
          <w:w w:val="105"/>
        </w:rPr>
        <w:t>identified</w:t>
      </w:r>
      <w:r>
        <w:rPr>
          <w:color w:val="231F20"/>
          <w:spacing w:val="-28"/>
          <w:w w:val="105"/>
        </w:rPr>
        <w:t> </w:t>
      </w:r>
      <w:r>
        <w:rPr>
          <w:color w:val="231F20"/>
          <w:w w:val="105"/>
        </w:rPr>
        <w:t>protocols</w:t>
      </w:r>
      <w:r>
        <w:rPr>
          <w:color w:val="231F20"/>
          <w:spacing w:val="-28"/>
          <w:w w:val="105"/>
        </w:rPr>
        <w:t> </w:t>
      </w:r>
      <w:r>
        <w:rPr>
          <w:color w:val="231F20"/>
          <w:w w:val="105"/>
        </w:rPr>
        <w:t>for</w:t>
      </w:r>
      <w:r>
        <w:rPr>
          <w:color w:val="231F20"/>
          <w:spacing w:val="-28"/>
          <w:w w:val="105"/>
        </w:rPr>
        <w:t> </w:t>
      </w:r>
      <w:r>
        <w:rPr>
          <w:color w:val="231F20"/>
          <w:w w:val="105"/>
        </w:rPr>
        <w:t>outbreak</w:t>
      </w:r>
      <w:r>
        <w:rPr>
          <w:color w:val="231F20"/>
          <w:spacing w:val="-28"/>
          <w:w w:val="105"/>
        </w:rPr>
        <w:t> </w:t>
      </w:r>
      <w:r>
        <w:rPr>
          <w:color w:val="231F20"/>
          <w:w w:val="105"/>
        </w:rPr>
        <w:t>investigation </w:t>
      </w:r>
      <w:r>
        <w:rPr>
          <w:rFonts w:ascii="Times New Roman"/>
          <w:color w:val="231F20"/>
          <w:w w:val="105"/>
        </w:rPr>
        <w:t>and access to resources that enable them to </w:t>
      </w:r>
      <w:r>
        <w:rPr>
          <w:color w:val="231F20"/>
          <w:w w:val="105"/>
        </w:rPr>
        <w:t>answer questions and make decisions during an</w:t>
      </w:r>
      <w:r>
        <w:rPr>
          <w:color w:val="231F20"/>
          <w:spacing w:val="-5"/>
          <w:w w:val="105"/>
        </w:rPr>
        <w:t> </w:t>
      </w:r>
      <w:r>
        <w:rPr>
          <w:color w:val="231F20"/>
          <w:w w:val="105"/>
        </w:rPr>
        <w:t>outbreak,</w:t>
      </w:r>
      <w:r>
        <w:rPr>
          <w:color w:val="231F20"/>
          <w:spacing w:val="-5"/>
          <w:w w:val="105"/>
        </w:rPr>
        <w:t> </w:t>
      </w:r>
      <w:r>
        <w:rPr>
          <w:color w:val="231F20"/>
          <w:w w:val="105"/>
        </w:rPr>
        <w:t>such</w:t>
      </w:r>
      <w:r>
        <w:rPr>
          <w:color w:val="231F20"/>
          <w:spacing w:val="-5"/>
          <w:w w:val="105"/>
        </w:rPr>
        <w:t> </w:t>
      </w:r>
      <w:r>
        <w:rPr>
          <w:color w:val="231F20"/>
          <w:w w:val="105"/>
        </w:rPr>
        <w:t>as</w:t>
      </w:r>
      <w:r>
        <w:rPr>
          <w:color w:val="231F20"/>
          <w:spacing w:val="-5"/>
          <w:w w:val="105"/>
        </w:rPr>
        <w:t> </w:t>
      </w:r>
      <w:r>
        <w:rPr>
          <w:color w:val="231F20"/>
          <w:w w:val="105"/>
        </w:rPr>
        <w:t>a</w:t>
      </w:r>
      <w:r>
        <w:rPr>
          <w:color w:val="231F20"/>
          <w:spacing w:val="-5"/>
          <w:w w:val="105"/>
        </w:rPr>
        <w:t> </w:t>
      </w:r>
      <w:r>
        <w:rPr>
          <w:color w:val="231F20"/>
          <w:w w:val="105"/>
        </w:rPr>
        <w:t>reference</w:t>
      </w:r>
      <w:r>
        <w:rPr>
          <w:color w:val="231F20"/>
          <w:spacing w:val="-5"/>
          <w:w w:val="105"/>
        </w:rPr>
        <w:t> </w:t>
      </w:r>
      <w:r>
        <w:rPr>
          <w:color w:val="231F20"/>
          <w:w w:val="105"/>
        </w:rPr>
        <w:t>library</w:t>
      </w:r>
      <w:r>
        <w:rPr>
          <w:color w:val="231F20"/>
          <w:spacing w:val="-5"/>
          <w:w w:val="105"/>
        </w:rPr>
        <w:t> </w:t>
      </w:r>
      <w:r>
        <w:rPr>
          <w:color w:val="231F20"/>
          <w:w w:val="105"/>
        </w:rPr>
        <w:t>or</w:t>
      </w:r>
      <w:r>
        <w:rPr>
          <w:color w:val="231F20"/>
          <w:spacing w:val="-5"/>
          <w:w w:val="105"/>
        </w:rPr>
        <w:t> </w:t>
      </w:r>
      <w:r>
        <w:rPr>
          <w:color w:val="231F20"/>
          <w:w w:val="105"/>
        </w:rPr>
        <w:t>list of</w:t>
      </w:r>
      <w:r>
        <w:rPr>
          <w:color w:val="231F20"/>
          <w:spacing w:val="4"/>
          <w:w w:val="105"/>
        </w:rPr>
        <w:t> </w:t>
      </w:r>
      <w:r>
        <w:rPr>
          <w:color w:val="231F20"/>
          <w:w w:val="105"/>
        </w:rPr>
        <w:t>resource</w:t>
      </w:r>
      <w:r>
        <w:rPr>
          <w:color w:val="231F20"/>
          <w:spacing w:val="-16"/>
          <w:w w:val="105"/>
        </w:rPr>
        <w:t> </w:t>
      </w:r>
      <w:r>
        <w:rPr>
          <w:color w:val="231F20"/>
          <w:w w:val="105"/>
        </w:rPr>
        <w:t>persons</w:t>
      </w:r>
      <w:r>
        <w:rPr>
          <w:color w:val="231F20"/>
          <w:spacing w:val="-16"/>
          <w:w w:val="105"/>
        </w:rPr>
        <w:t> </w:t>
      </w:r>
      <w:r>
        <w:rPr>
          <w:color w:val="231F20"/>
          <w:w w:val="105"/>
        </w:rPr>
        <w:t>with</w:t>
      </w:r>
      <w:r>
        <w:rPr>
          <w:color w:val="231F20"/>
          <w:spacing w:val="-16"/>
          <w:w w:val="105"/>
        </w:rPr>
        <w:t> </w:t>
      </w:r>
      <w:r>
        <w:rPr>
          <w:color w:val="231F20"/>
          <w:w w:val="105"/>
        </w:rPr>
        <w:t>expertise</w:t>
      </w:r>
      <w:r>
        <w:rPr>
          <w:color w:val="231F20"/>
          <w:spacing w:val="-16"/>
          <w:w w:val="105"/>
        </w:rPr>
        <w:t> </w:t>
      </w:r>
      <w:r>
        <w:rPr>
          <w:color w:val="231F20"/>
          <w:w w:val="105"/>
        </w:rPr>
        <w:t>in</w:t>
      </w:r>
      <w:r>
        <w:rPr>
          <w:color w:val="231F20"/>
          <w:spacing w:val="-16"/>
          <w:w w:val="105"/>
        </w:rPr>
        <w:t> </w:t>
      </w:r>
      <w:r>
        <w:rPr>
          <w:color w:val="231F20"/>
          <w:w w:val="105"/>
        </w:rPr>
        <w:t>specific disease agents and investigation methods. A list of people inside and outside the agency who should be contacted in the event of an </w:t>
      </w:r>
      <w:r>
        <w:rPr>
          <w:rFonts w:ascii="Times New Roman"/>
          <w:color w:val="231F20"/>
          <w:w w:val="105"/>
        </w:rPr>
        <w:t>outbreak should be prepared and updated </w:t>
      </w:r>
      <w:r>
        <w:rPr>
          <w:color w:val="231F20"/>
          <w:spacing w:val="-4"/>
          <w:w w:val="105"/>
        </w:rPr>
        <w:t>regularly.</w:t>
      </w:r>
    </w:p>
    <w:p>
      <w:pPr>
        <w:spacing w:before="179"/>
        <w:ind w:left="320" w:right="0" w:firstLine="0"/>
        <w:jc w:val="left"/>
        <w:rPr>
          <w:i/>
          <w:sz w:val="20"/>
        </w:rPr>
      </w:pPr>
      <w:r>
        <w:rPr>
          <w:i/>
          <w:color w:val="E36F1E"/>
          <w:w w:val="105"/>
          <w:sz w:val="20"/>
        </w:rPr>
        <w:t>Training for the team (3.2.3.4)</w:t>
      </w:r>
    </w:p>
    <w:p>
      <w:pPr>
        <w:pStyle w:val="BodyText"/>
        <w:spacing w:line="268" w:lineRule="auto" w:before="10"/>
        <w:ind w:left="320" w:right="753"/>
      </w:pPr>
      <w:r>
        <w:rPr>
          <w:rFonts w:ascii="Times New Roman" w:hAnsi="Times New Roman"/>
          <w:color w:val="231F20"/>
          <w:spacing w:val="-6"/>
          <w:w w:val="105"/>
        </w:rPr>
        <w:t>Team </w:t>
      </w:r>
      <w:r>
        <w:rPr>
          <w:rFonts w:ascii="Times New Roman" w:hAnsi="Times New Roman"/>
          <w:color w:val="231F20"/>
          <w:w w:val="105"/>
        </w:rPr>
        <w:t>members should be trained in the </w:t>
      </w:r>
      <w:r>
        <w:rPr>
          <w:color w:val="231F20"/>
          <w:w w:val="105"/>
        </w:rPr>
        <w:t>agency’s</w:t>
      </w:r>
      <w:r>
        <w:rPr>
          <w:color w:val="231F20"/>
          <w:spacing w:val="-18"/>
          <w:w w:val="105"/>
        </w:rPr>
        <w:t> </w:t>
      </w:r>
      <w:r>
        <w:rPr>
          <w:color w:val="231F20"/>
          <w:w w:val="105"/>
        </w:rPr>
        <w:t>outbreak</w:t>
      </w:r>
      <w:r>
        <w:rPr>
          <w:color w:val="231F20"/>
          <w:spacing w:val="-18"/>
          <w:w w:val="105"/>
        </w:rPr>
        <w:t> </w:t>
      </w:r>
      <w:r>
        <w:rPr>
          <w:color w:val="231F20"/>
          <w:w w:val="105"/>
        </w:rPr>
        <w:t>response</w:t>
      </w:r>
      <w:r>
        <w:rPr>
          <w:color w:val="231F20"/>
          <w:spacing w:val="-18"/>
          <w:w w:val="105"/>
        </w:rPr>
        <w:t> </w:t>
      </w:r>
      <w:r>
        <w:rPr>
          <w:color w:val="231F20"/>
          <w:w w:val="105"/>
        </w:rPr>
        <w:t>protocols</w:t>
      </w:r>
      <w:r>
        <w:rPr>
          <w:color w:val="231F20"/>
          <w:spacing w:val="-18"/>
          <w:w w:val="105"/>
        </w:rPr>
        <w:t> </w:t>
      </w:r>
      <w:r>
        <w:rPr>
          <w:color w:val="231F20"/>
          <w:w w:val="105"/>
        </w:rPr>
        <w:t>and</w:t>
      </w:r>
      <w:r>
        <w:rPr>
          <w:color w:val="231F20"/>
          <w:spacing w:val="-18"/>
          <w:w w:val="105"/>
        </w:rPr>
        <w:t> </w:t>
      </w:r>
      <w:r>
        <w:rPr>
          <w:color w:val="231F20"/>
          <w:w w:val="105"/>
        </w:rPr>
        <w:t>their role on the team. Training can be provided through established classroom and self-study courses</w:t>
      </w:r>
      <w:r>
        <w:rPr>
          <w:color w:val="231F20"/>
          <w:spacing w:val="-18"/>
          <w:w w:val="105"/>
        </w:rPr>
        <w:t> </w:t>
      </w:r>
      <w:r>
        <w:rPr>
          <w:color w:val="231F20"/>
          <w:w w:val="105"/>
        </w:rPr>
        <w:t>but</w:t>
      </w:r>
      <w:r>
        <w:rPr>
          <w:color w:val="231F20"/>
          <w:spacing w:val="-18"/>
          <w:w w:val="105"/>
        </w:rPr>
        <w:t> </w:t>
      </w:r>
      <w:r>
        <w:rPr>
          <w:color w:val="231F20"/>
          <w:w w:val="105"/>
        </w:rPr>
        <w:t>is</w:t>
      </w:r>
      <w:r>
        <w:rPr>
          <w:color w:val="231F20"/>
          <w:spacing w:val="-18"/>
          <w:w w:val="105"/>
        </w:rPr>
        <w:t> </w:t>
      </w:r>
      <w:r>
        <w:rPr>
          <w:color w:val="231F20"/>
          <w:w w:val="105"/>
        </w:rPr>
        <w:t>likely</w:t>
      </w:r>
      <w:r>
        <w:rPr>
          <w:color w:val="231F20"/>
          <w:spacing w:val="-18"/>
          <w:w w:val="105"/>
        </w:rPr>
        <w:t> </w:t>
      </w:r>
      <w:r>
        <w:rPr>
          <w:color w:val="231F20"/>
          <w:w w:val="105"/>
        </w:rPr>
        <w:t>to</w:t>
      </w:r>
      <w:r>
        <w:rPr>
          <w:color w:val="231F20"/>
          <w:spacing w:val="-18"/>
          <w:w w:val="105"/>
        </w:rPr>
        <w:t> </w:t>
      </w:r>
      <w:r>
        <w:rPr>
          <w:color w:val="231F20"/>
          <w:w w:val="105"/>
        </w:rPr>
        <w:t>be</w:t>
      </w:r>
      <w:r>
        <w:rPr>
          <w:color w:val="231F20"/>
          <w:spacing w:val="-18"/>
          <w:w w:val="105"/>
        </w:rPr>
        <w:t> </w:t>
      </w:r>
      <w:r>
        <w:rPr>
          <w:color w:val="231F20"/>
          <w:w w:val="105"/>
        </w:rPr>
        <w:t>more</w:t>
      </w:r>
      <w:r>
        <w:rPr>
          <w:color w:val="231F20"/>
          <w:spacing w:val="-18"/>
          <w:w w:val="105"/>
        </w:rPr>
        <w:t> </w:t>
      </w:r>
      <w:r>
        <w:rPr>
          <w:color w:val="231F20"/>
          <w:w w:val="105"/>
        </w:rPr>
        <w:t>effective</w:t>
      </w:r>
    </w:p>
    <w:p>
      <w:pPr>
        <w:pStyle w:val="BodyText"/>
        <w:spacing w:line="259" w:lineRule="auto"/>
        <w:ind w:left="320" w:right="948"/>
        <w:rPr>
          <w:rFonts w:ascii="Times New Roman"/>
        </w:rPr>
      </w:pPr>
      <w:r>
        <w:rPr>
          <w:color w:val="231F20"/>
          <w:w w:val="105"/>
        </w:rPr>
        <w:t>when interesting and provided through team and interagency exercises, on-the-job </w:t>
      </w:r>
      <w:r>
        <w:rPr>
          <w:rFonts w:ascii="Times New Roman"/>
          <w:color w:val="231F20"/>
        </w:rPr>
        <w:t>training during a real-life investigation, and</w:t>
      </w:r>
    </w:p>
    <w:p>
      <w:pPr>
        <w:pStyle w:val="BodyText"/>
        <w:spacing w:before="18"/>
        <w:ind w:left="320"/>
      </w:pPr>
      <w:r>
        <w:rPr>
          <w:color w:val="231F20"/>
          <w:w w:val="105"/>
        </w:rPr>
        <w:t>debriefings after each outbreak investigation.</w:t>
      </w:r>
    </w:p>
    <w:p>
      <w:pPr>
        <w:spacing w:after="0"/>
        <w:sectPr>
          <w:type w:val="continuous"/>
          <w:pgSz w:w="10080" w:h="14400"/>
          <w:pgMar w:top="0" w:bottom="360" w:left="0" w:right="0"/>
          <w:cols w:num="2" w:equalWidth="0">
            <w:col w:w="5220" w:space="40"/>
            <w:col w:w="4820"/>
          </w:cols>
        </w:sectPr>
      </w:pPr>
    </w:p>
    <w:p>
      <w:pPr>
        <w:pStyle w:val="BodyText"/>
        <w:spacing w:before="8"/>
        <w:rPr>
          <w:sz w:val="26"/>
        </w:rPr>
      </w:pPr>
    </w:p>
    <w:p>
      <w:pPr>
        <w:pStyle w:val="Heading1"/>
        <w:ind w:left="720"/>
      </w:pPr>
      <w:r>
        <w:rPr/>
        <w:pict>
          <v:line style="position:absolute;mso-position-horizontal-relative:page;mso-position-vertical-relative:paragraph;z-index:2104;mso-wrap-distance-left:0;mso-wrap-distance-right:0" from="36pt,23.991844pt" to="432pt,23.991844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2128" filled="true" fillcolor="#0079c1" stroked="false">
            <v:fill type="solid"/>
            <w10:wrap type="none"/>
          </v:rect>
        </w:pict>
      </w:r>
      <w:r>
        <w:rPr/>
        <w:pict>
          <v:line style="position:absolute;mso-position-horizontal-relative:page;mso-position-vertical-relative:paragraph;z-index:2152"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217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color w:val="00A94F"/>
        </w:rPr>
        <w:t>Overview of Chapter 3. Planning and  Preparation</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4" w:lineRule="auto" w:before="108"/>
        <w:ind w:left="720" w:right="287"/>
      </w:pPr>
      <w:r>
        <w:rPr>
          <w:color w:val="231F20"/>
          <w:w w:val="105"/>
        </w:rPr>
        <w:t>Collaboration with representatives of the food industry during training exercises can </w:t>
      </w:r>
      <w:r>
        <w:rPr>
          <w:rFonts w:ascii="Times New Roman"/>
          <w:color w:val="231F20"/>
          <w:w w:val="105"/>
        </w:rPr>
        <w:t>streamline actual outbreak investigations through improved understanding and </w:t>
      </w:r>
      <w:r>
        <w:rPr>
          <w:color w:val="231F20"/>
          <w:w w:val="105"/>
        </w:rPr>
        <w:t>communications with this partner.</w:t>
      </w:r>
    </w:p>
    <w:p>
      <w:pPr>
        <w:pStyle w:val="BodyText"/>
        <w:spacing w:before="167"/>
        <w:ind w:left="720"/>
        <w:rPr>
          <w:rFonts w:ascii="Arial"/>
        </w:rPr>
      </w:pPr>
      <w:r>
        <w:rPr>
          <w:rFonts w:ascii="Arial"/>
          <w:color w:val="1C3E94"/>
        </w:rPr>
        <w:t>Resources (Section 3.3)</w:t>
      </w:r>
    </w:p>
    <w:p>
      <w:pPr>
        <w:pStyle w:val="BodyText"/>
        <w:spacing w:before="5"/>
        <w:rPr>
          <w:rFonts w:ascii="Arial"/>
          <w:sz w:val="17"/>
        </w:rPr>
      </w:pPr>
    </w:p>
    <w:p>
      <w:pPr>
        <w:pStyle w:val="BodyText"/>
        <w:spacing w:line="264" w:lineRule="auto"/>
        <w:ind w:left="720" w:right="-13"/>
        <w:rPr>
          <w:rFonts w:ascii="Times New Roman"/>
        </w:rPr>
      </w:pPr>
      <w:r>
        <w:rPr>
          <w:rFonts w:ascii="Times New Roman"/>
          <w:color w:val="231F20"/>
          <w:spacing w:val="-11"/>
          <w:w w:val="105"/>
        </w:rPr>
        <w:t>To </w:t>
      </w:r>
      <w:r>
        <w:rPr>
          <w:rFonts w:ascii="Times New Roman"/>
          <w:color w:val="231F20"/>
          <w:w w:val="105"/>
        </w:rPr>
        <w:t>ensure a rapid response to an outbreak, health</w:t>
      </w:r>
      <w:r>
        <w:rPr>
          <w:rFonts w:ascii="Times New Roman"/>
          <w:color w:val="231F20"/>
          <w:spacing w:val="-34"/>
          <w:w w:val="105"/>
        </w:rPr>
        <w:t> </w:t>
      </w:r>
      <w:r>
        <w:rPr>
          <w:rFonts w:ascii="Times New Roman"/>
          <w:color w:val="231F20"/>
          <w:w w:val="105"/>
        </w:rPr>
        <w:t>departments</w:t>
      </w:r>
      <w:r>
        <w:rPr>
          <w:rFonts w:ascii="Times New Roman"/>
          <w:color w:val="231F20"/>
          <w:spacing w:val="-34"/>
          <w:w w:val="105"/>
        </w:rPr>
        <w:t> </w:t>
      </w:r>
      <w:r>
        <w:rPr>
          <w:rFonts w:ascii="Times New Roman"/>
          <w:color w:val="231F20"/>
          <w:w w:val="105"/>
        </w:rPr>
        <w:t>should</w:t>
      </w:r>
      <w:r>
        <w:rPr>
          <w:rFonts w:ascii="Times New Roman"/>
          <w:color w:val="231F20"/>
          <w:spacing w:val="-34"/>
          <w:w w:val="105"/>
        </w:rPr>
        <w:t> </w:t>
      </w:r>
      <w:r>
        <w:rPr>
          <w:rFonts w:ascii="Times New Roman"/>
          <w:color w:val="231F20"/>
          <w:w w:val="105"/>
        </w:rPr>
        <w:t>assemble</w:t>
      </w:r>
      <w:r>
        <w:rPr>
          <w:rFonts w:ascii="Times New Roman"/>
          <w:color w:val="231F20"/>
          <w:spacing w:val="-34"/>
          <w:w w:val="105"/>
        </w:rPr>
        <w:t> </w:t>
      </w:r>
      <w:r>
        <w:rPr>
          <w:rFonts w:ascii="Times New Roman"/>
          <w:color w:val="231F20"/>
          <w:w w:val="105"/>
        </w:rPr>
        <w:t>(and</w:t>
      </w:r>
      <w:r>
        <w:rPr>
          <w:rFonts w:ascii="Times New Roman"/>
          <w:color w:val="231F20"/>
          <w:spacing w:val="-35"/>
          <w:w w:val="105"/>
        </w:rPr>
        <w:t> </w:t>
      </w:r>
      <w:r>
        <w:rPr>
          <w:rFonts w:ascii="Times New Roman"/>
          <w:color w:val="231F20"/>
          <w:w w:val="105"/>
        </w:rPr>
        <w:t>learn </w:t>
      </w:r>
      <w:r>
        <w:rPr>
          <w:color w:val="231F20"/>
          <w:w w:val="105"/>
        </w:rPr>
        <w:t>to</w:t>
      </w:r>
      <w:r>
        <w:rPr>
          <w:color w:val="231F20"/>
          <w:spacing w:val="-17"/>
          <w:w w:val="105"/>
        </w:rPr>
        <w:t> </w:t>
      </w:r>
      <w:r>
        <w:rPr>
          <w:color w:val="231F20"/>
          <w:w w:val="105"/>
        </w:rPr>
        <w:t>use)</w:t>
      </w:r>
      <w:r>
        <w:rPr>
          <w:color w:val="231F20"/>
          <w:spacing w:val="-17"/>
          <w:w w:val="105"/>
        </w:rPr>
        <w:t> </w:t>
      </w:r>
      <w:r>
        <w:rPr>
          <w:color w:val="231F20"/>
          <w:w w:val="105"/>
        </w:rPr>
        <w:t>resources</w:t>
      </w:r>
      <w:r>
        <w:rPr>
          <w:color w:val="231F20"/>
          <w:spacing w:val="-17"/>
          <w:w w:val="105"/>
        </w:rPr>
        <w:t> </w:t>
      </w:r>
      <w:r>
        <w:rPr>
          <w:color w:val="231F20"/>
          <w:w w:val="105"/>
        </w:rPr>
        <w:t>necessary</w:t>
      </w:r>
      <w:r>
        <w:rPr>
          <w:color w:val="231F20"/>
          <w:spacing w:val="-17"/>
          <w:w w:val="105"/>
        </w:rPr>
        <w:t> </w:t>
      </w:r>
      <w:r>
        <w:rPr>
          <w:color w:val="231F20"/>
          <w:w w:val="105"/>
        </w:rPr>
        <w:t>for</w:t>
      </w:r>
      <w:r>
        <w:rPr>
          <w:color w:val="231F20"/>
          <w:spacing w:val="-17"/>
          <w:w w:val="105"/>
        </w:rPr>
        <w:t> </w:t>
      </w:r>
      <w:r>
        <w:rPr>
          <w:color w:val="231F20"/>
          <w:w w:val="105"/>
        </w:rPr>
        <w:t>an</w:t>
      </w:r>
      <w:r>
        <w:rPr>
          <w:color w:val="231F20"/>
          <w:spacing w:val="-17"/>
          <w:w w:val="105"/>
        </w:rPr>
        <w:t> </w:t>
      </w:r>
      <w:r>
        <w:rPr>
          <w:color w:val="231F20"/>
          <w:w w:val="105"/>
        </w:rPr>
        <w:t>investigation before an outbreak occurs. Recommended </w:t>
      </w:r>
      <w:r>
        <w:rPr>
          <w:rFonts w:ascii="Times New Roman"/>
          <w:color w:val="231F20"/>
        </w:rPr>
        <w:t>resources</w:t>
      </w:r>
      <w:r>
        <w:rPr>
          <w:rFonts w:ascii="Times New Roman"/>
          <w:color w:val="231F20"/>
          <w:spacing w:val="-29"/>
        </w:rPr>
        <w:t> </w:t>
      </w:r>
      <w:r>
        <w:rPr>
          <w:rFonts w:ascii="Times New Roman"/>
          <w:color w:val="231F20"/>
        </w:rPr>
        <w:t>include:</w:t>
      </w:r>
    </w:p>
    <w:p>
      <w:pPr>
        <w:pStyle w:val="ListParagraph"/>
        <w:numPr>
          <w:ilvl w:val="0"/>
          <w:numId w:val="3"/>
        </w:numPr>
        <w:tabs>
          <w:tab w:pos="891" w:val="left" w:leader="none"/>
        </w:tabs>
        <w:spacing w:line="266" w:lineRule="auto" w:before="192" w:after="0"/>
        <w:ind w:left="890" w:right="419" w:hanging="170"/>
        <w:jc w:val="left"/>
        <w:rPr>
          <w:sz w:val="20"/>
        </w:rPr>
      </w:pPr>
      <w:r>
        <w:rPr>
          <w:color w:val="231F20"/>
          <w:w w:val="105"/>
          <w:sz w:val="20"/>
        </w:rPr>
        <w:t>Support</w:t>
      </w:r>
      <w:r>
        <w:rPr>
          <w:color w:val="231F20"/>
          <w:spacing w:val="-12"/>
          <w:w w:val="105"/>
          <w:sz w:val="20"/>
        </w:rPr>
        <w:t> </w:t>
      </w:r>
      <w:r>
        <w:rPr>
          <w:color w:val="231F20"/>
          <w:w w:val="105"/>
          <w:sz w:val="20"/>
        </w:rPr>
        <w:t>personnel</w:t>
      </w:r>
      <w:r>
        <w:rPr>
          <w:color w:val="231F20"/>
          <w:spacing w:val="-12"/>
          <w:w w:val="105"/>
          <w:sz w:val="20"/>
        </w:rPr>
        <w:t> </w:t>
      </w:r>
      <w:r>
        <w:rPr>
          <w:color w:val="231F20"/>
          <w:w w:val="105"/>
          <w:sz w:val="20"/>
        </w:rPr>
        <w:t>to</w:t>
      </w:r>
      <w:r>
        <w:rPr>
          <w:color w:val="231F20"/>
          <w:spacing w:val="-12"/>
          <w:w w:val="105"/>
          <w:sz w:val="20"/>
        </w:rPr>
        <w:t> </w:t>
      </w:r>
      <w:r>
        <w:rPr>
          <w:color w:val="231F20"/>
          <w:w w:val="105"/>
          <w:sz w:val="20"/>
        </w:rPr>
        <w:t>make</w:t>
      </w:r>
      <w:r>
        <w:rPr>
          <w:color w:val="231F20"/>
          <w:spacing w:val="-12"/>
          <w:w w:val="105"/>
          <w:sz w:val="20"/>
        </w:rPr>
        <w:t> </w:t>
      </w:r>
      <w:r>
        <w:rPr>
          <w:color w:val="231F20"/>
          <w:w w:val="105"/>
          <w:sz w:val="20"/>
        </w:rPr>
        <w:t>phone</w:t>
      </w:r>
      <w:r>
        <w:rPr>
          <w:color w:val="231F20"/>
          <w:spacing w:val="-12"/>
          <w:w w:val="105"/>
          <w:sz w:val="20"/>
        </w:rPr>
        <w:t> </w:t>
      </w:r>
      <w:r>
        <w:rPr>
          <w:color w:val="231F20"/>
          <w:w w:val="105"/>
          <w:sz w:val="20"/>
        </w:rPr>
        <w:t>calls, answer calls, and enter data</w:t>
      </w:r>
      <w:r>
        <w:rPr>
          <w:color w:val="231F20"/>
          <w:spacing w:val="-10"/>
          <w:w w:val="105"/>
          <w:sz w:val="20"/>
        </w:rPr>
        <w:t> </w:t>
      </w:r>
      <w:r>
        <w:rPr>
          <w:color w:val="231F20"/>
          <w:w w:val="105"/>
          <w:sz w:val="20"/>
        </w:rPr>
        <w:t>(3.3.2.1);</w:t>
      </w:r>
    </w:p>
    <w:p>
      <w:pPr>
        <w:pStyle w:val="ListParagraph"/>
        <w:numPr>
          <w:ilvl w:val="0"/>
          <w:numId w:val="3"/>
        </w:numPr>
        <w:tabs>
          <w:tab w:pos="891" w:val="left" w:leader="none"/>
        </w:tabs>
        <w:spacing w:line="240" w:lineRule="auto" w:before="90" w:after="0"/>
        <w:ind w:left="890" w:right="0" w:hanging="170"/>
        <w:jc w:val="left"/>
        <w:rPr>
          <w:sz w:val="20"/>
        </w:rPr>
      </w:pPr>
      <w:r>
        <w:rPr>
          <w:color w:val="231F20"/>
          <w:w w:val="105"/>
          <w:sz w:val="20"/>
        </w:rPr>
        <w:t>Legal counsel</w:t>
      </w:r>
      <w:r>
        <w:rPr>
          <w:color w:val="231F20"/>
          <w:spacing w:val="-18"/>
          <w:w w:val="105"/>
          <w:sz w:val="20"/>
        </w:rPr>
        <w:t> </w:t>
      </w:r>
      <w:r>
        <w:rPr>
          <w:color w:val="231F20"/>
          <w:w w:val="105"/>
          <w:sz w:val="20"/>
        </w:rPr>
        <w:t>(3.3.2.2);</w:t>
      </w:r>
    </w:p>
    <w:p>
      <w:pPr>
        <w:pStyle w:val="BodyText"/>
        <w:spacing w:before="114"/>
        <w:ind w:left="720"/>
      </w:pPr>
      <w:r>
        <w:rPr>
          <w:color w:val="00A94F"/>
          <w:w w:val="105"/>
        </w:rPr>
        <w:t>•  </w:t>
      </w:r>
      <w:r>
        <w:rPr>
          <w:color w:val="231F20"/>
          <w:w w:val="105"/>
        </w:rPr>
        <w:t>Equipment (3.3.2.3);</w:t>
      </w:r>
    </w:p>
    <w:p>
      <w:pPr>
        <w:pStyle w:val="BodyText"/>
        <w:spacing w:before="114"/>
        <w:ind w:left="720"/>
      </w:pPr>
      <w:r>
        <w:rPr>
          <w:color w:val="00A94F"/>
          <w:w w:val="105"/>
        </w:rPr>
        <w:t>•  </w:t>
      </w:r>
      <w:r>
        <w:rPr>
          <w:color w:val="231F20"/>
          <w:w w:val="105"/>
        </w:rPr>
        <w:t>Supplies (3.3.2.4);</w:t>
      </w:r>
    </w:p>
    <w:p>
      <w:pPr>
        <w:pStyle w:val="ListParagraph"/>
        <w:numPr>
          <w:ilvl w:val="0"/>
          <w:numId w:val="3"/>
        </w:numPr>
        <w:tabs>
          <w:tab w:pos="891" w:val="left" w:leader="none"/>
        </w:tabs>
        <w:spacing w:line="252" w:lineRule="auto" w:before="114" w:after="0"/>
        <w:ind w:left="890" w:right="89" w:hanging="170"/>
        <w:jc w:val="left"/>
        <w:rPr>
          <w:rFonts w:ascii="Times New Roman"/>
          <w:sz w:val="20"/>
        </w:rPr>
      </w:pPr>
      <w:r>
        <w:rPr>
          <w:color w:val="231F20"/>
          <w:w w:val="105"/>
          <w:sz w:val="20"/>
        </w:rPr>
        <w:t>Outbreak</w:t>
      </w:r>
      <w:r>
        <w:rPr>
          <w:color w:val="231F20"/>
          <w:spacing w:val="-22"/>
          <w:w w:val="105"/>
          <w:sz w:val="20"/>
        </w:rPr>
        <w:t> </w:t>
      </w:r>
      <w:r>
        <w:rPr>
          <w:color w:val="231F20"/>
          <w:w w:val="105"/>
          <w:sz w:val="20"/>
        </w:rPr>
        <w:t>investigation</w:t>
      </w:r>
      <w:r>
        <w:rPr>
          <w:color w:val="231F20"/>
          <w:spacing w:val="-22"/>
          <w:w w:val="105"/>
          <w:sz w:val="20"/>
        </w:rPr>
        <w:t> </w:t>
      </w:r>
      <w:r>
        <w:rPr>
          <w:color w:val="231F20"/>
          <w:w w:val="105"/>
          <w:sz w:val="20"/>
        </w:rPr>
        <w:t>documents</w:t>
      </w:r>
      <w:r>
        <w:rPr>
          <w:color w:val="231F20"/>
          <w:spacing w:val="-22"/>
          <w:w w:val="105"/>
          <w:sz w:val="20"/>
        </w:rPr>
        <w:t> </w:t>
      </w:r>
      <w:r>
        <w:rPr>
          <w:color w:val="231F20"/>
          <w:w w:val="105"/>
          <w:sz w:val="20"/>
        </w:rPr>
        <w:t>(3.3.2.5); </w:t>
      </w:r>
      <w:r>
        <w:rPr>
          <w:rFonts w:ascii="Times New Roman"/>
          <w:color w:val="231F20"/>
          <w:w w:val="105"/>
          <w:sz w:val="20"/>
        </w:rPr>
        <w:t>and</w:t>
      </w:r>
    </w:p>
    <w:p>
      <w:pPr>
        <w:pStyle w:val="ListParagraph"/>
        <w:numPr>
          <w:ilvl w:val="0"/>
          <w:numId w:val="3"/>
        </w:numPr>
        <w:tabs>
          <w:tab w:pos="891" w:val="left" w:leader="none"/>
        </w:tabs>
        <w:spacing w:line="240" w:lineRule="auto" w:before="112" w:after="0"/>
        <w:ind w:left="890" w:right="0" w:hanging="170"/>
        <w:jc w:val="left"/>
        <w:rPr>
          <w:sz w:val="20"/>
        </w:rPr>
      </w:pPr>
      <w:r>
        <w:rPr>
          <w:color w:val="231F20"/>
          <w:w w:val="105"/>
          <w:sz w:val="20"/>
        </w:rPr>
        <w:t>Reference materials</w:t>
      </w:r>
      <w:r>
        <w:rPr>
          <w:color w:val="231F20"/>
          <w:spacing w:val="-16"/>
          <w:w w:val="105"/>
          <w:sz w:val="20"/>
        </w:rPr>
        <w:t> </w:t>
      </w:r>
      <w:r>
        <w:rPr>
          <w:color w:val="231F20"/>
          <w:w w:val="105"/>
          <w:sz w:val="20"/>
        </w:rPr>
        <w:t>(3.3.2.6).</w:t>
      </w:r>
    </w:p>
    <w:p>
      <w:pPr>
        <w:pStyle w:val="BodyText"/>
        <w:spacing w:before="2"/>
        <w:rPr>
          <w:sz w:val="18"/>
        </w:rPr>
      </w:pPr>
    </w:p>
    <w:p>
      <w:pPr>
        <w:pStyle w:val="BodyText"/>
        <w:spacing w:line="261" w:lineRule="auto"/>
        <w:ind w:left="720" w:right="2"/>
      </w:pPr>
      <w:r>
        <w:rPr>
          <w:color w:val="231F20"/>
        </w:rPr>
        <w:t>Procedures for routinely reviewing and </w:t>
      </w:r>
      <w:r>
        <w:rPr>
          <w:rFonts w:ascii="Times New Roman" w:hAnsi="Times New Roman"/>
          <w:color w:val="231F20"/>
        </w:rPr>
        <w:t>replacing missing or outdated supplies, equipment, and reference materials should be </w:t>
      </w:r>
      <w:r>
        <w:rPr>
          <w:color w:val="231F20"/>
        </w:rPr>
        <w:t>part of  an agency’s outbreak response</w:t>
      </w:r>
      <w:r>
        <w:rPr>
          <w:color w:val="231F20"/>
          <w:spacing w:val="25"/>
        </w:rPr>
        <w:t> </w:t>
      </w:r>
      <w:r>
        <w:rPr>
          <w:color w:val="231F20"/>
        </w:rPr>
        <w:t>protocol.</w:t>
      </w:r>
    </w:p>
    <w:p>
      <w:pPr>
        <w:pStyle w:val="BodyText"/>
        <w:spacing w:line="261" w:lineRule="auto" w:before="169"/>
        <w:ind w:left="720"/>
        <w:rPr>
          <w:rFonts w:ascii="Arial"/>
        </w:rPr>
      </w:pPr>
      <w:r>
        <w:rPr>
          <w:rFonts w:ascii="Arial"/>
          <w:color w:val="1C3E94"/>
        </w:rPr>
        <w:t>Foodborne Illness Complaint Processing (Section 3.4)</w:t>
      </w:r>
    </w:p>
    <w:p>
      <w:pPr>
        <w:pStyle w:val="BodyText"/>
        <w:spacing w:line="266" w:lineRule="auto" w:before="180"/>
        <w:ind w:left="720" w:right="-12"/>
      </w:pPr>
      <w:r>
        <w:rPr>
          <w:rFonts w:ascii="Times New Roman"/>
          <w:color w:val="231F20"/>
          <w:w w:val="105"/>
        </w:rPr>
        <w:t>A</w:t>
      </w:r>
      <w:r>
        <w:rPr>
          <w:rFonts w:ascii="Times New Roman"/>
          <w:color w:val="231F20"/>
          <w:spacing w:val="-32"/>
          <w:w w:val="105"/>
        </w:rPr>
        <w:t> </w:t>
      </w:r>
      <w:r>
        <w:rPr>
          <w:rFonts w:ascii="Times New Roman"/>
          <w:color w:val="231F20"/>
          <w:w w:val="105"/>
        </w:rPr>
        <w:t>process,</w:t>
      </w:r>
      <w:r>
        <w:rPr>
          <w:rFonts w:ascii="Times New Roman"/>
          <w:color w:val="231F20"/>
          <w:spacing w:val="-32"/>
          <w:w w:val="105"/>
        </w:rPr>
        <w:t> </w:t>
      </w:r>
      <w:r>
        <w:rPr>
          <w:rFonts w:ascii="Times New Roman"/>
          <w:color w:val="231F20"/>
          <w:w w:val="105"/>
        </w:rPr>
        <w:t>including</w:t>
      </w:r>
      <w:r>
        <w:rPr>
          <w:rFonts w:ascii="Times New Roman"/>
          <w:color w:val="231F20"/>
          <w:spacing w:val="-32"/>
          <w:w w:val="105"/>
        </w:rPr>
        <w:t> </w:t>
      </w:r>
      <w:r>
        <w:rPr>
          <w:rFonts w:ascii="Times New Roman"/>
          <w:color w:val="231F20"/>
          <w:w w:val="105"/>
        </w:rPr>
        <w:t>a</w:t>
      </w:r>
      <w:r>
        <w:rPr>
          <w:rFonts w:ascii="Times New Roman"/>
          <w:color w:val="231F20"/>
          <w:spacing w:val="-32"/>
          <w:w w:val="105"/>
        </w:rPr>
        <w:t> </w:t>
      </w:r>
      <w:r>
        <w:rPr>
          <w:rFonts w:ascii="Times New Roman"/>
          <w:color w:val="231F20"/>
          <w:w w:val="105"/>
        </w:rPr>
        <w:t>standard</w:t>
      </w:r>
      <w:r>
        <w:rPr>
          <w:rFonts w:ascii="Times New Roman"/>
          <w:color w:val="231F20"/>
          <w:spacing w:val="-32"/>
          <w:w w:val="105"/>
        </w:rPr>
        <w:t> </w:t>
      </w:r>
      <w:r>
        <w:rPr>
          <w:rFonts w:ascii="Times New Roman"/>
          <w:color w:val="231F20"/>
          <w:w w:val="105"/>
        </w:rPr>
        <w:t>data</w:t>
      </w:r>
      <w:r>
        <w:rPr>
          <w:rFonts w:ascii="Times New Roman"/>
          <w:color w:val="231F20"/>
          <w:spacing w:val="-32"/>
          <w:w w:val="105"/>
        </w:rPr>
        <w:t> </w:t>
      </w:r>
      <w:r>
        <w:rPr>
          <w:rFonts w:ascii="Times New Roman"/>
          <w:color w:val="231F20"/>
          <w:w w:val="105"/>
        </w:rPr>
        <w:t>collection form, should be established to receive complaints of possible foodborne illnesses </w:t>
      </w:r>
      <w:r>
        <w:rPr>
          <w:color w:val="231F20"/>
          <w:w w:val="105"/>
        </w:rPr>
        <w:t>from</w:t>
      </w:r>
      <w:r>
        <w:rPr>
          <w:color w:val="231F20"/>
          <w:spacing w:val="-11"/>
          <w:w w:val="105"/>
        </w:rPr>
        <w:t> </w:t>
      </w:r>
      <w:r>
        <w:rPr>
          <w:color w:val="231F20"/>
          <w:w w:val="105"/>
        </w:rPr>
        <w:t>the</w:t>
      </w:r>
      <w:r>
        <w:rPr>
          <w:color w:val="231F20"/>
          <w:spacing w:val="-11"/>
          <w:w w:val="105"/>
        </w:rPr>
        <w:t> </w:t>
      </w:r>
      <w:r>
        <w:rPr>
          <w:color w:val="231F20"/>
          <w:w w:val="105"/>
        </w:rPr>
        <w:t>public.</w:t>
      </w:r>
      <w:r>
        <w:rPr>
          <w:color w:val="231F20"/>
          <w:spacing w:val="-11"/>
          <w:w w:val="105"/>
        </w:rPr>
        <w:t> </w:t>
      </w:r>
      <w:r>
        <w:rPr>
          <w:color w:val="231F20"/>
          <w:w w:val="105"/>
        </w:rPr>
        <w:t>If</w:t>
      </w:r>
      <w:r>
        <w:rPr>
          <w:color w:val="231F20"/>
          <w:spacing w:val="13"/>
          <w:w w:val="105"/>
        </w:rPr>
        <w:t> </w:t>
      </w:r>
      <w:r>
        <w:rPr>
          <w:color w:val="231F20"/>
          <w:w w:val="105"/>
        </w:rPr>
        <w:t>the</w:t>
      </w:r>
      <w:r>
        <w:rPr>
          <w:color w:val="231F20"/>
          <w:spacing w:val="-11"/>
          <w:w w:val="105"/>
        </w:rPr>
        <w:t> </w:t>
      </w:r>
      <w:r>
        <w:rPr>
          <w:color w:val="231F20"/>
          <w:w w:val="105"/>
        </w:rPr>
        <w:t>complaint</w:t>
      </w:r>
      <w:r>
        <w:rPr>
          <w:color w:val="231F20"/>
          <w:spacing w:val="-11"/>
          <w:w w:val="105"/>
        </w:rPr>
        <w:t> </w:t>
      </w:r>
      <w:r>
        <w:rPr>
          <w:color w:val="231F20"/>
          <w:w w:val="105"/>
        </w:rPr>
        <w:t>is</w:t>
      </w:r>
      <w:r>
        <w:rPr>
          <w:color w:val="231F20"/>
          <w:spacing w:val="-11"/>
          <w:w w:val="105"/>
        </w:rPr>
        <w:t> </w:t>
      </w:r>
      <w:r>
        <w:rPr>
          <w:color w:val="231F20"/>
          <w:w w:val="105"/>
        </w:rPr>
        <w:t>likely</w:t>
      </w:r>
      <w:r>
        <w:rPr>
          <w:color w:val="231F20"/>
          <w:spacing w:val="-11"/>
          <w:w w:val="105"/>
        </w:rPr>
        <w:t> </w:t>
      </w:r>
      <w:r>
        <w:rPr>
          <w:color w:val="231F20"/>
          <w:w w:val="105"/>
        </w:rPr>
        <w:t>to</w:t>
      </w:r>
      <w:r>
        <w:rPr>
          <w:color w:val="231F20"/>
          <w:spacing w:val="-11"/>
          <w:w w:val="105"/>
        </w:rPr>
        <w:t> </w:t>
      </w:r>
      <w:r>
        <w:rPr>
          <w:color w:val="231F20"/>
          <w:w w:val="105"/>
        </w:rPr>
        <w:t>be related to food, a detailed food history should be collected from the complainant. Use of an </w:t>
      </w:r>
      <w:r>
        <w:rPr>
          <w:rFonts w:ascii="Times New Roman"/>
          <w:color w:val="231F20"/>
          <w:w w:val="105"/>
        </w:rPr>
        <w:t>enteric</w:t>
      </w:r>
      <w:r>
        <w:rPr>
          <w:rFonts w:ascii="Times New Roman"/>
          <w:color w:val="231F20"/>
          <w:spacing w:val="-34"/>
          <w:w w:val="105"/>
        </w:rPr>
        <w:t> </w:t>
      </w:r>
      <w:r>
        <w:rPr>
          <w:rFonts w:ascii="Times New Roman"/>
          <w:color w:val="231F20"/>
          <w:w w:val="105"/>
        </w:rPr>
        <w:t>illness</w:t>
      </w:r>
      <w:r>
        <w:rPr>
          <w:rFonts w:ascii="Times New Roman"/>
          <w:color w:val="231F20"/>
          <w:spacing w:val="-34"/>
          <w:w w:val="105"/>
        </w:rPr>
        <w:t> </w:t>
      </w:r>
      <w:r>
        <w:rPr>
          <w:rFonts w:ascii="Times New Roman"/>
          <w:color w:val="231F20"/>
          <w:w w:val="105"/>
        </w:rPr>
        <w:t>log</w:t>
      </w:r>
      <w:r>
        <w:rPr>
          <w:rFonts w:ascii="Times New Roman"/>
          <w:color w:val="231F20"/>
          <w:spacing w:val="-34"/>
          <w:w w:val="105"/>
        </w:rPr>
        <w:t> </w:t>
      </w:r>
      <w:r>
        <w:rPr>
          <w:rFonts w:ascii="Times New Roman"/>
          <w:color w:val="231F20"/>
          <w:w w:val="105"/>
        </w:rPr>
        <w:t>or</w:t>
      </w:r>
      <w:r>
        <w:rPr>
          <w:rFonts w:ascii="Times New Roman"/>
          <w:color w:val="231F20"/>
          <w:spacing w:val="-33"/>
          <w:w w:val="105"/>
        </w:rPr>
        <w:t> </w:t>
      </w:r>
      <w:r>
        <w:rPr>
          <w:rFonts w:ascii="Times New Roman"/>
          <w:color w:val="231F20"/>
          <w:w w:val="105"/>
        </w:rPr>
        <w:t>database</w:t>
      </w:r>
      <w:r>
        <w:rPr>
          <w:rFonts w:ascii="Times New Roman"/>
          <w:color w:val="231F20"/>
          <w:spacing w:val="-34"/>
          <w:w w:val="105"/>
        </w:rPr>
        <w:t> </w:t>
      </w:r>
      <w:r>
        <w:rPr>
          <w:rFonts w:ascii="Times New Roman"/>
          <w:color w:val="231F20"/>
          <w:w w:val="105"/>
        </w:rPr>
        <w:t>to</w:t>
      </w:r>
      <w:r>
        <w:rPr>
          <w:rFonts w:ascii="Times New Roman"/>
          <w:color w:val="231F20"/>
          <w:spacing w:val="-34"/>
          <w:w w:val="105"/>
        </w:rPr>
        <w:t> </w:t>
      </w:r>
      <w:r>
        <w:rPr>
          <w:rFonts w:ascii="Times New Roman"/>
          <w:color w:val="231F20"/>
          <w:w w:val="105"/>
        </w:rPr>
        <w:t>track</w:t>
      </w:r>
      <w:r>
        <w:rPr>
          <w:rFonts w:ascii="Times New Roman"/>
          <w:color w:val="231F20"/>
          <w:spacing w:val="-34"/>
          <w:w w:val="105"/>
        </w:rPr>
        <w:t> </w:t>
      </w:r>
      <w:r>
        <w:rPr>
          <w:rFonts w:ascii="Times New Roman"/>
          <w:color w:val="231F20"/>
          <w:w w:val="105"/>
        </w:rPr>
        <w:t>all</w:t>
      </w:r>
      <w:r>
        <w:rPr>
          <w:rFonts w:ascii="Times New Roman"/>
          <w:color w:val="231F20"/>
          <w:spacing w:val="-34"/>
          <w:w w:val="105"/>
        </w:rPr>
        <w:t> </w:t>
      </w:r>
      <w:r>
        <w:rPr>
          <w:rFonts w:ascii="Times New Roman"/>
          <w:color w:val="231F20"/>
          <w:w w:val="105"/>
        </w:rPr>
        <w:t>illness complaints and designation of one person to </w:t>
      </w:r>
      <w:r>
        <w:rPr>
          <w:color w:val="231F20"/>
          <w:w w:val="105"/>
        </w:rPr>
        <w:t>process or review all complaints will increase the likelihood of identifying patterns and </w:t>
      </w:r>
      <w:r>
        <w:rPr>
          <w:color w:val="231F20"/>
        </w:rPr>
        <w:t>possible</w:t>
      </w:r>
      <w:r>
        <w:rPr>
          <w:color w:val="231F20"/>
          <w:spacing w:val="18"/>
        </w:rPr>
        <w:t> </w:t>
      </w:r>
      <w:r>
        <w:rPr>
          <w:color w:val="231F20"/>
        </w:rPr>
        <w:t>outbreaks.</w:t>
      </w:r>
    </w:p>
    <w:p>
      <w:pPr>
        <w:pStyle w:val="BodyText"/>
        <w:spacing w:before="164"/>
        <w:ind w:left="720"/>
        <w:rPr>
          <w:rFonts w:ascii="Arial"/>
        </w:rPr>
      </w:pPr>
      <w:r>
        <w:rPr>
          <w:rFonts w:ascii="Arial"/>
          <w:color w:val="1C3E94"/>
        </w:rPr>
        <w:t>Records Management (Section 3.5)</w:t>
      </w:r>
    </w:p>
    <w:p>
      <w:pPr>
        <w:pStyle w:val="BodyText"/>
        <w:spacing w:before="4"/>
        <w:rPr>
          <w:rFonts w:ascii="Arial"/>
          <w:sz w:val="17"/>
        </w:rPr>
      </w:pPr>
    </w:p>
    <w:p>
      <w:pPr>
        <w:pStyle w:val="BodyText"/>
        <w:spacing w:line="261" w:lineRule="auto"/>
        <w:ind w:left="720" w:right="102"/>
        <w:rPr>
          <w:rFonts w:ascii="Times New Roman"/>
        </w:rPr>
      </w:pPr>
      <w:r>
        <w:rPr>
          <w:rFonts w:ascii="Times New Roman"/>
          <w:color w:val="231F20"/>
        </w:rPr>
        <w:t>Before an outbreak, procedures for records management should be established, including</w:t>
      </w:r>
    </w:p>
    <w:p>
      <w:pPr>
        <w:pStyle w:val="BodyText"/>
        <w:spacing w:line="266" w:lineRule="auto" w:before="108"/>
        <w:ind w:left="339" w:right="1396"/>
      </w:pPr>
      <w:r>
        <w:rPr/>
        <w:br w:type="column"/>
      </w:r>
      <w:r>
        <w:rPr>
          <w:color w:val="231F20"/>
          <w:w w:val="105"/>
        </w:rPr>
        <w:t>use of standardized forms for collecting and organizing outbreak information, development of database templates, and identification</w:t>
      </w:r>
    </w:p>
    <w:p>
      <w:pPr>
        <w:pStyle w:val="BodyText"/>
        <w:spacing w:line="264" w:lineRule="auto"/>
        <w:ind w:left="339" w:right="1637"/>
      </w:pPr>
      <w:r>
        <w:rPr/>
        <w:pict>
          <v:shape style="position:absolute;margin-left:470.346802pt;margin-top:-49.603848pt;width:12.25pt;height:164.15pt;mso-position-horizontal-relative:page;mso-position-vertical-relative:paragraph;z-index:2200"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231F20"/>
        </w:rPr>
        <w:t>of tools to analyze outbreak data to speed analysis of investigation results. Staff should be trained in the use of these items. Policies for sharing information between members of </w:t>
      </w:r>
      <w:r>
        <w:rPr>
          <w:rFonts w:ascii="Times New Roman"/>
          <w:color w:val="231F20"/>
        </w:rPr>
        <w:t>the investigation team (and their associated agencies) and facilities implicated in an </w:t>
      </w:r>
      <w:r>
        <w:rPr>
          <w:color w:val="231F20"/>
        </w:rPr>
        <w:t>outbreak also should be  established.</w:t>
      </w:r>
    </w:p>
    <w:p>
      <w:pPr>
        <w:pStyle w:val="BodyText"/>
        <w:spacing w:before="167"/>
        <w:ind w:left="339"/>
        <w:rPr>
          <w:rFonts w:ascii="Arial"/>
        </w:rPr>
      </w:pPr>
      <w:r>
        <w:rPr>
          <w:rFonts w:ascii="Arial"/>
          <w:color w:val="1C3E94"/>
        </w:rPr>
        <w:t>Communication (Section 3.6)</w:t>
      </w:r>
    </w:p>
    <w:p>
      <w:pPr>
        <w:pStyle w:val="BodyText"/>
        <w:spacing w:before="8"/>
        <w:rPr>
          <w:rFonts w:ascii="Arial"/>
          <w:sz w:val="18"/>
        </w:rPr>
      </w:pPr>
    </w:p>
    <w:p>
      <w:pPr>
        <w:pStyle w:val="BodyText"/>
        <w:spacing w:line="266" w:lineRule="auto"/>
        <w:ind w:left="339" w:right="1346"/>
      </w:pPr>
      <w:r>
        <w:rPr>
          <w:color w:val="231F20"/>
          <w:w w:val="105"/>
        </w:rPr>
        <w:t>Good communication is critical throughout the investigation of a foodborne disease outbreak. </w:t>
      </w:r>
      <w:r>
        <w:rPr>
          <w:rFonts w:ascii="Times New Roman"/>
          <w:color w:val="231F20"/>
          <w:w w:val="105"/>
        </w:rPr>
        <w:t>Before an outbreak, agencies should develop </w:t>
      </w:r>
      <w:r>
        <w:rPr>
          <w:color w:val="231F20"/>
          <w:w w:val="105"/>
        </w:rPr>
        <w:t>methods for communicating with individuals and organizations key to an investigation (3.6.2.1). Key individuals and organizations include the following:</w:t>
      </w:r>
    </w:p>
    <w:p>
      <w:pPr>
        <w:pStyle w:val="ListParagraph"/>
        <w:numPr>
          <w:ilvl w:val="0"/>
          <w:numId w:val="2"/>
        </w:numPr>
        <w:tabs>
          <w:tab w:pos="511" w:val="left" w:leader="none"/>
        </w:tabs>
        <w:spacing w:line="264" w:lineRule="auto" w:before="165" w:after="0"/>
        <w:ind w:left="510" w:right="1476" w:hanging="171"/>
        <w:jc w:val="left"/>
        <w:rPr>
          <w:sz w:val="20"/>
        </w:rPr>
      </w:pPr>
      <w:r>
        <w:rPr>
          <w:rFonts w:ascii="Times New Roman"/>
          <w:color w:val="231F20"/>
          <w:w w:val="105"/>
          <w:sz w:val="20"/>
        </w:rPr>
        <w:t>The</w:t>
      </w:r>
      <w:r>
        <w:rPr>
          <w:rFonts w:ascii="Times New Roman"/>
          <w:color w:val="231F20"/>
          <w:spacing w:val="-30"/>
          <w:w w:val="105"/>
          <w:sz w:val="20"/>
        </w:rPr>
        <w:t> </w:t>
      </w:r>
      <w:r>
        <w:rPr>
          <w:rFonts w:ascii="Times New Roman"/>
          <w:color w:val="231F20"/>
          <w:w w:val="105"/>
          <w:sz w:val="20"/>
        </w:rPr>
        <w:t>outbreak</w:t>
      </w:r>
      <w:r>
        <w:rPr>
          <w:rFonts w:ascii="Times New Roman"/>
          <w:color w:val="231F20"/>
          <w:spacing w:val="-30"/>
          <w:w w:val="105"/>
          <w:sz w:val="20"/>
        </w:rPr>
        <w:t> </w:t>
      </w:r>
      <w:r>
        <w:rPr>
          <w:rFonts w:ascii="Times New Roman"/>
          <w:color w:val="231F20"/>
          <w:w w:val="105"/>
          <w:sz w:val="20"/>
        </w:rPr>
        <w:t>investigation</w:t>
      </w:r>
      <w:r>
        <w:rPr>
          <w:rFonts w:ascii="Times New Roman"/>
          <w:color w:val="231F20"/>
          <w:spacing w:val="-30"/>
          <w:w w:val="105"/>
          <w:sz w:val="20"/>
        </w:rPr>
        <w:t> </w:t>
      </w:r>
      <w:r>
        <w:rPr>
          <w:rFonts w:ascii="Times New Roman"/>
          <w:color w:val="231F20"/>
          <w:w w:val="105"/>
          <w:sz w:val="20"/>
        </w:rPr>
        <w:t>and</w:t>
      </w:r>
      <w:r>
        <w:rPr>
          <w:rFonts w:ascii="Times New Roman"/>
          <w:color w:val="231F20"/>
          <w:spacing w:val="-30"/>
          <w:w w:val="105"/>
          <w:sz w:val="20"/>
        </w:rPr>
        <w:t> </w:t>
      </w:r>
      <w:r>
        <w:rPr>
          <w:rFonts w:ascii="Times New Roman"/>
          <w:color w:val="231F20"/>
          <w:w w:val="105"/>
          <w:sz w:val="20"/>
        </w:rPr>
        <w:t>control</w:t>
      </w:r>
      <w:r>
        <w:rPr>
          <w:rFonts w:ascii="Times New Roman"/>
          <w:color w:val="231F20"/>
          <w:spacing w:val="-30"/>
          <w:w w:val="105"/>
          <w:sz w:val="20"/>
        </w:rPr>
        <w:t> </w:t>
      </w:r>
      <w:r>
        <w:rPr>
          <w:rFonts w:ascii="Times New Roman"/>
          <w:color w:val="231F20"/>
          <w:w w:val="105"/>
          <w:sz w:val="20"/>
        </w:rPr>
        <w:t>team </w:t>
      </w:r>
      <w:r>
        <w:rPr>
          <w:color w:val="231F20"/>
          <w:w w:val="105"/>
          <w:sz w:val="20"/>
        </w:rPr>
        <w:t>and</w:t>
      </w:r>
      <w:r>
        <w:rPr>
          <w:color w:val="231F20"/>
          <w:spacing w:val="-14"/>
          <w:w w:val="105"/>
          <w:sz w:val="20"/>
        </w:rPr>
        <w:t> </w:t>
      </w:r>
      <w:r>
        <w:rPr>
          <w:color w:val="231F20"/>
          <w:w w:val="105"/>
          <w:sz w:val="20"/>
        </w:rPr>
        <w:t>involved</w:t>
      </w:r>
      <w:r>
        <w:rPr>
          <w:color w:val="231F20"/>
          <w:spacing w:val="-14"/>
          <w:w w:val="105"/>
          <w:sz w:val="20"/>
        </w:rPr>
        <w:t> </w:t>
      </w:r>
      <w:r>
        <w:rPr>
          <w:color w:val="231F20"/>
          <w:w w:val="105"/>
          <w:sz w:val="20"/>
        </w:rPr>
        <w:t>agencies</w:t>
      </w:r>
      <w:r>
        <w:rPr>
          <w:color w:val="231F20"/>
          <w:spacing w:val="-14"/>
          <w:w w:val="105"/>
          <w:sz w:val="20"/>
        </w:rPr>
        <w:t> </w:t>
      </w:r>
      <w:r>
        <w:rPr>
          <w:color w:val="231F20"/>
          <w:w w:val="105"/>
          <w:sz w:val="20"/>
        </w:rPr>
        <w:t>(3.6.2.2);</w:t>
      </w:r>
    </w:p>
    <w:p>
      <w:pPr>
        <w:pStyle w:val="ListParagraph"/>
        <w:numPr>
          <w:ilvl w:val="0"/>
          <w:numId w:val="2"/>
        </w:numPr>
        <w:tabs>
          <w:tab w:pos="511" w:val="left" w:leader="none"/>
        </w:tabs>
        <w:spacing w:line="266" w:lineRule="auto" w:before="92" w:after="0"/>
        <w:ind w:left="510" w:right="1774" w:hanging="171"/>
        <w:jc w:val="left"/>
        <w:rPr>
          <w:sz w:val="20"/>
        </w:rPr>
      </w:pPr>
      <w:r>
        <w:rPr>
          <w:color w:val="231F20"/>
          <w:w w:val="105"/>
          <w:sz w:val="20"/>
        </w:rPr>
        <w:t>Other local, state, and federal</w:t>
      </w:r>
      <w:r>
        <w:rPr>
          <w:color w:val="231F20"/>
          <w:spacing w:val="-25"/>
          <w:w w:val="105"/>
          <w:sz w:val="20"/>
        </w:rPr>
        <w:t> </w:t>
      </w:r>
      <w:r>
        <w:rPr>
          <w:color w:val="231F20"/>
          <w:w w:val="105"/>
          <w:sz w:val="20"/>
        </w:rPr>
        <w:t>authorities (3.6.2.3);</w:t>
      </w:r>
    </w:p>
    <w:p>
      <w:pPr>
        <w:pStyle w:val="ListParagraph"/>
        <w:numPr>
          <w:ilvl w:val="0"/>
          <w:numId w:val="2"/>
        </w:numPr>
        <w:tabs>
          <w:tab w:pos="511" w:val="left" w:leader="none"/>
        </w:tabs>
        <w:spacing w:line="266" w:lineRule="auto" w:before="90" w:after="0"/>
        <w:ind w:left="510" w:right="1461" w:hanging="171"/>
        <w:jc w:val="left"/>
        <w:rPr>
          <w:sz w:val="20"/>
        </w:rPr>
      </w:pPr>
      <w:r>
        <w:rPr>
          <w:color w:val="231F20"/>
          <w:w w:val="105"/>
          <w:sz w:val="20"/>
        </w:rPr>
        <w:t>Local</w:t>
      </w:r>
      <w:r>
        <w:rPr>
          <w:color w:val="231F20"/>
          <w:spacing w:val="-12"/>
          <w:w w:val="105"/>
          <w:sz w:val="20"/>
        </w:rPr>
        <w:t> </w:t>
      </w:r>
      <w:r>
        <w:rPr>
          <w:color w:val="231F20"/>
          <w:w w:val="105"/>
          <w:sz w:val="20"/>
        </w:rPr>
        <w:t>organizations,</w:t>
      </w:r>
      <w:r>
        <w:rPr>
          <w:color w:val="231F20"/>
          <w:spacing w:val="-12"/>
          <w:w w:val="105"/>
          <w:sz w:val="20"/>
        </w:rPr>
        <w:t> </w:t>
      </w:r>
      <w:r>
        <w:rPr>
          <w:color w:val="231F20"/>
          <w:w w:val="105"/>
          <w:sz w:val="20"/>
        </w:rPr>
        <w:t>food</w:t>
      </w:r>
      <w:r>
        <w:rPr>
          <w:color w:val="231F20"/>
          <w:spacing w:val="-12"/>
          <w:w w:val="105"/>
          <w:sz w:val="20"/>
        </w:rPr>
        <w:t> </w:t>
      </w:r>
      <w:r>
        <w:rPr>
          <w:color w:val="231F20"/>
          <w:spacing w:val="-3"/>
          <w:w w:val="105"/>
          <w:sz w:val="20"/>
        </w:rPr>
        <w:t>industry,</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other professional</w:t>
      </w:r>
      <w:r>
        <w:rPr>
          <w:color w:val="231F20"/>
          <w:spacing w:val="-35"/>
          <w:w w:val="105"/>
          <w:sz w:val="20"/>
        </w:rPr>
        <w:t> </w:t>
      </w:r>
      <w:r>
        <w:rPr>
          <w:color w:val="231F20"/>
          <w:w w:val="105"/>
          <w:sz w:val="20"/>
        </w:rPr>
        <w:t>groups</w:t>
      </w:r>
      <w:r>
        <w:rPr>
          <w:color w:val="231F20"/>
          <w:spacing w:val="-35"/>
          <w:w w:val="105"/>
          <w:sz w:val="20"/>
        </w:rPr>
        <w:t> </w:t>
      </w:r>
      <w:r>
        <w:rPr>
          <w:color w:val="231F20"/>
          <w:w w:val="105"/>
          <w:sz w:val="20"/>
        </w:rPr>
        <w:t>(3.6.2.4);</w:t>
      </w:r>
    </w:p>
    <w:p>
      <w:pPr>
        <w:pStyle w:val="BodyText"/>
        <w:spacing w:before="90"/>
        <w:ind w:left="339"/>
      </w:pPr>
      <w:r>
        <w:rPr>
          <w:color w:val="00A94F"/>
          <w:w w:val="105"/>
        </w:rPr>
        <w:t>•  </w:t>
      </w:r>
      <w:r>
        <w:rPr>
          <w:color w:val="231F20"/>
          <w:w w:val="105"/>
        </w:rPr>
        <w:t>The public (3.6.2.5);</w:t>
      </w:r>
    </w:p>
    <w:p>
      <w:pPr>
        <w:pStyle w:val="ListParagraph"/>
        <w:numPr>
          <w:ilvl w:val="0"/>
          <w:numId w:val="2"/>
        </w:numPr>
        <w:tabs>
          <w:tab w:pos="511" w:val="left" w:leader="none"/>
        </w:tabs>
        <w:spacing w:line="240" w:lineRule="auto" w:before="115" w:after="0"/>
        <w:ind w:left="510" w:right="0" w:hanging="171"/>
        <w:jc w:val="left"/>
        <w:rPr>
          <w:sz w:val="20"/>
        </w:rPr>
      </w:pPr>
      <w:r>
        <w:rPr>
          <w:color w:val="231F20"/>
          <w:w w:val="105"/>
          <w:sz w:val="20"/>
        </w:rPr>
        <w:t>Cases and family members (3.6.2.6;</w:t>
      </w:r>
      <w:r>
        <w:rPr>
          <w:color w:val="231F20"/>
          <w:spacing w:val="-4"/>
          <w:w w:val="105"/>
          <w:sz w:val="20"/>
        </w:rPr>
        <w:t> </w:t>
      </w:r>
      <w:r>
        <w:rPr>
          <w:color w:val="231F20"/>
          <w:w w:val="105"/>
          <w:sz w:val="20"/>
        </w:rPr>
        <w:t>and</w:t>
      </w:r>
    </w:p>
    <w:p>
      <w:pPr>
        <w:pStyle w:val="BodyText"/>
        <w:spacing w:before="115"/>
        <w:ind w:left="339"/>
      </w:pPr>
      <w:r>
        <w:rPr>
          <w:color w:val="00A94F"/>
          <w:w w:val="105"/>
        </w:rPr>
        <w:t>•  </w:t>
      </w:r>
      <w:r>
        <w:rPr>
          <w:color w:val="231F20"/>
          <w:w w:val="105"/>
        </w:rPr>
        <w:t>The media (3.6.2.7).</w:t>
      </w:r>
    </w:p>
    <w:p>
      <w:pPr>
        <w:pStyle w:val="BodyText"/>
        <w:spacing w:before="2"/>
        <w:rPr>
          <w:sz w:val="18"/>
        </w:rPr>
      </w:pPr>
    </w:p>
    <w:p>
      <w:pPr>
        <w:pStyle w:val="BodyText"/>
        <w:spacing w:line="266" w:lineRule="auto"/>
        <w:ind w:left="339" w:right="1491"/>
      </w:pPr>
      <w:r>
        <w:rPr>
          <w:color w:val="231F20"/>
        </w:rPr>
        <w:t>Processes for communicating with these individuals and organizations should include routinely updating contact lists and developing </w:t>
      </w:r>
      <w:r>
        <w:rPr>
          <w:rFonts w:ascii="Times New Roman"/>
          <w:color w:val="231F20"/>
        </w:rPr>
        <w:t>standard channels of  communication so that </w:t>
      </w:r>
      <w:r>
        <w:rPr>
          <w:color w:val="231F20"/>
        </w:rPr>
        <w:t>all involved know who to communicate with and where the information will come from during  an outbreak.</w:t>
      </w:r>
    </w:p>
    <w:p>
      <w:pPr>
        <w:pStyle w:val="BodyText"/>
        <w:spacing w:line="261" w:lineRule="auto" w:before="164"/>
        <w:ind w:left="339" w:right="1396"/>
        <w:rPr>
          <w:rFonts w:ascii="Arial"/>
        </w:rPr>
      </w:pPr>
      <w:r>
        <w:rPr>
          <w:rFonts w:ascii="Arial"/>
          <w:color w:val="1C3E94"/>
        </w:rPr>
        <w:t>Planning for Recovery and Follow-up</w:t>
      </w:r>
      <w:r>
        <w:rPr>
          <w:rFonts w:ascii="Arial"/>
          <w:color w:val="1C3E94"/>
          <w:w w:val="102"/>
        </w:rPr>
        <w:t> </w:t>
      </w:r>
      <w:r>
        <w:rPr>
          <w:rFonts w:ascii="Arial"/>
          <w:color w:val="1C3E94"/>
        </w:rPr>
        <w:t>(Section 3.7)</w:t>
      </w:r>
    </w:p>
    <w:p>
      <w:pPr>
        <w:pStyle w:val="BodyText"/>
        <w:spacing w:line="261" w:lineRule="auto" w:before="180"/>
        <w:ind w:left="339" w:right="1428"/>
        <w:rPr>
          <w:rFonts w:ascii="Times New Roman"/>
        </w:rPr>
      </w:pPr>
      <w:r>
        <w:rPr>
          <w:rFonts w:ascii="Times New Roman"/>
          <w:color w:val="231F20"/>
        </w:rPr>
        <w:t>Agencies should establish protocols for actions that must be taken or results that must be </w:t>
      </w:r>
      <w:r>
        <w:rPr>
          <w:color w:val="231F20"/>
        </w:rPr>
        <w:t>achieved before an implicated facility or food </w:t>
      </w:r>
      <w:r>
        <w:rPr>
          <w:rFonts w:ascii="Times New Roman"/>
          <w:color w:val="231F20"/>
        </w:rPr>
        <w:t>source can return to normal operations  and</w:t>
      </w:r>
    </w:p>
    <w:p>
      <w:pPr>
        <w:spacing w:after="0" w:line="261" w:lineRule="auto"/>
        <w:rPr>
          <w:rFonts w:ascii="Times New Roman"/>
        </w:rPr>
        <w:sectPr>
          <w:type w:val="continuous"/>
          <w:pgSz w:w="10080" w:h="14400"/>
          <w:pgMar w:top="0" w:bottom="360" w:left="0" w:right="0"/>
          <w:cols w:num="2" w:equalWidth="0">
            <w:col w:w="4481" w:space="40"/>
            <w:col w:w="5559"/>
          </w:cols>
        </w:sectPr>
      </w:pPr>
    </w:p>
    <w:p>
      <w:pPr>
        <w:pStyle w:val="BodyText"/>
        <w:spacing w:before="5"/>
        <w:rPr>
          <w:rFonts w:ascii="Times New Roman"/>
          <w:sz w:val="10"/>
        </w:rPr>
      </w:pPr>
    </w:p>
    <w:p>
      <w:pPr>
        <w:pStyle w:val="Heading1"/>
        <w:spacing w:before="98"/>
      </w:pPr>
      <w:r>
        <w:rPr/>
        <w:pict>
          <v:line style="position:absolute;mso-position-horizontal-relative:page;mso-position-vertical-relative:paragraph;z-index:2224;mso-wrap-distance-left:0;mso-wrap-distance-right:0" from="72pt,24.041843pt" to="468pt,24.041843pt" stroked="true" strokeweight=".5pt" strokecolor="#00a94f">
            <v:stroke dashstyle="solid"/>
            <w10:wrap type="topAndBottom"/>
          </v:line>
        </w:pict>
      </w:r>
      <w:r>
        <w:rPr/>
        <w:pict>
          <v:rect style="position:absolute;margin-left:0pt;margin-top:7.391943pt;width:45pt;height:18pt;mso-position-horizontal-relative:page;mso-position-vertical-relative:paragraph;z-index:2248" filled="true" fillcolor="#0079c1" stroked="false">
            <v:fill type="solid"/>
            <w10:wrap type="none"/>
          </v:rect>
        </w:pict>
      </w:r>
      <w:r>
        <w:rPr/>
        <w:pict>
          <v:line style="position:absolute;mso-position-horizontal-relative:page;mso-position-vertical-relative:paragraph;z-index:2272" from="54.5pt,7.391943pt" to="54.5pt,191.669943pt" stroked="true" strokeweight="1pt" strokecolor="#0079c1">
            <v:stroke dashstyle="solid"/>
            <w10:wrap type="none"/>
          </v:line>
        </w:pict>
      </w:r>
      <w:r>
        <w:rPr/>
        <w:pict>
          <v:shape style="position:absolute;margin-left:18.200388pt;margin-top:12.142896pt;width:15.85pt;height:180.55pt;mso-position-horizontal-relative:page;mso-position-vertical-relative:paragraph;z-index:2296"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3. Planning and  Preparation</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4" w:lineRule="auto" w:before="108"/>
        <w:ind w:left="1440"/>
      </w:pPr>
      <w:r>
        <w:rPr>
          <w:color w:val="231F20"/>
        </w:rPr>
        <w:t>develop methods to monitor those facilities. </w:t>
      </w:r>
      <w:r>
        <w:rPr>
          <w:rFonts w:ascii="Times New Roman"/>
          <w:color w:val="231F20"/>
        </w:rPr>
        <w:t>Agencies</w:t>
      </w:r>
      <w:r>
        <w:rPr>
          <w:rFonts w:ascii="Times New Roman"/>
          <w:color w:val="231F20"/>
          <w:spacing w:val="-15"/>
        </w:rPr>
        <w:t> </w:t>
      </w:r>
      <w:r>
        <w:rPr>
          <w:rFonts w:ascii="Times New Roman"/>
          <w:color w:val="231F20"/>
        </w:rPr>
        <w:t>should</w:t>
      </w:r>
      <w:r>
        <w:rPr>
          <w:rFonts w:ascii="Times New Roman"/>
          <w:color w:val="231F20"/>
          <w:spacing w:val="-15"/>
        </w:rPr>
        <w:t> </w:t>
      </w:r>
      <w:r>
        <w:rPr>
          <w:rFonts w:ascii="Times New Roman"/>
          <w:color w:val="231F20"/>
        </w:rPr>
        <w:t>establish</w:t>
      </w:r>
      <w:r>
        <w:rPr>
          <w:rFonts w:ascii="Times New Roman"/>
          <w:color w:val="231F20"/>
          <w:spacing w:val="-16"/>
        </w:rPr>
        <w:t> </w:t>
      </w:r>
      <w:r>
        <w:rPr>
          <w:rFonts w:ascii="Times New Roman"/>
          <w:color w:val="231F20"/>
        </w:rPr>
        <w:t>a</w:t>
      </w:r>
      <w:r>
        <w:rPr>
          <w:rFonts w:ascii="Times New Roman"/>
          <w:color w:val="231F20"/>
          <w:spacing w:val="-15"/>
        </w:rPr>
        <w:t> </w:t>
      </w:r>
      <w:r>
        <w:rPr>
          <w:rFonts w:ascii="Times New Roman"/>
          <w:color w:val="231F20"/>
        </w:rPr>
        <w:t>process</w:t>
      </w:r>
      <w:r>
        <w:rPr>
          <w:rFonts w:ascii="Times New Roman"/>
          <w:color w:val="231F20"/>
          <w:spacing w:val="-16"/>
        </w:rPr>
        <w:t> </w:t>
      </w:r>
      <w:r>
        <w:rPr>
          <w:rFonts w:ascii="Times New Roman"/>
          <w:color w:val="231F20"/>
        </w:rPr>
        <w:t>for</w:t>
      </w:r>
      <w:r>
        <w:rPr>
          <w:rFonts w:ascii="Times New Roman"/>
          <w:color w:val="231F20"/>
          <w:spacing w:val="-15"/>
        </w:rPr>
        <w:t> </w:t>
      </w:r>
      <w:r>
        <w:rPr>
          <w:rFonts w:ascii="Times New Roman"/>
          <w:color w:val="231F20"/>
        </w:rPr>
        <w:t>creating </w:t>
      </w:r>
      <w:r>
        <w:rPr>
          <w:color w:val="231F20"/>
        </w:rPr>
        <w:t>after-action reports following investigations, with lessons learned and action items for follow-up  and  quality</w:t>
      </w:r>
      <w:r>
        <w:rPr>
          <w:color w:val="231F20"/>
          <w:spacing w:val="-18"/>
        </w:rPr>
        <w:t> </w:t>
      </w:r>
      <w:r>
        <w:rPr>
          <w:color w:val="231F20"/>
        </w:rPr>
        <w:t>improvement.</w:t>
      </w:r>
    </w:p>
    <w:p>
      <w:pPr>
        <w:pStyle w:val="BodyText"/>
        <w:spacing w:before="167"/>
        <w:ind w:left="1440"/>
        <w:rPr>
          <w:rFonts w:ascii="Arial"/>
        </w:rPr>
      </w:pPr>
      <w:r>
        <w:rPr>
          <w:rFonts w:ascii="Arial"/>
          <w:color w:val="1C3E94"/>
        </w:rPr>
        <w:t>Legal Preparedness (Section 3.8)</w:t>
      </w:r>
    </w:p>
    <w:p>
      <w:pPr>
        <w:pStyle w:val="BodyText"/>
        <w:spacing w:before="8"/>
        <w:rPr>
          <w:rFonts w:ascii="Arial"/>
          <w:sz w:val="18"/>
        </w:rPr>
      </w:pPr>
    </w:p>
    <w:p>
      <w:pPr>
        <w:pStyle w:val="BodyText"/>
        <w:spacing w:line="264" w:lineRule="auto"/>
        <w:ind w:left="1440"/>
      </w:pPr>
      <w:r>
        <w:rPr>
          <w:color w:val="231F20"/>
          <w:w w:val="105"/>
        </w:rPr>
        <w:t>Legal preparedness is the foundation for effective outbreak response. The following items will ensure legal preparedness: a) laws </w:t>
      </w:r>
      <w:r>
        <w:rPr>
          <w:rFonts w:ascii="Times New Roman"/>
          <w:color w:val="231F20"/>
          <w:w w:val="105"/>
        </w:rPr>
        <w:t>and legal authorities needed to support surveillance, detection, investigation, and </w:t>
      </w:r>
      <w:r>
        <w:rPr>
          <w:color w:val="231F20"/>
          <w:w w:val="105"/>
        </w:rPr>
        <w:t>control activities; b) professional staff who </w:t>
      </w:r>
      <w:r>
        <w:rPr>
          <w:rFonts w:ascii="Times New Roman"/>
          <w:color w:val="231F20"/>
          <w:w w:val="105"/>
        </w:rPr>
        <w:t>understand and are competent in using their </w:t>
      </w:r>
      <w:r>
        <w:rPr>
          <w:color w:val="231F20"/>
          <w:w w:val="105"/>
        </w:rPr>
        <w:t>legal authorities; c) memoranda of agreement </w:t>
      </w:r>
      <w:r>
        <w:rPr>
          <w:rFonts w:ascii="Times New Roman"/>
          <w:color w:val="231F20"/>
          <w:w w:val="105"/>
        </w:rPr>
        <w:t>and other legal agreements for coordinated </w:t>
      </w:r>
      <w:r>
        <w:rPr>
          <w:color w:val="231F20"/>
          <w:w w:val="105"/>
        </w:rPr>
        <w:t>implementation of laws across jurisdictions and sectors; and d) information about best practices in using law for outbreak response.</w:t>
      </w:r>
    </w:p>
    <w:p>
      <w:pPr>
        <w:pStyle w:val="BodyText"/>
        <w:spacing w:before="167"/>
        <w:ind w:left="1440"/>
        <w:rPr>
          <w:rFonts w:ascii="Arial"/>
        </w:rPr>
      </w:pPr>
      <w:r>
        <w:rPr>
          <w:rFonts w:ascii="Arial"/>
          <w:color w:val="1C3E94"/>
        </w:rPr>
        <w:t>Escalation (Section 3.9)</w:t>
      </w:r>
    </w:p>
    <w:p>
      <w:pPr>
        <w:pStyle w:val="BodyText"/>
        <w:spacing w:before="8"/>
        <w:rPr>
          <w:rFonts w:ascii="Arial"/>
          <w:sz w:val="18"/>
        </w:rPr>
      </w:pPr>
    </w:p>
    <w:p>
      <w:pPr>
        <w:pStyle w:val="BodyText"/>
        <w:spacing w:line="264" w:lineRule="auto"/>
        <w:ind w:left="1440" w:right="191"/>
      </w:pPr>
      <w:r>
        <w:rPr>
          <w:color w:val="231F20"/>
        </w:rPr>
        <w:t>If an outbreak affects multiple jurisdictions or is likely to exceed the resources or expertise   of a particular </w:t>
      </w:r>
      <w:r>
        <w:rPr>
          <w:color w:val="231F20"/>
          <w:spacing w:val="-4"/>
        </w:rPr>
        <w:t>agency, </w:t>
      </w:r>
      <w:r>
        <w:rPr>
          <w:color w:val="231F20"/>
        </w:rPr>
        <w:t>investigators should </w:t>
      </w:r>
      <w:r>
        <w:rPr>
          <w:rFonts w:ascii="Times New Roman"/>
          <w:color w:val="231F20"/>
        </w:rPr>
        <w:t>escalate the investigation and involve other </w:t>
      </w:r>
      <w:r>
        <w:rPr>
          <w:color w:val="231F20"/>
        </w:rPr>
        <w:t>agencies as soon as the need is </w:t>
      </w:r>
      <w:r>
        <w:rPr>
          <w:color w:val="231F20"/>
          <w:spacing w:val="25"/>
        </w:rPr>
        <w:t> </w:t>
      </w:r>
      <w:r>
        <w:rPr>
          <w:color w:val="231F20"/>
        </w:rPr>
        <w:t>suspected.</w:t>
      </w:r>
    </w:p>
    <w:p>
      <w:pPr>
        <w:pStyle w:val="BodyText"/>
        <w:spacing w:line="276" w:lineRule="auto"/>
        <w:ind w:left="1440"/>
      </w:pPr>
      <w:r>
        <w:rPr>
          <w:rFonts w:ascii="Times New Roman"/>
          <w:color w:val="231F20"/>
        </w:rPr>
        <w:t>Investigators from local health departments </w:t>
      </w:r>
      <w:r>
        <w:rPr>
          <w:color w:val="231F20"/>
        </w:rPr>
        <w:t>should notify their State  Epidemiologist.</w:t>
      </w:r>
    </w:p>
    <w:p>
      <w:pPr>
        <w:pStyle w:val="BodyText"/>
        <w:spacing w:line="207" w:lineRule="exact" w:before="12"/>
        <w:ind w:left="1440"/>
        <w:rPr>
          <w:rFonts w:ascii="Times New Roman"/>
        </w:rPr>
      </w:pPr>
      <w:r>
        <w:rPr>
          <w:rFonts w:ascii="Times New Roman"/>
          <w:color w:val="231F20"/>
        </w:rPr>
        <w:t>Investigators from the state health department</w:t>
      </w:r>
    </w:p>
    <w:p>
      <w:pPr>
        <w:pStyle w:val="BodyText"/>
        <w:spacing w:line="259" w:lineRule="auto" w:before="34"/>
        <w:ind w:left="1440" w:right="165"/>
        <w:rPr>
          <w:rFonts w:ascii="Times New Roman"/>
        </w:rPr>
      </w:pPr>
      <w:r>
        <w:rPr>
          <w:color w:val="231F20"/>
        </w:rPr>
        <w:t>should notify CDC and the appropriate food- regulatory </w:t>
      </w:r>
      <w:r>
        <w:rPr>
          <w:color w:val="231F20"/>
          <w:spacing w:val="-4"/>
        </w:rPr>
        <w:t>agency. </w:t>
      </w:r>
      <w:r>
        <w:rPr>
          <w:color w:val="231F20"/>
        </w:rPr>
        <w:t>Investigators requesting  </w:t>
      </w:r>
      <w:r>
        <w:rPr>
          <w:rFonts w:ascii="Times New Roman"/>
          <w:color w:val="231F20"/>
        </w:rPr>
        <w:t>help should be prepared to share as much information about the outbreak as possible, including the setting of the</w:t>
      </w:r>
      <w:r>
        <w:rPr>
          <w:rFonts w:ascii="Times New Roman"/>
          <w:color w:val="231F20"/>
          <w:spacing w:val="13"/>
        </w:rPr>
        <w:t> </w:t>
      </w:r>
      <w:r>
        <w:rPr>
          <w:rFonts w:ascii="Times New Roman"/>
          <w:color w:val="231F20"/>
        </w:rPr>
        <w:t>outbreak,</w:t>
      </w:r>
    </w:p>
    <w:p>
      <w:pPr>
        <w:pStyle w:val="BodyText"/>
        <w:spacing w:line="276" w:lineRule="auto" w:before="93"/>
        <w:ind w:left="335" w:right="901"/>
      </w:pPr>
      <w:r>
        <w:rPr/>
        <w:br w:type="column"/>
      </w:r>
      <w:r>
        <w:rPr>
          <w:rFonts w:ascii="Times New Roman"/>
          <w:color w:val="231F20"/>
        </w:rPr>
        <w:t>population at risk, suspected etiologic agent, </w:t>
      </w:r>
      <w:r>
        <w:rPr>
          <w:color w:val="231F20"/>
        </w:rPr>
        <w:t>suspected source, and agencies  involved.</w:t>
      </w:r>
    </w:p>
    <w:p>
      <w:pPr>
        <w:pStyle w:val="BodyText"/>
        <w:spacing w:line="261" w:lineRule="auto" w:before="155"/>
        <w:ind w:left="335" w:right="901"/>
        <w:rPr>
          <w:rFonts w:ascii="Arial"/>
        </w:rPr>
      </w:pPr>
      <w:r>
        <w:rPr>
          <w:rFonts w:ascii="Arial"/>
          <w:color w:val="1C3E94"/>
        </w:rPr>
        <w:t>Incident Command System (ICS)</w:t>
      </w:r>
      <w:r>
        <w:rPr>
          <w:rFonts w:ascii="Arial"/>
          <w:color w:val="1C3E94"/>
          <w:w w:val="88"/>
        </w:rPr>
        <w:t> </w:t>
      </w:r>
      <w:r>
        <w:rPr>
          <w:rFonts w:ascii="Arial"/>
          <w:color w:val="1C3E94"/>
        </w:rPr>
        <w:t>(Section 3.10)</w:t>
      </w:r>
    </w:p>
    <w:p>
      <w:pPr>
        <w:pStyle w:val="BodyText"/>
        <w:spacing w:line="266" w:lineRule="auto" w:before="195"/>
        <w:ind w:left="335" w:right="901"/>
      </w:pPr>
      <w:r>
        <w:rPr>
          <w:color w:val="231F20"/>
          <w:w w:val="105"/>
        </w:rPr>
        <w:t>ICS, as an integral part of the Federal Emergency Management Agency’s National Incident Management System (NIMS), is</w:t>
      </w:r>
    </w:p>
    <w:p>
      <w:pPr>
        <w:pStyle w:val="BodyText"/>
        <w:spacing w:line="264" w:lineRule="auto"/>
        <w:ind w:left="335" w:right="860"/>
      </w:pPr>
      <w:r>
        <w:rPr>
          <w:color w:val="231F20"/>
        </w:rPr>
        <w:t>a widely applicable management system designed to enable effective and efficient incident management by integrating a </w:t>
      </w:r>
      <w:r>
        <w:rPr>
          <w:rFonts w:ascii="Times New Roman"/>
          <w:color w:val="231F20"/>
        </w:rPr>
        <w:t>combination of facilities, equipment, personnel, procedures, and communications </w:t>
      </w:r>
      <w:r>
        <w:rPr>
          <w:color w:val="231F20"/>
        </w:rPr>
        <w:t>operating within a common organizational structure.  The  ICS  organizational  structure </w:t>
      </w:r>
      <w:r>
        <w:rPr>
          <w:rFonts w:ascii="Times New Roman"/>
          <w:color w:val="231F20"/>
        </w:rPr>
        <w:t>is scalable and develops in a modular fashion </w:t>
      </w:r>
      <w:r>
        <w:rPr>
          <w:color w:val="231F20"/>
        </w:rPr>
        <w:t>according to the size and complexity of the incident, as well as the specifics of the hazard environment created by  the  incident.</w:t>
      </w:r>
    </w:p>
    <w:p>
      <w:pPr>
        <w:pStyle w:val="BodyText"/>
        <w:spacing w:line="266" w:lineRule="auto" w:before="182"/>
        <w:ind w:left="335" w:right="901"/>
      </w:pPr>
      <w:r>
        <w:rPr>
          <w:color w:val="231F20"/>
          <w:w w:val="105"/>
        </w:rPr>
        <w:t>The role of ICS in a foodborne disease outbreak investigation varies; some agencies use an ICS structure, and others do not.</w:t>
      </w:r>
    </w:p>
    <w:p>
      <w:pPr>
        <w:pStyle w:val="BodyText"/>
        <w:spacing w:line="216" w:lineRule="exact"/>
        <w:ind w:left="335"/>
        <w:rPr>
          <w:rFonts w:ascii="Times New Roman"/>
        </w:rPr>
      </w:pPr>
      <w:r>
        <w:rPr>
          <w:rFonts w:ascii="Times New Roman"/>
          <w:color w:val="231F20"/>
        </w:rPr>
        <w:t>Agencies involved in foodborne disease</w:t>
      </w:r>
    </w:p>
    <w:p>
      <w:pPr>
        <w:pStyle w:val="BodyText"/>
        <w:spacing w:line="268" w:lineRule="auto" w:before="20"/>
        <w:ind w:left="335" w:right="774"/>
      </w:pPr>
      <w:r>
        <w:rPr>
          <w:rFonts w:ascii="Times New Roman"/>
          <w:color w:val="231F20"/>
          <w:w w:val="105"/>
        </w:rPr>
        <w:t>outbreak investigation and response should </w:t>
      </w:r>
      <w:r>
        <w:rPr>
          <w:color w:val="231F20"/>
          <w:w w:val="105"/>
        </w:rPr>
        <w:t>decide in advance whether and how to apply an ICS and, if  applicable, incorporate the ICS</w:t>
      </w:r>
      <w:r>
        <w:rPr>
          <w:color w:val="231F20"/>
          <w:spacing w:val="-7"/>
          <w:w w:val="105"/>
        </w:rPr>
        <w:t> </w:t>
      </w:r>
      <w:r>
        <w:rPr>
          <w:color w:val="231F20"/>
          <w:w w:val="105"/>
        </w:rPr>
        <w:t>structure</w:t>
      </w:r>
      <w:r>
        <w:rPr>
          <w:color w:val="231F20"/>
          <w:spacing w:val="-7"/>
          <w:w w:val="105"/>
        </w:rPr>
        <w:t> </w:t>
      </w:r>
      <w:r>
        <w:rPr>
          <w:color w:val="231F20"/>
          <w:w w:val="105"/>
        </w:rPr>
        <w:t>into</w:t>
      </w:r>
      <w:r>
        <w:rPr>
          <w:color w:val="231F20"/>
          <w:spacing w:val="-7"/>
          <w:w w:val="105"/>
        </w:rPr>
        <w:t> </w:t>
      </w:r>
      <w:r>
        <w:rPr>
          <w:color w:val="231F20"/>
          <w:w w:val="105"/>
        </w:rPr>
        <w:t>their</w:t>
      </w:r>
      <w:r>
        <w:rPr>
          <w:color w:val="231F20"/>
          <w:spacing w:val="-7"/>
          <w:w w:val="105"/>
        </w:rPr>
        <w:t> </w:t>
      </w:r>
      <w:r>
        <w:rPr>
          <w:color w:val="231F20"/>
          <w:w w:val="105"/>
        </w:rPr>
        <w:t>response</w:t>
      </w:r>
      <w:r>
        <w:rPr>
          <w:color w:val="231F20"/>
          <w:spacing w:val="-7"/>
          <w:w w:val="105"/>
        </w:rPr>
        <w:t> </w:t>
      </w:r>
      <w:r>
        <w:rPr>
          <w:color w:val="231F20"/>
          <w:w w:val="105"/>
        </w:rPr>
        <w:t>planning</w:t>
      </w:r>
      <w:r>
        <w:rPr>
          <w:color w:val="231F20"/>
          <w:spacing w:val="-7"/>
          <w:w w:val="105"/>
        </w:rPr>
        <w:t> </w:t>
      </w:r>
      <w:r>
        <w:rPr>
          <w:color w:val="231F20"/>
          <w:w w:val="105"/>
        </w:rPr>
        <w:t>and training. If someone claims to </w:t>
      </w:r>
      <w:r>
        <w:rPr>
          <w:color w:val="231F20"/>
          <w:spacing w:val="-3"/>
          <w:w w:val="105"/>
        </w:rPr>
        <w:t>have </w:t>
      </w:r>
      <w:r>
        <w:rPr>
          <w:color w:val="231F20"/>
          <w:w w:val="105"/>
        </w:rPr>
        <w:t>tampered with food or intentional contamination is suspected,</w:t>
      </w:r>
      <w:r>
        <w:rPr>
          <w:color w:val="231F20"/>
          <w:spacing w:val="-30"/>
          <w:w w:val="105"/>
        </w:rPr>
        <w:t> </w:t>
      </w:r>
      <w:r>
        <w:rPr>
          <w:color w:val="231F20"/>
          <w:w w:val="105"/>
        </w:rPr>
        <w:t>law</w:t>
      </w:r>
      <w:r>
        <w:rPr>
          <w:color w:val="231F20"/>
          <w:spacing w:val="-30"/>
          <w:w w:val="105"/>
        </w:rPr>
        <w:t> </w:t>
      </w:r>
      <w:r>
        <w:rPr>
          <w:color w:val="231F20"/>
          <w:w w:val="105"/>
        </w:rPr>
        <w:t>enforcement</w:t>
      </w:r>
      <w:r>
        <w:rPr>
          <w:color w:val="231F20"/>
          <w:spacing w:val="-30"/>
          <w:w w:val="105"/>
        </w:rPr>
        <w:t> </w:t>
      </w:r>
      <w:r>
        <w:rPr>
          <w:color w:val="231F20"/>
          <w:w w:val="105"/>
        </w:rPr>
        <w:t>officials</w:t>
      </w:r>
      <w:r>
        <w:rPr>
          <w:color w:val="231F20"/>
          <w:spacing w:val="-30"/>
          <w:w w:val="105"/>
        </w:rPr>
        <w:t> </w:t>
      </w:r>
      <w:r>
        <w:rPr>
          <w:color w:val="231F20"/>
          <w:w w:val="105"/>
        </w:rPr>
        <w:t>should</w:t>
      </w:r>
    </w:p>
    <w:p>
      <w:pPr>
        <w:pStyle w:val="BodyText"/>
        <w:spacing w:line="266" w:lineRule="auto"/>
        <w:ind w:left="335" w:right="779"/>
      </w:pPr>
      <w:r>
        <w:rPr>
          <w:color w:val="231F20"/>
          <w:w w:val="105"/>
        </w:rPr>
        <w:t>be notified, and the credibility of the threat should be assessed. If the threat is credible, the</w:t>
      </w:r>
      <w:r>
        <w:rPr>
          <w:color w:val="231F20"/>
          <w:spacing w:val="-12"/>
          <w:w w:val="105"/>
        </w:rPr>
        <w:t> </w:t>
      </w:r>
      <w:r>
        <w:rPr>
          <w:color w:val="231F20"/>
          <w:w w:val="105"/>
        </w:rPr>
        <w:t>outbreak</w:t>
      </w:r>
      <w:r>
        <w:rPr>
          <w:color w:val="231F20"/>
          <w:spacing w:val="-12"/>
          <w:w w:val="105"/>
        </w:rPr>
        <w:t> </w:t>
      </w:r>
      <w:r>
        <w:rPr>
          <w:color w:val="231F20"/>
          <w:w w:val="105"/>
        </w:rPr>
        <w:t>will</w:t>
      </w:r>
      <w:r>
        <w:rPr>
          <w:color w:val="231F20"/>
          <w:spacing w:val="-12"/>
          <w:w w:val="105"/>
        </w:rPr>
        <w:t> </w:t>
      </w:r>
      <w:r>
        <w:rPr>
          <w:color w:val="231F20"/>
          <w:spacing w:val="-3"/>
          <w:w w:val="105"/>
        </w:rPr>
        <w:t>move</w:t>
      </w:r>
      <w:r>
        <w:rPr>
          <w:color w:val="231F20"/>
          <w:spacing w:val="-12"/>
          <w:w w:val="105"/>
        </w:rPr>
        <w:t> </w:t>
      </w:r>
      <w:r>
        <w:rPr>
          <w:color w:val="231F20"/>
          <w:w w:val="105"/>
        </w:rPr>
        <w:t>into</w:t>
      </w:r>
      <w:r>
        <w:rPr>
          <w:color w:val="231F20"/>
          <w:spacing w:val="-12"/>
          <w:w w:val="105"/>
        </w:rPr>
        <w:t> </w:t>
      </w:r>
      <w:r>
        <w:rPr>
          <w:color w:val="231F20"/>
          <w:w w:val="105"/>
        </w:rPr>
        <w:t>a</w:t>
      </w:r>
      <w:r>
        <w:rPr>
          <w:color w:val="231F20"/>
          <w:spacing w:val="-12"/>
          <w:w w:val="105"/>
        </w:rPr>
        <w:t> </w:t>
      </w:r>
      <w:r>
        <w:rPr>
          <w:color w:val="231F20"/>
          <w:w w:val="105"/>
        </w:rPr>
        <w:t>law</w:t>
      </w:r>
      <w:r>
        <w:rPr>
          <w:color w:val="231F20"/>
          <w:spacing w:val="-12"/>
          <w:w w:val="105"/>
        </w:rPr>
        <w:t> </w:t>
      </w:r>
      <w:r>
        <w:rPr>
          <w:color w:val="231F20"/>
          <w:w w:val="105"/>
        </w:rPr>
        <w:t>enforcement realm with activation of the</w:t>
      </w:r>
      <w:r>
        <w:rPr>
          <w:color w:val="231F20"/>
          <w:spacing w:val="-2"/>
          <w:w w:val="105"/>
        </w:rPr>
        <w:t> </w:t>
      </w:r>
      <w:r>
        <w:rPr>
          <w:color w:val="231F20"/>
          <w:w w:val="105"/>
        </w:rPr>
        <w:t>ICS.</w:t>
      </w:r>
    </w:p>
    <w:p>
      <w:pPr>
        <w:spacing w:after="0" w:line="266" w:lineRule="auto"/>
        <w:sectPr>
          <w:type w:val="continuous"/>
          <w:pgSz w:w="10080" w:h="14400"/>
          <w:pgMar w:top="0" w:bottom="360" w:left="0" w:right="0"/>
          <w:cols w:num="2" w:equalWidth="0">
            <w:col w:w="5205" w:space="40"/>
            <w:col w:w="4835"/>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2320;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2344" filled="true" fillcolor="#0079c1" stroked="false">
            <v:fill type="solid"/>
            <w10:wrap type="none"/>
          </v:rect>
        </w:pict>
      </w:r>
      <w:r>
        <w:rPr/>
        <w:pict>
          <v:line style="position:absolute;mso-position-horizontal-relative:page;mso-position-vertical-relative:paragraph;z-index:2368"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239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2416"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4. Foodborne Disease Surveillance and Outbreak  Detection</w:t>
      </w:r>
    </w:p>
    <w:p>
      <w:pPr>
        <w:pStyle w:val="BodyText"/>
        <w:spacing w:before="5"/>
        <w:rPr>
          <w:rFonts w:ascii="Arial"/>
          <w:sz w:val="14"/>
        </w:rPr>
      </w:pPr>
    </w:p>
    <w:p>
      <w:pPr>
        <w:spacing w:after="0"/>
        <w:rPr>
          <w:rFonts w:ascii="Arial"/>
          <w:sz w:val="14"/>
        </w:rPr>
        <w:sectPr>
          <w:pgSz w:w="10080" w:h="14400"/>
          <w:pgMar w:header="0" w:footer="160" w:top="980" w:bottom="360" w:left="0" w:right="0"/>
        </w:sectPr>
      </w:pPr>
    </w:p>
    <w:p>
      <w:pPr>
        <w:pStyle w:val="BodyText"/>
        <w:spacing w:before="110"/>
        <w:ind w:left="720"/>
        <w:rPr>
          <w:rFonts w:ascii="Arial"/>
        </w:rPr>
      </w:pPr>
      <w:r>
        <w:rPr>
          <w:rFonts w:ascii="Arial"/>
          <w:color w:val="1C3E94"/>
        </w:rPr>
        <w:t>Overview (Section 4.1)</w:t>
      </w:r>
    </w:p>
    <w:p>
      <w:pPr>
        <w:pStyle w:val="BodyText"/>
        <w:spacing w:before="8"/>
        <w:rPr>
          <w:rFonts w:ascii="Arial"/>
          <w:sz w:val="18"/>
        </w:rPr>
      </w:pPr>
    </w:p>
    <w:p>
      <w:pPr>
        <w:pStyle w:val="BodyText"/>
        <w:spacing w:line="264" w:lineRule="auto"/>
        <w:ind w:left="720" w:right="10"/>
      </w:pPr>
      <w:r>
        <w:rPr>
          <w:color w:val="231F20"/>
        </w:rPr>
        <w:t>Foodborne disease surveillance generally refers </w:t>
      </w:r>
      <w:r>
        <w:rPr>
          <w:rFonts w:ascii="Times New Roman"/>
          <w:color w:val="231F20"/>
        </w:rPr>
        <w:t>to the routine monitoring of enteric diseases </w:t>
      </w:r>
      <w:r>
        <w:rPr>
          <w:color w:val="231F20"/>
        </w:rPr>
        <w:t>potentially transmitted through food.   When</w:t>
      </w:r>
    </w:p>
    <w:p>
      <w:pPr>
        <w:pStyle w:val="BodyText"/>
        <w:spacing w:line="266" w:lineRule="auto"/>
        <w:ind w:left="720" w:right="124"/>
      </w:pPr>
      <w:r>
        <w:rPr>
          <w:rFonts w:ascii="Times New Roman"/>
          <w:color w:val="231F20"/>
        </w:rPr>
        <w:t>a possible foodborne disease or outbreak is </w:t>
      </w:r>
      <w:r>
        <w:rPr>
          <w:color w:val="231F20"/>
        </w:rPr>
        <w:t>first detected or reported, investigators will  not know whether the disease is foodborne, waterborne, or attributable to other causes. </w:t>
      </w:r>
      <w:r>
        <w:rPr>
          <w:rFonts w:ascii="Times New Roman"/>
          <w:color w:val="231F20"/>
        </w:rPr>
        <w:t>Investigators must keep an open mind in the </w:t>
      </w:r>
      <w:r>
        <w:rPr>
          <w:color w:val="231F20"/>
        </w:rPr>
        <w:t>early stages of the investigation to ensure that possible causes are not prematurely ruled  </w:t>
      </w:r>
      <w:r>
        <w:rPr>
          <w:color w:val="231F20"/>
          <w:spacing w:val="16"/>
        </w:rPr>
        <w:t> </w:t>
      </w:r>
      <w:r>
        <w:rPr>
          <w:color w:val="231F20"/>
        </w:rPr>
        <w:t>out.</w:t>
      </w:r>
    </w:p>
    <w:p>
      <w:pPr>
        <w:pStyle w:val="BodyText"/>
        <w:spacing w:line="264" w:lineRule="auto" w:before="192"/>
        <w:ind w:left="720" w:right="2"/>
      </w:pPr>
      <w:r>
        <w:rPr>
          <w:color w:val="231F20"/>
          <w:w w:val="105"/>
        </w:rPr>
        <w:t>Foodborne disease surveillance serves many </w:t>
      </w:r>
      <w:r>
        <w:rPr>
          <w:rFonts w:ascii="Times New Roman"/>
          <w:color w:val="231F20"/>
          <w:w w:val="105"/>
        </w:rPr>
        <w:t>functions, including detection of disease clusters and problems in food production or </w:t>
      </w:r>
      <w:r>
        <w:rPr>
          <w:color w:val="231F20"/>
          <w:spacing w:val="-4"/>
          <w:w w:val="105"/>
        </w:rPr>
        <w:t>delivery. </w:t>
      </w:r>
      <w:r>
        <w:rPr>
          <w:color w:val="231F20"/>
          <w:w w:val="105"/>
        </w:rPr>
        <w:t>Broader goals include defining the </w:t>
      </w:r>
      <w:r>
        <w:rPr>
          <w:rFonts w:ascii="Times New Roman"/>
          <w:color w:val="231F20"/>
          <w:w w:val="105"/>
        </w:rPr>
        <w:t>magnitude</w:t>
      </w:r>
      <w:r>
        <w:rPr>
          <w:rFonts w:ascii="Times New Roman"/>
          <w:color w:val="231F20"/>
          <w:spacing w:val="-25"/>
          <w:w w:val="105"/>
        </w:rPr>
        <w:t> </w:t>
      </w:r>
      <w:r>
        <w:rPr>
          <w:rFonts w:ascii="Times New Roman"/>
          <w:color w:val="231F20"/>
          <w:w w:val="105"/>
        </w:rPr>
        <w:t>and</w:t>
      </w:r>
      <w:r>
        <w:rPr>
          <w:rFonts w:ascii="Times New Roman"/>
          <w:color w:val="231F20"/>
          <w:spacing w:val="-26"/>
          <w:w w:val="105"/>
        </w:rPr>
        <w:t> </w:t>
      </w:r>
      <w:r>
        <w:rPr>
          <w:rFonts w:ascii="Times New Roman"/>
          <w:color w:val="231F20"/>
          <w:w w:val="105"/>
        </w:rPr>
        <w:t>burden</w:t>
      </w:r>
      <w:r>
        <w:rPr>
          <w:rFonts w:ascii="Times New Roman"/>
          <w:color w:val="231F20"/>
          <w:spacing w:val="-26"/>
          <w:w w:val="105"/>
        </w:rPr>
        <w:t> </w:t>
      </w:r>
      <w:r>
        <w:rPr>
          <w:rFonts w:ascii="Times New Roman"/>
          <w:color w:val="231F20"/>
          <w:w w:val="105"/>
        </w:rPr>
        <w:t>of</w:t>
      </w:r>
      <w:r>
        <w:rPr>
          <w:rFonts w:ascii="Times New Roman"/>
          <w:color w:val="231F20"/>
          <w:spacing w:val="-10"/>
          <w:w w:val="105"/>
        </w:rPr>
        <w:t> </w:t>
      </w:r>
      <w:r>
        <w:rPr>
          <w:rFonts w:ascii="Times New Roman"/>
          <w:color w:val="231F20"/>
          <w:w w:val="105"/>
        </w:rPr>
        <w:t>foodborne</w:t>
      </w:r>
      <w:r>
        <w:rPr>
          <w:rFonts w:ascii="Times New Roman"/>
          <w:color w:val="231F20"/>
          <w:spacing w:val="-26"/>
          <w:w w:val="105"/>
        </w:rPr>
        <w:t> </w:t>
      </w:r>
      <w:r>
        <w:rPr>
          <w:rFonts w:ascii="Times New Roman"/>
          <w:color w:val="231F20"/>
          <w:w w:val="105"/>
        </w:rPr>
        <w:t>disease</w:t>
      </w:r>
      <w:r>
        <w:rPr>
          <w:rFonts w:ascii="Times New Roman"/>
          <w:color w:val="231F20"/>
          <w:spacing w:val="-26"/>
          <w:w w:val="105"/>
        </w:rPr>
        <w:t> </w:t>
      </w:r>
      <w:r>
        <w:rPr>
          <w:rFonts w:ascii="Times New Roman"/>
          <w:color w:val="231F20"/>
          <w:w w:val="105"/>
        </w:rPr>
        <w:t>in </w:t>
      </w:r>
      <w:r>
        <w:rPr>
          <w:color w:val="231F20"/>
          <w:w w:val="105"/>
        </w:rPr>
        <w:t>the </w:t>
      </w:r>
      <w:r>
        <w:rPr>
          <w:color w:val="231F20"/>
          <w:spacing w:val="-3"/>
          <w:w w:val="105"/>
        </w:rPr>
        <w:t>community, </w:t>
      </w:r>
      <w:r>
        <w:rPr>
          <w:color w:val="231F20"/>
          <w:w w:val="105"/>
        </w:rPr>
        <w:t>monitoring trends, measuring the effectiveness of control programs, attributing disease to specific food vehicles, </w:t>
      </w:r>
      <w:r>
        <w:rPr>
          <w:rFonts w:ascii="Times New Roman"/>
          <w:color w:val="231F20"/>
          <w:w w:val="105"/>
        </w:rPr>
        <w:t>providing</w:t>
      </w:r>
      <w:r>
        <w:rPr>
          <w:rFonts w:ascii="Times New Roman"/>
          <w:color w:val="231F20"/>
          <w:spacing w:val="-25"/>
          <w:w w:val="105"/>
        </w:rPr>
        <w:t> </w:t>
      </w:r>
      <w:r>
        <w:rPr>
          <w:rFonts w:ascii="Times New Roman"/>
          <w:color w:val="231F20"/>
          <w:w w:val="105"/>
        </w:rPr>
        <w:t>a</w:t>
      </w:r>
      <w:r>
        <w:rPr>
          <w:rFonts w:ascii="Times New Roman"/>
          <w:color w:val="231F20"/>
          <w:spacing w:val="-25"/>
          <w:w w:val="105"/>
        </w:rPr>
        <w:t> </w:t>
      </w:r>
      <w:r>
        <w:rPr>
          <w:rFonts w:ascii="Times New Roman"/>
          <w:color w:val="231F20"/>
          <w:w w:val="105"/>
        </w:rPr>
        <w:t>platform</w:t>
      </w:r>
      <w:r>
        <w:rPr>
          <w:rFonts w:ascii="Times New Roman"/>
          <w:color w:val="231F20"/>
          <w:spacing w:val="-26"/>
          <w:w w:val="105"/>
        </w:rPr>
        <w:t> </w:t>
      </w:r>
      <w:r>
        <w:rPr>
          <w:rFonts w:ascii="Times New Roman"/>
          <w:color w:val="231F20"/>
          <w:w w:val="105"/>
        </w:rPr>
        <w:t>for</w:t>
      </w:r>
      <w:r>
        <w:rPr>
          <w:rFonts w:ascii="Times New Roman"/>
          <w:color w:val="231F20"/>
          <w:spacing w:val="-25"/>
          <w:w w:val="105"/>
        </w:rPr>
        <w:t> </w:t>
      </w:r>
      <w:r>
        <w:rPr>
          <w:rFonts w:ascii="Times New Roman"/>
          <w:color w:val="231F20"/>
          <w:w w:val="105"/>
        </w:rPr>
        <w:t>applied</w:t>
      </w:r>
      <w:r>
        <w:rPr>
          <w:rFonts w:ascii="Times New Roman"/>
          <w:color w:val="231F20"/>
          <w:spacing w:val="-26"/>
          <w:w w:val="105"/>
        </w:rPr>
        <w:t> </w:t>
      </w:r>
      <w:r>
        <w:rPr>
          <w:rFonts w:ascii="Times New Roman"/>
          <w:color w:val="231F20"/>
          <w:w w:val="105"/>
        </w:rPr>
        <w:t>research,</w:t>
      </w:r>
      <w:r>
        <w:rPr>
          <w:rFonts w:ascii="Times New Roman"/>
          <w:color w:val="231F20"/>
          <w:spacing w:val="-25"/>
          <w:w w:val="105"/>
        </w:rPr>
        <w:t> </w:t>
      </w:r>
      <w:r>
        <w:rPr>
          <w:rFonts w:ascii="Times New Roman"/>
          <w:color w:val="231F20"/>
          <w:w w:val="105"/>
        </w:rPr>
        <w:t>and </w:t>
      </w:r>
      <w:r>
        <w:rPr>
          <w:color w:val="231F20"/>
          <w:w w:val="105"/>
        </w:rPr>
        <w:t>facilitating understanding of the epidemiology of</w:t>
      </w:r>
      <w:r>
        <w:rPr>
          <w:color w:val="231F20"/>
          <w:spacing w:val="-20"/>
          <w:w w:val="105"/>
        </w:rPr>
        <w:t> </w:t>
      </w:r>
      <w:r>
        <w:rPr>
          <w:color w:val="231F20"/>
          <w:w w:val="105"/>
        </w:rPr>
        <w:t>foodborne</w:t>
      </w:r>
      <w:r>
        <w:rPr>
          <w:color w:val="231F20"/>
          <w:spacing w:val="-32"/>
          <w:w w:val="105"/>
        </w:rPr>
        <w:t> </w:t>
      </w:r>
      <w:r>
        <w:rPr>
          <w:color w:val="231F20"/>
          <w:w w:val="105"/>
        </w:rPr>
        <w:t>diseases.</w:t>
      </w:r>
    </w:p>
    <w:p>
      <w:pPr>
        <w:pStyle w:val="BodyText"/>
        <w:spacing w:line="261" w:lineRule="auto" w:before="167"/>
        <w:ind w:left="720" w:right="-7"/>
        <w:rPr>
          <w:rFonts w:ascii="Times New Roman"/>
        </w:rPr>
      </w:pPr>
      <w:r>
        <w:rPr>
          <w:rFonts w:ascii="Times New Roman"/>
          <w:color w:val="231F20"/>
        </w:rPr>
        <w:t>Three general surveillance methods are used to detect foodborne disease outbreaks:</w:t>
      </w:r>
    </w:p>
    <w:p>
      <w:pPr>
        <w:pStyle w:val="ListParagraph"/>
        <w:numPr>
          <w:ilvl w:val="1"/>
          <w:numId w:val="2"/>
        </w:numPr>
        <w:tabs>
          <w:tab w:pos="891" w:val="left" w:leader="none"/>
        </w:tabs>
        <w:spacing w:line="240" w:lineRule="auto" w:before="193" w:after="0"/>
        <w:ind w:left="890" w:right="0" w:hanging="170"/>
        <w:jc w:val="left"/>
        <w:rPr>
          <w:sz w:val="20"/>
        </w:rPr>
      </w:pPr>
      <w:r>
        <w:rPr>
          <w:color w:val="231F20"/>
          <w:w w:val="105"/>
          <w:sz w:val="20"/>
        </w:rPr>
        <w:t>Pathogen-specific</w:t>
      </w:r>
      <w:r>
        <w:rPr>
          <w:color w:val="231F20"/>
          <w:spacing w:val="-28"/>
          <w:w w:val="105"/>
          <w:sz w:val="20"/>
        </w:rPr>
        <w:t> </w:t>
      </w:r>
      <w:r>
        <w:rPr>
          <w:color w:val="231F20"/>
          <w:w w:val="105"/>
          <w:sz w:val="20"/>
        </w:rPr>
        <w:t>surveillance</w:t>
      </w:r>
      <w:r>
        <w:rPr>
          <w:color w:val="231F20"/>
          <w:spacing w:val="-28"/>
          <w:w w:val="105"/>
          <w:sz w:val="20"/>
        </w:rPr>
        <w:t> </w:t>
      </w:r>
      <w:r>
        <w:rPr>
          <w:color w:val="231F20"/>
          <w:w w:val="105"/>
          <w:sz w:val="20"/>
        </w:rPr>
        <w:t>(Section</w:t>
      </w:r>
      <w:r>
        <w:rPr>
          <w:color w:val="231F20"/>
          <w:spacing w:val="-28"/>
          <w:w w:val="105"/>
          <w:sz w:val="20"/>
        </w:rPr>
        <w:t> </w:t>
      </w:r>
      <w:r>
        <w:rPr>
          <w:color w:val="231F20"/>
          <w:w w:val="105"/>
          <w:sz w:val="20"/>
        </w:rPr>
        <w:t>4.2);</w:t>
      </w:r>
    </w:p>
    <w:p>
      <w:pPr>
        <w:pStyle w:val="ListParagraph"/>
        <w:numPr>
          <w:ilvl w:val="1"/>
          <w:numId w:val="2"/>
        </w:numPr>
        <w:tabs>
          <w:tab w:pos="891" w:val="left" w:leader="none"/>
        </w:tabs>
        <w:spacing w:line="240" w:lineRule="auto" w:before="114" w:after="0"/>
        <w:ind w:left="890" w:right="0" w:hanging="170"/>
        <w:jc w:val="left"/>
        <w:rPr>
          <w:sz w:val="20"/>
        </w:rPr>
      </w:pPr>
      <w:r>
        <w:rPr>
          <w:color w:val="231F20"/>
          <w:w w:val="105"/>
          <w:sz w:val="20"/>
        </w:rPr>
        <w:t>Complaint</w:t>
      </w:r>
      <w:r>
        <w:rPr>
          <w:color w:val="231F20"/>
          <w:spacing w:val="-12"/>
          <w:w w:val="105"/>
          <w:sz w:val="20"/>
        </w:rPr>
        <w:t> </w:t>
      </w:r>
      <w:r>
        <w:rPr>
          <w:color w:val="231F20"/>
          <w:w w:val="105"/>
          <w:sz w:val="20"/>
        </w:rPr>
        <w:t>systems</w:t>
      </w:r>
      <w:r>
        <w:rPr>
          <w:color w:val="231F20"/>
          <w:spacing w:val="-12"/>
          <w:w w:val="105"/>
          <w:sz w:val="20"/>
        </w:rPr>
        <w:t> </w:t>
      </w:r>
      <w:r>
        <w:rPr>
          <w:color w:val="231F20"/>
          <w:w w:val="105"/>
          <w:sz w:val="20"/>
        </w:rPr>
        <w:t>(Section</w:t>
      </w:r>
      <w:r>
        <w:rPr>
          <w:color w:val="231F20"/>
          <w:spacing w:val="-12"/>
          <w:w w:val="105"/>
          <w:sz w:val="20"/>
        </w:rPr>
        <w:t> </w:t>
      </w:r>
      <w:r>
        <w:rPr>
          <w:color w:val="231F20"/>
          <w:w w:val="105"/>
          <w:sz w:val="20"/>
        </w:rPr>
        <w:t>4.3);</w:t>
      </w:r>
      <w:r>
        <w:rPr>
          <w:color w:val="231F20"/>
          <w:spacing w:val="-12"/>
          <w:w w:val="105"/>
          <w:sz w:val="20"/>
        </w:rPr>
        <w:t> </w:t>
      </w:r>
      <w:r>
        <w:rPr>
          <w:color w:val="231F20"/>
          <w:w w:val="105"/>
          <w:sz w:val="20"/>
        </w:rPr>
        <w:t>and</w:t>
      </w:r>
    </w:p>
    <w:p>
      <w:pPr>
        <w:pStyle w:val="ListParagraph"/>
        <w:numPr>
          <w:ilvl w:val="1"/>
          <w:numId w:val="2"/>
        </w:numPr>
        <w:tabs>
          <w:tab w:pos="891" w:val="left" w:leader="none"/>
        </w:tabs>
        <w:spacing w:line="240" w:lineRule="auto" w:before="114" w:after="0"/>
        <w:ind w:left="890" w:right="0" w:hanging="170"/>
        <w:jc w:val="left"/>
        <w:rPr>
          <w:sz w:val="20"/>
        </w:rPr>
      </w:pPr>
      <w:r>
        <w:rPr>
          <w:color w:val="231F20"/>
          <w:w w:val="105"/>
          <w:sz w:val="20"/>
        </w:rPr>
        <w:t>Syndromic surveillance (Section</w:t>
      </w:r>
      <w:r>
        <w:rPr>
          <w:color w:val="231F20"/>
          <w:spacing w:val="-35"/>
          <w:w w:val="105"/>
          <w:sz w:val="20"/>
        </w:rPr>
        <w:t> </w:t>
      </w:r>
      <w:r>
        <w:rPr>
          <w:color w:val="231F20"/>
          <w:w w:val="105"/>
          <w:sz w:val="20"/>
        </w:rPr>
        <w:t>4.4).</w:t>
      </w:r>
    </w:p>
    <w:p>
      <w:pPr>
        <w:pStyle w:val="BodyText"/>
        <w:spacing w:line="261" w:lineRule="auto" w:before="189"/>
        <w:ind w:left="720" w:right="297"/>
        <w:rPr>
          <w:rFonts w:ascii="Arial"/>
        </w:rPr>
      </w:pPr>
      <w:r>
        <w:rPr>
          <w:rFonts w:ascii="Arial"/>
          <w:color w:val="1C3E94"/>
        </w:rPr>
        <w:t>Pathogen-Specific Surveillance</w:t>
      </w:r>
      <w:r>
        <w:rPr>
          <w:rFonts w:ascii="Arial"/>
          <w:color w:val="1C3E94"/>
          <w:w w:val="97"/>
        </w:rPr>
        <w:t> </w:t>
      </w:r>
      <w:r>
        <w:rPr>
          <w:rFonts w:ascii="Arial"/>
          <w:color w:val="1C3E94"/>
        </w:rPr>
        <w:t>(Section 4.2)</w:t>
      </w:r>
    </w:p>
    <w:p>
      <w:pPr>
        <w:pStyle w:val="BodyText"/>
        <w:spacing w:line="266" w:lineRule="auto" w:before="195"/>
        <w:ind w:left="720" w:right="124"/>
      </w:pPr>
      <w:r>
        <w:rPr>
          <w:color w:val="231F20"/>
          <w:w w:val="105"/>
        </w:rPr>
        <w:t>In pathogen-specific surveillance, medical and clinical laboratory staff report individual</w:t>
      </w:r>
    </w:p>
    <w:p>
      <w:pPr>
        <w:pStyle w:val="BodyText"/>
        <w:spacing w:line="216" w:lineRule="exact"/>
        <w:ind w:left="720"/>
        <w:rPr>
          <w:rFonts w:ascii="Times New Roman"/>
        </w:rPr>
      </w:pPr>
      <w:r>
        <w:rPr>
          <w:rFonts w:ascii="Times New Roman"/>
          <w:color w:val="231F20"/>
        </w:rPr>
        <w:t>cases of disease to the designated public health</w:t>
      </w:r>
    </w:p>
    <w:p>
      <w:pPr>
        <w:pStyle w:val="BodyText"/>
        <w:spacing w:line="266" w:lineRule="auto" w:before="34"/>
        <w:ind w:left="720" w:right="163"/>
      </w:pPr>
      <w:r>
        <w:rPr>
          <w:color w:val="231F20"/>
        </w:rPr>
        <w:t>agency when certain pathogens are identified in patient specimens or specific clinical syndromes are recognized </w:t>
      </w:r>
      <w:r>
        <w:rPr>
          <w:color w:val="231F20"/>
          <w:spacing w:val="-4"/>
        </w:rPr>
        <w:t>(e.g., </w:t>
      </w:r>
      <w:r>
        <w:rPr>
          <w:color w:val="231F20"/>
        </w:rPr>
        <w:t>hemolytic uremic syndrome and botulism). In addition, clinical laboratories forward selected patient isolates—specimens that were positive for a </w:t>
      </w:r>
      <w:r>
        <w:rPr>
          <w:rFonts w:ascii="Times New Roman" w:hAnsi="Times New Roman"/>
          <w:color w:val="231F20"/>
        </w:rPr>
        <w:t>reportable enteric pathogen—to the public </w:t>
      </w:r>
      <w:r>
        <w:rPr>
          <w:color w:val="231F20"/>
        </w:rPr>
        <w:t>health </w:t>
      </w:r>
      <w:r>
        <w:rPr>
          <w:color w:val="231F20"/>
          <w:spacing w:val="35"/>
        </w:rPr>
        <w:t> </w:t>
      </w:r>
      <w:r>
        <w:rPr>
          <w:color w:val="231F20"/>
          <w:spacing w:val="-3"/>
        </w:rPr>
        <w:t>laboratory.</w:t>
      </w:r>
    </w:p>
    <w:p>
      <w:pPr>
        <w:pStyle w:val="BodyText"/>
        <w:spacing w:line="264" w:lineRule="auto" w:before="107"/>
        <w:ind w:left="321" w:right="1545"/>
      </w:pPr>
      <w:r>
        <w:rPr/>
        <w:br w:type="column"/>
      </w:r>
      <w:r>
        <w:rPr>
          <w:color w:val="231F20"/>
        </w:rPr>
        <w:t>Staff from the public health agency may interview persons with reported cases one or </w:t>
      </w:r>
      <w:r>
        <w:rPr>
          <w:rFonts w:ascii="Times New Roman"/>
          <w:color w:val="231F20"/>
        </w:rPr>
        <w:t>more times to collect clinical, demographic, </w:t>
      </w:r>
      <w:r>
        <w:rPr>
          <w:color w:val="231F20"/>
        </w:rPr>
        <w:t>and  exposure  information.  The  scope  of these interviews varies by  jurisdiction and  can</w:t>
      </w:r>
    </w:p>
    <w:p>
      <w:pPr>
        <w:pStyle w:val="BodyText"/>
        <w:spacing w:line="259" w:lineRule="auto" w:before="2"/>
        <w:ind w:left="321" w:right="1545"/>
        <w:rPr>
          <w:rFonts w:ascii="Times New Roman"/>
        </w:rPr>
      </w:pPr>
      <w:r>
        <w:rPr>
          <w:color w:val="231F20"/>
        </w:rPr>
        <w:t>include routine collection of detailed exposure information at the time of initial report. The </w:t>
      </w:r>
      <w:r>
        <w:rPr>
          <w:rFonts w:ascii="Times New Roman"/>
          <w:color w:val="231F20"/>
        </w:rPr>
        <w:t>causative agent, onset of illness, location</w:t>
      </w:r>
    </w:p>
    <w:p>
      <w:pPr>
        <w:pStyle w:val="BodyText"/>
        <w:spacing w:line="266" w:lineRule="auto" w:before="16"/>
        <w:ind w:left="321" w:right="1460"/>
      </w:pPr>
      <w:r>
        <w:rPr>
          <w:color w:val="231F20"/>
          <w:w w:val="105"/>
        </w:rPr>
        <w:t>of the case, and exposures are examined to identify disease trends and clusters. Clusters are examined as a group and, if a common exposure</w:t>
      </w:r>
      <w:r>
        <w:rPr>
          <w:color w:val="231F20"/>
          <w:spacing w:val="-17"/>
          <w:w w:val="105"/>
        </w:rPr>
        <w:t> </w:t>
      </w:r>
      <w:r>
        <w:rPr>
          <w:color w:val="231F20"/>
          <w:w w:val="105"/>
        </w:rPr>
        <w:t>seems</w:t>
      </w:r>
      <w:r>
        <w:rPr>
          <w:color w:val="231F20"/>
          <w:spacing w:val="-17"/>
          <w:w w:val="105"/>
        </w:rPr>
        <w:t> </w:t>
      </w:r>
      <w:r>
        <w:rPr>
          <w:color w:val="231F20"/>
          <w:spacing w:val="-4"/>
          <w:w w:val="105"/>
        </w:rPr>
        <w:t>likely,</w:t>
      </w:r>
      <w:r>
        <w:rPr>
          <w:color w:val="231F20"/>
          <w:spacing w:val="-17"/>
          <w:w w:val="105"/>
        </w:rPr>
        <w:t> </w:t>
      </w:r>
      <w:r>
        <w:rPr>
          <w:color w:val="231F20"/>
          <w:w w:val="105"/>
        </w:rPr>
        <w:t>investigated</w:t>
      </w:r>
      <w:r>
        <w:rPr>
          <w:color w:val="231F20"/>
          <w:spacing w:val="-17"/>
          <w:w w:val="105"/>
        </w:rPr>
        <w:t> </w:t>
      </w:r>
      <w:r>
        <w:rPr>
          <w:color w:val="231F20"/>
          <w:w w:val="105"/>
        </w:rPr>
        <w:t>as</w:t>
      </w:r>
      <w:r>
        <w:rPr>
          <w:color w:val="231F20"/>
          <w:spacing w:val="-17"/>
          <w:w w:val="105"/>
        </w:rPr>
        <w:t> </w:t>
      </w:r>
      <w:r>
        <w:rPr>
          <w:color w:val="231F20"/>
          <w:w w:val="105"/>
        </w:rPr>
        <w:t>a</w:t>
      </w:r>
      <w:r>
        <w:rPr>
          <w:color w:val="231F20"/>
          <w:spacing w:val="-17"/>
          <w:w w:val="105"/>
        </w:rPr>
        <w:t> </w:t>
      </w:r>
      <w:r>
        <w:rPr>
          <w:color w:val="231F20"/>
          <w:w w:val="105"/>
        </w:rPr>
        <w:t>possible outbreak</w:t>
      </w:r>
      <w:r>
        <w:rPr>
          <w:color w:val="231F20"/>
          <w:spacing w:val="-22"/>
          <w:w w:val="105"/>
        </w:rPr>
        <w:t> </w:t>
      </w:r>
      <w:r>
        <w:rPr>
          <w:color w:val="231F20"/>
          <w:w w:val="105"/>
        </w:rPr>
        <w:t>(4.2.4).</w:t>
      </w:r>
    </w:p>
    <w:p>
      <w:pPr>
        <w:pStyle w:val="BodyText"/>
        <w:spacing w:line="266" w:lineRule="auto" w:before="179"/>
        <w:ind w:left="321" w:right="1467"/>
      </w:pPr>
      <w:r>
        <w:rPr>
          <w:color w:val="231F20"/>
          <w:w w:val="105"/>
        </w:rPr>
        <w:t>If</w:t>
      </w:r>
      <w:r>
        <w:rPr>
          <w:color w:val="231F20"/>
          <w:spacing w:val="9"/>
          <w:w w:val="105"/>
        </w:rPr>
        <w:t> </w:t>
      </w:r>
      <w:r>
        <w:rPr>
          <w:color w:val="231F20"/>
          <w:w w:val="105"/>
        </w:rPr>
        <w:t>a</w:t>
      </w:r>
      <w:r>
        <w:rPr>
          <w:color w:val="231F20"/>
          <w:spacing w:val="-13"/>
          <w:w w:val="105"/>
        </w:rPr>
        <w:t> </w:t>
      </w:r>
      <w:r>
        <w:rPr>
          <w:color w:val="231F20"/>
          <w:w w:val="105"/>
        </w:rPr>
        <w:t>patient</w:t>
      </w:r>
      <w:r>
        <w:rPr>
          <w:color w:val="231F20"/>
          <w:spacing w:val="-13"/>
          <w:w w:val="105"/>
        </w:rPr>
        <w:t> </w:t>
      </w:r>
      <w:r>
        <w:rPr>
          <w:color w:val="231F20"/>
          <w:w w:val="105"/>
        </w:rPr>
        <w:t>isolate</w:t>
      </w:r>
      <w:r>
        <w:rPr>
          <w:color w:val="231F20"/>
          <w:spacing w:val="-13"/>
          <w:w w:val="105"/>
        </w:rPr>
        <w:t> </w:t>
      </w:r>
      <w:r>
        <w:rPr>
          <w:color w:val="231F20"/>
          <w:w w:val="105"/>
        </w:rPr>
        <w:t>is</w:t>
      </w:r>
      <w:r>
        <w:rPr>
          <w:color w:val="231F20"/>
          <w:spacing w:val="-13"/>
          <w:w w:val="105"/>
        </w:rPr>
        <w:t> </w:t>
      </w:r>
      <w:r>
        <w:rPr>
          <w:color w:val="231F20"/>
          <w:w w:val="105"/>
        </w:rPr>
        <w:t>forwarded,</w:t>
      </w:r>
      <w:r>
        <w:rPr>
          <w:color w:val="231F20"/>
          <w:spacing w:val="-13"/>
          <w:w w:val="105"/>
        </w:rPr>
        <w:t> </w:t>
      </w:r>
      <w:r>
        <w:rPr>
          <w:color w:val="231F20"/>
          <w:w w:val="105"/>
        </w:rPr>
        <w:t>staff</w:t>
      </w:r>
      <w:r>
        <w:rPr>
          <w:color w:val="231F20"/>
          <w:spacing w:val="-13"/>
          <w:w w:val="105"/>
        </w:rPr>
        <w:t> </w:t>
      </w:r>
      <w:r>
        <w:rPr>
          <w:color w:val="231F20"/>
          <w:w w:val="105"/>
        </w:rPr>
        <w:t>from</w:t>
      </w:r>
      <w:r>
        <w:rPr>
          <w:color w:val="231F20"/>
          <w:spacing w:val="-13"/>
          <w:w w:val="105"/>
        </w:rPr>
        <w:t> </w:t>
      </w:r>
      <w:r>
        <w:rPr>
          <w:color w:val="231F20"/>
          <w:w w:val="105"/>
        </w:rPr>
        <w:t>the public health laboratory confirm the disease agent</w:t>
      </w:r>
      <w:r>
        <w:rPr>
          <w:color w:val="231F20"/>
          <w:spacing w:val="-9"/>
          <w:w w:val="105"/>
        </w:rPr>
        <w:t> </w:t>
      </w:r>
      <w:r>
        <w:rPr>
          <w:color w:val="231F20"/>
          <w:w w:val="105"/>
        </w:rPr>
        <w:t>and</w:t>
      </w:r>
      <w:r>
        <w:rPr>
          <w:color w:val="231F20"/>
          <w:spacing w:val="-9"/>
          <w:w w:val="105"/>
        </w:rPr>
        <w:t> </w:t>
      </w:r>
      <w:r>
        <w:rPr>
          <w:color w:val="231F20"/>
          <w:w w:val="105"/>
        </w:rPr>
        <w:t>conduct</w:t>
      </w:r>
      <w:r>
        <w:rPr>
          <w:color w:val="231F20"/>
          <w:spacing w:val="-9"/>
          <w:w w:val="105"/>
        </w:rPr>
        <w:t> </w:t>
      </w:r>
      <w:r>
        <w:rPr>
          <w:color w:val="231F20"/>
          <w:w w:val="105"/>
        </w:rPr>
        <w:t>tests</w:t>
      </w:r>
      <w:r>
        <w:rPr>
          <w:color w:val="231F20"/>
          <w:spacing w:val="-9"/>
          <w:w w:val="105"/>
        </w:rPr>
        <w:t> </w:t>
      </w:r>
      <w:r>
        <w:rPr>
          <w:color w:val="231F20"/>
          <w:w w:val="105"/>
        </w:rPr>
        <w:t>to</w:t>
      </w:r>
      <w:r>
        <w:rPr>
          <w:color w:val="231F20"/>
          <w:spacing w:val="-9"/>
          <w:w w:val="105"/>
        </w:rPr>
        <w:t> </w:t>
      </w:r>
      <w:r>
        <w:rPr>
          <w:color w:val="231F20"/>
          <w:w w:val="105"/>
        </w:rPr>
        <w:t>further</w:t>
      </w:r>
      <w:r>
        <w:rPr>
          <w:color w:val="231F20"/>
          <w:spacing w:val="-9"/>
          <w:w w:val="105"/>
        </w:rPr>
        <w:t> </w:t>
      </w:r>
      <w:r>
        <w:rPr>
          <w:color w:val="231F20"/>
          <w:w w:val="105"/>
        </w:rPr>
        <w:t>characterize the agent </w:t>
      </w:r>
      <w:r>
        <w:rPr>
          <w:color w:val="231F20"/>
          <w:spacing w:val="-4"/>
          <w:w w:val="105"/>
        </w:rPr>
        <w:t>(e.g., </w:t>
      </w:r>
      <w:r>
        <w:rPr>
          <w:color w:val="231F20"/>
          <w:w w:val="105"/>
        </w:rPr>
        <w:t>serotyping, virulence assays, molecular subtyping, or antimicrobial susceptibility testing). Laboratory data are uploaded</w:t>
      </w:r>
      <w:r>
        <w:rPr>
          <w:color w:val="231F20"/>
          <w:spacing w:val="-17"/>
          <w:w w:val="105"/>
        </w:rPr>
        <w:t> </w:t>
      </w:r>
      <w:r>
        <w:rPr>
          <w:color w:val="231F20"/>
          <w:w w:val="105"/>
        </w:rPr>
        <w:t>to</w:t>
      </w:r>
      <w:r>
        <w:rPr>
          <w:color w:val="231F20"/>
          <w:spacing w:val="-17"/>
          <w:w w:val="105"/>
        </w:rPr>
        <w:t> </w:t>
      </w:r>
      <w:r>
        <w:rPr>
          <w:color w:val="231F20"/>
          <w:w w:val="105"/>
        </w:rPr>
        <w:t>national</w:t>
      </w:r>
      <w:r>
        <w:rPr>
          <w:color w:val="231F20"/>
          <w:spacing w:val="-17"/>
          <w:w w:val="105"/>
        </w:rPr>
        <w:t> </w:t>
      </w:r>
      <w:r>
        <w:rPr>
          <w:color w:val="231F20"/>
          <w:w w:val="105"/>
        </w:rPr>
        <w:t>systems,</w:t>
      </w:r>
      <w:r>
        <w:rPr>
          <w:color w:val="231F20"/>
          <w:spacing w:val="-17"/>
          <w:w w:val="105"/>
        </w:rPr>
        <w:t> </w:t>
      </w:r>
      <w:r>
        <w:rPr>
          <w:color w:val="231F20"/>
          <w:w w:val="105"/>
        </w:rPr>
        <w:t>such</w:t>
      </w:r>
      <w:r>
        <w:rPr>
          <w:color w:val="231F20"/>
          <w:spacing w:val="-17"/>
          <w:w w:val="105"/>
        </w:rPr>
        <w:t> </w:t>
      </w:r>
      <w:r>
        <w:rPr>
          <w:color w:val="231F20"/>
          <w:w w:val="105"/>
        </w:rPr>
        <w:t>as</w:t>
      </w:r>
      <w:r>
        <w:rPr>
          <w:color w:val="231F20"/>
          <w:spacing w:val="-17"/>
          <w:w w:val="105"/>
        </w:rPr>
        <w:t> </w:t>
      </w:r>
      <w:r>
        <w:rPr>
          <w:color w:val="231F20"/>
          <w:w w:val="105"/>
        </w:rPr>
        <w:t>PulseNet (4.2.5).</w:t>
      </w:r>
    </w:p>
    <w:p>
      <w:pPr>
        <w:pStyle w:val="BodyText"/>
        <w:spacing w:line="266" w:lineRule="auto" w:before="165"/>
        <w:ind w:left="321" w:right="1545"/>
      </w:pPr>
      <w:r>
        <w:rPr>
          <w:rFonts w:ascii="Times New Roman"/>
          <w:color w:val="231F20"/>
        </w:rPr>
        <w:t>Microbiological screening of food or other </w:t>
      </w:r>
      <w:r>
        <w:rPr>
          <w:color w:val="231F20"/>
        </w:rPr>
        <w:t>environmental specimens may be useful for   </w:t>
      </w:r>
      <w:r>
        <w:rPr>
          <w:rFonts w:ascii="Times New Roman"/>
          <w:color w:val="231F20"/>
        </w:rPr>
        <w:t>an individual case of botulism and for certain </w:t>
      </w:r>
      <w:r>
        <w:rPr>
          <w:color w:val="231F20"/>
        </w:rPr>
        <w:t>high-risk exposures reported </w:t>
      </w:r>
      <w:r>
        <w:rPr>
          <w:color w:val="231F20"/>
          <w:spacing w:val="-3"/>
        </w:rPr>
        <w:t>by </w:t>
      </w:r>
      <w:r>
        <w:rPr>
          <w:color w:val="231F20"/>
        </w:rPr>
        <w:t>cases of other diseases. Unfocused microbiological screening of  foods is generally unproductive  (4.2.5.2).</w:t>
      </w:r>
    </w:p>
    <w:p>
      <w:pPr>
        <w:spacing w:line="290" w:lineRule="auto" w:before="183"/>
        <w:ind w:left="321" w:right="1687" w:firstLine="0"/>
        <w:jc w:val="left"/>
        <w:rPr>
          <w:rFonts w:ascii="Arial"/>
          <w:sz w:val="18"/>
        </w:rPr>
      </w:pPr>
      <w:r>
        <w:rPr>
          <w:rFonts w:ascii="Arial"/>
          <w:color w:val="00A94F"/>
          <w:sz w:val="18"/>
        </w:rPr>
        <w:t>Strengths of Pathogen-Specific Surveillance</w:t>
      </w:r>
      <w:r>
        <w:rPr>
          <w:rFonts w:ascii="Arial"/>
          <w:color w:val="00A94F"/>
          <w:w w:val="97"/>
          <w:sz w:val="18"/>
        </w:rPr>
        <w:t> </w:t>
      </w:r>
      <w:r>
        <w:rPr>
          <w:rFonts w:ascii="Arial"/>
          <w:color w:val="00A94F"/>
          <w:sz w:val="18"/>
        </w:rPr>
        <w:t>for Outbreak Detection  (4.2.7)</w:t>
      </w:r>
    </w:p>
    <w:p>
      <w:pPr>
        <w:pStyle w:val="BodyText"/>
        <w:spacing w:line="266" w:lineRule="auto"/>
        <w:ind w:left="321" w:right="1722"/>
      </w:pPr>
      <w:r>
        <w:rPr>
          <w:color w:val="231F20"/>
          <w:w w:val="105"/>
        </w:rPr>
        <w:t>Strengths of pathogen-specific surveillance in outbreak detection largely relate to the specificity with which disease agents are classified and include the;</w:t>
      </w:r>
    </w:p>
    <w:p>
      <w:pPr>
        <w:pStyle w:val="ListParagraph"/>
        <w:numPr>
          <w:ilvl w:val="0"/>
          <w:numId w:val="2"/>
        </w:numPr>
        <w:tabs>
          <w:tab w:pos="493" w:val="left" w:leader="none"/>
        </w:tabs>
        <w:spacing w:line="266" w:lineRule="auto" w:before="183" w:after="0"/>
        <w:ind w:left="492" w:right="1477" w:hanging="171"/>
        <w:jc w:val="left"/>
        <w:rPr>
          <w:sz w:val="20"/>
        </w:rPr>
      </w:pPr>
      <w:r>
        <w:rPr>
          <w:color w:val="231F20"/>
          <w:w w:val="105"/>
          <w:sz w:val="20"/>
        </w:rPr>
        <w:t>Ability to detect widespread disease clusters initially linked only </w:t>
      </w:r>
      <w:r>
        <w:rPr>
          <w:color w:val="231F20"/>
          <w:spacing w:val="-3"/>
          <w:w w:val="105"/>
          <w:sz w:val="20"/>
        </w:rPr>
        <w:t>by </w:t>
      </w:r>
      <w:r>
        <w:rPr>
          <w:color w:val="231F20"/>
          <w:w w:val="105"/>
          <w:sz w:val="20"/>
        </w:rPr>
        <w:t>a common agent;</w:t>
      </w:r>
      <w:r>
        <w:rPr>
          <w:color w:val="231F20"/>
          <w:spacing w:val="-7"/>
          <w:w w:val="105"/>
          <w:sz w:val="20"/>
        </w:rPr>
        <w:t> </w:t>
      </w:r>
      <w:r>
        <w:rPr>
          <w:color w:val="231F20"/>
          <w:w w:val="105"/>
          <w:sz w:val="20"/>
        </w:rPr>
        <w:t>and</w:t>
      </w:r>
    </w:p>
    <w:p>
      <w:pPr>
        <w:pStyle w:val="ListParagraph"/>
        <w:numPr>
          <w:ilvl w:val="0"/>
          <w:numId w:val="2"/>
        </w:numPr>
        <w:tabs>
          <w:tab w:pos="493" w:val="left" w:leader="none"/>
        </w:tabs>
        <w:spacing w:line="266" w:lineRule="auto" w:before="90" w:after="0"/>
        <w:ind w:left="492" w:right="1582" w:hanging="171"/>
        <w:jc w:val="left"/>
        <w:rPr>
          <w:sz w:val="20"/>
        </w:rPr>
      </w:pPr>
      <w:r>
        <w:rPr>
          <w:color w:val="231F20"/>
          <w:sz w:val="20"/>
        </w:rPr>
        <w:t>High sensitivity for detecting unforeseen problems in food and water supply </w:t>
      </w:r>
      <w:r>
        <w:rPr>
          <w:color w:val="231F20"/>
          <w:spacing w:val="16"/>
          <w:sz w:val="20"/>
        </w:rPr>
        <w:t> </w:t>
      </w:r>
      <w:r>
        <w:rPr>
          <w:color w:val="231F20"/>
          <w:sz w:val="20"/>
        </w:rPr>
        <w:t>systems.</w:t>
      </w:r>
    </w:p>
    <w:p>
      <w:pPr>
        <w:spacing w:line="290" w:lineRule="auto" w:before="184"/>
        <w:ind w:left="321" w:right="1598" w:firstLine="0"/>
        <w:jc w:val="left"/>
        <w:rPr>
          <w:rFonts w:ascii="Arial"/>
          <w:sz w:val="18"/>
        </w:rPr>
      </w:pPr>
      <w:r>
        <w:rPr>
          <w:rFonts w:ascii="Arial"/>
          <w:color w:val="00A94F"/>
          <w:sz w:val="18"/>
        </w:rPr>
        <w:t>Limitations of Pathogen-Specific Surveillance (4.2.8)</w:t>
      </w:r>
    </w:p>
    <w:p>
      <w:pPr>
        <w:pStyle w:val="BodyText"/>
        <w:spacing w:line="252" w:lineRule="auto"/>
        <w:ind w:left="321" w:right="1545"/>
        <w:rPr>
          <w:rFonts w:ascii="Times New Roman"/>
        </w:rPr>
      </w:pPr>
      <w:r>
        <w:rPr>
          <w:color w:val="231F20"/>
        </w:rPr>
        <w:t>The limitations of pathogen-specific </w:t>
      </w:r>
      <w:r>
        <w:rPr>
          <w:rFonts w:ascii="Times New Roman"/>
          <w:color w:val="231F20"/>
          <w:w w:val="95"/>
        </w:rPr>
        <w:t>surveillance include:</w:t>
      </w:r>
    </w:p>
    <w:p>
      <w:pPr>
        <w:spacing w:after="0" w:line="252" w:lineRule="auto"/>
        <w:rPr>
          <w:rFonts w:ascii="Times New Roman"/>
        </w:rPr>
        <w:sectPr>
          <w:type w:val="continuous"/>
          <w:pgSz w:w="10080" w:h="14400"/>
          <w:pgMar w:top="0" w:bottom="360" w:left="0" w:right="0"/>
          <w:cols w:num="2" w:equalWidth="0">
            <w:col w:w="4499" w:space="40"/>
            <w:col w:w="5541"/>
          </w:cols>
        </w:sectPr>
      </w:pPr>
    </w:p>
    <w:p>
      <w:pPr>
        <w:pStyle w:val="BodyText"/>
        <w:spacing w:before="5"/>
        <w:rPr>
          <w:rFonts w:ascii="Times New Roman"/>
          <w:sz w:val="10"/>
        </w:rPr>
      </w:pPr>
    </w:p>
    <w:p>
      <w:pPr>
        <w:pStyle w:val="Heading1"/>
        <w:spacing w:line="249" w:lineRule="auto" w:before="98"/>
      </w:pPr>
      <w:r>
        <w:rPr/>
        <w:pict>
          <v:line style="position:absolute;mso-position-horizontal-relative:page;mso-position-vertical-relative:paragraph;z-index:2440;mso-wrap-distance-left:0;mso-wrap-distance-right:0" from="72pt,40.841942pt" to="468pt,40.841942pt" stroked="true" strokeweight=".5pt" strokecolor="#00a94f">
            <v:stroke dashstyle="solid"/>
            <w10:wrap type="topAndBottom"/>
          </v:line>
        </w:pict>
      </w:r>
      <w:r>
        <w:rPr/>
        <w:pict>
          <v:rect style="position:absolute;margin-left:0pt;margin-top:7.391943pt;width:45pt;height:18pt;mso-position-horizontal-relative:page;mso-position-vertical-relative:paragraph;z-index:2464" filled="true" fillcolor="#0079c1" stroked="false">
            <v:fill type="solid"/>
            <w10:wrap type="none"/>
          </v:rect>
        </w:pict>
      </w:r>
      <w:r>
        <w:rPr/>
        <w:pict>
          <v:line style="position:absolute;mso-position-horizontal-relative:page;mso-position-vertical-relative:paragraph;z-index:2488" from="54.5pt,7.391943pt" to="54.5pt,191.669943pt" stroked="true" strokeweight="1pt" strokecolor="#0079c1">
            <v:stroke dashstyle="solid"/>
            <w10:wrap type="none"/>
          </v:line>
        </w:pict>
      </w:r>
      <w:r>
        <w:rPr/>
        <w:pict>
          <v:shape style="position:absolute;margin-left:18.200388pt;margin-top:12.142896pt;width:15.85pt;height:180.55pt;mso-position-horizontal-relative:page;mso-position-vertical-relative:paragraph;z-index:2512"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4. Foodborne Disease Surveillance and Outbreak  Detection</w:t>
      </w:r>
    </w:p>
    <w:p>
      <w:pPr>
        <w:pStyle w:val="BodyText"/>
        <w:spacing w:before="5"/>
        <w:rPr>
          <w:rFonts w:ascii="Arial"/>
          <w:sz w:val="14"/>
        </w:rPr>
      </w:pPr>
    </w:p>
    <w:p>
      <w:pPr>
        <w:spacing w:after="0"/>
        <w:rPr>
          <w:rFonts w:ascii="Arial"/>
          <w:sz w:val="14"/>
        </w:rPr>
        <w:sectPr>
          <w:pgSz w:w="10080" w:h="14400"/>
          <w:pgMar w:header="0" w:footer="160" w:top="1160" w:bottom="360" w:left="0" w:right="0"/>
        </w:sectPr>
      </w:pPr>
    </w:p>
    <w:p>
      <w:pPr>
        <w:pStyle w:val="ListParagraph"/>
        <w:numPr>
          <w:ilvl w:val="1"/>
          <w:numId w:val="2"/>
        </w:numPr>
        <w:tabs>
          <w:tab w:pos="1611" w:val="left" w:leader="none"/>
        </w:tabs>
        <w:spacing w:line="266" w:lineRule="auto" w:before="107" w:after="0"/>
        <w:ind w:left="1610" w:right="252" w:hanging="170"/>
        <w:jc w:val="left"/>
        <w:rPr>
          <w:sz w:val="20"/>
        </w:rPr>
      </w:pPr>
      <w:r>
        <w:rPr>
          <w:color w:val="231F20"/>
          <w:w w:val="105"/>
          <w:sz w:val="20"/>
        </w:rPr>
        <w:t>Inclusion of only diseases detected </w:t>
      </w:r>
      <w:r>
        <w:rPr>
          <w:color w:val="231F20"/>
          <w:spacing w:val="-3"/>
          <w:w w:val="105"/>
          <w:sz w:val="20"/>
        </w:rPr>
        <w:t>by </w:t>
      </w:r>
      <w:r>
        <w:rPr>
          <w:color w:val="231F20"/>
          <w:w w:val="105"/>
          <w:sz w:val="20"/>
        </w:rPr>
        <w:t>routine</w:t>
      </w:r>
      <w:r>
        <w:rPr>
          <w:color w:val="231F20"/>
          <w:spacing w:val="-9"/>
          <w:w w:val="105"/>
          <w:sz w:val="20"/>
        </w:rPr>
        <w:t> </w:t>
      </w:r>
      <w:r>
        <w:rPr>
          <w:color w:val="231F20"/>
          <w:w w:val="105"/>
          <w:sz w:val="20"/>
        </w:rPr>
        <w:t>laboratory</w:t>
      </w:r>
      <w:r>
        <w:rPr>
          <w:color w:val="231F20"/>
          <w:spacing w:val="-9"/>
          <w:w w:val="105"/>
          <w:sz w:val="20"/>
        </w:rPr>
        <w:t> </w:t>
      </w:r>
      <w:r>
        <w:rPr>
          <w:color w:val="231F20"/>
          <w:w w:val="105"/>
          <w:sz w:val="20"/>
        </w:rPr>
        <w:t>testing</w:t>
      </w:r>
      <w:r>
        <w:rPr>
          <w:color w:val="231F20"/>
          <w:spacing w:val="-9"/>
          <w:w w:val="105"/>
          <w:sz w:val="20"/>
        </w:rPr>
        <w:t> </w:t>
      </w:r>
      <w:r>
        <w:rPr>
          <w:color w:val="231F20"/>
          <w:w w:val="105"/>
          <w:sz w:val="20"/>
        </w:rPr>
        <w:t>and</w:t>
      </w:r>
      <w:r>
        <w:rPr>
          <w:color w:val="231F20"/>
          <w:spacing w:val="-9"/>
          <w:w w:val="105"/>
          <w:sz w:val="20"/>
        </w:rPr>
        <w:t> </w:t>
      </w:r>
      <w:r>
        <w:rPr>
          <w:color w:val="231F20"/>
          <w:w w:val="105"/>
          <w:sz w:val="20"/>
        </w:rPr>
        <w:t>reported</w:t>
      </w:r>
      <w:r>
        <w:rPr>
          <w:color w:val="231F20"/>
          <w:spacing w:val="-9"/>
          <w:w w:val="105"/>
          <w:sz w:val="20"/>
        </w:rPr>
        <w:t> </w:t>
      </w:r>
      <w:r>
        <w:rPr>
          <w:color w:val="231F20"/>
          <w:w w:val="105"/>
          <w:sz w:val="20"/>
        </w:rPr>
        <w:t>to the public health agency;</w:t>
      </w:r>
      <w:r>
        <w:rPr>
          <w:color w:val="231F20"/>
          <w:spacing w:val="2"/>
          <w:w w:val="105"/>
          <w:sz w:val="20"/>
        </w:rPr>
        <w:t> </w:t>
      </w:r>
      <w:r>
        <w:rPr>
          <w:color w:val="231F20"/>
          <w:w w:val="105"/>
          <w:sz w:val="20"/>
        </w:rPr>
        <w:t>and</w:t>
      </w:r>
    </w:p>
    <w:p>
      <w:pPr>
        <w:pStyle w:val="ListParagraph"/>
        <w:numPr>
          <w:ilvl w:val="1"/>
          <w:numId w:val="2"/>
        </w:numPr>
        <w:tabs>
          <w:tab w:pos="1611" w:val="left" w:leader="none"/>
        </w:tabs>
        <w:spacing w:line="252" w:lineRule="auto" w:before="89" w:after="0"/>
        <w:ind w:left="1610" w:right="366" w:hanging="170"/>
        <w:jc w:val="left"/>
        <w:rPr>
          <w:rFonts w:ascii="Times New Roman"/>
          <w:sz w:val="20"/>
        </w:rPr>
      </w:pPr>
      <w:r>
        <w:rPr>
          <w:color w:val="231F20"/>
          <w:sz w:val="20"/>
        </w:rPr>
        <w:t>Delay in cluster detection and follow-   </w:t>
      </w:r>
      <w:r>
        <w:rPr>
          <w:rFonts w:ascii="Times New Roman"/>
          <w:color w:val="231F20"/>
          <w:sz w:val="20"/>
        </w:rPr>
        <w:t>up resulting from events that must</w:t>
      </w:r>
      <w:r>
        <w:rPr>
          <w:rFonts w:ascii="Times New Roman"/>
          <w:color w:val="231F20"/>
          <w:spacing w:val="-20"/>
          <w:sz w:val="20"/>
        </w:rPr>
        <w:t> </w:t>
      </w:r>
      <w:r>
        <w:rPr>
          <w:rFonts w:ascii="Times New Roman"/>
          <w:color w:val="231F20"/>
          <w:sz w:val="20"/>
        </w:rPr>
        <w:t>occur</w:t>
      </w:r>
    </w:p>
    <w:p>
      <w:pPr>
        <w:pStyle w:val="BodyText"/>
        <w:spacing w:line="266" w:lineRule="auto" w:before="22"/>
        <w:ind w:left="1610" w:right="274"/>
        <w:jc w:val="both"/>
      </w:pPr>
      <w:r>
        <w:rPr>
          <w:color w:val="231F20"/>
          <w:w w:val="105"/>
        </w:rPr>
        <w:t>between</w:t>
      </w:r>
      <w:r>
        <w:rPr>
          <w:color w:val="231F20"/>
          <w:spacing w:val="-10"/>
          <w:w w:val="105"/>
        </w:rPr>
        <w:t> </w:t>
      </w:r>
      <w:r>
        <w:rPr>
          <w:color w:val="231F20"/>
          <w:w w:val="105"/>
        </w:rPr>
        <w:t>the</w:t>
      </w:r>
      <w:r>
        <w:rPr>
          <w:color w:val="231F20"/>
          <w:spacing w:val="-10"/>
          <w:w w:val="105"/>
        </w:rPr>
        <w:t> </w:t>
      </w:r>
      <w:r>
        <w:rPr>
          <w:color w:val="231F20"/>
          <w:w w:val="105"/>
        </w:rPr>
        <w:t>time</w:t>
      </w:r>
      <w:r>
        <w:rPr>
          <w:color w:val="231F20"/>
          <w:spacing w:val="-10"/>
          <w:w w:val="105"/>
        </w:rPr>
        <w:t> </w:t>
      </w:r>
      <w:r>
        <w:rPr>
          <w:color w:val="231F20"/>
          <w:w w:val="105"/>
        </w:rPr>
        <w:t>a</w:t>
      </w:r>
      <w:r>
        <w:rPr>
          <w:color w:val="231F20"/>
          <w:spacing w:val="-10"/>
          <w:w w:val="105"/>
        </w:rPr>
        <w:t> </w:t>
      </w:r>
      <w:r>
        <w:rPr>
          <w:color w:val="231F20"/>
          <w:w w:val="105"/>
        </w:rPr>
        <w:t>person</w:t>
      </w:r>
      <w:r>
        <w:rPr>
          <w:color w:val="231F20"/>
          <w:spacing w:val="-10"/>
          <w:w w:val="105"/>
        </w:rPr>
        <w:t> </w:t>
      </w:r>
      <w:r>
        <w:rPr>
          <w:color w:val="231F20"/>
          <w:w w:val="105"/>
        </w:rPr>
        <w:t>is</w:t>
      </w:r>
      <w:r>
        <w:rPr>
          <w:color w:val="231F20"/>
          <w:spacing w:val="-10"/>
          <w:w w:val="105"/>
        </w:rPr>
        <w:t> </w:t>
      </w:r>
      <w:r>
        <w:rPr>
          <w:color w:val="231F20"/>
          <w:w w:val="105"/>
        </w:rPr>
        <w:t>infected</w:t>
      </w:r>
      <w:r>
        <w:rPr>
          <w:color w:val="231F20"/>
          <w:spacing w:val="-10"/>
          <w:w w:val="105"/>
        </w:rPr>
        <w:t> </w:t>
      </w:r>
      <w:r>
        <w:rPr>
          <w:color w:val="231F20"/>
          <w:w w:val="105"/>
        </w:rPr>
        <w:t>and the</w:t>
      </w:r>
      <w:r>
        <w:rPr>
          <w:color w:val="231F20"/>
          <w:spacing w:val="-10"/>
          <w:w w:val="105"/>
        </w:rPr>
        <w:t> </w:t>
      </w:r>
      <w:r>
        <w:rPr>
          <w:color w:val="231F20"/>
          <w:w w:val="105"/>
        </w:rPr>
        <w:t>time</w:t>
      </w:r>
      <w:r>
        <w:rPr>
          <w:color w:val="231F20"/>
          <w:spacing w:val="-10"/>
          <w:w w:val="105"/>
        </w:rPr>
        <w:t> </w:t>
      </w:r>
      <w:r>
        <w:rPr>
          <w:color w:val="231F20"/>
          <w:w w:val="105"/>
        </w:rPr>
        <w:t>his</w:t>
      </w:r>
      <w:r>
        <w:rPr>
          <w:color w:val="231F20"/>
          <w:spacing w:val="-10"/>
          <w:w w:val="105"/>
        </w:rPr>
        <w:t> </w:t>
      </w:r>
      <w:r>
        <w:rPr>
          <w:color w:val="231F20"/>
          <w:w w:val="105"/>
        </w:rPr>
        <w:t>or</w:t>
      </w:r>
      <w:r>
        <w:rPr>
          <w:color w:val="231F20"/>
          <w:spacing w:val="-10"/>
          <w:w w:val="105"/>
        </w:rPr>
        <w:t> </w:t>
      </w:r>
      <w:r>
        <w:rPr>
          <w:color w:val="231F20"/>
          <w:w w:val="105"/>
        </w:rPr>
        <w:t>her</w:t>
      </w:r>
      <w:r>
        <w:rPr>
          <w:color w:val="231F20"/>
          <w:spacing w:val="-10"/>
          <w:w w:val="105"/>
        </w:rPr>
        <w:t> </w:t>
      </w:r>
      <w:r>
        <w:rPr>
          <w:color w:val="231F20"/>
          <w:w w:val="105"/>
        </w:rPr>
        <w:t>illness</w:t>
      </w:r>
      <w:r>
        <w:rPr>
          <w:color w:val="231F20"/>
          <w:spacing w:val="-10"/>
          <w:w w:val="105"/>
        </w:rPr>
        <w:t> </w:t>
      </w:r>
      <w:r>
        <w:rPr>
          <w:color w:val="231F20"/>
          <w:w w:val="105"/>
        </w:rPr>
        <w:t>is</w:t>
      </w:r>
      <w:r>
        <w:rPr>
          <w:color w:val="231F20"/>
          <w:spacing w:val="-10"/>
          <w:w w:val="105"/>
        </w:rPr>
        <w:t> </w:t>
      </w:r>
      <w:r>
        <w:rPr>
          <w:color w:val="231F20"/>
          <w:w w:val="105"/>
        </w:rPr>
        <w:t>recognized</w:t>
      </w:r>
      <w:r>
        <w:rPr>
          <w:color w:val="231F20"/>
          <w:spacing w:val="-10"/>
          <w:w w:val="105"/>
        </w:rPr>
        <w:t> </w:t>
      </w:r>
      <w:r>
        <w:rPr>
          <w:color w:val="231F20"/>
          <w:w w:val="105"/>
        </w:rPr>
        <w:t>as part of a</w:t>
      </w:r>
      <w:r>
        <w:rPr>
          <w:color w:val="231F20"/>
          <w:spacing w:val="10"/>
          <w:w w:val="105"/>
        </w:rPr>
        <w:t> </w:t>
      </w:r>
      <w:r>
        <w:rPr>
          <w:color w:val="231F20"/>
          <w:spacing w:val="-3"/>
          <w:w w:val="105"/>
        </w:rPr>
        <w:t>cluster.</w:t>
      </w:r>
    </w:p>
    <w:p>
      <w:pPr>
        <w:spacing w:line="290" w:lineRule="auto" w:before="183"/>
        <w:ind w:left="1440" w:right="0" w:firstLine="0"/>
        <w:jc w:val="left"/>
        <w:rPr>
          <w:rFonts w:ascii="Arial"/>
          <w:sz w:val="18"/>
        </w:rPr>
      </w:pPr>
      <w:r>
        <w:rPr>
          <w:rFonts w:ascii="Arial"/>
          <w:color w:val="00A94F"/>
          <w:sz w:val="18"/>
        </w:rPr>
        <w:t>Key Determinants of Successful Pathogen- Specific Surveillance (4.2.9)</w:t>
      </w:r>
    </w:p>
    <w:p>
      <w:pPr>
        <w:pStyle w:val="BodyText"/>
        <w:spacing w:line="213" w:lineRule="exact"/>
        <w:ind w:left="1440"/>
        <w:rPr>
          <w:rFonts w:ascii="Times New Roman"/>
        </w:rPr>
      </w:pPr>
      <w:r>
        <w:rPr>
          <w:rFonts w:ascii="Times New Roman"/>
          <w:color w:val="231F20"/>
        </w:rPr>
        <w:t>The completeness of  the reporting and</w:t>
      </w:r>
    </w:p>
    <w:p>
      <w:pPr>
        <w:pStyle w:val="BodyText"/>
        <w:spacing w:line="264" w:lineRule="auto" w:before="34"/>
        <w:ind w:left="1440" w:right="193"/>
        <w:rPr>
          <w:rFonts w:ascii="Times New Roman"/>
        </w:rPr>
      </w:pPr>
      <w:r>
        <w:rPr>
          <w:color w:val="231F20"/>
        </w:rPr>
        <w:t>isolate submission processes affects the </w:t>
      </w:r>
      <w:r>
        <w:rPr>
          <w:rFonts w:ascii="Times New Roman"/>
          <w:color w:val="231F20"/>
        </w:rPr>
        <w:t>representativeness of the reported cases and </w:t>
      </w:r>
      <w:r>
        <w:rPr>
          <w:color w:val="231F20"/>
        </w:rPr>
        <w:t>the possible number and size of outbreaks detected. If the percentage of cases detected through  pathogen-specific  surveillance  is low (i.e., low sensitivity), small outbreaks or </w:t>
      </w:r>
      <w:r>
        <w:rPr>
          <w:rFonts w:ascii="Times New Roman"/>
          <w:color w:val="231F20"/>
        </w:rPr>
        <w:t>outbreaks spread over space and time are</w:t>
      </w:r>
    </w:p>
    <w:p>
      <w:pPr>
        <w:pStyle w:val="BodyText"/>
        <w:spacing w:line="266" w:lineRule="auto" w:before="11"/>
        <w:ind w:left="1440" w:right="-3"/>
      </w:pPr>
      <w:r>
        <w:rPr>
          <w:color w:val="231F20"/>
          <w:w w:val="105"/>
        </w:rPr>
        <w:t>more</w:t>
      </w:r>
      <w:r>
        <w:rPr>
          <w:color w:val="231F20"/>
          <w:spacing w:val="-9"/>
          <w:w w:val="105"/>
        </w:rPr>
        <w:t> </w:t>
      </w:r>
      <w:r>
        <w:rPr>
          <w:color w:val="231F20"/>
          <w:w w:val="105"/>
        </w:rPr>
        <w:t>likely</w:t>
      </w:r>
      <w:r>
        <w:rPr>
          <w:color w:val="231F20"/>
          <w:spacing w:val="-9"/>
          <w:w w:val="105"/>
        </w:rPr>
        <w:t> </w:t>
      </w:r>
      <w:r>
        <w:rPr>
          <w:color w:val="231F20"/>
          <w:w w:val="105"/>
        </w:rPr>
        <w:t>to</w:t>
      </w:r>
      <w:r>
        <w:rPr>
          <w:color w:val="231F20"/>
          <w:spacing w:val="-9"/>
          <w:w w:val="105"/>
        </w:rPr>
        <w:t> </w:t>
      </w:r>
      <w:r>
        <w:rPr>
          <w:color w:val="231F20"/>
          <w:w w:val="105"/>
        </w:rPr>
        <w:t>be</w:t>
      </w:r>
      <w:r>
        <w:rPr>
          <w:color w:val="231F20"/>
          <w:spacing w:val="-9"/>
          <w:w w:val="105"/>
        </w:rPr>
        <w:t> </w:t>
      </w:r>
      <w:r>
        <w:rPr>
          <w:color w:val="231F20"/>
          <w:w w:val="105"/>
        </w:rPr>
        <w:t>missed.</w:t>
      </w:r>
      <w:r>
        <w:rPr>
          <w:color w:val="231F20"/>
          <w:spacing w:val="-9"/>
          <w:w w:val="105"/>
        </w:rPr>
        <w:t> </w:t>
      </w:r>
      <w:r>
        <w:rPr>
          <w:color w:val="231F20"/>
          <w:w w:val="105"/>
        </w:rPr>
        <w:t>In</w:t>
      </w:r>
      <w:r>
        <w:rPr>
          <w:color w:val="231F20"/>
          <w:spacing w:val="-9"/>
          <w:w w:val="105"/>
        </w:rPr>
        <w:t> </w:t>
      </w:r>
      <w:r>
        <w:rPr>
          <w:color w:val="231F20"/>
          <w:w w:val="105"/>
        </w:rPr>
        <w:t>addition,</w:t>
      </w:r>
      <w:r>
        <w:rPr>
          <w:color w:val="231F20"/>
          <w:spacing w:val="-9"/>
          <w:w w:val="105"/>
        </w:rPr>
        <w:t> </w:t>
      </w:r>
      <w:r>
        <w:rPr>
          <w:color w:val="231F20"/>
          <w:w w:val="105"/>
        </w:rPr>
        <w:t>reported cases might differ significantly from those not reported. This bias is more likely to influence </w:t>
      </w:r>
      <w:r>
        <w:rPr>
          <w:rFonts w:ascii="Times New Roman"/>
          <w:color w:val="231F20"/>
        </w:rPr>
        <w:t>descriptions</w:t>
      </w:r>
      <w:r>
        <w:rPr>
          <w:rFonts w:ascii="Times New Roman"/>
          <w:color w:val="231F20"/>
          <w:spacing w:val="-12"/>
        </w:rPr>
        <w:t> </w:t>
      </w:r>
      <w:r>
        <w:rPr>
          <w:rFonts w:ascii="Times New Roman"/>
          <w:color w:val="231F20"/>
        </w:rPr>
        <w:t>of</w:t>
      </w:r>
      <w:r>
        <w:rPr>
          <w:rFonts w:ascii="Times New Roman"/>
          <w:color w:val="231F20"/>
          <w:spacing w:val="11"/>
        </w:rPr>
        <w:t> </w:t>
      </w:r>
      <w:r>
        <w:rPr>
          <w:rFonts w:ascii="Times New Roman"/>
          <w:color w:val="231F20"/>
        </w:rPr>
        <w:t>clinical</w:t>
      </w:r>
      <w:r>
        <w:rPr>
          <w:rFonts w:ascii="Times New Roman"/>
          <w:color w:val="231F20"/>
          <w:spacing w:val="-11"/>
        </w:rPr>
        <w:t> </w:t>
      </w:r>
      <w:r>
        <w:rPr>
          <w:rFonts w:ascii="Times New Roman"/>
          <w:color w:val="231F20"/>
        </w:rPr>
        <w:t>illness</w:t>
      </w:r>
      <w:r>
        <w:rPr>
          <w:rFonts w:ascii="Times New Roman"/>
          <w:color w:val="231F20"/>
          <w:spacing w:val="-12"/>
        </w:rPr>
        <w:t> </w:t>
      </w:r>
      <w:r>
        <w:rPr>
          <w:rFonts w:ascii="Times New Roman"/>
          <w:color w:val="231F20"/>
        </w:rPr>
        <w:t>or</w:t>
      </w:r>
      <w:r>
        <w:rPr>
          <w:rFonts w:ascii="Times New Roman"/>
          <w:color w:val="231F20"/>
          <w:spacing w:val="-11"/>
        </w:rPr>
        <w:t> </w:t>
      </w:r>
      <w:r>
        <w:rPr>
          <w:rFonts w:ascii="Times New Roman"/>
          <w:color w:val="231F20"/>
        </w:rPr>
        <w:t>the</w:t>
      </w:r>
      <w:r>
        <w:rPr>
          <w:rFonts w:ascii="Times New Roman"/>
          <w:color w:val="231F20"/>
          <w:spacing w:val="-12"/>
        </w:rPr>
        <w:t> </w:t>
      </w:r>
      <w:r>
        <w:rPr>
          <w:rFonts w:ascii="Times New Roman"/>
          <w:color w:val="231F20"/>
        </w:rPr>
        <w:t>magnitude </w:t>
      </w:r>
      <w:r>
        <w:rPr>
          <w:color w:val="231F20"/>
          <w:w w:val="105"/>
        </w:rPr>
        <w:t>and severity of illness rather than associations with any particular vehicle</w:t>
      </w:r>
      <w:r>
        <w:rPr>
          <w:color w:val="231F20"/>
          <w:spacing w:val="-7"/>
          <w:w w:val="105"/>
        </w:rPr>
        <w:t> </w:t>
      </w:r>
      <w:r>
        <w:rPr>
          <w:color w:val="231F20"/>
          <w:w w:val="105"/>
        </w:rPr>
        <w:t>(4.2.9.1).</w:t>
      </w:r>
    </w:p>
    <w:p>
      <w:pPr>
        <w:pStyle w:val="BodyText"/>
        <w:spacing w:line="268" w:lineRule="auto" w:before="165"/>
        <w:ind w:left="1440" w:right="20"/>
      </w:pPr>
      <w:r>
        <w:rPr>
          <w:rFonts w:ascii="Times New Roman"/>
          <w:color w:val="231F20"/>
          <w:w w:val="105"/>
        </w:rPr>
        <w:t>The more common the agent, the more </w:t>
      </w:r>
      <w:r>
        <w:rPr>
          <w:color w:val="231F20"/>
          <w:w w:val="105"/>
        </w:rPr>
        <w:t>difficult it is to identify outbreaks and the more</w:t>
      </w:r>
      <w:r>
        <w:rPr>
          <w:color w:val="231F20"/>
          <w:spacing w:val="-11"/>
          <w:w w:val="105"/>
        </w:rPr>
        <w:t> </w:t>
      </w:r>
      <w:r>
        <w:rPr>
          <w:color w:val="231F20"/>
          <w:w w:val="105"/>
        </w:rPr>
        <w:t>likely</w:t>
      </w:r>
      <w:r>
        <w:rPr>
          <w:color w:val="231F20"/>
          <w:spacing w:val="-11"/>
          <w:w w:val="105"/>
        </w:rPr>
        <w:t> </w:t>
      </w:r>
      <w:r>
        <w:rPr>
          <w:color w:val="231F20"/>
          <w:w w:val="105"/>
        </w:rPr>
        <w:t>sporadic</w:t>
      </w:r>
      <w:r>
        <w:rPr>
          <w:color w:val="231F20"/>
          <w:spacing w:val="-11"/>
          <w:w w:val="105"/>
        </w:rPr>
        <w:t> </w:t>
      </w:r>
      <w:r>
        <w:rPr>
          <w:color w:val="231F20"/>
          <w:w w:val="105"/>
        </w:rPr>
        <w:t>(unrelated)</w:t>
      </w:r>
      <w:r>
        <w:rPr>
          <w:color w:val="231F20"/>
          <w:spacing w:val="-11"/>
          <w:w w:val="105"/>
        </w:rPr>
        <w:t> </w:t>
      </w:r>
      <w:r>
        <w:rPr>
          <w:color w:val="231F20"/>
          <w:w w:val="105"/>
        </w:rPr>
        <w:t>cases</w:t>
      </w:r>
      <w:r>
        <w:rPr>
          <w:color w:val="231F20"/>
          <w:spacing w:val="-11"/>
          <w:w w:val="105"/>
        </w:rPr>
        <w:t> </w:t>
      </w:r>
      <w:r>
        <w:rPr>
          <w:color w:val="231F20"/>
          <w:w w:val="105"/>
        </w:rPr>
        <w:t>are</w:t>
      </w:r>
      <w:r>
        <w:rPr>
          <w:color w:val="231F20"/>
          <w:spacing w:val="-11"/>
          <w:w w:val="105"/>
        </w:rPr>
        <w:t> </w:t>
      </w:r>
      <w:r>
        <w:rPr>
          <w:color w:val="231F20"/>
          <w:w w:val="105"/>
        </w:rPr>
        <w:t>to</w:t>
      </w:r>
      <w:r>
        <w:rPr>
          <w:color w:val="231F20"/>
          <w:spacing w:val="-11"/>
          <w:w w:val="105"/>
        </w:rPr>
        <w:t> </w:t>
      </w:r>
      <w:r>
        <w:rPr>
          <w:color w:val="231F20"/>
          <w:w w:val="105"/>
        </w:rPr>
        <w:t>be misclassified with outbreak cases. Increasing the specificity of the case definition </w:t>
      </w:r>
      <w:r>
        <w:rPr>
          <w:color w:val="231F20"/>
          <w:spacing w:val="-3"/>
          <w:w w:val="105"/>
        </w:rPr>
        <w:t>by </w:t>
      </w:r>
      <w:r>
        <w:rPr>
          <w:color w:val="231F20"/>
          <w:w w:val="105"/>
        </w:rPr>
        <w:t>including more specific agent classifications </w:t>
      </w:r>
      <w:r>
        <w:rPr>
          <w:color w:val="231F20"/>
          <w:spacing w:val="-4"/>
          <w:w w:val="105"/>
        </w:rPr>
        <w:t>(e.g., </w:t>
      </w:r>
      <w:r>
        <w:rPr>
          <w:color w:val="231F20"/>
          <w:w w:val="105"/>
        </w:rPr>
        <w:t>inclusion of subtyping results) or restricting cases </w:t>
      </w:r>
      <w:r>
        <w:rPr>
          <w:color w:val="231F20"/>
          <w:spacing w:val="-3"/>
          <w:w w:val="105"/>
        </w:rPr>
        <w:t>by </w:t>
      </w:r>
      <w:r>
        <w:rPr>
          <w:color w:val="231F20"/>
          <w:w w:val="105"/>
        </w:rPr>
        <w:t>using certain time, place, or person characteristics can minimize this impact.</w:t>
      </w:r>
      <w:r>
        <w:rPr>
          <w:color w:val="231F20"/>
          <w:spacing w:val="-11"/>
          <w:w w:val="105"/>
        </w:rPr>
        <w:t> </w:t>
      </w:r>
      <w:r>
        <w:rPr>
          <w:color w:val="231F20"/>
          <w:w w:val="105"/>
        </w:rPr>
        <w:t>Because</w:t>
      </w:r>
      <w:r>
        <w:rPr>
          <w:color w:val="231F20"/>
          <w:spacing w:val="-11"/>
          <w:w w:val="105"/>
        </w:rPr>
        <w:t> </w:t>
      </w:r>
      <w:r>
        <w:rPr>
          <w:color w:val="231F20"/>
          <w:w w:val="105"/>
        </w:rPr>
        <w:t>increasing</w:t>
      </w:r>
      <w:r>
        <w:rPr>
          <w:color w:val="231F20"/>
          <w:spacing w:val="-11"/>
          <w:w w:val="105"/>
        </w:rPr>
        <w:t> </w:t>
      </w:r>
      <w:r>
        <w:rPr>
          <w:color w:val="231F20"/>
          <w:w w:val="105"/>
        </w:rPr>
        <w:t>the</w:t>
      </w:r>
      <w:r>
        <w:rPr>
          <w:color w:val="231F20"/>
          <w:spacing w:val="-11"/>
          <w:w w:val="105"/>
        </w:rPr>
        <w:t> </w:t>
      </w:r>
      <w:r>
        <w:rPr>
          <w:color w:val="231F20"/>
          <w:w w:val="105"/>
        </w:rPr>
        <w:t>specificity</w:t>
      </w:r>
    </w:p>
    <w:p>
      <w:pPr>
        <w:pStyle w:val="BodyText"/>
        <w:spacing w:line="264" w:lineRule="auto"/>
        <w:ind w:left="1440" w:right="20"/>
      </w:pPr>
      <w:r>
        <w:rPr>
          <w:color w:val="231F20"/>
        </w:rPr>
        <w:t>of the case definition has drawbacks, use of several different levels of  agent specificity during analysis of surveillance data and during </w:t>
      </w:r>
      <w:r>
        <w:rPr>
          <w:rFonts w:ascii="Times New Roman"/>
          <w:color w:val="231F20"/>
        </w:rPr>
        <w:t>investigation of a cluster might be helpful </w:t>
      </w:r>
      <w:r>
        <w:rPr>
          <w:color w:val="231F20"/>
        </w:rPr>
        <w:t>(4.2.9.2).</w:t>
      </w:r>
    </w:p>
    <w:p>
      <w:pPr>
        <w:pStyle w:val="BodyText"/>
        <w:spacing w:line="264" w:lineRule="auto" w:before="184"/>
        <w:ind w:left="1440"/>
      </w:pPr>
      <w:r>
        <w:rPr>
          <w:color w:val="231F20"/>
        </w:rPr>
        <w:t>In pathogen-specific surveillance, the interview </w:t>
      </w:r>
      <w:r>
        <w:rPr>
          <w:rFonts w:ascii="Times New Roman"/>
          <w:color w:val="231F20"/>
        </w:rPr>
        <w:t>must cover a broader range of possible </w:t>
      </w:r>
      <w:r>
        <w:rPr>
          <w:color w:val="231F20"/>
        </w:rPr>
        <w:t>exposures than interviews for event-driven</w:t>
      </w:r>
    </w:p>
    <w:p>
      <w:pPr>
        <w:pStyle w:val="BodyText"/>
        <w:spacing w:line="266" w:lineRule="auto" w:before="107"/>
        <w:ind w:left="342" w:right="718"/>
      </w:pPr>
      <w:r>
        <w:rPr/>
        <w:br w:type="column"/>
      </w:r>
      <w:r>
        <w:rPr>
          <w:color w:val="231F20"/>
        </w:rPr>
        <w:t>investigations. For cases detected through pathogen-specific surveillance, consider possible exposures within the usual incubation period of the disease. Interviews to detect these exposures </w:t>
      </w:r>
      <w:r>
        <w:rPr>
          <w:rFonts w:ascii="Times New Roman"/>
          <w:color w:val="231F20"/>
        </w:rPr>
        <w:t>should be undertaken as soon possible and </w:t>
      </w:r>
      <w:r>
        <w:rPr>
          <w:color w:val="231F20"/>
        </w:rPr>
        <w:t>include a mixture of  questions that:</w:t>
      </w:r>
    </w:p>
    <w:p>
      <w:pPr>
        <w:pStyle w:val="ListParagraph"/>
        <w:numPr>
          <w:ilvl w:val="0"/>
          <w:numId w:val="2"/>
        </w:numPr>
        <w:tabs>
          <w:tab w:pos="514" w:val="left" w:leader="none"/>
        </w:tabs>
        <w:spacing w:line="266" w:lineRule="auto" w:before="179" w:after="0"/>
        <w:ind w:left="513" w:right="926" w:hanging="171"/>
        <w:jc w:val="left"/>
        <w:rPr>
          <w:sz w:val="20"/>
        </w:rPr>
      </w:pPr>
      <w:r>
        <w:rPr>
          <w:color w:val="231F20"/>
          <w:sz w:val="20"/>
        </w:rPr>
        <w:t>Ask about specific exposures previously (or plausibly) associated with the </w:t>
      </w:r>
      <w:r>
        <w:rPr>
          <w:color w:val="231F20"/>
          <w:spacing w:val="46"/>
          <w:sz w:val="20"/>
        </w:rPr>
        <w:t> </w:t>
      </w:r>
      <w:r>
        <w:rPr>
          <w:color w:val="231F20"/>
          <w:sz w:val="20"/>
        </w:rPr>
        <w:t>pathogen;</w:t>
      </w:r>
    </w:p>
    <w:p>
      <w:pPr>
        <w:pStyle w:val="ListParagraph"/>
        <w:numPr>
          <w:ilvl w:val="0"/>
          <w:numId w:val="2"/>
        </w:numPr>
        <w:tabs>
          <w:tab w:pos="514" w:val="left" w:leader="none"/>
        </w:tabs>
        <w:spacing w:line="266" w:lineRule="auto" w:before="89" w:after="0"/>
        <w:ind w:left="513" w:right="761" w:hanging="171"/>
        <w:jc w:val="left"/>
        <w:rPr>
          <w:sz w:val="20"/>
        </w:rPr>
      </w:pPr>
      <w:r>
        <w:rPr>
          <w:color w:val="231F20"/>
          <w:w w:val="105"/>
          <w:sz w:val="20"/>
        </w:rPr>
        <w:t>Prompt</w:t>
      </w:r>
      <w:r>
        <w:rPr>
          <w:color w:val="231F20"/>
          <w:spacing w:val="-24"/>
          <w:w w:val="105"/>
          <w:sz w:val="20"/>
        </w:rPr>
        <w:t> </w:t>
      </w:r>
      <w:r>
        <w:rPr>
          <w:color w:val="231F20"/>
          <w:w w:val="105"/>
          <w:sz w:val="20"/>
        </w:rPr>
        <w:t>cases</w:t>
      </w:r>
      <w:r>
        <w:rPr>
          <w:color w:val="231F20"/>
          <w:spacing w:val="-24"/>
          <w:w w:val="105"/>
          <w:sz w:val="20"/>
        </w:rPr>
        <w:t> </w:t>
      </w:r>
      <w:r>
        <w:rPr>
          <w:color w:val="231F20"/>
          <w:w w:val="105"/>
          <w:sz w:val="20"/>
        </w:rPr>
        <w:t>to</w:t>
      </w:r>
      <w:r>
        <w:rPr>
          <w:color w:val="231F20"/>
          <w:spacing w:val="-24"/>
          <w:w w:val="105"/>
          <w:sz w:val="20"/>
        </w:rPr>
        <w:t> </w:t>
      </w:r>
      <w:r>
        <w:rPr>
          <w:color w:val="231F20"/>
          <w:w w:val="105"/>
          <w:sz w:val="20"/>
        </w:rPr>
        <w:t>describe</w:t>
      </w:r>
      <w:r>
        <w:rPr>
          <w:color w:val="231F20"/>
          <w:spacing w:val="-24"/>
          <w:w w:val="105"/>
          <w:sz w:val="20"/>
        </w:rPr>
        <w:t> </w:t>
      </w:r>
      <w:r>
        <w:rPr>
          <w:color w:val="231F20"/>
          <w:w w:val="105"/>
          <w:sz w:val="20"/>
        </w:rPr>
        <w:t>common</w:t>
      </w:r>
      <w:r>
        <w:rPr>
          <w:color w:val="231F20"/>
          <w:spacing w:val="-24"/>
          <w:w w:val="105"/>
          <w:sz w:val="20"/>
        </w:rPr>
        <w:t> </w:t>
      </w:r>
      <w:r>
        <w:rPr>
          <w:color w:val="231F20"/>
          <w:w w:val="105"/>
          <w:sz w:val="20"/>
        </w:rPr>
        <w:t>exposures</w:t>
      </w:r>
      <w:r>
        <w:rPr>
          <w:color w:val="231F20"/>
          <w:w w:val="98"/>
          <w:sz w:val="20"/>
        </w:rPr>
        <w:t> </w:t>
      </w:r>
      <w:r>
        <w:rPr>
          <w:color w:val="231F20"/>
          <w:w w:val="105"/>
          <w:sz w:val="20"/>
        </w:rPr>
        <w:t>in greater detail </w:t>
      </w:r>
      <w:r>
        <w:rPr>
          <w:color w:val="231F20"/>
          <w:spacing w:val="-4"/>
          <w:w w:val="105"/>
          <w:sz w:val="20"/>
        </w:rPr>
        <w:t>(e.g., </w:t>
      </w:r>
      <w:r>
        <w:rPr>
          <w:color w:val="231F20"/>
          <w:w w:val="105"/>
          <w:sz w:val="20"/>
        </w:rPr>
        <w:t>provide brand information and place of purchase);</w:t>
      </w:r>
      <w:r>
        <w:rPr>
          <w:color w:val="231F20"/>
          <w:spacing w:val="-24"/>
          <w:w w:val="105"/>
          <w:sz w:val="20"/>
        </w:rPr>
        <w:t> </w:t>
      </w:r>
      <w:r>
        <w:rPr>
          <w:color w:val="231F20"/>
          <w:w w:val="105"/>
          <w:sz w:val="20"/>
        </w:rPr>
        <w:t>and</w:t>
      </w:r>
    </w:p>
    <w:p>
      <w:pPr>
        <w:pStyle w:val="ListParagraph"/>
        <w:numPr>
          <w:ilvl w:val="0"/>
          <w:numId w:val="2"/>
        </w:numPr>
        <w:tabs>
          <w:tab w:pos="514" w:val="left" w:leader="none"/>
        </w:tabs>
        <w:spacing w:line="266" w:lineRule="auto" w:before="89" w:after="0"/>
        <w:ind w:left="513" w:right="1156" w:hanging="171"/>
        <w:jc w:val="left"/>
        <w:rPr>
          <w:sz w:val="20"/>
        </w:rPr>
      </w:pPr>
      <w:r>
        <w:rPr>
          <w:color w:val="231F20"/>
          <w:w w:val="105"/>
          <w:sz w:val="20"/>
        </w:rPr>
        <w:t>Enable cases to identify unanticipated exposures</w:t>
      </w:r>
      <w:r>
        <w:rPr>
          <w:color w:val="231F20"/>
          <w:spacing w:val="-27"/>
          <w:w w:val="105"/>
          <w:sz w:val="20"/>
        </w:rPr>
        <w:t> </w:t>
      </w:r>
      <w:r>
        <w:rPr>
          <w:color w:val="231F20"/>
          <w:w w:val="105"/>
          <w:sz w:val="20"/>
        </w:rPr>
        <w:t>(i.e.,</w:t>
      </w:r>
      <w:r>
        <w:rPr>
          <w:color w:val="231F20"/>
          <w:spacing w:val="-27"/>
          <w:w w:val="105"/>
          <w:sz w:val="20"/>
        </w:rPr>
        <w:t> </w:t>
      </w:r>
      <w:r>
        <w:rPr>
          <w:color w:val="231F20"/>
          <w:w w:val="105"/>
          <w:sz w:val="20"/>
        </w:rPr>
        <w:t>exposures</w:t>
      </w:r>
      <w:r>
        <w:rPr>
          <w:color w:val="231F20"/>
          <w:spacing w:val="-27"/>
          <w:w w:val="105"/>
          <w:sz w:val="20"/>
        </w:rPr>
        <w:t> </w:t>
      </w:r>
      <w:r>
        <w:rPr>
          <w:color w:val="231F20"/>
          <w:w w:val="105"/>
          <w:sz w:val="20"/>
        </w:rPr>
        <w:t>not</w:t>
      </w:r>
      <w:r>
        <w:rPr>
          <w:color w:val="231F20"/>
          <w:spacing w:val="-27"/>
          <w:w w:val="105"/>
          <w:sz w:val="20"/>
        </w:rPr>
        <w:t> </w:t>
      </w:r>
      <w:r>
        <w:rPr>
          <w:color w:val="231F20"/>
          <w:w w:val="105"/>
          <w:sz w:val="20"/>
        </w:rPr>
        <w:t>previously associated</w:t>
      </w:r>
      <w:r>
        <w:rPr>
          <w:color w:val="231F20"/>
          <w:spacing w:val="-16"/>
          <w:w w:val="105"/>
          <w:sz w:val="20"/>
        </w:rPr>
        <w:t> </w:t>
      </w:r>
      <w:r>
        <w:rPr>
          <w:color w:val="231F20"/>
          <w:w w:val="105"/>
          <w:sz w:val="20"/>
        </w:rPr>
        <w:t>with</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pathogen)</w:t>
      </w:r>
      <w:r>
        <w:rPr>
          <w:color w:val="231F20"/>
          <w:spacing w:val="-16"/>
          <w:w w:val="105"/>
          <w:sz w:val="20"/>
        </w:rPr>
        <w:t> </w:t>
      </w:r>
      <w:r>
        <w:rPr>
          <w:color w:val="231F20"/>
          <w:w w:val="105"/>
          <w:sz w:val="20"/>
        </w:rPr>
        <w:t>(4.2.9.3).</w:t>
      </w:r>
    </w:p>
    <w:p>
      <w:pPr>
        <w:pStyle w:val="BodyText"/>
        <w:spacing w:line="266" w:lineRule="auto" w:before="179"/>
        <w:ind w:left="342" w:right="654"/>
      </w:pPr>
      <w:r>
        <w:rPr>
          <w:color w:val="231F20"/>
          <w:w w:val="105"/>
        </w:rPr>
        <w:t>Use of a standardized interview form, with which the interviewer is familiar, will decrease time spent on staff training and decrease errors in data collection.</w:t>
      </w:r>
    </w:p>
    <w:p>
      <w:pPr>
        <w:pStyle w:val="BodyText"/>
        <w:spacing w:line="264" w:lineRule="auto" w:before="179"/>
        <w:ind w:left="342" w:right="1058"/>
      </w:pPr>
      <w:r>
        <w:rPr>
          <w:color w:val="231F20"/>
        </w:rPr>
        <w:t>The usefulness of pathogen-specific </w:t>
      </w:r>
      <w:r>
        <w:rPr>
          <w:rFonts w:ascii="Times New Roman"/>
          <w:color w:val="231F20"/>
        </w:rPr>
        <w:t>surveillance in preventing ongoing transmission of disease from contaminated </w:t>
      </w:r>
      <w:r>
        <w:rPr>
          <w:color w:val="231F20"/>
        </w:rPr>
        <w:t>food is directly related to the speed of the surveillance  and  investigation process.</w:t>
      </w:r>
    </w:p>
    <w:p>
      <w:pPr>
        <w:pStyle w:val="BodyText"/>
        <w:spacing w:line="264" w:lineRule="auto" w:before="1"/>
        <w:ind w:left="342" w:right="718"/>
      </w:pPr>
      <w:r>
        <w:rPr>
          <w:color w:val="231F20"/>
        </w:rPr>
        <w:t>Processes that decrease the time between </w:t>
      </w:r>
      <w:r>
        <w:rPr>
          <w:rFonts w:ascii="Times New Roman"/>
          <w:color w:val="231F20"/>
        </w:rPr>
        <w:t>infection of the patient and determination that the patient is part of a disease cluster increase </w:t>
      </w:r>
      <w:r>
        <w:rPr>
          <w:color w:val="231F20"/>
        </w:rPr>
        <w:t>the success of pathogen-specific surveillance (4.2.9.4).</w:t>
      </w:r>
    </w:p>
    <w:p>
      <w:pPr>
        <w:spacing w:line="290" w:lineRule="auto" w:before="185"/>
        <w:ind w:left="342" w:right="718" w:firstLine="0"/>
        <w:jc w:val="left"/>
        <w:rPr>
          <w:rFonts w:ascii="Arial" w:hAnsi="Arial"/>
          <w:sz w:val="18"/>
        </w:rPr>
      </w:pPr>
      <w:r>
        <w:rPr>
          <w:rFonts w:ascii="Arial" w:hAnsi="Arial"/>
          <w:color w:val="00A94F"/>
          <w:sz w:val="18"/>
        </w:rPr>
        <w:t>Routine Pathogen-Specific Surveillance— Model Practices (4.2.10)</w:t>
      </w:r>
    </w:p>
    <w:p>
      <w:pPr>
        <w:pStyle w:val="BodyText"/>
        <w:spacing w:line="266" w:lineRule="auto"/>
        <w:ind w:left="342" w:right="729"/>
      </w:pPr>
      <w:r>
        <w:rPr>
          <w:color w:val="231F20"/>
        </w:rPr>
        <w:t>Practices used </w:t>
      </w:r>
      <w:r>
        <w:rPr>
          <w:color w:val="231F20"/>
          <w:spacing w:val="-3"/>
        </w:rPr>
        <w:t>by </w:t>
      </w:r>
      <w:r>
        <w:rPr>
          <w:color w:val="231F20"/>
        </w:rPr>
        <w:t>an agency vary and depend   on a host of factors </w:t>
      </w:r>
      <w:r>
        <w:rPr>
          <w:color w:val="231F20"/>
          <w:spacing w:val="-4"/>
        </w:rPr>
        <w:t>(e.g., </w:t>
      </w:r>
      <w:r>
        <w:rPr>
          <w:color w:val="231F20"/>
        </w:rPr>
        <w:t>circumstances specific to a specific cluster or outbreak, staff expertise, agency structure, and resources). The following </w:t>
      </w:r>
      <w:r>
        <w:rPr>
          <w:rFonts w:ascii="Times New Roman"/>
          <w:color w:val="231F20"/>
        </w:rPr>
        <w:t>model practices should be considered to </w:t>
      </w:r>
      <w:r>
        <w:rPr>
          <w:color w:val="231F20"/>
        </w:rPr>
        <w:t>improve  pathogen-specific</w:t>
      </w:r>
      <w:r>
        <w:rPr>
          <w:color w:val="231F20"/>
          <w:spacing w:val="24"/>
        </w:rPr>
        <w:t> </w:t>
      </w:r>
      <w:r>
        <w:rPr>
          <w:color w:val="231F20"/>
        </w:rPr>
        <w:t>surveillance:</w:t>
      </w:r>
    </w:p>
    <w:p>
      <w:pPr>
        <w:pStyle w:val="ListParagraph"/>
        <w:numPr>
          <w:ilvl w:val="0"/>
          <w:numId w:val="2"/>
        </w:numPr>
        <w:tabs>
          <w:tab w:pos="514" w:val="left" w:leader="none"/>
        </w:tabs>
        <w:spacing w:line="261" w:lineRule="auto" w:before="169" w:after="0"/>
        <w:ind w:left="513" w:right="1056" w:hanging="171"/>
        <w:jc w:val="left"/>
        <w:rPr>
          <w:sz w:val="20"/>
        </w:rPr>
      </w:pPr>
      <w:r>
        <w:rPr>
          <w:rFonts w:ascii="Times New Roman"/>
          <w:color w:val="231F20"/>
          <w:sz w:val="20"/>
        </w:rPr>
        <w:t>Encourage health-care providers to test patient specimens as part of the routine diagnostic</w:t>
      </w:r>
      <w:r>
        <w:rPr>
          <w:rFonts w:ascii="Times New Roman"/>
          <w:color w:val="231F20"/>
          <w:spacing w:val="-16"/>
          <w:sz w:val="20"/>
        </w:rPr>
        <w:t> </w:t>
      </w:r>
      <w:r>
        <w:rPr>
          <w:rFonts w:ascii="Times New Roman"/>
          <w:color w:val="231F20"/>
          <w:sz w:val="20"/>
        </w:rPr>
        <w:t>process</w:t>
      </w:r>
      <w:r>
        <w:rPr>
          <w:rFonts w:ascii="Times New Roman"/>
          <w:color w:val="231F20"/>
          <w:spacing w:val="-17"/>
          <w:sz w:val="20"/>
        </w:rPr>
        <w:t> </w:t>
      </w:r>
      <w:r>
        <w:rPr>
          <w:rFonts w:ascii="Times New Roman"/>
          <w:color w:val="231F20"/>
          <w:sz w:val="20"/>
        </w:rPr>
        <w:t>for</w:t>
      </w:r>
      <w:r>
        <w:rPr>
          <w:rFonts w:ascii="Times New Roman"/>
          <w:color w:val="231F20"/>
          <w:spacing w:val="-16"/>
          <w:sz w:val="20"/>
        </w:rPr>
        <w:t> </w:t>
      </w:r>
      <w:r>
        <w:rPr>
          <w:rFonts w:ascii="Times New Roman"/>
          <w:color w:val="231F20"/>
          <w:sz w:val="20"/>
        </w:rPr>
        <w:t>possible</w:t>
      </w:r>
      <w:r>
        <w:rPr>
          <w:rFonts w:ascii="Times New Roman"/>
          <w:color w:val="231F20"/>
          <w:spacing w:val="-16"/>
          <w:sz w:val="20"/>
        </w:rPr>
        <w:t> </w:t>
      </w:r>
      <w:r>
        <w:rPr>
          <w:rFonts w:ascii="Times New Roman"/>
          <w:color w:val="231F20"/>
          <w:sz w:val="20"/>
        </w:rPr>
        <w:t>foodborne </w:t>
      </w:r>
      <w:r>
        <w:rPr>
          <w:color w:val="231F20"/>
          <w:sz w:val="20"/>
        </w:rPr>
        <w:t>diseases</w:t>
      </w:r>
      <w:r>
        <w:rPr>
          <w:color w:val="231F20"/>
          <w:spacing w:val="46"/>
          <w:sz w:val="20"/>
        </w:rPr>
        <w:t> </w:t>
      </w:r>
      <w:r>
        <w:rPr>
          <w:color w:val="231F20"/>
          <w:sz w:val="20"/>
        </w:rPr>
        <w:t>(4.2.10.1).</w:t>
      </w:r>
    </w:p>
    <w:p>
      <w:pPr>
        <w:spacing w:after="0" w:line="261" w:lineRule="auto"/>
        <w:jc w:val="left"/>
        <w:rPr>
          <w:sz w:val="20"/>
        </w:rPr>
        <w:sectPr>
          <w:type w:val="continuous"/>
          <w:pgSz w:w="10080" w:h="14400"/>
          <w:pgMar w:top="0" w:bottom="360" w:left="0" w:right="0"/>
          <w:cols w:num="2" w:equalWidth="0">
            <w:col w:w="5198" w:space="40"/>
            <w:col w:w="4842"/>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2536;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2560" filled="true" fillcolor="#0079c1" stroked="false">
            <v:fill type="solid"/>
            <w10:wrap type="none"/>
          </v:rect>
        </w:pict>
      </w:r>
      <w:r>
        <w:rPr/>
        <w:pict>
          <v:line style="position:absolute;mso-position-horizontal-relative:page;mso-position-vertical-relative:paragraph;z-index:2584"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260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2632"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4. Foodborne Disease Surveillance and Outbreak  Detection</w:t>
      </w:r>
    </w:p>
    <w:p>
      <w:pPr>
        <w:pStyle w:val="BodyText"/>
        <w:spacing w:before="5"/>
        <w:rPr>
          <w:rFonts w:ascii="Arial"/>
          <w:sz w:val="14"/>
        </w:rPr>
      </w:pPr>
    </w:p>
    <w:p>
      <w:pPr>
        <w:spacing w:after="0"/>
        <w:rPr>
          <w:rFonts w:ascii="Arial"/>
          <w:sz w:val="14"/>
        </w:rPr>
        <w:sectPr>
          <w:pgSz w:w="10080" w:h="14400"/>
          <w:pgMar w:header="0" w:footer="160" w:top="980" w:bottom="360" w:left="0" w:right="0"/>
        </w:sectPr>
      </w:pPr>
    </w:p>
    <w:p>
      <w:pPr>
        <w:pStyle w:val="ListParagraph"/>
        <w:numPr>
          <w:ilvl w:val="1"/>
          <w:numId w:val="2"/>
        </w:numPr>
        <w:tabs>
          <w:tab w:pos="891" w:val="left" w:leader="none"/>
        </w:tabs>
        <w:spacing w:line="266" w:lineRule="auto" w:before="93" w:after="0"/>
        <w:ind w:left="890" w:right="230" w:hanging="170"/>
        <w:jc w:val="left"/>
        <w:rPr>
          <w:sz w:val="20"/>
        </w:rPr>
      </w:pPr>
      <w:r>
        <w:rPr>
          <w:rFonts w:ascii="Times New Roman"/>
          <w:color w:val="231F20"/>
          <w:w w:val="105"/>
          <w:sz w:val="20"/>
        </w:rPr>
        <w:t>Increase</w:t>
      </w:r>
      <w:r>
        <w:rPr>
          <w:rFonts w:ascii="Times New Roman"/>
          <w:color w:val="231F20"/>
          <w:spacing w:val="-34"/>
          <w:w w:val="105"/>
          <w:sz w:val="20"/>
        </w:rPr>
        <w:t> </w:t>
      </w:r>
      <w:r>
        <w:rPr>
          <w:rFonts w:ascii="Times New Roman"/>
          <w:color w:val="231F20"/>
          <w:w w:val="105"/>
          <w:sz w:val="20"/>
        </w:rPr>
        <w:t>reporting</w:t>
      </w:r>
      <w:r>
        <w:rPr>
          <w:rFonts w:ascii="Times New Roman"/>
          <w:color w:val="231F20"/>
          <w:spacing w:val="-34"/>
          <w:w w:val="105"/>
          <w:sz w:val="20"/>
        </w:rPr>
        <w:t> </w:t>
      </w:r>
      <w:r>
        <w:rPr>
          <w:rFonts w:ascii="Times New Roman"/>
          <w:color w:val="231F20"/>
          <w:w w:val="105"/>
          <w:sz w:val="20"/>
        </w:rPr>
        <w:t>and</w:t>
      </w:r>
      <w:r>
        <w:rPr>
          <w:rFonts w:ascii="Times New Roman"/>
          <w:color w:val="231F20"/>
          <w:spacing w:val="-34"/>
          <w:w w:val="105"/>
          <w:sz w:val="20"/>
        </w:rPr>
        <w:t> </w:t>
      </w:r>
      <w:r>
        <w:rPr>
          <w:rFonts w:ascii="Times New Roman"/>
          <w:color w:val="231F20"/>
          <w:w w:val="105"/>
          <w:sz w:val="20"/>
        </w:rPr>
        <w:t>isolate</w:t>
      </w:r>
      <w:r>
        <w:rPr>
          <w:rFonts w:ascii="Times New Roman"/>
          <w:color w:val="231F20"/>
          <w:spacing w:val="-34"/>
          <w:w w:val="105"/>
          <w:sz w:val="20"/>
        </w:rPr>
        <w:t> </w:t>
      </w:r>
      <w:r>
        <w:rPr>
          <w:rFonts w:ascii="Times New Roman"/>
          <w:color w:val="231F20"/>
          <w:w w:val="105"/>
          <w:sz w:val="20"/>
        </w:rPr>
        <w:t>submission </w:t>
      </w:r>
      <w:r>
        <w:rPr>
          <w:color w:val="231F20"/>
          <w:spacing w:val="-3"/>
          <w:w w:val="105"/>
          <w:sz w:val="20"/>
        </w:rPr>
        <w:t>by </w:t>
      </w:r>
      <w:r>
        <w:rPr>
          <w:color w:val="231F20"/>
          <w:w w:val="105"/>
          <w:sz w:val="20"/>
        </w:rPr>
        <w:t>clinical laboratories and health-care providers</w:t>
      </w:r>
      <w:r>
        <w:rPr>
          <w:color w:val="231F20"/>
          <w:spacing w:val="-25"/>
          <w:w w:val="105"/>
          <w:sz w:val="20"/>
        </w:rPr>
        <w:t> </w:t>
      </w:r>
      <w:r>
        <w:rPr>
          <w:color w:val="231F20"/>
          <w:w w:val="105"/>
          <w:sz w:val="20"/>
        </w:rPr>
        <w:t>through</w:t>
      </w:r>
      <w:r>
        <w:rPr>
          <w:color w:val="231F20"/>
          <w:spacing w:val="-25"/>
          <w:w w:val="105"/>
          <w:sz w:val="20"/>
        </w:rPr>
        <w:t> </w:t>
      </w:r>
      <w:r>
        <w:rPr>
          <w:color w:val="231F20"/>
          <w:w w:val="105"/>
          <w:sz w:val="20"/>
        </w:rPr>
        <w:t>education,</w:t>
      </w:r>
      <w:r>
        <w:rPr>
          <w:color w:val="231F20"/>
          <w:spacing w:val="-25"/>
          <w:w w:val="105"/>
          <w:sz w:val="20"/>
        </w:rPr>
        <w:t> </w:t>
      </w:r>
      <w:r>
        <w:rPr>
          <w:color w:val="231F20"/>
          <w:w w:val="105"/>
          <w:sz w:val="20"/>
        </w:rPr>
        <w:t>modification of reporting rules, laboratory audits, and simplification of the reporting process (4.2.10.1).</w:t>
      </w:r>
    </w:p>
    <w:p>
      <w:pPr>
        <w:pStyle w:val="ListParagraph"/>
        <w:numPr>
          <w:ilvl w:val="1"/>
          <w:numId w:val="2"/>
        </w:numPr>
        <w:tabs>
          <w:tab w:pos="891" w:val="left" w:leader="none"/>
        </w:tabs>
        <w:spacing w:line="264" w:lineRule="auto" w:before="90" w:after="0"/>
        <w:ind w:left="890" w:right="208" w:hanging="170"/>
        <w:jc w:val="left"/>
        <w:rPr>
          <w:sz w:val="20"/>
        </w:rPr>
      </w:pPr>
      <w:r>
        <w:rPr>
          <w:color w:val="231F20"/>
          <w:sz w:val="20"/>
        </w:rPr>
        <w:t>Amend reporting rules to expand the definition of required clinical materials for </w:t>
      </w:r>
      <w:r>
        <w:rPr>
          <w:rFonts w:ascii="Times New Roman"/>
          <w:color w:val="231F20"/>
          <w:sz w:val="20"/>
        </w:rPr>
        <w:t>submission to include patient specimens </w:t>
      </w:r>
      <w:r>
        <w:rPr>
          <w:color w:val="231F20"/>
          <w:spacing w:val="-4"/>
          <w:sz w:val="20"/>
        </w:rPr>
        <w:t>(e.g., </w:t>
      </w:r>
      <w:r>
        <w:rPr>
          <w:color w:val="231F20"/>
          <w:sz w:val="20"/>
        </w:rPr>
        <w:t>stools, urine, blood), because isolates, currently specified in most </w:t>
      </w:r>
      <w:r>
        <w:rPr>
          <w:color w:val="231F20"/>
          <w:spacing w:val="30"/>
          <w:sz w:val="20"/>
        </w:rPr>
        <w:t> </w:t>
      </w:r>
      <w:r>
        <w:rPr>
          <w:color w:val="231F20"/>
          <w:sz w:val="20"/>
        </w:rPr>
        <w:t>reporting</w:t>
      </w:r>
    </w:p>
    <w:p>
      <w:pPr>
        <w:pStyle w:val="BodyText"/>
        <w:spacing w:line="266" w:lineRule="auto" w:before="2"/>
        <w:ind w:left="890"/>
      </w:pPr>
      <w:r>
        <w:rPr>
          <w:color w:val="231F20"/>
          <w:w w:val="105"/>
        </w:rPr>
        <w:t>rules, may not be available due to culture- independent diagnostics (4.2.10.2).</w:t>
      </w:r>
    </w:p>
    <w:p>
      <w:pPr>
        <w:pStyle w:val="ListParagraph"/>
        <w:numPr>
          <w:ilvl w:val="1"/>
          <w:numId w:val="2"/>
        </w:numPr>
        <w:tabs>
          <w:tab w:pos="891" w:val="left" w:leader="none"/>
        </w:tabs>
        <w:spacing w:line="264" w:lineRule="auto" w:before="89" w:after="0"/>
        <w:ind w:left="890" w:right="0" w:hanging="170"/>
        <w:jc w:val="left"/>
        <w:rPr>
          <w:sz w:val="20"/>
        </w:rPr>
      </w:pPr>
      <w:r>
        <w:rPr>
          <w:color w:val="231F20"/>
          <w:sz w:val="20"/>
        </w:rPr>
        <w:t>Undertake subtyping of isolates as specimens </w:t>
      </w:r>
      <w:r>
        <w:rPr>
          <w:rFonts w:ascii="Times New Roman"/>
          <w:color w:val="231F20"/>
          <w:sz w:val="20"/>
        </w:rPr>
        <w:t>are submitted, and post results to national </w:t>
      </w:r>
      <w:r>
        <w:rPr>
          <w:color w:val="231F20"/>
          <w:sz w:val="20"/>
        </w:rPr>
        <w:t>databases as quickly as possible  </w:t>
      </w:r>
      <w:r>
        <w:rPr>
          <w:color w:val="231F20"/>
          <w:spacing w:val="7"/>
          <w:sz w:val="20"/>
        </w:rPr>
        <w:t> </w:t>
      </w:r>
      <w:r>
        <w:rPr>
          <w:color w:val="231F20"/>
          <w:sz w:val="20"/>
        </w:rPr>
        <w:t>(4.2.10.2).</w:t>
      </w:r>
    </w:p>
    <w:p>
      <w:pPr>
        <w:pStyle w:val="ListParagraph"/>
        <w:numPr>
          <w:ilvl w:val="1"/>
          <w:numId w:val="2"/>
        </w:numPr>
        <w:tabs>
          <w:tab w:pos="891" w:val="left" w:leader="none"/>
        </w:tabs>
        <w:spacing w:line="266" w:lineRule="auto" w:before="91" w:after="0"/>
        <w:ind w:left="890" w:right="61" w:hanging="170"/>
        <w:jc w:val="left"/>
        <w:rPr>
          <w:sz w:val="20"/>
        </w:rPr>
      </w:pPr>
      <w:r>
        <w:rPr>
          <w:color w:val="231F20"/>
          <w:w w:val="105"/>
          <w:sz w:val="20"/>
        </w:rPr>
        <w:t>Interview cases </w:t>
      </w:r>
      <w:r>
        <w:rPr>
          <w:color w:val="231F20"/>
          <w:spacing w:val="-3"/>
          <w:w w:val="105"/>
          <w:sz w:val="20"/>
        </w:rPr>
        <w:t>by </w:t>
      </w:r>
      <w:r>
        <w:rPr>
          <w:color w:val="231F20"/>
          <w:w w:val="105"/>
          <w:sz w:val="20"/>
        </w:rPr>
        <w:t>using a standardized questionnaire for exposure information (consistent</w:t>
      </w:r>
      <w:r>
        <w:rPr>
          <w:color w:val="231F20"/>
          <w:spacing w:val="-17"/>
          <w:w w:val="105"/>
          <w:sz w:val="20"/>
        </w:rPr>
        <w:t> </w:t>
      </w:r>
      <w:r>
        <w:rPr>
          <w:color w:val="231F20"/>
          <w:w w:val="105"/>
          <w:sz w:val="20"/>
        </w:rPr>
        <w:t>with</w:t>
      </w:r>
      <w:r>
        <w:rPr>
          <w:color w:val="231F20"/>
          <w:spacing w:val="-17"/>
          <w:w w:val="105"/>
          <w:sz w:val="20"/>
        </w:rPr>
        <w:t> </w:t>
      </w:r>
      <w:r>
        <w:rPr>
          <w:color w:val="231F20"/>
          <w:w w:val="105"/>
          <w:sz w:val="20"/>
        </w:rPr>
        <w:t>the</w:t>
      </w:r>
      <w:r>
        <w:rPr>
          <w:color w:val="231F20"/>
          <w:spacing w:val="-17"/>
          <w:w w:val="105"/>
          <w:sz w:val="20"/>
        </w:rPr>
        <w:t> </w:t>
      </w:r>
      <w:r>
        <w:rPr>
          <w:color w:val="231F20"/>
          <w:w w:val="105"/>
          <w:sz w:val="20"/>
        </w:rPr>
        <w:t>incubation</w:t>
      </w:r>
      <w:r>
        <w:rPr>
          <w:color w:val="231F20"/>
          <w:spacing w:val="-17"/>
          <w:w w:val="105"/>
          <w:sz w:val="20"/>
        </w:rPr>
        <w:t> </w:t>
      </w:r>
      <w:r>
        <w:rPr>
          <w:color w:val="231F20"/>
          <w:w w:val="105"/>
          <w:sz w:val="20"/>
        </w:rPr>
        <w:t>period</w:t>
      </w:r>
      <w:r>
        <w:rPr>
          <w:color w:val="231F20"/>
          <w:spacing w:val="-17"/>
          <w:w w:val="105"/>
          <w:sz w:val="20"/>
        </w:rPr>
        <w:t> </w:t>
      </w:r>
      <w:r>
        <w:rPr>
          <w:color w:val="231F20"/>
          <w:w w:val="105"/>
          <w:sz w:val="20"/>
        </w:rPr>
        <w:t>of</w:t>
      </w:r>
      <w:r>
        <w:rPr>
          <w:color w:val="231F20"/>
          <w:spacing w:val="3"/>
          <w:w w:val="105"/>
          <w:sz w:val="20"/>
        </w:rPr>
        <w:t> </w:t>
      </w:r>
      <w:r>
        <w:rPr>
          <w:color w:val="231F20"/>
          <w:w w:val="105"/>
          <w:sz w:val="20"/>
        </w:rPr>
        <w:t>the pathogen)</w:t>
      </w:r>
      <w:r>
        <w:rPr>
          <w:color w:val="231F20"/>
          <w:spacing w:val="-15"/>
          <w:w w:val="105"/>
          <w:sz w:val="20"/>
        </w:rPr>
        <w:t> </w:t>
      </w:r>
      <w:r>
        <w:rPr>
          <w:color w:val="231F20"/>
          <w:w w:val="105"/>
          <w:sz w:val="20"/>
        </w:rPr>
        <w:t>as</w:t>
      </w:r>
      <w:r>
        <w:rPr>
          <w:color w:val="231F20"/>
          <w:spacing w:val="-15"/>
          <w:w w:val="105"/>
          <w:sz w:val="20"/>
        </w:rPr>
        <w:t> </w:t>
      </w:r>
      <w:r>
        <w:rPr>
          <w:color w:val="231F20"/>
          <w:w w:val="105"/>
          <w:sz w:val="20"/>
        </w:rPr>
        <w:t>soon</w:t>
      </w:r>
      <w:r>
        <w:rPr>
          <w:color w:val="231F20"/>
          <w:spacing w:val="-15"/>
          <w:w w:val="105"/>
          <w:sz w:val="20"/>
        </w:rPr>
        <w:t> </w:t>
      </w:r>
      <w:r>
        <w:rPr>
          <w:color w:val="231F20"/>
          <w:w w:val="105"/>
          <w:sz w:val="20"/>
        </w:rPr>
        <w:t>as</w:t>
      </w:r>
      <w:r>
        <w:rPr>
          <w:color w:val="231F20"/>
          <w:spacing w:val="-15"/>
          <w:w w:val="105"/>
          <w:sz w:val="20"/>
        </w:rPr>
        <w:t> </w:t>
      </w:r>
      <w:r>
        <w:rPr>
          <w:color w:val="231F20"/>
          <w:w w:val="105"/>
          <w:sz w:val="20"/>
        </w:rPr>
        <w:t>possible,</w:t>
      </w:r>
      <w:r>
        <w:rPr>
          <w:color w:val="231F20"/>
          <w:spacing w:val="-15"/>
          <w:w w:val="105"/>
          <w:sz w:val="20"/>
        </w:rPr>
        <w:t> </w:t>
      </w:r>
      <w:r>
        <w:rPr>
          <w:color w:val="231F20"/>
          <w:w w:val="105"/>
          <w:sz w:val="20"/>
        </w:rPr>
        <w:t>when</w:t>
      </w:r>
      <w:r>
        <w:rPr>
          <w:color w:val="231F20"/>
          <w:spacing w:val="-15"/>
          <w:w w:val="105"/>
          <w:sz w:val="20"/>
        </w:rPr>
        <w:t> </w:t>
      </w:r>
      <w:r>
        <w:rPr>
          <w:color w:val="231F20"/>
          <w:w w:val="105"/>
          <w:sz w:val="20"/>
        </w:rPr>
        <w:t>patient </w:t>
      </w:r>
      <w:r>
        <w:rPr>
          <w:rFonts w:ascii="Times New Roman"/>
          <w:color w:val="231F20"/>
          <w:w w:val="105"/>
          <w:sz w:val="20"/>
        </w:rPr>
        <w:t>recall and motivation to cooperate is the </w:t>
      </w:r>
      <w:r>
        <w:rPr>
          <w:color w:val="231F20"/>
          <w:w w:val="105"/>
          <w:sz w:val="20"/>
        </w:rPr>
        <w:t>greatest.</w:t>
      </w:r>
    </w:p>
    <w:p>
      <w:pPr>
        <w:pStyle w:val="ListParagraph"/>
        <w:numPr>
          <w:ilvl w:val="1"/>
          <w:numId w:val="2"/>
        </w:numPr>
        <w:tabs>
          <w:tab w:pos="891" w:val="left" w:leader="none"/>
        </w:tabs>
        <w:spacing w:line="264" w:lineRule="auto" w:before="89" w:after="0"/>
        <w:ind w:left="890" w:right="237" w:hanging="170"/>
        <w:jc w:val="left"/>
        <w:rPr>
          <w:sz w:val="20"/>
        </w:rPr>
      </w:pPr>
      <w:r>
        <w:rPr>
          <w:color w:val="231F20"/>
          <w:sz w:val="20"/>
        </w:rPr>
        <w:t>Construct the interview to include a mix   of question types (i.e., specific close-ended </w:t>
      </w:r>
      <w:r>
        <w:rPr>
          <w:rFonts w:ascii="Times New Roman"/>
          <w:color w:val="231F20"/>
          <w:sz w:val="20"/>
        </w:rPr>
        <w:t>questions, broad open-ended questions, questions that elicit additional details) to </w:t>
      </w:r>
      <w:r>
        <w:rPr>
          <w:color w:val="231F20"/>
          <w:sz w:val="20"/>
        </w:rPr>
        <w:t>collect the desired exposure information (4.2.10.3).</w:t>
      </w:r>
    </w:p>
    <w:p>
      <w:pPr>
        <w:pStyle w:val="ListParagraph"/>
        <w:numPr>
          <w:ilvl w:val="1"/>
          <w:numId w:val="2"/>
        </w:numPr>
        <w:tabs>
          <w:tab w:pos="891" w:val="left" w:leader="none"/>
        </w:tabs>
        <w:spacing w:line="264" w:lineRule="auto" w:before="92" w:after="0"/>
        <w:ind w:left="890" w:right="8" w:hanging="170"/>
        <w:jc w:val="left"/>
        <w:rPr>
          <w:sz w:val="20"/>
        </w:rPr>
      </w:pPr>
      <w:r>
        <w:rPr>
          <w:color w:val="231F20"/>
          <w:sz w:val="20"/>
        </w:rPr>
        <w:t>Collection of  detailed exposure information  </w:t>
      </w:r>
      <w:r>
        <w:rPr>
          <w:rFonts w:ascii="Times New Roman"/>
          <w:color w:val="231F20"/>
          <w:sz w:val="20"/>
        </w:rPr>
        <w:t>as cases are reported can help evaluate </w:t>
      </w:r>
      <w:r>
        <w:rPr>
          <w:color w:val="231F20"/>
          <w:sz w:val="20"/>
        </w:rPr>
        <w:t>clusters in real time but is resource intensive. </w:t>
      </w:r>
      <w:r>
        <w:rPr>
          <w:rFonts w:ascii="Times New Roman"/>
          <w:color w:val="231F20"/>
          <w:sz w:val="20"/>
        </w:rPr>
        <w:t>At a minimum, collect information about </w:t>
      </w:r>
      <w:r>
        <w:rPr>
          <w:color w:val="231F20"/>
          <w:sz w:val="20"/>
        </w:rPr>
        <w:t>limited high-risk exposures specific to the </w:t>
      </w:r>
      <w:r>
        <w:rPr>
          <w:rFonts w:ascii="Times New Roman"/>
          <w:color w:val="231F20"/>
          <w:sz w:val="20"/>
        </w:rPr>
        <w:t>pathogen at the time of the initial report and </w:t>
      </w:r>
      <w:r>
        <w:rPr>
          <w:color w:val="231F20"/>
          <w:sz w:val="20"/>
        </w:rPr>
        <w:t>re-interview cases with a detailed exposure </w:t>
      </w:r>
      <w:r>
        <w:rPr>
          <w:rFonts w:ascii="Times New Roman"/>
          <w:color w:val="231F20"/>
          <w:sz w:val="20"/>
        </w:rPr>
        <w:t>questionnaire if a cluster becomes apparent </w:t>
      </w:r>
      <w:r>
        <w:rPr>
          <w:color w:val="231F20"/>
          <w:sz w:val="20"/>
        </w:rPr>
        <w:t>(4.2.10.3).</w:t>
      </w:r>
    </w:p>
    <w:p>
      <w:pPr>
        <w:pStyle w:val="ListParagraph"/>
        <w:numPr>
          <w:ilvl w:val="1"/>
          <w:numId w:val="2"/>
        </w:numPr>
        <w:tabs>
          <w:tab w:pos="891" w:val="left" w:leader="none"/>
        </w:tabs>
        <w:spacing w:line="264" w:lineRule="auto" w:before="92" w:after="0"/>
        <w:ind w:left="890" w:right="102" w:hanging="170"/>
        <w:jc w:val="left"/>
        <w:rPr>
          <w:sz w:val="20"/>
        </w:rPr>
      </w:pPr>
      <w:r>
        <w:rPr>
          <w:color w:val="231F20"/>
          <w:spacing w:val="-11"/>
          <w:w w:val="105"/>
          <w:sz w:val="20"/>
        </w:rPr>
        <w:t>To </w:t>
      </w:r>
      <w:r>
        <w:rPr>
          <w:color w:val="231F20"/>
          <w:w w:val="105"/>
          <w:sz w:val="20"/>
        </w:rPr>
        <w:t>identify clusters, use </w:t>
      </w:r>
      <w:r>
        <w:rPr>
          <w:color w:val="231F20"/>
          <w:spacing w:val="-5"/>
          <w:w w:val="105"/>
          <w:sz w:val="20"/>
        </w:rPr>
        <w:t>daily, </w:t>
      </w:r>
      <w:r>
        <w:rPr>
          <w:color w:val="231F20"/>
          <w:w w:val="105"/>
          <w:sz w:val="20"/>
        </w:rPr>
        <w:t>automated reporting and analysis systems to compare </w:t>
      </w:r>
      <w:r>
        <w:rPr>
          <w:rFonts w:ascii="Times New Roman"/>
          <w:color w:val="231F20"/>
          <w:w w:val="105"/>
          <w:sz w:val="20"/>
        </w:rPr>
        <w:t>disease</w:t>
      </w:r>
      <w:r>
        <w:rPr>
          <w:rFonts w:ascii="Times New Roman"/>
          <w:color w:val="231F20"/>
          <w:spacing w:val="-35"/>
          <w:w w:val="105"/>
          <w:sz w:val="20"/>
        </w:rPr>
        <w:t> </w:t>
      </w:r>
      <w:r>
        <w:rPr>
          <w:rFonts w:ascii="Times New Roman"/>
          <w:color w:val="231F20"/>
          <w:w w:val="105"/>
          <w:sz w:val="20"/>
        </w:rPr>
        <w:t>agent</w:t>
      </w:r>
      <w:r>
        <w:rPr>
          <w:rFonts w:ascii="Times New Roman"/>
          <w:color w:val="231F20"/>
          <w:spacing w:val="-35"/>
          <w:w w:val="105"/>
          <w:sz w:val="20"/>
        </w:rPr>
        <w:t> </w:t>
      </w:r>
      <w:r>
        <w:rPr>
          <w:rFonts w:ascii="Times New Roman"/>
          <w:color w:val="231F20"/>
          <w:w w:val="105"/>
          <w:sz w:val="20"/>
        </w:rPr>
        <w:t>frequencies</w:t>
      </w:r>
      <w:r>
        <w:rPr>
          <w:rFonts w:ascii="Times New Roman"/>
          <w:color w:val="231F20"/>
          <w:spacing w:val="-36"/>
          <w:w w:val="105"/>
          <w:sz w:val="20"/>
        </w:rPr>
        <w:t> </w:t>
      </w:r>
      <w:r>
        <w:rPr>
          <w:rFonts w:ascii="Times New Roman"/>
          <w:color w:val="231F20"/>
          <w:w w:val="105"/>
          <w:sz w:val="20"/>
        </w:rPr>
        <w:t>at</w:t>
      </w:r>
      <w:r>
        <w:rPr>
          <w:rFonts w:ascii="Times New Roman"/>
          <w:color w:val="231F20"/>
          <w:spacing w:val="-35"/>
          <w:w w:val="105"/>
          <w:sz w:val="20"/>
        </w:rPr>
        <w:t> </w:t>
      </w:r>
      <w:r>
        <w:rPr>
          <w:rFonts w:ascii="Times New Roman"/>
          <w:color w:val="231F20"/>
          <w:w w:val="105"/>
          <w:sz w:val="20"/>
        </w:rPr>
        <w:t>multiple</w:t>
      </w:r>
      <w:r>
        <w:rPr>
          <w:rFonts w:ascii="Times New Roman"/>
          <w:color w:val="231F20"/>
          <w:spacing w:val="-35"/>
          <w:w w:val="105"/>
          <w:sz w:val="20"/>
        </w:rPr>
        <w:t> </w:t>
      </w:r>
      <w:r>
        <w:rPr>
          <w:rFonts w:ascii="Times New Roman"/>
          <w:color w:val="231F20"/>
          <w:w w:val="105"/>
          <w:sz w:val="20"/>
        </w:rPr>
        <w:t>levels </w:t>
      </w:r>
      <w:r>
        <w:rPr>
          <w:color w:val="231F20"/>
          <w:w w:val="105"/>
          <w:sz w:val="20"/>
        </w:rPr>
        <w:t>of</w:t>
      </w:r>
      <w:r>
        <w:rPr>
          <w:color w:val="231F20"/>
          <w:spacing w:val="4"/>
          <w:w w:val="105"/>
          <w:sz w:val="20"/>
        </w:rPr>
        <w:t> </w:t>
      </w:r>
      <w:r>
        <w:rPr>
          <w:color w:val="231F20"/>
          <w:w w:val="105"/>
          <w:sz w:val="20"/>
        </w:rPr>
        <w:t>specificity</w:t>
      </w:r>
      <w:r>
        <w:rPr>
          <w:color w:val="231F20"/>
          <w:spacing w:val="-16"/>
          <w:w w:val="105"/>
          <w:sz w:val="20"/>
        </w:rPr>
        <w:t> </w:t>
      </w:r>
      <w:r>
        <w:rPr>
          <w:color w:val="231F20"/>
          <w:w w:val="105"/>
          <w:sz w:val="20"/>
        </w:rPr>
        <w:t>with</w:t>
      </w:r>
      <w:r>
        <w:rPr>
          <w:color w:val="231F20"/>
          <w:spacing w:val="-16"/>
          <w:w w:val="105"/>
          <w:sz w:val="20"/>
        </w:rPr>
        <w:t> </w:t>
      </w:r>
      <w:r>
        <w:rPr>
          <w:color w:val="231F20"/>
          <w:w w:val="105"/>
          <w:sz w:val="20"/>
        </w:rPr>
        <w:t>historical</w:t>
      </w:r>
      <w:r>
        <w:rPr>
          <w:color w:val="231F20"/>
          <w:spacing w:val="-16"/>
          <w:w w:val="105"/>
          <w:sz w:val="20"/>
        </w:rPr>
        <w:t> </w:t>
      </w:r>
      <w:r>
        <w:rPr>
          <w:color w:val="231F20"/>
          <w:w w:val="105"/>
          <w:sz w:val="20"/>
        </w:rPr>
        <w:t>frequencies</w:t>
      </w:r>
      <w:r>
        <w:rPr>
          <w:color w:val="231F20"/>
          <w:spacing w:val="-16"/>
          <w:w w:val="105"/>
          <w:sz w:val="20"/>
        </w:rPr>
        <w:t> </w:t>
      </w:r>
      <w:r>
        <w:rPr>
          <w:color w:val="231F20"/>
          <w:w w:val="105"/>
          <w:sz w:val="20"/>
        </w:rPr>
        <w:t>and national trends</w:t>
      </w:r>
      <w:r>
        <w:rPr>
          <w:color w:val="231F20"/>
          <w:spacing w:val="-17"/>
          <w:w w:val="105"/>
          <w:sz w:val="20"/>
        </w:rPr>
        <w:t> </w:t>
      </w:r>
      <w:r>
        <w:rPr>
          <w:color w:val="231F20"/>
          <w:w w:val="105"/>
          <w:sz w:val="20"/>
        </w:rPr>
        <w:t>(4.2.10.4).</w:t>
      </w:r>
    </w:p>
    <w:p>
      <w:pPr>
        <w:pStyle w:val="ListParagraph"/>
        <w:numPr>
          <w:ilvl w:val="0"/>
          <w:numId w:val="2"/>
        </w:numPr>
        <w:tabs>
          <w:tab w:pos="492" w:val="left" w:leader="none"/>
        </w:tabs>
        <w:spacing w:line="266" w:lineRule="auto" w:before="93" w:after="0"/>
        <w:ind w:left="491" w:right="1478" w:hanging="171"/>
        <w:jc w:val="left"/>
        <w:rPr>
          <w:sz w:val="20"/>
        </w:rPr>
      </w:pPr>
      <w:r>
        <w:rPr>
          <w:rFonts w:ascii="Times New Roman"/>
          <w:color w:val="231F20"/>
          <w:w w:val="100"/>
          <w:sz w:val="20"/>
        </w:rPr>
        <w:br w:type="column"/>
      </w:r>
      <w:r>
        <w:rPr>
          <w:rFonts w:ascii="Times New Roman"/>
          <w:color w:val="231F20"/>
          <w:w w:val="105"/>
          <w:sz w:val="20"/>
        </w:rPr>
        <w:t>Establish and use routine procedures for </w:t>
      </w:r>
      <w:r>
        <w:rPr>
          <w:color w:val="231F20"/>
          <w:w w:val="105"/>
          <w:sz w:val="20"/>
        </w:rPr>
        <w:t>communicating among epidemiology, </w:t>
      </w:r>
      <w:r>
        <w:rPr>
          <w:color w:val="231F20"/>
          <w:spacing w:val="-3"/>
          <w:w w:val="105"/>
          <w:sz w:val="20"/>
        </w:rPr>
        <w:t>laboratory, </w:t>
      </w:r>
      <w:r>
        <w:rPr>
          <w:color w:val="231F20"/>
          <w:w w:val="105"/>
          <w:sz w:val="20"/>
        </w:rPr>
        <w:t>and environmental health branches within an agency and among</w:t>
      </w:r>
      <w:r>
        <w:rPr>
          <w:color w:val="231F20"/>
          <w:spacing w:val="-4"/>
          <w:w w:val="105"/>
          <w:sz w:val="20"/>
        </w:rPr>
        <w:t> </w:t>
      </w:r>
      <w:r>
        <w:rPr>
          <w:color w:val="231F20"/>
          <w:w w:val="105"/>
          <w:sz w:val="20"/>
        </w:rPr>
        <w:t>local, state, and federal agencies</w:t>
      </w:r>
      <w:r>
        <w:rPr>
          <w:color w:val="231F20"/>
          <w:spacing w:val="-22"/>
          <w:w w:val="105"/>
          <w:sz w:val="20"/>
        </w:rPr>
        <w:t> </w:t>
      </w:r>
      <w:r>
        <w:rPr>
          <w:color w:val="231F20"/>
          <w:w w:val="105"/>
          <w:sz w:val="20"/>
        </w:rPr>
        <w:t>(4.2.10.5).</w:t>
      </w:r>
    </w:p>
    <w:p>
      <w:pPr>
        <w:pStyle w:val="BodyText"/>
        <w:spacing w:before="165"/>
        <w:ind w:left="320"/>
        <w:rPr>
          <w:rFonts w:ascii="Arial"/>
        </w:rPr>
      </w:pPr>
      <w:r>
        <w:rPr>
          <w:rFonts w:ascii="Arial"/>
          <w:color w:val="1C3E94"/>
        </w:rPr>
        <w:t>Complaint Systems (Section 4.3)</w:t>
      </w:r>
    </w:p>
    <w:p>
      <w:pPr>
        <w:pStyle w:val="BodyText"/>
        <w:spacing w:before="8"/>
        <w:rPr>
          <w:rFonts w:ascii="Arial"/>
          <w:sz w:val="18"/>
        </w:rPr>
      </w:pPr>
    </w:p>
    <w:p>
      <w:pPr>
        <w:pStyle w:val="BodyText"/>
        <w:spacing w:line="261" w:lineRule="auto"/>
        <w:ind w:left="320" w:right="1451"/>
        <w:rPr>
          <w:rFonts w:ascii="Times New Roman"/>
        </w:rPr>
      </w:pPr>
      <w:r>
        <w:rPr>
          <w:color w:val="231F20"/>
        </w:rPr>
        <w:t>In complaint systems, public health agencies </w:t>
      </w:r>
      <w:r>
        <w:rPr>
          <w:rFonts w:ascii="Times New Roman"/>
          <w:color w:val="231F20"/>
        </w:rPr>
        <w:t>receive, triage, and respond to reports from the </w:t>
      </w:r>
      <w:r>
        <w:rPr>
          <w:color w:val="231F20"/>
        </w:rPr>
        <w:t>community about possible foodborne disease events. Reporting is passive and falls into two </w:t>
      </w:r>
      <w:r>
        <w:rPr>
          <w:rFonts w:ascii="Times New Roman"/>
          <w:color w:val="231F20"/>
          <w:w w:val="95"/>
        </w:rPr>
        <w:t>basic categories:</w:t>
      </w:r>
    </w:p>
    <w:p>
      <w:pPr>
        <w:pStyle w:val="ListParagraph"/>
        <w:numPr>
          <w:ilvl w:val="0"/>
          <w:numId w:val="2"/>
        </w:numPr>
        <w:tabs>
          <w:tab w:pos="492" w:val="left" w:leader="none"/>
        </w:tabs>
        <w:spacing w:line="266" w:lineRule="auto" w:before="194" w:after="0"/>
        <w:ind w:left="491" w:right="1437" w:hanging="171"/>
        <w:jc w:val="left"/>
        <w:rPr>
          <w:sz w:val="20"/>
        </w:rPr>
      </w:pPr>
      <w:r>
        <w:rPr>
          <w:color w:val="231F20"/>
          <w:w w:val="105"/>
          <w:sz w:val="20"/>
        </w:rPr>
        <w:t>Reports from an individual or group who observes</w:t>
      </w:r>
      <w:r>
        <w:rPr>
          <w:color w:val="231F20"/>
          <w:spacing w:val="-15"/>
          <w:w w:val="105"/>
          <w:sz w:val="20"/>
        </w:rPr>
        <w:t> </w:t>
      </w:r>
      <w:r>
        <w:rPr>
          <w:color w:val="231F20"/>
          <w:w w:val="105"/>
          <w:sz w:val="20"/>
        </w:rPr>
        <w:t>a</w:t>
      </w:r>
      <w:r>
        <w:rPr>
          <w:color w:val="231F20"/>
          <w:spacing w:val="-15"/>
          <w:w w:val="105"/>
          <w:sz w:val="20"/>
        </w:rPr>
        <w:t> </w:t>
      </w:r>
      <w:r>
        <w:rPr>
          <w:color w:val="231F20"/>
          <w:w w:val="105"/>
          <w:sz w:val="20"/>
        </w:rPr>
        <w:t>pattern</w:t>
      </w:r>
      <w:r>
        <w:rPr>
          <w:color w:val="231F20"/>
          <w:spacing w:val="-14"/>
          <w:w w:val="105"/>
          <w:sz w:val="20"/>
        </w:rPr>
        <w:t> </w:t>
      </w:r>
      <w:r>
        <w:rPr>
          <w:color w:val="231F20"/>
          <w:w w:val="105"/>
          <w:sz w:val="20"/>
        </w:rPr>
        <w:t>of</w:t>
      </w:r>
      <w:r>
        <w:rPr>
          <w:color w:val="231F20"/>
          <w:spacing w:val="8"/>
          <w:w w:val="105"/>
          <w:sz w:val="20"/>
        </w:rPr>
        <w:t> </w:t>
      </w:r>
      <w:r>
        <w:rPr>
          <w:color w:val="231F20"/>
          <w:w w:val="105"/>
          <w:sz w:val="20"/>
        </w:rPr>
        <w:t>illness</w:t>
      </w:r>
      <w:r>
        <w:rPr>
          <w:color w:val="231F20"/>
          <w:spacing w:val="-14"/>
          <w:w w:val="105"/>
          <w:sz w:val="20"/>
        </w:rPr>
        <w:t> </w:t>
      </w:r>
      <w:r>
        <w:rPr>
          <w:color w:val="231F20"/>
          <w:w w:val="105"/>
          <w:sz w:val="20"/>
        </w:rPr>
        <w:t>affecting</w:t>
      </w:r>
      <w:r>
        <w:rPr>
          <w:color w:val="231F20"/>
          <w:spacing w:val="-15"/>
          <w:w w:val="105"/>
          <w:sz w:val="20"/>
        </w:rPr>
        <w:t> </w:t>
      </w:r>
      <w:r>
        <w:rPr>
          <w:color w:val="231F20"/>
          <w:w w:val="105"/>
          <w:sz w:val="20"/>
        </w:rPr>
        <w:t>a</w:t>
      </w:r>
      <w:r>
        <w:rPr>
          <w:color w:val="231F20"/>
          <w:spacing w:val="-15"/>
          <w:w w:val="105"/>
          <w:sz w:val="20"/>
        </w:rPr>
        <w:t> </w:t>
      </w:r>
      <w:r>
        <w:rPr>
          <w:color w:val="231F20"/>
          <w:w w:val="105"/>
          <w:sz w:val="20"/>
        </w:rPr>
        <w:t>group of people, usually after a common exposure </w:t>
      </w:r>
      <w:r>
        <w:rPr>
          <w:color w:val="231F20"/>
          <w:spacing w:val="-4"/>
          <w:w w:val="105"/>
          <w:sz w:val="20"/>
        </w:rPr>
        <w:t>(e.g.,</w:t>
      </w:r>
      <w:r>
        <w:rPr>
          <w:color w:val="231F20"/>
          <w:spacing w:val="-12"/>
          <w:w w:val="105"/>
          <w:sz w:val="20"/>
        </w:rPr>
        <w:t> </w:t>
      </w:r>
      <w:r>
        <w:rPr>
          <w:color w:val="231F20"/>
          <w:w w:val="105"/>
          <w:sz w:val="20"/>
        </w:rPr>
        <w:t>event</w:t>
      </w:r>
      <w:r>
        <w:rPr>
          <w:color w:val="231F20"/>
          <w:spacing w:val="-12"/>
          <w:w w:val="105"/>
          <w:sz w:val="20"/>
        </w:rPr>
        <w:t> </w:t>
      </w:r>
      <w:r>
        <w:rPr>
          <w:color w:val="231F20"/>
          <w:w w:val="105"/>
          <w:sz w:val="20"/>
        </w:rPr>
        <w:t>or</w:t>
      </w:r>
      <w:r>
        <w:rPr>
          <w:color w:val="231F20"/>
          <w:spacing w:val="-12"/>
          <w:w w:val="105"/>
          <w:sz w:val="20"/>
        </w:rPr>
        <w:t> </w:t>
      </w:r>
      <w:r>
        <w:rPr>
          <w:color w:val="231F20"/>
          <w:w w:val="105"/>
          <w:sz w:val="20"/>
        </w:rPr>
        <w:t>venue);</w:t>
      </w:r>
      <w:r>
        <w:rPr>
          <w:color w:val="231F20"/>
          <w:spacing w:val="-12"/>
          <w:w w:val="105"/>
          <w:sz w:val="20"/>
        </w:rPr>
        <w:t> </w:t>
      </w:r>
      <w:r>
        <w:rPr>
          <w:color w:val="231F20"/>
          <w:w w:val="105"/>
          <w:sz w:val="20"/>
        </w:rPr>
        <w:t>and</w:t>
      </w:r>
    </w:p>
    <w:p>
      <w:pPr>
        <w:pStyle w:val="ListParagraph"/>
        <w:numPr>
          <w:ilvl w:val="0"/>
          <w:numId w:val="2"/>
        </w:numPr>
        <w:tabs>
          <w:tab w:pos="492" w:val="left" w:leader="none"/>
        </w:tabs>
        <w:spacing w:line="264" w:lineRule="auto" w:before="76" w:after="0"/>
        <w:ind w:left="491" w:right="1455" w:hanging="171"/>
        <w:jc w:val="left"/>
        <w:rPr>
          <w:sz w:val="20"/>
        </w:rPr>
      </w:pPr>
      <w:r>
        <w:rPr>
          <w:rFonts w:ascii="Times New Roman"/>
          <w:color w:val="231F20"/>
          <w:w w:val="105"/>
          <w:sz w:val="20"/>
        </w:rPr>
        <w:t>Multiple</w:t>
      </w:r>
      <w:r>
        <w:rPr>
          <w:rFonts w:ascii="Times New Roman"/>
          <w:color w:val="231F20"/>
          <w:spacing w:val="-35"/>
          <w:w w:val="105"/>
          <w:sz w:val="20"/>
        </w:rPr>
        <w:t> </w:t>
      </w:r>
      <w:r>
        <w:rPr>
          <w:rFonts w:ascii="Times New Roman"/>
          <w:color w:val="231F20"/>
          <w:w w:val="105"/>
          <w:sz w:val="20"/>
        </w:rPr>
        <w:t>independent</w:t>
      </w:r>
      <w:r>
        <w:rPr>
          <w:rFonts w:ascii="Times New Roman"/>
          <w:color w:val="231F20"/>
          <w:spacing w:val="-35"/>
          <w:w w:val="105"/>
          <w:sz w:val="20"/>
        </w:rPr>
        <w:t> </w:t>
      </w:r>
      <w:r>
        <w:rPr>
          <w:rFonts w:ascii="Times New Roman"/>
          <w:color w:val="231F20"/>
          <w:w w:val="105"/>
          <w:sz w:val="20"/>
        </w:rPr>
        <w:t>reports</w:t>
      </w:r>
      <w:r>
        <w:rPr>
          <w:rFonts w:ascii="Times New Roman"/>
          <w:color w:val="231F20"/>
          <w:spacing w:val="-35"/>
          <w:w w:val="105"/>
          <w:sz w:val="20"/>
        </w:rPr>
        <w:t> </w:t>
      </w:r>
      <w:r>
        <w:rPr>
          <w:rFonts w:ascii="Times New Roman"/>
          <w:color w:val="231F20"/>
          <w:w w:val="105"/>
          <w:sz w:val="20"/>
        </w:rPr>
        <w:t>about</w:t>
      </w:r>
      <w:r>
        <w:rPr>
          <w:rFonts w:ascii="Times New Roman"/>
          <w:color w:val="231F20"/>
          <w:spacing w:val="-35"/>
          <w:w w:val="105"/>
          <w:sz w:val="20"/>
        </w:rPr>
        <w:t> </w:t>
      </w:r>
      <w:r>
        <w:rPr>
          <w:rFonts w:ascii="Times New Roman"/>
          <w:color w:val="231F20"/>
          <w:w w:val="105"/>
          <w:sz w:val="20"/>
        </w:rPr>
        <w:t>illness</w:t>
      </w:r>
      <w:r>
        <w:rPr>
          <w:rFonts w:ascii="Times New Roman"/>
          <w:color w:val="231F20"/>
          <w:spacing w:val="-35"/>
          <w:w w:val="105"/>
          <w:sz w:val="20"/>
        </w:rPr>
        <w:t> </w:t>
      </w:r>
      <w:r>
        <w:rPr>
          <w:rFonts w:ascii="Times New Roman"/>
          <w:color w:val="231F20"/>
          <w:w w:val="105"/>
          <w:sz w:val="20"/>
        </w:rPr>
        <w:t>in </w:t>
      </w:r>
      <w:r>
        <w:rPr>
          <w:color w:val="231F20"/>
          <w:w w:val="105"/>
          <w:sz w:val="20"/>
        </w:rPr>
        <w:t>single individuals</w:t>
      </w:r>
      <w:r>
        <w:rPr>
          <w:color w:val="231F20"/>
          <w:spacing w:val="-26"/>
          <w:w w:val="105"/>
          <w:sz w:val="20"/>
        </w:rPr>
        <w:t> </w:t>
      </w:r>
      <w:r>
        <w:rPr>
          <w:color w:val="231F20"/>
          <w:w w:val="105"/>
          <w:sz w:val="20"/>
        </w:rPr>
        <w:t>(4.3.3).</w:t>
      </w:r>
    </w:p>
    <w:p>
      <w:pPr>
        <w:pStyle w:val="BodyText"/>
        <w:spacing w:line="266" w:lineRule="auto" w:before="182"/>
        <w:ind w:left="320" w:right="1435"/>
      </w:pPr>
      <w:r>
        <w:rPr>
          <w:color w:val="231F20"/>
          <w:w w:val="105"/>
        </w:rPr>
        <w:t>Health-care provider reports and reports from other community members of unusual disease clusters are triaged; occurrence of the same disease is confirmed; cases are interviewed; data are analyzed; and investigations are initiated.</w:t>
      </w:r>
    </w:p>
    <w:p>
      <w:pPr>
        <w:pStyle w:val="BodyText"/>
        <w:spacing w:line="266" w:lineRule="auto" w:before="179"/>
        <w:ind w:left="320" w:right="1565"/>
      </w:pPr>
      <w:r>
        <w:rPr>
          <w:color w:val="231F20"/>
          <w:spacing w:val="-7"/>
          <w:w w:val="105"/>
        </w:rPr>
        <w:t>For </w:t>
      </w:r>
      <w:r>
        <w:rPr>
          <w:color w:val="231F20"/>
          <w:w w:val="105"/>
        </w:rPr>
        <w:t>complaints of group illness associated with an event or </w:t>
      </w:r>
      <w:r>
        <w:rPr>
          <w:color w:val="231F20"/>
          <w:spacing w:val="-2"/>
          <w:w w:val="105"/>
        </w:rPr>
        <w:t>venue, </w:t>
      </w:r>
      <w:r>
        <w:rPr>
          <w:color w:val="231F20"/>
          <w:w w:val="105"/>
        </w:rPr>
        <w:t>the investigation generally</w:t>
      </w:r>
      <w:r>
        <w:rPr>
          <w:color w:val="231F20"/>
          <w:spacing w:val="-18"/>
          <w:w w:val="105"/>
        </w:rPr>
        <w:t> </w:t>
      </w:r>
      <w:r>
        <w:rPr>
          <w:color w:val="231F20"/>
          <w:w w:val="105"/>
        </w:rPr>
        <w:t>involves</w:t>
      </w:r>
      <w:r>
        <w:rPr>
          <w:color w:val="231F20"/>
          <w:spacing w:val="-18"/>
          <w:w w:val="105"/>
        </w:rPr>
        <w:t> </w:t>
      </w:r>
      <w:r>
        <w:rPr>
          <w:color w:val="231F20"/>
          <w:w w:val="105"/>
        </w:rPr>
        <w:t>obtaining</w:t>
      </w:r>
      <w:r>
        <w:rPr>
          <w:color w:val="231F20"/>
          <w:spacing w:val="-18"/>
          <w:w w:val="105"/>
        </w:rPr>
        <w:t> </w:t>
      </w:r>
      <w:r>
        <w:rPr>
          <w:color w:val="231F20"/>
          <w:w w:val="105"/>
        </w:rPr>
        <w:t>lists</w:t>
      </w:r>
      <w:r>
        <w:rPr>
          <w:color w:val="231F20"/>
          <w:spacing w:val="-18"/>
          <w:w w:val="105"/>
        </w:rPr>
        <w:t> </w:t>
      </w:r>
      <w:r>
        <w:rPr>
          <w:color w:val="231F20"/>
          <w:w w:val="105"/>
        </w:rPr>
        <w:t>of</w:t>
      </w:r>
      <w:r>
        <w:rPr>
          <w:color w:val="231F20"/>
          <w:spacing w:val="2"/>
          <w:w w:val="105"/>
        </w:rPr>
        <w:t> </w:t>
      </w:r>
      <w:r>
        <w:rPr>
          <w:color w:val="231F20"/>
          <w:w w:val="105"/>
        </w:rPr>
        <w:t>attendees, confirming ill persons </w:t>
      </w:r>
      <w:r>
        <w:rPr>
          <w:color w:val="231F20"/>
          <w:spacing w:val="-3"/>
          <w:w w:val="105"/>
        </w:rPr>
        <w:t>have </w:t>
      </w:r>
      <w:r>
        <w:rPr>
          <w:color w:val="231F20"/>
          <w:w w:val="105"/>
        </w:rPr>
        <w:t>the same disease, </w:t>
      </w:r>
      <w:r>
        <w:rPr>
          <w:rFonts w:ascii="Times New Roman"/>
          <w:color w:val="231F20"/>
          <w:w w:val="105"/>
        </w:rPr>
        <w:t>obtaining menus from the event (and other </w:t>
      </w:r>
      <w:r>
        <w:rPr>
          <w:color w:val="231F20"/>
          <w:w w:val="105"/>
        </w:rPr>
        <w:t>possible</w:t>
      </w:r>
      <w:r>
        <w:rPr>
          <w:color w:val="231F20"/>
          <w:spacing w:val="-28"/>
          <w:w w:val="105"/>
        </w:rPr>
        <w:t> </w:t>
      </w:r>
      <w:r>
        <w:rPr>
          <w:color w:val="231F20"/>
          <w:w w:val="105"/>
        </w:rPr>
        <w:t>group</w:t>
      </w:r>
      <w:r>
        <w:rPr>
          <w:color w:val="231F20"/>
          <w:spacing w:val="-28"/>
          <w:w w:val="105"/>
        </w:rPr>
        <w:t> </w:t>
      </w:r>
      <w:r>
        <w:rPr>
          <w:color w:val="231F20"/>
          <w:w w:val="105"/>
        </w:rPr>
        <w:t>exposures),</w:t>
      </w:r>
      <w:r>
        <w:rPr>
          <w:color w:val="231F20"/>
          <w:spacing w:val="-28"/>
          <w:w w:val="105"/>
        </w:rPr>
        <w:t> </w:t>
      </w:r>
      <w:r>
        <w:rPr>
          <w:color w:val="231F20"/>
          <w:w w:val="105"/>
        </w:rPr>
        <w:t>interviewing</w:t>
      </w:r>
      <w:r>
        <w:rPr>
          <w:color w:val="231F20"/>
          <w:spacing w:val="-28"/>
          <w:w w:val="105"/>
        </w:rPr>
        <w:t> </w:t>
      </w:r>
      <w:r>
        <w:rPr>
          <w:color w:val="231F20"/>
          <w:w w:val="105"/>
        </w:rPr>
        <w:t>cases,</w:t>
      </w:r>
    </w:p>
    <w:p>
      <w:pPr>
        <w:pStyle w:val="BodyText"/>
        <w:spacing w:line="266" w:lineRule="auto"/>
        <w:ind w:left="320" w:right="1389"/>
      </w:pPr>
      <w:r>
        <w:rPr>
          <w:color w:val="231F20"/>
          <w:w w:val="105"/>
        </w:rPr>
        <w:t>performing a cohort or case–control </w:t>
      </w:r>
      <w:r>
        <w:rPr>
          <w:color w:val="231F20"/>
          <w:spacing w:val="-5"/>
          <w:w w:val="105"/>
        </w:rPr>
        <w:t>study, </w:t>
      </w:r>
      <w:r>
        <w:rPr>
          <w:color w:val="231F20"/>
          <w:w w:val="105"/>
        </w:rPr>
        <w:t>and collecting food and patient specimens.</w:t>
      </w:r>
    </w:p>
    <w:p>
      <w:pPr>
        <w:pStyle w:val="BodyText"/>
        <w:spacing w:line="268" w:lineRule="auto" w:before="166"/>
        <w:ind w:left="320" w:right="1494"/>
      </w:pPr>
      <w:r>
        <w:rPr>
          <w:rFonts w:ascii="Times New Roman"/>
          <w:color w:val="231F20"/>
          <w:w w:val="105"/>
        </w:rPr>
        <w:t>With independent complaints, individuals </w:t>
      </w:r>
      <w:r>
        <w:rPr>
          <w:color w:val="231F20"/>
          <w:w w:val="105"/>
        </w:rPr>
        <w:t>are interviewed about their illness and exposures at the time of the report. Exposure information generally is limited and biased toward exposures shortly before onset of symptoms. Two or more persons with a</w:t>
      </w:r>
    </w:p>
    <w:p>
      <w:pPr>
        <w:pStyle w:val="BodyText"/>
        <w:spacing w:line="259" w:lineRule="auto"/>
        <w:ind w:left="320" w:right="1462"/>
        <w:jc w:val="both"/>
        <w:rPr>
          <w:rFonts w:ascii="Times New Roman"/>
        </w:rPr>
      </w:pPr>
      <w:r>
        <w:rPr>
          <w:color w:val="231F20"/>
          <w:w w:val="105"/>
        </w:rPr>
        <w:t>common</w:t>
      </w:r>
      <w:r>
        <w:rPr>
          <w:color w:val="231F20"/>
          <w:spacing w:val="-22"/>
          <w:w w:val="105"/>
        </w:rPr>
        <w:t> </w:t>
      </w:r>
      <w:r>
        <w:rPr>
          <w:color w:val="231F20"/>
          <w:w w:val="105"/>
        </w:rPr>
        <w:t>exposure</w:t>
      </w:r>
      <w:r>
        <w:rPr>
          <w:color w:val="231F20"/>
          <w:spacing w:val="-22"/>
          <w:w w:val="105"/>
        </w:rPr>
        <w:t> </w:t>
      </w:r>
      <w:r>
        <w:rPr>
          <w:color w:val="231F20"/>
          <w:w w:val="105"/>
        </w:rPr>
        <w:t>identified</w:t>
      </w:r>
      <w:r>
        <w:rPr>
          <w:color w:val="231F20"/>
          <w:spacing w:val="-22"/>
          <w:w w:val="105"/>
        </w:rPr>
        <w:t> </w:t>
      </w:r>
      <w:r>
        <w:rPr>
          <w:color w:val="231F20"/>
          <w:w w:val="105"/>
        </w:rPr>
        <w:t>through</w:t>
      </w:r>
      <w:r>
        <w:rPr>
          <w:color w:val="231F20"/>
          <w:spacing w:val="-22"/>
          <w:w w:val="105"/>
        </w:rPr>
        <w:t> </w:t>
      </w:r>
      <w:r>
        <w:rPr>
          <w:color w:val="231F20"/>
          <w:w w:val="105"/>
        </w:rPr>
        <w:t>interview of</w:t>
      </w:r>
      <w:r>
        <w:rPr>
          <w:color w:val="231F20"/>
          <w:spacing w:val="11"/>
          <w:w w:val="105"/>
        </w:rPr>
        <w:t> </w:t>
      </w:r>
      <w:r>
        <w:rPr>
          <w:color w:val="231F20"/>
          <w:w w:val="105"/>
        </w:rPr>
        <w:t>independent</w:t>
      </w:r>
      <w:r>
        <w:rPr>
          <w:color w:val="231F20"/>
          <w:spacing w:val="-12"/>
          <w:w w:val="105"/>
        </w:rPr>
        <w:t> </w:t>
      </w:r>
      <w:r>
        <w:rPr>
          <w:color w:val="231F20"/>
          <w:w w:val="105"/>
        </w:rPr>
        <w:t>complaints</w:t>
      </w:r>
      <w:r>
        <w:rPr>
          <w:color w:val="231F20"/>
          <w:spacing w:val="-12"/>
          <w:w w:val="105"/>
        </w:rPr>
        <w:t> </w:t>
      </w:r>
      <w:r>
        <w:rPr>
          <w:color w:val="231F20"/>
          <w:w w:val="105"/>
        </w:rPr>
        <w:t>are</w:t>
      </w:r>
      <w:r>
        <w:rPr>
          <w:color w:val="231F20"/>
          <w:spacing w:val="-12"/>
          <w:w w:val="105"/>
        </w:rPr>
        <w:t> </w:t>
      </w:r>
      <w:r>
        <w:rPr>
          <w:color w:val="231F20"/>
          <w:w w:val="105"/>
        </w:rPr>
        <w:t>used</w:t>
      </w:r>
      <w:r>
        <w:rPr>
          <w:color w:val="231F20"/>
          <w:spacing w:val="-12"/>
          <w:w w:val="105"/>
        </w:rPr>
        <w:t> </w:t>
      </w:r>
      <w:r>
        <w:rPr>
          <w:color w:val="231F20"/>
          <w:w w:val="105"/>
        </w:rPr>
        <w:t>to</w:t>
      </w:r>
      <w:r>
        <w:rPr>
          <w:color w:val="231F20"/>
          <w:spacing w:val="-12"/>
          <w:w w:val="105"/>
        </w:rPr>
        <w:t> </w:t>
      </w:r>
      <w:r>
        <w:rPr>
          <w:color w:val="231F20"/>
          <w:w w:val="105"/>
        </w:rPr>
        <w:t>identify </w:t>
      </w:r>
      <w:r>
        <w:rPr>
          <w:rFonts w:ascii="Times New Roman"/>
          <w:color w:val="231F20"/>
          <w:w w:val="105"/>
        </w:rPr>
        <w:t>clusters</w:t>
      </w:r>
      <w:r>
        <w:rPr>
          <w:rFonts w:ascii="Times New Roman"/>
          <w:color w:val="231F20"/>
          <w:spacing w:val="-29"/>
          <w:w w:val="105"/>
        </w:rPr>
        <w:t> </w:t>
      </w:r>
      <w:r>
        <w:rPr>
          <w:rFonts w:ascii="Times New Roman"/>
          <w:color w:val="231F20"/>
          <w:w w:val="105"/>
        </w:rPr>
        <w:t>of</w:t>
      </w:r>
      <w:r>
        <w:rPr>
          <w:rFonts w:ascii="Times New Roman"/>
          <w:color w:val="231F20"/>
          <w:spacing w:val="-15"/>
          <w:w w:val="105"/>
        </w:rPr>
        <w:t> </w:t>
      </w:r>
      <w:r>
        <w:rPr>
          <w:rFonts w:ascii="Times New Roman"/>
          <w:color w:val="231F20"/>
          <w:w w:val="105"/>
        </w:rPr>
        <w:t>illness</w:t>
      </w:r>
      <w:r>
        <w:rPr>
          <w:rFonts w:ascii="Times New Roman"/>
          <w:color w:val="231F20"/>
          <w:spacing w:val="-29"/>
          <w:w w:val="105"/>
        </w:rPr>
        <w:t> </w:t>
      </w:r>
      <w:r>
        <w:rPr>
          <w:rFonts w:ascii="Times New Roman"/>
          <w:color w:val="231F20"/>
          <w:w w:val="105"/>
        </w:rPr>
        <w:t>in</w:t>
      </w:r>
      <w:r>
        <w:rPr>
          <w:rFonts w:ascii="Times New Roman"/>
          <w:color w:val="231F20"/>
          <w:spacing w:val="-29"/>
          <w:w w:val="105"/>
        </w:rPr>
        <w:t> </w:t>
      </w:r>
      <w:r>
        <w:rPr>
          <w:rFonts w:ascii="Times New Roman"/>
          <w:color w:val="231F20"/>
          <w:w w:val="105"/>
        </w:rPr>
        <w:t>much</w:t>
      </w:r>
      <w:r>
        <w:rPr>
          <w:rFonts w:ascii="Times New Roman"/>
          <w:color w:val="231F20"/>
          <w:spacing w:val="-29"/>
          <w:w w:val="105"/>
        </w:rPr>
        <w:t> </w:t>
      </w:r>
      <w:r>
        <w:rPr>
          <w:rFonts w:ascii="Times New Roman"/>
          <w:color w:val="231F20"/>
          <w:w w:val="105"/>
        </w:rPr>
        <w:t>the</w:t>
      </w:r>
      <w:r>
        <w:rPr>
          <w:rFonts w:ascii="Times New Roman"/>
          <w:color w:val="231F20"/>
          <w:spacing w:val="-29"/>
          <w:w w:val="105"/>
        </w:rPr>
        <w:t> </w:t>
      </w:r>
      <w:r>
        <w:rPr>
          <w:rFonts w:ascii="Times New Roman"/>
          <w:color w:val="231F20"/>
          <w:w w:val="105"/>
        </w:rPr>
        <w:t>same</w:t>
      </w:r>
      <w:r>
        <w:rPr>
          <w:rFonts w:ascii="Times New Roman"/>
          <w:color w:val="231F20"/>
          <w:spacing w:val="-29"/>
          <w:w w:val="105"/>
        </w:rPr>
        <w:t> </w:t>
      </w:r>
      <w:r>
        <w:rPr>
          <w:rFonts w:ascii="Times New Roman"/>
          <w:color w:val="231F20"/>
          <w:w w:val="105"/>
        </w:rPr>
        <w:t>manner</w:t>
      </w:r>
      <w:r>
        <w:rPr>
          <w:rFonts w:ascii="Times New Roman"/>
          <w:color w:val="231F20"/>
          <w:spacing w:val="-29"/>
          <w:w w:val="105"/>
        </w:rPr>
        <w:t> </w:t>
      </w:r>
      <w:r>
        <w:rPr>
          <w:rFonts w:ascii="Times New Roman"/>
          <w:color w:val="231F20"/>
          <w:w w:val="105"/>
        </w:rPr>
        <w:t>as</w:t>
      </w:r>
    </w:p>
    <w:p>
      <w:pPr>
        <w:spacing w:after="0" w:line="259" w:lineRule="auto"/>
        <w:jc w:val="both"/>
        <w:rPr>
          <w:rFonts w:ascii="Times New Roman"/>
        </w:rPr>
        <w:sectPr>
          <w:type w:val="continuous"/>
          <w:pgSz w:w="10080" w:h="14400"/>
          <w:pgMar w:top="0" w:bottom="360" w:left="0" w:right="0"/>
          <w:cols w:num="2" w:equalWidth="0">
            <w:col w:w="4500" w:space="40"/>
            <w:col w:w="5540"/>
          </w:cols>
        </w:sectPr>
      </w:pPr>
    </w:p>
    <w:p>
      <w:pPr>
        <w:pStyle w:val="BodyText"/>
        <w:spacing w:before="5"/>
        <w:rPr>
          <w:rFonts w:ascii="Times New Roman"/>
          <w:sz w:val="10"/>
        </w:rPr>
      </w:pPr>
    </w:p>
    <w:p>
      <w:pPr>
        <w:pStyle w:val="Heading1"/>
        <w:spacing w:line="249" w:lineRule="auto" w:before="98"/>
      </w:pPr>
      <w:r>
        <w:rPr/>
        <w:pict>
          <v:line style="position:absolute;mso-position-horizontal-relative:page;mso-position-vertical-relative:paragraph;z-index:2656;mso-wrap-distance-left:0;mso-wrap-distance-right:0" from="72pt,40.841942pt" to="468pt,40.841942pt" stroked="true" strokeweight=".5pt" strokecolor="#00a94f">
            <v:stroke dashstyle="solid"/>
            <w10:wrap type="topAndBottom"/>
          </v:line>
        </w:pict>
      </w:r>
      <w:r>
        <w:rPr/>
        <w:pict>
          <v:rect style="position:absolute;margin-left:0pt;margin-top:7.391943pt;width:45pt;height:18pt;mso-position-horizontal-relative:page;mso-position-vertical-relative:paragraph;z-index:2680" filled="true" fillcolor="#0079c1" stroked="false">
            <v:fill type="solid"/>
            <w10:wrap type="none"/>
          </v:rect>
        </w:pict>
      </w:r>
      <w:r>
        <w:rPr/>
        <w:pict>
          <v:line style="position:absolute;mso-position-horizontal-relative:page;mso-position-vertical-relative:paragraph;z-index:2704" from="54.5pt,7.391943pt" to="54.5pt,191.669943pt" stroked="true" strokeweight="1pt" strokecolor="#0079c1">
            <v:stroke dashstyle="solid"/>
            <w10:wrap type="none"/>
          </v:line>
        </w:pict>
      </w:r>
      <w:r>
        <w:rPr/>
        <w:pict>
          <v:shape style="position:absolute;margin-left:18.200388pt;margin-top:12.142896pt;width:15.85pt;height:180.55pt;mso-position-horizontal-relative:page;mso-position-vertical-relative:paragraph;z-index:2728"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4. Foodborne Disease Surveillance and Outbreak  Detection</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1" w:lineRule="auto" w:before="108"/>
        <w:ind w:left="1440" w:right="68"/>
        <w:rPr>
          <w:rFonts w:ascii="Times New Roman"/>
        </w:rPr>
      </w:pPr>
      <w:r>
        <w:rPr>
          <w:color w:val="231F20"/>
        </w:rPr>
        <w:t>common agents are used in pathogen-specific surveillance. In the absence of common, suspicious exposures shared by two or more </w:t>
      </w:r>
      <w:r>
        <w:rPr>
          <w:rFonts w:ascii="Times New Roman"/>
          <w:color w:val="231F20"/>
        </w:rPr>
        <w:t>cases, independent complaints of illness</w:t>
      </w:r>
    </w:p>
    <w:p>
      <w:pPr>
        <w:pStyle w:val="BodyText"/>
        <w:spacing w:line="266" w:lineRule="auto" w:before="14"/>
        <w:ind w:left="1440" w:right="68"/>
      </w:pPr>
      <w:r>
        <w:rPr>
          <w:color w:val="231F20"/>
        </w:rPr>
        <w:t>with nonspecific symptoms (e.g., diarrhea or vomiting) generally are not worth pursuing unless required by local or state  statute.</w:t>
      </w:r>
    </w:p>
    <w:p>
      <w:pPr>
        <w:pStyle w:val="BodyText"/>
        <w:spacing w:line="266" w:lineRule="auto"/>
        <w:ind w:left="1440" w:right="68"/>
      </w:pPr>
      <w:r>
        <w:rPr>
          <w:color w:val="231F20"/>
          <w:w w:val="105"/>
        </w:rPr>
        <w:t>Routine</w:t>
      </w:r>
      <w:r>
        <w:rPr>
          <w:color w:val="231F20"/>
          <w:spacing w:val="-16"/>
          <w:w w:val="105"/>
        </w:rPr>
        <w:t> </w:t>
      </w:r>
      <w:r>
        <w:rPr>
          <w:color w:val="231F20"/>
          <w:w w:val="105"/>
        </w:rPr>
        <w:t>interviews</w:t>
      </w:r>
      <w:r>
        <w:rPr>
          <w:color w:val="231F20"/>
          <w:spacing w:val="-16"/>
          <w:w w:val="105"/>
        </w:rPr>
        <w:t> </w:t>
      </w:r>
      <w:r>
        <w:rPr>
          <w:color w:val="231F20"/>
          <w:w w:val="105"/>
        </w:rPr>
        <w:t>are</w:t>
      </w:r>
      <w:r>
        <w:rPr>
          <w:color w:val="231F20"/>
          <w:spacing w:val="-16"/>
          <w:w w:val="105"/>
        </w:rPr>
        <w:t> </w:t>
      </w:r>
      <w:r>
        <w:rPr>
          <w:color w:val="231F20"/>
          <w:w w:val="105"/>
        </w:rPr>
        <w:t>needed</w:t>
      </w:r>
      <w:r>
        <w:rPr>
          <w:color w:val="231F20"/>
          <w:spacing w:val="-16"/>
          <w:w w:val="105"/>
        </w:rPr>
        <w:t> </w:t>
      </w:r>
      <w:r>
        <w:rPr>
          <w:color w:val="231F20"/>
          <w:w w:val="105"/>
        </w:rPr>
        <w:t>for</w:t>
      </w:r>
      <w:r>
        <w:rPr>
          <w:color w:val="231F20"/>
          <w:spacing w:val="-16"/>
          <w:w w:val="105"/>
        </w:rPr>
        <w:t> </w:t>
      </w:r>
      <w:r>
        <w:rPr>
          <w:color w:val="231F20"/>
          <w:w w:val="105"/>
        </w:rPr>
        <w:t>this</w:t>
      </w:r>
      <w:r>
        <w:rPr>
          <w:color w:val="231F20"/>
          <w:spacing w:val="-16"/>
          <w:w w:val="105"/>
        </w:rPr>
        <w:t> </w:t>
      </w:r>
      <w:r>
        <w:rPr>
          <w:color w:val="231F20"/>
          <w:w w:val="105"/>
        </w:rPr>
        <w:t>process to</w:t>
      </w:r>
      <w:r>
        <w:rPr>
          <w:color w:val="231F20"/>
          <w:spacing w:val="-20"/>
          <w:w w:val="105"/>
        </w:rPr>
        <w:t> </w:t>
      </w:r>
      <w:r>
        <w:rPr>
          <w:color w:val="231F20"/>
          <w:w w:val="105"/>
        </w:rPr>
        <w:t>be</w:t>
      </w:r>
      <w:r>
        <w:rPr>
          <w:color w:val="231F20"/>
          <w:spacing w:val="-20"/>
          <w:w w:val="105"/>
        </w:rPr>
        <w:t> </w:t>
      </w:r>
      <w:r>
        <w:rPr>
          <w:color w:val="231F20"/>
          <w:w w:val="105"/>
        </w:rPr>
        <w:t>robust</w:t>
      </w:r>
      <w:r>
        <w:rPr>
          <w:color w:val="231F20"/>
          <w:spacing w:val="-20"/>
          <w:w w:val="105"/>
        </w:rPr>
        <w:t> </w:t>
      </w:r>
      <w:r>
        <w:rPr>
          <w:color w:val="231F20"/>
          <w:w w:val="105"/>
        </w:rPr>
        <w:t>(4.3.4).</w:t>
      </w:r>
    </w:p>
    <w:p>
      <w:pPr>
        <w:pStyle w:val="BodyText"/>
        <w:spacing w:line="266" w:lineRule="auto" w:before="180"/>
        <w:ind w:left="1440" w:right="60"/>
      </w:pPr>
      <w:r>
        <w:rPr>
          <w:color w:val="231F20"/>
          <w:w w:val="105"/>
        </w:rPr>
        <w:t>Complaint systems do not require identification of a specific agent or syndrome or contact with the health-care system.</w:t>
      </w:r>
    </w:p>
    <w:p>
      <w:pPr>
        <w:pStyle w:val="BodyText"/>
        <w:spacing w:line="266" w:lineRule="auto"/>
        <w:ind w:left="1440" w:right="68"/>
      </w:pPr>
      <w:r>
        <w:rPr>
          <w:color w:val="231F20"/>
          <w:w w:val="105"/>
        </w:rPr>
        <w:t>Complaint systems lead to identification of most localized foodborne disease outbreaks.</w:t>
      </w:r>
    </w:p>
    <w:p>
      <w:pPr>
        <w:spacing w:line="290" w:lineRule="auto" w:before="184"/>
        <w:ind w:left="1440" w:right="52" w:firstLine="0"/>
        <w:jc w:val="left"/>
        <w:rPr>
          <w:rFonts w:ascii="Arial"/>
          <w:sz w:val="18"/>
        </w:rPr>
      </w:pPr>
      <w:r>
        <w:rPr>
          <w:rFonts w:ascii="Arial"/>
          <w:color w:val="00A94F"/>
          <w:w w:val="105"/>
          <w:sz w:val="18"/>
        </w:rPr>
        <w:t>Strengths</w:t>
      </w:r>
      <w:r>
        <w:rPr>
          <w:rFonts w:ascii="Arial"/>
          <w:color w:val="00A94F"/>
          <w:spacing w:val="-25"/>
          <w:w w:val="105"/>
          <w:sz w:val="18"/>
        </w:rPr>
        <w:t> </w:t>
      </w:r>
      <w:r>
        <w:rPr>
          <w:rFonts w:ascii="Arial"/>
          <w:color w:val="00A94F"/>
          <w:w w:val="105"/>
          <w:sz w:val="18"/>
        </w:rPr>
        <w:t>of</w:t>
      </w:r>
      <w:r>
        <w:rPr>
          <w:rFonts w:ascii="Arial"/>
          <w:color w:val="00A94F"/>
          <w:spacing w:val="-25"/>
          <w:w w:val="105"/>
          <w:sz w:val="18"/>
        </w:rPr>
        <w:t> </w:t>
      </w:r>
      <w:r>
        <w:rPr>
          <w:rFonts w:ascii="Arial"/>
          <w:color w:val="00A94F"/>
          <w:w w:val="105"/>
          <w:sz w:val="18"/>
        </w:rPr>
        <w:t>Complaint</w:t>
      </w:r>
      <w:r>
        <w:rPr>
          <w:rFonts w:ascii="Arial"/>
          <w:color w:val="00A94F"/>
          <w:spacing w:val="-25"/>
          <w:w w:val="105"/>
          <w:sz w:val="18"/>
        </w:rPr>
        <w:t> </w:t>
      </w:r>
      <w:r>
        <w:rPr>
          <w:rFonts w:ascii="Arial"/>
          <w:color w:val="00A94F"/>
          <w:w w:val="105"/>
          <w:sz w:val="18"/>
        </w:rPr>
        <w:t>Systems</w:t>
      </w:r>
      <w:r>
        <w:rPr>
          <w:rFonts w:ascii="Arial"/>
          <w:color w:val="00A94F"/>
          <w:spacing w:val="-25"/>
          <w:w w:val="105"/>
          <w:sz w:val="18"/>
        </w:rPr>
        <w:t> </w:t>
      </w:r>
      <w:r>
        <w:rPr>
          <w:rFonts w:ascii="Arial"/>
          <w:color w:val="00A94F"/>
          <w:w w:val="105"/>
          <w:sz w:val="18"/>
        </w:rPr>
        <w:t>for</w:t>
      </w:r>
      <w:r>
        <w:rPr>
          <w:rFonts w:ascii="Arial"/>
          <w:color w:val="00A94F"/>
          <w:spacing w:val="-25"/>
          <w:w w:val="105"/>
          <w:sz w:val="18"/>
        </w:rPr>
        <w:t> </w:t>
      </w:r>
      <w:r>
        <w:rPr>
          <w:rFonts w:ascii="Arial"/>
          <w:color w:val="00A94F"/>
          <w:w w:val="105"/>
          <w:sz w:val="18"/>
        </w:rPr>
        <w:t>Outbreak </w:t>
      </w:r>
      <w:r>
        <w:rPr>
          <w:rFonts w:ascii="Arial"/>
          <w:color w:val="00A94F"/>
          <w:sz w:val="18"/>
        </w:rPr>
        <w:t>Detection</w:t>
      </w:r>
      <w:r>
        <w:rPr>
          <w:rFonts w:ascii="Arial"/>
          <w:color w:val="00A94F"/>
          <w:spacing w:val="16"/>
          <w:sz w:val="18"/>
        </w:rPr>
        <w:t> </w:t>
      </w:r>
      <w:r>
        <w:rPr>
          <w:rFonts w:ascii="Arial"/>
          <w:color w:val="00A94F"/>
          <w:sz w:val="18"/>
        </w:rPr>
        <w:t>(4.3.6)</w:t>
      </w:r>
    </w:p>
    <w:p>
      <w:pPr>
        <w:pStyle w:val="BodyText"/>
        <w:spacing w:line="264" w:lineRule="auto"/>
        <w:ind w:left="1440" w:right="211"/>
      </w:pPr>
      <w:r>
        <w:rPr>
          <w:color w:val="231F20"/>
        </w:rPr>
        <w:t>The primary strengths of complaint systems </w:t>
      </w:r>
      <w:r>
        <w:rPr>
          <w:rFonts w:ascii="Times New Roman"/>
          <w:color w:val="231F20"/>
        </w:rPr>
        <w:t>derive from their lack of dependence on </w:t>
      </w:r>
      <w:r>
        <w:rPr>
          <w:color w:val="231F20"/>
        </w:rPr>
        <w:t>health-care system contact and laboratory testing. These strengths  include:</w:t>
      </w:r>
    </w:p>
    <w:p>
      <w:pPr>
        <w:pStyle w:val="ListParagraph"/>
        <w:numPr>
          <w:ilvl w:val="1"/>
          <w:numId w:val="2"/>
        </w:numPr>
        <w:tabs>
          <w:tab w:pos="1611" w:val="left" w:leader="none"/>
        </w:tabs>
        <w:spacing w:line="266" w:lineRule="auto" w:before="185" w:after="0"/>
        <w:ind w:left="1610" w:right="168" w:hanging="170"/>
        <w:jc w:val="left"/>
        <w:rPr>
          <w:sz w:val="20"/>
        </w:rPr>
      </w:pPr>
      <w:r>
        <w:rPr>
          <w:color w:val="231F20"/>
          <w:w w:val="105"/>
          <w:sz w:val="20"/>
        </w:rPr>
        <w:t>Ability</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detect</w:t>
      </w:r>
      <w:r>
        <w:rPr>
          <w:color w:val="231F20"/>
          <w:spacing w:val="-13"/>
          <w:w w:val="105"/>
          <w:sz w:val="20"/>
        </w:rPr>
        <w:t> </w:t>
      </w:r>
      <w:r>
        <w:rPr>
          <w:color w:val="231F20"/>
          <w:w w:val="105"/>
          <w:sz w:val="20"/>
        </w:rPr>
        <w:t>outbreaks</w:t>
      </w:r>
      <w:r>
        <w:rPr>
          <w:color w:val="231F20"/>
          <w:spacing w:val="-13"/>
          <w:w w:val="105"/>
          <w:sz w:val="20"/>
        </w:rPr>
        <w:t> </w:t>
      </w:r>
      <w:r>
        <w:rPr>
          <w:color w:val="231F20"/>
          <w:w w:val="105"/>
          <w:sz w:val="20"/>
        </w:rPr>
        <w:t>from</w:t>
      </w:r>
      <w:r>
        <w:rPr>
          <w:color w:val="231F20"/>
          <w:spacing w:val="-13"/>
          <w:w w:val="105"/>
          <w:sz w:val="20"/>
        </w:rPr>
        <w:t> </w:t>
      </w:r>
      <w:r>
        <w:rPr>
          <w:color w:val="231F20"/>
          <w:w w:val="105"/>
          <w:sz w:val="20"/>
        </w:rPr>
        <w:t>any</w:t>
      </w:r>
      <w:r>
        <w:rPr>
          <w:color w:val="231F20"/>
          <w:spacing w:val="-13"/>
          <w:w w:val="105"/>
          <w:sz w:val="20"/>
        </w:rPr>
        <w:t> </w:t>
      </w:r>
      <w:r>
        <w:rPr>
          <w:color w:val="231F20"/>
          <w:w w:val="105"/>
          <w:sz w:val="20"/>
        </w:rPr>
        <w:t>cause, known</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unknown;</w:t>
      </w:r>
      <w:r>
        <w:rPr>
          <w:color w:val="231F20"/>
          <w:spacing w:val="-16"/>
          <w:w w:val="105"/>
          <w:sz w:val="20"/>
        </w:rPr>
        <w:t> </w:t>
      </w:r>
      <w:r>
        <w:rPr>
          <w:color w:val="231F20"/>
          <w:w w:val="105"/>
          <w:sz w:val="20"/>
        </w:rPr>
        <w:t>and</w:t>
      </w:r>
    </w:p>
    <w:p>
      <w:pPr>
        <w:pStyle w:val="ListParagraph"/>
        <w:numPr>
          <w:ilvl w:val="1"/>
          <w:numId w:val="2"/>
        </w:numPr>
        <w:tabs>
          <w:tab w:pos="1611" w:val="left" w:leader="none"/>
        </w:tabs>
        <w:spacing w:line="266" w:lineRule="auto" w:before="75" w:after="0"/>
        <w:ind w:left="1610" w:right="37" w:hanging="170"/>
        <w:jc w:val="left"/>
        <w:rPr>
          <w:sz w:val="20"/>
        </w:rPr>
      </w:pPr>
      <w:r>
        <w:rPr>
          <w:rFonts w:ascii="Times New Roman"/>
          <w:color w:val="231F20"/>
          <w:w w:val="105"/>
          <w:sz w:val="20"/>
        </w:rPr>
        <w:t>Increased speed of detection resulting in, </w:t>
      </w:r>
      <w:r>
        <w:rPr>
          <w:color w:val="231F20"/>
          <w:w w:val="105"/>
          <w:sz w:val="20"/>
        </w:rPr>
        <w:t>among</w:t>
      </w:r>
      <w:r>
        <w:rPr>
          <w:color w:val="231F20"/>
          <w:spacing w:val="-8"/>
          <w:w w:val="105"/>
          <w:sz w:val="20"/>
        </w:rPr>
        <w:t> </w:t>
      </w:r>
      <w:r>
        <w:rPr>
          <w:color w:val="231F20"/>
          <w:w w:val="105"/>
          <w:sz w:val="20"/>
        </w:rPr>
        <w:t>other</w:t>
      </w:r>
      <w:r>
        <w:rPr>
          <w:color w:val="231F20"/>
          <w:spacing w:val="-8"/>
          <w:w w:val="105"/>
          <w:sz w:val="20"/>
        </w:rPr>
        <w:t> </w:t>
      </w:r>
      <w:r>
        <w:rPr>
          <w:color w:val="231F20"/>
          <w:w w:val="105"/>
          <w:sz w:val="20"/>
        </w:rPr>
        <w:t>things,</w:t>
      </w:r>
      <w:r>
        <w:rPr>
          <w:color w:val="231F20"/>
          <w:spacing w:val="-8"/>
          <w:w w:val="105"/>
          <w:sz w:val="20"/>
        </w:rPr>
        <w:t> </w:t>
      </w:r>
      <w:r>
        <w:rPr>
          <w:color w:val="231F20"/>
          <w:w w:val="105"/>
          <w:sz w:val="20"/>
        </w:rPr>
        <w:t>higher</w:t>
      </w:r>
      <w:r>
        <w:rPr>
          <w:color w:val="231F20"/>
          <w:spacing w:val="-8"/>
          <w:w w:val="105"/>
          <w:sz w:val="20"/>
        </w:rPr>
        <w:t> </w:t>
      </w:r>
      <w:r>
        <w:rPr>
          <w:color w:val="231F20"/>
          <w:w w:val="105"/>
          <w:sz w:val="20"/>
        </w:rPr>
        <w:t>quality</w:t>
      </w:r>
      <w:r>
        <w:rPr>
          <w:color w:val="231F20"/>
          <w:spacing w:val="-8"/>
          <w:w w:val="105"/>
          <w:sz w:val="20"/>
        </w:rPr>
        <w:t> </w:t>
      </w:r>
      <w:r>
        <w:rPr>
          <w:color w:val="231F20"/>
          <w:w w:val="105"/>
          <w:sz w:val="20"/>
        </w:rPr>
        <w:t>exposure information.</w:t>
      </w:r>
    </w:p>
    <w:p>
      <w:pPr>
        <w:pStyle w:val="BodyText"/>
        <w:spacing w:line="266" w:lineRule="auto" w:before="179"/>
        <w:ind w:left="1440" w:right="39"/>
      </w:pPr>
      <w:r>
        <w:rPr>
          <w:color w:val="231F20"/>
          <w:spacing w:val="-7"/>
          <w:w w:val="105"/>
        </w:rPr>
        <w:t>For</w:t>
      </w:r>
      <w:r>
        <w:rPr>
          <w:color w:val="231F20"/>
          <w:spacing w:val="-18"/>
          <w:w w:val="105"/>
        </w:rPr>
        <w:t> </w:t>
      </w:r>
      <w:r>
        <w:rPr>
          <w:color w:val="231F20"/>
          <w:w w:val="105"/>
        </w:rPr>
        <w:t>event-related</w:t>
      </w:r>
      <w:r>
        <w:rPr>
          <w:color w:val="231F20"/>
          <w:spacing w:val="-18"/>
          <w:w w:val="105"/>
        </w:rPr>
        <w:t> </w:t>
      </w:r>
      <w:r>
        <w:rPr>
          <w:color w:val="231F20"/>
          <w:w w:val="105"/>
        </w:rPr>
        <w:t>complaints,</w:t>
      </w:r>
      <w:r>
        <w:rPr>
          <w:color w:val="231F20"/>
          <w:spacing w:val="-18"/>
          <w:w w:val="105"/>
        </w:rPr>
        <w:t> </w:t>
      </w:r>
      <w:r>
        <w:rPr>
          <w:color w:val="231F20"/>
          <w:w w:val="105"/>
        </w:rPr>
        <w:t>another</w:t>
      </w:r>
      <w:r>
        <w:rPr>
          <w:color w:val="231F20"/>
          <w:spacing w:val="-18"/>
          <w:w w:val="105"/>
        </w:rPr>
        <w:t> </w:t>
      </w:r>
      <w:r>
        <w:rPr>
          <w:color w:val="231F20"/>
          <w:w w:val="105"/>
        </w:rPr>
        <w:t>strength is</w:t>
      </w:r>
      <w:r>
        <w:rPr>
          <w:color w:val="231F20"/>
          <w:spacing w:val="-17"/>
          <w:w w:val="105"/>
        </w:rPr>
        <w:t> </w:t>
      </w:r>
      <w:r>
        <w:rPr>
          <w:color w:val="231F20"/>
          <w:w w:val="105"/>
        </w:rPr>
        <w:t>that</w:t>
      </w:r>
      <w:r>
        <w:rPr>
          <w:color w:val="231F20"/>
          <w:spacing w:val="-17"/>
          <w:w w:val="105"/>
        </w:rPr>
        <w:t> </w:t>
      </w:r>
      <w:r>
        <w:rPr>
          <w:color w:val="231F20"/>
          <w:w w:val="105"/>
        </w:rPr>
        <w:t>exposures</w:t>
      </w:r>
      <w:r>
        <w:rPr>
          <w:color w:val="231F20"/>
          <w:spacing w:val="-17"/>
          <w:w w:val="105"/>
        </w:rPr>
        <w:t> </w:t>
      </w:r>
      <w:r>
        <w:rPr>
          <w:color w:val="231F20"/>
          <w:w w:val="105"/>
        </w:rPr>
        <w:t>associated</w:t>
      </w:r>
      <w:r>
        <w:rPr>
          <w:color w:val="231F20"/>
          <w:spacing w:val="-17"/>
          <w:w w:val="105"/>
        </w:rPr>
        <w:t> </w:t>
      </w:r>
      <w:r>
        <w:rPr>
          <w:color w:val="231F20"/>
          <w:w w:val="105"/>
        </w:rPr>
        <w:t>with</w:t>
      </w:r>
      <w:r>
        <w:rPr>
          <w:color w:val="231F20"/>
          <w:spacing w:val="-17"/>
          <w:w w:val="105"/>
        </w:rPr>
        <w:t> </w:t>
      </w:r>
      <w:r>
        <w:rPr>
          <w:color w:val="231F20"/>
          <w:w w:val="105"/>
        </w:rPr>
        <w:t>the</w:t>
      </w:r>
      <w:r>
        <w:rPr>
          <w:color w:val="231F20"/>
          <w:spacing w:val="-17"/>
          <w:w w:val="105"/>
        </w:rPr>
        <w:t> </w:t>
      </w:r>
      <w:r>
        <w:rPr>
          <w:color w:val="231F20"/>
          <w:w w:val="105"/>
        </w:rPr>
        <w:t>event</w:t>
      </w:r>
    </w:p>
    <w:p>
      <w:pPr>
        <w:pStyle w:val="BodyText"/>
        <w:spacing w:line="266" w:lineRule="auto"/>
        <w:ind w:left="1440" w:right="206"/>
      </w:pPr>
      <w:r>
        <w:rPr>
          <w:color w:val="231F20"/>
          <w:w w:val="105"/>
        </w:rPr>
        <w:t>can usually be determined and recall of exposures among attendees is usually good.</w:t>
      </w:r>
    </w:p>
    <w:p>
      <w:pPr>
        <w:pStyle w:val="BodyText"/>
        <w:spacing w:line="259" w:lineRule="auto"/>
        <w:ind w:left="1440" w:right="409"/>
        <w:jc w:val="both"/>
        <w:rPr>
          <w:rFonts w:ascii="Times New Roman"/>
        </w:rPr>
      </w:pPr>
      <w:r>
        <w:rPr>
          <w:color w:val="231F20"/>
        </w:rPr>
        <w:t>Because of  the relatively limited number  of exposures to </w:t>
      </w:r>
      <w:r>
        <w:rPr>
          <w:color w:val="231F20"/>
          <w:spacing w:val="-3"/>
        </w:rPr>
        <w:t>consider, </w:t>
      </w:r>
      <w:r>
        <w:rPr>
          <w:color w:val="231F20"/>
        </w:rPr>
        <w:t>investigations of </w:t>
      </w:r>
      <w:r>
        <w:rPr>
          <w:rFonts w:ascii="Times New Roman"/>
          <w:color w:val="231F20"/>
        </w:rPr>
        <w:t>event-related complaints can be pivotal</w:t>
      </w:r>
      <w:r>
        <w:rPr>
          <w:rFonts w:ascii="Times New Roman"/>
          <w:color w:val="231F20"/>
          <w:spacing w:val="-28"/>
        </w:rPr>
        <w:t> </w:t>
      </w:r>
      <w:r>
        <w:rPr>
          <w:rFonts w:ascii="Times New Roman"/>
          <w:color w:val="231F20"/>
        </w:rPr>
        <w:t>to</w:t>
      </w:r>
    </w:p>
    <w:p>
      <w:pPr>
        <w:pStyle w:val="BodyText"/>
        <w:spacing w:line="266" w:lineRule="auto" w:before="16"/>
        <w:ind w:left="1440"/>
      </w:pPr>
      <w:r>
        <w:rPr>
          <w:color w:val="231F20"/>
          <w:w w:val="105"/>
        </w:rPr>
        <w:t>solving</w:t>
      </w:r>
      <w:r>
        <w:rPr>
          <w:color w:val="231F20"/>
          <w:spacing w:val="-21"/>
          <w:w w:val="105"/>
        </w:rPr>
        <w:t> </w:t>
      </w:r>
      <w:r>
        <w:rPr>
          <w:color w:val="231F20"/>
          <w:w w:val="105"/>
        </w:rPr>
        <w:t>widespread</w:t>
      </w:r>
      <w:r>
        <w:rPr>
          <w:color w:val="231F20"/>
          <w:spacing w:val="-21"/>
          <w:w w:val="105"/>
        </w:rPr>
        <w:t> </w:t>
      </w:r>
      <w:r>
        <w:rPr>
          <w:color w:val="231F20"/>
          <w:w w:val="105"/>
        </w:rPr>
        <w:t>outbreaks</w:t>
      </w:r>
      <w:r>
        <w:rPr>
          <w:color w:val="231F20"/>
          <w:spacing w:val="-21"/>
          <w:w w:val="105"/>
        </w:rPr>
        <w:t> </w:t>
      </w:r>
      <w:r>
        <w:rPr>
          <w:color w:val="231F20"/>
          <w:w w:val="105"/>
        </w:rPr>
        <w:t>detected</w:t>
      </w:r>
      <w:r>
        <w:rPr>
          <w:color w:val="231F20"/>
          <w:spacing w:val="-21"/>
          <w:w w:val="105"/>
        </w:rPr>
        <w:t> </w:t>
      </w:r>
      <w:r>
        <w:rPr>
          <w:color w:val="231F20"/>
          <w:w w:val="105"/>
        </w:rPr>
        <w:t>through</w:t>
      </w:r>
      <w:r>
        <w:rPr>
          <w:color w:val="231F20"/>
          <w:w w:val="103"/>
        </w:rPr>
        <w:t> </w:t>
      </w:r>
      <w:r>
        <w:rPr>
          <w:color w:val="231F20"/>
        </w:rPr>
        <w:t>pathogen-specific </w:t>
      </w:r>
      <w:r>
        <w:rPr>
          <w:color w:val="231F20"/>
          <w:spacing w:val="14"/>
        </w:rPr>
        <w:t> </w:t>
      </w:r>
      <w:r>
        <w:rPr>
          <w:color w:val="231F20"/>
        </w:rPr>
        <w:t>surveillance.</w:t>
      </w:r>
    </w:p>
    <w:p>
      <w:pPr>
        <w:spacing w:line="273" w:lineRule="auto" w:before="183"/>
        <w:ind w:left="1440" w:right="165" w:firstLine="0"/>
        <w:jc w:val="left"/>
        <w:rPr>
          <w:sz w:val="20"/>
        </w:rPr>
      </w:pPr>
      <w:r>
        <w:rPr>
          <w:rFonts w:ascii="Arial"/>
          <w:color w:val="00A94F"/>
          <w:sz w:val="18"/>
        </w:rPr>
        <w:t>Limitations of Complaint Systems (4.3.7) </w:t>
      </w:r>
      <w:r>
        <w:rPr>
          <w:color w:val="231F20"/>
          <w:sz w:val="20"/>
        </w:rPr>
        <w:t>Lack of detailed exposure information and specific agent or disease information limits complaint systems, resulting in the  following:</w:t>
      </w:r>
    </w:p>
    <w:p>
      <w:pPr>
        <w:pStyle w:val="ListParagraph"/>
        <w:numPr>
          <w:ilvl w:val="1"/>
          <w:numId w:val="2"/>
        </w:numPr>
        <w:tabs>
          <w:tab w:pos="1611" w:val="left" w:leader="none"/>
        </w:tabs>
        <w:spacing w:line="266" w:lineRule="auto" w:before="173" w:after="0"/>
        <w:ind w:left="1610" w:right="458" w:hanging="170"/>
        <w:jc w:val="left"/>
        <w:rPr>
          <w:sz w:val="20"/>
        </w:rPr>
      </w:pPr>
      <w:r>
        <w:rPr>
          <w:color w:val="231F20"/>
          <w:w w:val="105"/>
          <w:sz w:val="20"/>
        </w:rPr>
        <w:t>Inability</w:t>
      </w:r>
      <w:r>
        <w:rPr>
          <w:color w:val="231F20"/>
          <w:spacing w:val="-16"/>
          <w:w w:val="105"/>
          <w:sz w:val="20"/>
        </w:rPr>
        <w:t> </w:t>
      </w:r>
      <w:r>
        <w:rPr>
          <w:color w:val="231F20"/>
          <w:w w:val="105"/>
          <w:sz w:val="20"/>
        </w:rPr>
        <w:t>to</w:t>
      </w:r>
      <w:r>
        <w:rPr>
          <w:color w:val="231F20"/>
          <w:spacing w:val="-16"/>
          <w:w w:val="105"/>
          <w:sz w:val="20"/>
        </w:rPr>
        <w:t> </w:t>
      </w:r>
      <w:r>
        <w:rPr>
          <w:color w:val="231F20"/>
          <w:w w:val="105"/>
          <w:sz w:val="20"/>
        </w:rPr>
        <w:t>detect</w:t>
      </w:r>
      <w:r>
        <w:rPr>
          <w:color w:val="231F20"/>
          <w:spacing w:val="-16"/>
          <w:w w:val="105"/>
          <w:sz w:val="20"/>
        </w:rPr>
        <w:t> </w:t>
      </w:r>
      <w:r>
        <w:rPr>
          <w:color w:val="231F20"/>
          <w:w w:val="105"/>
          <w:sz w:val="20"/>
        </w:rPr>
        <w:t>widespread</w:t>
      </w:r>
      <w:r>
        <w:rPr>
          <w:color w:val="231F20"/>
          <w:spacing w:val="-16"/>
          <w:w w:val="105"/>
          <w:sz w:val="20"/>
        </w:rPr>
        <w:t> </w:t>
      </w:r>
      <w:r>
        <w:rPr>
          <w:color w:val="231F20"/>
          <w:w w:val="105"/>
          <w:sz w:val="20"/>
        </w:rPr>
        <w:t>low-level contamination</w:t>
      </w:r>
      <w:r>
        <w:rPr>
          <w:color w:val="231F20"/>
          <w:spacing w:val="-34"/>
          <w:w w:val="105"/>
          <w:sz w:val="20"/>
        </w:rPr>
        <w:t> </w:t>
      </w:r>
      <w:r>
        <w:rPr>
          <w:color w:val="231F20"/>
          <w:w w:val="105"/>
          <w:sz w:val="20"/>
        </w:rPr>
        <w:t>events;</w:t>
      </w:r>
    </w:p>
    <w:p>
      <w:pPr>
        <w:pStyle w:val="ListParagraph"/>
        <w:numPr>
          <w:ilvl w:val="0"/>
          <w:numId w:val="2"/>
        </w:numPr>
        <w:tabs>
          <w:tab w:pos="522" w:val="left" w:leader="none"/>
        </w:tabs>
        <w:spacing w:line="264" w:lineRule="auto" w:before="108" w:after="0"/>
        <w:ind w:left="521" w:right="834" w:hanging="171"/>
        <w:jc w:val="left"/>
        <w:rPr>
          <w:rFonts w:ascii="Times New Roman"/>
          <w:sz w:val="20"/>
        </w:rPr>
      </w:pPr>
      <w:r>
        <w:rPr>
          <w:color w:val="231F20"/>
          <w:w w:val="105"/>
          <w:sz w:val="20"/>
        </w:rPr>
        <w:br w:type="column"/>
      </w:r>
      <w:r>
        <w:rPr>
          <w:color w:val="231F20"/>
          <w:w w:val="105"/>
          <w:sz w:val="20"/>
        </w:rPr>
        <w:t>Inability to link related cases and exclude unrelated cases, leading to misclassification and increased difficulty in detecting associations</w:t>
      </w:r>
      <w:r>
        <w:rPr>
          <w:color w:val="231F20"/>
          <w:spacing w:val="-21"/>
          <w:w w:val="105"/>
          <w:sz w:val="20"/>
        </w:rPr>
        <w:t> </w:t>
      </w:r>
      <w:r>
        <w:rPr>
          <w:color w:val="231F20"/>
          <w:w w:val="105"/>
          <w:sz w:val="20"/>
        </w:rPr>
        <w:t>between</w:t>
      </w:r>
      <w:r>
        <w:rPr>
          <w:color w:val="231F20"/>
          <w:spacing w:val="-21"/>
          <w:w w:val="105"/>
          <w:sz w:val="20"/>
        </w:rPr>
        <w:t> </w:t>
      </w:r>
      <w:r>
        <w:rPr>
          <w:color w:val="231F20"/>
          <w:w w:val="105"/>
          <w:sz w:val="20"/>
        </w:rPr>
        <w:t>exposures</w:t>
      </w:r>
      <w:r>
        <w:rPr>
          <w:color w:val="231F20"/>
          <w:spacing w:val="-21"/>
          <w:w w:val="105"/>
          <w:sz w:val="20"/>
        </w:rPr>
        <w:t> </w:t>
      </w:r>
      <w:r>
        <w:rPr>
          <w:color w:val="231F20"/>
          <w:w w:val="105"/>
          <w:sz w:val="20"/>
        </w:rPr>
        <w:t>and</w:t>
      </w:r>
      <w:r>
        <w:rPr>
          <w:color w:val="231F20"/>
          <w:spacing w:val="-21"/>
          <w:w w:val="105"/>
          <w:sz w:val="20"/>
        </w:rPr>
        <w:t> </w:t>
      </w:r>
      <w:r>
        <w:rPr>
          <w:color w:val="231F20"/>
          <w:w w:val="105"/>
          <w:sz w:val="20"/>
        </w:rPr>
        <w:t>disease; </w:t>
      </w:r>
      <w:r>
        <w:rPr>
          <w:rFonts w:ascii="Times New Roman"/>
          <w:color w:val="231F20"/>
          <w:w w:val="105"/>
          <w:sz w:val="20"/>
        </w:rPr>
        <w:t>and</w:t>
      </w:r>
    </w:p>
    <w:p>
      <w:pPr>
        <w:pStyle w:val="ListParagraph"/>
        <w:numPr>
          <w:ilvl w:val="0"/>
          <w:numId w:val="2"/>
        </w:numPr>
        <w:tabs>
          <w:tab w:pos="522" w:val="left" w:leader="none"/>
        </w:tabs>
        <w:spacing w:line="266" w:lineRule="auto" w:before="102" w:after="0"/>
        <w:ind w:left="521" w:right="849" w:hanging="171"/>
        <w:jc w:val="left"/>
        <w:rPr>
          <w:sz w:val="20"/>
        </w:rPr>
      </w:pPr>
      <w:r>
        <w:rPr>
          <w:color w:val="231F20"/>
          <w:w w:val="105"/>
          <w:sz w:val="20"/>
        </w:rPr>
        <w:t>Detection primarily of outbreaks resulting from illnesses of short incubation (i.e., chemical</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toxin-mediated)</w:t>
      </w:r>
      <w:r>
        <w:rPr>
          <w:color w:val="231F20"/>
          <w:spacing w:val="-10"/>
          <w:w w:val="105"/>
          <w:sz w:val="20"/>
        </w:rPr>
        <w:t> </w:t>
      </w:r>
      <w:r>
        <w:rPr>
          <w:color w:val="231F20"/>
          <w:w w:val="105"/>
          <w:sz w:val="20"/>
        </w:rPr>
        <w:t>or</w:t>
      </w:r>
      <w:r>
        <w:rPr>
          <w:color w:val="231F20"/>
          <w:spacing w:val="-10"/>
          <w:w w:val="105"/>
          <w:sz w:val="20"/>
        </w:rPr>
        <w:t> </w:t>
      </w:r>
      <w:r>
        <w:rPr>
          <w:color w:val="231F20"/>
          <w:w w:val="105"/>
          <w:sz w:val="20"/>
        </w:rPr>
        <w:t>with</w:t>
      </w:r>
      <w:r>
        <w:rPr>
          <w:color w:val="231F20"/>
          <w:spacing w:val="-10"/>
          <w:w w:val="105"/>
          <w:sz w:val="20"/>
        </w:rPr>
        <w:t> </w:t>
      </w:r>
      <w:r>
        <w:rPr>
          <w:color w:val="231F20"/>
          <w:w w:val="105"/>
          <w:sz w:val="20"/>
        </w:rPr>
        <w:t>unique symptoms.</w:t>
      </w:r>
    </w:p>
    <w:p>
      <w:pPr>
        <w:spacing w:line="290" w:lineRule="auto" w:before="183"/>
        <w:ind w:left="350" w:right="1068" w:firstLine="0"/>
        <w:jc w:val="left"/>
        <w:rPr>
          <w:rFonts w:ascii="Arial"/>
          <w:sz w:val="18"/>
        </w:rPr>
      </w:pPr>
      <w:r>
        <w:rPr>
          <w:rFonts w:ascii="Arial"/>
          <w:color w:val="00A94F"/>
          <w:sz w:val="18"/>
        </w:rPr>
        <w:t>Key Determinants of Successful Complaint </w:t>
      </w:r>
      <w:r>
        <w:rPr>
          <w:rFonts w:ascii="Arial"/>
          <w:color w:val="00A94F"/>
          <w:w w:val="95"/>
          <w:sz w:val="18"/>
        </w:rPr>
        <w:t>Systems (4.3.8)</w:t>
      </w:r>
    </w:p>
    <w:p>
      <w:pPr>
        <w:pStyle w:val="BodyText"/>
        <w:spacing w:line="266" w:lineRule="auto"/>
        <w:ind w:left="350" w:right="670"/>
      </w:pPr>
      <w:r>
        <w:rPr>
          <w:color w:val="231F20"/>
          <w:w w:val="105"/>
        </w:rPr>
        <w:t>Detection of outbreaks by notification of group illness is limited by the severity of the illness, public awareness of where to report the illness, ease and availability of the reporting process, and investigation resources. Detection </w:t>
      </w:r>
      <w:r>
        <w:rPr>
          <w:rFonts w:ascii="Times New Roman"/>
          <w:color w:val="231F20"/>
          <w:w w:val="105"/>
        </w:rPr>
        <w:t>of outbreaks from independent complaints is </w:t>
      </w:r>
      <w:r>
        <w:rPr>
          <w:color w:val="231F20"/>
          <w:w w:val="105"/>
        </w:rPr>
        <w:t>influenced by these factors and by the number of cases reported, the interview process, the uniqueness of the illness or reported exposure, and methods used to evaluate reports (4.3.8.1).</w:t>
      </w:r>
    </w:p>
    <w:p>
      <w:pPr>
        <w:pStyle w:val="BodyText"/>
        <w:spacing w:line="266" w:lineRule="auto" w:before="183"/>
        <w:ind w:left="350" w:right="680"/>
      </w:pPr>
      <w:r>
        <w:rPr>
          <w:color w:val="231F20"/>
          <w:w w:val="105"/>
        </w:rPr>
        <w:t>When an outbreak associated with a group event is reported, some group members may be ill for reasons other than a group exposure. Inclusion of these cases in the analyses hinders detection of associations between exposures and disease. The likelihood of this occurring depends on the nature of the symptoms and their background prevalence. Identification</w:t>
      </w:r>
    </w:p>
    <w:p>
      <w:pPr>
        <w:pStyle w:val="BodyText"/>
        <w:spacing w:line="266" w:lineRule="auto"/>
        <w:ind w:left="350" w:right="785"/>
      </w:pPr>
      <w:r>
        <w:rPr>
          <w:color w:val="231F20"/>
        </w:rPr>
        <w:t>of a specific disease agent or increasing the specificity of  symptom information (e.g., bloody diarrhea or specific duration of illness) can minimize this problem  (4.3.8.2).</w:t>
      </w:r>
    </w:p>
    <w:p>
      <w:pPr>
        <w:pStyle w:val="BodyText"/>
        <w:spacing w:line="266" w:lineRule="auto" w:before="180"/>
        <w:ind w:left="350" w:right="712"/>
      </w:pPr>
      <w:r>
        <w:rPr>
          <w:color w:val="231F20"/>
        </w:rPr>
        <w:t>Because exposures associated with group events are limited and can be described specifically, </w:t>
      </w:r>
      <w:r>
        <w:rPr>
          <w:rFonts w:ascii="Times New Roman"/>
          <w:color w:val="231F20"/>
        </w:rPr>
        <w:t>patient recall and timing are less of an issue </w:t>
      </w:r>
      <w:r>
        <w:rPr>
          <w:color w:val="231F20"/>
        </w:rPr>
        <w:t>than with pathogen-specific surveillance or independent  complaints.  Nonetheless,  the more specific exposure-related questions are during case interviews, the better recall will be. Interviewing food-preparation staff or event organizers before cases can help  (4.3.8.3).</w:t>
      </w:r>
    </w:p>
    <w:p>
      <w:pPr>
        <w:spacing w:after="0" w:line="266" w:lineRule="auto"/>
        <w:sectPr>
          <w:type w:val="continuous"/>
          <w:pgSz w:w="10080" w:h="14400"/>
          <w:pgMar w:top="0" w:bottom="360" w:left="0" w:right="0"/>
          <w:cols w:num="2" w:equalWidth="0">
            <w:col w:w="5190" w:space="40"/>
            <w:col w:w="4850"/>
          </w:cols>
        </w:sectPr>
      </w:pPr>
    </w:p>
    <w:p>
      <w:pPr>
        <w:pStyle w:val="BodyText"/>
        <w:spacing w:before="8"/>
        <w:rPr>
          <w:sz w:val="26"/>
        </w:rPr>
      </w:pPr>
    </w:p>
    <w:p>
      <w:pPr>
        <w:pStyle w:val="Heading1"/>
        <w:spacing w:line="249" w:lineRule="auto"/>
        <w:ind w:left="720" w:right="1582"/>
      </w:pPr>
      <w:r>
        <w:rPr/>
        <w:pict>
          <v:line style="position:absolute;mso-position-horizontal-relative:page;mso-position-vertical-relative:paragraph;z-index:2752;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2776" filled="true" fillcolor="#0079c1" stroked="false">
            <v:fill type="solid"/>
            <w10:wrap type="none"/>
          </v:rect>
        </w:pict>
      </w:r>
      <w:r>
        <w:rPr/>
        <w:pict>
          <v:line style="position:absolute;mso-position-horizontal-relative:page;mso-position-vertical-relative:paragraph;z-index:2800"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28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2848"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4. Foodborne Disease Surveillance and Outbreak  Detection</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66" w:lineRule="auto" w:before="108"/>
        <w:ind w:left="720" w:right="65"/>
      </w:pPr>
      <w:r>
        <w:rPr>
          <w:color w:val="231F20"/>
        </w:rPr>
        <w:t>When individual exposure histories are </w:t>
      </w:r>
      <w:r>
        <w:rPr>
          <w:rFonts w:ascii="Times New Roman"/>
          <w:color w:val="231F20"/>
        </w:rPr>
        <w:t>collected for independent complaints or group </w:t>
      </w:r>
      <w:r>
        <w:rPr>
          <w:color w:val="231F20"/>
        </w:rPr>
        <w:t>illnesses, potential exposures are broad-  ranging and difficult to recall. The problem  may be even greater than in pathogen-specific </w:t>
      </w:r>
      <w:r>
        <w:rPr>
          <w:rFonts w:ascii="Times New Roman"/>
          <w:color w:val="231F20"/>
        </w:rPr>
        <w:t>surveillance because no causative agent has </w:t>
      </w:r>
      <w:r>
        <w:rPr>
          <w:color w:val="231F20"/>
        </w:rPr>
        <w:t>been identified that would enable investigators to focus on exposures previously associated with that pathogen. Hence, interviews must be conducted promptly and systematically to be effective</w:t>
      </w:r>
      <w:r>
        <w:rPr>
          <w:color w:val="231F20"/>
          <w:spacing w:val="21"/>
        </w:rPr>
        <w:t> </w:t>
      </w:r>
      <w:r>
        <w:rPr>
          <w:color w:val="231F20"/>
        </w:rPr>
        <w:t>(4.3.8.3).</w:t>
      </w:r>
    </w:p>
    <w:p>
      <w:pPr>
        <w:spacing w:line="268" w:lineRule="auto" w:before="183"/>
        <w:ind w:left="720" w:right="0" w:firstLine="0"/>
        <w:jc w:val="left"/>
        <w:rPr>
          <w:sz w:val="20"/>
        </w:rPr>
      </w:pPr>
      <w:r>
        <w:rPr>
          <w:rFonts w:ascii="Arial" w:hAnsi="Arial"/>
          <w:color w:val="00A94F"/>
          <w:sz w:val="18"/>
        </w:rPr>
        <w:t>Complaint Systems—Model Practices (4.3.9) </w:t>
      </w:r>
      <w:r>
        <w:rPr>
          <w:color w:val="231F20"/>
          <w:sz w:val="20"/>
        </w:rPr>
        <w:t>Multiple factors influence an agency’s response to a complaint. The following model practices </w:t>
      </w:r>
      <w:r>
        <w:rPr>
          <w:rFonts w:ascii="Times New Roman" w:hAnsi="Times New Roman"/>
          <w:color w:val="231F20"/>
          <w:sz w:val="20"/>
        </w:rPr>
        <w:t>should be considered to improve complaint </w:t>
      </w:r>
      <w:r>
        <w:rPr>
          <w:color w:val="231F20"/>
          <w:sz w:val="20"/>
        </w:rPr>
        <w:t>systems:</w:t>
      </w:r>
    </w:p>
    <w:p>
      <w:pPr>
        <w:pStyle w:val="ListParagraph"/>
        <w:numPr>
          <w:ilvl w:val="1"/>
          <w:numId w:val="2"/>
        </w:numPr>
        <w:tabs>
          <w:tab w:pos="890" w:val="left" w:leader="none"/>
        </w:tabs>
        <w:spacing w:line="266" w:lineRule="auto" w:before="177" w:after="0"/>
        <w:ind w:left="889" w:right="167" w:hanging="169"/>
        <w:jc w:val="left"/>
        <w:rPr>
          <w:sz w:val="20"/>
        </w:rPr>
      </w:pPr>
      <w:r>
        <w:rPr>
          <w:color w:val="231F20"/>
          <w:spacing w:val="-7"/>
          <w:w w:val="105"/>
          <w:sz w:val="20"/>
        </w:rPr>
        <w:t>For</w:t>
      </w:r>
      <w:r>
        <w:rPr>
          <w:color w:val="231F20"/>
          <w:spacing w:val="-15"/>
          <w:w w:val="105"/>
          <w:sz w:val="20"/>
        </w:rPr>
        <w:t> </w:t>
      </w:r>
      <w:r>
        <w:rPr>
          <w:color w:val="231F20"/>
          <w:w w:val="105"/>
          <w:sz w:val="20"/>
        </w:rPr>
        <w:t>individual</w:t>
      </w:r>
      <w:r>
        <w:rPr>
          <w:color w:val="231F20"/>
          <w:spacing w:val="-15"/>
          <w:w w:val="105"/>
          <w:sz w:val="20"/>
        </w:rPr>
        <w:t> </w:t>
      </w:r>
      <w:r>
        <w:rPr>
          <w:color w:val="231F20"/>
          <w:w w:val="105"/>
          <w:sz w:val="20"/>
        </w:rPr>
        <w:t>complaints,</w:t>
      </w:r>
      <w:r>
        <w:rPr>
          <w:color w:val="231F20"/>
          <w:spacing w:val="-15"/>
          <w:w w:val="105"/>
          <w:sz w:val="20"/>
        </w:rPr>
        <w:t> </w:t>
      </w:r>
      <w:r>
        <w:rPr>
          <w:color w:val="231F20"/>
          <w:w w:val="105"/>
          <w:sz w:val="20"/>
        </w:rPr>
        <w:t>collect</w:t>
      </w:r>
      <w:r>
        <w:rPr>
          <w:color w:val="231F20"/>
          <w:spacing w:val="-15"/>
          <w:w w:val="105"/>
          <w:sz w:val="20"/>
        </w:rPr>
        <w:t> </w:t>
      </w:r>
      <w:r>
        <w:rPr>
          <w:color w:val="231F20"/>
          <w:w w:val="105"/>
          <w:sz w:val="20"/>
        </w:rPr>
        <w:t>a</w:t>
      </w:r>
      <w:r>
        <w:rPr>
          <w:color w:val="231F20"/>
          <w:spacing w:val="-15"/>
          <w:w w:val="105"/>
          <w:sz w:val="20"/>
        </w:rPr>
        <w:t> </w:t>
      </w:r>
      <w:r>
        <w:rPr>
          <w:color w:val="231F20"/>
          <w:w w:val="105"/>
          <w:sz w:val="20"/>
        </w:rPr>
        <w:t>detailed 5-day exposure history (unless otherwise indicated </w:t>
      </w:r>
      <w:r>
        <w:rPr>
          <w:color w:val="231F20"/>
          <w:spacing w:val="-3"/>
          <w:w w:val="105"/>
          <w:sz w:val="20"/>
        </w:rPr>
        <w:t>by </w:t>
      </w:r>
      <w:r>
        <w:rPr>
          <w:color w:val="231F20"/>
          <w:w w:val="105"/>
          <w:sz w:val="20"/>
        </w:rPr>
        <w:t>the incubation period of the illness)</w:t>
      </w:r>
      <w:r>
        <w:rPr>
          <w:color w:val="231F20"/>
          <w:spacing w:val="-17"/>
          <w:w w:val="105"/>
          <w:sz w:val="20"/>
        </w:rPr>
        <w:t> </w:t>
      </w:r>
      <w:r>
        <w:rPr>
          <w:color w:val="231F20"/>
          <w:spacing w:val="-3"/>
          <w:w w:val="105"/>
          <w:sz w:val="20"/>
        </w:rPr>
        <w:t>by</w:t>
      </w:r>
      <w:r>
        <w:rPr>
          <w:color w:val="231F20"/>
          <w:spacing w:val="-17"/>
          <w:w w:val="105"/>
          <w:sz w:val="20"/>
        </w:rPr>
        <w:t> </w:t>
      </w:r>
      <w:r>
        <w:rPr>
          <w:color w:val="231F20"/>
          <w:w w:val="105"/>
          <w:sz w:val="20"/>
        </w:rPr>
        <w:t>using</w:t>
      </w:r>
      <w:r>
        <w:rPr>
          <w:color w:val="231F20"/>
          <w:spacing w:val="-17"/>
          <w:w w:val="105"/>
          <w:sz w:val="20"/>
        </w:rPr>
        <w:t> </w:t>
      </w:r>
      <w:r>
        <w:rPr>
          <w:color w:val="231F20"/>
          <w:w w:val="105"/>
          <w:sz w:val="20"/>
        </w:rPr>
        <w:t>a</w:t>
      </w:r>
      <w:r>
        <w:rPr>
          <w:color w:val="231F20"/>
          <w:spacing w:val="-17"/>
          <w:w w:val="105"/>
          <w:sz w:val="20"/>
        </w:rPr>
        <w:t> </w:t>
      </w:r>
      <w:r>
        <w:rPr>
          <w:color w:val="231F20"/>
          <w:w w:val="105"/>
          <w:sz w:val="20"/>
        </w:rPr>
        <w:t>standardized</w:t>
      </w:r>
      <w:r>
        <w:rPr>
          <w:color w:val="231F20"/>
          <w:spacing w:val="-17"/>
          <w:w w:val="105"/>
          <w:sz w:val="20"/>
        </w:rPr>
        <w:t> </w:t>
      </w:r>
      <w:r>
        <w:rPr>
          <w:color w:val="231F20"/>
          <w:w w:val="105"/>
          <w:sz w:val="20"/>
        </w:rPr>
        <w:t>form</w:t>
      </w:r>
      <w:r>
        <w:rPr>
          <w:color w:val="231F20"/>
          <w:spacing w:val="-17"/>
          <w:w w:val="105"/>
          <w:sz w:val="20"/>
        </w:rPr>
        <w:t> </w:t>
      </w:r>
      <w:r>
        <w:rPr>
          <w:color w:val="231F20"/>
          <w:w w:val="105"/>
          <w:sz w:val="20"/>
        </w:rPr>
        <w:t>that</w:t>
      </w:r>
    </w:p>
    <w:p>
      <w:pPr>
        <w:pStyle w:val="BodyText"/>
        <w:spacing w:line="266" w:lineRule="auto"/>
        <w:ind w:left="889" w:right="-4"/>
      </w:pPr>
      <w:r>
        <w:rPr>
          <w:color w:val="231F20"/>
        </w:rPr>
        <w:t>covers both food and nonfood exposures, and record exposure information in a way that facilitates comparisons with histories reported by other persons. As more information about the likely etiologic agent is collected, the timeframe can be modified  (4.3.9.1).</w:t>
      </w:r>
    </w:p>
    <w:p>
      <w:pPr>
        <w:pStyle w:val="ListParagraph"/>
        <w:numPr>
          <w:ilvl w:val="1"/>
          <w:numId w:val="2"/>
        </w:numPr>
        <w:tabs>
          <w:tab w:pos="891" w:val="left" w:leader="none"/>
        </w:tabs>
        <w:spacing w:line="264" w:lineRule="auto" w:before="90" w:after="0"/>
        <w:ind w:left="890" w:right="500" w:hanging="170"/>
        <w:jc w:val="left"/>
        <w:rPr>
          <w:sz w:val="20"/>
        </w:rPr>
      </w:pPr>
      <w:r>
        <w:rPr>
          <w:color w:val="231F20"/>
          <w:spacing w:val="-11"/>
          <w:w w:val="105"/>
          <w:sz w:val="20"/>
        </w:rPr>
        <w:t>To </w:t>
      </w:r>
      <w:r>
        <w:rPr>
          <w:color w:val="231F20"/>
          <w:w w:val="105"/>
          <w:sz w:val="20"/>
        </w:rPr>
        <w:t>decide whether investigation of a </w:t>
      </w:r>
      <w:r>
        <w:rPr>
          <w:rFonts w:ascii="Times New Roman"/>
          <w:color w:val="231F20"/>
          <w:sz w:val="20"/>
        </w:rPr>
        <w:t>commercial food establishment named </w:t>
      </w:r>
      <w:r>
        <w:rPr>
          <w:color w:val="231F20"/>
          <w:w w:val="105"/>
          <w:sz w:val="20"/>
        </w:rPr>
        <w:t>in</w:t>
      </w:r>
      <w:r>
        <w:rPr>
          <w:color w:val="231F20"/>
          <w:spacing w:val="-6"/>
          <w:w w:val="105"/>
          <w:sz w:val="20"/>
        </w:rPr>
        <w:t> </w:t>
      </w:r>
      <w:r>
        <w:rPr>
          <w:color w:val="231F20"/>
          <w:w w:val="105"/>
          <w:sz w:val="20"/>
        </w:rPr>
        <w:t>a</w:t>
      </w:r>
      <w:r>
        <w:rPr>
          <w:color w:val="231F20"/>
          <w:spacing w:val="-6"/>
          <w:w w:val="105"/>
          <w:sz w:val="20"/>
        </w:rPr>
        <w:t> </w:t>
      </w:r>
      <w:r>
        <w:rPr>
          <w:color w:val="231F20"/>
          <w:w w:val="105"/>
          <w:sz w:val="20"/>
        </w:rPr>
        <w:t>complaint</w:t>
      </w:r>
      <w:r>
        <w:rPr>
          <w:color w:val="231F20"/>
          <w:spacing w:val="-6"/>
          <w:w w:val="105"/>
          <w:sz w:val="20"/>
        </w:rPr>
        <w:t> </w:t>
      </w:r>
      <w:r>
        <w:rPr>
          <w:color w:val="231F20"/>
          <w:w w:val="105"/>
          <w:sz w:val="20"/>
        </w:rPr>
        <w:t>is</w:t>
      </w:r>
      <w:r>
        <w:rPr>
          <w:color w:val="231F20"/>
          <w:spacing w:val="-6"/>
          <w:w w:val="105"/>
          <w:sz w:val="20"/>
        </w:rPr>
        <w:t> </w:t>
      </w:r>
      <w:r>
        <w:rPr>
          <w:color w:val="231F20"/>
          <w:w w:val="105"/>
          <w:sz w:val="20"/>
        </w:rPr>
        <w:t>likely</w:t>
      </w:r>
      <w:r>
        <w:rPr>
          <w:color w:val="231F20"/>
          <w:spacing w:val="-6"/>
          <w:w w:val="105"/>
          <w:sz w:val="20"/>
        </w:rPr>
        <w:t> </w:t>
      </w:r>
      <w:r>
        <w:rPr>
          <w:color w:val="231F20"/>
          <w:w w:val="105"/>
          <w:sz w:val="20"/>
        </w:rPr>
        <w:t>to</w:t>
      </w:r>
      <w:r>
        <w:rPr>
          <w:color w:val="231F20"/>
          <w:spacing w:val="-6"/>
          <w:w w:val="105"/>
          <w:sz w:val="20"/>
        </w:rPr>
        <w:t> </w:t>
      </w:r>
      <w:r>
        <w:rPr>
          <w:color w:val="231F20"/>
          <w:w w:val="105"/>
          <w:sz w:val="20"/>
        </w:rPr>
        <w:t>be</w:t>
      </w:r>
      <w:r>
        <w:rPr>
          <w:color w:val="231F20"/>
          <w:spacing w:val="-6"/>
          <w:w w:val="105"/>
          <w:sz w:val="20"/>
        </w:rPr>
        <w:t> </w:t>
      </w:r>
      <w:r>
        <w:rPr>
          <w:color w:val="231F20"/>
          <w:w w:val="105"/>
          <w:sz w:val="20"/>
        </w:rPr>
        <w:t>beneficial,</w:t>
      </w:r>
    </w:p>
    <w:p>
      <w:pPr>
        <w:pStyle w:val="BodyText"/>
        <w:spacing w:line="268" w:lineRule="auto"/>
        <w:ind w:left="890" w:right="150"/>
      </w:pPr>
      <w:r>
        <w:rPr>
          <w:rFonts w:ascii="Times New Roman" w:hAnsi="Times New Roman"/>
          <w:color w:val="231F20"/>
        </w:rPr>
        <w:t>consider</w:t>
      </w:r>
      <w:r>
        <w:rPr>
          <w:rFonts w:ascii="Times New Roman" w:hAnsi="Times New Roman"/>
          <w:color w:val="231F20"/>
          <w:spacing w:val="-17"/>
        </w:rPr>
        <w:t> </w:t>
      </w:r>
      <w:r>
        <w:rPr>
          <w:rFonts w:ascii="Times New Roman" w:hAnsi="Times New Roman"/>
          <w:color w:val="231F20"/>
        </w:rPr>
        <w:t>details</w:t>
      </w:r>
      <w:r>
        <w:rPr>
          <w:rFonts w:ascii="Times New Roman" w:hAnsi="Times New Roman"/>
          <w:color w:val="231F20"/>
          <w:spacing w:val="-17"/>
        </w:rPr>
        <w:t> </w:t>
      </w:r>
      <w:r>
        <w:rPr>
          <w:rFonts w:ascii="Times New Roman" w:hAnsi="Times New Roman"/>
          <w:color w:val="231F20"/>
        </w:rPr>
        <w:t>of</w:t>
      </w:r>
      <w:r>
        <w:rPr>
          <w:rFonts w:ascii="Times New Roman" w:hAnsi="Times New Roman"/>
          <w:color w:val="231F20"/>
          <w:spacing w:val="2"/>
        </w:rPr>
        <w:t> </w:t>
      </w:r>
      <w:r>
        <w:rPr>
          <w:rFonts w:ascii="Times New Roman" w:hAnsi="Times New Roman"/>
          <w:color w:val="231F20"/>
        </w:rPr>
        <w:t>the</w:t>
      </w:r>
      <w:r>
        <w:rPr>
          <w:rFonts w:ascii="Times New Roman" w:hAnsi="Times New Roman"/>
          <w:color w:val="231F20"/>
          <w:spacing w:val="-17"/>
        </w:rPr>
        <w:t> </w:t>
      </w:r>
      <w:r>
        <w:rPr>
          <w:rFonts w:ascii="Times New Roman" w:hAnsi="Times New Roman"/>
          <w:color w:val="231F20"/>
        </w:rPr>
        <w:t>complainant’s</w:t>
      </w:r>
      <w:r>
        <w:rPr>
          <w:rFonts w:ascii="Times New Roman" w:hAnsi="Times New Roman"/>
          <w:color w:val="231F20"/>
          <w:spacing w:val="-17"/>
        </w:rPr>
        <w:t> </w:t>
      </w:r>
      <w:r>
        <w:rPr>
          <w:rFonts w:ascii="Times New Roman" w:hAnsi="Times New Roman"/>
          <w:color w:val="231F20"/>
        </w:rPr>
        <w:t>illness </w:t>
      </w:r>
      <w:r>
        <w:rPr>
          <w:color w:val="231F20"/>
          <w:w w:val="105"/>
        </w:rPr>
        <w:t>and</w:t>
      </w:r>
      <w:r>
        <w:rPr>
          <w:color w:val="231F20"/>
          <w:spacing w:val="-12"/>
          <w:w w:val="105"/>
        </w:rPr>
        <w:t> </w:t>
      </w:r>
      <w:r>
        <w:rPr>
          <w:color w:val="231F20"/>
          <w:w w:val="105"/>
        </w:rPr>
        <w:t>the</w:t>
      </w:r>
      <w:r>
        <w:rPr>
          <w:color w:val="231F20"/>
          <w:spacing w:val="-12"/>
          <w:w w:val="105"/>
        </w:rPr>
        <w:t> </w:t>
      </w:r>
      <w:r>
        <w:rPr>
          <w:color w:val="231F20"/>
          <w:w w:val="105"/>
        </w:rPr>
        <w:t>foods</w:t>
      </w:r>
      <w:r>
        <w:rPr>
          <w:color w:val="231F20"/>
          <w:spacing w:val="-12"/>
          <w:w w:val="105"/>
        </w:rPr>
        <w:t> </w:t>
      </w:r>
      <w:r>
        <w:rPr>
          <w:color w:val="231F20"/>
          <w:w w:val="105"/>
        </w:rPr>
        <w:t>eaten</w:t>
      </w:r>
      <w:r>
        <w:rPr>
          <w:color w:val="231F20"/>
          <w:spacing w:val="-12"/>
          <w:w w:val="105"/>
        </w:rPr>
        <w:t> </w:t>
      </w:r>
      <w:r>
        <w:rPr>
          <w:color w:val="231F20"/>
          <w:w w:val="105"/>
        </w:rPr>
        <w:t>at</w:t>
      </w:r>
      <w:r>
        <w:rPr>
          <w:color w:val="231F20"/>
          <w:spacing w:val="-12"/>
          <w:w w:val="105"/>
        </w:rPr>
        <w:t> </w:t>
      </w:r>
      <w:r>
        <w:rPr>
          <w:color w:val="231F20"/>
          <w:w w:val="105"/>
        </w:rPr>
        <w:t>the</w:t>
      </w:r>
      <w:r>
        <w:rPr>
          <w:color w:val="231F20"/>
          <w:spacing w:val="-12"/>
          <w:w w:val="105"/>
        </w:rPr>
        <w:t> </w:t>
      </w:r>
      <w:r>
        <w:rPr>
          <w:color w:val="231F20"/>
          <w:w w:val="105"/>
        </w:rPr>
        <w:t>establishment.</w:t>
      </w:r>
      <w:r>
        <w:rPr>
          <w:color w:val="231F20"/>
          <w:spacing w:val="-12"/>
          <w:w w:val="105"/>
        </w:rPr>
        <w:t> </w:t>
      </w:r>
      <w:r>
        <w:rPr>
          <w:color w:val="231F20"/>
          <w:w w:val="105"/>
        </w:rPr>
        <w:t>A follow-up investigation may be warranted if the confirmed diagnosis and/or</w:t>
      </w:r>
      <w:r>
        <w:rPr>
          <w:color w:val="231F20"/>
          <w:spacing w:val="-25"/>
          <w:w w:val="105"/>
        </w:rPr>
        <w:t> </w:t>
      </w:r>
      <w:r>
        <w:rPr>
          <w:color w:val="231F20"/>
          <w:w w:val="105"/>
        </w:rPr>
        <w:t>clinical</w:t>
      </w:r>
    </w:p>
    <w:p>
      <w:pPr>
        <w:pStyle w:val="BodyText"/>
        <w:spacing w:line="266" w:lineRule="auto" w:before="10"/>
        <w:ind w:left="890" w:right="2"/>
      </w:pPr>
      <w:r>
        <w:rPr>
          <w:color w:val="231F20"/>
        </w:rPr>
        <w:t>symptoms are consistent with the foods eaten and the timing of illness onset, a specific food-safety problem was observed, or two</w:t>
      </w:r>
    </w:p>
    <w:p>
      <w:pPr>
        <w:pStyle w:val="BodyText"/>
        <w:spacing w:line="264" w:lineRule="auto"/>
        <w:ind w:left="890"/>
      </w:pPr>
      <w:r>
        <w:rPr>
          <w:color w:val="231F20"/>
        </w:rPr>
        <w:t>or more persons with a similar illness or </w:t>
      </w:r>
      <w:r>
        <w:rPr>
          <w:rFonts w:ascii="Times New Roman"/>
          <w:color w:val="231F20"/>
        </w:rPr>
        <w:t>diagnosis implicate an establishment and </w:t>
      </w:r>
      <w:r>
        <w:rPr>
          <w:color w:val="231F20"/>
        </w:rPr>
        <w:t>have no other shared food history or evident source of  exposure (4.3.9.2).</w:t>
      </w:r>
    </w:p>
    <w:p>
      <w:pPr>
        <w:pStyle w:val="ListParagraph"/>
        <w:numPr>
          <w:ilvl w:val="1"/>
          <w:numId w:val="2"/>
        </w:numPr>
        <w:tabs>
          <w:tab w:pos="891" w:val="left" w:leader="none"/>
        </w:tabs>
        <w:spacing w:line="266" w:lineRule="auto" w:before="92" w:after="0"/>
        <w:ind w:left="890" w:right="57" w:hanging="170"/>
        <w:jc w:val="left"/>
        <w:rPr>
          <w:sz w:val="20"/>
        </w:rPr>
      </w:pPr>
      <w:r>
        <w:rPr>
          <w:color w:val="231F20"/>
          <w:spacing w:val="-7"/>
          <w:w w:val="105"/>
          <w:sz w:val="20"/>
        </w:rPr>
        <w:t>For</w:t>
      </w:r>
      <w:r>
        <w:rPr>
          <w:color w:val="231F20"/>
          <w:spacing w:val="-13"/>
          <w:w w:val="105"/>
          <w:sz w:val="20"/>
        </w:rPr>
        <w:t> </w:t>
      </w:r>
      <w:r>
        <w:rPr>
          <w:color w:val="231F20"/>
          <w:w w:val="105"/>
          <w:sz w:val="20"/>
        </w:rPr>
        <w:t>group</w:t>
      </w:r>
      <w:r>
        <w:rPr>
          <w:color w:val="231F20"/>
          <w:spacing w:val="-13"/>
          <w:w w:val="105"/>
          <w:sz w:val="20"/>
        </w:rPr>
        <w:t> </w:t>
      </w:r>
      <w:r>
        <w:rPr>
          <w:color w:val="231F20"/>
          <w:w w:val="105"/>
          <w:sz w:val="20"/>
        </w:rPr>
        <w:t>illnesses</w:t>
      </w:r>
      <w:r>
        <w:rPr>
          <w:color w:val="231F20"/>
          <w:spacing w:val="-13"/>
          <w:w w:val="105"/>
          <w:sz w:val="20"/>
        </w:rPr>
        <w:t> </w:t>
      </w:r>
      <w:r>
        <w:rPr>
          <w:color w:val="231F20"/>
          <w:w w:val="105"/>
          <w:sz w:val="20"/>
        </w:rPr>
        <w:t>associated</w:t>
      </w:r>
      <w:r>
        <w:rPr>
          <w:color w:val="231F20"/>
          <w:spacing w:val="-13"/>
          <w:w w:val="105"/>
          <w:sz w:val="20"/>
        </w:rPr>
        <w:t> </w:t>
      </w:r>
      <w:r>
        <w:rPr>
          <w:color w:val="231F20"/>
          <w:w w:val="105"/>
          <w:sz w:val="20"/>
        </w:rPr>
        <w:t>with</w:t>
      </w:r>
      <w:r>
        <w:rPr>
          <w:color w:val="231F20"/>
          <w:spacing w:val="-13"/>
          <w:w w:val="105"/>
          <w:sz w:val="20"/>
        </w:rPr>
        <w:t> </w:t>
      </w:r>
      <w:r>
        <w:rPr>
          <w:color w:val="231F20"/>
          <w:w w:val="105"/>
          <w:sz w:val="20"/>
        </w:rPr>
        <w:t>an</w:t>
      </w:r>
      <w:r>
        <w:rPr>
          <w:color w:val="231F20"/>
          <w:spacing w:val="-13"/>
          <w:w w:val="105"/>
          <w:sz w:val="20"/>
        </w:rPr>
        <w:t> </w:t>
      </w:r>
      <w:r>
        <w:rPr>
          <w:color w:val="231F20"/>
          <w:w w:val="105"/>
          <w:sz w:val="20"/>
        </w:rPr>
        <w:t>event, focus interviews on shared exposures with the</w:t>
      </w:r>
      <w:r>
        <w:rPr>
          <w:color w:val="231F20"/>
          <w:spacing w:val="-11"/>
          <w:w w:val="105"/>
          <w:sz w:val="20"/>
        </w:rPr>
        <w:t> </w:t>
      </w:r>
      <w:r>
        <w:rPr>
          <w:color w:val="231F20"/>
          <w:w w:val="105"/>
          <w:sz w:val="20"/>
        </w:rPr>
        <w:t>realization</w:t>
      </w:r>
      <w:r>
        <w:rPr>
          <w:color w:val="231F20"/>
          <w:spacing w:val="-11"/>
          <w:w w:val="105"/>
          <w:sz w:val="20"/>
        </w:rPr>
        <w:t> </w:t>
      </w:r>
      <w:r>
        <w:rPr>
          <w:color w:val="231F20"/>
          <w:w w:val="105"/>
          <w:sz w:val="20"/>
        </w:rPr>
        <w:t>that</w:t>
      </w:r>
      <w:r>
        <w:rPr>
          <w:color w:val="231F20"/>
          <w:spacing w:val="-11"/>
          <w:w w:val="105"/>
          <w:sz w:val="20"/>
        </w:rPr>
        <w:t> </w:t>
      </w:r>
      <w:r>
        <w:rPr>
          <w:color w:val="231F20"/>
          <w:w w:val="105"/>
          <w:sz w:val="20"/>
        </w:rPr>
        <w:t>persons</w:t>
      </w:r>
      <w:r>
        <w:rPr>
          <w:color w:val="231F20"/>
          <w:spacing w:val="-11"/>
          <w:w w:val="105"/>
          <w:sz w:val="20"/>
        </w:rPr>
        <w:t> </w:t>
      </w:r>
      <w:r>
        <w:rPr>
          <w:color w:val="231F20"/>
          <w:w w:val="105"/>
          <w:sz w:val="20"/>
        </w:rPr>
        <w:t>within</w:t>
      </w:r>
      <w:r>
        <w:rPr>
          <w:color w:val="231F20"/>
          <w:spacing w:val="-11"/>
          <w:w w:val="105"/>
          <w:sz w:val="20"/>
        </w:rPr>
        <w:t> </w:t>
      </w:r>
      <w:r>
        <w:rPr>
          <w:color w:val="231F20"/>
          <w:w w:val="105"/>
          <w:sz w:val="20"/>
        </w:rPr>
        <w:t>the</w:t>
      </w:r>
      <w:r>
        <w:rPr>
          <w:color w:val="231F20"/>
          <w:spacing w:val="-11"/>
          <w:w w:val="105"/>
          <w:sz w:val="20"/>
        </w:rPr>
        <w:t> </w:t>
      </w:r>
      <w:r>
        <w:rPr>
          <w:color w:val="231F20"/>
          <w:w w:val="105"/>
          <w:sz w:val="20"/>
        </w:rPr>
        <w:t>group</w:t>
      </w:r>
    </w:p>
    <w:p>
      <w:pPr>
        <w:pStyle w:val="BodyText"/>
        <w:spacing w:line="276" w:lineRule="auto" w:before="93"/>
        <w:ind w:left="492" w:right="1460"/>
      </w:pPr>
      <w:r>
        <w:rPr/>
        <w:br w:type="column"/>
      </w:r>
      <w:r>
        <w:rPr>
          <w:rFonts w:ascii="Times New Roman"/>
          <w:color w:val="231F20"/>
        </w:rPr>
        <w:t>might have more than one event in common </w:t>
      </w:r>
      <w:r>
        <w:rPr>
          <w:color w:val="231F20"/>
        </w:rPr>
        <w:t>(4.3.9.3).</w:t>
      </w:r>
    </w:p>
    <w:p>
      <w:pPr>
        <w:pStyle w:val="ListParagraph"/>
        <w:numPr>
          <w:ilvl w:val="0"/>
          <w:numId w:val="2"/>
        </w:numPr>
        <w:tabs>
          <w:tab w:pos="493" w:val="left" w:leader="none"/>
        </w:tabs>
        <w:spacing w:line="266" w:lineRule="auto" w:before="80" w:after="0"/>
        <w:ind w:left="492" w:right="1741" w:hanging="171"/>
        <w:jc w:val="left"/>
        <w:rPr>
          <w:sz w:val="20"/>
        </w:rPr>
      </w:pPr>
      <w:r>
        <w:rPr>
          <w:color w:val="231F20"/>
          <w:spacing w:val="-7"/>
          <w:w w:val="105"/>
          <w:sz w:val="20"/>
        </w:rPr>
        <w:t>For </w:t>
      </w:r>
      <w:r>
        <w:rPr>
          <w:color w:val="231F20"/>
          <w:w w:val="105"/>
          <w:sz w:val="20"/>
        </w:rPr>
        <w:t>group illnesses, obtain clinical and food specimens. Collect and store food samples,</w:t>
      </w:r>
      <w:r>
        <w:rPr>
          <w:color w:val="231F20"/>
          <w:spacing w:val="-14"/>
          <w:w w:val="105"/>
          <w:sz w:val="20"/>
        </w:rPr>
        <w:t> </w:t>
      </w:r>
      <w:r>
        <w:rPr>
          <w:color w:val="231F20"/>
          <w:w w:val="105"/>
          <w:sz w:val="20"/>
        </w:rPr>
        <w:t>but</w:t>
      </w:r>
      <w:r>
        <w:rPr>
          <w:color w:val="231F20"/>
          <w:spacing w:val="-14"/>
          <w:w w:val="105"/>
          <w:sz w:val="20"/>
        </w:rPr>
        <w:t> </w:t>
      </w:r>
      <w:r>
        <w:rPr>
          <w:color w:val="231F20"/>
          <w:w w:val="105"/>
          <w:sz w:val="20"/>
        </w:rPr>
        <w:t>generally</w:t>
      </w:r>
      <w:r>
        <w:rPr>
          <w:color w:val="231F20"/>
          <w:spacing w:val="-14"/>
          <w:w w:val="105"/>
          <w:sz w:val="20"/>
        </w:rPr>
        <w:t> </w:t>
      </w:r>
      <w:r>
        <w:rPr>
          <w:color w:val="231F20"/>
          <w:w w:val="105"/>
          <w:sz w:val="20"/>
        </w:rPr>
        <w:t>test</w:t>
      </w:r>
      <w:r>
        <w:rPr>
          <w:color w:val="231F20"/>
          <w:spacing w:val="-14"/>
          <w:w w:val="105"/>
          <w:sz w:val="20"/>
        </w:rPr>
        <w:t> </w:t>
      </w:r>
      <w:r>
        <w:rPr>
          <w:color w:val="231F20"/>
          <w:w w:val="105"/>
          <w:sz w:val="20"/>
        </w:rPr>
        <w:t>food</w:t>
      </w:r>
      <w:r>
        <w:rPr>
          <w:color w:val="231F20"/>
          <w:spacing w:val="-14"/>
          <w:w w:val="105"/>
          <w:sz w:val="20"/>
        </w:rPr>
        <w:t> </w:t>
      </w:r>
      <w:r>
        <w:rPr>
          <w:color w:val="231F20"/>
          <w:w w:val="105"/>
          <w:sz w:val="20"/>
        </w:rPr>
        <w:t>only</w:t>
      </w:r>
      <w:r>
        <w:rPr>
          <w:color w:val="231F20"/>
          <w:spacing w:val="-14"/>
          <w:w w:val="105"/>
          <w:sz w:val="20"/>
        </w:rPr>
        <w:t> </w:t>
      </w:r>
      <w:r>
        <w:rPr>
          <w:color w:val="231F20"/>
          <w:w w:val="105"/>
          <w:sz w:val="20"/>
        </w:rPr>
        <w:t>after epidemiologic implication</w:t>
      </w:r>
      <w:r>
        <w:rPr>
          <w:color w:val="231F20"/>
          <w:spacing w:val="-31"/>
          <w:w w:val="105"/>
          <w:sz w:val="20"/>
        </w:rPr>
        <w:t> </w:t>
      </w:r>
      <w:r>
        <w:rPr>
          <w:color w:val="231F20"/>
          <w:w w:val="105"/>
          <w:sz w:val="20"/>
        </w:rPr>
        <w:t>(4.3.9.4).</w:t>
      </w:r>
    </w:p>
    <w:p>
      <w:pPr>
        <w:pStyle w:val="ListParagraph"/>
        <w:numPr>
          <w:ilvl w:val="0"/>
          <w:numId w:val="2"/>
        </w:numPr>
        <w:tabs>
          <w:tab w:pos="493" w:val="left" w:leader="none"/>
        </w:tabs>
        <w:spacing w:line="264" w:lineRule="auto" w:before="89" w:after="0"/>
        <w:ind w:left="492" w:right="1600" w:hanging="171"/>
        <w:jc w:val="left"/>
        <w:rPr>
          <w:sz w:val="20"/>
        </w:rPr>
      </w:pPr>
      <w:r>
        <w:rPr>
          <w:color w:val="231F20"/>
          <w:spacing w:val="-7"/>
          <w:sz w:val="20"/>
        </w:rPr>
        <w:t>For </w:t>
      </w:r>
      <w:r>
        <w:rPr>
          <w:color w:val="231F20"/>
          <w:sz w:val="20"/>
        </w:rPr>
        <w:t>group illnesses, establish an etiologic </w:t>
      </w:r>
      <w:r>
        <w:rPr>
          <w:rFonts w:ascii="Times New Roman"/>
          <w:color w:val="231F20"/>
          <w:sz w:val="20"/>
        </w:rPr>
        <w:t>agent to enable implementation of rational </w:t>
      </w:r>
      <w:r>
        <w:rPr>
          <w:color w:val="231F20"/>
          <w:sz w:val="20"/>
        </w:rPr>
        <w:t>interventions and linkages with other outbreaks or sporadic cases </w:t>
      </w:r>
      <w:r>
        <w:rPr>
          <w:color w:val="231F20"/>
          <w:spacing w:val="31"/>
          <w:sz w:val="20"/>
        </w:rPr>
        <w:t> </w:t>
      </w:r>
      <w:r>
        <w:rPr>
          <w:color w:val="231F20"/>
          <w:sz w:val="20"/>
        </w:rPr>
        <w:t>(4.3.9.5).</w:t>
      </w:r>
    </w:p>
    <w:p>
      <w:pPr>
        <w:pStyle w:val="ListParagraph"/>
        <w:numPr>
          <w:ilvl w:val="0"/>
          <w:numId w:val="2"/>
        </w:numPr>
        <w:tabs>
          <w:tab w:pos="493" w:val="left" w:leader="none"/>
        </w:tabs>
        <w:spacing w:line="266" w:lineRule="auto" w:before="92" w:after="0"/>
        <w:ind w:left="492" w:right="1561" w:hanging="171"/>
        <w:jc w:val="left"/>
        <w:rPr>
          <w:sz w:val="20"/>
        </w:rPr>
      </w:pPr>
      <w:r>
        <w:rPr>
          <w:color w:val="231F20"/>
          <w:w w:val="105"/>
          <w:sz w:val="20"/>
        </w:rPr>
        <w:t>Compile interview data in a single</w:t>
      </w:r>
      <w:r>
        <w:rPr>
          <w:color w:val="231F20"/>
          <w:spacing w:val="-5"/>
          <w:w w:val="105"/>
          <w:sz w:val="20"/>
        </w:rPr>
        <w:t> </w:t>
      </w:r>
      <w:r>
        <w:rPr>
          <w:color w:val="231F20"/>
          <w:w w:val="105"/>
          <w:sz w:val="20"/>
        </w:rPr>
        <w:t>database and examine daily for exposure clustering. Compare with exposure information obtained through pathogen-specific surveillance</w:t>
      </w:r>
      <w:r>
        <w:rPr>
          <w:color w:val="231F20"/>
          <w:spacing w:val="-16"/>
          <w:w w:val="105"/>
          <w:sz w:val="20"/>
        </w:rPr>
        <w:t> </w:t>
      </w:r>
      <w:r>
        <w:rPr>
          <w:color w:val="231F20"/>
          <w:w w:val="105"/>
          <w:sz w:val="20"/>
        </w:rPr>
        <w:t>(4.3.9.6).</w:t>
      </w:r>
    </w:p>
    <w:p>
      <w:pPr>
        <w:pStyle w:val="ListParagraph"/>
        <w:numPr>
          <w:ilvl w:val="0"/>
          <w:numId w:val="2"/>
        </w:numPr>
        <w:tabs>
          <w:tab w:pos="493" w:val="left" w:leader="none"/>
        </w:tabs>
        <w:spacing w:line="264" w:lineRule="auto" w:before="90" w:after="0"/>
        <w:ind w:left="492" w:right="1495" w:hanging="171"/>
        <w:jc w:val="left"/>
        <w:rPr>
          <w:sz w:val="20"/>
        </w:rPr>
      </w:pPr>
      <w:r>
        <w:rPr>
          <w:color w:val="231F20"/>
          <w:sz w:val="20"/>
        </w:rPr>
        <w:t>Improve interagency cooperation and </w:t>
      </w:r>
      <w:r>
        <w:rPr>
          <w:rFonts w:ascii="Times New Roman"/>
          <w:color w:val="231F20"/>
          <w:sz w:val="20"/>
        </w:rPr>
        <w:t>communication among agencies that</w:t>
      </w:r>
      <w:r>
        <w:rPr>
          <w:rFonts w:ascii="Times New Roman"/>
          <w:color w:val="231F20"/>
          <w:spacing w:val="-12"/>
          <w:sz w:val="20"/>
        </w:rPr>
        <w:t> </w:t>
      </w:r>
      <w:r>
        <w:rPr>
          <w:rFonts w:ascii="Times New Roman"/>
          <w:color w:val="231F20"/>
          <w:sz w:val="20"/>
        </w:rPr>
        <w:t>receive </w:t>
      </w:r>
      <w:r>
        <w:rPr>
          <w:color w:val="231F20"/>
          <w:sz w:val="20"/>
        </w:rPr>
        <w:t>illness  complaints</w:t>
      </w:r>
      <w:r>
        <w:rPr>
          <w:color w:val="231F20"/>
          <w:spacing w:val="9"/>
          <w:sz w:val="20"/>
        </w:rPr>
        <w:t> </w:t>
      </w:r>
      <w:r>
        <w:rPr>
          <w:color w:val="231F20"/>
          <w:sz w:val="20"/>
        </w:rPr>
        <w:t>(4.3.9.7).</w:t>
      </w:r>
    </w:p>
    <w:p>
      <w:pPr>
        <w:pStyle w:val="ListParagraph"/>
        <w:numPr>
          <w:ilvl w:val="0"/>
          <w:numId w:val="2"/>
        </w:numPr>
        <w:tabs>
          <w:tab w:pos="493" w:val="left" w:leader="none"/>
        </w:tabs>
        <w:spacing w:line="266" w:lineRule="auto" w:before="77" w:after="0"/>
        <w:ind w:left="492" w:right="1646" w:hanging="171"/>
        <w:jc w:val="left"/>
        <w:rPr>
          <w:sz w:val="20"/>
        </w:rPr>
      </w:pPr>
      <w:r>
        <w:rPr>
          <w:rFonts w:ascii="Times New Roman"/>
          <w:color w:val="231F20"/>
          <w:w w:val="105"/>
          <w:sz w:val="20"/>
        </w:rPr>
        <w:t>Check complaint information against </w:t>
      </w:r>
      <w:r>
        <w:rPr>
          <w:color w:val="231F20"/>
          <w:w w:val="105"/>
          <w:sz w:val="20"/>
        </w:rPr>
        <w:t>national databases </w:t>
      </w:r>
      <w:r>
        <w:rPr>
          <w:color w:val="231F20"/>
          <w:spacing w:val="-4"/>
          <w:w w:val="105"/>
          <w:sz w:val="20"/>
        </w:rPr>
        <w:t>(e.g., </w:t>
      </w:r>
      <w:r>
        <w:rPr>
          <w:color w:val="231F20"/>
          <w:w w:val="105"/>
          <w:sz w:val="20"/>
        </w:rPr>
        <w:t>USDA/FSIS Consumer Complaint Monitoring</w:t>
      </w:r>
      <w:r>
        <w:rPr>
          <w:color w:val="231F20"/>
          <w:spacing w:val="-25"/>
          <w:w w:val="105"/>
          <w:sz w:val="20"/>
        </w:rPr>
        <w:t> </w:t>
      </w:r>
      <w:r>
        <w:rPr>
          <w:color w:val="231F20"/>
          <w:w w:val="105"/>
          <w:sz w:val="20"/>
        </w:rPr>
        <w:t>System) (4.3.9.8).</w:t>
      </w:r>
    </w:p>
    <w:p>
      <w:pPr>
        <w:pStyle w:val="ListParagraph"/>
        <w:numPr>
          <w:ilvl w:val="0"/>
          <w:numId w:val="2"/>
        </w:numPr>
        <w:tabs>
          <w:tab w:pos="493" w:val="left" w:leader="none"/>
        </w:tabs>
        <w:spacing w:line="264" w:lineRule="auto" w:before="89" w:after="0"/>
        <w:ind w:left="492" w:right="1492" w:hanging="171"/>
        <w:jc w:val="left"/>
        <w:rPr>
          <w:sz w:val="20"/>
        </w:rPr>
      </w:pPr>
      <w:r>
        <w:rPr>
          <w:color w:val="231F20"/>
          <w:sz w:val="20"/>
        </w:rPr>
        <w:t>Improve reporting from the public </w:t>
      </w:r>
      <w:r>
        <w:rPr>
          <w:color w:val="231F20"/>
          <w:spacing w:val="-3"/>
          <w:sz w:val="20"/>
        </w:rPr>
        <w:t>by </w:t>
      </w:r>
      <w:r>
        <w:rPr>
          <w:color w:val="231F20"/>
          <w:sz w:val="20"/>
        </w:rPr>
        <w:t>simplifying the reporting process (4.3.9.9)  and increasing public awareness to report (4.3.9.10). </w:t>
      </w:r>
      <w:r>
        <w:rPr>
          <w:color w:val="231F20"/>
          <w:spacing w:val="-3"/>
          <w:sz w:val="20"/>
        </w:rPr>
        <w:t>Train </w:t>
      </w:r>
      <w:r>
        <w:rPr>
          <w:color w:val="231F20"/>
          <w:sz w:val="20"/>
        </w:rPr>
        <w:t>food managers and workers </w:t>
      </w:r>
      <w:r>
        <w:rPr>
          <w:rFonts w:ascii="Times New Roman"/>
          <w:color w:val="231F20"/>
          <w:sz w:val="20"/>
        </w:rPr>
        <w:t>about the importance of reporting unusual </w:t>
      </w:r>
      <w:r>
        <w:rPr>
          <w:color w:val="231F20"/>
          <w:sz w:val="20"/>
        </w:rPr>
        <w:t>patterns of illness among workers or </w:t>
      </w:r>
      <w:r>
        <w:rPr>
          <w:rFonts w:ascii="Times New Roman"/>
          <w:color w:val="231F20"/>
          <w:sz w:val="20"/>
        </w:rPr>
        <w:t>customers and food code requirements for </w:t>
      </w:r>
      <w:r>
        <w:rPr>
          <w:color w:val="231F20"/>
          <w:sz w:val="20"/>
        </w:rPr>
        <w:t>disease</w:t>
      </w:r>
      <w:r>
        <w:rPr>
          <w:color w:val="231F20"/>
          <w:spacing w:val="35"/>
          <w:sz w:val="20"/>
        </w:rPr>
        <w:t> </w:t>
      </w:r>
      <w:r>
        <w:rPr>
          <w:color w:val="231F20"/>
          <w:sz w:val="20"/>
        </w:rPr>
        <w:t>reporting.</w:t>
      </w:r>
    </w:p>
    <w:p>
      <w:pPr>
        <w:pStyle w:val="ListParagraph"/>
        <w:numPr>
          <w:ilvl w:val="0"/>
          <w:numId w:val="2"/>
        </w:numPr>
        <w:tabs>
          <w:tab w:pos="493" w:val="left" w:leader="none"/>
        </w:tabs>
        <w:spacing w:line="261" w:lineRule="auto" w:before="77" w:after="0"/>
        <w:ind w:left="492" w:right="1624" w:hanging="171"/>
        <w:jc w:val="left"/>
        <w:rPr>
          <w:sz w:val="20"/>
        </w:rPr>
      </w:pPr>
      <w:r>
        <w:rPr>
          <w:rFonts w:ascii="Times New Roman"/>
          <w:color w:val="231F20"/>
          <w:spacing w:val="-11"/>
          <w:sz w:val="20"/>
        </w:rPr>
        <w:t>To </w:t>
      </w:r>
      <w:r>
        <w:rPr>
          <w:rFonts w:ascii="Times New Roman"/>
          <w:color w:val="231F20"/>
          <w:sz w:val="20"/>
        </w:rPr>
        <w:t>increase the likelihood that patterns are detected, set up the reporting process so all reports go through one person, or one </w:t>
      </w:r>
      <w:r>
        <w:rPr>
          <w:color w:val="231F20"/>
          <w:sz w:val="20"/>
        </w:rPr>
        <w:t>person routinely reviews reports </w:t>
      </w:r>
      <w:r>
        <w:rPr>
          <w:color w:val="231F20"/>
          <w:spacing w:val="41"/>
          <w:sz w:val="20"/>
        </w:rPr>
        <w:t> </w:t>
      </w:r>
      <w:r>
        <w:rPr>
          <w:color w:val="231F20"/>
          <w:sz w:val="20"/>
        </w:rPr>
        <w:t>(4.3.9.11).</w:t>
      </w:r>
    </w:p>
    <w:p>
      <w:pPr>
        <w:pStyle w:val="BodyText"/>
        <w:spacing w:before="169"/>
        <w:ind w:left="321"/>
        <w:rPr>
          <w:rFonts w:ascii="Arial"/>
        </w:rPr>
      </w:pPr>
      <w:r>
        <w:rPr>
          <w:rFonts w:ascii="Arial"/>
          <w:color w:val="1C3E94"/>
        </w:rPr>
        <w:t>Syndromic Surveillance (Section 4.4)</w:t>
      </w:r>
    </w:p>
    <w:p>
      <w:pPr>
        <w:pStyle w:val="BodyText"/>
        <w:spacing w:before="8"/>
        <w:rPr>
          <w:rFonts w:ascii="Arial"/>
          <w:sz w:val="18"/>
        </w:rPr>
      </w:pPr>
    </w:p>
    <w:p>
      <w:pPr>
        <w:pStyle w:val="BodyText"/>
        <w:spacing w:line="266" w:lineRule="auto"/>
        <w:ind w:left="321" w:right="1407"/>
      </w:pPr>
      <w:r>
        <w:rPr>
          <w:color w:val="231F20"/>
          <w:w w:val="105"/>
        </w:rPr>
        <w:t>Syndromic surveillance involves the systematic (usually automated) gathering of data on nonspecific health indicators that may reflect increased disease occurrence. Syndromic surveillance typically relies on the following types of information:</w:t>
      </w:r>
    </w:p>
    <w:p>
      <w:pPr>
        <w:spacing w:after="0" w:line="266" w:lineRule="auto"/>
        <w:sectPr>
          <w:type w:val="continuous"/>
          <w:pgSz w:w="10080" w:h="14400"/>
          <w:pgMar w:top="0" w:bottom="360" w:left="0" w:right="0"/>
          <w:cols w:num="2" w:equalWidth="0">
            <w:col w:w="4499" w:space="40"/>
            <w:col w:w="5541"/>
          </w:cols>
        </w:sectPr>
      </w:pPr>
    </w:p>
    <w:p>
      <w:pPr>
        <w:pStyle w:val="BodyText"/>
        <w:spacing w:before="8"/>
        <w:rPr>
          <w:sz w:val="10"/>
        </w:rPr>
      </w:pPr>
    </w:p>
    <w:p>
      <w:pPr>
        <w:pStyle w:val="Heading1"/>
        <w:spacing w:line="249" w:lineRule="auto"/>
      </w:pPr>
      <w:r>
        <w:rPr/>
        <w:pict>
          <v:line style="position:absolute;mso-position-horizontal-relative:page;mso-position-vertical-relative:paragraph;z-index:2872;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2896" filled="true" fillcolor="#0079c1" stroked="false">
            <v:fill type="solid"/>
            <w10:wrap type="none"/>
          </v:rect>
        </w:pict>
      </w:r>
      <w:r>
        <w:rPr/>
        <w:pict>
          <v:line style="position:absolute;mso-position-horizontal-relative:page;mso-position-vertical-relative:paragraph;z-index:2920"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2944"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4. Foodborne Disease Surveillance and Outbreak  Detection</w:t>
      </w:r>
    </w:p>
    <w:p>
      <w:pPr>
        <w:pStyle w:val="BodyText"/>
        <w:spacing w:before="5"/>
        <w:rPr>
          <w:rFonts w:ascii="Arial"/>
          <w:sz w:val="14"/>
        </w:rPr>
      </w:pPr>
    </w:p>
    <w:p>
      <w:pPr>
        <w:spacing w:after="0"/>
        <w:rPr>
          <w:rFonts w:ascii="Arial"/>
          <w:sz w:val="14"/>
        </w:rPr>
        <w:sectPr>
          <w:pgSz w:w="10080" w:h="14400"/>
          <w:pgMar w:header="0" w:footer="160" w:top="1160" w:bottom="360" w:left="0" w:right="0"/>
        </w:sectPr>
      </w:pPr>
    </w:p>
    <w:p>
      <w:pPr>
        <w:pStyle w:val="ListParagraph"/>
        <w:numPr>
          <w:ilvl w:val="1"/>
          <w:numId w:val="2"/>
        </w:numPr>
        <w:tabs>
          <w:tab w:pos="1611" w:val="left" w:leader="none"/>
        </w:tabs>
        <w:spacing w:line="264" w:lineRule="auto" w:before="107" w:after="0"/>
        <w:ind w:left="1610" w:right="76" w:hanging="170"/>
        <w:jc w:val="left"/>
        <w:rPr>
          <w:sz w:val="20"/>
        </w:rPr>
      </w:pPr>
      <w:r>
        <w:rPr>
          <w:color w:val="231F20"/>
          <w:w w:val="105"/>
          <w:sz w:val="20"/>
        </w:rPr>
        <w:t>Preclinical information, which does not depend</w:t>
      </w:r>
      <w:r>
        <w:rPr>
          <w:color w:val="231F20"/>
          <w:spacing w:val="-13"/>
          <w:w w:val="105"/>
          <w:sz w:val="20"/>
        </w:rPr>
        <w:t> </w:t>
      </w:r>
      <w:r>
        <w:rPr>
          <w:color w:val="231F20"/>
          <w:w w:val="105"/>
          <w:sz w:val="20"/>
        </w:rPr>
        <w:t>on</w:t>
      </w:r>
      <w:r>
        <w:rPr>
          <w:color w:val="231F20"/>
          <w:spacing w:val="-13"/>
          <w:w w:val="105"/>
          <w:sz w:val="20"/>
        </w:rPr>
        <w:t> </w:t>
      </w:r>
      <w:r>
        <w:rPr>
          <w:color w:val="231F20"/>
          <w:w w:val="105"/>
          <w:sz w:val="20"/>
        </w:rPr>
        <w:t>access</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health-care</w:t>
      </w:r>
      <w:r>
        <w:rPr>
          <w:color w:val="231F20"/>
          <w:spacing w:val="-13"/>
          <w:w w:val="105"/>
          <w:sz w:val="20"/>
        </w:rPr>
        <w:t> </w:t>
      </w:r>
      <w:r>
        <w:rPr>
          <w:color w:val="231F20"/>
          <w:spacing w:val="-4"/>
          <w:w w:val="105"/>
          <w:sz w:val="20"/>
        </w:rPr>
        <w:t>(e.g.,</w:t>
      </w:r>
      <w:r>
        <w:rPr>
          <w:color w:val="231F20"/>
          <w:spacing w:val="-13"/>
          <w:w w:val="105"/>
          <w:sz w:val="20"/>
        </w:rPr>
        <w:t> </w:t>
      </w:r>
      <w:r>
        <w:rPr>
          <w:color w:val="231F20"/>
          <w:w w:val="105"/>
          <w:sz w:val="20"/>
        </w:rPr>
        <w:t>school and work absenteeism, sales of over-the- </w:t>
      </w:r>
      <w:r>
        <w:rPr>
          <w:rFonts w:ascii="Times New Roman"/>
          <w:color w:val="231F20"/>
          <w:w w:val="105"/>
          <w:sz w:val="20"/>
        </w:rPr>
        <w:t>counter drugs, calls to poison control </w:t>
      </w:r>
      <w:r>
        <w:rPr>
          <w:color w:val="231F20"/>
          <w:w w:val="105"/>
          <w:sz w:val="20"/>
        </w:rPr>
        <w:t>centers);</w:t>
      </w:r>
    </w:p>
    <w:p>
      <w:pPr>
        <w:pStyle w:val="ListParagraph"/>
        <w:numPr>
          <w:ilvl w:val="1"/>
          <w:numId w:val="2"/>
        </w:numPr>
        <w:tabs>
          <w:tab w:pos="1611" w:val="left" w:leader="none"/>
        </w:tabs>
        <w:spacing w:line="264" w:lineRule="auto" w:before="92" w:after="0"/>
        <w:ind w:left="1610" w:right="15" w:hanging="170"/>
        <w:jc w:val="left"/>
        <w:rPr>
          <w:rFonts w:ascii="Times New Roman"/>
          <w:sz w:val="20"/>
        </w:rPr>
      </w:pPr>
      <w:r>
        <w:rPr>
          <w:color w:val="231F20"/>
          <w:w w:val="105"/>
          <w:sz w:val="20"/>
        </w:rPr>
        <w:t>Clinical prediagnostic information, which requires contact with the health-care system but</w:t>
      </w:r>
      <w:r>
        <w:rPr>
          <w:color w:val="231F20"/>
          <w:spacing w:val="-15"/>
          <w:w w:val="105"/>
          <w:sz w:val="20"/>
        </w:rPr>
        <w:t> </w:t>
      </w:r>
      <w:r>
        <w:rPr>
          <w:color w:val="231F20"/>
          <w:w w:val="105"/>
          <w:sz w:val="20"/>
        </w:rPr>
        <w:t>not</w:t>
      </w:r>
      <w:r>
        <w:rPr>
          <w:color w:val="231F20"/>
          <w:spacing w:val="-15"/>
          <w:w w:val="105"/>
          <w:sz w:val="20"/>
        </w:rPr>
        <w:t> </w:t>
      </w:r>
      <w:r>
        <w:rPr>
          <w:color w:val="231F20"/>
          <w:w w:val="105"/>
          <w:sz w:val="20"/>
        </w:rPr>
        <w:t>definitive</w:t>
      </w:r>
      <w:r>
        <w:rPr>
          <w:color w:val="231F20"/>
          <w:spacing w:val="-15"/>
          <w:w w:val="105"/>
          <w:sz w:val="20"/>
        </w:rPr>
        <w:t> </w:t>
      </w:r>
      <w:r>
        <w:rPr>
          <w:color w:val="231F20"/>
          <w:w w:val="105"/>
          <w:sz w:val="20"/>
        </w:rPr>
        <w:t>diagnosis</w:t>
      </w:r>
      <w:r>
        <w:rPr>
          <w:color w:val="231F20"/>
          <w:spacing w:val="-15"/>
          <w:w w:val="105"/>
          <w:sz w:val="20"/>
        </w:rPr>
        <w:t> </w:t>
      </w:r>
      <w:r>
        <w:rPr>
          <w:color w:val="231F20"/>
          <w:w w:val="105"/>
          <w:sz w:val="20"/>
        </w:rPr>
        <w:t>or</w:t>
      </w:r>
      <w:r>
        <w:rPr>
          <w:color w:val="231F20"/>
          <w:spacing w:val="-15"/>
          <w:w w:val="105"/>
          <w:sz w:val="20"/>
        </w:rPr>
        <w:t> </w:t>
      </w:r>
      <w:r>
        <w:rPr>
          <w:color w:val="231F20"/>
          <w:w w:val="105"/>
          <w:sz w:val="20"/>
        </w:rPr>
        <w:t>reporting</w:t>
      </w:r>
      <w:r>
        <w:rPr>
          <w:color w:val="231F20"/>
          <w:spacing w:val="-15"/>
          <w:w w:val="105"/>
          <w:sz w:val="20"/>
        </w:rPr>
        <w:t> </w:t>
      </w:r>
      <w:r>
        <w:rPr>
          <w:color w:val="231F20"/>
          <w:spacing w:val="-4"/>
          <w:w w:val="105"/>
          <w:sz w:val="20"/>
        </w:rPr>
        <w:t>(e.g., </w:t>
      </w:r>
      <w:r>
        <w:rPr>
          <w:color w:val="231F20"/>
          <w:w w:val="105"/>
          <w:sz w:val="20"/>
        </w:rPr>
        <w:t>emergency department chief complaints, ambulance dispatches, and lab test orders); </w:t>
      </w:r>
      <w:r>
        <w:rPr>
          <w:rFonts w:ascii="Times New Roman"/>
          <w:color w:val="231F20"/>
          <w:w w:val="105"/>
          <w:sz w:val="20"/>
        </w:rPr>
        <w:t>and</w:t>
      </w:r>
    </w:p>
    <w:p>
      <w:pPr>
        <w:pStyle w:val="ListParagraph"/>
        <w:numPr>
          <w:ilvl w:val="1"/>
          <w:numId w:val="2"/>
        </w:numPr>
        <w:tabs>
          <w:tab w:pos="1611" w:val="left" w:leader="none"/>
        </w:tabs>
        <w:spacing w:line="266" w:lineRule="auto" w:before="102" w:after="0"/>
        <w:ind w:left="1610" w:right="0" w:hanging="170"/>
        <w:jc w:val="left"/>
        <w:rPr>
          <w:sz w:val="20"/>
        </w:rPr>
      </w:pPr>
      <w:r>
        <w:rPr>
          <w:color w:val="231F20"/>
          <w:sz w:val="20"/>
        </w:rPr>
        <w:t>Postdiagnostic data, which requires contact with the health-care system and some degree of  diagnosis </w:t>
      </w:r>
      <w:r>
        <w:rPr>
          <w:color w:val="231F20"/>
          <w:spacing w:val="-4"/>
          <w:sz w:val="20"/>
        </w:rPr>
        <w:t>(e.g., </w:t>
      </w:r>
      <w:r>
        <w:rPr>
          <w:color w:val="231F20"/>
          <w:sz w:val="20"/>
        </w:rPr>
        <w:t>hospital discharge </w:t>
      </w:r>
      <w:r>
        <w:rPr>
          <w:color w:val="231F20"/>
          <w:spacing w:val="4"/>
          <w:sz w:val="20"/>
        </w:rPr>
        <w:t> </w:t>
      </w:r>
      <w:r>
        <w:rPr>
          <w:color w:val="231F20"/>
          <w:sz w:val="20"/>
        </w:rPr>
        <w:t>codes).</w:t>
      </w:r>
    </w:p>
    <w:p>
      <w:pPr>
        <w:pStyle w:val="BodyText"/>
        <w:spacing w:line="266" w:lineRule="auto" w:before="180"/>
        <w:ind w:left="1440" w:right="44"/>
      </w:pPr>
      <w:r>
        <w:rPr>
          <w:color w:val="231F20"/>
          <w:w w:val="105"/>
        </w:rPr>
        <w:t>In</w:t>
      </w:r>
      <w:r>
        <w:rPr>
          <w:color w:val="231F20"/>
          <w:spacing w:val="-17"/>
          <w:w w:val="105"/>
        </w:rPr>
        <w:t> </w:t>
      </w:r>
      <w:r>
        <w:rPr>
          <w:color w:val="231F20"/>
          <w:w w:val="105"/>
        </w:rPr>
        <w:t>syndromic</w:t>
      </w:r>
      <w:r>
        <w:rPr>
          <w:color w:val="231F20"/>
          <w:spacing w:val="-17"/>
          <w:w w:val="105"/>
        </w:rPr>
        <w:t> </w:t>
      </w:r>
      <w:r>
        <w:rPr>
          <w:color w:val="231F20"/>
          <w:w w:val="105"/>
        </w:rPr>
        <w:t>surveillance,</w:t>
      </w:r>
      <w:r>
        <w:rPr>
          <w:color w:val="231F20"/>
          <w:spacing w:val="-17"/>
          <w:w w:val="105"/>
        </w:rPr>
        <w:t> </w:t>
      </w:r>
      <w:r>
        <w:rPr>
          <w:color w:val="231F20"/>
          <w:w w:val="105"/>
        </w:rPr>
        <w:t>increases</w:t>
      </w:r>
      <w:r>
        <w:rPr>
          <w:color w:val="231F20"/>
          <w:spacing w:val="-17"/>
          <w:w w:val="105"/>
        </w:rPr>
        <w:t> </w:t>
      </w:r>
      <w:r>
        <w:rPr>
          <w:color w:val="231F20"/>
          <w:w w:val="105"/>
        </w:rPr>
        <w:t>in</w:t>
      </w:r>
      <w:r>
        <w:rPr>
          <w:color w:val="231F20"/>
          <w:spacing w:val="-17"/>
          <w:w w:val="105"/>
        </w:rPr>
        <w:t> </w:t>
      </w:r>
      <w:r>
        <w:rPr>
          <w:color w:val="231F20"/>
          <w:w w:val="105"/>
        </w:rPr>
        <w:t>specific indicator signals are evaluated. If the increase is determined likely to represent a true outbreak, exposure information is collected through</w:t>
      </w:r>
      <w:r>
        <w:rPr>
          <w:color w:val="231F20"/>
          <w:spacing w:val="-15"/>
          <w:w w:val="105"/>
        </w:rPr>
        <w:t> </w:t>
      </w:r>
      <w:r>
        <w:rPr>
          <w:color w:val="231F20"/>
          <w:w w:val="105"/>
        </w:rPr>
        <w:t>interviews</w:t>
      </w:r>
      <w:r>
        <w:rPr>
          <w:color w:val="231F20"/>
          <w:spacing w:val="-15"/>
          <w:w w:val="105"/>
        </w:rPr>
        <w:t> </w:t>
      </w:r>
      <w:r>
        <w:rPr>
          <w:color w:val="231F20"/>
          <w:w w:val="105"/>
        </w:rPr>
        <w:t>of</w:t>
      </w:r>
      <w:r>
        <w:rPr>
          <w:color w:val="231F20"/>
          <w:spacing w:val="6"/>
          <w:w w:val="105"/>
        </w:rPr>
        <w:t> </w:t>
      </w:r>
      <w:r>
        <w:rPr>
          <w:color w:val="231F20"/>
          <w:w w:val="105"/>
        </w:rPr>
        <w:t>individual</w:t>
      </w:r>
      <w:r>
        <w:rPr>
          <w:color w:val="231F20"/>
          <w:spacing w:val="-15"/>
          <w:w w:val="105"/>
        </w:rPr>
        <w:t> </w:t>
      </w:r>
      <w:r>
        <w:rPr>
          <w:color w:val="231F20"/>
          <w:w w:val="105"/>
        </w:rPr>
        <w:t>cases</w:t>
      </w:r>
      <w:r>
        <w:rPr>
          <w:color w:val="231F20"/>
          <w:spacing w:val="-15"/>
          <w:w w:val="105"/>
        </w:rPr>
        <w:t> </w:t>
      </w:r>
      <w:r>
        <w:rPr>
          <w:color w:val="231F20"/>
          <w:w w:val="105"/>
        </w:rPr>
        <w:t>(4.4.4).</w:t>
      </w:r>
    </w:p>
    <w:p>
      <w:pPr>
        <w:pStyle w:val="BodyText"/>
        <w:spacing w:line="266" w:lineRule="auto" w:before="183"/>
        <w:ind w:left="1440" w:right="240"/>
      </w:pPr>
      <w:r>
        <w:rPr>
          <w:rFonts w:ascii="Arial"/>
          <w:color w:val="00A94F"/>
          <w:sz w:val="18"/>
        </w:rPr>
        <w:t>Strengths of Syndromic Surveillance (4.4.6) </w:t>
      </w:r>
      <w:r>
        <w:rPr>
          <w:color w:val="231F20"/>
        </w:rPr>
        <w:t>In theory, syndromic surveillance offers increased speed in outbreak detection; the ability to detect outbreaks from any cause, known or unknown, diagnosed or not; and </w:t>
      </w:r>
      <w:r>
        <w:rPr>
          <w:rFonts w:ascii="Times New Roman"/>
          <w:color w:val="231F20"/>
        </w:rPr>
        <w:t>reduced dependence on individuals because </w:t>
      </w:r>
      <w:r>
        <w:rPr>
          <w:color w:val="231F20"/>
        </w:rPr>
        <w:t>of automated reporting. In addition, the </w:t>
      </w:r>
      <w:r>
        <w:rPr>
          <w:rFonts w:ascii="Times New Roman"/>
          <w:color w:val="231F20"/>
        </w:rPr>
        <w:t>infrastructure needed for the automated </w:t>
      </w:r>
      <w:r>
        <w:rPr>
          <w:color w:val="231F20"/>
        </w:rPr>
        <w:t>electronic data transfer in  syndromic</w:t>
      </w:r>
    </w:p>
    <w:p>
      <w:pPr>
        <w:pStyle w:val="BodyText"/>
        <w:spacing w:line="266" w:lineRule="auto"/>
        <w:ind w:left="1440" w:right="-5"/>
      </w:pPr>
      <w:r>
        <w:rPr>
          <w:color w:val="231F20"/>
          <w:w w:val="105"/>
        </w:rPr>
        <w:t>surveillance</w:t>
      </w:r>
      <w:r>
        <w:rPr>
          <w:color w:val="231F20"/>
          <w:spacing w:val="-14"/>
          <w:w w:val="105"/>
        </w:rPr>
        <w:t> </w:t>
      </w:r>
      <w:r>
        <w:rPr>
          <w:color w:val="231F20"/>
          <w:w w:val="105"/>
        </w:rPr>
        <w:t>is</w:t>
      </w:r>
      <w:r>
        <w:rPr>
          <w:color w:val="231F20"/>
          <w:spacing w:val="-14"/>
          <w:w w:val="105"/>
        </w:rPr>
        <w:t> </w:t>
      </w:r>
      <w:r>
        <w:rPr>
          <w:color w:val="231F20"/>
          <w:w w:val="105"/>
        </w:rPr>
        <w:t>likely</w:t>
      </w:r>
      <w:r>
        <w:rPr>
          <w:color w:val="231F20"/>
          <w:spacing w:val="-14"/>
          <w:w w:val="105"/>
        </w:rPr>
        <w:t> </w:t>
      </w:r>
      <w:r>
        <w:rPr>
          <w:color w:val="231F20"/>
          <w:w w:val="105"/>
        </w:rPr>
        <w:t>to</w:t>
      </w:r>
      <w:r>
        <w:rPr>
          <w:color w:val="231F20"/>
          <w:spacing w:val="-14"/>
          <w:w w:val="105"/>
        </w:rPr>
        <w:t> </w:t>
      </w:r>
      <w:r>
        <w:rPr>
          <w:color w:val="231F20"/>
          <w:w w:val="105"/>
        </w:rPr>
        <w:t>be</w:t>
      </w:r>
      <w:r>
        <w:rPr>
          <w:color w:val="231F20"/>
          <w:spacing w:val="-14"/>
          <w:w w:val="105"/>
        </w:rPr>
        <w:t> </w:t>
      </w:r>
      <w:r>
        <w:rPr>
          <w:color w:val="231F20"/>
          <w:w w:val="105"/>
        </w:rPr>
        <w:t>useful</w:t>
      </w:r>
      <w:r>
        <w:rPr>
          <w:color w:val="231F20"/>
          <w:spacing w:val="-14"/>
          <w:w w:val="105"/>
        </w:rPr>
        <w:t> </w:t>
      </w:r>
      <w:r>
        <w:rPr>
          <w:color w:val="231F20"/>
          <w:w w:val="105"/>
        </w:rPr>
        <w:t>for</w:t>
      </w:r>
      <w:r>
        <w:rPr>
          <w:color w:val="231F20"/>
          <w:spacing w:val="-14"/>
          <w:w w:val="105"/>
        </w:rPr>
        <w:t> </w:t>
      </w:r>
      <w:r>
        <w:rPr>
          <w:color w:val="231F20"/>
          <w:w w:val="105"/>
        </w:rPr>
        <w:t>other</w:t>
      </w:r>
      <w:r>
        <w:rPr>
          <w:color w:val="231F20"/>
          <w:spacing w:val="-14"/>
          <w:w w:val="105"/>
        </w:rPr>
        <w:t> </w:t>
      </w:r>
      <w:r>
        <w:rPr>
          <w:color w:val="231F20"/>
          <w:w w:val="105"/>
        </w:rPr>
        <w:t>types of surveillance and public health</w:t>
      </w:r>
      <w:r>
        <w:rPr>
          <w:color w:val="231F20"/>
          <w:spacing w:val="-23"/>
          <w:w w:val="105"/>
        </w:rPr>
        <w:t> </w:t>
      </w:r>
      <w:r>
        <w:rPr>
          <w:color w:val="231F20"/>
          <w:w w:val="105"/>
        </w:rPr>
        <w:t>activities.</w:t>
      </w:r>
    </w:p>
    <w:p>
      <w:pPr>
        <w:spacing w:line="276" w:lineRule="auto" w:before="184"/>
        <w:ind w:left="1440" w:right="26" w:firstLine="0"/>
        <w:jc w:val="left"/>
        <w:rPr>
          <w:sz w:val="20"/>
        </w:rPr>
      </w:pPr>
      <w:r>
        <w:rPr>
          <w:rFonts w:ascii="Arial"/>
          <w:color w:val="00A94F"/>
          <w:w w:val="105"/>
          <w:sz w:val="18"/>
        </w:rPr>
        <w:t>Limitations</w:t>
      </w:r>
      <w:r>
        <w:rPr>
          <w:rFonts w:ascii="Arial"/>
          <w:color w:val="00A94F"/>
          <w:spacing w:val="-28"/>
          <w:w w:val="105"/>
          <w:sz w:val="18"/>
        </w:rPr>
        <w:t> </w:t>
      </w:r>
      <w:r>
        <w:rPr>
          <w:rFonts w:ascii="Arial"/>
          <w:color w:val="00A94F"/>
          <w:w w:val="105"/>
          <w:sz w:val="18"/>
        </w:rPr>
        <w:t>of</w:t>
      </w:r>
      <w:r>
        <w:rPr>
          <w:rFonts w:ascii="Arial"/>
          <w:color w:val="00A94F"/>
          <w:spacing w:val="-28"/>
          <w:w w:val="105"/>
          <w:sz w:val="18"/>
        </w:rPr>
        <w:t> </w:t>
      </w:r>
      <w:r>
        <w:rPr>
          <w:rFonts w:ascii="Arial"/>
          <w:color w:val="00A94F"/>
          <w:w w:val="105"/>
          <w:sz w:val="18"/>
        </w:rPr>
        <w:t>Syndromic</w:t>
      </w:r>
      <w:r>
        <w:rPr>
          <w:rFonts w:ascii="Arial"/>
          <w:color w:val="00A94F"/>
          <w:spacing w:val="-28"/>
          <w:w w:val="105"/>
          <w:sz w:val="18"/>
        </w:rPr>
        <w:t> </w:t>
      </w:r>
      <w:r>
        <w:rPr>
          <w:rFonts w:ascii="Arial"/>
          <w:color w:val="00A94F"/>
          <w:w w:val="105"/>
          <w:sz w:val="18"/>
        </w:rPr>
        <w:t>Surveillance</w:t>
      </w:r>
      <w:r>
        <w:rPr>
          <w:rFonts w:ascii="Arial"/>
          <w:color w:val="00A94F"/>
          <w:spacing w:val="-28"/>
          <w:w w:val="105"/>
          <w:sz w:val="18"/>
        </w:rPr>
        <w:t> </w:t>
      </w:r>
      <w:r>
        <w:rPr>
          <w:rFonts w:ascii="Arial"/>
          <w:color w:val="00A94F"/>
          <w:w w:val="105"/>
          <w:sz w:val="18"/>
        </w:rPr>
        <w:t>(4.4.7) </w:t>
      </w:r>
      <w:r>
        <w:rPr>
          <w:color w:val="231F20"/>
          <w:w w:val="105"/>
          <w:sz w:val="20"/>
        </w:rPr>
        <w:t>Syndromic</w:t>
      </w:r>
      <w:r>
        <w:rPr>
          <w:color w:val="231F20"/>
          <w:spacing w:val="-14"/>
          <w:w w:val="105"/>
          <w:sz w:val="20"/>
        </w:rPr>
        <w:t> </w:t>
      </w:r>
      <w:r>
        <w:rPr>
          <w:color w:val="231F20"/>
          <w:w w:val="105"/>
          <w:sz w:val="20"/>
        </w:rPr>
        <w:t>surveillance</w:t>
      </w:r>
      <w:r>
        <w:rPr>
          <w:color w:val="231F20"/>
          <w:spacing w:val="-14"/>
          <w:w w:val="105"/>
          <w:sz w:val="20"/>
        </w:rPr>
        <w:t> </w:t>
      </w:r>
      <w:r>
        <w:rPr>
          <w:color w:val="231F20"/>
          <w:w w:val="105"/>
          <w:sz w:val="20"/>
        </w:rPr>
        <w:t>has</w:t>
      </w:r>
      <w:r>
        <w:rPr>
          <w:color w:val="231F20"/>
          <w:spacing w:val="-14"/>
          <w:w w:val="105"/>
          <w:sz w:val="20"/>
        </w:rPr>
        <w:t> </w:t>
      </w:r>
      <w:r>
        <w:rPr>
          <w:color w:val="231F20"/>
          <w:w w:val="105"/>
          <w:sz w:val="20"/>
        </w:rPr>
        <w:t>serious</w:t>
      </w:r>
      <w:r>
        <w:rPr>
          <w:color w:val="231F20"/>
          <w:spacing w:val="-14"/>
          <w:w w:val="105"/>
          <w:sz w:val="20"/>
        </w:rPr>
        <w:t> </w:t>
      </w:r>
      <w:r>
        <w:rPr>
          <w:color w:val="231F20"/>
          <w:w w:val="105"/>
          <w:sz w:val="20"/>
        </w:rPr>
        <w:t>limitations, including</w:t>
      </w:r>
      <w:r>
        <w:rPr>
          <w:color w:val="231F20"/>
          <w:spacing w:val="-8"/>
          <w:w w:val="105"/>
          <w:sz w:val="20"/>
        </w:rPr>
        <w:t> </w:t>
      </w:r>
      <w:r>
        <w:rPr>
          <w:color w:val="231F20"/>
          <w:w w:val="105"/>
          <w:sz w:val="20"/>
        </w:rPr>
        <w:t>ability</w:t>
      </w:r>
      <w:r>
        <w:rPr>
          <w:color w:val="231F20"/>
          <w:spacing w:val="-8"/>
          <w:w w:val="105"/>
          <w:sz w:val="20"/>
        </w:rPr>
        <w:t> </w:t>
      </w:r>
      <w:r>
        <w:rPr>
          <w:color w:val="231F20"/>
          <w:w w:val="105"/>
          <w:sz w:val="20"/>
        </w:rPr>
        <w:t>to</w:t>
      </w:r>
      <w:r>
        <w:rPr>
          <w:color w:val="231F20"/>
          <w:spacing w:val="-8"/>
          <w:w w:val="105"/>
          <w:sz w:val="20"/>
        </w:rPr>
        <w:t> </w:t>
      </w:r>
      <w:r>
        <w:rPr>
          <w:color w:val="231F20"/>
          <w:w w:val="105"/>
          <w:sz w:val="20"/>
        </w:rPr>
        <w:t>detect</w:t>
      </w:r>
      <w:r>
        <w:rPr>
          <w:color w:val="231F20"/>
          <w:spacing w:val="-8"/>
          <w:w w:val="105"/>
          <w:sz w:val="20"/>
        </w:rPr>
        <w:t> </w:t>
      </w:r>
      <w:r>
        <w:rPr>
          <w:color w:val="231F20"/>
          <w:w w:val="105"/>
          <w:sz w:val="20"/>
        </w:rPr>
        <w:t>only</w:t>
      </w:r>
      <w:r>
        <w:rPr>
          <w:color w:val="231F20"/>
          <w:spacing w:val="-8"/>
          <w:w w:val="105"/>
          <w:sz w:val="20"/>
        </w:rPr>
        <w:t> </w:t>
      </w:r>
      <w:r>
        <w:rPr>
          <w:color w:val="231F20"/>
          <w:w w:val="105"/>
          <w:sz w:val="20"/>
        </w:rPr>
        <w:t>large</w:t>
      </w:r>
      <w:r>
        <w:rPr>
          <w:color w:val="231F20"/>
          <w:spacing w:val="-8"/>
          <w:w w:val="105"/>
          <w:sz w:val="20"/>
        </w:rPr>
        <w:t> </w:t>
      </w:r>
      <w:r>
        <w:rPr>
          <w:color w:val="231F20"/>
          <w:w w:val="105"/>
          <w:sz w:val="20"/>
        </w:rPr>
        <w:t>events,</w:t>
      </w:r>
    </w:p>
    <w:p>
      <w:pPr>
        <w:pStyle w:val="BodyText"/>
        <w:spacing w:line="264" w:lineRule="auto" w:before="107"/>
        <w:ind w:left="341" w:right="720"/>
      </w:pPr>
      <w:r>
        <w:rPr/>
        <w:br w:type="column"/>
      </w:r>
      <w:r>
        <w:rPr>
          <w:color w:val="231F20"/>
        </w:rPr>
        <w:t>numerous false-positive signals caused by the lack of specificity of indicators, reliance on </w:t>
      </w:r>
      <w:r>
        <w:rPr>
          <w:rFonts w:ascii="Times New Roman"/>
          <w:color w:val="231F20"/>
        </w:rPr>
        <w:t>routine surveillance to evaluate signals, lack of </w:t>
      </w:r>
      <w:r>
        <w:rPr>
          <w:color w:val="231F20"/>
        </w:rPr>
        <w:t>exposure information, and substantial costs for system development.</w:t>
      </w:r>
    </w:p>
    <w:p>
      <w:pPr>
        <w:spacing w:line="290" w:lineRule="auto" w:before="185"/>
        <w:ind w:left="341" w:right="720" w:firstLine="0"/>
        <w:jc w:val="left"/>
        <w:rPr>
          <w:rFonts w:ascii="Arial"/>
          <w:sz w:val="18"/>
        </w:rPr>
      </w:pPr>
      <w:r>
        <w:rPr>
          <w:rFonts w:ascii="Arial"/>
          <w:color w:val="00A94F"/>
          <w:sz w:val="18"/>
        </w:rPr>
        <w:t>Key Determinants of Successful Syndromic </w:t>
      </w:r>
      <w:r>
        <w:rPr>
          <w:rFonts w:ascii="Arial"/>
          <w:color w:val="00A94F"/>
          <w:w w:val="95"/>
          <w:sz w:val="18"/>
        </w:rPr>
        <w:t>Surveillance Systems (4.4.8)</w:t>
      </w:r>
    </w:p>
    <w:p>
      <w:pPr>
        <w:pStyle w:val="BodyText"/>
        <w:spacing w:line="264" w:lineRule="auto"/>
        <w:ind w:left="341" w:right="764"/>
      </w:pPr>
      <w:r>
        <w:rPr>
          <w:color w:val="231F20"/>
        </w:rPr>
        <w:t>The key determinants of successful syndromic surveillance are the specificity of the indicators </w:t>
      </w:r>
      <w:r>
        <w:rPr>
          <w:rFonts w:ascii="Times New Roman"/>
          <w:color w:val="231F20"/>
        </w:rPr>
        <w:t>and speed of  detection, factors that are </w:t>
      </w:r>
      <w:r>
        <w:rPr>
          <w:color w:val="231F20"/>
        </w:rPr>
        <w:t>inversely proportional. Less specific indicators </w:t>
      </w:r>
      <w:r>
        <w:rPr>
          <w:rFonts w:ascii="Times New Roman"/>
          <w:color w:val="231F20"/>
        </w:rPr>
        <w:t>mean that more cases are needed to </w:t>
      </w:r>
      <w:r>
        <w:rPr>
          <w:rFonts w:ascii="Times New Roman"/>
          <w:color w:val="231F20"/>
          <w:spacing w:val="-3"/>
        </w:rPr>
        <w:t>overcome </w:t>
      </w:r>
      <w:r>
        <w:rPr>
          <w:rFonts w:ascii="Times New Roman"/>
          <w:color w:val="231F20"/>
        </w:rPr>
        <w:t>background noise and that false-positive alerts </w:t>
      </w:r>
      <w:r>
        <w:rPr>
          <w:color w:val="231F20"/>
        </w:rPr>
        <w:t>are </w:t>
      </w:r>
      <w:r>
        <w:rPr>
          <w:color w:val="231F20"/>
          <w:spacing w:val="-4"/>
        </w:rPr>
        <w:t>likely. </w:t>
      </w:r>
      <w:r>
        <w:rPr>
          <w:color w:val="231F20"/>
        </w:rPr>
        <w:t>More specific signals decrease these problems but do not offer any time advantage </w:t>
      </w:r>
      <w:r>
        <w:rPr>
          <w:color w:val="231F20"/>
          <w:spacing w:val="-3"/>
        </w:rPr>
        <w:t>over </w:t>
      </w:r>
      <w:r>
        <w:rPr>
          <w:color w:val="231F20"/>
        </w:rPr>
        <w:t>other forms of  surveillance. The  collection of deidentified data due to personal information privacy issues slows investigations of  positive</w:t>
      </w:r>
      <w:r>
        <w:rPr>
          <w:color w:val="231F20"/>
          <w:spacing w:val="-18"/>
        </w:rPr>
        <w:t> </w:t>
      </w:r>
      <w:r>
        <w:rPr>
          <w:color w:val="231F20"/>
        </w:rPr>
        <w:t>signals.</w:t>
      </w:r>
    </w:p>
    <w:p>
      <w:pPr>
        <w:spacing w:line="290" w:lineRule="auto" w:before="189"/>
        <w:ind w:left="341" w:right="708" w:firstLine="0"/>
        <w:jc w:val="left"/>
        <w:rPr>
          <w:rFonts w:ascii="Arial"/>
          <w:sz w:val="18"/>
        </w:rPr>
      </w:pPr>
      <w:r>
        <w:rPr>
          <w:rFonts w:ascii="Arial"/>
          <w:color w:val="00A94F"/>
          <w:sz w:val="18"/>
        </w:rPr>
        <w:t>Practices for Improving Syndromic Surveillance (4.4.9)</w:t>
      </w:r>
    </w:p>
    <w:p>
      <w:pPr>
        <w:pStyle w:val="BodyText"/>
        <w:spacing w:line="266" w:lineRule="auto"/>
        <w:ind w:left="341" w:right="653"/>
      </w:pPr>
      <w:r>
        <w:rPr>
          <w:color w:val="231F20"/>
          <w:w w:val="105"/>
        </w:rPr>
        <w:t>Because the usefulness of syndromic </w:t>
      </w:r>
      <w:r>
        <w:rPr>
          <w:rFonts w:ascii="Times New Roman"/>
          <w:color w:val="231F20"/>
          <w:w w:val="105"/>
        </w:rPr>
        <w:t>surveillance for detecting foodborne disease events has not been demonstrated, the need </w:t>
      </w:r>
      <w:r>
        <w:rPr>
          <w:color w:val="231F20"/>
          <w:w w:val="105"/>
        </w:rPr>
        <w:t>for additional investment is not clear, especially if these systems compete for resources with under-resourced standard surveillance systems. To improve a syndromic surveillance system, however, it might be useful to integrate the system with standard surveillance systems and corroborate findings using data from multiple sources. Fine-tuning algorithms used to signal an alert also might reduce false-positive signals.</w:t>
      </w:r>
    </w:p>
    <w:p>
      <w:pPr>
        <w:spacing w:after="0" w:line="266" w:lineRule="auto"/>
        <w:sectPr>
          <w:type w:val="continuous"/>
          <w:pgSz w:w="10080" w:h="14400"/>
          <w:pgMar w:top="0" w:bottom="360" w:left="0" w:right="0"/>
          <w:cols w:num="2" w:equalWidth="0">
            <w:col w:w="5199" w:space="40"/>
            <w:col w:w="4841"/>
          </w:cols>
        </w:sectPr>
      </w:pPr>
    </w:p>
    <w:p>
      <w:pPr>
        <w:pStyle w:val="BodyText"/>
        <w:spacing w:before="8"/>
        <w:rPr>
          <w:sz w:val="26"/>
        </w:rPr>
      </w:pPr>
    </w:p>
    <w:p>
      <w:pPr>
        <w:pStyle w:val="Heading1"/>
        <w:spacing w:line="249" w:lineRule="auto"/>
        <w:ind w:left="720" w:right="3300"/>
      </w:pPr>
      <w:r>
        <w:rPr/>
        <w:pict>
          <v:line style="position:absolute;mso-position-horizontal-relative:page;mso-position-vertical-relative:paragraph;z-index:2968;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2992" filled="true" fillcolor="#0079c1" stroked="false">
            <v:fill type="solid"/>
            <w10:wrap type="none"/>
          </v:rect>
        </w:pict>
      </w:r>
      <w:r>
        <w:rPr/>
        <w:pict>
          <v:line style="position:absolute;mso-position-horizontal-relative:page;mso-position-vertical-relative:paragraph;z-index:3016"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304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3064"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before="110"/>
        <w:ind w:left="720"/>
        <w:rPr>
          <w:rFonts w:ascii="Arial"/>
        </w:rPr>
      </w:pPr>
      <w:r>
        <w:rPr>
          <w:rFonts w:ascii="Arial"/>
          <w:color w:val="1C3E94"/>
        </w:rPr>
        <w:t>Introduction (Section 5.0)</w:t>
      </w:r>
    </w:p>
    <w:p>
      <w:pPr>
        <w:pStyle w:val="BodyText"/>
        <w:spacing w:before="7"/>
        <w:rPr>
          <w:rFonts w:ascii="Arial"/>
          <w:sz w:val="18"/>
        </w:rPr>
      </w:pPr>
    </w:p>
    <w:p>
      <w:pPr>
        <w:pStyle w:val="BodyText"/>
        <w:spacing w:line="266" w:lineRule="auto" w:before="1"/>
        <w:ind w:left="720" w:right="324"/>
      </w:pPr>
      <w:r>
        <w:rPr>
          <w:color w:val="231F20"/>
        </w:rPr>
        <w:t>Foodborne disease outbreaks are detected  </w:t>
      </w:r>
      <w:r>
        <w:rPr>
          <w:color w:val="231F20"/>
          <w:spacing w:val="-3"/>
        </w:rPr>
        <w:t>by </w:t>
      </w:r>
      <w:r>
        <w:rPr>
          <w:color w:val="231F20"/>
        </w:rPr>
        <w:t>recognition of similar illnesses among persons with a common exposure that leads to a complaint or notification of health officials, or </w:t>
      </w:r>
      <w:r>
        <w:rPr>
          <w:color w:val="231F20"/>
          <w:spacing w:val="-3"/>
        </w:rPr>
        <w:t>by </w:t>
      </w:r>
      <w:r>
        <w:rPr>
          <w:color w:val="231F20"/>
        </w:rPr>
        <w:t>identification of case clusters through  pathogen-specific</w:t>
      </w:r>
      <w:r>
        <w:rPr>
          <w:color w:val="231F20"/>
          <w:spacing w:val="33"/>
        </w:rPr>
        <w:t> </w:t>
      </w:r>
      <w:r>
        <w:rPr>
          <w:color w:val="231F20"/>
        </w:rPr>
        <w:t>surveillance.</w:t>
      </w:r>
    </w:p>
    <w:p>
      <w:pPr>
        <w:pStyle w:val="BodyText"/>
        <w:spacing w:line="266" w:lineRule="auto"/>
        <w:ind w:left="720" w:right="-14"/>
      </w:pPr>
      <w:r>
        <w:rPr>
          <w:color w:val="231F20"/>
          <w:w w:val="105"/>
        </w:rPr>
        <w:t>Outbreaks identified through pathogen- specific surveillance are initially recognized as clusters of cases defined </w:t>
      </w:r>
      <w:r>
        <w:rPr>
          <w:color w:val="231F20"/>
          <w:spacing w:val="-3"/>
          <w:w w:val="105"/>
        </w:rPr>
        <w:t>by </w:t>
      </w:r>
      <w:r>
        <w:rPr>
          <w:color w:val="231F20"/>
          <w:w w:val="105"/>
        </w:rPr>
        <w:t>pathogen subtype characteristics. The distribution of these cases </w:t>
      </w:r>
      <w:r>
        <w:rPr>
          <w:color w:val="231F20"/>
          <w:spacing w:val="-3"/>
          <w:w w:val="105"/>
        </w:rPr>
        <w:t>by </w:t>
      </w:r>
      <w:r>
        <w:rPr>
          <w:color w:val="231F20"/>
          <w:w w:val="105"/>
        </w:rPr>
        <w:t>time, space, and personal characteristics provide clues about whether the cases are likely</w:t>
      </w:r>
      <w:r>
        <w:rPr>
          <w:color w:val="231F20"/>
          <w:spacing w:val="-12"/>
          <w:w w:val="105"/>
        </w:rPr>
        <w:t> </w:t>
      </w:r>
      <w:r>
        <w:rPr>
          <w:color w:val="231F20"/>
          <w:w w:val="105"/>
        </w:rPr>
        <w:t>to</w:t>
      </w:r>
      <w:r>
        <w:rPr>
          <w:color w:val="231F20"/>
          <w:spacing w:val="-12"/>
          <w:w w:val="105"/>
        </w:rPr>
        <w:t> </w:t>
      </w:r>
      <w:r>
        <w:rPr>
          <w:color w:val="231F20"/>
          <w:w w:val="105"/>
        </w:rPr>
        <w:t>represent</w:t>
      </w:r>
      <w:r>
        <w:rPr>
          <w:color w:val="231F20"/>
          <w:spacing w:val="-12"/>
          <w:w w:val="105"/>
        </w:rPr>
        <w:t> </w:t>
      </w:r>
      <w:r>
        <w:rPr>
          <w:color w:val="231F20"/>
          <w:w w:val="105"/>
        </w:rPr>
        <w:t>an</w:t>
      </w:r>
      <w:r>
        <w:rPr>
          <w:color w:val="231F20"/>
          <w:spacing w:val="-12"/>
          <w:w w:val="105"/>
        </w:rPr>
        <w:t> </w:t>
      </w:r>
      <w:r>
        <w:rPr>
          <w:color w:val="231F20"/>
          <w:w w:val="105"/>
        </w:rPr>
        <w:t>outbreak</w:t>
      </w:r>
      <w:r>
        <w:rPr>
          <w:color w:val="231F20"/>
          <w:spacing w:val="-12"/>
          <w:w w:val="105"/>
        </w:rPr>
        <w:t> </w:t>
      </w:r>
      <w:r>
        <w:rPr>
          <w:color w:val="231F20"/>
          <w:w w:val="105"/>
        </w:rPr>
        <w:t>from</w:t>
      </w:r>
      <w:r>
        <w:rPr>
          <w:color w:val="231F20"/>
          <w:spacing w:val="-12"/>
          <w:w w:val="105"/>
        </w:rPr>
        <w:t> </w:t>
      </w:r>
      <w:r>
        <w:rPr>
          <w:color w:val="231F20"/>
          <w:w w:val="105"/>
        </w:rPr>
        <w:t>a</w:t>
      </w:r>
      <w:r>
        <w:rPr>
          <w:color w:val="231F20"/>
          <w:spacing w:val="-12"/>
          <w:w w:val="105"/>
        </w:rPr>
        <w:t> </w:t>
      </w:r>
      <w:r>
        <w:rPr>
          <w:color w:val="231F20"/>
          <w:w w:val="105"/>
        </w:rPr>
        <w:t>common source of exposure. Only a systematic investigation can confirm whether the cluster actually is an</w:t>
      </w:r>
      <w:r>
        <w:rPr>
          <w:color w:val="231F20"/>
          <w:spacing w:val="3"/>
          <w:w w:val="105"/>
        </w:rPr>
        <w:t> </w:t>
      </w:r>
      <w:r>
        <w:rPr>
          <w:color w:val="231F20"/>
          <w:w w:val="105"/>
        </w:rPr>
        <w:t>outbreak.</w:t>
      </w:r>
    </w:p>
    <w:p>
      <w:pPr>
        <w:pStyle w:val="BodyText"/>
        <w:spacing w:line="264" w:lineRule="auto" w:before="180"/>
        <w:ind w:left="720" w:right="224"/>
      </w:pPr>
      <w:r>
        <w:rPr>
          <w:color w:val="231F20"/>
          <w:w w:val="105"/>
        </w:rPr>
        <w:t>Because many agents transmitted </w:t>
      </w:r>
      <w:r>
        <w:rPr>
          <w:color w:val="231F20"/>
          <w:spacing w:val="-3"/>
          <w:w w:val="105"/>
        </w:rPr>
        <w:t>by </w:t>
      </w:r>
      <w:r>
        <w:rPr>
          <w:color w:val="231F20"/>
          <w:w w:val="105"/>
        </w:rPr>
        <w:t>food also can be transmitted </w:t>
      </w:r>
      <w:r>
        <w:rPr>
          <w:color w:val="231F20"/>
          <w:spacing w:val="-3"/>
          <w:w w:val="105"/>
        </w:rPr>
        <w:t>by </w:t>
      </w:r>
      <w:r>
        <w:rPr>
          <w:color w:val="231F20"/>
          <w:w w:val="105"/>
        </w:rPr>
        <w:t>water and from </w:t>
      </w:r>
      <w:r>
        <w:rPr>
          <w:rFonts w:ascii="Times New Roman"/>
          <w:color w:val="231F20"/>
          <w:w w:val="105"/>
        </w:rPr>
        <w:t>person</w:t>
      </w:r>
      <w:r>
        <w:rPr>
          <w:rFonts w:ascii="Times New Roman"/>
          <w:color w:val="231F20"/>
          <w:spacing w:val="-19"/>
          <w:w w:val="105"/>
        </w:rPr>
        <w:t> </w:t>
      </w:r>
      <w:r>
        <w:rPr>
          <w:rFonts w:ascii="Times New Roman"/>
          <w:color w:val="231F20"/>
          <w:w w:val="105"/>
        </w:rPr>
        <w:t>to</w:t>
      </w:r>
      <w:r>
        <w:rPr>
          <w:rFonts w:ascii="Times New Roman"/>
          <w:color w:val="231F20"/>
          <w:spacing w:val="-19"/>
          <w:w w:val="105"/>
        </w:rPr>
        <w:t> </w:t>
      </w:r>
      <w:r>
        <w:rPr>
          <w:rFonts w:ascii="Times New Roman"/>
          <w:color w:val="231F20"/>
          <w:w w:val="105"/>
        </w:rPr>
        <w:t>person,</w:t>
      </w:r>
      <w:r>
        <w:rPr>
          <w:rFonts w:ascii="Times New Roman"/>
          <w:color w:val="231F20"/>
          <w:spacing w:val="-19"/>
          <w:w w:val="105"/>
        </w:rPr>
        <w:t> </w:t>
      </w:r>
      <w:r>
        <w:rPr>
          <w:rFonts w:ascii="Times New Roman"/>
          <w:color w:val="231F20"/>
          <w:w w:val="105"/>
        </w:rPr>
        <w:t>animal</w:t>
      </w:r>
      <w:r>
        <w:rPr>
          <w:rFonts w:ascii="Times New Roman"/>
          <w:color w:val="231F20"/>
          <w:spacing w:val="-19"/>
          <w:w w:val="105"/>
        </w:rPr>
        <w:t> </w:t>
      </w:r>
      <w:r>
        <w:rPr>
          <w:rFonts w:ascii="Times New Roman"/>
          <w:color w:val="231F20"/>
          <w:w w:val="105"/>
        </w:rPr>
        <w:t>to</w:t>
      </w:r>
      <w:r>
        <w:rPr>
          <w:rFonts w:ascii="Times New Roman"/>
          <w:color w:val="231F20"/>
          <w:spacing w:val="-19"/>
          <w:w w:val="105"/>
        </w:rPr>
        <w:t> </w:t>
      </w:r>
      <w:r>
        <w:rPr>
          <w:rFonts w:ascii="Times New Roman"/>
          <w:color w:val="231F20"/>
          <w:w w:val="105"/>
        </w:rPr>
        <w:t>person,</w:t>
      </w:r>
      <w:r>
        <w:rPr>
          <w:rFonts w:ascii="Times New Roman"/>
          <w:color w:val="231F20"/>
          <w:spacing w:val="-19"/>
          <w:w w:val="105"/>
        </w:rPr>
        <w:t> </w:t>
      </w:r>
      <w:r>
        <w:rPr>
          <w:rFonts w:ascii="Times New Roman"/>
          <w:color w:val="231F20"/>
          <w:w w:val="105"/>
        </w:rPr>
        <w:t>or</w:t>
      </w:r>
      <w:r>
        <w:rPr>
          <w:rFonts w:ascii="Times New Roman"/>
          <w:color w:val="231F20"/>
          <w:spacing w:val="-19"/>
          <w:w w:val="105"/>
        </w:rPr>
        <w:t> </w:t>
      </w:r>
      <w:r>
        <w:rPr>
          <w:rFonts w:ascii="Times New Roman"/>
          <w:color w:val="231F20"/>
          <w:w w:val="105"/>
        </w:rPr>
        <w:t>other </w:t>
      </w:r>
      <w:r>
        <w:rPr>
          <w:color w:val="231F20"/>
          <w:w w:val="105"/>
        </w:rPr>
        <w:t>mechanisms,</w:t>
      </w:r>
      <w:r>
        <w:rPr>
          <w:color w:val="231F20"/>
          <w:spacing w:val="-18"/>
          <w:w w:val="105"/>
        </w:rPr>
        <w:t> </w:t>
      </w:r>
      <w:r>
        <w:rPr>
          <w:color w:val="231F20"/>
          <w:w w:val="105"/>
        </w:rPr>
        <w:t>when</w:t>
      </w:r>
      <w:r>
        <w:rPr>
          <w:color w:val="231F20"/>
          <w:spacing w:val="-18"/>
          <w:w w:val="105"/>
        </w:rPr>
        <w:t> </w:t>
      </w:r>
      <w:r>
        <w:rPr>
          <w:color w:val="231F20"/>
          <w:w w:val="105"/>
        </w:rPr>
        <w:t>a</w:t>
      </w:r>
      <w:r>
        <w:rPr>
          <w:color w:val="231F20"/>
          <w:spacing w:val="-18"/>
          <w:w w:val="105"/>
        </w:rPr>
        <w:t> </w:t>
      </w:r>
      <w:r>
        <w:rPr>
          <w:color w:val="231F20"/>
          <w:w w:val="105"/>
        </w:rPr>
        <w:t>potential</w:t>
      </w:r>
      <w:r>
        <w:rPr>
          <w:color w:val="231F20"/>
          <w:spacing w:val="-18"/>
          <w:w w:val="105"/>
        </w:rPr>
        <w:t> </w:t>
      </w:r>
      <w:r>
        <w:rPr>
          <w:color w:val="231F20"/>
          <w:w w:val="105"/>
        </w:rPr>
        <w:t>foodborne</w:t>
      </w:r>
    </w:p>
    <w:p>
      <w:pPr>
        <w:pStyle w:val="BodyText"/>
        <w:spacing w:line="268" w:lineRule="auto"/>
        <w:ind w:left="720" w:right="23"/>
      </w:pPr>
      <w:r>
        <w:rPr>
          <w:rFonts w:ascii="Times New Roman"/>
          <w:color w:val="231F20"/>
        </w:rPr>
        <w:t>disease</w:t>
      </w:r>
      <w:r>
        <w:rPr>
          <w:rFonts w:ascii="Times New Roman"/>
          <w:color w:val="231F20"/>
          <w:spacing w:val="-12"/>
        </w:rPr>
        <w:t> </w:t>
      </w:r>
      <w:r>
        <w:rPr>
          <w:rFonts w:ascii="Times New Roman"/>
          <w:color w:val="231F20"/>
        </w:rPr>
        <w:t>outbreak</w:t>
      </w:r>
      <w:r>
        <w:rPr>
          <w:rFonts w:ascii="Times New Roman"/>
          <w:color w:val="231F20"/>
          <w:spacing w:val="-13"/>
        </w:rPr>
        <w:t> </w:t>
      </w:r>
      <w:r>
        <w:rPr>
          <w:rFonts w:ascii="Times New Roman"/>
          <w:color w:val="231F20"/>
        </w:rPr>
        <w:t>is</w:t>
      </w:r>
      <w:r>
        <w:rPr>
          <w:rFonts w:ascii="Times New Roman"/>
          <w:color w:val="231F20"/>
          <w:spacing w:val="-13"/>
        </w:rPr>
        <w:t> </w:t>
      </w:r>
      <w:r>
        <w:rPr>
          <w:rFonts w:ascii="Times New Roman"/>
          <w:color w:val="231F20"/>
        </w:rPr>
        <w:t>detected,</w:t>
      </w:r>
      <w:r>
        <w:rPr>
          <w:rFonts w:ascii="Times New Roman"/>
          <w:color w:val="231F20"/>
          <w:spacing w:val="-12"/>
        </w:rPr>
        <w:t> </w:t>
      </w:r>
      <w:r>
        <w:rPr>
          <w:rFonts w:ascii="Times New Roman"/>
          <w:color w:val="231F20"/>
        </w:rPr>
        <w:t>investigators</w:t>
      </w:r>
      <w:r>
        <w:rPr>
          <w:rFonts w:ascii="Times New Roman"/>
          <w:color w:val="231F20"/>
          <w:spacing w:val="-13"/>
        </w:rPr>
        <w:t> </w:t>
      </w:r>
      <w:r>
        <w:rPr>
          <w:rFonts w:ascii="Times New Roman"/>
          <w:color w:val="231F20"/>
        </w:rPr>
        <w:t>must keep an open mind and not rule out other </w:t>
      </w:r>
      <w:r>
        <w:rPr>
          <w:color w:val="231F20"/>
        </w:rPr>
        <w:t>causes </w:t>
      </w:r>
      <w:r>
        <w:rPr>
          <w:color w:val="231F20"/>
          <w:spacing w:val="29"/>
        </w:rPr>
        <w:t> </w:t>
      </w:r>
      <w:r>
        <w:rPr>
          <w:color w:val="231F20"/>
          <w:spacing w:val="-3"/>
        </w:rPr>
        <w:t>prematurely.</w:t>
      </w:r>
    </w:p>
    <w:p>
      <w:pPr>
        <w:pStyle w:val="BodyText"/>
        <w:spacing w:line="261" w:lineRule="auto" w:before="174"/>
        <w:ind w:left="720"/>
        <w:rPr>
          <w:rFonts w:ascii="Arial"/>
        </w:rPr>
      </w:pPr>
      <w:r>
        <w:rPr>
          <w:rFonts w:ascii="Arial"/>
          <w:color w:val="1C3E94"/>
        </w:rPr>
        <w:t>Characteristics of Outbreak Investigations (Section 5.1)</w:t>
      </w:r>
    </w:p>
    <w:p>
      <w:pPr>
        <w:pStyle w:val="BodyText"/>
        <w:spacing w:before="2"/>
        <w:rPr>
          <w:rFonts w:ascii="Arial"/>
          <w:sz w:val="17"/>
        </w:rPr>
      </w:pPr>
    </w:p>
    <w:p>
      <w:pPr>
        <w:pStyle w:val="BodyText"/>
        <w:spacing w:line="271" w:lineRule="auto"/>
        <w:ind w:left="720" w:right="95"/>
      </w:pPr>
      <w:r>
        <w:rPr>
          <w:rFonts w:ascii="Arial"/>
          <w:color w:val="00A94F"/>
          <w:w w:val="105"/>
          <w:sz w:val="18"/>
        </w:rPr>
        <w:t>Importance of Speed and Accuracy (5.1.1) </w:t>
      </w:r>
      <w:r>
        <w:rPr>
          <w:color w:val="231F20"/>
          <w:w w:val="105"/>
        </w:rPr>
        <w:t>Speed and accuracy are the two key qualities of all outbreak investigations. One cannot be sacrificed for the other. Speed and accuracy can help public health officials:</w:t>
      </w:r>
    </w:p>
    <w:p>
      <w:pPr>
        <w:pStyle w:val="ListParagraph"/>
        <w:numPr>
          <w:ilvl w:val="0"/>
          <w:numId w:val="4"/>
        </w:numPr>
        <w:tabs>
          <w:tab w:pos="891" w:val="left" w:leader="none"/>
        </w:tabs>
        <w:spacing w:line="266" w:lineRule="auto" w:before="175" w:after="0"/>
        <w:ind w:left="890" w:right="583" w:hanging="170"/>
        <w:jc w:val="left"/>
        <w:rPr>
          <w:sz w:val="20"/>
        </w:rPr>
      </w:pPr>
      <w:r>
        <w:rPr>
          <w:color w:val="231F20"/>
          <w:w w:val="105"/>
          <w:sz w:val="20"/>
        </w:rPr>
        <w:t>Stop an outbreak quickly and</w:t>
      </w:r>
      <w:r>
        <w:rPr>
          <w:color w:val="231F20"/>
          <w:spacing w:val="-33"/>
          <w:w w:val="105"/>
          <w:sz w:val="20"/>
        </w:rPr>
        <w:t> </w:t>
      </w:r>
      <w:r>
        <w:rPr>
          <w:color w:val="231F20"/>
          <w:w w:val="105"/>
          <w:sz w:val="20"/>
        </w:rPr>
        <w:t>prevent additional</w:t>
      </w:r>
      <w:r>
        <w:rPr>
          <w:color w:val="231F20"/>
          <w:spacing w:val="-20"/>
          <w:w w:val="105"/>
          <w:sz w:val="20"/>
        </w:rPr>
        <w:t> </w:t>
      </w:r>
      <w:r>
        <w:rPr>
          <w:color w:val="231F20"/>
          <w:w w:val="105"/>
          <w:sz w:val="20"/>
        </w:rPr>
        <w:t>illnesses;</w:t>
      </w:r>
    </w:p>
    <w:p>
      <w:pPr>
        <w:pStyle w:val="ListParagraph"/>
        <w:numPr>
          <w:ilvl w:val="0"/>
          <w:numId w:val="4"/>
        </w:numPr>
        <w:tabs>
          <w:tab w:pos="891" w:val="left" w:leader="none"/>
        </w:tabs>
        <w:spacing w:line="264" w:lineRule="auto" w:before="90" w:after="0"/>
        <w:ind w:left="890" w:right="370" w:hanging="170"/>
        <w:jc w:val="left"/>
        <w:rPr>
          <w:sz w:val="20"/>
        </w:rPr>
      </w:pPr>
      <w:r>
        <w:rPr>
          <w:color w:val="231F20"/>
          <w:w w:val="105"/>
          <w:sz w:val="20"/>
        </w:rPr>
        <w:t>Prevent future outbreaks </w:t>
      </w:r>
      <w:r>
        <w:rPr>
          <w:color w:val="231F20"/>
          <w:spacing w:val="-3"/>
          <w:w w:val="105"/>
          <w:sz w:val="20"/>
        </w:rPr>
        <w:t>by </w:t>
      </w:r>
      <w:r>
        <w:rPr>
          <w:color w:val="231F20"/>
          <w:w w:val="105"/>
          <w:sz w:val="20"/>
        </w:rPr>
        <w:t>identifying </w:t>
      </w:r>
      <w:r>
        <w:rPr>
          <w:rFonts w:ascii="Times New Roman"/>
          <w:color w:val="231F20"/>
          <w:w w:val="105"/>
          <w:sz w:val="20"/>
        </w:rPr>
        <w:t>the</w:t>
      </w:r>
      <w:r>
        <w:rPr>
          <w:rFonts w:ascii="Times New Roman"/>
          <w:color w:val="231F20"/>
          <w:spacing w:val="-23"/>
          <w:w w:val="105"/>
          <w:sz w:val="20"/>
        </w:rPr>
        <w:t> </w:t>
      </w:r>
      <w:r>
        <w:rPr>
          <w:rFonts w:ascii="Times New Roman"/>
          <w:color w:val="231F20"/>
          <w:w w:val="105"/>
          <w:sz w:val="20"/>
        </w:rPr>
        <w:t>circumstances</w:t>
      </w:r>
      <w:r>
        <w:rPr>
          <w:rFonts w:ascii="Times New Roman"/>
          <w:color w:val="231F20"/>
          <w:spacing w:val="-22"/>
          <w:w w:val="105"/>
          <w:sz w:val="20"/>
        </w:rPr>
        <w:t> </w:t>
      </w:r>
      <w:r>
        <w:rPr>
          <w:rFonts w:ascii="Times New Roman"/>
          <w:color w:val="231F20"/>
          <w:w w:val="105"/>
          <w:sz w:val="20"/>
        </w:rPr>
        <w:t>that</w:t>
      </w:r>
      <w:r>
        <w:rPr>
          <w:rFonts w:ascii="Times New Roman"/>
          <w:color w:val="231F20"/>
          <w:spacing w:val="-22"/>
          <w:w w:val="105"/>
          <w:sz w:val="20"/>
        </w:rPr>
        <w:t> </w:t>
      </w:r>
      <w:r>
        <w:rPr>
          <w:rFonts w:ascii="Times New Roman"/>
          <w:color w:val="231F20"/>
          <w:w w:val="105"/>
          <w:sz w:val="20"/>
        </w:rPr>
        <w:t>led</w:t>
      </w:r>
      <w:r>
        <w:rPr>
          <w:rFonts w:ascii="Times New Roman"/>
          <w:color w:val="231F20"/>
          <w:spacing w:val="-23"/>
          <w:w w:val="105"/>
          <w:sz w:val="20"/>
        </w:rPr>
        <w:t> </w:t>
      </w:r>
      <w:r>
        <w:rPr>
          <w:rFonts w:ascii="Times New Roman"/>
          <w:color w:val="231F20"/>
          <w:w w:val="105"/>
          <w:sz w:val="20"/>
        </w:rPr>
        <w:t>to</w:t>
      </w:r>
      <w:r>
        <w:rPr>
          <w:rFonts w:ascii="Times New Roman"/>
          <w:color w:val="231F20"/>
          <w:spacing w:val="-23"/>
          <w:w w:val="105"/>
          <w:sz w:val="20"/>
        </w:rPr>
        <w:t> </w:t>
      </w:r>
      <w:r>
        <w:rPr>
          <w:rFonts w:ascii="Times New Roman"/>
          <w:color w:val="231F20"/>
          <w:w w:val="105"/>
          <w:sz w:val="20"/>
        </w:rPr>
        <w:t>the</w:t>
      </w:r>
      <w:r>
        <w:rPr>
          <w:rFonts w:ascii="Times New Roman"/>
          <w:color w:val="231F20"/>
          <w:spacing w:val="-23"/>
          <w:w w:val="105"/>
          <w:sz w:val="20"/>
        </w:rPr>
        <w:t> </w:t>
      </w:r>
      <w:r>
        <w:rPr>
          <w:rFonts w:ascii="Times New Roman"/>
          <w:color w:val="231F20"/>
          <w:w w:val="105"/>
          <w:sz w:val="20"/>
        </w:rPr>
        <w:t>current </w:t>
      </w:r>
      <w:r>
        <w:rPr>
          <w:color w:val="231F20"/>
          <w:w w:val="105"/>
          <w:sz w:val="20"/>
        </w:rPr>
        <w:t>outbreak;</w:t>
      </w:r>
    </w:p>
    <w:p>
      <w:pPr>
        <w:pStyle w:val="ListParagraph"/>
        <w:numPr>
          <w:ilvl w:val="0"/>
          <w:numId w:val="4"/>
        </w:numPr>
        <w:tabs>
          <w:tab w:pos="891" w:val="left" w:leader="none"/>
        </w:tabs>
        <w:spacing w:line="264" w:lineRule="auto" w:before="92" w:after="0"/>
        <w:ind w:left="890" w:right="142" w:hanging="170"/>
        <w:jc w:val="left"/>
        <w:rPr>
          <w:sz w:val="20"/>
        </w:rPr>
      </w:pPr>
      <w:r>
        <w:rPr>
          <w:color w:val="231F20"/>
          <w:sz w:val="20"/>
        </w:rPr>
        <w:t>Identify  new  hazards,  including  new agents, new food vehicles, new agent–food </w:t>
      </w:r>
      <w:r>
        <w:rPr>
          <w:rFonts w:ascii="Times New Roman" w:hAnsi="Times New Roman"/>
          <w:color w:val="231F20"/>
          <w:sz w:val="20"/>
        </w:rPr>
        <w:t>interactions, and other unsuspected gaps in </w:t>
      </w:r>
      <w:r>
        <w:rPr>
          <w:color w:val="231F20"/>
          <w:sz w:val="20"/>
        </w:rPr>
        <w:t>the food-safety</w:t>
      </w:r>
      <w:r>
        <w:rPr>
          <w:color w:val="231F20"/>
          <w:spacing w:val="16"/>
          <w:sz w:val="20"/>
        </w:rPr>
        <w:t> </w:t>
      </w:r>
      <w:r>
        <w:rPr>
          <w:color w:val="231F20"/>
          <w:sz w:val="20"/>
        </w:rPr>
        <w:t>system;</w:t>
      </w:r>
    </w:p>
    <w:p>
      <w:pPr>
        <w:pStyle w:val="ListParagraph"/>
        <w:numPr>
          <w:ilvl w:val="0"/>
          <w:numId w:val="2"/>
        </w:numPr>
        <w:tabs>
          <w:tab w:pos="504" w:val="left" w:leader="none"/>
        </w:tabs>
        <w:spacing w:line="266" w:lineRule="auto" w:before="108" w:after="0"/>
        <w:ind w:left="503" w:right="1518" w:hanging="171"/>
        <w:jc w:val="left"/>
        <w:rPr>
          <w:sz w:val="20"/>
        </w:rPr>
      </w:pPr>
      <w:r>
        <w:rPr>
          <w:color w:val="231F20"/>
          <w:w w:val="108"/>
          <w:sz w:val="20"/>
        </w:rPr>
        <w:br w:type="column"/>
      </w:r>
      <w:r>
        <w:rPr>
          <w:color w:val="231F20"/>
          <w:w w:val="105"/>
          <w:sz w:val="20"/>
        </w:rPr>
        <w:t>Maintain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public’s</w:t>
      </w:r>
      <w:r>
        <w:rPr>
          <w:color w:val="231F20"/>
          <w:spacing w:val="-13"/>
          <w:w w:val="105"/>
          <w:sz w:val="20"/>
        </w:rPr>
        <w:t> </w:t>
      </w:r>
      <w:r>
        <w:rPr>
          <w:color w:val="231F20"/>
          <w:w w:val="105"/>
          <w:sz w:val="20"/>
        </w:rPr>
        <w:t>confidence</w:t>
      </w:r>
      <w:r>
        <w:rPr>
          <w:color w:val="231F20"/>
          <w:spacing w:val="-13"/>
          <w:w w:val="105"/>
          <w:sz w:val="20"/>
        </w:rPr>
        <w:t> </w:t>
      </w:r>
      <w:r>
        <w:rPr>
          <w:color w:val="231F20"/>
          <w:w w:val="105"/>
          <w:sz w:val="20"/>
        </w:rPr>
        <w:t>in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food supply and in the public health system;</w:t>
      </w:r>
      <w:r>
        <w:rPr>
          <w:color w:val="231F20"/>
          <w:spacing w:val="-37"/>
          <w:w w:val="105"/>
          <w:sz w:val="20"/>
        </w:rPr>
        <w:t> </w:t>
      </w:r>
      <w:r>
        <w:rPr>
          <w:color w:val="231F20"/>
          <w:w w:val="105"/>
          <w:sz w:val="20"/>
        </w:rPr>
        <w:t>and</w:t>
      </w:r>
    </w:p>
    <w:p>
      <w:pPr>
        <w:pStyle w:val="ListParagraph"/>
        <w:numPr>
          <w:ilvl w:val="0"/>
          <w:numId w:val="2"/>
        </w:numPr>
        <w:tabs>
          <w:tab w:pos="504" w:val="left" w:leader="none"/>
        </w:tabs>
        <w:spacing w:line="266" w:lineRule="auto" w:before="90" w:after="0"/>
        <w:ind w:left="503" w:right="1721" w:hanging="171"/>
        <w:jc w:val="left"/>
        <w:rPr>
          <w:sz w:val="20"/>
        </w:rPr>
      </w:pPr>
      <w:r>
        <w:rPr>
          <w:color w:val="231F20"/>
          <w:sz w:val="20"/>
        </w:rPr>
        <w:t>Empower the public to protect itself from food-safety</w:t>
      </w:r>
      <w:r>
        <w:rPr>
          <w:color w:val="231F20"/>
          <w:spacing w:val="7"/>
          <w:sz w:val="20"/>
        </w:rPr>
        <w:t> </w:t>
      </w:r>
      <w:r>
        <w:rPr>
          <w:color w:val="231F20"/>
          <w:sz w:val="20"/>
        </w:rPr>
        <w:t>problems.</w:t>
      </w:r>
    </w:p>
    <w:p>
      <w:pPr>
        <w:spacing w:before="183"/>
        <w:ind w:left="332" w:right="0" w:firstLine="0"/>
        <w:jc w:val="left"/>
        <w:rPr>
          <w:rFonts w:ascii="Arial"/>
          <w:sz w:val="18"/>
        </w:rPr>
      </w:pPr>
      <w:r>
        <w:rPr>
          <w:rFonts w:ascii="Arial"/>
          <w:color w:val="00A94F"/>
          <w:sz w:val="18"/>
        </w:rPr>
        <w:t>Principles of Investigation (5.1.2)</w:t>
      </w:r>
    </w:p>
    <w:p>
      <w:pPr>
        <w:pStyle w:val="BodyText"/>
        <w:spacing w:line="266" w:lineRule="auto" w:before="24"/>
        <w:ind w:left="332" w:right="1583"/>
      </w:pPr>
      <w:r>
        <w:rPr>
          <w:rFonts w:ascii="Times New Roman"/>
          <w:color w:val="231F20"/>
        </w:rPr>
        <w:t>After a suspicious foodborne illness </w:t>
      </w:r>
      <w:r>
        <w:rPr>
          <w:color w:val="231F20"/>
        </w:rPr>
        <w:t>complaint associated with a particular event  </w:t>
      </w:r>
      <w:r>
        <w:rPr>
          <w:rFonts w:ascii="Times New Roman"/>
          <w:color w:val="231F20"/>
        </w:rPr>
        <w:t>or establishment is received or an unusual cluster of isolates is detected through </w:t>
      </w:r>
      <w:r>
        <w:rPr>
          <w:color w:val="231F20"/>
        </w:rPr>
        <w:t>pathogen-specific surveillance, a preliminary </w:t>
      </w:r>
      <w:r>
        <w:rPr>
          <w:rFonts w:ascii="Times New Roman"/>
          <w:color w:val="231F20"/>
        </w:rPr>
        <w:t>investigation should be conducted to </w:t>
      </w:r>
      <w:r>
        <w:rPr>
          <w:color w:val="231F20"/>
        </w:rPr>
        <w:t>determine whether the reported illnesses may be part of  an outbreak </w:t>
      </w:r>
      <w:r>
        <w:rPr>
          <w:color w:val="231F20"/>
          <w:spacing w:val="13"/>
        </w:rPr>
        <w:t> </w:t>
      </w:r>
      <w:r>
        <w:rPr>
          <w:color w:val="231F20"/>
        </w:rPr>
        <w:t>(5.1.2.1).</w:t>
      </w:r>
    </w:p>
    <w:p>
      <w:pPr>
        <w:pStyle w:val="BodyText"/>
        <w:spacing w:line="266" w:lineRule="auto" w:before="179"/>
        <w:ind w:left="332" w:right="1466"/>
      </w:pPr>
      <w:r>
        <w:rPr>
          <w:color w:val="231F20"/>
        </w:rPr>
        <w:t>During an investigation, the focus of activities may shift between laboratory studies; epidemiologic studies; regulatory investigations </w:t>
      </w:r>
      <w:r>
        <w:rPr>
          <w:rFonts w:ascii="Times New Roman"/>
          <w:color w:val="231F20"/>
        </w:rPr>
        <w:t>of food-production sources and distribution </w:t>
      </w:r>
      <w:r>
        <w:rPr>
          <w:color w:val="231F20"/>
        </w:rPr>
        <w:t>chains; environmental health assessments of </w:t>
      </w:r>
      <w:r>
        <w:rPr>
          <w:rFonts w:ascii="Times New Roman"/>
          <w:color w:val="231F20"/>
        </w:rPr>
        <w:t>food-production, -processing, and -service </w:t>
      </w:r>
      <w:r>
        <w:rPr>
          <w:color w:val="231F20"/>
        </w:rPr>
        <w:t>facilities; and communication of investigation findings to support control and prevention measures. Leadership of  an investigation should reflect the focus of  investigation activities </w:t>
      </w:r>
      <w:r>
        <w:rPr>
          <w:color w:val="231F20"/>
          <w:spacing w:val="2"/>
        </w:rPr>
        <w:t> </w:t>
      </w:r>
      <w:r>
        <w:rPr>
          <w:color w:val="231F20"/>
        </w:rPr>
        <w:t>(5.1.2.2).</w:t>
      </w:r>
    </w:p>
    <w:p>
      <w:pPr>
        <w:pStyle w:val="BodyText"/>
        <w:spacing w:line="266" w:lineRule="auto" w:before="165"/>
        <w:ind w:left="332" w:right="1552"/>
      </w:pPr>
      <w:r>
        <w:rPr>
          <w:rFonts w:ascii="Times New Roman"/>
          <w:color w:val="231F20"/>
        </w:rPr>
        <w:t>Maintaining close communication and coordination among epidemiologic, </w:t>
      </w:r>
      <w:r>
        <w:rPr>
          <w:color w:val="231F20"/>
        </w:rPr>
        <w:t>environmental health, and laboratory investigators is the best way to ensure that concurrent activities do not interfere with each </w:t>
      </w:r>
      <w:r>
        <w:rPr>
          <w:rFonts w:ascii="Times New Roman"/>
          <w:color w:val="231F20"/>
        </w:rPr>
        <w:t>other and important investigation steps are  </w:t>
      </w:r>
      <w:r>
        <w:rPr>
          <w:color w:val="231F20"/>
        </w:rPr>
        <w:t>not forgotten. A consistent point of </w:t>
      </w:r>
      <w:r>
        <w:rPr>
          <w:color w:val="231F20"/>
          <w:spacing w:val="6"/>
        </w:rPr>
        <w:t> </w:t>
      </w:r>
      <w:r>
        <w:rPr>
          <w:color w:val="231F20"/>
        </w:rPr>
        <w:t>contact</w:t>
      </w:r>
    </w:p>
    <w:p>
      <w:pPr>
        <w:pStyle w:val="BodyText"/>
        <w:spacing w:line="264" w:lineRule="auto"/>
        <w:ind w:left="332" w:right="1583"/>
      </w:pPr>
      <w:r>
        <w:rPr>
          <w:color w:val="231F20"/>
        </w:rPr>
        <w:t>for each investigation will help to avoid mixed </w:t>
      </w:r>
      <w:r>
        <w:rPr>
          <w:rFonts w:ascii="Times New Roman"/>
          <w:color w:val="231F20"/>
        </w:rPr>
        <w:t>messages and incomplete or misinformation </w:t>
      </w:r>
      <w:r>
        <w:rPr>
          <w:color w:val="231F20"/>
        </w:rPr>
        <w:t>(5.1.2.3).</w:t>
      </w:r>
    </w:p>
    <w:p>
      <w:pPr>
        <w:pStyle w:val="BodyText"/>
        <w:spacing w:line="259" w:lineRule="auto" w:before="182"/>
        <w:ind w:left="332" w:right="1797"/>
        <w:jc w:val="both"/>
        <w:rPr>
          <w:rFonts w:ascii="Times New Roman"/>
        </w:rPr>
      </w:pPr>
      <w:r>
        <w:rPr>
          <w:color w:val="231F20"/>
          <w:w w:val="105"/>
        </w:rPr>
        <w:t>Hypothesis generation should begin early in an outbreak investigation to narrow the </w:t>
      </w:r>
      <w:r>
        <w:rPr>
          <w:rFonts w:ascii="Times New Roman"/>
          <w:color w:val="231F20"/>
          <w:w w:val="105"/>
        </w:rPr>
        <w:t>focus</w:t>
      </w:r>
      <w:r>
        <w:rPr>
          <w:rFonts w:ascii="Times New Roman"/>
          <w:color w:val="231F20"/>
          <w:spacing w:val="-29"/>
          <w:w w:val="105"/>
        </w:rPr>
        <w:t> </w:t>
      </w:r>
      <w:r>
        <w:rPr>
          <w:rFonts w:ascii="Times New Roman"/>
          <w:color w:val="231F20"/>
          <w:w w:val="105"/>
        </w:rPr>
        <w:t>of</w:t>
      </w:r>
      <w:r>
        <w:rPr>
          <w:rFonts w:ascii="Times New Roman"/>
          <w:color w:val="231F20"/>
          <w:spacing w:val="-15"/>
          <w:w w:val="105"/>
        </w:rPr>
        <w:t> </w:t>
      </w:r>
      <w:r>
        <w:rPr>
          <w:rFonts w:ascii="Times New Roman"/>
          <w:color w:val="231F20"/>
          <w:w w:val="105"/>
        </w:rPr>
        <w:t>the</w:t>
      </w:r>
      <w:r>
        <w:rPr>
          <w:rFonts w:ascii="Times New Roman"/>
          <w:color w:val="231F20"/>
          <w:spacing w:val="-29"/>
          <w:w w:val="105"/>
        </w:rPr>
        <w:t> </w:t>
      </w:r>
      <w:r>
        <w:rPr>
          <w:rFonts w:ascii="Times New Roman"/>
          <w:color w:val="231F20"/>
          <w:w w:val="105"/>
        </w:rPr>
        <w:t>investigation</w:t>
      </w:r>
      <w:r>
        <w:rPr>
          <w:rFonts w:ascii="Times New Roman"/>
          <w:color w:val="231F20"/>
          <w:spacing w:val="-29"/>
          <w:w w:val="105"/>
        </w:rPr>
        <w:t> </w:t>
      </w:r>
      <w:r>
        <w:rPr>
          <w:rFonts w:ascii="Times New Roman"/>
          <w:color w:val="231F20"/>
          <w:w w:val="105"/>
        </w:rPr>
        <w:t>and</w:t>
      </w:r>
      <w:r>
        <w:rPr>
          <w:rFonts w:ascii="Times New Roman"/>
          <w:color w:val="231F20"/>
          <w:spacing w:val="-29"/>
          <w:w w:val="105"/>
        </w:rPr>
        <w:t> </w:t>
      </w:r>
      <w:r>
        <w:rPr>
          <w:rFonts w:ascii="Times New Roman"/>
          <w:color w:val="231F20"/>
          <w:w w:val="105"/>
        </w:rPr>
        <w:t>use</w:t>
      </w:r>
      <w:r>
        <w:rPr>
          <w:rFonts w:ascii="Times New Roman"/>
          <w:color w:val="231F20"/>
          <w:spacing w:val="-29"/>
          <w:w w:val="105"/>
        </w:rPr>
        <w:t> </w:t>
      </w:r>
      <w:r>
        <w:rPr>
          <w:rFonts w:ascii="Times New Roman"/>
          <w:color w:val="231F20"/>
          <w:w w:val="105"/>
        </w:rPr>
        <w:t>time</w:t>
      </w:r>
      <w:r>
        <w:rPr>
          <w:rFonts w:ascii="Times New Roman"/>
          <w:color w:val="231F20"/>
          <w:spacing w:val="-29"/>
          <w:w w:val="105"/>
        </w:rPr>
        <w:t> </w:t>
      </w:r>
      <w:r>
        <w:rPr>
          <w:rFonts w:ascii="Times New Roman"/>
          <w:color w:val="231F20"/>
          <w:w w:val="105"/>
        </w:rPr>
        <w:t>and</w:t>
      </w:r>
    </w:p>
    <w:p>
      <w:pPr>
        <w:pStyle w:val="BodyText"/>
        <w:spacing w:line="266" w:lineRule="auto" w:before="16"/>
        <w:ind w:left="332" w:right="1434"/>
      </w:pPr>
      <w:r>
        <w:rPr>
          <w:color w:val="231F20"/>
          <w:w w:val="105"/>
        </w:rPr>
        <w:t>resources</w:t>
      </w:r>
      <w:r>
        <w:rPr>
          <w:color w:val="231F20"/>
          <w:spacing w:val="-25"/>
          <w:w w:val="105"/>
        </w:rPr>
        <w:t> </w:t>
      </w:r>
      <w:r>
        <w:rPr>
          <w:color w:val="231F20"/>
          <w:w w:val="105"/>
        </w:rPr>
        <w:t>most</w:t>
      </w:r>
      <w:r>
        <w:rPr>
          <w:color w:val="231F20"/>
          <w:spacing w:val="-25"/>
          <w:w w:val="105"/>
        </w:rPr>
        <w:t> </w:t>
      </w:r>
      <w:r>
        <w:rPr>
          <w:color w:val="231F20"/>
          <w:spacing w:val="-3"/>
          <w:w w:val="105"/>
        </w:rPr>
        <w:t>effectively.</w:t>
      </w:r>
      <w:r>
        <w:rPr>
          <w:color w:val="231F20"/>
          <w:spacing w:val="-25"/>
          <w:w w:val="105"/>
        </w:rPr>
        <w:t> </w:t>
      </w:r>
      <w:r>
        <w:rPr>
          <w:color w:val="231F20"/>
          <w:w w:val="105"/>
        </w:rPr>
        <w:t>As</w:t>
      </w:r>
      <w:r>
        <w:rPr>
          <w:color w:val="231F20"/>
          <w:spacing w:val="-25"/>
          <w:w w:val="105"/>
        </w:rPr>
        <w:t> </w:t>
      </w:r>
      <w:r>
        <w:rPr>
          <w:color w:val="231F20"/>
          <w:w w:val="105"/>
        </w:rPr>
        <w:t>more</w:t>
      </w:r>
      <w:r>
        <w:rPr>
          <w:color w:val="231F20"/>
          <w:spacing w:val="-25"/>
          <w:w w:val="105"/>
        </w:rPr>
        <w:t> </w:t>
      </w:r>
      <w:r>
        <w:rPr>
          <w:color w:val="231F20"/>
          <w:w w:val="105"/>
        </w:rPr>
        <w:t>information</w:t>
      </w:r>
      <w:r>
        <w:rPr>
          <w:color w:val="231F20"/>
          <w:w w:val="102"/>
        </w:rPr>
        <w:t> </w:t>
      </w:r>
      <w:r>
        <w:rPr>
          <w:color w:val="231F20"/>
          <w:w w:val="105"/>
        </w:rPr>
        <w:t>is obtained, hypotheses can be modified. </w:t>
      </w:r>
      <w:r>
        <w:rPr>
          <w:color w:val="231F20"/>
          <w:spacing w:val="-4"/>
          <w:w w:val="105"/>
        </w:rPr>
        <w:t>Key </w:t>
      </w:r>
      <w:r>
        <w:rPr>
          <w:color w:val="231F20"/>
          <w:w w:val="105"/>
        </w:rPr>
        <w:t>steps in hypothesis generation include the following:</w:t>
      </w:r>
    </w:p>
    <w:p>
      <w:pPr>
        <w:spacing w:after="0" w:line="266" w:lineRule="auto"/>
        <w:sectPr>
          <w:type w:val="continuous"/>
          <w:pgSz w:w="10080" w:h="14400"/>
          <w:pgMar w:top="0" w:bottom="360" w:left="0" w:right="0"/>
          <w:cols w:num="2" w:equalWidth="0">
            <w:col w:w="4488" w:space="40"/>
            <w:col w:w="5552"/>
          </w:cols>
        </w:sectPr>
      </w:pPr>
    </w:p>
    <w:p>
      <w:pPr>
        <w:pStyle w:val="BodyText"/>
        <w:spacing w:before="8"/>
        <w:rPr>
          <w:sz w:val="10"/>
        </w:rPr>
      </w:pPr>
    </w:p>
    <w:p>
      <w:pPr>
        <w:pStyle w:val="Heading1"/>
        <w:spacing w:line="249" w:lineRule="auto"/>
        <w:ind w:right="2580"/>
      </w:pPr>
      <w:r>
        <w:rPr/>
        <w:pict>
          <v:line style="position:absolute;mso-position-horizontal-relative:page;mso-position-vertical-relative:paragraph;z-index:3088;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3112" filled="true" fillcolor="#0079c1" stroked="false">
            <v:fill type="solid"/>
            <w10:wrap type="none"/>
          </v:rect>
        </w:pict>
      </w:r>
      <w:r>
        <w:rPr/>
        <w:pict>
          <v:line style="position:absolute;mso-position-horizontal-relative:page;mso-position-vertical-relative:paragraph;z-index:3136"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3160"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ListParagraph"/>
        <w:numPr>
          <w:ilvl w:val="1"/>
          <w:numId w:val="2"/>
        </w:numPr>
        <w:tabs>
          <w:tab w:pos="1611" w:val="left" w:leader="none"/>
        </w:tabs>
        <w:spacing w:line="266" w:lineRule="auto" w:before="108" w:after="0"/>
        <w:ind w:left="1610" w:right="190" w:hanging="170"/>
        <w:jc w:val="left"/>
        <w:rPr>
          <w:sz w:val="20"/>
        </w:rPr>
      </w:pPr>
      <w:r>
        <w:rPr>
          <w:color w:val="231F20"/>
          <w:w w:val="105"/>
          <w:sz w:val="20"/>
        </w:rPr>
        <w:t>Reviewing</w:t>
      </w:r>
      <w:r>
        <w:rPr>
          <w:color w:val="231F20"/>
          <w:spacing w:val="-22"/>
          <w:w w:val="105"/>
          <w:sz w:val="20"/>
        </w:rPr>
        <w:t> </w:t>
      </w:r>
      <w:r>
        <w:rPr>
          <w:color w:val="231F20"/>
          <w:w w:val="105"/>
          <w:sz w:val="20"/>
        </w:rPr>
        <w:t>previously</w:t>
      </w:r>
      <w:r>
        <w:rPr>
          <w:color w:val="231F20"/>
          <w:spacing w:val="-22"/>
          <w:w w:val="105"/>
          <w:sz w:val="20"/>
        </w:rPr>
        <w:t> </w:t>
      </w:r>
      <w:r>
        <w:rPr>
          <w:color w:val="231F20"/>
          <w:w w:val="105"/>
          <w:sz w:val="20"/>
        </w:rPr>
        <w:t>identified</w:t>
      </w:r>
      <w:r>
        <w:rPr>
          <w:color w:val="231F20"/>
          <w:spacing w:val="-22"/>
          <w:w w:val="105"/>
          <w:sz w:val="20"/>
        </w:rPr>
        <w:t> </w:t>
      </w:r>
      <w:r>
        <w:rPr>
          <w:color w:val="231F20"/>
          <w:w w:val="105"/>
          <w:sz w:val="20"/>
        </w:rPr>
        <w:t>risk</w:t>
      </w:r>
      <w:r>
        <w:rPr>
          <w:color w:val="231F20"/>
          <w:spacing w:val="-22"/>
          <w:w w:val="105"/>
          <w:sz w:val="20"/>
        </w:rPr>
        <w:t> </w:t>
      </w:r>
      <w:r>
        <w:rPr>
          <w:color w:val="231F20"/>
          <w:w w:val="105"/>
          <w:sz w:val="20"/>
        </w:rPr>
        <w:t>factors and</w:t>
      </w:r>
      <w:r>
        <w:rPr>
          <w:color w:val="231F20"/>
          <w:spacing w:val="-16"/>
          <w:w w:val="105"/>
          <w:sz w:val="20"/>
        </w:rPr>
        <w:t> </w:t>
      </w:r>
      <w:r>
        <w:rPr>
          <w:color w:val="231F20"/>
          <w:w w:val="105"/>
          <w:sz w:val="20"/>
        </w:rPr>
        <w:t>exposures</w:t>
      </w:r>
      <w:r>
        <w:rPr>
          <w:color w:val="231F20"/>
          <w:spacing w:val="-16"/>
          <w:w w:val="105"/>
          <w:sz w:val="20"/>
        </w:rPr>
        <w:t> </w:t>
      </w:r>
      <w:r>
        <w:rPr>
          <w:color w:val="231F20"/>
          <w:w w:val="105"/>
          <w:sz w:val="20"/>
        </w:rPr>
        <w:t>for</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disease;</w:t>
      </w:r>
    </w:p>
    <w:p>
      <w:pPr>
        <w:pStyle w:val="ListParagraph"/>
        <w:numPr>
          <w:ilvl w:val="1"/>
          <w:numId w:val="2"/>
        </w:numPr>
        <w:tabs>
          <w:tab w:pos="1611" w:val="left" w:leader="none"/>
        </w:tabs>
        <w:spacing w:line="266" w:lineRule="auto" w:before="90" w:after="0"/>
        <w:ind w:left="1610" w:right="329" w:hanging="170"/>
        <w:jc w:val="left"/>
        <w:rPr>
          <w:sz w:val="20"/>
        </w:rPr>
      </w:pPr>
      <w:r>
        <w:rPr>
          <w:color w:val="231F20"/>
          <w:w w:val="105"/>
          <w:sz w:val="20"/>
        </w:rPr>
        <w:t>Examining the descriptive epidemiology of</w:t>
      </w:r>
      <w:r>
        <w:rPr>
          <w:color w:val="231F20"/>
          <w:spacing w:val="10"/>
          <w:w w:val="105"/>
          <w:sz w:val="20"/>
        </w:rPr>
        <w:t> </w:t>
      </w:r>
      <w:r>
        <w:rPr>
          <w:color w:val="231F20"/>
          <w:w w:val="105"/>
          <w:sz w:val="20"/>
        </w:rPr>
        <w:t>cases</w:t>
      </w:r>
      <w:r>
        <w:rPr>
          <w:color w:val="231F20"/>
          <w:spacing w:val="-13"/>
          <w:w w:val="105"/>
          <w:sz w:val="20"/>
        </w:rPr>
        <w:t> </w:t>
      </w:r>
      <w:r>
        <w:rPr>
          <w:color w:val="231F20"/>
          <w:w w:val="105"/>
          <w:sz w:val="20"/>
        </w:rPr>
        <w:t>to</w:t>
      </w:r>
      <w:r>
        <w:rPr>
          <w:color w:val="231F20"/>
          <w:spacing w:val="-13"/>
          <w:w w:val="105"/>
          <w:sz w:val="20"/>
        </w:rPr>
        <w:t> </w:t>
      </w:r>
      <w:r>
        <w:rPr>
          <w:color w:val="231F20"/>
          <w:w w:val="105"/>
          <w:sz w:val="20"/>
        </w:rPr>
        <w:t>identify</w:t>
      </w:r>
      <w:r>
        <w:rPr>
          <w:color w:val="231F20"/>
          <w:spacing w:val="-13"/>
          <w:w w:val="105"/>
          <w:sz w:val="20"/>
        </w:rPr>
        <w:t> </w:t>
      </w:r>
      <w:r>
        <w:rPr>
          <w:color w:val="231F20"/>
          <w:w w:val="105"/>
          <w:sz w:val="20"/>
        </w:rPr>
        <w:t>person,</w:t>
      </w:r>
      <w:r>
        <w:rPr>
          <w:color w:val="231F20"/>
          <w:spacing w:val="-13"/>
          <w:w w:val="105"/>
          <w:sz w:val="20"/>
        </w:rPr>
        <w:t> </w:t>
      </w:r>
      <w:r>
        <w:rPr>
          <w:color w:val="231F20"/>
          <w:w w:val="105"/>
          <w:sz w:val="20"/>
        </w:rPr>
        <w:t>place,</w:t>
      </w:r>
      <w:r>
        <w:rPr>
          <w:color w:val="231F20"/>
          <w:spacing w:val="-13"/>
          <w:w w:val="105"/>
          <w:sz w:val="20"/>
        </w:rPr>
        <w:t> </w:t>
      </w:r>
      <w:r>
        <w:rPr>
          <w:color w:val="231F20"/>
          <w:w w:val="105"/>
          <w:sz w:val="20"/>
        </w:rPr>
        <w:t>or</w:t>
      </w:r>
      <w:r>
        <w:rPr>
          <w:color w:val="231F20"/>
          <w:spacing w:val="-13"/>
          <w:w w:val="105"/>
          <w:sz w:val="20"/>
        </w:rPr>
        <w:t> </w:t>
      </w:r>
      <w:r>
        <w:rPr>
          <w:color w:val="231F20"/>
          <w:w w:val="105"/>
          <w:sz w:val="20"/>
        </w:rPr>
        <w:t>time</w:t>
      </w:r>
    </w:p>
    <w:p>
      <w:pPr>
        <w:pStyle w:val="BodyText"/>
        <w:spacing w:line="266" w:lineRule="auto"/>
        <w:ind w:left="1610" w:right="-16"/>
      </w:pPr>
      <w:r>
        <w:rPr>
          <w:color w:val="231F20"/>
          <w:w w:val="105"/>
        </w:rPr>
        <w:t>characteristics that might suggest</w:t>
      </w:r>
      <w:r>
        <w:rPr>
          <w:color w:val="231F20"/>
          <w:spacing w:val="-27"/>
          <w:w w:val="105"/>
        </w:rPr>
        <w:t> </w:t>
      </w:r>
      <w:r>
        <w:rPr>
          <w:color w:val="231F20"/>
          <w:w w:val="105"/>
        </w:rPr>
        <w:t>particularly likely exposures;</w:t>
      </w:r>
      <w:r>
        <w:rPr>
          <w:color w:val="231F20"/>
          <w:spacing w:val="-27"/>
          <w:w w:val="105"/>
        </w:rPr>
        <w:t> </w:t>
      </w:r>
      <w:r>
        <w:rPr>
          <w:color w:val="231F20"/>
          <w:w w:val="105"/>
        </w:rPr>
        <w:t>and</w:t>
      </w:r>
    </w:p>
    <w:p>
      <w:pPr>
        <w:pStyle w:val="ListParagraph"/>
        <w:numPr>
          <w:ilvl w:val="1"/>
          <w:numId w:val="2"/>
        </w:numPr>
        <w:tabs>
          <w:tab w:pos="1611" w:val="left" w:leader="none"/>
        </w:tabs>
        <w:spacing w:line="266" w:lineRule="auto" w:before="90" w:after="0"/>
        <w:ind w:left="1610" w:right="103" w:hanging="170"/>
        <w:jc w:val="left"/>
        <w:rPr>
          <w:sz w:val="20"/>
        </w:rPr>
      </w:pPr>
      <w:r>
        <w:rPr>
          <w:color w:val="231F20"/>
          <w:w w:val="105"/>
          <w:sz w:val="20"/>
        </w:rPr>
        <w:t>Interviewing in detail the affected persons or a sample of affected persons to identify unusual</w:t>
      </w:r>
      <w:r>
        <w:rPr>
          <w:color w:val="231F20"/>
          <w:spacing w:val="-17"/>
          <w:w w:val="105"/>
          <w:sz w:val="20"/>
        </w:rPr>
        <w:t> </w:t>
      </w:r>
      <w:r>
        <w:rPr>
          <w:color w:val="231F20"/>
          <w:w w:val="105"/>
          <w:sz w:val="20"/>
        </w:rPr>
        <w:t>exposures</w:t>
      </w:r>
      <w:r>
        <w:rPr>
          <w:color w:val="231F20"/>
          <w:spacing w:val="-17"/>
          <w:w w:val="105"/>
          <w:sz w:val="20"/>
        </w:rPr>
        <w:t> </w:t>
      </w:r>
      <w:r>
        <w:rPr>
          <w:color w:val="231F20"/>
          <w:w w:val="105"/>
          <w:sz w:val="20"/>
        </w:rPr>
        <w:t>or</w:t>
      </w:r>
      <w:r>
        <w:rPr>
          <w:color w:val="231F20"/>
          <w:spacing w:val="-17"/>
          <w:w w:val="105"/>
          <w:sz w:val="20"/>
        </w:rPr>
        <w:t> </w:t>
      </w:r>
      <w:r>
        <w:rPr>
          <w:color w:val="231F20"/>
          <w:w w:val="105"/>
          <w:sz w:val="20"/>
        </w:rPr>
        <w:t>commonalities</w:t>
      </w:r>
      <w:r>
        <w:rPr>
          <w:color w:val="231F20"/>
          <w:spacing w:val="-17"/>
          <w:w w:val="105"/>
          <w:sz w:val="20"/>
        </w:rPr>
        <w:t> </w:t>
      </w:r>
      <w:r>
        <w:rPr>
          <w:color w:val="231F20"/>
          <w:w w:val="105"/>
          <w:sz w:val="20"/>
        </w:rPr>
        <w:t>among them</w:t>
      </w:r>
      <w:r>
        <w:rPr>
          <w:color w:val="231F20"/>
          <w:spacing w:val="-12"/>
          <w:w w:val="105"/>
          <w:sz w:val="20"/>
        </w:rPr>
        <w:t> </w:t>
      </w:r>
      <w:r>
        <w:rPr>
          <w:color w:val="231F20"/>
          <w:w w:val="105"/>
          <w:sz w:val="20"/>
        </w:rPr>
        <w:t>(5.1.2.4).</w:t>
      </w:r>
    </w:p>
    <w:p>
      <w:pPr>
        <w:pStyle w:val="BodyText"/>
        <w:spacing w:line="266" w:lineRule="auto" w:before="180"/>
        <w:ind w:left="1440" w:right="70"/>
      </w:pPr>
      <w:r>
        <w:rPr>
          <w:color w:val="231F20"/>
          <w:w w:val="105"/>
        </w:rPr>
        <w:t>Interviews can be conducted </w:t>
      </w:r>
      <w:r>
        <w:rPr>
          <w:color w:val="231F20"/>
          <w:spacing w:val="-3"/>
          <w:w w:val="105"/>
        </w:rPr>
        <w:t>by </w:t>
      </w:r>
      <w:r>
        <w:rPr>
          <w:color w:val="231F20"/>
          <w:w w:val="105"/>
        </w:rPr>
        <w:t>one or </w:t>
      </w:r>
      <w:r>
        <w:rPr>
          <w:color w:val="231F20"/>
          <w:spacing w:val="-3"/>
          <w:w w:val="105"/>
        </w:rPr>
        <w:t>by </w:t>
      </w:r>
      <w:r>
        <w:rPr>
          <w:color w:val="231F20"/>
          <w:w w:val="105"/>
        </w:rPr>
        <w:t>multiple interviewers. Multiple interviewers regularly need to compare notes to recognize uncommon exposures mentioned </w:t>
      </w:r>
      <w:r>
        <w:rPr>
          <w:color w:val="231F20"/>
          <w:spacing w:val="-3"/>
          <w:w w:val="105"/>
        </w:rPr>
        <w:t>by </w:t>
      </w:r>
      <w:r>
        <w:rPr>
          <w:color w:val="231F20"/>
          <w:w w:val="105"/>
        </w:rPr>
        <w:t>multiple cases. The use of standardized forms</w:t>
      </w:r>
    </w:p>
    <w:p>
      <w:pPr>
        <w:pStyle w:val="BodyText"/>
        <w:spacing w:line="264" w:lineRule="auto"/>
        <w:ind w:left="1440" w:right="-17"/>
      </w:pPr>
      <w:r>
        <w:rPr>
          <w:color w:val="231F20"/>
        </w:rPr>
        <w:t>for collecting information (e.g., exposure </w:t>
      </w:r>
      <w:r>
        <w:rPr>
          <w:rFonts w:ascii="Times New Roman" w:hAnsi="Times New Roman"/>
          <w:color w:val="231F20"/>
        </w:rPr>
        <w:t>histories from cases, environmental health assessment information) ensures that pertinent information is not overlooked and enables </w:t>
      </w:r>
      <w:r>
        <w:rPr>
          <w:color w:val="231F20"/>
        </w:rPr>
        <w:t>investigators to become proficient with the </w:t>
      </w:r>
      <w:r>
        <w:rPr>
          <w:rFonts w:ascii="Times New Roman" w:hAnsi="Times New Roman"/>
          <w:color w:val="231F20"/>
        </w:rPr>
        <w:t>forms, saving time during an investigation </w:t>
      </w:r>
      <w:r>
        <w:rPr>
          <w:color w:val="231F20"/>
        </w:rPr>
        <w:t>(5.1.2.5). The use of standardized “core” </w:t>
      </w:r>
      <w:r>
        <w:rPr>
          <w:rFonts w:ascii="Times New Roman" w:hAnsi="Times New Roman"/>
          <w:color w:val="231F20"/>
        </w:rPr>
        <w:t>questions and data elements facilitates data </w:t>
      </w:r>
      <w:r>
        <w:rPr>
          <w:color w:val="231F20"/>
        </w:rPr>
        <w:t>sharing and comparisons across   jurisdictions.</w:t>
      </w:r>
    </w:p>
    <w:p>
      <w:pPr>
        <w:pStyle w:val="BodyText"/>
        <w:spacing w:line="266" w:lineRule="auto" w:before="168"/>
        <w:ind w:left="1440" w:right="170"/>
      </w:pPr>
      <w:r>
        <w:rPr>
          <w:rFonts w:ascii="Times New Roman"/>
          <w:color w:val="231F20"/>
        </w:rPr>
        <w:t>All</w:t>
      </w:r>
      <w:r>
        <w:rPr>
          <w:rFonts w:ascii="Times New Roman"/>
          <w:color w:val="231F20"/>
          <w:spacing w:val="-21"/>
        </w:rPr>
        <w:t> </w:t>
      </w:r>
      <w:r>
        <w:rPr>
          <w:rFonts w:ascii="Times New Roman"/>
          <w:color w:val="231F20"/>
        </w:rPr>
        <w:t>outbreak</w:t>
      </w:r>
      <w:r>
        <w:rPr>
          <w:rFonts w:ascii="Times New Roman"/>
          <w:color w:val="231F20"/>
          <w:spacing w:val="-21"/>
        </w:rPr>
        <w:t> </w:t>
      </w:r>
      <w:r>
        <w:rPr>
          <w:rFonts w:ascii="Times New Roman"/>
          <w:color w:val="231F20"/>
        </w:rPr>
        <w:t>investigations</w:t>
      </w:r>
      <w:r>
        <w:rPr>
          <w:rFonts w:ascii="Times New Roman"/>
          <w:color w:val="231F20"/>
          <w:spacing w:val="-21"/>
        </w:rPr>
        <w:t> </w:t>
      </w:r>
      <w:r>
        <w:rPr>
          <w:rFonts w:ascii="Times New Roman"/>
          <w:color w:val="231F20"/>
        </w:rPr>
        <w:t>involve</w:t>
      </w:r>
      <w:r>
        <w:rPr>
          <w:rFonts w:ascii="Times New Roman"/>
          <w:color w:val="231F20"/>
          <w:spacing w:val="-21"/>
        </w:rPr>
        <w:t> </w:t>
      </w:r>
      <w:r>
        <w:rPr>
          <w:rFonts w:ascii="Times New Roman"/>
          <w:color w:val="231F20"/>
        </w:rPr>
        <w:t>collection of private information that must be protected </w:t>
      </w:r>
      <w:r>
        <w:rPr>
          <w:color w:val="231F20"/>
        </w:rPr>
        <w:t>from public disclosure to the extent allowed  </w:t>
      </w:r>
      <w:r>
        <w:rPr>
          <w:color w:val="231F20"/>
          <w:spacing w:val="-3"/>
        </w:rPr>
        <w:t>by </w:t>
      </w:r>
      <w:r>
        <w:rPr>
          <w:color w:val="231F20"/>
          <w:spacing w:val="-7"/>
        </w:rPr>
        <w:t>law. </w:t>
      </w:r>
      <w:r>
        <w:rPr>
          <w:color w:val="231F20"/>
        </w:rPr>
        <w:t>Investigators need to be familiar with relevant state and federal laws and  </w:t>
      </w:r>
      <w:r>
        <w:rPr>
          <w:color w:val="231F20"/>
          <w:spacing w:val="35"/>
        </w:rPr>
        <w:t> </w:t>
      </w:r>
      <w:r>
        <w:rPr>
          <w:color w:val="231F20"/>
        </w:rPr>
        <w:t>practices,</w:t>
      </w:r>
    </w:p>
    <w:p>
      <w:pPr>
        <w:pStyle w:val="BodyText"/>
        <w:spacing w:line="266" w:lineRule="auto"/>
        <w:ind w:left="1440" w:right="-4"/>
      </w:pPr>
      <w:r>
        <w:rPr>
          <w:color w:val="231F20"/>
          <w:w w:val="105"/>
        </w:rPr>
        <w:t>including the Health Insurance Portability and Accountability Act of 1996 (HIPAA) (5.1.2.6).</w:t>
      </w:r>
    </w:p>
    <w:p>
      <w:pPr>
        <w:pStyle w:val="BodyText"/>
        <w:spacing w:line="261" w:lineRule="auto" w:before="164"/>
        <w:ind w:left="1440" w:right="91"/>
        <w:rPr>
          <w:rFonts w:ascii="Arial"/>
        </w:rPr>
      </w:pPr>
      <w:r>
        <w:rPr>
          <w:rFonts w:ascii="Arial"/>
          <w:color w:val="1C3E94"/>
        </w:rPr>
        <w:t>Complaint, Cluster, and Outbreak Investigation Procedures (Section 5.2)</w:t>
      </w:r>
    </w:p>
    <w:p>
      <w:pPr>
        <w:pStyle w:val="BodyText"/>
        <w:spacing w:line="268" w:lineRule="auto" w:before="198"/>
        <w:ind w:left="1440" w:right="1"/>
      </w:pPr>
      <w:r>
        <w:rPr>
          <w:rFonts w:ascii="Arial"/>
          <w:color w:val="00A94F"/>
          <w:sz w:val="18"/>
        </w:rPr>
        <w:t>Conduct a Preliminary Investigation (5.2.1) </w:t>
      </w:r>
      <w:r>
        <w:rPr>
          <w:rFonts w:ascii="Times New Roman"/>
          <w:color w:val="231F20"/>
        </w:rPr>
        <w:t>After illnesses are detected through complaints </w:t>
      </w:r>
      <w:r>
        <w:rPr>
          <w:color w:val="231F20"/>
        </w:rPr>
        <w:t>or case clusters through pathogen-specific surveillance, a preliminary investigation should be undertaken to determine whether the reported illnesses may be part of  an  outbreak.</w:t>
      </w:r>
    </w:p>
    <w:p>
      <w:pPr>
        <w:pStyle w:val="ListParagraph"/>
        <w:numPr>
          <w:ilvl w:val="1"/>
          <w:numId w:val="2"/>
        </w:numPr>
        <w:tabs>
          <w:tab w:pos="1611" w:val="left" w:leader="none"/>
        </w:tabs>
        <w:spacing w:line="252" w:lineRule="auto" w:before="178" w:after="0"/>
        <w:ind w:left="1610" w:right="299" w:hanging="170"/>
        <w:jc w:val="left"/>
        <w:rPr>
          <w:rFonts w:ascii="Times New Roman"/>
          <w:sz w:val="20"/>
        </w:rPr>
      </w:pPr>
      <w:r>
        <w:rPr>
          <w:color w:val="231F20"/>
          <w:spacing w:val="-7"/>
          <w:sz w:val="20"/>
        </w:rPr>
        <w:t>For </w:t>
      </w:r>
      <w:r>
        <w:rPr>
          <w:color w:val="231F20"/>
          <w:sz w:val="20"/>
        </w:rPr>
        <w:t>complaints of group illness attributed </w:t>
      </w:r>
      <w:r>
        <w:rPr>
          <w:rFonts w:ascii="Times New Roman"/>
          <w:color w:val="231F20"/>
          <w:sz w:val="20"/>
        </w:rPr>
        <w:t>to a particular event or</w:t>
      </w:r>
      <w:r>
        <w:rPr>
          <w:rFonts w:ascii="Times New Roman"/>
          <w:color w:val="231F20"/>
          <w:spacing w:val="11"/>
          <w:sz w:val="20"/>
        </w:rPr>
        <w:t> </w:t>
      </w:r>
      <w:r>
        <w:rPr>
          <w:rFonts w:ascii="Times New Roman"/>
          <w:color w:val="231F20"/>
          <w:sz w:val="20"/>
        </w:rPr>
        <w:t>establishment,</w:t>
      </w:r>
    </w:p>
    <w:p>
      <w:pPr>
        <w:pStyle w:val="BodyText"/>
        <w:spacing w:line="266" w:lineRule="auto" w:before="108"/>
        <w:ind w:left="493" w:right="751"/>
      </w:pPr>
      <w:r>
        <w:rPr/>
        <w:br w:type="column"/>
      </w:r>
      <w:r>
        <w:rPr>
          <w:color w:val="231F20"/>
          <w:w w:val="105"/>
        </w:rPr>
        <w:t>multiple</w:t>
      </w:r>
      <w:r>
        <w:rPr>
          <w:color w:val="231F20"/>
          <w:spacing w:val="-10"/>
          <w:w w:val="105"/>
        </w:rPr>
        <w:t> </w:t>
      </w:r>
      <w:r>
        <w:rPr>
          <w:color w:val="231F20"/>
          <w:w w:val="105"/>
        </w:rPr>
        <w:t>cases</w:t>
      </w:r>
      <w:r>
        <w:rPr>
          <w:color w:val="231F20"/>
          <w:spacing w:val="-10"/>
          <w:w w:val="105"/>
        </w:rPr>
        <w:t> </w:t>
      </w:r>
      <w:r>
        <w:rPr>
          <w:color w:val="231F20"/>
          <w:w w:val="105"/>
        </w:rPr>
        <w:t>with</w:t>
      </w:r>
      <w:r>
        <w:rPr>
          <w:color w:val="231F20"/>
          <w:spacing w:val="-10"/>
          <w:w w:val="105"/>
        </w:rPr>
        <w:t> </w:t>
      </w:r>
      <w:r>
        <w:rPr>
          <w:color w:val="231F20"/>
          <w:w w:val="105"/>
        </w:rPr>
        <w:t>similar</w:t>
      </w:r>
      <w:r>
        <w:rPr>
          <w:color w:val="231F20"/>
          <w:spacing w:val="-10"/>
          <w:w w:val="105"/>
        </w:rPr>
        <w:t> </w:t>
      </w:r>
      <w:r>
        <w:rPr>
          <w:color w:val="231F20"/>
          <w:w w:val="105"/>
        </w:rPr>
        <w:t>symptoms</w:t>
      </w:r>
      <w:r>
        <w:rPr>
          <w:color w:val="231F20"/>
          <w:spacing w:val="-10"/>
          <w:w w:val="105"/>
        </w:rPr>
        <w:t> </w:t>
      </w:r>
      <w:r>
        <w:rPr>
          <w:color w:val="231F20"/>
          <w:w w:val="105"/>
        </w:rPr>
        <w:t>and</w:t>
      </w:r>
      <w:r>
        <w:rPr>
          <w:color w:val="231F20"/>
          <w:spacing w:val="-10"/>
          <w:w w:val="105"/>
        </w:rPr>
        <w:t> </w:t>
      </w:r>
      <w:r>
        <w:rPr>
          <w:color w:val="231F20"/>
          <w:w w:val="105"/>
        </w:rPr>
        <w:t>an incubation</w:t>
      </w:r>
      <w:r>
        <w:rPr>
          <w:color w:val="231F20"/>
          <w:spacing w:val="-13"/>
          <w:w w:val="105"/>
        </w:rPr>
        <w:t> </w:t>
      </w:r>
      <w:r>
        <w:rPr>
          <w:color w:val="231F20"/>
          <w:w w:val="105"/>
        </w:rPr>
        <w:t>period</w:t>
      </w:r>
      <w:r>
        <w:rPr>
          <w:color w:val="231F20"/>
          <w:spacing w:val="-13"/>
          <w:w w:val="105"/>
        </w:rPr>
        <w:t> </w:t>
      </w:r>
      <w:r>
        <w:rPr>
          <w:color w:val="231F20"/>
          <w:w w:val="105"/>
        </w:rPr>
        <w:t>consistent</w:t>
      </w:r>
      <w:r>
        <w:rPr>
          <w:color w:val="231F20"/>
          <w:spacing w:val="-13"/>
          <w:w w:val="105"/>
        </w:rPr>
        <w:t> </w:t>
      </w:r>
      <w:r>
        <w:rPr>
          <w:color w:val="231F20"/>
          <w:w w:val="105"/>
        </w:rPr>
        <w:t>with</w:t>
      </w:r>
      <w:r>
        <w:rPr>
          <w:color w:val="231F20"/>
          <w:spacing w:val="-13"/>
          <w:w w:val="105"/>
        </w:rPr>
        <w:t> </w:t>
      </w:r>
      <w:r>
        <w:rPr>
          <w:color w:val="231F20"/>
          <w:w w:val="105"/>
        </w:rPr>
        <w:t>the</w:t>
      </w:r>
      <w:r>
        <w:rPr>
          <w:color w:val="231F20"/>
          <w:spacing w:val="-13"/>
          <w:w w:val="105"/>
        </w:rPr>
        <w:t> </w:t>
      </w:r>
      <w:r>
        <w:rPr>
          <w:color w:val="231F20"/>
          <w:w w:val="105"/>
        </w:rPr>
        <w:t>timing of the reported exposure are suggestive of an outbreak</w:t>
      </w:r>
      <w:r>
        <w:rPr>
          <w:color w:val="231F20"/>
          <w:spacing w:val="-12"/>
          <w:w w:val="105"/>
        </w:rPr>
        <w:t> </w:t>
      </w:r>
      <w:r>
        <w:rPr>
          <w:color w:val="231F20"/>
          <w:w w:val="105"/>
        </w:rPr>
        <w:t>(5.2.1.1).</w:t>
      </w:r>
    </w:p>
    <w:p>
      <w:pPr>
        <w:pStyle w:val="ListParagraph"/>
        <w:numPr>
          <w:ilvl w:val="0"/>
          <w:numId w:val="2"/>
        </w:numPr>
        <w:tabs>
          <w:tab w:pos="494" w:val="left" w:leader="none"/>
        </w:tabs>
        <w:spacing w:line="264" w:lineRule="auto" w:before="90" w:after="0"/>
        <w:ind w:left="493" w:right="763" w:hanging="171"/>
        <w:jc w:val="left"/>
        <w:rPr>
          <w:sz w:val="20"/>
        </w:rPr>
      </w:pPr>
      <w:r>
        <w:rPr>
          <w:color w:val="231F20"/>
          <w:spacing w:val="-7"/>
          <w:sz w:val="20"/>
        </w:rPr>
        <w:t>For </w:t>
      </w:r>
      <w:r>
        <w:rPr>
          <w:color w:val="231F20"/>
          <w:sz w:val="20"/>
        </w:rPr>
        <w:t>case clusters identified through pathogen-specific surveillance, cases (defined </w:t>
      </w:r>
      <w:r>
        <w:rPr>
          <w:color w:val="231F20"/>
          <w:spacing w:val="-3"/>
          <w:sz w:val="20"/>
        </w:rPr>
        <w:t>by  </w:t>
      </w:r>
      <w:r>
        <w:rPr>
          <w:color w:val="231F20"/>
          <w:sz w:val="20"/>
        </w:rPr>
        <w:t>subtype characteristics) clearly in excess  of the expected number and demographic features or known exposures of cases </w:t>
      </w:r>
      <w:r>
        <w:rPr>
          <w:rFonts w:ascii="Times New Roman"/>
          <w:color w:val="231F20"/>
          <w:sz w:val="20"/>
        </w:rPr>
        <w:t>suggestive of a common source are clues that the cluster might represent an outbreak </w:t>
      </w:r>
      <w:r>
        <w:rPr>
          <w:color w:val="231F20"/>
          <w:sz w:val="20"/>
        </w:rPr>
        <w:t>(5.2.1.2).</w:t>
      </w:r>
    </w:p>
    <w:p>
      <w:pPr>
        <w:spacing w:line="290" w:lineRule="auto" w:before="186"/>
        <w:ind w:left="322" w:right="751" w:firstLine="0"/>
        <w:jc w:val="left"/>
        <w:rPr>
          <w:rFonts w:ascii="Arial"/>
          <w:sz w:val="18"/>
        </w:rPr>
      </w:pPr>
      <w:r>
        <w:rPr>
          <w:rFonts w:ascii="Arial"/>
          <w:color w:val="00A94F"/>
          <w:sz w:val="18"/>
        </w:rPr>
        <w:t>Assemble the Outbreak Investigation and Control Team (5.2.2)</w:t>
      </w:r>
    </w:p>
    <w:p>
      <w:pPr>
        <w:pStyle w:val="BodyText"/>
        <w:spacing w:line="264" w:lineRule="auto"/>
        <w:ind w:left="322" w:right="733"/>
      </w:pPr>
      <w:r>
        <w:rPr>
          <w:color w:val="231F20"/>
        </w:rPr>
        <w:t>Outbreak investigation and control team  </w:t>
      </w:r>
      <w:r>
        <w:rPr>
          <w:rFonts w:ascii="Times New Roman"/>
          <w:color w:val="231F20"/>
        </w:rPr>
        <w:t>leaders should be alerted as soon as a possible </w:t>
      </w:r>
      <w:r>
        <w:rPr>
          <w:color w:val="231F20"/>
        </w:rPr>
        <w:t>outbreak is identified (5.2.2.1). After reviewing </w:t>
      </w:r>
      <w:r>
        <w:rPr>
          <w:rFonts w:ascii="Times New Roman"/>
          <w:color w:val="231F20"/>
        </w:rPr>
        <w:t>the descriptive features of the outbreak and relevant background information, team leaders </w:t>
      </w:r>
      <w:r>
        <w:rPr>
          <w:color w:val="231F20"/>
        </w:rPr>
        <w:t>should assess the priority of </w:t>
      </w:r>
      <w:r>
        <w:rPr>
          <w:color w:val="231F20"/>
          <w:spacing w:val="30"/>
        </w:rPr>
        <w:t> </w:t>
      </w:r>
      <w:r>
        <w:rPr>
          <w:color w:val="231F20"/>
        </w:rPr>
        <w:t>investigating</w:t>
      </w:r>
    </w:p>
    <w:p>
      <w:pPr>
        <w:pStyle w:val="BodyText"/>
        <w:spacing w:line="264" w:lineRule="auto" w:before="5"/>
        <w:ind w:left="322" w:right="819"/>
      </w:pPr>
      <w:r>
        <w:rPr>
          <w:color w:val="231F20"/>
          <w:w w:val="105"/>
        </w:rPr>
        <w:t>the outbreak. Highest priority typically is </w:t>
      </w:r>
      <w:r>
        <w:rPr>
          <w:rFonts w:ascii="Times New Roman"/>
          <w:color w:val="231F20"/>
          <w:w w:val="105"/>
        </w:rPr>
        <w:t>given to outbreaks that </w:t>
      </w:r>
      <w:r>
        <w:rPr>
          <w:rFonts w:ascii="Times New Roman"/>
          <w:color w:val="231F20"/>
          <w:spacing w:val="-3"/>
          <w:w w:val="105"/>
        </w:rPr>
        <w:t>have </w:t>
      </w:r>
      <w:r>
        <w:rPr>
          <w:rFonts w:ascii="Times New Roman"/>
          <w:color w:val="231F20"/>
          <w:w w:val="105"/>
        </w:rPr>
        <w:t>a high public </w:t>
      </w:r>
      <w:r>
        <w:rPr>
          <w:color w:val="231F20"/>
          <w:w w:val="105"/>
        </w:rPr>
        <w:t>health impact; are ongoing; or appear to be associated with a food-service establishment in</w:t>
      </w:r>
      <w:r>
        <w:rPr>
          <w:color w:val="231F20"/>
          <w:spacing w:val="-16"/>
          <w:w w:val="105"/>
        </w:rPr>
        <w:t> </w:t>
      </w:r>
      <w:r>
        <w:rPr>
          <w:color w:val="231F20"/>
          <w:w w:val="105"/>
        </w:rPr>
        <w:t>which</w:t>
      </w:r>
      <w:r>
        <w:rPr>
          <w:color w:val="231F20"/>
          <w:spacing w:val="-16"/>
          <w:w w:val="105"/>
        </w:rPr>
        <w:t> </w:t>
      </w:r>
      <w:r>
        <w:rPr>
          <w:color w:val="231F20"/>
          <w:w w:val="105"/>
        </w:rPr>
        <w:t>ill</w:t>
      </w:r>
      <w:r>
        <w:rPr>
          <w:color w:val="231F20"/>
          <w:spacing w:val="-16"/>
          <w:w w:val="105"/>
        </w:rPr>
        <w:t> </w:t>
      </w:r>
      <w:r>
        <w:rPr>
          <w:color w:val="231F20"/>
          <w:w w:val="105"/>
        </w:rPr>
        <w:t>food</w:t>
      </w:r>
      <w:r>
        <w:rPr>
          <w:color w:val="231F20"/>
          <w:spacing w:val="-16"/>
          <w:w w:val="105"/>
        </w:rPr>
        <w:t> </w:t>
      </w:r>
      <w:r>
        <w:rPr>
          <w:color w:val="231F20"/>
          <w:w w:val="105"/>
        </w:rPr>
        <w:t>workers</w:t>
      </w:r>
      <w:r>
        <w:rPr>
          <w:color w:val="231F20"/>
          <w:spacing w:val="-16"/>
          <w:w w:val="105"/>
        </w:rPr>
        <w:t> </w:t>
      </w:r>
      <w:r>
        <w:rPr>
          <w:color w:val="231F20"/>
          <w:w w:val="105"/>
        </w:rPr>
        <w:t>provide</w:t>
      </w:r>
      <w:r>
        <w:rPr>
          <w:color w:val="231F20"/>
          <w:spacing w:val="-16"/>
          <w:w w:val="105"/>
        </w:rPr>
        <w:t> </w:t>
      </w:r>
      <w:r>
        <w:rPr>
          <w:color w:val="231F20"/>
          <w:w w:val="105"/>
        </w:rPr>
        <w:t>a</w:t>
      </w:r>
      <w:r>
        <w:rPr>
          <w:color w:val="231F20"/>
          <w:spacing w:val="-16"/>
          <w:w w:val="105"/>
        </w:rPr>
        <w:t> </w:t>
      </w:r>
      <w:r>
        <w:rPr>
          <w:color w:val="231F20"/>
          <w:w w:val="105"/>
        </w:rPr>
        <w:t>continuing</w:t>
      </w:r>
    </w:p>
    <w:p>
      <w:pPr>
        <w:pStyle w:val="BodyText"/>
        <w:spacing w:line="264" w:lineRule="auto" w:before="2"/>
        <w:ind w:left="322" w:right="751"/>
      </w:pPr>
      <w:r>
        <w:rPr>
          <w:color w:val="231F20"/>
        </w:rPr>
        <w:t>source of infection or commercially distributed </w:t>
      </w:r>
      <w:r>
        <w:rPr>
          <w:rFonts w:ascii="Times New Roman"/>
          <w:color w:val="231F20"/>
        </w:rPr>
        <w:t>food product that is still being consumed </w:t>
      </w:r>
      <w:r>
        <w:rPr>
          <w:color w:val="231F20"/>
        </w:rPr>
        <w:t>(5.2.2.2).</w:t>
      </w:r>
    </w:p>
    <w:p>
      <w:pPr>
        <w:pStyle w:val="BodyText"/>
        <w:spacing w:line="266" w:lineRule="auto" w:before="182"/>
        <w:ind w:left="322" w:right="657"/>
      </w:pPr>
      <w:r>
        <w:rPr>
          <w:color w:val="231F20"/>
          <w:w w:val="105"/>
        </w:rPr>
        <w:t>Team leaders then should assess the availability of sufficient staff to conduct the investigation, particularly to interview cases quickly and solicit controls, as needed. If sufficient staff</w:t>
      </w:r>
    </w:p>
    <w:p>
      <w:pPr>
        <w:pStyle w:val="BodyText"/>
        <w:spacing w:line="216" w:lineRule="exact"/>
        <w:ind w:left="322"/>
        <w:rPr>
          <w:rFonts w:ascii="Times New Roman"/>
        </w:rPr>
      </w:pPr>
      <w:r>
        <w:rPr>
          <w:rFonts w:ascii="Times New Roman"/>
          <w:color w:val="231F20"/>
        </w:rPr>
        <w:t>are not available, team leaders should request</w:t>
      </w:r>
    </w:p>
    <w:p>
      <w:pPr>
        <w:pStyle w:val="BodyText"/>
        <w:spacing w:before="34"/>
        <w:ind w:left="322"/>
      </w:pPr>
      <w:r>
        <w:rPr>
          <w:color w:val="231F20"/>
          <w:w w:val="105"/>
        </w:rPr>
        <w:t>external assistance (5.2.2.3).</w:t>
      </w:r>
    </w:p>
    <w:p>
      <w:pPr>
        <w:pStyle w:val="BodyText"/>
        <w:spacing w:line="264" w:lineRule="auto" w:before="190"/>
        <w:ind w:left="322" w:right="910"/>
      </w:pPr>
      <w:r>
        <w:rPr>
          <w:rFonts w:ascii="Times New Roman"/>
          <w:color w:val="231F20"/>
          <w:w w:val="105"/>
        </w:rPr>
        <w:t>The</w:t>
      </w:r>
      <w:r>
        <w:rPr>
          <w:rFonts w:ascii="Times New Roman"/>
          <w:color w:val="231F20"/>
          <w:spacing w:val="-29"/>
          <w:w w:val="105"/>
        </w:rPr>
        <w:t> </w:t>
      </w:r>
      <w:r>
        <w:rPr>
          <w:rFonts w:ascii="Times New Roman"/>
          <w:color w:val="231F20"/>
          <w:w w:val="105"/>
        </w:rPr>
        <w:t>outbreak</w:t>
      </w:r>
      <w:r>
        <w:rPr>
          <w:rFonts w:ascii="Times New Roman"/>
          <w:color w:val="231F20"/>
          <w:spacing w:val="-30"/>
          <w:w w:val="105"/>
        </w:rPr>
        <w:t> </w:t>
      </w:r>
      <w:r>
        <w:rPr>
          <w:rFonts w:ascii="Times New Roman"/>
          <w:color w:val="231F20"/>
          <w:w w:val="105"/>
        </w:rPr>
        <w:t>investigation</w:t>
      </w:r>
      <w:r>
        <w:rPr>
          <w:rFonts w:ascii="Times New Roman"/>
          <w:color w:val="231F20"/>
          <w:spacing w:val="-30"/>
          <w:w w:val="105"/>
        </w:rPr>
        <w:t> </w:t>
      </w:r>
      <w:r>
        <w:rPr>
          <w:rFonts w:ascii="Times New Roman"/>
          <w:color w:val="231F20"/>
          <w:w w:val="105"/>
        </w:rPr>
        <w:t>and</w:t>
      </w:r>
      <w:r>
        <w:rPr>
          <w:rFonts w:ascii="Times New Roman"/>
          <w:color w:val="231F20"/>
          <w:spacing w:val="-30"/>
          <w:w w:val="105"/>
        </w:rPr>
        <w:t> </w:t>
      </w:r>
      <w:r>
        <w:rPr>
          <w:rFonts w:ascii="Times New Roman"/>
          <w:color w:val="231F20"/>
          <w:w w:val="105"/>
        </w:rPr>
        <w:t>control</w:t>
      </w:r>
      <w:r>
        <w:rPr>
          <w:rFonts w:ascii="Times New Roman"/>
          <w:color w:val="231F20"/>
          <w:spacing w:val="-29"/>
          <w:w w:val="105"/>
        </w:rPr>
        <w:t> </w:t>
      </w:r>
      <w:r>
        <w:rPr>
          <w:rFonts w:ascii="Times New Roman"/>
          <w:color w:val="231F20"/>
          <w:w w:val="105"/>
        </w:rPr>
        <w:t>team should be assembled and briefed about the outbreak, the members of the team, and </w:t>
      </w:r>
      <w:r>
        <w:rPr>
          <w:color w:val="231F20"/>
          <w:w w:val="105"/>
        </w:rPr>
        <w:t>their</w:t>
      </w:r>
      <w:r>
        <w:rPr>
          <w:color w:val="231F20"/>
          <w:spacing w:val="-11"/>
          <w:w w:val="105"/>
        </w:rPr>
        <w:t> </w:t>
      </w:r>
      <w:r>
        <w:rPr>
          <w:color w:val="231F20"/>
          <w:w w:val="105"/>
        </w:rPr>
        <w:t>individual</w:t>
      </w:r>
      <w:r>
        <w:rPr>
          <w:color w:val="231F20"/>
          <w:spacing w:val="-11"/>
          <w:w w:val="105"/>
        </w:rPr>
        <w:t> </w:t>
      </w:r>
      <w:r>
        <w:rPr>
          <w:color w:val="231F20"/>
          <w:w w:val="105"/>
        </w:rPr>
        <w:t>roles</w:t>
      </w:r>
      <w:r>
        <w:rPr>
          <w:color w:val="231F20"/>
          <w:spacing w:val="-11"/>
          <w:w w:val="105"/>
        </w:rPr>
        <w:t> </w:t>
      </w:r>
      <w:r>
        <w:rPr>
          <w:color w:val="231F20"/>
          <w:w w:val="105"/>
        </w:rPr>
        <w:t>in</w:t>
      </w:r>
      <w:r>
        <w:rPr>
          <w:color w:val="231F20"/>
          <w:spacing w:val="-11"/>
          <w:w w:val="105"/>
        </w:rPr>
        <w:t> </w:t>
      </w:r>
      <w:r>
        <w:rPr>
          <w:color w:val="231F20"/>
          <w:w w:val="105"/>
        </w:rPr>
        <w:t>the</w:t>
      </w:r>
      <w:r>
        <w:rPr>
          <w:color w:val="231F20"/>
          <w:spacing w:val="-11"/>
          <w:w w:val="105"/>
        </w:rPr>
        <w:t> </w:t>
      </w:r>
      <w:r>
        <w:rPr>
          <w:color w:val="231F20"/>
          <w:w w:val="105"/>
        </w:rPr>
        <w:t>investigation.</w:t>
      </w:r>
      <w:r>
        <w:rPr>
          <w:color w:val="231F20"/>
          <w:spacing w:val="-11"/>
          <w:w w:val="105"/>
        </w:rPr>
        <w:t> </w:t>
      </w:r>
      <w:r>
        <w:rPr>
          <w:color w:val="231F20"/>
          <w:spacing w:val="-7"/>
          <w:w w:val="105"/>
        </w:rPr>
        <w:t>For </w:t>
      </w:r>
      <w:r>
        <w:rPr>
          <w:rFonts w:ascii="Times New Roman"/>
          <w:color w:val="231F20"/>
          <w:w w:val="105"/>
        </w:rPr>
        <w:t>outbreaks involving multiple jurisdictions, the</w:t>
      </w:r>
      <w:r>
        <w:rPr>
          <w:rFonts w:ascii="Times New Roman"/>
          <w:color w:val="231F20"/>
          <w:spacing w:val="-25"/>
          <w:w w:val="105"/>
        </w:rPr>
        <w:t> </w:t>
      </w:r>
      <w:r>
        <w:rPr>
          <w:rFonts w:ascii="Times New Roman"/>
          <w:color w:val="231F20"/>
          <w:w w:val="105"/>
        </w:rPr>
        <w:t>outbreak</w:t>
      </w:r>
      <w:r>
        <w:rPr>
          <w:rFonts w:ascii="Times New Roman"/>
          <w:color w:val="231F20"/>
          <w:spacing w:val="-25"/>
          <w:w w:val="105"/>
        </w:rPr>
        <w:t> </w:t>
      </w:r>
      <w:r>
        <w:rPr>
          <w:rFonts w:ascii="Times New Roman"/>
          <w:color w:val="231F20"/>
          <w:w w:val="105"/>
        </w:rPr>
        <w:t>investigation</w:t>
      </w:r>
      <w:r>
        <w:rPr>
          <w:rFonts w:ascii="Times New Roman"/>
          <w:color w:val="231F20"/>
          <w:spacing w:val="-25"/>
          <w:w w:val="105"/>
        </w:rPr>
        <w:t> </w:t>
      </w:r>
      <w:r>
        <w:rPr>
          <w:rFonts w:ascii="Times New Roman"/>
          <w:color w:val="231F20"/>
          <w:w w:val="105"/>
        </w:rPr>
        <w:t>and</w:t>
      </w:r>
      <w:r>
        <w:rPr>
          <w:rFonts w:ascii="Times New Roman"/>
          <w:color w:val="231F20"/>
          <w:spacing w:val="-25"/>
          <w:w w:val="105"/>
        </w:rPr>
        <w:t> </w:t>
      </w:r>
      <w:r>
        <w:rPr>
          <w:rFonts w:ascii="Times New Roman"/>
          <w:color w:val="231F20"/>
          <w:w w:val="105"/>
        </w:rPr>
        <w:t>control</w:t>
      </w:r>
      <w:r>
        <w:rPr>
          <w:rFonts w:ascii="Times New Roman"/>
          <w:color w:val="231F20"/>
          <w:spacing w:val="-25"/>
          <w:w w:val="105"/>
        </w:rPr>
        <w:t> </w:t>
      </w:r>
      <w:r>
        <w:rPr>
          <w:rFonts w:ascii="Times New Roman"/>
          <w:color w:val="231F20"/>
          <w:w w:val="105"/>
        </w:rPr>
        <w:t>team should include members from all agencies </w:t>
      </w:r>
      <w:r>
        <w:rPr>
          <w:color w:val="231F20"/>
          <w:w w:val="105"/>
        </w:rPr>
        <w:t>participating in the investigation</w:t>
      </w:r>
      <w:r>
        <w:rPr>
          <w:color w:val="231F20"/>
          <w:spacing w:val="-38"/>
          <w:w w:val="105"/>
        </w:rPr>
        <w:t> </w:t>
      </w:r>
      <w:r>
        <w:rPr>
          <w:color w:val="231F20"/>
          <w:w w:val="105"/>
        </w:rPr>
        <w:t>(5.2.2.3).</w:t>
      </w:r>
    </w:p>
    <w:p>
      <w:pPr>
        <w:spacing w:after="0" w:line="264" w:lineRule="auto"/>
        <w:sectPr>
          <w:type w:val="continuous"/>
          <w:pgSz w:w="10080" w:h="14400"/>
          <w:pgMar w:top="0" w:bottom="360" w:left="0" w:right="0"/>
          <w:cols w:num="2" w:equalWidth="0">
            <w:col w:w="5218" w:space="40"/>
            <w:col w:w="4822"/>
          </w:cols>
        </w:sectPr>
      </w:pPr>
    </w:p>
    <w:p>
      <w:pPr>
        <w:pStyle w:val="BodyText"/>
        <w:spacing w:before="8"/>
        <w:rPr>
          <w:sz w:val="26"/>
        </w:rPr>
      </w:pPr>
    </w:p>
    <w:p>
      <w:pPr>
        <w:pStyle w:val="Heading1"/>
        <w:spacing w:line="249" w:lineRule="auto"/>
        <w:ind w:left="720" w:right="3300"/>
      </w:pPr>
      <w:r>
        <w:rPr/>
        <w:pict>
          <v:line style="position:absolute;mso-position-horizontal-relative:page;mso-position-vertical-relative:paragraph;z-index:3184;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3208" filled="true" fillcolor="#0079c1" stroked="false">
            <v:fill type="solid"/>
            <w10:wrap type="none"/>
          </v:rect>
        </w:pict>
      </w:r>
      <w:r>
        <w:rPr/>
        <w:pict>
          <v:line style="position:absolute;mso-position-horizontal-relative:page;mso-position-vertical-relative:paragraph;z-index:3232"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3256"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3280"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spacing w:line="290" w:lineRule="auto" w:before="114"/>
        <w:ind w:left="720" w:right="0" w:firstLine="0"/>
        <w:jc w:val="left"/>
        <w:rPr>
          <w:rFonts w:ascii="Arial"/>
          <w:sz w:val="18"/>
        </w:rPr>
      </w:pPr>
      <w:r>
        <w:rPr>
          <w:rFonts w:ascii="Arial"/>
          <w:color w:val="00A94F"/>
          <w:sz w:val="18"/>
        </w:rPr>
        <w:t>Establish Goals and Objectives for the Investigation (5.2.3)</w:t>
      </w:r>
    </w:p>
    <w:p>
      <w:pPr>
        <w:pStyle w:val="BodyText"/>
        <w:spacing w:line="213" w:lineRule="exact"/>
        <w:ind w:left="720"/>
        <w:rPr>
          <w:rFonts w:ascii="Times New Roman"/>
        </w:rPr>
      </w:pPr>
      <w:r>
        <w:rPr>
          <w:rFonts w:ascii="Times New Roman"/>
          <w:color w:val="231F20"/>
        </w:rPr>
        <w:t>The outbreak investigation and control team</w:t>
      </w:r>
    </w:p>
    <w:p>
      <w:pPr>
        <w:pStyle w:val="BodyText"/>
        <w:spacing w:line="266" w:lineRule="auto" w:before="20"/>
        <w:ind w:left="720" w:right="12"/>
      </w:pPr>
      <w:r>
        <w:rPr>
          <w:rFonts w:ascii="Times New Roman"/>
          <w:color w:val="231F20"/>
          <w:w w:val="105"/>
        </w:rPr>
        <w:t>should establish goals and objectives for the </w:t>
      </w:r>
      <w:r>
        <w:rPr>
          <w:color w:val="231F20"/>
          <w:w w:val="105"/>
        </w:rPr>
        <w:t>investigation. The primary goals of most </w:t>
      </w:r>
      <w:r>
        <w:rPr>
          <w:rFonts w:ascii="Times New Roman"/>
          <w:color w:val="231F20"/>
          <w:w w:val="105"/>
        </w:rPr>
        <w:t>investigations</w:t>
      </w:r>
      <w:r>
        <w:rPr>
          <w:rFonts w:ascii="Times New Roman"/>
          <w:color w:val="231F20"/>
          <w:spacing w:val="-30"/>
          <w:w w:val="105"/>
        </w:rPr>
        <w:t> </w:t>
      </w:r>
      <w:r>
        <w:rPr>
          <w:rFonts w:ascii="Times New Roman"/>
          <w:color w:val="231F20"/>
          <w:w w:val="105"/>
        </w:rPr>
        <w:t>are</w:t>
      </w:r>
      <w:r>
        <w:rPr>
          <w:rFonts w:ascii="Times New Roman"/>
          <w:color w:val="231F20"/>
          <w:spacing w:val="-30"/>
          <w:w w:val="105"/>
        </w:rPr>
        <w:t> </w:t>
      </w:r>
      <w:r>
        <w:rPr>
          <w:rFonts w:ascii="Times New Roman"/>
          <w:color w:val="231F20"/>
          <w:w w:val="105"/>
        </w:rPr>
        <w:t>to</w:t>
      </w:r>
      <w:r>
        <w:rPr>
          <w:rFonts w:ascii="Times New Roman"/>
          <w:color w:val="231F20"/>
          <w:spacing w:val="-30"/>
          <w:w w:val="105"/>
        </w:rPr>
        <w:t> </w:t>
      </w:r>
      <w:r>
        <w:rPr>
          <w:rFonts w:ascii="Times New Roman"/>
          <w:color w:val="231F20"/>
          <w:w w:val="105"/>
        </w:rPr>
        <w:t>implement</w:t>
      </w:r>
      <w:r>
        <w:rPr>
          <w:rFonts w:ascii="Times New Roman"/>
          <w:color w:val="231F20"/>
          <w:spacing w:val="-30"/>
          <w:w w:val="105"/>
        </w:rPr>
        <w:t> </w:t>
      </w:r>
      <w:r>
        <w:rPr>
          <w:rFonts w:ascii="Times New Roman"/>
          <w:color w:val="231F20"/>
          <w:w w:val="105"/>
        </w:rPr>
        <w:t>interventions to stop the outbreak and prevent similar </w:t>
      </w:r>
      <w:r>
        <w:rPr>
          <w:color w:val="231F20"/>
          <w:w w:val="105"/>
        </w:rPr>
        <w:t>outbreaks.</w:t>
      </w:r>
      <w:r>
        <w:rPr>
          <w:color w:val="231F20"/>
          <w:spacing w:val="-13"/>
          <w:w w:val="105"/>
        </w:rPr>
        <w:t> </w:t>
      </w:r>
      <w:r>
        <w:rPr>
          <w:color w:val="231F20"/>
          <w:spacing w:val="-11"/>
          <w:w w:val="105"/>
        </w:rPr>
        <w:t>To</w:t>
      </w:r>
      <w:r>
        <w:rPr>
          <w:color w:val="231F20"/>
          <w:spacing w:val="-13"/>
          <w:w w:val="105"/>
        </w:rPr>
        <w:t> </w:t>
      </w:r>
      <w:r>
        <w:rPr>
          <w:color w:val="231F20"/>
          <w:w w:val="105"/>
        </w:rPr>
        <w:t>achieve</w:t>
      </w:r>
      <w:r>
        <w:rPr>
          <w:color w:val="231F20"/>
          <w:spacing w:val="-13"/>
          <w:w w:val="105"/>
        </w:rPr>
        <w:t> </w:t>
      </w:r>
      <w:r>
        <w:rPr>
          <w:color w:val="231F20"/>
          <w:w w:val="105"/>
        </w:rPr>
        <w:t>these</w:t>
      </w:r>
      <w:r>
        <w:rPr>
          <w:color w:val="231F20"/>
          <w:spacing w:val="-13"/>
          <w:w w:val="105"/>
        </w:rPr>
        <w:t> </w:t>
      </w:r>
      <w:r>
        <w:rPr>
          <w:color w:val="231F20"/>
          <w:w w:val="105"/>
        </w:rPr>
        <w:t>goals,</w:t>
      </w:r>
      <w:r>
        <w:rPr>
          <w:color w:val="231F20"/>
          <w:spacing w:val="-13"/>
          <w:w w:val="105"/>
        </w:rPr>
        <w:t> </w:t>
      </w:r>
      <w:r>
        <w:rPr>
          <w:color w:val="231F20"/>
          <w:w w:val="105"/>
        </w:rPr>
        <w:t>the</w:t>
      </w:r>
      <w:r>
        <w:rPr>
          <w:color w:val="231F20"/>
          <w:spacing w:val="-13"/>
          <w:w w:val="105"/>
        </w:rPr>
        <w:t> </w:t>
      </w:r>
      <w:r>
        <w:rPr>
          <w:color w:val="231F20"/>
          <w:w w:val="105"/>
        </w:rPr>
        <w:t>outbreak investigation</w:t>
      </w:r>
      <w:r>
        <w:rPr>
          <w:color w:val="231F20"/>
          <w:spacing w:val="-11"/>
          <w:w w:val="105"/>
        </w:rPr>
        <w:t> </w:t>
      </w:r>
      <w:r>
        <w:rPr>
          <w:color w:val="231F20"/>
          <w:w w:val="105"/>
        </w:rPr>
        <w:t>and</w:t>
      </w:r>
      <w:r>
        <w:rPr>
          <w:color w:val="231F20"/>
          <w:spacing w:val="-11"/>
          <w:w w:val="105"/>
        </w:rPr>
        <w:t> </w:t>
      </w:r>
      <w:r>
        <w:rPr>
          <w:color w:val="231F20"/>
          <w:w w:val="105"/>
        </w:rPr>
        <w:t>control</w:t>
      </w:r>
      <w:r>
        <w:rPr>
          <w:color w:val="231F20"/>
          <w:spacing w:val="-11"/>
          <w:w w:val="105"/>
        </w:rPr>
        <w:t> </w:t>
      </w:r>
      <w:r>
        <w:rPr>
          <w:color w:val="231F20"/>
          <w:w w:val="105"/>
        </w:rPr>
        <w:t>team</w:t>
      </w:r>
      <w:r>
        <w:rPr>
          <w:color w:val="231F20"/>
          <w:spacing w:val="-11"/>
          <w:w w:val="105"/>
        </w:rPr>
        <w:t> </w:t>
      </w:r>
      <w:r>
        <w:rPr>
          <w:color w:val="231F20"/>
          <w:w w:val="105"/>
        </w:rPr>
        <w:t>will</w:t>
      </w:r>
      <w:r>
        <w:rPr>
          <w:color w:val="231F20"/>
          <w:spacing w:val="-11"/>
          <w:w w:val="105"/>
        </w:rPr>
        <w:t> </w:t>
      </w:r>
      <w:r>
        <w:rPr>
          <w:color w:val="231F20"/>
          <w:w w:val="105"/>
        </w:rPr>
        <w:t>need</w:t>
      </w:r>
      <w:r>
        <w:rPr>
          <w:color w:val="231F20"/>
          <w:spacing w:val="-11"/>
          <w:w w:val="105"/>
        </w:rPr>
        <w:t> </w:t>
      </w:r>
      <w:r>
        <w:rPr>
          <w:color w:val="231F20"/>
          <w:w w:val="105"/>
        </w:rPr>
        <w:t>to;</w:t>
      </w:r>
    </w:p>
    <w:p>
      <w:pPr>
        <w:pStyle w:val="ListParagraph"/>
        <w:numPr>
          <w:ilvl w:val="1"/>
          <w:numId w:val="2"/>
        </w:numPr>
        <w:tabs>
          <w:tab w:pos="891" w:val="left" w:leader="none"/>
        </w:tabs>
        <w:spacing w:line="240" w:lineRule="auto" w:before="180" w:after="0"/>
        <w:ind w:left="890" w:right="0" w:hanging="170"/>
        <w:jc w:val="left"/>
        <w:rPr>
          <w:sz w:val="20"/>
        </w:rPr>
      </w:pPr>
      <w:r>
        <w:rPr>
          <w:color w:val="231F20"/>
          <w:w w:val="105"/>
          <w:sz w:val="20"/>
        </w:rPr>
        <w:t>Identify the etiologic</w:t>
      </w:r>
      <w:r>
        <w:rPr>
          <w:color w:val="231F20"/>
          <w:spacing w:val="-34"/>
          <w:w w:val="105"/>
          <w:sz w:val="20"/>
        </w:rPr>
        <w:t> </w:t>
      </w:r>
      <w:r>
        <w:rPr>
          <w:color w:val="231F20"/>
          <w:w w:val="105"/>
          <w:sz w:val="20"/>
        </w:rPr>
        <w:t>agent;</w:t>
      </w:r>
    </w:p>
    <w:p>
      <w:pPr>
        <w:pStyle w:val="ListParagraph"/>
        <w:numPr>
          <w:ilvl w:val="1"/>
          <w:numId w:val="2"/>
        </w:numPr>
        <w:tabs>
          <w:tab w:pos="891" w:val="left" w:leader="none"/>
        </w:tabs>
        <w:spacing w:line="266" w:lineRule="auto" w:before="114" w:after="0"/>
        <w:ind w:left="890" w:right="52" w:hanging="170"/>
        <w:jc w:val="left"/>
        <w:rPr>
          <w:sz w:val="20"/>
        </w:rPr>
      </w:pPr>
      <w:r>
        <w:rPr>
          <w:color w:val="231F20"/>
          <w:w w:val="105"/>
          <w:sz w:val="20"/>
        </w:rPr>
        <w:t>Identify</w:t>
      </w:r>
      <w:r>
        <w:rPr>
          <w:color w:val="231F20"/>
          <w:spacing w:val="-15"/>
          <w:w w:val="105"/>
          <w:sz w:val="20"/>
        </w:rPr>
        <w:t> </w:t>
      </w:r>
      <w:r>
        <w:rPr>
          <w:color w:val="231F20"/>
          <w:w w:val="105"/>
          <w:sz w:val="20"/>
        </w:rPr>
        <w:t>persons</w:t>
      </w:r>
      <w:r>
        <w:rPr>
          <w:color w:val="231F20"/>
          <w:spacing w:val="-15"/>
          <w:w w:val="105"/>
          <w:sz w:val="20"/>
        </w:rPr>
        <w:t> </w:t>
      </w:r>
      <w:r>
        <w:rPr>
          <w:color w:val="231F20"/>
          <w:w w:val="105"/>
          <w:sz w:val="20"/>
        </w:rPr>
        <w:t>at</w:t>
      </w:r>
      <w:r>
        <w:rPr>
          <w:color w:val="231F20"/>
          <w:spacing w:val="-15"/>
          <w:w w:val="105"/>
          <w:sz w:val="20"/>
        </w:rPr>
        <w:t> </w:t>
      </w:r>
      <w:r>
        <w:rPr>
          <w:color w:val="231F20"/>
          <w:w w:val="105"/>
          <w:sz w:val="20"/>
        </w:rPr>
        <w:t>risk</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size</w:t>
      </w:r>
      <w:r>
        <w:rPr>
          <w:color w:val="231F20"/>
          <w:spacing w:val="-15"/>
          <w:w w:val="105"/>
          <w:sz w:val="20"/>
        </w:rPr>
        <w:t> </w:t>
      </w:r>
      <w:r>
        <w:rPr>
          <w:color w:val="231F20"/>
          <w:w w:val="105"/>
          <w:sz w:val="20"/>
        </w:rPr>
        <w:t>and</w:t>
      </w:r>
      <w:r>
        <w:rPr>
          <w:color w:val="231F20"/>
          <w:spacing w:val="-15"/>
          <w:w w:val="105"/>
          <w:sz w:val="20"/>
        </w:rPr>
        <w:t> </w:t>
      </w:r>
      <w:r>
        <w:rPr>
          <w:color w:val="231F20"/>
          <w:w w:val="105"/>
          <w:sz w:val="20"/>
        </w:rPr>
        <w:t>scope</w:t>
      </w:r>
      <w:r>
        <w:rPr>
          <w:color w:val="231F20"/>
          <w:spacing w:val="-15"/>
          <w:w w:val="105"/>
          <w:sz w:val="20"/>
        </w:rPr>
        <w:t> </w:t>
      </w:r>
      <w:r>
        <w:rPr>
          <w:color w:val="231F20"/>
          <w:w w:val="105"/>
          <w:sz w:val="20"/>
        </w:rPr>
        <w:t>of outbreak;</w:t>
      </w:r>
    </w:p>
    <w:p>
      <w:pPr>
        <w:pStyle w:val="ListParagraph"/>
        <w:numPr>
          <w:ilvl w:val="1"/>
          <w:numId w:val="2"/>
        </w:numPr>
        <w:tabs>
          <w:tab w:pos="891" w:val="left" w:leader="none"/>
        </w:tabs>
        <w:spacing w:line="240" w:lineRule="auto" w:before="89" w:after="0"/>
        <w:ind w:left="890" w:right="0" w:hanging="170"/>
        <w:jc w:val="left"/>
        <w:rPr>
          <w:sz w:val="20"/>
        </w:rPr>
      </w:pPr>
      <w:r>
        <w:rPr>
          <w:color w:val="231F20"/>
          <w:sz w:val="20"/>
        </w:rPr>
        <w:t>Identify mode of  transmission and </w:t>
      </w:r>
      <w:r>
        <w:rPr>
          <w:color w:val="231F20"/>
          <w:spacing w:val="6"/>
          <w:sz w:val="20"/>
        </w:rPr>
        <w:t> </w:t>
      </w:r>
      <w:r>
        <w:rPr>
          <w:color w:val="231F20"/>
          <w:sz w:val="20"/>
        </w:rPr>
        <w:t>vehicle;</w:t>
      </w:r>
    </w:p>
    <w:p>
      <w:pPr>
        <w:pStyle w:val="ListParagraph"/>
        <w:numPr>
          <w:ilvl w:val="1"/>
          <w:numId w:val="2"/>
        </w:numPr>
        <w:tabs>
          <w:tab w:pos="891" w:val="left" w:leader="none"/>
        </w:tabs>
        <w:spacing w:line="240" w:lineRule="auto" w:before="114" w:after="0"/>
        <w:ind w:left="890" w:right="0" w:hanging="170"/>
        <w:jc w:val="left"/>
        <w:rPr>
          <w:sz w:val="20"/>
        </w:rPr>
      </w:pPr>
      <w:r>
        <w:rPr>
          <w:color w:val="231F20"/>
          <w:w w:val="105"/>
          <w:sz w:val="20"/>
        </w:rPr>
        <w:t>Identify</w:t>
      </w:r>
      <w:r>
        <w:rPr>
          <w:color w:val="231F20"/>
          <w:spacing w:val="-17"/>
          <w:w w:val="105"/>
          <w:sz w:val="20"/>
        </w:rPr>
        <w:t> </w:t>
      </w:r>
      <w:r>
        <w:rPr>
          <w:color w:val="231F20"/>
          <w:w w:val="105"/>
          <w:sz w:val="20"/>
        </w:rPr>
        <w:t>the</w:t>
      </w:r>
      <w:r>
        <w:rPr>
          <w:color w:val="231F20"/>
          <w:spacing w:val="-17"/>
          <w:w w:val="105"/>
          <w:sz w:val="20"/>
        </w:rPr>
        <w:t> </w:t>
      </w:r>
      <w:r>
        <w:rPr>
          <w:color w:val="231F20"/>
          <w:w w:val="105"/>
          <w:sz w:val="20"/>
        </w:rPr>
        <w:t>source</w:t>
      </w:r>
      <w:r>
        <w:rPr>
          <w:color w:val="231F20"/>
          <w:spacing w:val="-17"/>
          <w:w w:val="105"/>
          <w:sz w:val="20"/>
        </w:rPr>
        <w:t> </w:t>
      </w:r>
      <w:r>
        <w:rPr>
          <w:color w:val="231F20"/>
          <w:w w:val="105"/>
          <w:sz w:val="20"/>
        </w:rPr>
        <w:t>of</w:t>
      </w:r>
      <w:r>
        <w:rPr>
          <w:color w:val="231F20"/>
          <w:spacing w:val="4"/>
          <w:w w:val="105"/>
          <w:sz w:val="20"/>
        </w:rPr>
        <w:t> </w:t>
      </w:r>
      <w:r>
        <w:rPr>
          <w:color w:val="231F20"/>
          <w:w w:val="105"/>
          <w:sz w:val="20"/>
        </w:rPr>
        <w:t>contamination;</w:t>
      </w:r>
    </w:p>
    <w:p>
      <w:pPr>
        <w:pStyle w:val="ListParagraph"/>
        <w:numPr>
          <w:ilvl w:val="1"/>
          <w:numId w:val="2"/>
        </w:numPr>
        <w:tabs>
          <w:tab w:pos="891" w:val="left" w:leader="none"/>
        </w:tabs>
        <w:spacing w:line="266" w:lineRule="auto" w:before="114" w:after="0"/>
        <w:ind w:left="890" w:right="1010" w:hanging="170"/>
        <w:jc w:val="left"/>
        <w:rPr>
          <w:sz w:val="20"/>
        </w:rPr>
      </w:pPr>
      <w:r>
        <w:rPr>
          <w:color w:val="231F20"/>
          <w:w w:val="105"/>
          <w:sz w:val="20"/>
        </w:rPr>
        <w:t>Identify</w:t>
      </w:r>
      <w:r>
        <w:rPr>
          <w:color w:val="231F20"/>
          <w:spacing w:val="-18"/>
          <w:w w:val="105"/>
          <w:sz w:val="20"/>
        </w:rPr>
        <w:t> </w:t>
      </w:r>
      <w:r>
        <w:rPr>
          <w:color w:val="231F20"/>
          <w:w w:val="105"/>
          <w:sz w:val="20"/>
        </w:rPr>
        <w:t>contributing</w:t>
      </w:r>
      <w:r>
        <w:rPr>
          <w:color w:val="231F20"/>
          <w:spacing w:val="-18"/>
          <w:w w:val="105"/>
          <w:sz w:val="20"/>
        </w:rPr>
        <w:t> </w:t>
      </w:r>
      <w:r>
        <w:rPr>
          <w:color w:val="231F20"/>
          <w:w w:val="105"/>
          <w:sz w:val="20"/>
        </w:rPr>
        <w:t>factors</w:t>
      </w:r>
      <w:r>
        <w:rPr>
          <w:color w:val="231F20"/>
          <w:spacing w:val="-18"/>
          <w:w w:val="105"/>
          <w:sz w:val="20"/>
        </w:rPr>
        <w:t> </w:t>
      </w:r>
      <w:r>
        <w:rPr>
          <w:color w:val="231F20"/>
          <w:w w:val="105"/>
          <w:sz w:val="20"/>
        </w:rPr>
        <w:t>and environmental antecedents;</w:t>
      </w:r>
      <w:r>
        <w:rPr>
          <w:color w:val="231F20"/>
          <w:spacing w:val="-24"/>
          <w:w w:val="105"/>
          <w:sz w:val="20"/>
        </w:rPr>
        <w:t> </w:t>
      </w:r>
      <w:r>
        <w:rPr>
          <w:color w:val="231F20"/>
          <w:w w:val="105"/>
          <w:sz w:val="20"/>
        </w:rPr>
        <w:t>and</w:t>
      </w:r>
    </w:p>
    <w:p>
      <w:pPr>
        <w:pStyle w:val="ListParagraph"/>
        <w:numPr>
          <w:ilvl w:val="1"/>
          <w:numId w:val="2"/>
        </w:numPr>
        <w:tabs>
          <w:tab w:pos="890" w:val="left" w:leader="none"/>
        </w:tabs>
        <w:spacing w:line="266" w:lineRule="auto" w:before="89" w:after="0"/>
        <w:ind w:left="889" w:right="0" w:hanging="169"/>
        <w:jc w:val="left"/>
        <w:rPr>
          <w:sz w:val="20"/>
        </w:rPr>
      </w:pPr>
      <w:r>
        <w:rPr>
          <w:color w:val="231F20"/>
          <w:sz w:val="20"/>
        </w:rPr>
        <w:t>Determine potential for ongoing transmission and need for abatement </w:t>
      </w:r>
      <w:r>
        <w:rPr>
          <w:color w:val="231F20"/>
          <w:spacing w:val="9"/>
          <w:sz w:val="20"/>
        </w:rPr>
        <w:t> </w:t>
      </w:r>
      <w:r>
        <w:rPr>
          <w:color w:val="231F20"/>
          <w:sz w:val="20"/>
        </w:rPr>
        <w:t>procedures.</w:t>
      </w:r>
    </w:p>
    <w:p>
      <w:pPr>
        <w:spacing w:line="268" w:lineRule="auto" w:before="183"/>
        <w:ind w:left="720" w:right="-7" w:firstLine="0"/>
        <w:jc w:val="left"/>
        <w:rPr>
          <w:sz w:val="20"/>
        </w:rPr>
      </w:pPr>
      <w:r>
        <w:rPr>
          <w:rFonts w:ascii="Arial"/>
          <w:color w:val="00A94F"/>
          <w:sz w:val="18"/>
        </w:rPr>
        <w:t>Select</w:t>
      </w:r>
      <w:r>
        <w:rPr>
          <w:rFonts w:ascii="Arial"/>
          <w:color w:val="00A94F"/>
          <w:spacing w:val="-13"/>
          <w:sz w:val="18"/>
        </w:rPr>
        <w:t> </w:t>
      </w:r>
      <w:r>
        <w:rPr>
          <w:rFonts w:ascii="Arial"/>
          <w:color w:val="00A94F"/>
          <w:sz w:val="18"/>
        </w:rPr>
        <w:t>and</w:t>
      </w:r>
      <w:r>
        <w:rPr>
          <w:rFonts w:ascii="Arial"/>
          <w:color w:val="00A94F"/>
          <w:spacing w:val="-13"/>
          <w:sz w:val="18"/>
        </w:rPr>
        <w:t> </w:t>
      </w:r>
      <w:r>
        <w:rPr>
          <w:rFonts w:ascii="Arial"/>
          <w:color w:val="00A94F"/>
          <w:sz w:val="18"/>
        </w:rPr>
        <w:t>Assign</w:t>
      </w:r>
      <w:r>
        <w:rPr>
          <w:rFonts w:ascii="Arial"/>
          <w:color w:val="00A94F"/>
          <w:spacing w:val="-13"/>
          <w:sz w:val="18"/>
        </w:rPr>
        <w:t> </w:t>
      </w:r>
      <w:r>
        <w:rPr>
          <w:rFonts w:ascii="Arial"/>
          <w:color w:val="00A94F"/>
          <w:sz w:val="18"/>
        </w:rPr>
        <w:t>Investigation</w:t>
      </w:r>
      <w:r>
        <w:rPr>
          <w:rFonts w:ascii="Arial"/>
          <w:color w:val="00A94F"/>
          <w:spacing w:val="-13"/>
          <w:sz w:val="18"/>
        </w:rPr>
        <w:t> </w:t>
      </w:r>
      <w:r>
        <w:rPr>
          <w:rFonts w:ascii="Arial"/>
          <w:color w:val="00A94F"/>
          <w:sz w:val="18"/>
        </w:rPr>
        <w:t>Activities</w:t>
      </w:r>
      <w:r>
        <w:rPr>
          <w:rFonts w:ascii="Arial"/>
          <w:color w:val="00A94F"/>
          <w:spacing w:val="-13"/>
          <w:sz w:val="18"/>
        </w:rPr>
        <w:t> </w:t>
      </w:r>
      <w:r>
        <w:rPr>
          <w:rFonts w:ascii="Arial"/>
          <w:color w:val="00A94F"/>
          <w:sz w:val="18"/>
        </w:rPr>
        <w:t>(5.2.4) </w:t>
      </w:r>
      <w:r>
        <w:rPr>
          <w:rFonts w:ascii="Times New Roman"/>
          <w:color w:val="231F20"/>
          <w:sz w:val="20"/>
        </w:rPr>
        <w:t>Epidemiologic, environmental health, and </w:t>
      </w:r>
      <w:r>
        <w:rPr>
          <w:color w:val="231F20"/>
          <w:sz w:val="20"/>
        </w:rPr>
        <w:t>public health laboratory activities that support </w:t>
      </w:r>
      <w:r>
        <w:rPr>
          <w:rFonts w:ascii="Times New Roman"/>
          <w:color w:val="231F20"/>
          <w:sz w:val="20"/>
        </w:rPr>
        <w:t>these</w:t>
      </w:r>
      <w:r>
        <w:rPr>
          <w:rFonts w:ascii="Times New Roman"/>
          <w:color w:val="231F20"/>
          <w:spacing w:val="-9"/>
          <w:sz w:val="20"/>
        </w:rPr>
        <w:t> </w:t>
      </w:r>
      <w:r>
        <w:rPr>
          <w:rFonts w:ascii="Times New Roman"/>
          <w:color w:val="231F20"/>
          <w:sz w:val="20"/>
        </w:rPr>
        <w:t>objectives</w:t>
      </w:r>
      <w:r>
        <w:rPr>
          <w:rFonts w:ascii="Times New Roman"/>
          <w:color w:val="231F20"/>
          <w:spacing w:val="-9"/>
          <w:sz w:val="20"/>
        </w:rPr>
        <w:t> </w:t>
      </w:r>
      <w:r>
        <w:rPr>
          <w:rFonts w:ascii="Times New Roman"/>
          <w:color w:val="231F20"/>
          <w:sz w:val="20"/>
        </w:rPr>
        <w:t>should</w:t>
      </w:r>
      <w:r>
        <w:rPr>
          <w:rFonts w:ascii="Times New Roman"/>
          <w:color w:val="231F20"/>
          <w:spacing w:val="-8"/>
          <w:sz w:val="20"/>
        </w:rPr>
        <w:t> </w:t>
      </w:r>
      <w:r>
        <w:rPr>
          <w:rFonts w:ascii="Times New Roman"/>
          <w:color w:val="231F20"/>
          <w:sz w:val="20"/>
        </w:rPr>
        <w:t>be</w:t>
      </w:r>
      <w:r>
        <w:rPr>
          <w:rFonts w:ascii="Times New Roman"/>
          <w:color w:val="231F20"/>
          <w:spacing w:val="-8"/>
          <w:sz w:val="20"/>
        </w:rPr>
        <w:t> </w:t>
      </w:r>
      <w:r>
        <w:rPr>
          <w:rFonts w:ascii="Times New Roman"/>
          <w:color w:val="231F20"/>
          <w:sz w:val="20"/>
        </w:rPr>
        <w:t>assigned</w:t>
      </w:r>
      <w:r>
        <w:rPr>
          <w:rFonts w:ascii="Times New Roman"/>
          <w:color w:val="231F20"/>
          <w:spacing w:val="-9"/>
          <w:sz w:val="20"/>
        </w:rPr>
        <w:t> </w:t>
      </w:r>
      <w:r>
        <w:rPr>
          <w:rFonts w:ascii="Times New Roman"/>
          <w:color w:val="231F20"/>
          <w:sz w:val="20"/>
        </w:rPr>
        <w:t>to</w:t>
      </w:r>
      <w:r>
        <w:rPr>
          <w:rFonts w:ascii="Times New Roman"/>
          <w:color w:val="231F20"/>
          <w:spacing w:val="-9"/>
          <w:sz w:val="20"/>
        </w:rPr>
        <w:t> </w:t>
      </w:r>
      <w:r>
        <w:rPr>
          <w:rFonts w:ascii="Times New Roman"/>
          <w:color w:val="231F20"/>
          <w:sz w:val="20"/>
        </w:rPr>
        <w:t>outbreak </w:t>
      </w:r>
      <w:r>
        <w:rPr>
          <w:color w:val="231F20"/>
          <w:sz w:val="20"/>
        </w:rPr>
        <w:t>investigation and control team </w:t>
      </w:r>
      <w:r>
        <w:rPr>
          <w:color w:val="231F20"/>
          <w:spacing w:val="47"/>
          <w:sz w:val="20"/>
        </w:rPr>
        <w:t> </w:t>
      </w:r>
      <w:r>
        <w:rPr>
          <w:color w:val="231F20"/>
          <w:sz w:val="20"/>
        </w:rPr>
        <w:t>members.</w:t>
      </w:r>
    </w:p>
    <w:p>
      <w:pPr>
        <w:pStyle w:val="BodyText"/>
        <w:spacing w:line="266" w:lineRule="auto"/>
        <w:ind w:left="720" w:right="331"/>
      </w:pPr>
      <w:r>
        <w:rPr>
          <w:color w:val="231F20"/>
        </w:rPr>
        <w:t>These activities will differ depending on   the specifics of the outbreak and whether the outbreak is associated with an event (or an establishment) or was identified through pathogen-specific </w:t>
      </w:r>
      <w:r>
        <w:rPr>
          <w:color w:val="231F20"/>
          <w:spacing w:val="14"/>
        </w:rPr>
        <w:t> </w:t>
      </w:r>
      <w:r>
        <w:rPr>
          <w:color w:val="231F20"/>
        </w:rPr>
        <w:t>surveillance.</w:t>
      </w:r>
    </w:p>
    <w:p>
      <w:pPr>
        <w:spacing w:before="182"/>
        <w:ind w:left="720" w:right="0" w:firstLine="0"/>
        <w:jc w:val="left"/>
        <w:rPr>
          <w:i/>
          <w:sz w:val="20"/>
        </w:rPr>
      </w:pPr>
      <w:r>
        <w:rPr>
          <w:i/>
          <w:color w:val="E36F1E"/>
          <w:w w:val="105"/>
          <w:sz w:val="20"/>
        </w:rPr>
        <w:t>Cluster investigation—model practices (5.2.4.1)</w:t>
      </w:r>
    </w:p>
    <w:p>
      <w:pPr>
        <w:pStyle w:val="BodyText"/>
        <w:spacing w:line="261" w:lineRule="auto" w:before="24"/>
        <w:ind w:left="720" w:right="152"/>
        <w:rPr>
          <w:rFonts w:ascii="Times New Roman"/>
        </w:rPr>
      </w:pPr>
      <w:r>
        <w:rPr>
          <w:color w:val="231F20"/>
        </w:rPr>
        <w:t>The practices used </w:t>
      </w:r>
      <w:r>
        <w:rPr>
          <w:color w:val="231F20"/>
          <w:spacing w:val="-3"/>
        </w:rPr>
        <w:t>by </w:t>
      </w:r>
      <w:r>
        <w:rPr>
          <w:color w:val="231F20"/>
        </w:rPr>
        <w:t>an agency to investigate  a cluster vary on the basis of a host of factors. The following practices should be considered  </w:t>
      </w:r>
      <w:r>
        <w:rPr>
          <w:rFonts w:ascii="Times New Roman"/>
          <w:color w:val="231F20"/>
        </w:rPr>
        <w:t>to</w:t>
      </w:r>
      <w:r>
        <w:rPr>
          <w:rFonts w:ascii="Times New Roman"/>
          <w:color w:val="231F20"/>
          <w:spacing w:val="-23"/>
        </w:rPr>
        <w:t> </w:t>
      </w:r>
      <w:r>
        <w:rPr>
          <w:rFonts w:ascii="Times New Roman"/>
          <w:color w:val="231F20"/>
        </w:rPr>
        <w:t>improve</w:t>
      </w:r>
      <w:r>
        <w:rPr>
          <w:rFonts w:ascii="Times New Roman"/>
          <w:color w:val="231F20"/>
          <w:spacing w:val="-22"/>
        </w:rPr>
        <w:t> </w:t>
      </w:r>
      <w:r>
        <w:rPr>
          <w:rFonts w:ascii="Times New Roman"/>
          <w:color w:val="231F20"/>
        </w:rPr>
        <w:t>cluster</w:t>
      </w:r>
      <w:r>
        <w:rPr>
          <w:rFonts w:ascii="Times New Roman"/>
          <w:color w:val="231F20"/>
          <w:spacing w:val="-22"/>
        </w:rPr>
        <w:t> </w:t>
      </w:r>
      <w:r>
        <w:rPr>
          <w:rFonts w:ascii="Times New Roman"/>
          <w:color w:val="231F20"/>
        </w:rPr>
        <w:t>investigation:</w:t>
      </w:r>
    </w:p>
    <w:p>
      <w:pPr>
        <w:pStyle w:val="ListParagraph"/>
        <w:numPr>
          <w:ilvl w:val="1"/>
          <w:numId w:val="2"/>
        </w:numPr>
        <w:tabs>
          <w:tab w:pos="891" w:val="left" w:leader="none"/>
        </w:tabs>
        <w:spacing w:line="266" w:lineRule="auto" w:before="193" w:after="0"/>
        <w:ind w:left="890" w:right="123" w:hanging="170"/>
        <w:jc w:val="left"/>
        <w:rPr>
          <w:sz w:val="20"/>
        </w:rPr>
      </w:pPr>
      <w:r>
        <w:rPr>
          <w:color w:val="231F20"/>
          <w:w w:val="105"/>
          <w:sz w:val="20"/>
        </w:rPr>
        <w:t>Interview</w:t>
      </w:r>
      <w:r>
        <w:rPr>
          <w:color w:val="231F20"/>
          <w:spacing w:val="-16"/>
          <w:w w:val="105"/>
          <w:sz w:val="20"/>
        </w:rPr>
        <w:t> </w:t>
      </w:r>
      <w:r>
        <w:rPr>
          <w:color w:val="231F20"/>
          <w:w w:val="105"/>
          <w:sz w:val="20"/>
        </w:rPr>
        <w:t>cases</w:t>
      </w:r>
      <w:r>
        <w:rPr>
          <w:color w:val="231F20"/>
          <w:spacing w:val="-16"/>
          <w:w w:val="105"/>
          <w:sz w:val="20"/>
        </w:rPr>
        <w:t> </w:t>
      </w:r>
      <w:r>
        <w:rPr>
          <w:color w:val="231F20"/>
          <w:w w:val="105"/>
          <w:sz w:val="20"/>
        </w:rPr>
        <w:t>involved</w:t>
      </w:r>
      <w:r>
        <w:rPr>
          <w:color w:val="231F20"/>
          <w:spacing w:val="-16"/>
          <w:w w:val="105"/>
          <w:sz w:val="20"/>
        </w:rPr>
        <w:t> </w:t>
      </w:r>
      <w:r>
        <w:rPr>
          <w:color w:val="231F20"/>
          <w:w w:val="105"/>
          <w:sz w:val="20"/>
        </w:rPr>
        <w:t>in</w:t>
      </w:r>
      <w:r>
        <w:rPr>
          <w:color w:val="231F20"/>
          <w:spacing w:val="-16"/>
          <w:w w:val="105"/>
          <w:sz w:val="20"/>
        </w:rPr>
        <w:t> </w:t>
      </w:r>
      <w:r>
        <w:rPr>
          <w:color w:val="231F20"/>
          <w:w w:val="105"/>
          <w:sz w:val="20"/>
        </w:rPr>
        <w:t>a</w:t>
      </w:r>
      <w:r>
        <w:rPr>
          <w:color w:val="231F20"/>
          <w:spacing w:val="-16"/>
          <w:w w:val="105"/>
          <w:sz w:val="20"/>
        </w:rPr>
        <w:t> </w:t>
      </w:r>
      <w:r>
        <w:rPr>
          <w:color w:val="231F20"/>
          <w:w w:val="105"/>
          <w:sz w:val="20"/>
        </w:rPr>
        <w:t>cluster</w:t>
      </w:r>
      <w:r>
        <w:rPr>
          <w:color w:val="231F20"/>
          <w:spacing w:val="-16"/>
          <w:w w:val="105"/>
          <w:sz w:val="20"/>
        </w:rPr>
        <w:t> </w:t>
      </w:r>
      <w:r>
        <w:rPr>
          <w:color w:val="231F20"/>
          <w:w w:val="105"/>
          <w:sz w:val="20"/>
        </w:rPr>
        <w:t>as</w:t>
      </w:r>
      <w:r>
        <w:rPr>
          <w:color w:val="231F20"/>
          <w:spacing w:val="-16"/>
          <w:w w:val="105"/>
          <w:sz w:val="20"/>
        </w:rPr>
        <w:t> </w:t>
      </w:r>
      <w:r>
        <w:rPr>
          <w:color w:val="231F20"/>
          <w:w w:val="105"/>
          <w:sz w:val="20"/>
        </w:rPr>
        <w:t>soon as possible, and use interview techniques </w:t>
      </w:r>
      <w:r>
        <w:rPr>
          <w:color w:val="231F20"/>
          <w:spacing w:val="-4"/>
          <w:w w:val="105"/>
          <w:sz w:val="20"/>
        </w:rPr>
        <w:t>(e.g., </w:t>
      </w:r>
      <w:r>
        <w:rPr>
          <w:color w:val="231F20"/>
          <w:w w:val="105"/>
          <w:sz w:val="20"/>
        </w:rPr>
        <w:t>review of cash register receipts or use </w:t>
      </w:r>
      <w:r>
        <w:rPr>
          <w:rFonts w:ascii="Times New Roman"/>
          <w:color w:val="231F20"/>
          <w:w w:val="105"/>
          <w:sz w:val="20"/>
        </w:rPr>
        <w:t>of</w:t>
      </w:r>
      <w:r>
        <w:rPr>
          <w:rFonts w:ascii="Times New Roman"/>
          <w:color w:val="231F20"/>
          <w:spacing w:val="-4"/>
          <w:w w:val="105"/>
          <w:sz w:val="20"/>
        </w:rPr>
        <w:t> </w:t>
      </w:r>
      <w:r>
        <w:rPr>
          <w:rFonts w:ascii="Times New Roman"/>
          <w:color w:val="231F20"/>
          <w:w w:val="105"/>
          <w:sz w:val="20"/>
        </w:rPr>
        <w:t>a</w:t>
      </w:r>
      <w:r>
        <w:rPr>
          <w:rFonts w:ascii="Times New Roman"/>
          <w:color w:val="231F20"/>
          <w:spacing w:val="-22"/>
          <w:w w:val="105"/>
          <w:sz w:val="20"/>
        </w:rPr>
        <w:t> </w:t>
      </w:r>
      <w:r>
        <w:rPr>
          <w:rFonts w:ascii="Times New Roman"/>
          <w:color w:val="231F20"/>
          <w:w w:val="105"/>
          <w:sz w:val="20"/>
        </w:rPr>
        <w:t>calendar</w:t>
      </w:r>
      <w:r>
        <w:rPr>
          <w:rFonts w:ascii="Times New Roman"/>
          <w:color w:val="231F20"/>
          <w:spacing w:val="-22"/>
          <w:w w:val="105"/>
          <w:sz w:val="20"/>
        </w:rPr>
        <w:t> </w:t>
      </w:r>
      <w:r>
        <w:rPr>
          <w:rFonts w:ascii="Times New Roman"/>
          <w:color w:val="231F20"/>
          <w:w w:val="105"/>
          <w:sz w:val="20"/>
        </w:rPr>
        <w:t>to</w:t>
      </w:r>
      <w:r>
        <w:rPr>
          <w:rFonts w:ascii="Times New Roman"/>
          <w:color w:val="231F20"/>
          <w:spacing w:val="-22"/>
          <w:w w:val="105"/>
          <w:sz w:val="20"/>
        </w:rPr>
        <w:t> </w:t>
      </w:r>
      <w:r>
        <w:rPr>
          <w:rFonts w:ascii="Times New Roman"/>
          <w:color w:val="231F20"/>
          <w:w w:val="105"/>
          <w:sz w:val="20"/>
        </w:rPr>
        <w:t>reconstruct</w:t>
      </w:r>
      <w:r>
        <w:rPr>
          <w:rFonts w:ascii="Times New Roman"/>
          <w:color w:val="231F20"/>
          <w:spacing w:val="-23"/>
          <w:w w:val="105"/>
          <w:sz w:val="20"/>
        </w:rPr>
        <w:t> </w:t>
      </w:r>
      <w:r>
        <w:rPr>
          <w:rFonts w:ascii="Times New Roman"/>
          <w:color w:val="231F20"/>
          <w:w w:val="105"/>
          <w:sz w:val="20"/>
        </w:rPr>
        <w:t>recent</w:t>
      </w:r>
      <w:r>
        <w:rPr>
          <w:rFonts w:ascii="Times New Roman"/>
          <w:color w:val="231F20"/>
          <w:spacing w:val="-22"/>
          <w:w w:val="105"/>
          <w:sz w:val="20"/>
        </w:rPr>
        <w:t> </w:t>
      </w:r>
      <w:r>
        <w:rPr>
          <w:rFonts w:ascii="Times New Roman"/>
          <w:color w:val="231F20"/>
          <w:w w:val="105"/>
          <w:sz w:val="20"/>
        </w:rPr>
        <w:t>events) </w:t>
      </w:r>
      <w:r>
        <w:rPr>
          <w:color w:val="231F20"/>
          <w:w w:val="105"/>
          <w:sz w:val="20"/>
        </w:rPr>
        <w:t>that encourage recall of exposures. </w:t>
      </w:r>
      <w:r>
        <w:rPr>
          <w:color w:val="231F20"/>
          <w:spacing w:val="-3"/>
          <w:w w:val="105"/>
          <w:sz w:val="20"/>
        </w:rPr>
        <w:t>Trained </w:t>
      </w:r>
      <w:r>
        <w:rPr>
          <w:color w:val="231F20"/>
          <w:w w:val="105"/>
          <w:sz w:val="20"/>
        </w:rPr>
        <w:t>interviewers who </w:t>
      </w:r>
      <w:r>
        <w:rPr>
          <w:color w:val="231F20"/>
          <w:spacing w:val="-3"/>
          <w:w w:val="105"/>
          <w:sz w:val="20"/>
        </w:rPr>
        <w:t>have </w:t>
      </w:r>
      <w:r>
        <w:rPr>
          <w:color w:val="231F20"/>
          <w:w w:val="105"/>
          <w:sz w:val="20"/>
        </w:rPr>
        <w:t>demonstrated proficiency</w:t>
      </w:r>
      <w:r>
        <w:rPr>
          <w:color w:val="231F20"/>
          <w:spacing w:val="-22"/>
          <w:w w:val="105"/>
          <w:sz w:val="20"/>
        </w:rPr>
        <w:t> </w:t>
      </w:r>
      <w:r>
        <w:rPr>
          <w:color w:val="231F20"/>
          <w:w w:val="105"/>
          <w:sz w:val="20"/>
        </w:rPr>
        <w:t>in</w:t>
      </w:r>
      <w:r>
        <w:rPr>
          <w:color w:val="231F20"/>
          <w:spacing w:val="-22"/>
          <w:w w:val="105"/>
          <w:sz w:val="20"/>
        </w:rPr>
        <w:t> </w:t>
      </w:r>
      <w:r>
        <w:rPr>
          <w:color w:val="231F20"/>
          <w:w w:val="105"/>
          <w:sz w:val="20"/>
        </w:rPr>
        <w:t>conducting</w:t>
      </w:r>
      <w:r>
        <w:rPr>
          <w:color w:val="231F20"/>
          <w:spacing w:val="-22"/>
          <w:w w:val="105"/>
          <w:sz w:val="20"/>
        </w:rPr>
        <w:t> </w:t>
      </w:r>
      <w:r>
        <w:rPr>
          <w:color w:val="231F20"/>
          <w:w w:val="105"/>
          <w:sz w:val="20"/>
        </w:rPr>
        <w:t>exposure</w:t>
      </w:r>
    </w:p>
    <w:p>
      <w:pPr>
        <w:pStyle w:val="BodyText"/>
        <w:spacing w:line="266" w:lineRule="auto" w:before="108"/>
        <w:ind w:left="491" w:right="1792"/>
      </w:pPr>
      <w:r>
        <w:rPr/>
        <w:br w:type="column"/>
      </w:r>
      <w:r>
        <w:rPr>
          <w:color w:val="231F20"/>
          <w:w w:val="105"/>
        </w:rPr>
        <w:t>interviews</w:t>
      </w:r>
      <w:r>
        <w:rPr>
          <w:color w:val="231F20"/>
          <w:spacing w:val="-21"/>
          <w:w w:val="105"/>
        </w:rPr>
        <w:t> </w:t>
      </w:r>
      <w:r>
        <w:rPr>
          <w:color w:val="231F20"/>
          <w:w w:val="105"/>
        </w:rPr>
        <w:t>should</w:t>
      </w:r>
      <w:r>
        <w:rPr>
          <w:color w:val="231F20"/>
          <w:spacing w:val="-21"/>
          <w:w w:val="105"/>
        </w:rPr>
        <w:t> </w:t>
      </w:r>
      <w:r>
        <w:rPr>
          <w:color w:val="231F20"/>
          <w:w w:val="105"/>
        </w:rPr>
        <w:t>conduct</w:t>
      </w:r>
      <w:r>
        <w:rPr>
          <w:color w:val="231F20"/>
          <w:spacing w:val="-21"/>
          <w:w w:val="105"/>
        </w:rPr>
        <w:t> </w:t>
      </w:r>
      <w:r>
        <w:rPr>
          <w:color w:val="231F20"/>
          <w:w w:val="105"/>
        </w:rPr>
        <w:t>the</w:t>
      </w:r>
      <w:r>
        <w:rPr>
          <w:color w:val="231F20"/>
          <w:spacing w:val="-21"/>
          <w:w w:val="105"/>
        </w:rPr>
        <w:t> </w:t>
      </w:r>
      <w:r>
        <w:rPr>
          <w:color w:val="231F20"/>
          <w:w w:val="105"/>
        </w:rPr>
        <w:t>interviews</w:t>
      </w:r>
      <w:r>
        <w:rPr>
          <w:color w:val="231F20"/>
          <w:w w:val="102"/>
        </w:rPr>
        <w:t> </w:t>
      </w:r>
      <w:r>
        <w:rPr>
          <w:color w:val="231F20"/>
          <w:w w:val="105"/>
        </w:rPr>
        <w:t>(5.2.4.1.1).</w:t>
      </w:r>
    </w:p>
    <w:p>
      <w:pPr>
        <w:pStyle w:val="ListParagraph"/>
        <w:numPr>
          <w:ilvl w:val="0"/>
          <w:numId w:val="2"/>
        </w:numPr>
        <w:tabs>
          <w:tab w:pos="492" w:val="left" w:leader="none"/>
        </w:tabs>
        <w:spacing w:line="266" w:lineRule="auto" w:before="90" w:after="0"/>
        <w:ind w:left="491" w:right="1599" w:hanging="171"/>
        <w:jc w:val="left"/>
        <w:rPr>
          <w:sz w:val="20"/>
        </w:rPr>
      </w:pPr>
      <w:r>
        <w:rPr>
          <w:color w:val="231F20"/>
          <w:w w:val="105"/>
          <w:sz w:val="20"/>
        </w:rPr>
        <w:t>Use</w:t>
      </w:r>
      <w:r>
        <w:rPr>
          <w:color w:val="231F20"/>
          <w:spacing w:val="-15"/>
          <w:w w:val="105"/>
          <w:sz w:val="20"/>
        </w:rPr>
        <w:t> </w:t>
      </w:r>
      <w:r>
        <w:rPr>
          <w:color w:val="231F20"/>
          <w:w w:val="105"/>
          <w:sz w:val="20"/>
        </w:rPr>
        <w:t>a</w:t>
      </w:r>
      <w:r>
        <w:rPr>
          <w:color w:val="231F20"/>
          <w:spacing w:val="-15"/>
          <w:w w:val="105"/>
          <w:sz w:val="20"/>
        </w:rPr>
        <w:t> </w:t>
      </w:r>
      <w:r>
        <w:rPr>
          <w:color w:val="231F20"/>
          <w:w w:val="105"/>
          <w:sz w:val="20"/>
        </w:rPr>
        <w:t>dynamic</w:t>
      </w:r>
      <w:r>
        <w:rPr>
          <w:color w:val="231F20"/>
          <w:spacing w:val="-15"/>
          <w:w w:val="105"/>
          <w:sz w:val="20"/>
        </w:rPr>
        <w:t> </w:t>
      </w:r>
      <w:r>
        <w:rPr>
          <w:color w:val="231F20"/>
          <w:w w:val="105"/>
          <w:sz w:val="20"/>
        </w:rPr>
        <w:t>cluster</w:t>
      </w:r>
      <w:r>
        <w:rPr>
          <w:color w:val="231F20"/>
          <w:spacing w:val="-15"/>
          <w:w w:val="105"/>
          <w:sz w:val="20"/>
        </w:rPr>
        <w:t> </w:t>
      </w:r>
      <w:r>
        <w:rPr>
          <w:color w:val="231F20"/>
          <w:w w:val="105"/>
          <w:sz w:val="20"/>
        </w:rPr>
        <w:t>investigation</w:t>
      </w:r>
      <w:r>
        <w:rPr>
          <w:color w:val="231F20"/>
          <w:spacing w:val="-15"/>
          <w:w w:val="105"/>
          <w:sz w:val="20"/>
        </w:rPr>
        <w:t> </w:t>
      </w:r>
      <w:r>
        <w:rPr>
          <w:color w:val="231F20"/>
          <w:w w:val="105"/>
          <w:sz w:val="20"/>
        </w:rPr>
        <w:t>process to generate hypotheses (5.2.4.1.2). In this model, initial cases in a recognized cluster are interviewed with a detailed exposure history questionnaire. As novel exposures are suggested during the interviews (i.e., are</w:t>
      </w:r>
      <w:r>
        <w:rPr>
          <w:color w:val="231F20"/>
          <w:spacing w:val="-12"/>
          <w:w w:val="105"/>
          <w:sz w:val="20"/>
        </w:rPr>
        <w:t> </w:t>
      </w:r>
      <w:r>
        <w:rPr>
          <w:color w:val="231F20"/>
          <w:w w:val="105"/>
          <w:sz w:val="20"/>
        </w:rPr>
        <w:t>commonly</w:t>
      </w:r>
      <w:r>
        <w:rPr>
          <w:color w:val="231F20"/>
          <w:spacing w:val="-12"/>
          <w:w w:val="105"/>
          <w:sz w:val="20"/>
        </w:rPr>
        <w:t> </w:t>
      </w:r>
      <w:r>
        <w:rPr>
          <w:color w:val="231F20"/>
          <w:w w:val="105"/>
          <w:sz w:val="20"/>
        </w:rPr>
        <w:t>reported</w:t>
      </w:r>
      <w:r>
        <w:rPr>
          <w:color w:val="231F20"/>
          <w:spacing w:val="-12"/>
          <w:w w:val="105"/>
          <w:sz w:val="20"/>
        </w:rPr>
        <w:t> </w:t>
      </w:r>
      <w:r>
        <w:rPr>
          <w:color w:val="231F20"/>
          <w:w w:val="105"/>
          <w:sz w:val="20"/>
        </w:rPr>
        <w:t>among</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first</w:t>
      </w:r>
    </w:p>
    <w:p>
      <w:pPr>
        <w:pStyle w:val="BodyText"/>
        <w:spacing w:line="266" w:lineRule="auto"/>
        <w:ind w:left="491" w:right="1674"/>
      </w:pPr>
      <w:r>
        <w:rPr>
          <w:color w:val="231F20"/>
          <w:w w:val="105"/>
        </w:rPr>
        <w:t>5-10 cases), initial cases are systematically re-interviewed to uniformly assess their</w:t>
      </w:r>
    </w:p>
    <w:p>
      <w:pPr>
        <w:pStyle w:val="BodyText"/>
        <w:spacing w:line="266" w:lineRule="auto"/>
        <w:ind w:left="491" w:right="1360"/>
      </w:pPr>
      <w:r>
        <w:rPr>
          <w:color w:val="231F20"/>
          <w:w w:val="105"/>
        </w:rPr>
        <w:t>exposure, and the exposures are added to the interview of subsequently identified cases.</w:t>
      </w:r>
    </w:p>
    <w:p>
      <w:pPr>
        <w:pStyle w:val="BodyText"/>
        <w:spacing w:line="266" w:lineRule="auto" w:before="90"/>
        <w:ind w:left="689" w:right="1792" w:hanging="189"/>
      </w:pPr>
      <w:r>
        <w:rPr>
          <w:rFonts w:ascii="Arial"/>
          <w:color w:val="1C3E94"/>
          <w:w w:val="105"/>
          <w:sz w:val="16"/>
        </w:rPr>
        <w:t>o </w:t>
      </w:r>
      <w:r>
        <w:rPr>
          <w:color w:val="231F20"/>
          <w:w w:val="105"/>
        </w:rPr>
        <w:t>For agencies that routinely interview ALL cases with a detailed exposure</w:t>
      </w:r>
    </w:p>
    <w:p>
      <w:pPr>
        <w:pStyle w:val="BodyText"/>
        <w:spacing w:line="266" w:lineRule="auto"/>
        <w:ind w:left="689" w:right="1353"/>
      </w:pPr>
      <w:r>
        <w:rPr>
          <w:color w:val="231F20"/>
          <w:w w:val="105"/>
        </w:rPr>
        <w:t>questionnaire when illness is first reported, dynamic cluster investigation can be initiated as soon as a cluster is recognized. Such an approach results in improved recall of exposures by cases and allows</w:t>
      </w:r>
    </w:p>
    <w:p>
      <w:pPr>
        <w:pStyle w:val="BodyText"/>
        <w:spacing w:line="266" w:lineRule="auto"/>
        <w:ind w:left="689" w:right="1394"/>
      </w:pPr>
      <w:r>
        <w:rPr>
          <w:color w:val="231F20"/>
          <w:w w:val="105"/>
        </w:rPr>
        <w:t>for the possibility of case–case analytic studies (i.e., case–control studies in which cases with microbial agents other than the agent under investigation, but who have been interviewed using the same form, are used as “controls” to identify risk factor differences). Because of the compressed </w:t>
      </w:r>
      <w:r>
        <w:rPr>
          <w:rFonts w:ascii="Times New Roman" w:hAnsi="Times New Roman"/>
          <w:color w:val="231F20"/>
          <w:w w:val="105"/>
        </w:rPr>
        <w:t>time frame of the investigation, the </w:t>
      </w:r>
      <w:r>
        <w:rPr>
          <w:color w:val="231F20"/>
          <w:w w:val="105"/>
        </w:rPr>
        <w:t>dynamic cluster investigation approach</w:t>
      </w:r>
    </w:p>
    <w:p>
      <w:pPr>
        <w:pStyle w:val="BodyText"/>
        <w:spacing w:line="266" w:lineRule="auto"/>
        <w:ind w:left="689" w:right="1729"/>
      </w:pPr>
      <w:r>
        <w:rPr>
          <w:color w:val="231F20"/>
          <w:w w:val="105"/>
        </w:rPr>
        <w:t>is more likely to result in a meaningful intervention (5.2.4.1.2.1).</w:t>
      </w:r>
    </w:p>
    <w:p>
      <w:pPr>
        <w:pStyle w:val="ListParagraph"/>
        <w:numPr>
          <w:ilvl w:val="0"/>
          <w:numId w:val="5"/>
        </w:numPr>
        <w:tabs>
          <w:tab w:pos="690" w:val="left" w:leader="none"/>
        </w:tabs>
        <w:spacing w:line="266" w:lineRule="auto" w:before="90" w:after="0"/>
        <w:ind w:left="689" w:right="1437" w:hanging="189"/>
        <w:jc w:val="left"/>
        <w:rPr>
          <w:sz w:val="20"/>
        </w:rPr>
      </w:pPr>
      <w:r>
        <w:rPr>
          <w:color w:val="231F20"/>
          <w:spacing w:val="-7"/>
          <w:w w:val="105"/>
          <w:sz w:val="20"/>
        </w:rPr>
        <w:t>For </w:t>
      </w:r>
      <w:r>
        <w:rPr>
          <w:color w:val="231F20"/>
          <w:w w:val="105"/>
          <w:sz w:val="20"/>
        </w:rPr>
        <w:t>agencies that do not </w:t>
      </w:r>
      <w:r>
        <w:rPr>
          <w:color w:val="231F20"/>
          <w:spacing w:val="-3"/>
          <w:w w:val="105"/>
          <w:sz w:val="20"/>
        </w:rPr>
        <w:t>have </w:t>
      </w:r>
      <w:r>
        <w:rPr>
          <w:color w:val="231F20"/>
          <w:w w:val="105"/>
          <w:sz w:val="20"/>
        </w:rPr>
        <w:t>sufficient resources to conduct detailed exposure history interviews for every case, a two- step interviewing process may be the best alternative. All cases are interviewed at</w:t>
      </w:r>
      <w:r>
        <w:rPr>
          <w:color w:val="231F20"/>
          <w:spacing w:val="-33"/>
          <w:w w:val="105"/>
          <w:sz w:val="20"/>
        </w:rPr>
        <w:t> </w:t>
      </w:r>
      <w:r>
        <w:rPr>
          <w:color w:val="231F20"/>
          <w:w w:val="105"/>
          <w:sz w:val="20"/>
        </w:rPr>
        <w:t>the </w:t>
      </w:r>
      <w:r>
        <w:rPr>
          <w:rFonts w:ascii="Times New Roman" w:hAnsi="Times New Roman"/>
          <w:color w:val="231F20"/>
          <w:w w:val="105"/>
          <w:sz w:val="20"/>
        </w:rPr>
        <w:t>time</w:t>
      </w:r>
      <w:r>
        <w:rPr>
          <w:rFonts w:ascii="Times New Roman" w:hAnsi="Times New Roman"/>
          <w:color w:val="231F20"/>
          <w:spacing w:val="-30"/>
          <w:w w:val="105"/>
          <w:sz w:val="20"/>
        </w:rPr>
        <w:t> </w:t>
      </w:r>
      <w:r>
        <w:rPr>
          <w:rFonts w:ascii="Times New Roman" w:hAnsi="Times New Roman"/>
          <w:color w:val="231F20"/>
          <w:w w:val="105"/>
          <w:sz w:val="20"/>
        </w:rPr>
        <w:t>of</w:t>
      </w:r>
      <w:r>
        <w:rPr>
          <w:rFonts w:ascii="Times New Roman" w:hAnsi="Times New Roman"/>
          <w:color w:val="231F20"/>
          <w:spacing w:val="-16"/>
          <w:w w:val="105"/>
          <w:sz w:val="20"/>
        </w:rPr>
        <w:t> </w:t>
      </w:r>
      <w:r>
        <w:rPr>
          <w:rFonts w:ascii="Times New Roman" w:hAnsi="Times New Roman"/>
          <w:color w:val="231F20"/>
          <w:w w:val="105"/>
          <w:sz w:val="20"/>
        </w:rPr>
        <w:t>initial</w:t>
      </w:r>
      <w:r>
        <w:rPr>
          <w:rFonts w:ascii="Times New Roman" w:hAnsi="Times New Roman"/>
          <w:color w:val="231F20"/>
          <w:spacing w:val="-30"/>
          <w:w w:val="105"/>
          <w:sz w:val="20"/>
        </w:rPr>
        <w:t> </w:t>
      </w:r>
      <w:r>
        <w:rPr>
          <w:rFonts w:ascii="Times New Roman" w:hAnsi="Times New Roman"/>
          <w:color w:val="231F20"/>
          <w:w w:val="105"/>
          <w:sz w:val="20"/>
        </w:rPr>
        <w:t>report</w:t>
      </w:r>
      <w:r>
        <w:rPr>
          <w:rFonts w:ascii="Times New Roman" w:hAnsi="Times New Roman"/>
          <w:color w:val="231F20"/>
          <w:spacing w:val="-30"/>
          <w:w w:val="105"/>
          <w:sz w:val="20"/>
        </w:rPr>
        <w:t> </w:t>
      </w:r>
      <w:r>
        <w:rPr>
          <w:rFonts w:ascii="Times New Roman" w:hAnsi="Times New Roman"/>
          <w:color w:val="231F20"/>
          <w:w w:val="105"/>
          <w:sz w:val="20"/>
        </w:rPr>
        <w:t>to</w:t>
      </w:r>
      <w:r>
        <w:rPr>
          <w:rFonts w:ascii="Times New Roman" w:hAnsi="Times New Roman"/>
          <w:color w:val="231F20"/>
          <w:spacing w:val="-30"/>
          <w:w w:val="105"/>
          <w:sz w:val="20"/>
        </w:rPr>
        <w:t> </w:t>
      </w:r>
      <w:r>
        <w:rPr>
          <w:rFonts w:ascii="Times New Roman" w:hAnsi="Times New Roman"/>
          <w:color w:val="231F20"/>
          <w:w w:val="105"/>
          <w:sz w:val="20"/>
        </w:rPr>
        <w:t>collect</w:t>
      </w:r>
      <w:r>
        <w:rPr>
          <w:rFonts w:ascii="Times New Roman" w:hAnsi="Times New Roman"/>
          <w:color w:val="231F20"/>
          <w:spacing w:val="-29"/>
          <w:w w:val="105"/>
          <w:sz w:val="20"/>
        </w:rPr>
        <w:t> </w:t>
      </w:r>
      <w:r>
        <w:rPr>
          <w:rFonts w:ascii="Times New Roman" w:hAnsi="Times New Roman"/>
          <w:color w:val="231F20"/>
          <w:w w:val="105"/>
          <w:sz w:val="20"/>
        </w:rPr>
        <w:t>information </w:t>
      </w:r>
      <w:r>
        <w:rPr>
          <w:color w:val="231F20"/>
          <w:w w:val="105"/>
          <w:sz w:val="20"/>
        </w:rPr>
        <w:t>about a limited set of “high-risk” exposures specific to the pathogen. When </w:t>
      </w:r>
      <w:r>
        <w:rPr>
          <w:rFonts w:ascii="Times New Roman" w:hAnsi="Times New Roman"/>
          <w:color w:val="231F20"/>
          <w:w w:val="105"/>
          <w:sz w:val="20"/>
        </w:rPr>
        <w:t>a cluster becomes apparent, all cases in </w:t>
      </w:r>
      <w:r>
        <w:rPr>
          <w:color w:val="231F20"/>
          <w:w w:val="105"/>
          <w:sz w:val="20"/>
        </w:rPr>
        <w:t>the cluster are then interviewed </w:t>
      </w:r>
      <w:r>
        <w:rPr>
          <w:color w:val="231F20"/>
          <w:spacing w:val="-3"/>
          <w:w w:val="105"/>
          <w:sz w:val="20"/>
        </w:rPr>
        <w:t>by </w:t>
      </w:r>
      <w:r>
        <w:rPr>
          <w:color w:val="231F20"/>
          <w:w w:val="105"/>
          <w:sz w:val="20"/>
        </w:rPr>
        <w:t>using a detailed exposure questionnaire following the “dynamic cluster investigation” approach</w:t>
      </w:r>
      <w:r>
        <w:rPr>
          <w:color w:val="231F20"/>
          <w:spacing w:val="1"/>
          <w:w w:val="105"/>
          <w:sz w:val="20"/>
        </w:rPr>
        <w:t> </w:t>
      </w:r>
      <w:r>
        <w:rPr>
          <w:color w:val="231F20"/>
          <w:w w:val="105"/>
          <w:sz w:val="20"/>
        </w:rPr>
        <w:t>(5.2.4.1.2.2).</w:t>
      </w:r>
    </w:p>
    <w:p>
      <w:pPr>
        <w:spacing w:after="0" w:line="266" w:lineRule="auto"/>
        <w:jc w:val="left"/>
        <w:rPr>
          <w:sz w:val="20"/>
        </w:rPr>
        <w:sectPr>
          <w:type w:val="continuous"/>
          <w:pgSz w:w="10080" w:h="14400"/>
          <w:pgMar w:top="0" w:bottom="360" w:left="0" w:right="0"/>
          <w:cols w:num="2" w:equalWidth="0">
            <w:col w:w="4500" w:space="40"/>
            <w:col w:w="5540"/>
          </w:cols>
        </w:sectPr>
      </w:pPr>
    </w:p>
    <w:p>
      <w:pPr>
        <w:pStyle w:val="BodyText"/>
        <w:spacing w:before="8"/>
        <w:rPr>
          <w:sz w:val="10"/>
        </w:rPr>
      </w:pPr>
    </w:p>
    <w:p>
      <w:pPr>
        <w:pStyle w:val="Heading1"/>
        <w:spacing w:line="249" w:lineRule="auto"/>
        <w:ind w:right="2580"/>
      </w:pPr>
      <w:r>
        <w:rPr/>
        <w:pict>
          <v:line style="position:absolute;mso-position-horizontal-relative:page;mso-position-vertical-relative:paragraph;z-index:3304;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3328" filled="true" fillcolor="#0079c1" stroked="false">
            <v:fill type="solid"/>
            <w10:wrap type="none"/>
          </v:rect>
        </w:pict>
      </w:r>
      <w:r>
        <w:rPr/>
        <w:pict>
          <v:line style="position:absolute;mso-position-horizontal-relative:page;mso-position-vertical-relative:paragraph;z-index:3352"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3376"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6" w:lineRule="auto" w:before="93"/>
        <w:ind w:left="1808" w:right="39" w:hanging="189"/>
      </w:pPr>
      <w:r>
        <w:rPr>
          <w:rFonts w:ascii="Arial"/>
          <w:color w:val="1C3E94"/>
          <w:w w:val="105"/>
          <w:sz w:val="16"/>
        </w:rPr>
        <w:t>o</w:t>
      </w:r>
      <w:r>
        <w:rPr>
          <w:rFonts w:ascii="Arial"/>
          <w:color w:val="1C3E94"/>
          <w:spacing w:val="6"/>
          <w:w w:val="105"/>
          <w:sz w:val="16"/>
        </w:rPr>
        <w:t> </w:t>
      </w:r>
      <w:r>
        <w:rPr>
          <w:rFonts w:ascii="Times New Roman"/>
          <w:color w:val="231F20"/>
          <w:w w:val="105"/>
        </w:rPr>
        <w:t>Judgment</w:t>
      </w:r>
      <w:r>
        <w:rPr>
          <w:rFonts w:ascii="Times New Roman"/>
          <w:color w:val="231F20"/>
          <w:spacing w:val="-20"/>
          <w:w w:val="105"/>
        </w:rPr>
        <w:t> </w:t>
      </w:r>
      <w:r>
        <w:rPr>
          <w:rFonts w:ascii="Times New Roman"/>
          <w:color w:val="231F20"/>
          <w:w w:val="105"/>
        </w:rPr>
        <w:t>is</w:t>
      </w:r>
      <w:r>
        <w:rPr>
          <w:rFonts w:ascii="Times New Roman"/>
          <w:color w:val="231F20"/>
          <w:spacing w:val="-21"/>
          <w:w w:val="105"/>
        </w:rPr>
        <w:t> </w:t>
      </w:r>
      <w:r>
        <w:rPr>
          <w:rFonts w:ascii="Times New Roman"/>
          <w:color w:val="231F20"/>
          <w:w w:val="105"/>
        </w:rPr>
        <w:t>required</w:t>
      </w:r>
      <w:r>
        <w:rPr>
          <w:rFonts w:ascii="Times New Roman"/>
          <w:color w:val="231F20"/>
          <w:spacing w:val="-21"/>
          <w:w w:val="105"/>
        </w:rPr>
        <w:t> </w:t>
      </w:r>
      <w:r>
        <w:rPr>
          <w:rFonts w:ascii="Times New Roman"/>
          <w:color w:val="231F20"/>
          <w:w w:val="105"/>
        </w:rPr>
        <w:t>in</w:t>
      </w:r>
      <w:r>
        <w:rPr>
          <w:rFonts w:ascii="Times New Roman"/>
          <w:color w:val="231F20"/>
          <w:spacing w:val="-21"/>
          <w:w w:val="105"/>
        </w:rPr>
        <w:t> </w:t>
      </w:r>
      <w:r>
        <w:rPr>
          <w:rFonts w:ascii="Times New Roman"/>
          <w:color w:val="231F20"/>
          <w:w w:val="105"/>
        </w:rPr>
        <w:t>the</w:t>
      </w:r>
      <w:r>
        <w:rPr>
          <w:rFonts w:ascii="Times New Roman"/>
          <w:color w:val="231F20"/>
          <w:spacing w:val="-21"/>
          <w:w w:val="105"/>
        </w:rPr>
        <w:t> </w:t>
      </w:r>
      <w:r>
        <w:rPr>
          <w:rFonts w:ascii="Times New Roman"/>
          <w:color w:val="231F20"/>
          <w:w w:val="105"/>
        </w:rPr>
        <w:t>interpretation </w:t>
      </w:r>
      <w:r>
        <w:rPr>
          <w:color w:val="231F20"/>
          <w:w w:val="105"/>
        </w:rPr>
        <w:t>of hypothesis-generating interviews. Previously identified risk factors for the </w:t>
      </w:r>
      <w:r>
        <w:rPr>
          <w:rFonts w:ascii="Times New Roman"/>
          <w:color w:val="231F20"/>
          <w:w w:val="105"/>
        </w:rPr>
        <w:t>pathogen in an outbreak should not be </w:t>
      </w:r>
      <w:r>
        <w:rPr>
          <w:color w:val="231F20"/>
          <w:w w:val="105"/>
        </w:rPr>
        <w:t>ruled out just because fewer than half of cases reported the exposure, particularly if the exposure is unusual or difficult to recognize. </w:t>
      </w:r>
      <w:r>
        <w:rPr>
          <w:color w:val="231F20"/>
          <w:spacing w:val="-7"/>
          <w:w w:val="105"/>
        </w:rPr>
        <w:t>For </w:t>
      </w:r>
      <w:r>
        <w:rPr>
          <w:color w:val="231F20"/>
          <w:w w:val="105"/>
        </w:rPr>
        <w:t>testing hypotheses, the specificity</w:t>
      </w:r>
      <w:r>
        <w:rPr>
          <w:color w:val="231F20"/>
          <w:spacing w:val="-24"/>
          <w:w w:val="105"/>
        </w:rPr>
        <w:t> </w:t>
      </w:r>
      <w:r>
        <w:rPr>
          <w:color w:val="231F20"/>
          <w:w w:val="105"/>
        </w:rPr>
        <w:t>of</w:t>
      </w:r>
      <w:r>
        <w:rPr>
          <w:color w:val="231F20"/>
          <w:spacing w:val="-7"/>
          <w:w w:val="105"/>
        </w:rPr>
        <w:t> </w:t>
      </w:r>
      <w:r>
        <w:rPr>
          <w:color w:val="231F20"/>
          <w:w w:val="105"/>
        </w:rPr>
        <w:t>exposure</w:t>
      </w:r>
      <w:r>
        <w:rPr>
          <w:color w:val="231F20"/>
          <w:spacing w:val="-24"/>
          <w:w w:val="105"/>
        </w:rPr>
        <w:t> </w:t>
      </w:r>
      <w:r>
        <w:rPr>
          <w:color w:val="231F20"/>
          <w:w w:val="105"/>
        </w:rPr>
        <w:t>source</w:t>
      </w:r>
      <w:r>
        <w:rPr>
          <w:color w:val="231F20"/>
          <w:spacing w:val="-24"/>
          <w:w w:val="105"/>
        </w:rPr>
        <w:t> </w:t>
      </w:r>
      <w:r>
        <w:rPr>
          <w:color w:val="231F20"/>
          <w:w w:val="105"/>
        </w:rPr>
        <w:t>information is critical </w:t>
      </w:r>
      <w:r>
        <w:rPr>
          <w:color w:val="231F20"/>
          <w:spacing w:val="-4"/>
          <w:w w:val="105"/>
        </w:rPr>
        <w:t>(e.g., </w:t>
      </w:r>
      <w:r>
        <w:rPr>
          <w:color w:val="231F20"/>
          <w:w w:val="105"/>
        </w:rPr>
        <w:t>brand and product</w:t>
      </w:r>
      <w:r>
        <w:rPr>
          <w:color w:val="231F20"/>
          <w:spacing w:val="-7"/>
          <w:w w:val="105"/>
        </w:rPr>
        <w:t> </w:t>
      </w:r>
      <w:r>
        <w:rPr>
          <w:color w:val="231F20"/>
          <w:spacing w:val="-3"/>
          <w:w w:val="105"/>
        </w:rPr>
        <w:t>identity, </w:t>
      </w:r>
      <w:r>
        <w:rPr>
          <w:rFonts w:ascii="Times New Roman"/>
          <w:color w:val="231F20"/>
          <w:w w:val="105"/>
        </w:rPr>
        <w:t>purchase</w:t>
      </w:r>
      <w:r>
        <w:rPr>
          <w:rFonts w:ascii="Times New Roman"/>
          <w:color w:val="231F20"/>
          <w:spacing w:val="-34"/>
          <w:w w:val="105"/>
        </w:rPr>
        <w:t> </w:t>
      </w:r>
      <w:r>
        <w:rPr>
          <w:rFonts w:ascii="Times New Roman"/>
          <w:color w:val="231F20"/>
          <w:w w:val="105"/>
        </w:rPr>
        <w:t>dates,</w:t>
      </w:r>
      <w:r>
        <w:rPr>
          <w:rFonts w:ascii="Times New Roman"/>
          <w:color w:val="231F20"/>
          <w:spacing w:val="-34"/>
          <w:w w:val="105"/>
        </w:rPr>
        <w:t> </w:t>
      </w:r>
      <w:r>
        <w:rPr>
          <w:rFonts w:ascii="Times New Roman"/>
          <w:color w:val="231F20"/>
          <w:w w:val="105"/>
        </w:rPr>
        <w:t>distribution</w:t>
      </w:r>
      <w:r>
        <w:rPr>
          <w:rFonts w:ascii="Times New Roman"/>
          <w:color w:val="231F20"/>
          <w:spacing w:val="-34"/>
          <w:w w:val="105"/>
        </w:rPr>
        <w:t> </w:t>
      </w:r>
      <w:r>
        <w:rPr>
          <w:rFonts w:ascii="Times New Roman"/>
          <w:color w:val="231F20"/>
          <w:w w:val="105"/>
        </w:rPr>
        <w:t>information) in</w:t>
      </w:r>
      <w:r>
        <w:rPr>
          <w:rFonts w:ascii="Times New Roman"/>
          <w:color w:val="231F20"/>
          <w:spacing w:val="-24"/>
          <w:w w:val="105"/>
        </w:rPr>
        <w:t> </w:t>
      </w:r>
      <w:r>
        <w:rPr>
          <w:rFonts w:ascii="Times New Roman"/>
          <w:color w:val="231F20"/>
          <w:w w:val="105"/>
        </w:rPr>
        <w:t>implicating</w:t>
      </w:r>
      <w:r>
        <w:rPr>
          <w:rFonts w:ascii="Times New Roman"/>
          <w:color w:val="231F20"/>
          <w:spacing w:val="-24"/>
          <w:w w:val="105"/>
        </w:rPr>
        <w:t> </w:t>
      </w:r>
      <w:r>
        <w:rPr>
          <w:rFonts w:ascii="Times New Roman"/>
          <w:color w:val="231F20"/>
          <w:w w:val="105"/>
        </w:rPr>
        <w:t>a</w:t>
      </w:r>
      <w:r>
        <w:rPr>
          <w:rFonts w:ascii="Times New Roman"/>
          <w:color w:val="231F20"/>
          <w:spacing w:val="-23"/>
          <w:w w:val="105"/>
        </w:rPr>
        <w:t> </w:t>
      </w:r>
      <w:r>
        <w:rPr>
          <w:rFonts w:ascii="Times New Roman"/>
          <w:color w:val="231F20"/>
          <w:w w:val="105"/>
        </w:rPr>
        <w:t>food</w:t>
      </w:r>
      <w:r>
        <w:rPr>
          <w:rFonts w:ascii="Times New Roman"/>
          <w:color w:val="231F20"/>
          <w:spacing w:val="-23"/>
          <w:w w:val="105"/>
        </w:rPr>
        <w:t> </w:t>
      </w:r>
      <w:r>
        <w:rPr>
          <w:rFonts w:ascii="Times New Roman"/>
          <w:color w:val="231F20"/>
          <w:w w:val="105"/>
        </w:rPr>
        <w:t>item</w:t>
      </w:r>
      <w:r>
        <w:rPr>
          <w:rFonts w:ascii="Times New Roman"/>
          <w:color w:val="231F20"/>
          <w:spacing w:val="-23"/>
          <w:w w:val="105"/>
        </w:rPr>
        <w:t> </w:t>
      </w:r>
      <w:r>
        <w:rPr>
          <w:rFonts w:ascii="Times New Roman"/>
          <w:color w:val="231F20"/>
          <w:w w:val="105"/>
        </w:rPr>
        <w:t>and</w:t>
      </w:r>
      <w:r>
        <w:rPr>
          <w:rFonts w:ascii="Times New Roman"/>
          <w:color w:val="231F20"/>
          <w:spacing w:val="-24"/>
          <w:w w:val="105"/>
        </w:rPr>
        <w:t> </w:t>
      </w:r>
      <w:r>
        <w:rPr>
          <w:rFonts w:ascii="Times New Roman"/>
          <w:color w:val="231F20"/>
          <w:w w:val="105"/>
        </w:rPr>
        <w:t>facilitates </w:t>
      </w:r>
      <w:r>
        <w:rPr>
          <w:color w:val="231F20"/>
          <w:w w:val="105"/>
        </w:rPr>
        <w:t>traceback studies</w:t>
      </w:r>
      <w:r>
        <w:rPr>
          <w:color w:val="231F20"/>
          <w:spacing w:val="-21"/>
          <w:w w:val="105"/>
        </w:rPr>
        <w:t> </w:t>
      </w:r>
      <w:r>
        <w:rPr>
          <w:color w:val="231F20"/>
          <w:w w:val="105"/>
        </w:rPr>
        <w:t>(5.2.4.1.3).</w:t>
      </w:r>
    </w:p>
    <w:p>
      <w:pPr>
        <w:pStyle w:val="ListParagraph"/>
        <w:numPr>
          <w:ilvl w:val="1"/>
          <w:numId w:val="5"/>
        </w:numPr>
        <w:tabs>
          <w:tab w:pos="1611" w:val="left" w:leader="none"/>
        </w:tabs>
        <w:spacing w:line="266" w:lineRule="auto" w:before="89" w:after="0"/>
        <w:ind w:left="1610" w:right="205" w:hanging="170"/>
        <w:jc w:val="left"/>
        <w:rPr>
          <w:sz w:val="20"/>
        </w:rPr>
      </w:pPr>
      <w:r>
        <w:rPr>
          <w:color w:val="231F20"/>
          <w:sz w:val="20"/>
        </w:rPr>
        <w:t>Cross-reference case interviews with foodborne illness complaints to identify </w:t>
      </w:r>
      <w:r>
        <w:rPr>
          <w:rFonts w:ascii="Times New Roman"/>
          <w:color w:val="231F20"/>
          <w:sz w:val="20"/>
        </w:rPr>
        <w:t>undiagnosed cases that could be linked to </w:t>
      </w:r>
      <w:r>
        <w:rPr>
          <w:color w:val="231F20"/>
          <w:sz w:val="20"/>
        </w:rPr>
        <w:t>an outbreak. Common exposures reported in interviews related to foodborne illness complaints could be the key to identifying the source of  the outbreak </w:t>
      </w:r>
      <w:r>
        <w:rPr>
          <w:color w:val="231F20"/>
          <w:spacing w:val="5"/>
          <w:sz w:val="20"/>
        </w:rPr>
        <w:t> </w:t>
      </w:r>
      <w:r>
        <w:rPr>
          <w:color w:val="231F20"/>
          <w:sz w:val="20"/>
        </w:rPr>
        <w:t>(5.2.4.1.4).</w:t>
      </w:r>
    </w:p>
    <w:p>
      <w:pPr>
        <w:pStyle w:val="ListParagraph"/>
        <w:numPr>
          <w:ilvl w:val="1"/>
          <w:numId w:val="5"/>
        </w:numPr>
        <w:tabs>
          <w:tab w:pos="1610" w:val="left" w:leader="none"/>
        </w:tabs>
        <w:spacing w:line="259" w:lineRule="auto" w:before="89" w:after="0"/>
        <w:ind w:left="1609" w:right="203" w:hanging="169"/>
        <w:jc w:val="left"/>
        <w:rPr>
          <w:rFonts w:ascii="Times New Roman"/>
          <w:sz w:val="20"/>
        </w:rPr>
      </w:pPr>
      <w:r>
        <w:rPr>
          <w:color w:val="231F20"/>
          <w:spacing w:val="-11"/>
          <w:sz w:val="20"/>
        </w:rPr>
        <w:t>To </w:t>
      </w:r>
      <w:r>
        <w:rPr>
          <w:color w:val="231F20"/>
          <w:sz w:val="20"/>
        </w:rPr>
        <w:t>evaluate shared exposures among cases, use the </w:t>
      </w:r>
      <w:r>
        <w:rPr>
          <w:color w:val="231F20"/>
          <w:spacing w:val="-3"/>
          <w:sz w:val="20"/>
        </w:rPr>
        <w:t>FoodNet </w:t>
      </w:r>
      <w:r>
        <w:rPr>
          <w:color w:val="231F20"/>
          <w:sz w:val="20"/>
        </w:rPr>
        <w:t>Atlas of Exposures for </w:t>
      </w:r>
      <w:r>
        <w:rPr>
          <w:rFonts w:ascii="Times New Roman"/>
          <w:color w:val="231F20"/>
          <w:sz w:val="20"/>
        </w:rPr>
        <w:t>crude estimates of the background</w:t>
      </w:r>
      <w:r>
        <w:rPr>
          <w:rFonts w:ascii="Times New Roman"/>
          <w:color w:val="231F20"/>
          <w:spacing w:val="-1"/>
          <w:sz w:val="20"/>
        </w:rPr>
        <w:t> </w:t>
      </w:r>
      <w:r>
        <w:rPr>
          <w:rFonts w:ascii="Times New Roman"/>
          <w:color w:val="231F20"/>
          <w:sz w:val="20"/>
        </w:rPr>
        <w:t>rate</w:t>
      </w:r>
    </w:p>
    <w:p>
      <w:pPr>
        <w:pStyle w:val="BodyText"/>
        <w:spacing w:line="264" w:lineRule="auto" w:before="16"/>
        <w:ind w:left="1609" w:right="388"/>
      </w:pPr>
      <w:r>
        <w:rPr>
          <w:color w:val="231F20"/>
        </w:rPr>
        <w:t>of consumption of different foods in the community. The observed consumption </w:t>
      </w:r>
      <w:r>
        <w:rPr>
          <w:rFonts w:ascii="Times New Roman"/>
          <w:color w:val="231F20"/>
        </w:rPr>
        <w:t>rate among cases can be tested against </w:t>
      </w:r>
      <w:r>
        <w:rPr>
          <w:color w:val="231F20"/>
        </w:rPr>
        <w:t>the estimated rates by using a  binomial</w:t>
      </w:r>
    </w:p>
    <w:p>
      <w:pPr>
        <w:pStyle w:val="BodyText"/>
        <w:spacing w:line="266" w:lineRule="auto" w:before="2"/>
        <w:ind w:left="1609"/>
      </w:pPr>
      <w:r>
        <w:rPr>
          <w:color w:val="231F20"/>
        </w:rPr>
        <w:t>distribution probability model. In the absence of  survey data, common-sense estimates of the prevalence of a given exposure can help identify exposures of  interest (5.2.4.1.5).</w:t>
      </w:r>
    </w:p>
    <w:p>
      <w:pPr>
        <w:pStyle w:val="ListParagraph"/>
        <w:numPr>
          <w:ilvl w:val="1"/>
          <w:numId w:val="5"/>
        </w:numPr>
        <w:tabs>
          <w:tab w:pos="1611" w:val="left" w:leader="none"/>
        </w:tabs>
        <w:spacing w:line="264" w:lineRule="auto" w:before="75" w:after="0"/>
        <w:ind w:left="1610" w:right="187" w:hanging="170"/>
        <w:jc w:val="left"/>
        <w:rPr>
          <w:sz w:val="20"/>
        </w:rPr>
      </w:pPr>
      <w:r>
        <w:rPr>
          <w:rFonts w:ascii="Times New Roman"/>
          <w:color w:val="231F20"/>
          <w:sz w:val="20"/>
        </w:rPr>
        <w:t>Conduct an environmental health </w:t>
      </w:r>
      <w:r>
        <w:rPr>
          <w:color w:val="231F20"/>
          <w:sz w:val="20"/>
        </w:rPr>
        <w:t>assessment of implicated facilities. An environmental health assessment differs </w:t>
      </w:r>
      <w:r>
        <w:rPr>
          <w:rFonts w:ascii="Times New Roman"/>
          <w:color w:val="231F20"/>
          <w:sz w:val="20"/>
        </w:rPr>
        <w:t>from a general, routine inspection used for licensing a restaurant or food-production </w:t>
      </w:r>
      <w:r>
        <w:rPr>
          <w:color w:val="231F20"/>
          <w:spacing w:val="-3"/>
          <w:sz w:val="20"/>
        </w:rPr>
        <w:t>facility. </w:t>
      </w:r>
      <w:r>
        <w:rPr>
          <w:color w:val="231F20"/>
          <w:sz w:val="20"/>
        </w:rPr>
        <w:t>It focuses on the problem at hand and considers how the disease agent, host </w:t>
      </w:r>
      <w:r>
        <w:rPr>
          <w:rFonts w:ascii="Times New Roman"/>
          <w:color w:val="231F20"/>
          <w:sz w:val="20"/>
        </w:rPr>
        <w:t>factors, and environmental conditions </w:t>
      </w:r>
      <w:r>
        <w:rPr>
          <w:color w:val="231F20"/>
          <w:sz w:val="20"/>
        </w:rPr>
        <w:t>interacted to cause the problem (5.2.4.1.6). </w:t>
      </w:r>
      <w:r>
        <w:rPr>
          <w:rFonts w:ascii="Times New Roman"/>
          <w:color w:val="231F20"/>
          <w:sz w:val="20"/>
        </w:rPr>
        <w:t>The goals of an environmental health </w:t>
      </w:r>
      <w:r>
        <w:rPr>
          <w:color w:val="231F20"/>
          <w:sz w:val="20"/>
        </w:rPr>
        <w:t>assessment are to  identify:</w:t>
      </w:r>
    </w:p>
    <w:p>
      <w:pPr>
        <w:pStyle w:val="BodyText"/>
        <w:spacing w:line="276" w:lineRule="auto" w:before="77"/>
        <w:ind w:left="1808" w:hanging="189"/>
      </w:pPr>
      <w:r>
        <w:rPr>
          <w:rFonts w:ascii="Arial"/>
          <w:color w:val="1C3E94"/>
          <w:sz w:val="16"/>
        </w:rPr>
        <w:t>o </w:t>
      </w:r>
      <w:r>
        <w:rPr>
          <w:rFonts w:ascii="Times New Roman"/>
          <w:color w:val="231F20"/>
        </w:rPr>
        <w:t>Possible points of contamination of the </w:t>
      </w:r>
      <w:r>
        <w:rPr>
          <w:color w:val="231F20"/>
        </w:rPr>
        <w:t>implicated food with the disease  agent;</w:t>
      </w:r>
    </w:p>
    <w:p>
      <w:pPr>
        <w:pStyle w:val="ListParagraph"/>
        <w:numPr>
          <w:ilvl w:val="0"/>
          <w:numId w:val="5"/>
        </w:numPr>
        <w:tabs>
          <w:tab w:pos="690" w:val="left" w:leader="none"/>
        </w:tabs>
        <w:spacing w:line="271" w:lineRule="auto" w:before="93" w:after="0"/>
        <w:ind w:left="689" w:right="942" w:hanging="189"/>
        <w:jc w:val="left"/>
        <w:rPr>
          <w:sz w:val="20"/>
        </w:rPr>
      </w:pPr>
      <w:r>
        <w:rPr>
          <w:rFonts w:ascii="Times New Roman"/>
          <w:color w:val="231F20"/>
          <w:w w:val="102"/>
          <w:sz w:val="20"/>
        </w:rPr>
        <w:br w:type="column"/>
      </w:r>
      <w:r>
        <w:rPr>
          <w:rFonts w:ascii="Times New Roman"/>
          <w:color w:val="231F20"/>
          <w:w w:val="105"/>
          <w:sz w:val="20"/>
        </w:rPr>
        <w:t>Whether</w:t>
      </w:r>
      <w:r>
        <w:rPr>
          <w:rFonts w:ascii="Times New Roman"/>
          <w:color w:val="231F20"/>
          <w:spacing w:val="-30"/>
          <w:w w:val="105"/>
          <w:sz w:val="20"/>
        </w:rPr>
        <w:t> </w:t>
      </w:r>
      <w:r>
        <w:rPr>
          <w:rFonts w:ascii="Times New Roman"/>
          <w:color w:val="231F20"/>
          <w:w w:val="105"/>
          <w:sz w:val="20"/>
        </w:rPr>
        <w:t>the</w:t>
      </w:r>
      <w:r>
        <w:rPr>
          <w:rFonts w:ascii="Times New Roman"/>
          <w:color w:val="231F20"/>
          <w:spacing w:val="-30"/>
          <w:w w:val="105"/>
          <w:sz w:val="20"/>
        </w:rPr>
        <w:t> </w:t>
      </w:r>
      <w:r>
        <w:rPr>
          <w:rFonts w:ascii="Times New Roman"/>
          <w:color w:val="231F20"/>
          <w:w w:val="105"/>
          <w:sz w:val="20"/>
        </w:rPr>
        <w:t>causative</w:t>
      </w:r>
      <w:r>
        <w:rPr>
          <w:rFonts w:ascii="Times New Roman"/>
          <w:color w:val="231F20"/>
          <w:spacing w:val="-30"/>
          <w:w w:val="105"/>
          <w:sz w:val="20"/>
        </w:rPr>
        <w:t> </w:t>
      </w:r>
      <w:r>
        <w:rPr>
          <w:rFonts w:ascii="Times New Roman"/>
          <w:color w:val="231F20"/>
          <w:w w:val="105"/>
          <w:sz w:val="20"/>
        </w:rPr>
        <w:t>agent</w:t>
      </w:r>
      <w:r>
        <w:rPr>
          <w:rFonts w:ascii="Times New Roman"/>
          <w:color w:val="231F20"/>
          <w:spacing w:val="-30"/>
          <w:w w:val="105"/>
          <w:sz w:val="20"/>
        </w:rPr>
        <w:t> </w:t>
      </w:r>
      <w:r>
        <w:rPr>
          <w:rFonts w:ascii="Times New Roman"/>
          <w:color w:val="231F20"/>
          <w:w w:val="105"/>
          <w:sz w:val="20"/>
        </w:rPr>
        <w:t>could</w:t>
      </w:r>
      <w:r>
        <w:rPr>
          <w:rFonts w:ascii="Times New Roman"/>
          <w:color w:val="231F20"/>
          <w:spacing w:val="-30"/>
          <w:w w:val="105"/>
          <w:sz w:val="20"/>
        </w:rPr>
        <w:t> </w:t>
      </w:r>
      <w:r>
        <w:rPr>
          <w:rFonts w:ascii="Times New Roman"/>
          <w:color w:val="231F20"/>
          <w:spacing w:val="-3"/>
          <w:w w:val="105"/>
          <w:sz w:val="20"/>
        </w:rPr>
        <w:t>have </w:t>
      </w:r>
      <w:r>
        <w:rPr>
          <w:color w:val="231F20"/>
          <w:w w:val="105"/>
          <w:sz w:val="20"/>
        </w:rPr>
        <w:t>survived </w:t>
      </w:r>
      <w:r>
        <w:rPr>
          <w:color w:val="231F20"/>
          <w:spacing w:val="-6"/>
          <w:w w:val="105"/>
          <w:sz w:val="20"/>
        </w:rPr>
        <w:t>(or, </w:t>
      </w:r>
      <w:r>
        <w:rPr>
          <w:color w:val="231F20"/>
          <w:w w:val="105"/>
          <w:sz w:val="20"/>
        </w:rPr>
        <w:t>in the case of a toxin, not been</w:t>
      </w:r>
      <w:r>
        <w:rPr>
          <w:color w:val="231F20"/>
          <w:spacing w:val="-16"/>
          <w:w w:val="105"/>
          <w:sz w:val="20"/>
        </w:rPr>
        <w:t> </w:t>
      </w:r>
      <w:r>
        <w:rPr>
          <w:color w:val="231F20"/>
          <w:w w:val="105"/>
          <w:sz w:val="20"/>
        </w:rPr>
        <w:t>inactivated);</w:t>
      </w:r>
    </w:p>
    <w:p>
      <w:pPr>
        <w:pStyle w:val="ListParagraph"/>
        <w:numPr>
          <w:ilvl w:val="0"/>
          <w:numId w:val="5"/>
        </w:numPr>
        <w:tabs>
          <w:tab w:pos="690" w:val="left" w:leader="none"/>
        </w:tabs>
        <w:spacing w:line="266" w:lineRule="auto" w:before="85" w:after="0"/>
        <w:ind w:left="689" w:right="773" w:hanging="189"/>
        <w:jc w:val="left"/>
        <w:rPr>
          <w:sz w:val="20"/>
        </w:rPr>
      </w:pPr>
      <w:r>
        <w:rPr>
          <w:color w:val="231F20"/>
          <w:w w:val="105"/>
          <w:sz w:val="20"/>
        </w:rPr>
        <w:t>Whether conditions were conducive for subsequent</w:t>
      </w:r>
      <w:r>
        <w:rPr>
          <w:color w:val="231F20"/>
          <w:spacing w:val="-18"/>
          <w:w w:val="105"/>
          <w:sz w:val="20"/>
        </w:rPr>
        <w:t> </w:t>
      </w:r>
      <w:r>
        <w:rPr>
          <w:color w:val="231F20"/>
          <w:w w:val="105"/>
          <w:sz w:val="20"/>
        </w:rPr>
        <w:t>growth</w:t>
      </w:r>
      <w:r>
        <w:rPr>
          <w:color w:val="231F20"/>
          <w:spacing w:val="-18"/>
          <w:w w:val="105"/>
          <w:sz w:val="20"/>
        </w:rPr>
        <w:t> </w:t>
      </w:r>
      <w:r>
        <w:rPr>
          <w:color w:val="231F20"/>
          <w:w w:val="105"/>
          <w:sz w:val="20"/>
        </w:rPr>
        <w:t>or</w:t>
      </w:r>
      <w:r>
        <w:rPr>
          <w:color w:val="231F20"/>
          <w:spacing w:val="-18"/>
          <w:w w:val="105"/>
          <w:sz w:val="20"/>
        </w:rPr>
        <w:t> </w:t>
      </w:r>
      <w:r>
        <w:rPr>
          <w:color w:val="231F20"/>
          <w:w w:val="105"/>
          <w:sz w:val="20"/>
        </w:rPr>
        <w:t>toxin</w:t>
      </w:r>
      <w:r>
        <w:rPr>
          <w:color w:val="231F20"/>
          <w:spacing w:val="-18"/>
          <w:w w:val="105"/>
          <w:sz w:val="20"/>
        </w:rPr>
        <w:t> </w:t>
      </w:r>
      <w:r>
        <w:rPr>
          <w:color w:val="231F20"/>
          <w:w w:val="105"/>
          <w:sz w:val="20"/>
        </w:rPr>
        <w:t>production</w:t>
      </w:r>
      <w:r>
        <w:rPr>
          <w:color w:val="231F20"/>
          <w:spacing w:val="-18"/>
          <w:w w:val="105"/>
          <w:sz w:val="20"/>
        </w:rPr>
        <w:t> </w:t>
      </w:r>
      <w:r>
        <w:rPr>
          <w:color w:val="231F20"/>
          <w:spacing w:val="-3"/>
          <w:w w:val="105"/>
          <w:sz w:val="20"/>
        </w:rPr>
        <w:t>by </w:t>
      </w:r>
      <w:r>
        <w:rPr>
          <w:color w:val="231F20"/>
          <w:w w:val="105"/>
          <w:sz w:val="20"/>
        </w:rPr>
        <w:t>the disease agent;</w:t>
      </w:r>
      <w:r>
        <w:rPr>
          <w:color w:val="231F20"/>
          <w:spacing w:val="-6"/>
          <w:w w:val="105"/>
          <w:sz w:val="20"/>
        </w:rPr>
        <w:t> </w:t>
      </w:r>
      <w:r>
        <w:rPr>
          <w:color w:val="231F20"/>
          <w:w w:val="105"/>
          <w:sz w:val="20"/>
        </w:rPr>
        <w:t>and</w:t>
      </w:r>
    </w:p>
    <w:p>
      <w:pPr>
        <w:pStyle w:val="ListParagraph"/>
        <w:numPr>
          <w:ilvl w:val="0"/>
          <w:numId w:val="5"/>
        </w:numPr>
        <w:tabs>
          <w:tab w:pos="690" w:val="left" w:leader="none"/>
        </w:tabs>
        <w:spacing w:line="271" w:lineRule="auto" w:before="76" w:after="0"/>
        <w:ind w:left="689" w:right="815" w:hanging="189"/>
        <w:jc w:val="left"/>
        <w:rPr>
          <w:sz w:val="20"/>
        </w:rPr>
      </w:pPr>
      <w:r>
        <w:rPr>
          <w:rFonts w:ascii="Times New Roman"/>
          <w:color w:val="231F20"/>
          <w:sz w:val="20"/>
        </w:rPr>
        <w:t>Antecedents, circumstances behind the </w:t>
      </w:r>
      <w:r>
        <w:rPr>
          <w:color w:val="231F20"/>
          <w:sz w:val="20"/>
        </w:rPr>
        <w:t>problem, which resulted in the conditions allowing the outbreak to </w:t>
      </w:r>
      <w:r>
        <w:rPr>
          <w:color w:val="231F20"/>
          <w:spacing w:val="43"/>
          <w:sz w:val="20"/>
        </w:rPr>
        <w:t> </w:t>
      </w:r>
      <w:r>
        <w:rPr>
          <w:color w:val="231F20"/>
          <w:sz w:val="20"/>
        </w:rPr>
        <w:t>happen.</w:t>
      </w:r>
    </w:p>
    <w:p>
      <w:pPr>
        <w:pStyle w:val="BodyText"/>
        <w:spacing w:line="266" w:lineRule="auto" w:before="176"/>
        <w:ind w:left="320" w:right="726"/>
      </w:pPr>
      <w:r>
        <w:rPr>
          <w:color w:val="231F20"/>
          <w:w w:val="105"/>
        </w:rPr>
        <w:t>Only by identifying the antecedents can </w:t>
      </w:r>
      <w:r>
        <w:rPr>
          <w:color w:val="231F20"/>
        </w:rPr>
        <w:t>investigators develop effective interventions to </w:t>
      </w:r>
      <w:r>
        <w:rPr>
          <w:color w:val="231F20"/>
          <w:w w:val="105"/>
        </w:rPr>
        <w:t>prevent the problem in the future.</w:t>
      </w:r>
    </w:p>
    <w:p>
      <w:pPr>
        <w:pStyle w:val="BodyText"/>
        <w:spacing w:line="264" w:lineRule="auto" w:before="180"/>
        <w:ind w:left="320" w:right="740"/>
      </w:pPr>
      <w:r>
        <w:rPr>
          <w:color w:val="231F20"/>
          <w:w w:val="105"/>
        </w:rPr>
        <w:t>The specific activities in an environmental health</w:t>
      </w:r>
      <w:r>
        <w:rPr>
          <w:color w:val="231F20"/>
          <w:spacing w:val="-15"/>
          <w:w w:val="105"/>
        </w:rPr>
        <w:t> </w:t>
      </w:r>
      <w:r>
        <w:rPr>
          <w:color w:val="231F20"/>
          <w:w w:val="105"/>
        </w:rPr>
        <w:t>assessment</w:t>
      </w:r>
      <w:r>
        <w:rPr>
          <w:color w:val="231F20"/>
          <w:spacing w:val="-15"/>
          <w:w w:val="105"/>
        </w:rPr>
        <w:t> </w:t>
      </w:r>
      <w:r>
        <w:rPr>
          <w:color w:val="231F20"/>
          <w:w w:val="105"/>
        </w:rPr>
        <w:t>will</w:t>
      </w:r>
      <w:r>
        <w:rPr>
          <w:color w:val="231F20"/>
          <w:spacing w:val="-15"/>
          <w:w w:val="105"/>
        </w:rPr>
        <w:t> </w:t>
      </w:r>
      <w:r>
        <w:rPr>
          <w:color w:val="231F20"/>
          <w:w w:val="105"/>
        </w:rPr>
        <w:t>differ</w:t>
      </w:r>
      <w:r>
        <w:rPr>
          <w:color w:val="231F20"/>
          <w:spacing w:val="-15"/>
          <w:w w:val="105"/>
        </w:rPr>
        <w:t> </w:t>
      </w:r>
      <w:r>
        <w:rPr>
          <w:color w:val="231F20"/>
          <w:w w:val="105"/>
        </w:rPr>
        <w:t>on</w:t>
      </w:r>
      <w:r>
        <w:rPr>
          <w:color w:val="231F20"/>
          <w:spacing w:val="-15"/>
          <w:w w:val="105"/>
        </w:rPr>
        <w:t> </w:t>
      </w:r>
      <w:r>
        <w:rPr>
          <w:color w:val="231F20"/>
          <w:w w:val="105"/>
        </w:rPr>
        <w:t>the</w:t>
      </w:r>
      <w:r>
        <w:rPr>
          <w:color w:val="231F20"/>
          <w:spacing w:val="-15"/>
          <w:w w:val="105"/>
        </w:rPr>
        <w:t> </w:t>
      </w:r>
      <w:r>
        <w:rPr>
          <w:color w:val="231F20"/>
          <w:w w:val="105"/>
        </w:rPr>
        <w:t>basis</w:t>
      </w:r>
      <w:r>
        <w:rPr>
          <w:color w:val="231F20"/>
          <w:spacing w:val="-15"/>
          <w:w w:val="105"/>
        </w:rPr>
        <w:t> </w:t>
      </w:r>
      <w:r>
        <w:rPr>
          <w:color w:val="231F20"/>
          <w:w w:val="105"/>
        </w:rPr>
        <w:t>of</w:t>
      </w:r>
      <w:r>
        <w:rPr>
          <w:color w:val="231F20"/>
          <w:spacing w:val="6"/>
          <w:w w:val="105"/>
        </w:rPr>
        <w:t> </w:t>
      </w:r>
      <w:r>
        <w:rPr>
          <w:color w:val="231F20"/>
          <w:w w:val="105"/>
        </w:rPr>
        <w:t>the </w:t>
      </w:r>
      <w:r>
        <w:rPr>
          <w:rFonts w:ascii="Times New Roman"/>
          <w:color w:val="231F20"/>
          <w:w w:val="105"/>
        </w:rPr>
        <w:t>causative</w:t>
      </w:r>
      <w:r>
        <w:rPr>
          <w:rFonts w:ascii="Times New Roman"/>
          <w:color w:val="231F20"/>
          <w:spacing w:val="-31"/>
          <w:w w:val="105"/>
        </w:rPr>
        <w:t> </w:t>
      </w:r>
      <w:r>
        <w:rPr>
          <w:rFonts w:ascii="Times New Roman"/>
          <w:color w:val="231F20"/>
          <w:w w:val="105"/>
        </w:rPr>
        <w:t>agent,</w:t>
      </w:r>
      <w:r>
        <w:rPr>
          <w:rFonts w:ascii="Times New Roman"/>
          <w:color w:val="231F20"/>
          <w:spacing w:val="-32"/>
          <w:w w:val="105"/>
        </w:rPr>
        <w:t> </w:t>
      </w:r>
      <w:r>
        <w:rPr>
          <w:rFonts w:ascii="Times New Roman"/>
          <w:color w:val="231F20"/>
          <w:w w:val="105"/>
        </w:rPr>
        <w:t>the</w:t>
      </w:r>
      <w:r>
        <w:rPr>
          <w:rFonts w:ascii="Times New Roman"/>
          <w:color w:val="231F20"/>
          <w:spacing w:val="-32"/>
          <w:w w:val="105"/>
        </w:rPr>
        <w:t> </w:t>
      </w:r>
      <w:r>
        <w:rPr>
          <w:rFonts w:ascii="Times New Roman"/>
          <w:color w:val="231F20"/>
          <w:w w:val="105"/>
        </w:rPr>
        <w:t>suspected</w:t>
      </w:r>
      <w:r>
        <w:rPr>
          <w:rFonts w:ascii="Times New Roman"/>
          <w:color w:val="231F20"/>
          <w:spacing w:val="-31"/>
          <w:w w:val="105"/>
        </w:rPr>
        <w:t> </w:t>
      </w:r>
      <w:r>
        <w:rPr>
          <w:rFonts w:ascii="Times New Roman"/>
          <w:color w:val="231F20"/>
          <w:w w:val="105"/>
        </w:rPr>
        <w:t>vehicle,</w:t>
      </w:r>
      <w:r>
        <w:rPr>
          <w:rFonts w:ascii="Times New Roman"/>
          <w:color w:val="231F20"/>
          <w:spacing w:val="-31"/>
          <w:w w:val="105"/>
        </w:rPr>
        <w:t> </w:t>
      </w:r>
      <w:r>
        <w:rPr>
          <w:rFonts w:ascii="Times New Roman"/>
          <w:color w:val="231F20"/>
          <w:w w:val="105"/>
        </w:rPr>
        <w:t>and</w:t>
      </w:r>
      <w:r>
        <w:rPr>
          <w:rFonts w:ascii="Times New Roman"/>
          <w:color w:val="231F20"/>
          <w:spacing w:val="-32"/>
          <w:w w:val="105"/>
        </w:rPr>
        <w:t> </w:t>
      </w:r>
      <w:r>
        <w:rPr>
          <w:rFonts w:ascii="Times New Roman"/>
          <w:color w:val="231F20"/>
          <w:w w:val="105"/>
        </w:rPr>
        <w:t>the </w:t>
      </w:r>
      <w:r>
        <w:rPr>
          <w:color w:val="231F20"/>
          <w:w w:val="105"/>
        </w:rPr>
        <w:t>setting</w:t>
      </w:r>
      <w:r>
        <w:rPr>
          <w:color w:val="231F20"/>
          <w:spacing w:val="-14"/>
          <w:w w:val="105"/>
        </w:rPr>
        <w:t> </w:t>
      </w:r>
      <w:r>
        <w:rPr>
          <w:color w:val="231F20"/>
          <w:w w:val="105"/>
        </w:rPr>
        <w:t>but</w:t>
      </w:r>
      <w:r>
        <w:rPr>
          <w:color w:val="231F20"/>
          <w:spacing w:val="-14"/>
          <w:w w:val="105"/>
        </w:rPr>
        <w:t> </w:t>
      </w:r>
      <w:r>
        <w:rPr>
          <w:color w:val="231F20"/>
          <w:w w:val="105"/>
        </w:rPr>
        <w:t>usually</w:t>
      </w:r>
      <w:r>
        <w:rPr>
          <w:color w:val="231F20"/>
          <w:spacing w:val="-14"/>
          <w:w w:val="105"/>
        </w:rPr>
        <w:t> </w:t>
      </w:r>
      <w:r>
        <w:rPr>
          <w:color w:val="231F20"/>
          <w:w w:val="105"/>
        </w:rPr>
        <w:t>include</w:t>
      </w:r>
      <w:r>
        <w:rPr>
          <w:color w:val="231F20"/>
          <w:spacing w:val="-14"/>
          <w:w w:val="105"/>
        </w:rPr>
        <w:t> </w:t>
      </w:r>
      <w:r>
        <w:rPr>
          <w:color w:val="231F20"/>
          <w:w w:val="105"/>
        </w:rPr>
        <w:t>the</w:t>
      </w:r>
      <w:r>
        <w:rPr>
          <w:color w:val="231F20"/>
          <w:spacing w:val="-14"/>
          <w:w w:val="105"/>
        </w:rPr>
        <w:t> </w:t>
      </w:r>
      <w:r>
        <w:rPr>
          <w:color w:val="231F20"/>
          <w:w w:val="105"/>
        </w:rPr>
        <w:t>following:</w:t>
      </w:r>
    </w:p>
    <w:p>
      <w:pPr>
        <w:pStyle w:val="ListParagraph"/>
        <w:numPr>
          <w:ilvl w:val="0"/>
          <w:numId w:val="5"/>
        </w:numPr>
        <w:tabs>
          <w:tab w:pos="690" w:val="left" w:leader="none"/>
        </w:tabs>
        <w:spacing w:line="240" w:lineRule="auto" w:before="182" w:after="0"/>
        <w:ind w:left="689" w:right="0" w:hanging="189"/>
        <w:jc w:val="left"/>
        <w:rPr>
          <w:sz w:val="20"/>
        </w:rPr>
      </w:pPr>
      <w:r>
        <w:rPr>
          <w:color w:val="231F20"/>
          <w:w w:val="105"/>
          <w:sz w:val="20"/>
        </w:rPr>
        <w:t>Describing</w:t>
      </w:r>
      <w:r>
        <w:rPr>
          <w:color w:val="231F20"/>
          <w:spacing w:val="-20"/>
          <w:w w:val="105"/>
          <w:sz w:val="20"/>
        </w:rPr>
        <w:t> </w:t>
      </w:r>
      <w:r>
        <w:rPr>
          <w:color w:val="231F20"/>
          <w:w w:val="105"/>
          <w:sz w:val="20"/>
        </w:rPr>
        <w:t>the</w:t>
      </w:r>
      <w:r>
        <w:rPr>
          <w:color w:val="231F20"/>
          <w:spacing w:val="-20"/>
          <w:w w:val="105"/>
          <w:sz w:val="20"/>
        </w:rPr>
        <w:t> </w:t>
      </w:r>
      <w:r>
        <w:rPr>
          <w:color w:val="231F20"/>
          <w:w w:val="105"/>
          <w:sz w:val="20"/>
        </w:rPr>
        <w:t>implicated</w:t>
      </w:r>
      <w:r>
        <w:rPr>
          <w:color w:val="231F20"/>
          <w:spacing w:val="-20"/>
          <w:w w:val="105"/>
          <w:sz w:val="20"/>
        </w:rPr>
        <w:t> </w:t>
      </w:r>
      <w:r>
        <w:rPr>
          <w:color w:val="231F20"/>
          <w:w w:val="105"/>
          <w:sz w:val="20"/>
        </w:rPr>
        <w:t>food;</w:t>
      </w:r>
    </w:p>
    <w:p>
      <w:pPr>
        <w:pStyle w:val="ListParagraph"/>
        <w:numPr>
          <w:ilvl w:val="0"/>
          <w:numId w:val="5"/>
        </w:numPr>
        <w:tabs>
          <w:tab w:pos="690" w:val="left" w:leader="none"/>
        </w:tabs>
        <w:spacing w:line="266" w:lineRule="auto" w:before="115" w:after="0"/>
        <w:ind w:left="689" w:right="1367" w:hanging="189"/>
        <w:jc w:val="left"/>
        <w:rPr>
          <w:sz w:val="20"/>
        </w:rPr>
      </w:pPr>
      <w:r>
        <w:rPr>
          <w:color w:val="231F20"/>
          <w:w w:val="105"/>
          <w:sz w:val="20"/>
        </w:rPr>
        <w:t>Observing</w:t>
      </w:r>
      <w:r>
        <w:rPr>
          <w:color w:val="231F20"/>
          <w:spacing w:val="-16"/>
          <w:w w:val="105"/>
          <w:sz w:val="20"/>
        </w:rPr>
        <w:t> </w:t>
      </w:r>
      <w:r>
        <w:rPr>
          <w:color w:val="231F20"/>
          <w:w w:val="105"/>
          <w:sz w:val="20"/>
        </w:rPr>
        <w:t>procedures</w:t>
      </w:r>
      <w:r>
        <w:rPr>
          <w:color w:val="231F20"/>
          <w:spacing w:val="-16"/>
          <w:w w:val="105"/>
          <w:sz w:val="20"/>
        </w:rPr>
        <w:t> </w:t>
      </w:r>
      <w:r>
        <w:rPr>
          <w:color w:val="231F20"/>
          <w:w w:val="105"/>
          <w:sz w:val="20"/>
        </w:rPr>
        <w:t>to</w:t>
      </w:r>
      <w:r>
        <w:rPr>
          <w:color w:val="231F20"/>
          <w:spacing w:val="-16"/>
          <w:w w:val="105"/>
          <w:sz w:val="20"/>
        </w:rPr>
        <w:t> </w:t>
      </w:r>
      <w:r>
        <w:rPr>
          <w:color w:val="231F20"/>
          <w:w w:val="105"/>
          <w:sz w:val="20"/>
        </w:rPr>
        <w:t>make</w:t>
      </w:r>
      <w:r>
        <w:rPr>
          <w:color w:val="231F20"/>
          <w:spacing w:val="-16"/>
          <w:w w:val="105"/>
          <w:sz w:val="20"/>
        </w:rPr>
        <w:t> </w:t>
      </w:r>
      <w:r>
        <w:rPr>
          <w:color w:val="231F20"/>
          <w:w w:val="105"/>
          <w:sz w:val="20"/>
        </w:rPr>
        <w:t>the implicated</w:t>
      </w:r>
      <w:r>
        <w:rPr>
          <w:color w:val="231F20"/>
          <w:spacing w:val="-30"/>
          <w:w w:val="105"/>
          <w:sz w:val="20"/>
        </w:rPr>
        <w:t> </w:t>
      </w:r>
      <w:r>
        <w:rPr>
          <w:color w:val="231F20"/>
          <w:w w:val="105"/>
          <w:sz w:val="20"/>
        </w:rPr>
        <w:t>food;</w:t>
      </w:r>
    </w:p>
    <w:p>
      <w:pPr>
        <w:pStyle w:val="ListParagraph"/>
        <w:numPr>
          <w:ilvl w:val="0"/>
          <w:numId w:val="5"/>
        </w:numPr>
        <w:tabs>
          <w:tab w:pos="690" w:val="left" w:leader="none"/>
        </w:tabs>
        <w:spacing w:line="240" w:lineRule="auto" w:before="90" w:after="0"/>
        <w:ind w:left="689" w:right="0" w:hanging="189"/>
        <w:jc w:val="left"/>
        <w:rPr>
          <w:sz w:val="20"/>
        </w:rPr>
      </w:pPr>
      <w:r>
        <w:rPr>
          <w:color w:val="231F20"/>
          <w:spacing w:val="-3"/>
          <w:w w:val="105"/>
          <w:sz w:val="20"/>
        </w:rPr>
        <w:t>Talking</w:t>
      </w:r>
      <w:r>
        <w:rPr>
          <w:color w:val="231F20"/>
          <w:spacing w:val="-9"/>
          <w:w w:val="105"/>
          <w:sz w:val="20"/>
        </w:rPr>
        <w:t> </w:t>
      </w:r>
      <w:r>
        <w:rPr>
          <w:color w:val="231F20"/>
          <w:w w:val="105"/>
          <w:sz w:val="20"/>
        </w:rPr>
        <w:t>with</w:t>
      </w:r>
      <w:r>
        <w:rPr>
          <w:color w:val="231F20"/>
          <w:spacing w:val="-9"/>
          <w:w w:val="105"/>
          <w:sz w:val="20"/>
        </w:rPr>
        <w:t> </w:t>
      </w:r>
      <w:r>
        <w:rPr>
          <w:color w:val="231F20"/>
          <w:w w:val="105"/>
          <w:sz w:val="20"/>
        </w:rPr>
        <w:t>food</w:t>
      </w:r>
      <w:r>
        <w:rPr>
          <w:color w:val="231F20"/>
          <w:spacing w:val="-9"/>
          <w:w w:val="105"/>
          <w:sz w:val="20"/>
        </w:rPr>
        <w:t> </w:t>
      </w:r>
      <w:r>
        <w:rPr>
          <w:color w:val="231F20"/>
          <w:w w:val="105"/>
          <w:sz w:val="20"/>
        </w:rPr>
        <w:t>workers</w:t>
      </w:r>
      <w:r>
        <w:rPr>
          <w:color w:val="231F20"/>
          <w:spacing w:val="-9"/>
          <w:w w:val="105"/>
          <w:sz w:val="20"/>
        </w:rPr>
        <w:t> </w:t>
      </w:r>
      <w:r>
        <w:rPr>
          <w:color w:val="231F20"/>
          <w:w w:val="105"/>
          <w:sz w:val="20"/>
        </w:rPr>
        <w:t>and</w:t>
      </w:r>
      <w:r>
        <w:rPr>
          <w:color w:val="231F20"/>
          <w:spacing w:val="-9"/>
          <w:w w:val="105"/>
          <w:sz w:val="20"/>
        </w:rPr>
        <w:t> </w:t>
      </w:r>
      <w:r>
        <w:rPr>
          <w:color w:val="231F20"/>
          <w:w w:val="105"/>
          <w:sz w:val="20"/>
        </w:rPr>
        <w:t>managers;</w:t>
      </w:r>
    </w:p>
    <w:p>
      <w:pPr>
        <w:pStyle w:val="ListParagraph"/>
        <w:numPr>
          <w:ilvl w:val="0"/>
          <w:numId w:val="5"/>
        </w:numPr>
        <w:tabs>
          <w:tab w:pos="690" w:val="left" w:leader="none"/>
        </w:tabs>
        <w:spacing w:line="240" w:lineRule="auto" w:before="114" w:after="0"/>
        <w:ind w:left="689" w:right="0" w:hanging="189"/>
        <w:jc w:val="left"/>
        <w:rPr>
          <w:sz w:val="20"/>
        </w:rPr>
      </w:pPr>
      <w:r>
        <w:rPr>
          <w:color w:val="231F20"/>
          <w:spacing w:val="-3"/>
          <w:w w:val="105"/>
          <w:sz w:val="20"/>
        </w:rPr>
        <w:t>Taking </w:t>
      </w:r>
      <w:r>
        <w:rPr>
          <w:color w:val="231F20"/>
          <w:w w:val="105"/>
          <w:sz w:val="20"/>
        </w:rPr>
        <w:t>measurements </w:t>
      </w:r>
      <w:r>
        <w:rPr>
          <w:color w:val="231F20"/>
          <w:spacing w:val="-4"/>
          <w:w w:val="105"/>
          <w:sz w:val="20"/>
        </w:rPr>
        <w:t>(e.g.,</w:t>
      </w:r>
      <w:r>
        <w:rPr>
          <w:color w:val="231F20"/>
          <w:spacing w:val="-24"/>
          <w:w w:val="105"/>
          <w:sz w:val="20"/>
        </w:rPr>
        <w:t> </w:t>
      </w:r>
      <w:r>
        <w:rPr>
          <w:color w:val="231F20"/>
          <w:w w:val="105"/>
          <w:sz w:val="20"/>
        </w:rPr>
        <w:t>temperatures);</w:t>
      </w:r>
    </w:p>
    <w:p>
      <w:pPr>
        <w:pStyle w:val="ListParagraph"/>
        <w:numPr>
          <w:ilvl w:val="0"/>
          <w:numId w:val="5"/>
        </w:numPr>
        <w:tabs>
          <w:tab w:pos="690" w:val="left" w:leader="none"/>
        </w:tabs>
        <w:spacing w:line="261" w:lineRule="auto" w:before="114" w:after="0"/>
        <w:ind w:left="689" w:right="807" w:hanging="189"/>
        <w:jc w:val="left"/>
        <w:rPr>
          <w:sz w:val="20"/>
        </w:rPr>
      </w:pPr>
      <w:r>
        <w:rPr>
          <w:color w:val="231F20"/>
          <w:sz w:val="20"/>
        </w:rPr>
        <w:t>Developing a flow chart or flow diagram </w:t>
      </w:r>
      <w:r>
        <w:rPr>
          <w:rFonts w:ascii="Times New Roman"/>
          <w:color w:val="231F20"/>
          <w:sz w:val="20"/>
        </w:rPr>
        <w:t>for the food item or ingredient implicated to capture detailed information about each step in the food-handling process, including storage, preparation, cooking, </w:t>
      </w:r>
      <w:r>
        <w:rPr>
          <w:color w:val="231F20"/>
          <w:sz w:val="20"/>
        </w:rPr>
        <w:t>cooling,  reheating,  and</w:t>
      </w:r>
      <w:r>
        <w:rPr>
          <w:color w:val="231F20"/>
          <w:spacing w:val="-12"/>
          <w:sz w:val="20"/>
        </w:rPr>
        <w:t> </w:t>
      </w:r>
      <w:r>
        <w:rPr>
          <w:color w:val="231F20"/>
          <w:sz w:val="20"/>
        </w:rPr>
        <w:t>service;</w:t>
      </w:r>
    </w:p>
    <w:p>
      <w:pPr>
        <w:pStyle w:val="ListParagraph"/>
        <w:numPr>
          <w:ilvl w:val="0"/>
          <w:numId w:val="5"/>
        </w:numPr>
        <w:tabs>
          <w:tab w:pos="690" w:val="left" w:leader="none"/>
        </w:tabs>
        <w:spacing w:line="268" w:lineRule="auto" w:before="80" w:after="0"/>
        <w:ind w:left="689" w:right="744" w:hanging="189"/>
        <w:jc w:val="left"/>
        <w:rPr>
          <w:sz w:val="20"/>
        </w:rPr>
      </w:pPr>
      <w:r>
        <w:rPr>
          <w:rFonts w:ascii="Times New Roman"/>
          <w:color w:val="231F20"/>
          <w:w w:val="105"/>
          <w:sz w:val="20"/>
        </w:rPr>
        <w:t>Collecting food specimens and, </w:t>
      </w:r>
      <w:r>
        <w:rPr>
          <w:color w:val="231F20"/>
          <w:w w:val="105"/>
          <w:sz w:val="20"/>
        </w:rPr>
        <w:t>occasionally, clinical specimens from people</w:t>
      </w:r>
      <w:r>
        <w:rPr>
          <w:color w:val="231F20"/>
          <w:spacing w:val="-15"/>
          <w:w w:val="105"/>
          <w:sz w:val="20"/>
        </w:rPr>
        <w:t> </w:t>
      </w:r>
      <w:r>
        <w:rPr>
          <w:color w:val="231F20"/>
          <w:w w:val="105"/>
          <w:sz w:val="20"/>
        </w:rPr>
        <w:t>in</w:t>
      </w:r>
      <w:r>
        <w:rPr>
          <w:color w:val="231F20"/>
          <w:spacing w:val="-15"/>
          <w:w w:val="105"/>
          <w:sz w:val="20"/>
        </w:rPr>
        <w:t> </w:t>
      </w:r>
      <w:r>
        <w:rPr>
          <w:color w:val="231F20"/>
          <w:w w:val="105"/>
          <w:sz w:val="20"/>
        </w:rPr>
        <w:t>contact</w:t>
      </w:r>
      <w:r>
        <w:rPr>
          <w:color w:val="231F20"/>
          <w:spacing w:val="-15"/>
          <w:w w:val="105"/>
          <w:sz w:val="20"/>
        </w:rPr>
        <w:t> </w:t>
      </w:r>
      <w:r>
        <w:rPr>
          <w:color w:val="231F20"/>
          <w:w w:val="105"/>
          <w:sz w:val="20"/>
        </w:rPr>
        <w:t>with</w:t>
      </w:r>
      <w:r>
        <w:rPr>
          <w:color w:val="231F20"/>
          <w:spacing w:val="-15"/>
          <w:w w:val="105"/>
          <w:sz w:val="20"/>
        </w:rPr>
        <w:t> </w:t>
      </w:r>
      <w:r>
        <w:rPr>
          <w:color w:val="231F20"/>
          <w:w w:val="105"/>
          <w:sz w:val="20"/>
        </w:rPr>
        <w:t>the</w:t>
      </w:r>
      <w:r>
        <w:rPr>
          <w:color w:val="231F20"/>
          <w:spacing w:val="-15"/>
          <w:w w:val="105"/>
          <w:sz w:val="20"/>
        </w:rPr>
        <w:t> </w:t>
      </w:r>
      <w:r>
        <w:rPr>
          <w:color w:val="231F20"/>
          <w:w w:val="105"/>
          <w:sz w:val="20"/>
        </w:rPr>
        <w:t>suspected</w:t>
      </w:r>
      <w:r>
        <w:rPr>
          <w:color w:val="231F20"/>
          <w:spacing w:val="-15"/>
          <w:w w:val="105"/>
          <w:sz w:val="20"/>
        </w:rPr>
        <w:t> </w:t>
      </w:r>
      <w:r>
        <w:rPr>
          <w:color w:val="231F20"/>
          <w:w w:val="105"/>
          <w:sz w:val="20"/>
        </w:rPr>
        <w:t>food vehicle</w:t>
      </w:r>
      <w:r>
        <w:rPr>
          <w:color w:val="231F20"/>
          <w:spacing w:val="-12"/>
          <w:w w:val="105"/>
          <w:sz w:val="20"/>
        </w:rPr>
        <w:t> </w:t>
      </w:r>
      <w:r>
        <w:rPr>
          <w:color w:val="231F20"/>
          <w:w w:val="105"/>
          <w:sz w:val="20"/>
        </w:rPr>
        <w:t>or</w:t>
      </w:r>
      <w:r>
        <w:rPr>
          <w:color w:val="231F20"/>
          <w:spacing w:val="-12"/>
          <w:w w:val="105"/>
          <w:sz w:val="20"/>
        </w:rPr>
        <w:t> </w:t>
      </w:r>
      <w:r>
        <w:rPr>
          <w:color w:val="231F20"/>
          <w:w w:val="105"/>
          <w:sz w:val="20"/>
        </w:rPr>
        <w:t>the</w:t>
      </w:r>
      <w:r>
        <w:rPr>
          <w:color w:val="231F20"/>
          <w:spacing w:val="-12"/>
          <w:w w:val="105"/>
          <w:sz w:val="20"/>
        </w:rPr>
        <w:t> </w:t>
      </w:r>
      <w:r>
        <w:rPr>
          <w:color w:val="231F20"/>
          <w:w w:val="105"/>
          <w:sz w:val="20"/>
        </w:rPr>
        <w:t>environment</w:t>
      </w:r>
      <w:r>
        <w:rPr>
          <w:color w:val="231F20"/>
          <w:spacing w:val="-12"/>
          <w:w w:val="105"/>
          <w:sz w:val="20"/>
        </w:rPr>
        <w:t> </w:t>
      </w:r>
      <w:r>
        <w:rPr>
          <w:color w:val="231F20"/>
          <w:w w:val="105"/>
          <w:sz w:val="20"/>
        </w:rPr>
        <w:t>in</w:t>
      </w:r>
      <w:r>
        <w:rPr>
          <w:color w:val="231F20"/>
          <w:spacing w:val="-12"/>
          <w:w w:val="105"/>
          <w:sz w:val="20"/>
        </w:rPr>
        <w:t> </w:t>
      </w:r>
      <w:r>
        <w:rPr>
          <w:color w:val="231F20"/>
          <w:w w:val="105"/>
          <w:sz w:val="20"/>
        </w:rPr>
        <w:t>which</w:t>
      </w:r>
      <w:r>
        <w:rPr>
          <w:color w:val="231F20"/>
          <w:spacing w:val="-12"/>
          <w:w w:val="105"/>
          <w:sz w:val="20"/>
        </w:rPr>
        <w:t> </w:t>
      </w:r>
      <w:r>
        <w:rPr>
          <w:color w:val="231F20"/>
          <w:w w:val="105"/>
          <w:sz w:val="20"/>
        </w:rPr>
        <w:t>it</w:t>
      </w:r>
      <w:r>
        <w:rPr>
          <w:color w:val="231F20"/>
          <w:spacing w:val="-12"/>
          <w:w w:val="105"/>
          <w:sz w:val="20"/>
        </w:rPr>
        <w:t> </w:t>
      </w:r>
      <w:r>
        <w:rPr>
          <w:color w:val="231F20"/>
          <w:w w:val="105"/>
          <w:sz w:val="20"/>
        </w:rPr>
        <w:t>was produced or used;</w:t>
      </w:r>
      <w:r>
        <w:rPr>
          <w:color w:val="231F20"/>
          <w:spacing w:val="-24"/>
          <w:w w:val="105"/>
          <w:sz w:val="20"/>
        </w:rPr>
        <w:t> </w:t>
      </w:r>
      <w:r>
        <w:rPr>
          <w:color w:val="231F20"/>
          <w:w w:val="105"/>
          <w:sz w:val="20"/>
        </w:rPr>
        <w:t>and</w:t>
      </w:r>
    </w:p>
    <w:p>
      <w:pPr>
        <w:pStyle w:val="ListParagraph"/>
        <w:numPr>
          <w:ilvl w:val="0"/>
          <w:numId w:val="5"/>
        </w:numPr>
        <w:tabs>
          <w:tab w:pos="690" w:val="left" w:leader="none"/>
        </w:tabs>
        <w:spacing w:line="266" w:lineRule="auto" w:before="88" w:after="0"/>
        <w:ind w:left="689" w:right="953" w:hanging="189"/>
        <w:jc w:val="left"/>
        <w:rPr>
          <w:sz w:val="20"/>
        </w:rPr>
      </w:pPr>
      <w:r>
        <w:rPr>
          <w:color w:val="231F20"/>
          <w:w w:val="105"/>
          <w:sz w:val="20"/>
        </w:rPr>
        <w:t>Collecting</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reviewing</w:t>
      </w:r>
      <w:r>
        <w:rPr>
          <w:color w:val="231F20"/>
          <w:spacing w:val="-12"/>
          <w:w w:val="105"/>
          <w:sz w:val="20"/>
        </w:rPr>
        <w:t> </w:t>
      </w:r>
      <w:r>
        <w:rPr>
          <w:color w:val="231F20"/>
          <w:w w:val="105"/>
          <w:sz w:val="20"/>
        </w:rPr>
        <w:t>documents</w:t>
      </w:r>
      <w:r>
        <w:rPr>
          <w:color w:val="231F20"/>
          <w:spacing w:val="-12"/>
          <w:w w:val="105"/>
          <w:sz w:val="20"/>
        </w:rPr>
        <w:t> </w:t>
      </w:r>
      <w:r>
        <w:rPr>
          <w:color w:val="231F20"/>
          <w:w w:val="105"/>
          <w:sz w:val="20"/>
        </w:rPr>
        <w:t>on source</w:t>
      </w:r>
      <w:r>
        <w:rPr>
          <w:color w:val="231F20"/>
          <w:spacing w:val="-44"/>
          <w:w w:val="105"/>
          <w:sz w:val="20"/>
        </w:rPr>
        <w:t> </w:t>
      </w:r>
      <w:r>
        <w:rPr>
          <w:color w:val="231F20"/>
          <w:w w:val="105"/>
          <w:sz w:val="20"/>
        </w:rPr>
        <w:t>of food.</w:t>
      </w:r>
    </w:p>
    <w:p>
      <w:pPr>
        <w:pStyle w:val="ListParagraph"/>
        <w:numPr>
          <w:ilvl w:val="0"/>
          <w:numId w:val="2"/>
        </w:numPr>
        <w:tabs>
          <w:tab w:pos="491" w:val="left" w:leader="none"/>
        </w:tabs>
        <w:spacing w:line="264" w:lineRule="auto" w:before="180" w:after="0"/>
        <w:ind w:left="491" w:right="1092" w:hanging="171"/>
        <w:jc w:val="left"/>
        <w:rPr>
          <w:sz w:val="20"/>
        </w:rPr>
      </w:pPr>
      <w:r>
        <w:rPr>
          <w:color w:val="231F20"/>
          <w:sz w:val="20"/>
        </w:rPr>
        <w:t>Conduct investigational tracebacks/ traceforwards of food items under investigation. </w:t>
      </w:r>
      <w:r>
        <w:rPr>
          <w:color w:val="231F20"/>
          <w:spacing w:val="-3"/>
          <w:sz w:val="20"/>
        </w:rPr>
        <w:t>Tracing </w:t>
      </w:r>
      <w:r>
        <w:rPr>
          <w:color w:val="231F20"/>
          <w:sz w:val="20"/>
        </w:rPr>
        <w:t>the source of food </w:t>
      </w:r>
      <w:r>
        <w:rPr>
          <w:rFonts w:ascii="Times New Roman"/>
          <w:color w:val="231F20"/>
          <w:sz w:val="20"/>
        </w:rPr>
        <w:t>items or ingredients from the point of </w:t>
      </w:r>
      <w:r>
        <w:rPr>
          <w:color w:val="231F20"/>
          <w:sz w:val="20"/>
        </w:rPr>
        <w:t>purchase/consumption  back</w:t>
      </w:r>
      <w:r>
        <w:rPr>
          <w:color w:val="231F20"/>
          <w:spacing w:val="31"/>
          <w:sz w:val="20"/>
        </w:rPr>
        <w:t> </w:t>
      </w:r>
      <w:r>
        <w:rPr>
          <w:color w:val="231F20"/>
          <w:sz w:val="20"/>
        </w:rPr>
        <w:t>through</w:t>
      </w:r>
    </w:p>
    <w:p>
      <w:pPr>
        <w:spacing w:after="0" w:line="264" w:lineRule="auto"/>
        <w:jc w:val="left"/>
        <w:rPr>
          <w:sz w:val="20"/>
        </w:rPr>
        <w:sectPr>
          <w:type w:val="continuous"/>
          <w:pgSz w:w="10080" w:h="14400"/>
          <w:pgMar w:top="0" w:bottom="360" w:left="0" w:right="0"/>
          <w:cols w:num="2" w:equalWidth="0">
            <w:col w:w="5220" w:space="40"/>
            <w:col w:w="4820"/>
          </w:cols>
        </w:sectPr>
      </w:pPr>
    </w:p>
    <w:p>
      <w:pPr>
        <w:pStyle w:val="BodyText"/>
        <w:spacing w:before="8"/>
        <w:rPr>
          <w:sz w:val="26"/>
        </w:rPr>
      </w:pPr>
    </w:p>
    <w:p>
      <w:pPr>
        <w:pStyle w:val="Heading1"/>
        <w:spacing w:line="249" w:lineRule="auto"/>
        <w:ind w:left="720" w:right="3300"/>
      </w:pPr>
      <w:r>
        <w:rPr/>
        <w:pict>
          <v:line style="position:absolute;mso-position-horizontal-relative:page;mso-position-vertical-relative:paragraph;z-index:3400;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3424" filled="true" fillcolor="#0079c1" stroked="false">
            <v:fill type="solid"/>
            <w10:wrap type="none"/>
          </v:rect>
        </w:pict>
      </w:r>
      <w:r>
        <w:rPr/>
        <w:pict>
          <v:line style="position:absolute;mso-position-horizontal-relative:page;mso-position-vertical-relative:paragraph;z-index:3448"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347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3496"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71" w:lineRule="auto" w:before="93"/>
        <w:ind w:left="890" w:right="70"/>
      </w:pPr>
      <w:r>
        <w:rPr>
          <w:rFonts w:ascii="Times New Roman"/>
          <w:color w:val="231F20"/>
          <w:w w:val="105"/>
        </w:rPr>
        <w:t>distribution to the source of production </w:t>
      </w:r>
      <w:r>
        <w:rPr>
          <w:color w:val="231F20"/>
          <w:w w:val="105"/>
        </w:rPr>
        <w:t>can be critical to identifying epidemiologic links among cases or ruling them out. The</w:t>
      </w:r>
    </w:p>
    <w:p>
      <w:pPr>
        <w:pStyle w:val="BodyText"/>
        <w:spacing w:line="266" w:lineRule="auto"/>
        <w:ind w:left="890" w:right="56"/>
      </w:pPr>
      <w:r>
        <w:rPr>
          <w:color w:val="231F20"/>
          <w:w w:val="105"/>
        </w:rPr>
        <w:t>convergence</w:t>
      </w:r>
      <w:r>
        <w:rPr>
          <w:color w:val="231F20"/>
          <w:spacing w:val="-18"/>
          <w:w w:val="105"/>
        </w:rPr>
        <w:t> </w:t>
      </w:r>
      <w:r>
        <w:rPr>
          <w:color w:val="231F20"/>
          <w:w w:val="105"/>
        </w:rPr>
        <w:t>of</w:t>
      </w:r>
      <w:r>
        <w:rPr>
          <w:color w:val="231F20"/>
          <w:spacing w:val="2"/>
          <w:w w:val="105"/>
        </w:rPr>
        <w:t> </w:t>
      </w:r>
      <w:r>
        <w:rPr>
          <w:color w:val="231F20"/>
          <w:w w:val="105"/>
        </w:rPr>
        <w:t>food</w:t>
      </w:r>
      <w:r>
        <w:rPr>
          <w:color w:val="231F20"/>
          <w:spacing w:val="-18"/>
          <w:w w:val="105"/>
        </w:rPr>
        <w:t> </w:t>
      </w:r>
      <w:r>
        <w:rPr>
          <w:color w:val="231F20"/>
          <w:w w:val="105"/>
        </w:rPr>
        <w:t>items</w:t>
      </w:r>
      <w:r>
        <w:rPr>
          <w:color w:val="231F20"/>
          <w:spacing w:val="-18"/>
          <w:w w:val="105"/>
        </w:rPr>
        <w:t> </w:t>
      </w:r>
      <w:r>
        <w:rPr>
          <w:color w:val="231F20"/>
          <w:w w:val="105"/>
        </w:rPr>
        <w:t>eaten</w:t>
      </w:r>
      <w:r>
        <w:rPr>
          <w:color w:val="231F20"/>
          <w:spacing w:val="-18"/>
          <w:w w:val="105"/>
        </w:rPr>
        <w:t> </w:t>
      </w:r>
      <w:r>
        <w:rPr>
          <w:color w:val="231F20"/>
          <w:spacing w:val="-3"/>
          <w:w w:val="105"/>
        </w:rPr>
        <w:t>by</w:t>
      </w:r>
      <w:r>
        <w:rPr>
          <w:color w:val="231F20"/>
          <w:spacing w:val="-18"/>
          <w:w w:val="105"/>
        </w:rPr>
        <w:t> </w:t>
      </w:r>
      <w:r>
        <w:rPr>
          <w:color w:val="231F20"/>
          <w:w w:val="105"/>
        </w:rPr>
        <w:t>multiple cases along a distribution pathway</w:t>
      </w:r>
      <w:r>
        <w:rPr>
          <w:color w:val="231F20"/>
          <w:spacing w:val="-29"/>
          <w:w w:val="105"/>
        </w:rPr>
        <w:t> </w:t>
      </w:r>
      <w:r>
        <w:rPr>
          <w:color w:val="231F20"/>
          <w:w w:val="105"/>
        </w:rPr>
        <w:t>can</w:t>
      </w:r>
    </w:p>
    <w:p>
      <w:pPr>
        <w:pStyle w:val="BodyText"/>
        <w:spacing w:line="259" w:lineRule="auto" w:before="5"/>
        <w:ind w:left="890" w:right="70"/>
        <w:rPr>
          <w:rFonts w:ascii="Times New Roman"/>
        </w:rPr>
      </w:pPr>
      <w:r>
        <w:rPr>
          <w:color w:val="231F20"/>
          <w:w w:val="105"/>
        </w:rPr>
        <w:t>help identify the source of contamination. Conversely, failure to identify common </w:t>
      </w:r>
      <w:r>
        <w:rPr>
          <w:rFonts w:ascii="Times New Roman"/>
          <w:color w:val="231F20"/>
        </w:rPr>
        <w:t>suppliers among suspected foods eaten</w:t>
      </w:r>
    </w:p>
    <w:p>
      <w:pPr>
        <w:pStyle w:val="BodyText"/>
        <w:spacing w:line="266" w:lineRule="auto" w:before="16"/>
        <w:ind w:left="890" w:right="397"/>
      </w:pPr>
      <w:r>
        <w:rPr>
          <w:color w:val="231F20"/>
          <w:spacing w:val="-3"/>
          <w:w w:val="105"/>
        </w:rPr>
        <w:t>by </w:t>
      </w:r>
      <w:r>
        <w:rPr>
          <w:color w:val="231F20"/>
          <w:w w:val="105"/>
        </w:rPr>
        <w:t>different cases might indicate that </w:t>
      </w:r>
      <w:r>
        <w:rPr>
          <w:rFonts w:ascii="Times New Roman"/>
          <w:color w:val="231F20"/>
          <w:w w:val="105"/>
        </w:rPr>
        <w:t>the</w:t>
      </w:r>
      <w:r>
        <w:rPr>
          <w:rFonts w:ascii="Times New Roman"/>
          <w:color w:val="231F20"/>
          <w:spacing w:val="-18"/>
          <w:w w:val="105"/>
        </w:rPr>
        <w:t> </w:t>
      </w:r>
      <w:r>
        <w:rPr>
          <w:rFonts w:ascii="Times New Roman"/>
          <w:color w:val="231F20"/>
          <w:w w:val="105"/>
        </w:rPr>
        <w:t>food</w:t>
      </w:r>
      <w:r>
        <w:rPr>
          <w:rFonts w:ascii="Times New Roman"/>
          <w:color w:val="231F20"/>
          <w:spacing w:val="-18"/>
          <w:w w:val="105"/>
        </w:rPr>
        <w:t> </w:t>
      </w:r>
      <w:r>
        <w:rPr>
          <w:rFonts w:ascii="Times New Roman"/>
          <w:color w:val="231F20"/>
          <w:w w:val="105"/>
        </w:rPr>
        <w:t>item</w:t>
      </w:r>
      <w:r>
        <w:rPr>
          <w:rFonts w:ascii="Times New Roman"/>
          <w:color w:val="231F20"/>
          <w:spacing w:val="-18"/>
          <w:w w:val="105"/>
        </w:rPr>
        <w:t> </w:t>
      </w:r>
      <w:r>
        <w:rPr>
          <w:rFonts w:ascii="Times New Roman"/>
          <w:color w:val="231F20"/>
          <w:w w:val="105"/>
        </w:rPr>
        <w:t>is</w:t>
      </w:r>
      <w:r>
        <w:rPr>
          <w:rFonts w:ascii="Times New Roman"/>
          <w:color w:val="231F20"/>
          <w:spacing w:val="-18"/>
          <w:w w:val="105"/>
        </w:rPr>
        <w:t> </w:t>
      </w:r>
      <w:r>
        <w:rPr>
          <w:rFonts w:ascii="Times New Roman"/>
          <w:color w:val="231F20"/>
          <w:w w:val="105"/>
        </w:rPr>
        <w:t>not</w:t>
      </w:r>
      <w:r>
        <w:rPr>
          <w:rFonts w:ascii="Times New Roman"/>
          <w:color w:val="231F20"/>
          <w:spacing w:val="-18"/>
          <w:w w:val="105"/>
        </w:rPr>
        <w:t> </w:t>
      </w:r>
      <w:r>
        <w:rPr>
          <w:rFonts w:ascii="Times New Roman"/>
          <w:color w:val="231F20"/>
          <w:w w:val="105"/>
        </w:rPr>
        <w:t>the</w:t>
      </w:r>
      <w:r>
        <w:rPr>
          <w:rFonts w:ascii="Times New Roman"/>
          <w:color w:val="231F20"/>
          <w:spacing w:val="-18"/>
          <w:w w:val="105"/>
        </w:rPr>
        <w:t> </w:t>
      </w:r>
      <w:r>
        <w:rPr>
          <w:rFonts w:ascii="Times New Roman"/>
          <w:color w:val="231F20"/>
          <w:w w:val="105"/>
        </w:rPr>
        <w:t>vehicle</w:t>
      </w:r>
      <w:r>
        <w:rPr>
          <w:rFonts w:ascii="Times New Roman"/>
          <w:color w:val="231F20"/>
          <w:spacing w:val="-18"/>
          <w:w w:val="105"/>
        </w:rPr>
        <w:t> </w:t>
      </w:r>
      <w:r>
        <w:rPr>
          <w:rFonts w:ascii="Times New Roman"/>
          <w:color w:val="231F20"/>
          <w:w w:val="105"/>
        </w:rPr>
        <w:t>for</w:t>
      </w:r>
      <w:r>
        <w:rPr>
          <w:rFonts w:ascii="Times New Roman"/>
          <w:color w:val="231F20"/>
          <w:spacing w:val="-18"/>
          <w:w w:val="105"/>
        </w:rPr>
        <w:t> </w:t>
      </w:r>
      <w:r>
        <w:rPr>
          <w:rFonts w:ascii="Times New Roman"/>
          <w:color w:val="231F20"/>
          <w:w w:val="105"/>
        </w:rPr>
        <w:t>the </w:t>
      </w:r>
      <w:r>
        <w:rPr>
          <w:color w:val="231F20"/>
          <w:w w:val="105"/>
        </w:rPr>
        <w:t>outbreak. Formal regulatory tracebacks may</w:t>
      </w:r>
      <w:r>
        <w:rPr>
          <w:color w:val="231F20"/>
          <w:spacing w:val="-11"/>
          <w:w w:val="105"/>
        </w:rPr>
        <w:t> </w:t>
      </w:r>
      <w:r>
        <w:rPr>
          <w:color w:val="231F20"/>
          <w:w w:val="105"/>
        </w:rPr>
        <w:t>be</w:t>
      </w:r>
      <w:r>
        <w:rPr>
          <w:color w:val="231F20"/>
          <w:spacing w:val="-11"/>
          <w:w w:val="105"/>
        </w:rPr>
        <w:t> </w:t>
      </w:r>
      <w:r>
        <w:rPr>
          <w:color w:val="231F20"/>
          <w:w w:val="105"/>
        </w:rPr>
        <w:t>subsequently</w:t>
      </w:r>
      <w:r>
        <w:rPr>
          <w:color w:val="231F20"/>
          <w:spacing w:val="-11"/>
          <w:w w:val="105"/>
        </w:rPr>
        <w:t> </w:t>
      </w:r>
      <w:r>
        <w:rPr>
          <w:color w:val="231F20"/>
          <w:w w:val="105"/>
        </w:rPr>
        <w:t>needed</w:t>
      </w:r>
      <w:r>
        <w:rPr>
          <w:color w:val="231F20"/>
          <w:spacing w:val="-11"/>
          <w:w w:val="105"/>
        </w:rPr>
        <w:t> </w:t>
      </w:r>
      <w:r>
        <w:rPr>
          <w:color w:val="231F20"/>
          <w:w w:val="105"/>
        </w:rPr>
        <w:t>to</w:t>
      </w:r>
      <w:r>
        <w:rPr>
          <w:color w:val="231F20"/>
          <w:spacing w:val="-11"/>
          <w:w w:val="105"/>
        </w:rPr>
        <w:t> </w:t>
      </w:r>
      <w:r>
        <w:rPr>
          <w:color w:val="231F20"/>
          <w:w w:val="105"/>
        </w:rPr>
        <w:t>confirm the distribution of implicated products. (5.2.4.1.7).</w:t>
      </w:r>
    </w:p>
    <w:p>
      <w:pPr>
        <w:pStyle w:val="BodyText"/>
        <w:spacing w:line="268" w:lineRule="auto" w:before="183"/>
        <w:ind w:left="720" w:right="39"/>
      </w:pPr>
      <w:r>
        <w:rPr>
          <w:rFonts w:ascii="Arial"/>
          <w:color w:val="00A94F"/>
          <w:w w:val="105"/>
          <w:sz w:val="18"/>
        </w:rPr>
        <w:t>Coordinate Investigation Activities (5.2.5) </w:t>
      </w:r>
      <w:r>
        <w:rPr>
          <w:rFonts w:ascii="Times New Roman"/>
          <w:color w:val="231F20"/>
          <w:w w:val="105"/>
        </w:rPr>
        <w:t>The outbreak investigation and control team </w:t>
      </w:r>
      <w:r>
        <w:rPr>
          <w:color w:val="231F20"/>
          <w:w w:val="105"/>
        </w:rPr>
        <w:t>should meet daily and regularly update others involved in the investigation. If the outbreak </w:t>
      </w:r>
      <w:r>
        <w:rPr>
          <w:rFonts w:ascii="Times New Roman"/>
          <w:color w:val="231F20"/>
          <w:w w:val="105"/>
        </w:rPr>
        <w:t>has gained public attention, the public </w:t>
      </w:r>
      <w:r>
        <w:rPr>
          <w:color w:val="231F20"/>
          <w:w w:val="105"/>
        </w:rPr>
        <w:t>information officer needs to prepare a daily update for the media.</w:t>
      </w:r>
    </w:p>
    <w:p>
      <w:pPr>
        <w:pStyle w:val="BodyText"/>
        <w:spacing w:line="266" w:lineRule="auto" w:before="163"/>
        <w:ind w:left="720" w:right="-17"/>
      </w:pPr>
      <w:r>
        <w:rPr>
          <w:rFonts w:ascii="Times New Roman"/>
          <w:color w:val="231F20"/>
          <w:w w:val="105"/>
        </w:rPr>
        <w:t>Close communication and collaboration </w:t>
      </w:r>
      <w:r>
        <w:rPr>
          <w:color w:val="231F20"/>
          <w:w w:val="105"/>
        </w:rPr>
        <w:t>among epidemiology, environmental health, and public health laboratory staff are</w:t>
      </w:r>
      <w:r>
        <w:rPr>
          <w:color w:val="231F20"/>
          <w:spacing w:val="-35"/>
          <w:w w:val="105"/>
        </w:rPr>
        <w:t> </w:t>
      </w:r>
      <w:r>
        <w:rPr>
          <w:color w:val="231F20"/>
          <w:w w:val="105"/>
        </w:rPr>
        <w:t>necessary </w:t>
      </w:r>
      <w:r>
        <w:rPr>
          <w:rFonts w:ascii="Times New Roman"/>
          <w:color w:val="231F20"/>
          <w:w w:val="105"/>
        </w:rPr>
        <w:t>to</w:t>
      </w:r>
      <w:r>
        <w:rPr>
          <w:rFonts w:ascii="Times New Roman"/>
          <w:color w:val="231F20"/>
          <w:spacing w:val="-25"/>
          <w:w w:val="105"/>
        </w:rPr>
        <w:t> </w:t>
      </w:r>
      <w:r>
        <w:rPr>
          <w:rFonts w:ascii="Times New Roman"/>
          <w:color w:val="231F20"/>
          <w:w w:val="105"/>
        </w:rPr>
        <w:t>ensure</w:t>
      </w:r>
      <w:r>
        <w:rPr>
          <w:rFonts w:ascii="Times New Roman"/>
          <w:color w:val="231F20"/>
          <w:spacing w:val="-25"/>
          <w:w w:val="105"/>
        </w:rPr>
        <w:t> </w:t>
      </w:r>
      <w:r>
        <w:rPr>
          <w:rFonts w:ascii="Times New Roman"/>
          <w:color w:val="231F20"/>
          <w:w w:val="105"/>
        </w:rPr>
        <w:t>concurrent</w:t>
      </w:r>
      <w:r>
        <w:rPr>
          <w:rFonts w:ascii="Times New Roman"/>
          <w:color w:val="231F20"/>
          <w:spacing w:val="-25"/>
          <w:w w:val="105"/>
        </w:rPr>
        <w:t> </w:t>
      </w:r>
      <w:r>
        <w:rPr>
          <w:rFonts w:ascii="Times New Roman"/>
          <w:color w:val="231F20"/>
          <w:w w:val="105"/>
        </w:rPr>
        <w:t>activities</w:t>
      </w:r>
      <w:r>
        <w:rPr>
          <w:rFonts w:ascii="Times New Roman"/>
          <w:color w:val="231F20"/>
          <w:spacing w:val="-25"/>
          <w:w w:val="105"/>
        </w:rPr>
        <w:t> </w:t>
      </w:r>
      <w:r>
        <w:rPr>
          <w:rFonts w:ascii="Times New Roman"/>
          <w:color w:val="231F20"/>
          <w:w w:val="105"/>
        </w:rPr>
        <w:t>do</w:t>
      </w:r>
      <w:r>
        <w:rPr>
          <w:rFonts w:ascii="Times New Roman"/>
          <w:color w:val="231F20"/>
          <w:spacing w:val="-25"/>
          <w:w w:val="105"/>
        </w:rPr>
        <w:t> </w:t>
      </w:r>
      <w:r>
        <w:rPr>
          <w:rFonts w:ascii="Times New Roman"/>
          <w:color w:val="231F20"/>
          <w:w w:val="105"/>
        </w:rPr>
        <w:t>not</w:t>
      </w:r>
      <w:r>
        <w:rPr>
          <w:rFonts w:ascii="Times New Roman"/>
          <w:color w:val="231F20"/>
          <w:spacing w:val="-25"/>
          <w:w w:val="105"/>
        </w:rPr>
        <w:t> </w:t>
      </w:r>
      <w:r>
        <w:rPr>
          <w:rFonts w:ascii="Times New Roman"/>
          <w:color w:val="231F20"/>
          <w:w w:val="105"/>
        </w:rPr>
        <w:t>interfere </w:t>
      </w:r>
      <w:r>
        <w:rPr>
          <w:color w:val="231F20"/>
          <w:w w:val="105"/>
        </w:rPr>
        <w:t>with each other and to guide the activities of individual investigators. The public health laboratory needs to immediately</w:t>
      </w:r>
      <w:r>
        <w:rPr>
          <w:color w:val="231F20"/>
          <w:spacing w:val="-38"/>
          <w:w w:val="105"/>
        </w:rPr>
        <w:t> </w:t>
      </w:r>
      <w:r>
        <w:rPr>
          <w:color w:val="231F20"/>
          <w:w w:val="105"/>
        </w:rPr>
        <w:t>forward</w:t>
      </w:r>
    </w:p>
    <w:p>
      <w:pPr>
        <w:pStyle w:val="BodyText"/>
        <w:spacing w:line="266" w:lineRule="auto"/>
        <w:ind w:left="720" w:right="263"/>
      </w:pPr>
      <w:r>
        <w:rPr>
          <w:color w:val="231F20"/>
          <w:w w:val="105"/>
        </w:rPr>
        <w:t>new case information to epidemiologists. As epidemiologists interview cases about exposures in restaurants and other licensed facilities, they should rapidly forward</w:t>
      </w:r>
    </w:p>
    <w:p>
      <w:pPr>
        <w:pStyle w:val="BodyText"/>
        <w:spacing w:line="216" w:lineRule="exact"/>
        <w:ind w:left="720"/>
        <w:rPr>
          <w:rFonts w:ascii="Times New Roman"/>
        </w:rPr>
      </w:pPr>
      <w:r>
        <w:rPr>
          <w:rFonts w:ascii="Times New Roman"/>
          <w:color w:val="231F20"/>
        </w:rPr>
        <w:t>that information to environmental health</w:t>
      </w:r>
    </w:p>
    <w:p>
      <w:pPr>
        <w:pStyle w:val="BodyText"/>
        <w:spacing w:line="266" w:lineRule="auto" w:before="34"/>
        <w:ind w:left="720" w:right="70"/>
      </w:pPr>
      <w:r>
        <w:rPr>
          <w:color w:val="231F20"/>
          <w:w w:val="105"/>
        </w:rPr>
        <w:t>specialists. Environmental health specialists should share results of interviews with food workers and reviews of food preparation that indicate important differences in exposure </w:t>
      </w:r>
      <w:r>
        <w:rPr>
          <w:rFonts w:ascii="Times New Roman"/>
          <w:color w:val="231F20"/>
          <w:w w:val="105"/>
        </w:rPr>
        <w:t>potential that should be distinguished in </w:t>
      </w:r>
      <w:r>
        <w:rPr>
          <w:color w:val="231F20"/>
          <w:w w:val="105"/>
        </w:rPr>
        <w:t>interviews of cases.</w:t>
      </w:r>
    </w:p>
    <w:p>
      <w:pPr>
        <w:spacing w:line="290" w:lineRule="auto" w:before="183"/>
        <w:ind w:left="720" w:right="70" w:firstLine="0"/>
        <w:jc w:val="left"/>
        <w:rPr>
          <w:rFonts w:ascii="Arial"/>
          <w:sz w:val="18"/>
        </w:rPr>
      </w:pPr>
      <w:r>
        <w:rPr>
          <w:rFonts w:ascii="Arial"/>
          <w:color w:val="00A94F"/>
          <w:sz w:val="18"/>
        </w:rPr>
        <w:t>Compile Results and Reevaluate Goals for Investigation (5.2.6)</w:t>
      </w:r>
    </w:p>
    <w:p>
      <w:pPr>
        <w:pStyle w:val="BodyText"/>
        <w:spacing w:line="252" w:lineRule="auto"/>
        <w:ind w:left="720" w:right="397"/>
        <w:rPr>
          <w:rFonts w:ascii="Times New Roman"/>
        </w:rPr>
      </w:pPr>
      <w:r>
        <w:rPr>
          <w:color w:val="231F20"/>
        </w:rPr>
        <w:t>Document and compile results of each </w:t>
      </w:r>
      <w:r>
        <w:rPr>
          <w:rFonts w:ascii="Times New Roman"/>
          <w:color w:val="231F20"/>
        </w:rPr>
        <w:t>outbreak investigation in a manner that</w:t>
      </w:r>
    </w:p>
    <w:p>
      <w:pPr>
        <w:pStyle w:val="BodyText"/>
        <w:spacing w:line="264" w:lineRule="auto" w:before="108"/>
        <w:ind w:left="326" w:right="1451"/>
      </w:pPr>
      <w:r>
        <w:rPr/>
        <w:br w:type="column"/>
      </w:r>
      <w:r>
        <w:rPr>
          <w:color w:val="231F20"/>
          <w:w w:val="105"/>
        </w:rPr>
        <w:t>enables comparison with the original goals for the investigation. Demonstrate how each goal was achieved </w:t>
      </w:r>
      <w:r>
        <w:rPr>
          <w:color w:val="231F20"/>
          <w:spacing w:val="-7"/>
          <w:w w:val="105"/>
        </w:rPr>
        <w:t>or, </w:t>
      </w:r>
      <w:r>
        <w:rPr>
          <w:color w:val="231F20"/>
          <w:w w:val="105"/>
        </w:rPr>
        <w:t>if the goal was not achieved, explain </w:t>
      </w:r>
      <w:r>
        <w:rPr>
          <w:color w:val="231F20"/>
          <w:spacing w:val="-9"/>
          <w:w w:val="105"/>
        </w:rPr>
        <w:t>why. </w:t>
      </w:r>
      <w:r>
        <w:rPr>
          <w:color w:val="231F20"/>
          <w:w w:val="105"/>
        </w:rPr>
        <w:t>Novel questions or opportunities </w:t>
      </w:r>
      <w:r>
        <w:rPr>
          <w:rFonts w:ascii="Times New Roman"/>
          <w:color w:val="231F20"/>
          <w:w w:val="105"/>
        </w:rPr>
        <w:t>to address fundamental questions about foodborne disease transmission can develop </w:t>
      </w:r>
      <w:r>
        <w:rPr>
          <w:color w:val="231F20"/>
          <w:w w:val="105"/>
        </w:rPr>
        <w:t>during an investigation. The opportunity</w:t>
      </w:r>
    </w:p>
    <w:p>
      <w:pPr>
        <w:pStyle w:val="BodyText"/>
        <w:spacing w:line="276" w:lineRule="auto"/>
        <w:ind w:left="326" w:right="1451"/>
      </w:pPr>
      <w:r>
        <w:rPr>
          <w:rFonts w:ascii="Times New Roman" w:hAnsi="Times New Roman"/>
          <w:color w:val="231F20"/>
          <w:w w:val="105"/>
        </w:rPr>
        <w:t>to address these questions might require </w:t>
      </w:r>
      <w:r>
        <w:rPr>
          <w:color w:val="231F20"/>
          <w:w w:val="105"/>
        </w:rPr>
        <w:t>reevaluation of the investigation’s goals.</w:t>
      </w:r>
    </w:p>
    <w:p>
      <w:pPr>
        <w:pStyle w:val="BodyText"/>
        <w:spacing w:line="264" w:lineRule="auto" w:before="183"/>
        <w:ind w:left="326" w:right="1623"/>
      </w:pPr>
      <w:r>
        <w:rPr>
          <w:color w:val="231F20"/>
        </w:rPr>
        <w:t>Development of an epidemic curve that is regularly updated can help depict the course  </w:t>
      </w:r>
      <w:r>
        <w:rPr>
          <w:rFonts w:ascii="Times New Roman"/>
          <w:color w:val="231F20"/>
        </w:rPr>
        <w:t>of an outbreak and provide insight to disease transmission and relationships to notable </w:t>
      </w:r>
      <w:r>
        <w:rPr>
          <w:color w:val="231F20"/>
        </w:rPr>
        <w:t>events.</w:t>
      </w:r>
    </w:p>
    <w:p>
      <w:pPr>
        <w:spacing w:before="186"/>
        <w:ind w:left="326" w:right="0" w:firstLine="0"/>
        <w:jc w:val="left"/>
        <w:rPr>
          <w:rFonts w:ascii="Arial"/>
          <w:sz w:val="18"/>
        </w:rPr>
      </w:pPr>
      <w:r>
        <w:rPr>
          <w:rFonts w:ascii="Arial"/>
          <w:color w:val="00A94F"/>
          <w:sz w:val="18"/>
        </w:rPr>
        <w:t>Interpret Results (5.2.7)</w:t>
      </w:r>
    </w:p>
    <w:p>
      <w:pPr>
        <w:pStyle w:val="BodyText"/>
        <w:spacing w:line="264" w:lineRule="auto" w:before="25"/>
        <w:ind w:left="326" w:right="1478"/>
      </w:pPr>
      <w:r>
        <w:rPr>
          <w:rFonts w:ascii="Times New Roman"/>
          <w:color w:val="231F20"/>
        </w:rPr>
        <w:t>The outbreak investigator must use </w:t>
      </w:r>
      <w:r>
        <w:rPr>
          <w:i/>
          <w:color w:val="231F20"/>
        </w:rPr>
        <w:t>all </w:t>
      </w:r>
      <w:r>
        <w:rPr>
          <w:rFonts w:ascii="Times New Roman"/>
          <w:color w:val="231F20"/>
        </w:rPr>
        <w:t>available information to construct a coherent </w:t>
      </w:r>
      <w:r>
        <w:rPr>
          <w:color w:val="231F20"/>
        </w:rPr>
        <w:t>narrative of  what happened and </w:t>
      </w:r>
      <w:r>
        <w:rPr>
          <w:color w:val="231F20"/>
          <w:spacing w:val="-9"/>
        </w:rPr>
        <w:t>why.  </w:t>
      </w:r>
      <w:r>
        <w:rPr>
          <w:color w:val="231F20"/>
        </w:rPr>
        <w:t>Results  </w:t>
      </w:r>
      <w:r>
        <w:rPr>
          <w:rFonts w:ascii="Times New Roman"/>
          <w:color w:val="231F20"/>
        </w:rPr>
        <w:t>of epidemiologic studies must be integrated </w:t>
      </w:r>
      <w:r>
        <w:rPr>
          <w:color w:val="231F20"/>
        </w:rPr>
        <w:t>with results of  informational product tracebacks, interviews of food workers, </w:t>
      </w:r>
      <w:r>
        <w:rPr>
          <w:rFonts w:ascii="Times New Roman"/>
          <w:color w:val="231F20"/>
        </w:rPr>
        <w:t>environmental health assessments, and food- </w:t>
      </w:r>
      <w:r>
        <w:rPr>
          <w:color w:val="231F20"/>
        </w:rPr>
        <w:t>product  and  environmental  testing.  When  all of these data elements support and explain the primary hypothesis, strong conclusions can be drawn.</w:t>
      </w:r>
    </w:p>
    <w:p>
      <w:pPr>
        <w:pStyle w:val="BodyText"/>
        <w:spacing w:line="268" w:lineRule="auto" w:before="168"/>
        <w:ind w:left="326" w:right="1456"/>
      </w:pPr>
      <w:r>
        <w:rPr>
          <w:rFonts w:ascii="Times New Roman"/>
          <w:color w:val="231F20"/>
          <w:w w:val="105"/>
        </w:rPr>
        <w:t>In</w:t>
      </w:r>
      <w:r>
        <w:rPr>
          <w:rFonts w:ascii="Times New Roman"/>
          <w:color w:val="231F20"/>
          <w:spacing w:val="-28"/>
          <w:w w:val="105"/>
        </w:rPr>
        <w:t> </w:t>
      </w:r>
      <w:r>
        <w:rPr>
          <w:rFonts w:ascii="Times New Roman"/>
          <w:color w:val="231F20"/>
          <w:w w:val="105"/>
        </w:rPr>
        <w:t>this</w:t>
      </w:r>
      <w:r>
        <w:rPr>
          <w:rFonts w:ascii="Times New Roman"/>
          <w:color w:val="231F20"/>
          <w:spacing w:val="-28"/>
          <w:w w:val="105"/>
        </w:rPr>
        <w:t> </w:t>
      </w:r>
      <w:r>
        <w:rPr>
          <w:rFonts w:ascii="Times New Roman"/>
          <w:color w:val="231F20"/>
          <w:w w:val="105"/>
        </w:rPr>
        <w:t>process,</w:t>
      </w:r>
      <w:r>
        <w:rPr>
          <w:rFonts w:ascii="Times New Roman"/>
          <w:color w:val="231F20"/>
          <w:spacing w:val="-28"/>
          <w:w w:val="105"/>
        </w:rPr>
        <w:t> </w:t>
      </w:r>
      <w:r>
        <w:rPr>
          <w:rFonts w:ascii="Times New Roman"/>
          <w:color w:val="231F20"/>
          <w:w w:val="105"/>
        </w:rPr>
        <w:t>investigators</w:t>
      </w:r>
      <w:r>
        <w:rPr>
          <w:rFonts w:ascii="Times New Roman"/>
          <w:color w:val="231F20"/>
          <w:spacing w:val="-28"/>
          <w:w w:val="105"/>
        </w:rPr>
        <w:t> </w:t>
      </w:r>
      <w:r>
        <w:rPr>
          <w:rFonts w:ascii="Times New Roman"/>
          <w:color w:val="231F20"/>
          <w:w w:val="105"/>
        </w:rPr>
        <w:t>should</w:t>
      </w:r>
      <w:r>
        <w:rPr>
          <w:rFonts w:ascii="Times New Roman"/>
          <w:color w:val="231F20"/>
          <w:spacing w:val="-28"/>
          <w:w w:val="105"/>
        </w:rPr>
        <w:t> </w:t>
      </w:r>
      <w:r>
        <w:rPr>
          <w:rFonts w:ascii="Times New Roman"/>
          <w:color w:val="231F20"/>
          <w:w w:val="105"/>
        </w:rPr>
        <w:t>consider </w:t>
      </w:r>
      <w:r>
        <w:rPr>
          <w:color w:val="231F20"/>
          <w:w w:val="105"/>
        </w:rPr>
        <w:t>their data </w:t>
      </w:r>
      <w:r>
        <w:rPr>
          <w:color w:val="231F20"/>
          <w:spacing w:val="-3"/>
          <w:w w:val="105"/>
        </w:rPr>
        <w:t>critically. </w:t>
      </w:r>
      <w:r>
        <w:rPr>
          <w:color w:val="231F20"/>
          <w:w w:val="105"/>
        </w:rPr>
        <w:t>Statistical associations between exposure and illness may reflect a causal link but may also reflect confounding, bias, chance, and other factors. </w:t>
      </w:r>
      <w:r>
        <w:rPr>
          <w:color w:val="231F20"/>
          <w:spacing w:val="-4"/>
          <w:w w:val="105"/>
        </w:rPr>
        <w:t>Conversely, </w:t>
      </w:r>
      <w:r>
        <w:rPr>
          <w:color w:val="231F20"/>
          <w:w w:val="105"/>
        </w:rPr>
        <w:t>failure to achieve a statistically significant association between illness and exposure may result</w:t>
      </w:r>
      <w:r>
        <w:rPr>
          <w:color w:val="231F20"/>
          <w:spacing w:val="-18"/>
          <w:w w:val="105"/>
        </w:rPr>
        <w:t> </w:t>
      </w:r>
      <w:r>
        <w:rPr>
          <w:color w:val="231F20"/>
          <w:w w:val="105"/>
        </w:rPr>
        <w:t>from</w:t>
      </w:r>
      <w:r>
        <w:rPr>
          <w:color w:val="231F20"/>
          <w:spacing w:val="-18"/>
          <w:w w:val="105"/>
        </w:rPr>
        <w:t> </w:t>
      </w:r>
      <w:r>
        <w:rPr>
          <w:color w:val="231F20"/>
          <w:w w:val="105"/>
        </w:rPr>
        <w:t>small</w:t>
      </w:r>
      <w:r>
        <w:rPr>
          <w:color w:val="231F20"/>
          <w:spacing w:val="-18"/>
          <w:w w:val="105"/>
        </w:rPr>
        <w:t> </w:t>
      </w:r>
      <w:r>
        <w:rPr>
          <w:color w:val="231F20"/>
          <w:w w:val="105"/>
        </w:rPr>
        <w:t>sample</w:t>
      </w:r>
      <w:r>
        <w:rPr>
          <w:color w:val="231F20"/>
          <w:spacing w:val="-18"/>
          <w:w w:val="105"/>
        </w:rPr>
        <w:t> </w:t>
      </w:r>
      <w:r>
        <w:rPr>
          <w:color w:val="231F20"/>
          <w:w w:val="105"/>
        </w:rPr>
        <w:t>size,</w:t>
      </w:r>
      <w:r>
        <w:rPr>
          <w:color w:val="231F20"/>
          <w:spacing w:val="-18"/>
          <w:w w:val="105"/>
        </w:rPr>
        <w:t> </w:t>
      </w:r>
      <w:r>
        <w:rPr>
          <w:color w:val="231F20"/>
          <w:w w:val="105"/>
        </w:rPr>
        <w:t>contamination</w:t>
      </w:r>
      <w:r>
        <w:rPr>
          <w:color w:val="231F20"/>
          <w:spacing w:val="-18"/>
          <w:w w:val="105"/>
        </w:rPr>
        <w:t> </w:t>
      </w:r>
      <w:r>
        <w:rPr>
          <w:color w:val="231F20"/>
          <w:w w:val="105"/>
        </w:rPr>
        <w:t>of multiple vehicles or unrecognized ingredients, or</w:t>
      </w:r>
      <w:r>
        <w:rPr>
          <w:color w:val="231F20"/>
          <w:spacing w:val="-14"/>
          <w:w w:val="105"/>
        </w:rPr>
        <w:t> </w:t>
      </w:r>
      <w:r>
        <w:rPr>
          <w:color w:val="231F20"/>
          <w:w w:val="105"/>
        </w:rPr>
        <w:t>high</w:t>
      </w:r>
      <w:r>
        <w:rPr>
          <w:color w:val="231F20"/>
          <w:spacing w:val="-14"/>
          <w:w w:val="105"/>
        </w:rPr>
        <w:t> </w:t>
      </w:r>
      <w:r>
        <w:rPr>
          <w:color w:val="231F20"/>
          <w:w w:val="105"/>
        </w:rPr>
        <w:t>background</w:t>
      </w:r>
      <w:r>
        <w:rPr>
          <w:color w:val="231F20"/>
          <w:spacing w:val="-14"/>
          <w:w w:val="105"/>
        </w:rPr>
        <w:t> </w:t>
      </w:r>
      <w:r>
        <w:rPr>
          <w:color w:val="231F20"/>
          <w:w w:val="105"/>
        </w:rPr>
        <w:t>rates</w:t>
      </w:r>
      <w:r>
        <w:rPr>
          <w:color w:val="231F20"/>
          <w:spacing w:val="-14"/>
          <w:w w:val="105"/>
        </w:rPr>
        <w:t> </w:t>
      </w:r>
      <w:r>
        <w:rPr>
          <w:color w:val="231F20"/>
          <w:w w:val="105"/>
        </w:rPr>
        <w:t>of</w:t>
      </w:r>
      <w:r>
        <w:rPr>
          <w:color w:val="231F20"/>
          <w:spacing w:val="8"/>
          <w:w w:val="105"/>
        </w:rPr>
        <w:t> </w:t>
      </w:r>
      <w:r>
        <w:rPr>
          <w:color w:val="231F20"/>
          <w:w w:val="105"/>
        </w:rPr>
        <w:t>exposure.</w:t>
      </w:r>
    </w:p>
    <w:p>
      <w:pPr>
        <w:pStyle w:val="BodyText"/>
        <w:spacing w:line="266" w:lineRule="auto" w:before="178"/>
        <w:ind w:left="326" w:right="1437"/>
      </w:pPr>
      <w:r>
        <w:rPr>
          <w:color w:val="231F20"/>
        </w:rPr>
        <w:t>Investigators should be wary of  explanations that depend upon implausible scenarios. Minor inconsistencies are common and may be </w:t>
      </w:r>
      <w:r>
        <w:rPr>
          <w:rFonts w:ascii="Times New Roman"/>
          <w:color w:val="231F20"/>
        </w:rPr>
        <w:t>ignored, but large numbers of inconsistencies </w:t>
      </w:r>
      <w:r>
        <w:rPr>
          <w:color w:val="231F20"/>
        </w:rPr>
        <w:t>might  indicate  that  alternate  hypotheses  need to be considered.</w:t>
      </w:r>
    </w:p>
    <w:p>
      <w:pPr>
        <w:spacing w:after="0" w:line="266" w:lineRule="auto"/>
        <w:sectPr>
          <w:type w:val="continuous"/>
          <w:pgSz w:w="10080" w:h="14400"/>
          <w:pgMar w:top="0" w:bottom="360" w:left="0" w:right="0"/>
          <w:cols w:num="2" w:equalWidth="0">
            <w:col w:w="4494" w:space="40"/>
            <w:col w:w="5546"/>
          </w:cols>
        </w:sectPr>
      </w:pPr>
    </w:p>
    <w:p>
      <w:pPr>
        <w:pStyle w:val="BodyText"/>
        <w:spacing w:before="8"/>
        <w:rPr>
          <w:sz w:val="10"/>
        </w:rPr>
      </w:pPr>
    </w:p>
    <w:p>
      <w:pPr>
        <w:pStyle w:val="Heading1"/>
        <w:spacing w:line="249" w:lineRule="auto"/>
        <w:ind w:right="2580"/>
      </w:pPr>
      <w:r>
        <w:rPr/>
        <w:pict>
          <v:line style="position:absolute;mso-position-horizontal-relative:page;mso-position-vertical-relative:paragraph;z-index:3520;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3568" filled="true" fillcolor="#0079c1" stroked="false">
            <v:fill type="solid"/>
            <w10:wrap type="none"/>
          </v:rect>
        </w:pict>
      </w:r>
      <w:r>
        <w:rPr/>
        <w:pict>
          <v:line style="position:absolute;mso-position-horizontal-relative:page;mso-position-vertical-relative:paragraph;z-index:3592"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3616"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w w:val="105"/>
        </w:rPr>
        <w:t>Overview</w:t>
      </w:r>
      <w:r>
        <w:rPr>
          <w:color w:val="00A94F"/>
          <w:spacing w:val="-31"/>
          <w:w w:val="105"/>
        </w:rPr>
        <w:t> </w:t>
      </w:r>
      <w:r>
        <w:rPr>
          <w:color w:val="00A94F"/>
          <w:w w:val="105"/>
        </w:rPr>
        <w:t>of</w:t>
      </w:r>
      <w:r>
        <w:rPr>
          <w:color w:val="00A94F"/>
          <w:spacing w:val="-31"/>
          <w:w w:val="105"/>
        </w:rPr>
        <w:t> </w:t>
      </w:r>
      <w:r>
        <w:rPr>
          <w:color w:val="00A94F"/>
          <w:w w:val="105"/>
        </w:rPr>
        <w:t>Chapter</w:t>
      </w:r>
      <w:r>
        <w:rPr>
          <w:color w:val="00A94F"/>
          <w:spacing w:val="-31"/>
          <w:w w:val="105"/>
        </w:rPr>
        <w:t> </w:t>
      </w:r>
      <w:r>
        <w:rPr>
          <w:color w:val="00A94F"/>
          <w:w w:val="105"/>
        </w:rPr>
        <w:t>5.</w:t>
      </w:r>
      <w:r>
        <w:rPr>
          <w:color w:val="00A94F"/>
          <w:spacing w:val="-31"/>
          <w:w w:val="105"/>
        </w:rPr>
        <w:t> </w:t>
      </w:r>
      <w:r>
        <w:rPr>
          <w:color w:val="00A94F"/>
          <w:w w:val="105"/>
        </w:rPr>
        <w:t>Investigation</w:t>
      </w:r>
      <w:r>
        <w:rPr>
          <w:color w:val="00A94F"/>
          <w:spacing w:val="-31"/>
          <w:w w:val="105"/>
        </w:rPr>
        <w:t> </w:t>
      </w:r>
      <w:r>
        <w:rPr>
          <w:color w:val="00A94F"/>
          <w:w w:val="105"/>
        </w:rPr>
        <w:t>of</w:t>
      </w:r>
      <w:r>
        <w:rPr>
          <w:color w:val="00A94F"/>
          <w:spacing w:val="-31"/>
          <w:w w:val="105"/>
        </w:rPr>
        <w:t> </w:t>
      </w:r>
      <w:r>
        <w:rPr>
          <w:color w:val="00A94F"/>
          <w:w w:val="105"/>
        </w:rPr>
        <w:t>Clusters</w:t>
      </w:r>
      <w:r>
        <w:rPr>
          <w:color w:val="00A94F"/>
          <w:w w:val="98"/>
        </w:rPr>
        <w:t> </w:t>
      </w:r>
      <w:r>
        <w:rPr>
          <w:color w:val="00A94F"/>
        </w:rPr>
        <w:t>and</w:t>
      </w:r>
      <w:r>
        <w:rPr>
          <w:color w:val="00A94F"/>
          <w:spacing w:val="25"/>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spacing w:line="290" w:lineRule="auto" w:before="114"/>
        <w:ind w:left="1440" w:right="-14" w:firstLine="0"/>
        <w:jc w:val="left"/>
        <w:rPr>
          <w:rFonts w:ascii="Arial"/>
          <w:sz w:val="18"/>
        </w:rPr>
      </w:pPr>
      <w:r>
        <w:rPr>
          <w:rFonts w:ascii="Arial"/>
          <w:color w:val="00A94F"/>
          <w:sz w:val="18"/>
        </w:rPr>
        <w:t>Conduct a Debriefing at End of Investigation (5.2.8)</w:t>
      </w:r>
    </w:p>
    <w:p>
      <w:pPr>
        <w:pStyle w:val="BodyText"/>
        <w:spacing w:line="213" w:lineRule="exact"/>
        <w:ind w:left="1440"/>
        <w:rPr>
          <w:rFonts w:ascii="Times New Roman"/>
        </w:rPr>
      </w:pPr>
      <w:r>
        <w:rPr>
          <w:rFonts w:ascii="Times New Roman"/>
          <w:color w:val="231F20"/>
        </w:rPr>
        <w:t>Encourage a post-outbreak meeting among</w:t>
      </w:r>
    </w:p>
    <w:p>
      <w:pPr>
        <w:pStyle w:val="BodyText"/>
        <w:spacing w:line="266" w:lineRule="auto" w:before="20"/>
        <w:ind w:left="1440" w:right="1"/>
      </w:pPr>
      <w:r>
        <w:rPr>
          <w:rFonts w:ascii="Times New Roman"/>
          <w:color w:val="231F20"/>
          <w:w w:val="105"/>
        </w:rPr>
        <w:t>investigators to assess lessons learned and </w:t>
      </w:r>
      <w:r>
        <w:rPr>
          <w:color w:val="231F20"/>
          <w:w w:val="105"/>
        </w:rPr>
        <w:t>compare</w:t>
      </w:r>
      <w:r>
        <w:rPr>
          <w:color w:val="231F20"/>
          <w:spacing w:val="-15"/>
          <w:w w:val="105"/>
        </w:rPr>
        <w:t> </w:t>
      </w:r>
      <w:r>
        <w:rPr>
          <w:color w:val="231F20"/>
          <w:w w:val="105"/>
        </w:rPr>
        <w:t>notes</w:t>
      </w:r>
      <w:r>
        <w:rPr>
          <w:color w:val="231F20"/>
          <w:spacing w:val="-15"/>
          <w:w w:val="105"/>
        </w:rPr>
        <w:t> </w:t>
      </w:r>
      <w:r>
        <w:rPr>
          <w:color w:val="231F20"/>
          <w:w w:val="105"/>
        </w:rPr>
        <w:t>on</w:t>
      </w:r>
      <w:r>
        <w:rPr>
          <w:color w:val="231F20"/>
          <w:spacing w:val="-15"/>
          <w:w w:val="105"/>
        </w:rPr>
        <w:t> </w:t>
      </w:r>
      <w:r>
        <w:rPr>
          <w:color w:val="231F20"/>
          <w:w w:val="105"/>
        </w:rPr>
        <w:t>final</w:t>
      </w:r>
      <w:r>
        <w:rPr>
          <w:color w:val="231F20"/>
          <w:spacing w:val="-15"/>
          <w:w w:val="105"/>
        </w:rPr>
        <w:t> </w:t>
      </w:r>
      <w:r>
        <w:rPr>
          <w:color w:val="231F20"/>
          <w:w w:val="105"/>
        </w:rPr>
        <w:t>findings.</w:t>
      </w:r>
      <w:r>
        <w:rPr>
          <w:color w:val="231F20"/>
          <w:spacing w:val="-15"/>
          <w:w w:val="105"/>
        </w:rPr>
        <w:t> </w:t>
      </w:r>
      <w:r>
        <w:rPr>
          <w:color w:val="231F20"/>
          <w:w w:val="105"/>
        </w:rPr>
        <w:t>Such</w:t>
      </w:r>
      <w:r>
        <w:rPr>
          <w:color w:val="231F20"/>
          <w:spacing w:val="-15"/>
          <w:w w:val="105"/>
        </w:rPr>
        <w:t> </w:t>
      </w:r>
      <w:r>
        <w:rPr>
          <w:color w:val="231F20"/>
          <w:w w:val="105"/>
        </w:rPr>
        <w:t>meetings are particularly important for multiagency investigations, but they also are important for single-agency</w:t>
      </w:r>
      <w:r>
        <w:rPr>
          <w:color w:val="231F20"/>
          <w:spacing w:val="-24"/>
          <w:w w:val="105"/>
        </w:rPr>
        <w:t> </w:t>
      </w:r>
      <w:r>
        <w:rPr>
          <w:color w:val="231F20"/>
          <w:w w:val="105"/>
        </w:rPr>
        <w:t>investigations.</w:t>
      </w:r>
      <w:r>
        <w:rPr>
          <w:color w:val="231F20"/>
          <w:spacing w:val="-24"/>
          <w:w w:val="105"/>
        </w:rPr>
        <w:t> </w:t>
      </w:r>
      <w:r>
        <w:rPr>
          <w:color w:val="231F20"/>
          <w:w w:val="105"/>
        </w:rPr>
        <w:t>The</w:t>
      </w:r>
      <w:r>
        <w:rPr>
          <w:color w:val="231F20"/>
          <w:spacing w:val="-24"/>
          <w:w w:val="105"/>
        </w:rPr>
        <w:t> </w:t>
      </w:r>
      <w:r>
        <w:rPr>
          <w:color w:val="231F20"/>
          <w:w w:val="105"/>
        </w:rPr>
        <w:t>post-outbreak </w:t>
      </w:r>
      <w:r>
        <w:rPr>
          <w:rFonts w:ascii="Times New Roman"/>
          <w:color w:val="231F20"/>
          <w:w w:val="105"/>
        </w:rPr>
        <w:t>meeting</w:t>
      </w:r>
      <w:r>
        <w:rPr>
          <w:rFonts w:ascii="Times New Roman"/>
          <w:color w:val="231F20"/>
          <w:spacing w:val="-24"/>
          <w:w w:val="105"/>
        </w:rPr>
        <w:t> </w:t>
      </w:r>
      <w:r>
        <w:rPr>
          <w:rFonts w:ascii="Times New Roman"/>
          <w:color w:val="231F20"/>
          <w:w w:val="105"/>
        </w:rPr>
        <w:t>should</w:t>
      </w:r>
      <w:r>
        <w:rPr>
          <w:rFonts w:ascii="Times New Roman"/>
          <w:color w:val="231F20"/>
          <w:spacing w:val="-24"/>
          <w:w w:val="105"/>
        </w:rPr>
        <w:t> </w:t>
      </w:r>
      <w:r>
        <w:rPr>
          <w:rFonts w:ascii="Times New Roman"/>
          <w:color w:val="231F20"/>
          <w:w w:val="105"/>
        </w:rPr>
        <w:t>take</w:t>
      </w:r>
      <w:r>
        <w:rPr>
          <w:rFonts w:ascii="Times New Roman"/>
          <w:color w:val="231F20"/>
          <w:spacing w:val="-25"/>
          <w:w w:val="105"/>
        </w:rPr>
        <w:t> </w:t>
      </w:r>
      <w:r>
        <w:rPr>
          <w:rFonts w:ascii="Times New Roman"/>
          <w:color w:val="231F20"/>
          <w:w w:val="105"/>
        </w:rPr>
        <w:t>place</w:t>
      </w:r>
      <w:r>
        <w:rPr>
          <w:rFonts w:ascii="Times New Roman"/>
          <w:color w:val="231F20"/>
          <w:spacing w:val="-24"/>
          <w:w w:val="105"/>
        </w:rPr>
        <w:t> </w:t>
      </w:r>
      <w:r>
        <w:rPr>
          <w:rFonts w:ascii="Times New Roman"/>
          <w:color w:val="231F20"/>
          <w:w w:val="105"/>
        </w:rPr>
        <w:t>as</w:t>
      </w:r>
      <w:r>
        <w:rPr>
          <w:rFonts w:ascii="Times New Roman"/>
          <w:color w:val="231F20"/>
          <w:spacing w:val="-25"/>
          <w:w w:val="105"/>
        </w:rPr>
        <w:t> </w:t>
      </w:r>
      <w:r>
        <w:rPr>
          <w:rFonts w:ascii="Times New Roman"/>
          <w:color w:val="231F20"/>
          <w:w w:val="105"/>
        </w:rPr>
        <w:t>soon</w:t>
      </w:r>
      <w:r>
        <w:rPr>
          <w:rFonts w:ascii="Times New Roman"/>
          <w:color w:val="231F20"/>
          <w:spacing w:val="-24"/>
          <w:w w:val="105"/>
        </w:rPr>
        <w:t> </w:t>
      </w:r>
      <w:r>
        <w:rPr>
          <w:rFonts w:ascii="Times New Roman"/>
          <w:color w:val="231F20"/>
          <w:w w:val="105"/>
        </w:rPr>
        <w:t>as</w:t>
      </w:r>
      <w:r>
        <w:rPr>
          <w:rFonts w:ascii="Times New Roman"/>
          <w:color w:val="231F20"/>
          <w:spacing w:val="-25"/>
          <w:w w:val="105"/>
        </w:rPr>
        <w:t> </w:t>
      </w:r>
      <w:r>
        <w:rPr>
          <w:rFonts w:ascii="Times New Roman"/>
          <w:color w:val="231F20"/>
          <w:w w:val="105"/>
        </w:rPr>
        <w:t>possible after the investigation ends to capture this </w:t>
      </w:r>
      <w:r>
        <w:rPr>
          <w:color w:val="231F20"/>
          <w:w w:val="105"/>
        </w:rPr>
        <w:t>information</w:t>
      </w:r>
      <w:r>
        <w:rPr>
          <w:color w:val="231F20"/>
          <w:spacing w:val="-14"/>
          <w:w w:val="105"/>
        </w:rPr>
        <w:t> </w:t>
      </w:r>
      <w:r>
        <w:rPr>
          <w:color w:val="231F20"/>
          <w:w w:val="105"/>
        </w:rPr>
        <w:t>while</w:t>
      </w:r>
      <w:r>
        <w:rPr>
          <w:color w:val="231F20"/>
          <w:spacing w:val="-14"/>
          <w:w w:val="105"/>
        </w:rPr>
        <w:t> </w:t>
      </w:r>
      <w:r>
        <w:rPr>
          <w:color w:val="231F20"/>
          <w:w w:val="105"/>
        </w:rPr>
        <w:t>recall</w:t>
      </w:r>
      <w:r>
        <w:rPr>
          <w:color w:val="231F20"/>
          <w:spacing w:val="-14"/>
          <w:w w:val="105"/>
        </w:rPr>
        <w:t> </w:t>
      </w:r>
      <w:r>
        <w:rPr>
          <w:color w:val="231F20"/>
          <w:w w:val="105"/>
        </w:rPr>
        <w:t>is</w:t>
      </w:r>
      <w:r>
        <w:rPr>
          <w:color w:val="231F20"/>
          <w:spacing w:val="-14"/>
          <w:w w:val="105"/>
        </w:rPr>
        <w:t> </w:t>
      </w:r>
      <w:r>
        <w:rPr>
          <w:color w:val="231F20"/>
          <w:w w:val="105"/>
        </w:rPr>
        <w:t>still</w:t>
      </w:r>
      <w:r>
        <w:rPr>
          <w:color w:val="231F20"/>
          <w:spacing w:val="-14"/>
          <w:w w:val="105"/>
        </w:rPr>
        <w:t> </w:t>
      </w:r>
      <w:r>
        <w:rPr>
          <w:color w:val="231F20"/>
          <w:w w:val="105"/>
        </w:rPr>
        <w:t>fresh.</w:t>
      </w:r>
    </w:p>
    <w:p>
      <w:pPr>
        <w:pStyle w:val="BodyText"/>
        <w:spacing w:line="271" w:lineRule="auto" w:before="183"/>
        <w:ind w:left="1440" w:right="106"/>
      </w:pPr>
      <w:r>
        <w:rPr>
          <w:rFonts w:ascii="Arial" w:hAnsi="Arial"/>
          <w:color w:val="00A94F"/>
          <w:sz w:val="18"/>
        </w:rPr>
        <w:t>Summarize Investigation Findings, Conclusions, and Recommendations (5.2.9) </w:t>
      </w:r>
      <w:r>
        <w:rPr>
          <w:color w:val="231F20"/>
        </w:rPr>
        <w:t>At a minimum, every outbreak investigation should be documented </w:t>
      </w:r>
      <w:r>
        <w:rPr>
          <w:color w:val="231F20"/>
          <w:spacing w:val="-3"/>
        </w:rPr>
        <w:t>by </w:t>
      </w:r>
      <w:r>
        <w:rPr>
          <w:color w:val="231F20"/>
        </w:rPr>
        <w:t>using a standardized form </w:t>
      </w:r>
      <w:r>
        <w:rPr>
          <w:color w:val="231F20"/>
          <w:spacing w:val="-4"/>
        </w:rPr>
        <w:t>(e.g., </w:t>
      </w:r>
      <w:r>
        <w:rPr>
          <w:color w:val="231F20"/>
        </w:rPr>
        <w:t>CDC’s form 52.13 or its equivalent) </w:t>
      </w:r>
      <w:r>
        <w:rPr>
          <w:rFonts w:ascii="Times New Roman" w:hAnsi="Times New Roman"/>
          <w:color w:val="231F20"/>
        </w:rPr>
        <w:t>to facilitate inclusion in state and national </w:t>
      </w:r>
      <w:r>
        <w:rPr>
          <w:color w:val="231F20"/>
        </w:rPr>
        <w:t>outbreak databases. Investigators are encouraged to submit preliminary reports  while the investigation is ongoing to help link outbreaks occurring simultaneously in</w:t>
      </w:r>
      <w:r>
        <w:rPr>
          <w:color w:val="231F20"/>
          <w:spacing w:val="43"/>
        </w:rPr>
        <w:t> </w:t>
      </w:r>
      <w:r>
        <w:rPr>
          <w:color w:val="231F20"/>
        </w:rPr>
        <w:t>multiple</w:t>
      </w:r>
    </w:p>
    <w:p>
      <w:pPr>
        <w:pStyle w:val="BodyText"/>
        <w:spacing w:line="266" w:lineRule="auto"/>
        <w:ind w:left="1440" w:right="-3"/>
      </w:pPr>
      <w:r>
        <w:rPr>
          <w:color w:val="231F20"/>
        </w:rPr>
        <w:t>places and facilitate further investigation. Larger or more complex investigations or investigations with significance for public health and food- safety practice demand a more complete report and, possibly, publication in a  peer-reviewed</w:t>
      </w:r>
    </w:p>
    <w:p>
      <w:pPr>
        <w:pStyle w:val="BodyText"/>
        <w:spacing w:before="108"/>
        <w:ind w:left="319"/>
      </w:pPr>
      <w:r>
        <w:rPr/>
        <w:br w:type="column"/>
      </w:r>
      <w:r>
        <w:rPr>
          <w:color w:val="231F20"/>
        </w:rPr>
        <w:t>journal. Written reports should  include:</w:t>
      </w:r>
    </w:p>
    <w:p>
      <w:pPr>
        <w:pStyle w:val="BodyText"/>
        <w:spacing w:before="2"/>
        <w:rPr>
          <w:sz w:val="18"/>
        </w:rPr>
      </w:pPr>
    </w:p>
    <w:p>
      <w:pPr>
        <w:pStyle w:val="ListParagraph"/>
        <w:numPr>
          <w:ilvl w:val="0"/>
          <w:numId w:val="2"/>
        </w:numPr>
        <w:tabs>
          <w:tab w:pos="491" w:val="left" w:leader="none"/>
        </w:tabs>
        <w:spacing w:line="240" w:lineRule="auto" w:before="0" w:after="0"/>
        <w:ind w:left="490" w:right="0" w:hanging="171"/>
        <w:jc w:val="left"/>
        <w:rPr>
          <w:sz w:val="20"/>
        </w:rPr>
      </w:pPr>
      <w:r>
        <w:rPr>
          <w:color w:val="231F20"/>
          <w:w w:val="105"/>
          <w:sz w:val="20"/>
        </w:rPr>
        <w:t>Background;</w:t>
      </w:r>
    </w:p>
    <w:p>
      <w:pPr>
        <w:pStyle w:val="ListParagraph"/>
        <w:numPr>
          <w:ilvl w:val="0"/>
          <w:numId w:val="2"/>
        </w:numPr>
        <w:tabs>
          <w:tab w:pos="491" w:val="left" w:leader="none"/>
        </w:tabs>
        <w:spacing w:line="240" w:lineRule="auto" w:before="114" w:after="0"/>
        <w:ind w:left="490" w:right="0" w:hanging="171"/>
        <w:jc w:val="left"/>
        <w:rPr>
          <w:sz w:val="20"/>
        </w:rPr>
      </w:pPr>
      <w:r>
        <w:rPr>
          <w:color w:val="231F20"/>
          <w:w w:val="105"/>
          <w:sz w:val="20"/>
        </w:rPr>
        <w:t>Methods;</w:t>
      </w:r>
    </w:p>
    <w:p>
      <w:pPr>
        <w:pStyle w:val="ListParagraph"/>
        <w:numPr>
          <w:ilvl w:val="0"/>
          <w:numId w:val="2"/>
        </w:numPr>
        <w:tabs>
          <w:tab w:pos="491" w:val="left" w:leader="none"/>
        </w:tabs>
        <w:spacing w:line="240" w:lineRule="auto" w:before="114" w:after="0"/>
        <w:ind w:left="490" w:right="0" w:hanging="171"/>
        <w:jc w:val="left"/>
        <w:rPr>
          <w:sz w:val="20"/>
        </w:rPr>
      </w:pPr>
      <w:r>
        <w:rPr>
          <w:color w:val="231F20"/>
          <w:w w:val="105"/>
          <w:sz w:val="20"/>
        </w:rPr>
        <w:t>Results;</w:t>
      </w:r>
    </w:p>
    <w:p>
      <w:pPr>
        <w:pStyle w:val="ListParagraph"/>
        <w:numPr>
          <w:ilvl w:val="0"/>
          <w:numId w:val="2"/>
        </w:numPr>
        <w:tabs>
          <w:tab w:pos="491" w:val="left" w:leader="none"/>
        </w:tabs>
        <w:spacing w:line="240" w:lineRule="auto" w:before="114" w:after="0"/>
        <w:ind w:left="490" w:right="0" w:hanging="171"/>
        <w:jc w:val="left"/>
        <w:rPr>
          <w:sz w:val="20"/>
        </w:rPr>
      </w:pPr>
      <w:r>
        <w:rPr>
          <w:color w:val="231F20"/>
          <w:w w:val="105"/>
          <w:sz w:val="20"/>
        </w:rPr>
        <w:t>Conclusions;</w:t>
      </w:r>
    </w:p>
    <w:p>
      <w:pPr>
        <w:pStyle w:val="ListParagraph"/>
        <w:numPr>
          <w:ilvl w:val="0"/>
          <w:numId w:val="2"/>
        </w:numPr>
        <w:tabs>
          <w:tab w:pos="491" w:val="left" w:leader="none"/>
        </w:tabs>
        <w:spacing w:line="240" w:lineRule="auto" w:before="114" w:after="0"/>
        <w:ind w:left="490" w:right="0" w:hanging="171"/>
        <w:jc w:val="left"/>
        <w:rPr>
          <w:sz w:val="20"/>
        </w:rPr>
      </w:pPr>
      <w:r>
        <w:rPr>
          <w:color w:val="231F20"/>
          <w:w w:val="105"/>
          <w:sz w:val="20"/>
        </w:rPr>
        <w:t>Recommendations;</w:t>
      </w:r>
      <w:r>
        <w:rPr>
          <w:color w:val="231F20"/>
          <w:spacing w:val="-14"/>
          <w:w w:val="105"/>
          <w:sz w:val="20"/>
        </w:rPr>
        <w:t> </w:t>
      </w:r>
      <w:r>
        <w:rPr>
          <w:color w:val="231F20"/>
          <w:w w:val="105"/>
          <w:sz w:val="20"/>
        </w:rPr>
        <w:t>and</w:t>
      </w:r>
    </w:p>
    <w:p>
      <w:pPr>
        <w:pStyle w:val="ListParagraph"/>
        <w:numPr>
          <w:ilvl w:val="0"/>
          <w:numId w:val="2"/>
        </w:numPr>
        <w:tabs>
          <w:tab w:pos="491" w:val="left" w:leader="none"/>
        </w:tabs>
        <w:spacing w:line="266" w:lineRule="auto" w:before="114" w:after="0"/>
        <w:ind w:left="490" w:right="1333" w:hanging="171"/>
        <w:jc w:val="left"/>
        <w:rPr>
          <w:sz w:val="20"/>
        </w:rPr>
      </w:pPr>
      <w:r>
        <w:rPr>
          <w:color w:val="231F20"/>
          <w:w w:val="105"/>
          <w:sz w:val="20"/>
        </w:rPr>
        <w:t>Epi-curve</w:t>
      </w:r>
      <w:r>
        <w:rPr>
          <w:color w:val="231F20"/>
          <w:spacing w:val="-26"/>
          <w:w w:val="105"/>
          <w:sz w:val="20"/>
        </w:rPr>
        <w:t> </w:t>
      </w:r>
      <w:r>
        <w:rPr>
          <w:color w:val="231F20"/>
          <w:w w:val="105"/>
          <w:sz w:val="20"/>
        </w:rPr>
        <w:t>with</w:t>
      </w:r>
      <w:r>
        <w:rPr>
          <w:color w:val="231F20"/>
          <w:spacing w:val="-26"/>
          <w:w w:val="105"/>
          <w:sz w:val="20"/>
        </w:rPr>
        <w:t> </w:t>
      </w:r>
      <w:r>
        <w:rPr>
          <w:color w:val="231F20"/>
          <w:w w:val="105"/>
          <w:sz w:val="20"/>
        </w:rPr>
        <w:t>outbreak</w:t>
      </w:r>
      <w:r>
        <w:rPr>
          <w:color w:val="231F20"/>
          <w:spacing w:val="-26"/>
          <w:w w:val="105"/>
          <w:sz w:val="20"/>
        </w:rPr>
        <w:t> </w:t>
      </w:r>
      <w:r>
        <w:rPr>
          <w:color w:val="231F20"/>
          <w:w w:val="105"/>
          <w:sz w:val="20"/>
        </w:rPr>
        <w:t>investigation timeline.</w:t>
      </w:r>
    </w:p>
    <w:p>
      <w:pPr>
        <w:spacing w:before="183"/>
        <w:ind w:left="319" w:right="0" w:firstLine="0"/>
        <w:jc w:val="left"/>
        <w:rPr>
          <w:rFonts w:ascii="Arial"/>
          <w:sz w:val="18"/>
        </w:rPr>
      </w:pPr>
      <w:r>
        <w:rPr>
          <w:rFonts w:ascii="Arial"/>
          <w:color w:val="00A94F"/>
          <w:sz w:val="18"/>
        </w:rPr>
        <w:t>Distribute Report (5.2.10)</w:t>
      </w:r>
    </w:p>
    <w:p>
      <w:pPr>
        <w:pStyle w:val="BodyText"/>
        <w:spacing w:line="264" w:lineRule="auto" w:before="39"/>
        <w:ind w:left="319" w:right="370"/>
      </w:pPr>
      <w:r>
        <w:rPr>
          <w:color w:val="231F20"/>
        </w:rPr>
        <w:t>Copies of the report should be shared with all persons involved with the investigation (e.g., </w:t>
      </w:r>
      <w:r>
        <w:rPr>
          <w:rFonts w:ascii="Times New Roman"/>
          <w:color w:val="231F20"/>
        </w:rPr>
        <w:t>investigation team members, health department </w:t>
      </w:r>
      <w:r>
        <w:rPr>
          <w:color w:val="231F20"/>
        </w:rPr>
        <w:t>officials and press officers, health-care</w:t>
      </w:r>
    </w:p>
    <w:p>
      <w:pPr>
        <w:pStyle w:val="BodyText"/>
        <w:spacing w:line="264" w:lineRule="auto" w:before="2"/>
        <w:ind w:left="319" w:right="784"/>
      </w:pPr>
      <w:r>
        <w:rPr>
          <w:color w:val="231F20"/>
        </w:rPr>
        <w:t>providers who reported cases) and distributed </w:t>
      </w:r>
      <w:r>
        <w:rPr>
          <w:rFonts w:ascii="Times New Roman"/>
          <w:color w:val="231F20"/>
        </w:rPr>
        <w:t>to persons responsible for implementing </w:t>
      </w:r>
      <w:r>
        <w:rPr>
          <w:color w:val="231F20"/>
        </w:rPr>
        <w:t>control  measures  </w:t>
      </w:r>
      <w:r>
        <w:rPr>
          <w:color w:val="231F20"/>
          <w:spacing w:val="-4"/>
        </w:rPr>
        <w:t>(e.g.,  </w:t>
      </w:r>
      <w:r>
        <w:rPr>
          <w:color w:val="231F20"/>
        </w:rPr>
        <w:t>owners  and  managers of  establishments identified as the source of the outbreak and program staff who might </w:t>
      </w:r>
      <w:r>
        <w:rPr>
          <w:rFonts w:ascii="Times New Roman"/>
          <w:color w:val="231F20"/>
        </w:rPr>
        <w:t>oversee implementation of control measures </w:t>
      </w:r>
      <w:r>
        <w:rPr>
          <w:color w:val="231F20"/>
        </w:rPr>
        <w:t>or provide technical assistance). The report is a </w:t>
      </w:r>
      <w:r>
        <w:rPr>
          <w:rFonts w:ascii="Times New Roman"/>
          <w:color w:val="231F20"/>
        </w:rPr>
        <w:t>public record and should be made available to </w:t>
      </w:r>
      <w:r>
        <w:rPr>
          <w:color w:val="231F20"/>
        </w:rPr>
        <w:t>members of  the public who request</w:t>
      </w:r>
      <w:r>
        <w:rPr>
          <w:color w:val="231F20"/>
          <w:spacing w:val="9"/>
        </w:rPr>
        <w:t> </w:t>
      </w:r>
      <w:r>
        <w:rPr>
          <w:color w:val="231F20"/>
        </w:rPr>
        <w:t>it.</w:t>
      </w:r>
    </w:p>
    <w:p>
      <w:pPr>
        <w:spacing w:after="0" w:line="264" w:lineRule="auto"/>
        <w:sectPr>
          <w:type w:val="continuous"/>
          <w:pgSz w:w="10080" w:h="14400"/>
          <w:pgMar w:top="0" w:bottom="360" w:left="0" w:right="0"/>
          <w:cols w:num="2" w:equalWidth="0">
            <w:col w:w="5221" w:space="40"/>
            <w:col w:w="4819"/>
          </w:cols>
        </w:sectPr>
      </w:pPr>
    </w:p>
    <w:p>
      <w:pPr>
        <w:pStyle w:val="BodyText"/>
      </w:pPr>
    </w:p>
    <w:p>
      <w:pPr>
        <w:pStyle w:val="BodyText"/>
        <w:spacing w:before="8"/>
        <w:rPr>
          <w:sz w:val="16"/>
        </w:rPr>
      </w:pPr>
    </w:p>
    <w:p>
      <w:pPr>
        <w:pStyle w:val="Heading1"/>
        <w:spacing w:before="98"/>
      </w:pPr>
      <w:r>
        <w:rPr/>
        <w:pict>
          <v:line style="position:absolute;mso-position-horizontal-relative:page;mso-position-vertical-relative:paragraph;z-index:3544;mso-wrap-distance-left:0;mso-wrap-distance-right:0" from="72pt,24.041843pt" to="468pt,24.041843pt" stroked="true" strokeweight=".5pt" strokecolor="#00a94f">
            <v:stroke dashstyle="solid"/>
            <w10:wrap type="topAndBottom"/>
          </v:line>
        </w:pict>
      </w:r>
      <w:r>
        <w:rPr>
          <w:color w:val="00A94F"/>
        </w:rPr>
        <w:t>Overview of Chapter 6. Control  Measures</w:t>
      </w:r>
    </w:p>
    <w:p>
      <w:pPr>
        <w:pStyle w:val="BodyText"/>
        <w:rPr>
          <w:rFonts w:ascii="Arial"/>
          <w:sz w:val="19"/>
        </w:rPr>
      </w:pPr>
    </w:p>
    <w:p>
      <w:pPr>
        <w:spacing w:after="0"/>
        <w:rPr>
          <w:rFonts w:ascii="Arial"/>
          <w:sz w:val="19"/>
        </w:rPr>
        <w:sectPr>
          <w:type w:val="continuous"/>
          <w:pgSz w:w="10080" w:h="14400"/>
          <w:pgMar w:top="0" w:bottom="360" w:left="0" w:right="0"/>
        </w:sectPr>
      </w:pPr>
    </w:p>
    <w:p>
      <w:pPr>
        <w:pStyle w:val="BodyText"/>
        <w:spacing w:before="99"/>
        <w:ind w:left="1440"/>
        <w:rPr>
          <w:rFonts w:ascii="Arial"/>
        </w:rPr>
      </w:pPr>
      <w:r>
        <w:rPr>
          <w:rFonts w:ascii="Arial"/>
          <w:color w:val="1C3E94"/>
        </w:rPr>
        <w:t>Introduction (Section 6.0)</w:t>
      </w:r>
    </w:p>
    <w:p>
      <w:pPr>
        <w:pStyle w:val="BodyText"/>
        <w:spacing w:before="5"/>
        <w:rPr>
          <w:rFonts w:ascii="Arial"/>
          <w:sz w:val="17"/>
        </w:rPr>
      </w:pPr>
    </w:p>
    <w:p>
      <w:pPr>
        <w:pStyle w:val="BodyText"/>
        <w:spacing w:line="264" w:lineRule="auto"/>
        <w:ind w:left="1440" w:right="189"/>
        <w:rPr>
          <w:rFonts w:ascii="Times New Roman" w:hAnsi="Times New Roman"/>
        </w:rPr>
      </w:pPr>
      <w:r>
        <w:rPr>
          <w:rFonts w:ascii="Times New Roman" w:hAnsi="Times New Roman"/>
          <w:color w:val="231F20"/>
        </w:rPr>
        <w:t>The purpose of outbreak investigations is to </w:t>
      </w:r>
      <w:r>
        <w:rPr>
          <w:color w:val="231F20"/>
        </w:rPr>
        <w:t>stop the current outbreak, determine how  </w:t>
      </w:r>
      <w:r>
        <w:rPr>
          <w:rFonts w:ascii="Times New Roman" w:hAnsi="Times New Roman"/>
          <w:color w:val="231F20"/>
        </w:rPr>
        <w:t>the contamination occurred, and implement </w:t>
      </w:r>
      <w:r>
        <w:rPr>
          <w:color w:val="231F20"/>
        </w:rPr>
        <w:t>prevention-based approaches to minimize  the risk for future outbreaks. Rapid response is </w:t>
      </w:r>
      <w:r>
        <w:rPr>
          <w:color w:val="231F20"/>
          <w:spacing w:val="-8"/>
        </w:rPr>
        <w:t>key. </w:t>
      </w:r>
      <w:r>
        <w:rPr>
          <w:color w:val="231F20"/>
        </w:rPr>
        <w:t>The two major types of foodborne </w:t>
      </w:r>
      <w:r>
        <w:rPr>
          <w:rFonts w:ascii="Times New Roman" w:hAnsi="Times New Roman"/>
          <w:color w:val="231F20"/>
        </w:rPr>
        <w:t>disease outbreaks—those originating from </w:t>
      </w:r>
      <w:r>
        <w:rPr>
          <w:color w:val="231F20"/>
        </w:rPr>
        <w:t>retail food establishments (which sell to the </w:t>
      </w:r>
      <w:r>
        <w:rPr>
          <w:rFonts w:ascii="Times New Roman" w:hAnsi="Times New Roman"/>
          <w:color w:val="231F20"/>
        </w:rPr>
        <w:t>consumer) or home preparation of  food</w:t>
      </w:r>
      <w:r>
        <w:rPr>
          <w:rFonts w:ascii="Times New Roman" w:hAnsi="Times New Roman"/>
          <w:color w:val="231F20"/>
          <w:spacing w:val="-8"/>
        </w:rPr>
        <w:t> </w:t>
      </w:r>
      <w:r>
        <w:rPr>
          <w:rFonts w:ascii="Times New Roman" w:hAnsi="Times New Roman"/>
          <w:color w:val="231F20"/>
        </w:rPr>
        <w:t>and</w:t>
      </w:r>
    </w:p>
    <w:p>
      <w:pPr>
        <w:pStyle w:val="BodyText"/>
        <w:spacing w:line="266" w:lineRule="auto" w:before="11"/>
        <w:ind w:left="1440" w:right="-17"/>
      </w:pPr>
      <w:r>
        <w:rPr>
          <w:color w:val="231F20"/>
          <w:w w:val="105"/>
        </w:rPr>
        <w:t>those</w:t>
      </w:r>
      <w:r>
        <w:rPr>
          <w:color w:val="231F20"/>
          <w:spacing w:val="-26"/>
          <w:w w:val="105"/>
        </w:rPr>
        <w:t> </w:t>
      </w:r>
      <w:r>
        <w:rPr>
          <w:color w:val="231F20"/>
          <w:w w:val="105"/>
        </w:rPr>
        <w:t>originating</w:t>
      </w:r>
      <w:r>
        <w:rPr>
          <w:color w:val="231F20"/>
          <w:spacing w:val="-26"/>
          <w:w w:val="105"/>
        </w:rPr>
        <w:t> </w:t>
      </w:r>
      <w:r>
        <w:rPr>
          <w:color w:val="231F20"/>
          <w:w w:val="105"/>
        </w:rPr>
        <w:t>from</w:t>
      </w:r>
      <w:r>
        <w:rPr>
          <w:color w:val="231F20"/>
          <w:spacing w:val="-26"/>
          <w:w w:val="105"/>
        </w:rPr>
        <w:t> </w:t>
      </w:r>
      <w:r>
        <w:rPr>
          <w:color w:val="231F20"/>
          <w:w w:val="105"/>
        </w:rPr>
        <w:t>commercial</w:t>
      </w:r>
      <w:r>
        <w:rPr>
          <w:color w:val="231F20"/>
          <w:spacing w:val="-26"/>
          <w:w w:val="105"/>
        </w:rPr>
        <w:t> </w:t>
      </w:r>
      <w:r>
        <w:rPr>
          <w:color w:val="231F20"/>
          <w:w w:val="105"/>
        </w:rPr>
        <w:t>processors/</w:t>
      </w:r>
      <w:r>
        <w:rPr>
          <w:color w:val="231F20"/>
          <w:w w:val="98"/>
        </w:rPr>
        <w:t> </w:t>
      </w:r>
      <w:r>
        <w:rPr>
          <w:color w:val="231F20"/>
          <w:w w:val="105"/>
        </w:rPr>
        <w:t>producers—require two different types of control</w:t>
      </w:r>
      <w:r>
        <w:rPr>
          <w:color w:val="231F20"/>
          <w:spacing w:val="-36"/>
          <w:w w:val="105"/>
        </w:rPr>
        <w:t> </w:t>
      </w:r>
      <w:r>
        <w:rPr>
          <w:color w:val="231F20"/>
          <w:w w:val="105"/>
        </w:rPr>
        <w:t>measures.</w:t>
      </w:r>
    </w:p>
    <w:p>
      <w:pPr>
        <w:pStyle w:val="BodyText"/>
        <w:spacing w:line="261" w:lineRule="auto" w:before="99"/>
        <w:ind w:left="358" w:right="878"/>
        <w:rPr>
          <w:rFonts w:ascii="Arial"/>
        </w:rPr>
      </w:pPr>
      <w:r>
        <w:rPr/>
        <w:br w:type="column"/>
      </w:r>
      <w:r>
        <w:rPr>
          <w:rFonts w:ascii="Arial"/>
          <w:color w:val="1C3E94"/>
        </w:rPr>
        <w:t>Information-Based Decision-Making (Section 6.1)</w:t>
      </w:r>
    </w:p>
    <w:p>
      <w:pPr>
        <w:pStyle w:val="BodyText"/>
        <w:spacing w:line="266" w:lineRule="auto" w:before="181"/>
        <w:ind w:left="358" w:right="878"/>
      </w:pPr>
      <w:r>
        <w:rPr>
          <w:rFonts w:ascii="Times New Roman"/>
          <w:color w:val="231F20"/>
          <w:spacing w:val="-11"/>
          <w:w w:val="105"/>
        </w:rPr>
        <w:t>To </w:t>
      </w:r>
      <w:r>
        <w:rPr>
          <w:rFonts w:ascii="Times New Roman"/>
          <w:color w:val="231F20"/>
          <w:w w:val="105"/>
        </w:rPr>
        <w:t>prevent further illness in an outbreak, control</w:t>
      </w:r>
      <w:r>
        <w:rPr>
          <w:rFonts w:ascii="Times New Roman"/>
          <w:color w:val="231F20"/>
          <w:spacing w:val="-27"/>
          <w:w w:val="105"/>
        </w:rPr>
        <w:t> </w:t>
      </w:r>
      <w:r>
        <w:rPr>
          <w:rFonts w:ascii="Times New Roman"/>
          <w:color w:val="231F20"/>
          <w:w w:val="105"/>
        </w:rPr>
        <w:t>measures</w:t>
      </w:r>
      <w:r>
        <w:rPr>
          <w:rFonts w:ascii="Times New Roman"/>
          <w:color w:val="231F20"/>
          <w:spacing w:val="-27"/>
          <w:w w:val="105"/>
        </w:rPr>
        <w:t> </w:t>
      </w:r>
      <w:r>
        <w:rPr>
          <w:rFonts w:ascii="Times New Roman"/>
          <w:color w:val="231F20"/>
          <w:w w:val="105"/>
        </w:rPr>
        <w:t>should</w:t>
      </w:r>
      <w:r>
        <w:rPr>
          <w:rFonts w:ascii="Times New Roman"/>
          <w:color w:val="231F20"/>
          <w:spacing w:val="-27"/>
          <w:w w:val="105"/>
        </w:rPr>
        <w:t> </w:t>
      </w:r>
      <w:r>
        <w:rPr>
          <w:rFonts w:ascii="Times New Roman"/>
          <w:color w:val="231F20"/>
          <w:w w:val="105"/>
        </w:rPr>
        <w:t>be</w:t>
      </w:r>
      <w:r>
        <w:rPr>
          <w:rFonts w:ascii="Times New Roman"/>
          <w:color w:val="231F20"/>
          <w:spacing w:val="-27"/>
          <w:w w:val="105"/>
        </w:rPr>
        <w:t> </w:t>
      </w:r>
      <w:r>
        <w:rPr>
          <w:rFonts w:ascii="Times New Roman"/>
          <w:color w:val="231F20"/>
          <w:w w:val="105"/>
        </w:rPr>
        <w:t>initiated</w:t>
      </w:r>
      <w:r>
        <w:rPr>
          <w:rFonts w:ascii="Times New Roman"/>
          <w:color w:val="231F20"/>
          <w:spacing w:val="-27"/>
          <w:w w:val="105"/>
        </w:rPr>
        <w:t> </w:t>
      </w:r>
      <w:r>
        <w:rPr>
          <w:rFonts w:ascii="Times New Roman"/>
          <w:color w:val="231F20"/>
          <w:w w:val="105"/>
        </w:rPr>
        <w:t>as</w:t>
      </w:r>
      <w:r>
        <w:rPr>
          <w:rFonts w:ascii="Times New Roman"/>
          <w:color w:val="231F20"/>
          <w:spacing w:val="-27"/>
          <w:w w:val="105"/>
        </w:rPr>
        <w:t> </w:t>
      </w:r>
      <w:r>
        <w:rPr>
          <w:rFonts w:ascii="Times New Roman"/>
          <w:color w:val="231F20"/>
          <w:w w:val="105"/>
        </w:rPr>
        <w:t>soon </w:t>
      </w:r>
      <w:r>
        <w:rPr>
          <w:color w:val="231F20"/>
          <w:w w:val="105"/>
        </w:rPr>
        <w:t>as possible, even concurrently with ongoing </w:t>
      </w:r>
      <w:r>
        <w:rPr>
          <w:color w:val="231F20"/>
        </w:rPr>
        <w:t>investigations. Sometimes nonspecific control </w:t>
      </w:r>
      <w:r>
        <w:rPr>
          <w:color w:val="231F20"/>
          <w:w w:val="105"/>
        </w:rPr>
        <w:t>measures can be implemented immediately </w:t>
      </w:r>
      <w:r>
        <w:rPr>
          <w:rFonts w:ascii="Times New Roman"/>
          <w:color w:val="231F20"/>
          <w:w w:val="105"/>
        </w:rPr>
        <w:t>to prevent further transmission of disease, </w:t>
      </w:r>
      <w:r>
        <w:rPr>
          <w:color w:val="231F20"/>
          <w:w w:val="105"/>
        </w:rPr>
        <w:t>regardless</w:t>
      </w:r>
      <w:r>
        <w:rPr>
          <w:color w:val="231F20"/>
          <w:spacing w:val="-14"/>
          <w:w w:val="105"/>
        </w:rPr>
        <w:t> </w:t>
      </w:r>
      <w:r>
        <w:rPr>
          <w:color w:val="231F20"/>
          <w:w w:val="105"/>
        </w:rPr>
        <w:t>of</w:t>
      </w:r>
      <w:r>
        <w:rPr>
          <w:color w:val="231F20"/>
          <w:spacing w:val="8"/>
          <w:w w:val="105"/>
        </w:rPr>
        <w:t> </w:t>
      </w:r>
      <w:r>
        <w:rPr>
          <w:color w:val="231F20"/>
          <w:w w:val="105"/>
        </w:rPr>
        <w:t>the</w:t>
      </w:r>
      <w:r>
        <w:rPr>
          <w:color w:val="231F20"/>
          <w:spacing w:val="-14"/>
          <w:w w:val="105"/>
        </w:rPr>
        <w:t> </w:t>
      </w:r>
      <w:r>
        <w:rPr>
          <w:color w:val="231F20"/>
          <w:w w:val="105"/>
        </w:rPr>
        <w:t>type</w:t>
      </w:r>
      <w:r>
        <w:rPr>
          <w:color w:val="231F20"/>
          <w:spacing w:val="-14"/>
          <w:w w:val="105"/>
        </w:rPr>
        <w:t> </w:t>
      </w:r>
      <w:r>
        <w:rPr>
          <w:color w:val="231F20"/>
          <w:w w:val="105"/>
        </w:rPr>
        <w:t>of</w:t>
      </w:r>
      <w:r>
        <w:rPr>
          <w:color w:val="231F20"/>
          <w:spacing w:val="8"/>
          <w:w w:val="105"/>
        </w:rPr>
        <w:t> </w:t>
      </w:r>
      <w:r>
        <w:rPr>
          <w:color w:val="231F20"/>
          <w:w w:val="105"/>
        </w:rPr>
        <w:t>disease</w:t>
      </w:r>
      <w:r>
        <w:rPr>
          <w:color w:val="231F20"/>
          <w:spacing w:val="-14"/>
          <w:w w:val="105"/>
        </w:rPr>
        <w:t> </w:t>
      </w:r>
      <w:r>
        <w:rPr>
          <w:color w:val="231F20"/>
          <w:w w:val="105"/>
        </w:rPr>
        <w:t>or</w:t>
      </w:r>
      <w:r>
        <w:rPr>
          <w:color w:val="231F20"/>
          <w:spacing w:val="-14"/>
          <w:w w:val="105"/>
        </w:rPr>
        <w:t> </w:t>
      </w:r>
      <w:r>
        <w:rPr>
          <w:color w:val="231F20"/>
          <w:w w:val="105"/>
        </w:rPr>
        <w:t>source</w:t>
      </w:r>
    </w:p>
    <w:p>
      <w:pPr>
        <w:pStyle w:val="BodyText"/>
        <w:spacing w:line="264" w:lineRule="auto"/>
        <w:ind w:left="358" w:right="755"/>
      </w:pPr>
      <w:r>
        <w:rPr>
          <w:color w:val="231F20"/>
        </w:rPr>
        <w:t>(6.1.1). If any possibility exists that an outbreak </w:t>
      </w:r>
      <w:r>
        <w:rPr>
          <w:rFonts w:ascii="Times New Roman"/>
          <w:color w:val="231F20"/>
        </w:rPr>
        <w:t>might be due to intentional contamination, </w:t>
      </w:r>
      <w:r>
        <w:rPr>
          <w:color w:val="231F20"/>
        </w:rPr>
        <w:t>then law enforcement agencies will need to be notified </w:t>
      </w:r>
      <w:r>
        <w:rPr>
          <w:color w:val="231F20"/>
          <w:spacing w:val="26"/>
        </w:rPr>
        <w:t> </w:t>
      </w:r>
      <w:r>
        <w:rPr>
          <w:color w:val="231F20"/>
          <w:spacing w:val="-3"/>
        </w:rPr>
        <w:t>immediately.</w:t>
      </w:r>
    </w:p>
    <w:p>
      <w:pPr>
        <w:spacing w:after="0" w:line="264" w:lineRule="auto"/>
        <w:sectPr>
          <w:type w:val="continuous"/>
          <w:pgSz w:w="10080" w:h="14400"/>
          <w:pgMar w:top="0" w:bottom="360" w:left="0" w:right="0"/>
          <w:cols w:num="2" w:equalWidth="0">
            <w:col w:w="5182" w:space="40"/>
            <w:col w:w="4858"/>
          </w:cols>
        </w:sectPr>
      </w:pPr>
    </w:p>
    <w:p>
      <w:pPr>
        <w:pStyle w:val="BodyText"/>
        <w:spacing w:before="8"/>
        <w:rPr>
          <w:sz w:val="26"/>
        </w:rPr>
      </w:pPr>
    </w:p>
    <w:p>
      <w:pPr>
        <w:pStyle w:val="Heading1"/>
        <w:ind w:left="720"/>
      </w:pPr>
      <w:r>
        <w:rPr/>
        <w:pict>
          <v:line style="position:absolute;mso-position-horizontal-relative:page;mso-position-vertical-relative:paragraph;z-index:3640;mso-wrap-distance-left:0;mso-wrap-distance-right:0" from="36pt,23.991844pt" to="432pt,23.991844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3664" filled="true" fillcolor="#0079c1" stroked="false">
            <v:fill type="solid"/>
            <w10:wrap type="none"/>
          </v:rect>
        </w:pict>
      </w:r>
      <w:r>
        <w:rPr/>
        <w:pict>
          <v:line style="position:absolute;mso-position-horizontal-relative:page;mso-position-vertical-relative:paragraph;z-index:3688"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3712"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color w:val="00A94F"/>
        </w:rPr>
        <w:t>Overview of Chapter 6. Control  Measures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4" w:lineRule="auto" w:before="108"/>
        <w:ind w:left="720" w:right="52"/>
      </w:pPr>
      <w:r>
        <w:rPr>
          <w:color w:val="231F20"/>
          <w:w w:val="105"/>
        </w:rPr>
        <w:t>The quality of information on which control measures are based, as well as the possible </w:t>
      </w:r>
      <w:r>
        <w:rPr>
          <w:rFonts w:ascii="Times New Roman"/>
          <w:color w:val="231F20"/>
          <w:w w:val="105"/>
        </w:rPr>
        <w:t>positive and negative consequences of undertaking (or not undertaking) the control measures,</w:t>
      </w:r>
      <w:r>
        <w:rPr>
          <w:rFonts w:ascii="Times New Roman"/>
          <w:color w:val="231F20"/>
          <w:spacing w:val="-20"/>
          <w:w w:val="105"/>
        </w:rPr>
        <w:t> </w:t>
      </w:r>
      <w:r>
        <w:rPr>
          <w:rFonts w:ascii="Times New Roman"/>
          <w:color w:val="231F20"/>
          <w:w w:val="105"/>
        </w:rPr>
        <w:t>should</w:t>
      </w:r>
      <w:r>
        <w:rPr>
          <w:rFonts w:ascii="Times New Roman"/>
          <w:color w:val="231F20"/>
          <w:spacing w:val="-20"/>
          <w:w w:val="105"/>
        </w:rPr>
        <w:t> </w:t>
      </w:r>
      <w:r>
        <w:rPr>
          <w:rFonts w:ascii="Times New Roman"/>
          <w:color w:val="231F20"/>
          <w:w w:val="105"/>
        </w:rPr>
        <w:t>be</w:t>
      </w:r>
      <w:r>
        <w:rPr>
          <w:rFonts w:ascii="Times New Roman"/>
          <w:color w:val="231F20"/>
          <w:spacing w:val="-20"/>
          <w:w w:val="105"/>
        </w:rPr>
        <w:t> </w:t>
      </w:r>
      <w:r>
        <w:rPr>
          <w:rFonts w:ascii="Times New Roman"/>
          <w:color w:val="231F20"/>
          <w:w w:val="105"/>
        </w:rPr>
        <w:t>kept</w:t>
      </w:r>
      <w:r>
        <w:rPr>
          <w:rFonts w:ascii="Times New Roman"/>
          <w:color w:val="231F20"/>
          <w:spacing w:val="-20"/>
          <w:w w:val="105"/>
        </w:rPr>
        <w:t> </w:t>
      </w:r>
      <w:r>
        <w:rPr>
          <w:rFonts w:ascii="Times New Roman"/>
          <w:color w:val="231F20"/>
          <w:w w:val="105"/>
        </w:rPr>
        <w:t>in</w:t>
      </w:r>
      <w:r>
        <w:rPr>
          <w:rFonts w:ascii="Times New Roman"/>
          <w:color w:val="231F20"/>
          <w:spacing w:val="-21"/>
          <w:w w:val="105"/>
        </w:rPr>
        <w:t> </w:t>
      </w:r>
      <w:r>
        <w:rPr>
          <w:rFonts w:ascii="Times New Roman"/>
          <w:color w:val="231F20"/>
          <w:w w:val="105"/>
        </w:rPr>
        <w:t>mind</w:t>
      </w:r>
      <w:r>
        <w:rPr>
          <w:rFonts w:ascii="Times New Roman"/>
          <w:color w:val="231F20"/>
          <w:spacing w:val="-20"/>
          <w:w w:val="105"/>
        </w:rPr>
        <w:t> </w:t>
      </w:r>
      <w:r>
        <w:rPr>
          <w:rFonts w:ascii="Times New Roman"/>
          <w:color w:val="231F20"/>
          <w:w w:val="105"/>
        </w:rPr>
        <w:t>and</w:t>
      </w:r>
      <w:r>
        <w:rPr>
          <w:rFonts w:ascii="Times New Roman"/>
          <w:color w:val="231F20"/>
          <w:spacing w:val="-21"/>
          <w:w w:val="105"/>
        </w:rPr>
        <w:t> </w:t>
      </w:r>
      <w:r>
        <w:rPr>
          <w:rFonts w:ascii="Times New Roman"/>
          <w:color w:val="231F20"/>
          <w:w w:val="105"/>
        </w:rPr>
        <w:t>can</w:t>
      </w:r>
      <w:r>
        <w:rPr>
          <w:rFonts w:ascii="Times New Roman"/>
          <w:color w:val="231F20"/>
          <w:spacing w:val="-20"/>
          <w:w w:val="105"/>
        </w:rPr>
        <w:t> </w:t>
      </w:r>
      <w:r>
        <w:rPr>
          <w:rFonts w:ascii="Times New Roman"/>
          <w:color w:val="231F20"/>
          <w:w w:val="105"/>
        </w:rPr>
        <w:t>add </w:t>
      </w:r>
      <w:r>
        <w:rPr>
          <w:color w:val="231F20"/>
          <w:w w:val="105"/>
        </w:rPr>
        <w:t>confidence</w:t>
      </w:r>
      <w:r>
        <w:rPr>
          <w:color w:val="231F20"/>
          <w:spacing w:val="-25"/>
          <w:w w:val="105"/>
        </w:rPr>
        <w:t> </w:t>
      </w:r>
      <w:r>
        <w:rPr>
          <w:color w:val="231F20"/>
          <w:w w:val="105"/>
        </w:rPr>
        <w:t>to</w:t>
      </w:r>
      <w:r>
        <w:rPr>
          <w:color w:val="231F20"/>
          <w:spacing w:val="-25"/>
          <w:w w:val="105"/>
        </w:rPr>
        <w:t> </w:t>
      </w:r>
      <w:r>
        <w:rPr>
          <w:color w:val="231F20"/>
          <w:w w:val="105"/>
        </w:rPr>
        <w:t>decision-making</w:t>
      </w:r>
      <w:r>
        <w:rPr>
          <w:color w:val="231F20"/>
          <w:spacing w:val="-25"/>
          <w:w w:val="105"/>
        </w:rPr>
        <w:t> </w:t>
      </w:r>
      <w:r>
        <w:rPr>
          <w:color w:val="231F20"/>
          <w:w w:val="105"/>
        </w:rPr>
        <w:t>(6.1.2).</w:t>
      </w:r>
    </w:p>
    <w:p>
      <w:pPr>
        <w:pStyle w:val="BodyText"/>
        <w:spacing w:line="264" w:lineRule="auto" w:before="182"/>
        <w:ind w:left="720" w:right="-13"/>
        <w:rPr>
          <w:rFonts w:ascii="Times New Roman"/>
        </w:rPr>
      </w:pPr>
      <w:r>
        <w:rPr>
          <w:color w:val="231F20"/>
          <w:w w:val="105"/>
        </w:rPr>
        <w:t>Control</w:t>
      </w:r>
      <w:r>
        <w:rPr>
          <w:color w:val="231F20"/>
          <w:spacing w:val="-10"/>
          <w:w w:val="105"/>
        </w:rPr>
        <w:t> </w:t>
      </w:r>
      <w:r>
        <w:rPr>
          <w:color w:val="231F20"/>
          <w:w w:val="105"/>
        </w:rPr>
        <w:t>measures</w:t>
      </w:r>
      <w:r>
        <w:rPr>
          <w:color w:val="231F20"/>
          <w:spacing w:val="-10"/>
          <w:w w:val="105"/>
        </w:rPr>
        <w:t> </w:t>
      </w:r>
      <w:r>
        <w:rPr>
          <w:color w:val="231F20"/>
          <w:w w:val="105"/>
        </w:rPr>
        <w:t>can</w:t>
      </w:r>
      <w:r>
        <w:rPr>
          <w:color w:val="231F20"/>
          <w:spacing w:val="-10"/>
          <w:w w:val="105"/>
        </w:rPr>
        <w:t> </w:t>
      </w:r>
      <w:r>
        <w:rPr>
          <w:color w:val="231F20"/>
          <w:w w:val="105"/>
        </w:rPr>
        <w:t>be</w:t>
      </w:r>
      <w:r>
        <w:rPr>
          <w:color w:val="231F20"/>
          <w:spacing w:val="-10"/>
          <w:w w:val="105"/>
        </w:rPr>
        <w:t> </w:t>
      </w:r>
      <w:r>
        <w:rPr>
          <w:color w:val="231F20"/>
          <w:w w:val="105"/>
        </w:rPr>
        <w:t>categorized</w:t>
      </w:r>
      <w:r>
        <w:rPr>
          <w:color w:val="231F20"/>
          <w:spacing w:val="-10"/>
          <w:w w:val="105"/>
        </w:rPr>
        <w:t> </w:t>
      </w:r>
      <w:r>
        <w:rPr>
          <w:color w:val="231F20"/>
          <w:w w:val="105"/>
        </w:rPr>
        <w:t>as</w:t>
      </w:r>
      <w:r>
        <w:rPr>
          <w:color w:val="231F20"/>
          <w:spacing w:val="-10"/>
          <w:w w:val="105"/>
        </w:rPr>
        <w:t> </w:t>
      </w:r>
      <w:r>
        <w:rPr>
          <w:color w:val="231F20"/>
          <w:w w:val="105"/>
        </w:rPr>
        <w:t>actions to control the source (i.e., prevent continued exposure to the original source of the foodborne</w:t>
      </w:r>
      <w:r>
        <w:rPr>
          <w:color w:val="231F20"/>
          <w:spacing w:val="-17"/>
          <w:w w:val="105"/>
        </w:rPr>
        <w:t> </w:t>
      </w:r>
      <w:r>
        <w:rPr>
          <w:color w:val="231F20"/>
          <w:w w:val="105"/>
        </w:rPr>
        <w:t>illness)</w:t>
      </w:r>
      <w:r>
        <w:rPr>
          <w:color w:val="231F20"/>
          <w:spacing w:val="-17"/>
          <w:w w:val="105"/>
        </w:rPr>
        <w:t> </w:t>
      </w:r>
      <w:r>
        <w:rPr>
          <w:color w:val="231F20"/>
          <w:w w:val="105"/>
        </w:rPr>
        <w:t>(Section</w:t>
      </w:r>
      <w:r>
        <w:rPr>
          <w:color w:val="231F20"/>
          <w:spacing w:val="-17"/>
          <w:w w:val="105"/>
        </w:rPr>
        <w:t> </w:t>
      </w:r>
      <w:r>
        <w:rPr>
          <w:color w:val="231F20"/>
          <w:w w:val="105"/>
        </w:rPr>
        <w:t>6.2),</w:t>
      </w:r>
      <w:r>
        <w:rPr>
          <w:color w:val="231F20"/>
          <w:spacing w:val="-17"/>
          <w:w w:val="105"/>
        </w:rPr>
        <w:t> </w:t>
      </w:r>
      <w:r>
        <w:rPr>
          <w:color w:val="231F20"/>
          <w:w w:val="105"/>
        </w:rPr>
        <w:t>actions</w:t>
      </w:r>
      <w:r>
        <w:rPr>
          <w:color w:val="231F20"/>
          <w:spacing w:val="-17"/>
          <w:w w:val="105"/>
        </w:rPr>
        <w:t> </w:t>
      </w:r>
      <w:r>
        <w:rPr>
          <w:color w:val="231F20"/>
          <w:w w:val="105"/>
        </w:rPr>
        <w:t>to</w:t>
      </w:r>
      <w:r>
        <w:rPr>
          <w:color w:val="231F20"/>
          <w:spacing w:val="-17"/>
          <w:w w:val="105"/>
        </w:rPr>
        <w:t> </w:t>
      </w:r>
      <w:r>
        <w:rPr>
          <w:color w:val="231F20"/>
          <w:w w:val="105"/>
        </w:rPr>
        <w:t>take when intentional contamination is suspected (Section 6.3), and measures that prevent secondary</w:t>
      </w:r>
      <w:r>
        <w:rPr>
          <w:color w:val="231F20"/>
          <w:spacing w:val="-20"/>
          <w:w w:val="105"/>
        </w:rPr>
        <w:t> </w:t>
      </w:r>
      <w:r>
        <w:rPr>
          <w:color w:val="231F20"/>
          <w:w w:val="105"/>
        </w:rPr>
        <w:t>transmission</w:t>
      </w:r>
      <w:r>
        <w:rPr>
          <w:color w:val="231F20"/>
          <w:spacing w:val="-20"/>
          <w:w w:val="105"/>
        </w:rPr>
        <w:t> </w:t>
      </w:r>
      <w:r>
        <w:rPr>
          <w:color w:val="231F20"/>
          <w:w w:val="105"/>
        </w:rPr>
        <w:t>(i.e.,</w:t>
      </w:r>
      <w:r>
        <w:rPr>
          <w:color w:val="231F20"/>
          <w:spacing w:val="-20"/>
          <w:w w:val="105"/>
        </w:rPr>
        <w:t> </w:t>
      </w:r>
      <w:r>
        <w:rPr>
          <w:color w:val="231F20"/>
          <w:w w:val="105"/>
        </w:rPr>
        <w:t>transmission</w:t>
      </w:r>
      <w:r>
        <w:rPr>
          <w:color w:val="231F20"/>
          <w:spacing w:val="-20"/>
          <w:w w:val="105"/>
        </w:rPr>
        <w:t> </w:t>
      </w:r>
      <w:r>
        <w:rPr>
          <w:color w:val="231F20"/>
          <w:w w:val="105"/>
        </w:rPr>
        <w:t>from </w:t>
      </w:r>
      <w:r>
        <w:rPr>
          <w:rFonts w:ascii="Times New Roman"/>
          <w:color w:val="231F20"/>
        </w:rPr>
        <w:t>persons infected through the original</w:t>
      </w:r>
      <w:r>
        <w:rPr>
          <w:rFonts w:ascii="Times New Roman"/>
          <w:color w:val="231F20"/>
          <w:spacing w:val="-19"/>
        </w:rPr>
        <w:t> </w:t>
      </w:r>
      <w:r>
        <w:rPr>
          <w:rFonts w:ascii="Times New Roman"/>
          <w:color w:val="231F20"/>
        </w:rPr>
        <w:t>source</w:t>
      </w:r>
    </w:p>
    <w:p>
      <w:pPr>
        <w:pStyle w:val="BodyText"/>
        <w:spacing w:line="266" w:lineRule="auto" w:before="11"/>
        <w:ind w:left="720" w:right="52"/>
      </w:pPr>
      <w:r>
        <w:rPr>
          <w:color w:val="231F20"/>
        </w:rPr>
        <w:t>to others through food, water, or person-to- person transmission) (Section 6.4). Additional measures might be necessary to prevent future outbreaks (Section 6.9).</w:t>
      </w:r>
    </w:p>
    <w:p>
      <w:pPr>
        <w:pStyle w:val="BodyText"/>
        <w:spacing w:before="164"/>
        <w:ind w:left="720"/>
        <w:rPr>
          <w:rFonts w:ascii="Arial"/>
        </w:rPr>
      </w:pPr>
      <w:r>
        <w:rPr>
          <w:rFonts w:ascii="Arial"/>
          <w:color w:val="1C3E94"/>
        </w:rPr>
        <w:t>Control of the Source (Section 6.2)</w:t>
      </w:r>
    </w:p>
    <w:p>
      <w:pPr>
        <w:pStyle w:val="BodyText"/>
        <w:rPr>
          <w:rFonts w:ascii="Arial"/>
          <w:sz w:val="19"/>
        </w:rPr>
      </w:pPr>
    </w:p>
    <w:p>
      <w:pPr>
        <w:spacing w:before="0"/>
        <w:ind w:left="720" w:right="0" w:firstLine="0"/>
        <w:jc w:val="left"/>
        <w:rPr>
          <w:rFonts w:ascii="Arial"/>
          <w:sz w:val="18"/>
        </w:rPr>
      </w:pPr>
      <w:r>
        <w:rPr>
          <w:rFonts w:ascii="Arial"/>
          <w:color w:val="00A94F"/>
          <w:sz w:val="18"/>
        </w:rPr>
        <w:t>Nonspecific Control Measures (6.2.1)</w:t>
      </w:r>
    </w:p>
    <w:p>
      <w:pPr>
        <w:pStyle w:val="BodyText"/>
        <w:spacing w:line="261" w:lineRule="auto" w:before="39"/>
        <w:ind w:left="720" w:right="52"/>
      </w:pPr>
      <w:r>
        <w:rPr>
          <w:color w:val="231F20"/>
        </w:rPr>
        <w:t>If the pathogen causing an outbreak is known, </w:t>
      </w:r>
      <w:r>
        <w:rPr>
          <w:rFonts w:ascii="Times New Roman"/>
          <w:color w:val="231F20"/>
        </w:rPr>
        <w:t>limited control measures might be possible even before the mode of transmission is clear </w:t>
      </w:r>
      <w:r>
        <w:rPr>
          <w:color w:val="231F20"/>
        </w:rPr>
        <w:t>or a food or facility have been   implicated.</w:t>
      </w:r>
    </w:p>
    <w:p>
      <w:pPr>
        <w:pStyle w:val="BodyText"/>
        <w:spacing w:line="266" w:lineRule="auto" w:before="4"/>
        <w:ind w:left="720" w:right="41"/>
      </w:pPr>
      <w:r>
        <w:rPr>
          <w:color w:val="231F20"/>
          <w:w w:val="105"/>
        </w:rPr>
        <w:t>Control measures, at this point, will be nonspecific (i.e., not aimed at the definitive </w:t>
      </w:r>
      <w:r>
        <w:rPr>
          <w:rFonts w:ascii="Times New Roman"/>
          <w:color w:val="231F20"/>
          <w:w w:val="105"/>
        </w:rPr>
        <w:t>source of the outbreak) and focus on </w:t>
      </w:r>
      <w:r>
        <w:rPr>
          <w:color w:val="231F20"/>
          <w:w w:val="105"/>
        </w:rPr>
        <w:t>prevention</w:t>
      </w:r>
      <w:r>
        <w:rPr>
          <w:color w:val="231F20"/>
          <w:spacing w:val="-17"/>
          <w:w w:val="105"/>
        </w:rPr>
        <w:t> </w:t>
      </w:r>
      <w:r>
        <w:rPr>
          <w:color w:val="231F20"/>
          <w:w w:val="105"/>
        </w:rPr>
        <w:t>of</w:t>
      </w:r>
      <w:r>
        <w:rPr>
          <w:color w:val="231F20"/>
          <w:spacing w:val="4"/>
          <w:w w:val="105"/>
        </w:rPr>
        <w:t> </w:t>
      </w:r>
      <w:r>
        <w:rPr>
          <w:color w:val="231F20"/>
          <w:w w:val="105"/>
        </w:rPr>
        <w:t>secondary</w:t>
      </w:r>
      <w:r>
        <w:rPr>
          <w:color w:val="231F20"/>
          <w:spacing w:val="-17"/>
          <w:w w:val="105"/>
        </w:rPr>
        <w:t> </w:t>
      </w:r>
      <w:r>
        <w:rPr>
          <w:color w:val="231F20"/>
          <w:w w:val="105"/>
        </w:rPr>
        <w:t>spread</w:t>
      </w:r>
      <w:r>
        <w:rPr>
          <w:color w:val="231F20"/>
          <w:spacing w:val="-17"/>
          <w:w w:val="105"/>
        </w:rPr>
        <w:t> </w:t>
      </w:r>
      <w:r>
        <w:rPr>
          <w:color w:val="231F20"/>
          <w:w w:val="105"/>
        </w:rPr>
        <w:t>among</w:t>
      </w:r>
      <w:r>
        <w:rPr>
          <w:color w:val="231F20"/>
          <w:spacing w:val="-17"/>
          <w:w w:val="105"/>
        </w:rPr>
        <w:t> </w:t>
      </w:r>
      <w:r>
        <w:rPr>
          <w:color w:val="231F20"/>
          <w:w w:val="105"/>
        </w:rPr>
        <w:t>known cases and communications with health-care providers</w:t>
      </w:r>
      <w:r>
        <w:rPr>
          <w:color w:val="231F20"/>
          <w:spacing w:val="-12"/>
          <w:w w:val="105"/>
        </w:rPr>
        <w:t> </w:t>
      </w:r>
      <w:r>
        <w:rPr>
          <w:color w:val="231F20"/>
          <w:w w:val="105"/>
        </w:rPr>
        <w:t>and</w:t>
      </w:r>
      <w:r>
        <w:rPr>
          <w:color w:val="231F20"/>
          <w:spacing w:val="-12"/>
          <w:w w:val="105"/>
        </w:rPr>
        <w:t> </w:t>
      </w:r>
      <w:r>
        <w:rPr>
          <w:color w:val="231F20"/>
          <w:w w:val="105"/>
        </w:rPr>
        <w:t>the</w:t>
      </w:r>
      <w:r>
        <w:rPr>
          <w:color w:val="231F20"/>
          <w:spacing w:val="-12"/>
          <w:w w:val="105"/>
        </w:rPr>
        <w:t> </w:t>
      </w:r>
      <w:r>
        <w:rPr>
          <w:color w:val="231F20"/>
          <w:w w:val="105"/>
        </w:rPr>
        <w:t>public</w:t>
      </w:r>
      <w:r>
        <w:rPr>
          <w:color w:val="231F20"/>
          <w:spacing w:val="-12"/>
          <w:w w:val="105"/>
        </w:rPr>
        <w:t> </w:t>
      </w:r>
      <w:r>
        <w:rPr>
          <w:color w:val="231F20"/>
          <w:w w:val="105"/>
        </w:rPr>
        <w:t>(6.2.1.1).</w:t>
      </w:r>
    </w:p>
    <w:p>
      <w:pPr>
        <w:pStyle w:val="BodyText"/>
        <w:spacing w:line="266" w:lineRule="auto" w:before="180"/>
        <w:ind w:left="720" w:right="-4"/>
      </w:pPr>
      <w:r>
        <w:rPr>
          <w:color w:val="231F20"/>
          <w:w w:val="105"/>
        </w:rPr>
        <w:t>If the facility has been implicated, nonspecific </w:t>
      </w:r>
      <w:r>
        <w:rPr>
          <w:rFonts w:ascii="Times New Roman"/>
          <w:color w:val="231F20"/>
          <w:w w:val="105"/>
        </w:rPr>
        <w:t>control measures can be implemented, even </w:t>
      </w:r>
      <w:r>
        <w:rPr>
          <w:color w:val="231F20"/>
          <w:w w:val="105"/>
        </w:rPr>
        <w:t>though a specific food or causative agent has not yet been identified. Nonspecific control measures </w:t>
      </w:r>
      <w:r>
        <w:rPr>
          <w:color w:val="231F20"/>
          <w:spacing w:val="-4"/>
          <w:w w:val="105"/>
        </w:rPr>
        <w:t>(e.g., </w:t>
      </w:r>
      <w:r>
        <w:rPr>
          <w:color w:val="231F20"/>
          <w:w w:val="105"/>
        </w:rPr>
        <w:t>stopping bare-hand contact with food, emphasizing hand-washing, excluding</w:t>
      </w:r>
      <w:r>
        <w:rPr>
          <w:color w:val="231F20"/>
          <w:spacing w:val="-11"/>
          <w:w w:val="105"/>
        </w:rPr>
        <w:t> </w:t>
      </w:r>
      <w:r>
        <w:rPr>
          <w:color w:val="231F20"/>
          <w:w w:val="105"/>
        </w:rPr>
        <w:t>ill</w:t>
      </w:r>
      <w:r>
        <w:rPr>
          <w:color w:val="231F20"/>
          <w:spacing w:val="-11"/>
          <w:w w:val="105"/>
        </w:rPr>
        <w:t> </w:t>
      </w:r>
      <w:r>
        <w:rPr>
          <w:color w:val="231F20"/>
          <w:w w:val="105"/>
        </w:rPr>
        <w:t>employees)</w:t>
      </w:r>
      <w:r>
        <w:rPr>
          <w:color w:val="231F20"/>
          <w:spacing w:val="-11"/>
          <w:w w:val="105"/>
        </w:rPr>
        <w:t> </w:t>
      </w:r>
      <w:r>
        <w:rPr>
          <w:color w:val="231F20"/>
          <w:w w:val="105"/>
        </w:rPr>
        <w:t>are</w:t>
      </w:r>
      <w:r>
        <w:rPr>
          <w:color w:val="231F20"/>
          <w:spacing w:val="-11"/>
          <w:w w:val="105"/>
        </w:rPr>
        <w:t> </w:t>
      </w:r>
      <w:r>
        <w:rPr>
          <w:color w:val="231F20"/>
          <w:w w:val="105"/>
        </w:rPr>
        <w:t>good</w:t>
      </w:r>
      <w:r>
        <w:rPr>
          <w:color w:val="231F20"/>
          <w:spacing w:val="-11"/>
          <w:w w:val="105"/>
        </w:rPr>
        <w:t> </w:t>
      </w:r>
      <w:r>
        <w:rPr>
          <w:color w:val="231F20"/>
          <w:w w:val="105"/>
        </w:rPr>
        <w:t>public</w:t>
      </w:r>
      <w:r>
        <w:rPr>
          <w:color w:val="231F20"/>
          <w:spacing w:val="-11"/>
          <w:w w:val="105"/>
        </w:rPr>
        <w:t> </w:t>
      </w:r>
      <w:r>
        <w:rPr>
          <w:color w:val="231F20"/>
          <w:w w:val="105"/>
        </w:rPr>
        <w:t>health practice and are generally effective, regardless of the disease. Suspicions about the type of agent involved </w:t>
      </w:r>
      <w:r>
        <w:rPr>
          <w:color w:val="231F20"/>
          <w:spacing w:val="-4"/>
          <w:w w:val="105"/>
        </w:rPr>
        <w:t>(e.g., </w:t>
      </w:r>
      <w:r>
        <w:rPr>
          <w:color w:val="231F20"/>
          <w:w w:val="105"/>
        </w:rPr>
        <w:t>viral, bacterial, chemical) can</w:t>
      </w:r>
      <w:r>
        <w:rPr>
          <w:color w:val="231F20"/>
          <w:spacing w:val="-10"/>
          <w:w w:val="105"/>
        </w:rPr>
        <w:t> </w:t>
      </w:r>
      <w:r>
        <w:rPr>
          <w:color w:val="231F20"/>
          <w:w w:val="105"/>
        </w:rPr>
        <w:t>assist</w:t>
      </w:r>
      <w:r>
        <w:rPr>
          <w:color w:val="231F20"/>
          <w:spacing w:val="-10"/>
          <w:w w:val="105"/>
        </w:rPr>
        <w:t> </w:t>
      </w:r>
      <w:r>
        <w:rPr>
          <w:color w:val="231F20"/>
          <w:w w:val="105"/>
        </w:rPr>
        <w:t>in</w:t>
      </w:r>
      <w:r>
        <w:rPr>
          <w:color w:val="231F20"/>
          <w:spacing w:val="-10"/>
          <w:w w:val="105"/>
        </w:rPr>
        <w:t> </w:t>
      </w:r>
      <w:r>
        <w:rPr>
          <w:color w:val="231F20"/>
          <w:w w:val="105"/>
        </w:rPr>
        <w:t>identifying</w:t>
      </w:r>
      <w:r>
        <w:rPr>
          <w:color w:val="231F20"/>
          <w:spacing w:val="-10"/>
          <w:w w:val="105"/>
        </w:rPr>
        <w:t> </w:t>
      </w:r>
      <w:r>
        <w:rPr>
          <w:color w:val="231F20"/>
          <w:w w:val="105"/>
        </w:rPr>
        <w:t>and</w:t>
      </w:r>
      <w:r>
        <w:rPr>
          <w:color w:val="231F20"/>
          <w:spacing w:val="-10"/>
          <w:w w:val="105"/>
        </w:rPr>
        <w:t> </w:t>
      </w:r>
      <w:r>
        <w:rPr>
          <w:color w:val="231F20"/>
          <w:w w:val="105"/>
        </w:rPr>
        <w:t>prioritizing</w:t>
      </w:r>
      <w:r>
        <w:rPr>
          <w:color w:val="231F20"/>
          <w:spacing w:val="-10"/>
          <w:w w:val="105"/>
        </w:rPr>
        <w:t> </w:t>
      </w:r>
      <w:r>
        <w:rPr>
          <w:color w:val="231F20"/>
          <w:w w:val="105"/>
        </w:rPr>
        <w:t>control measures</w:t>
      </w:r>
      <w:r>
        <w:rPr>
          <w:color w:val="231F20"/>
          <w:spacing w:val="-17"/>
          <w:w w:val="105"/>
        </w:rPr>
        <w:t> </w:t>
      </w:r>
      <w:r>
        <w:rPr>
          <w:color w:val="231F20"/>
          <w:w w:val="105"/>
        </w:rPr>
        <w:t>(6.2.1.2).</w:t>
      </w:r>
    </w:p>
    <w:p>
      <w:pPr>
        <w:pStyle w:val="BodyText"/>
        <w:spacing w:line="264" w:lineRule="auto" w:before="108"/>
        <w:ind w:left="323" w:right="1549"/>
      </w:pPr>
      <w:r>
        <w:rPr/>
        <w:br w:type="column"/>
      </w:r>
      <w:r>
        <w:rPr>
          <w:color w:val="231F20"/>
          <w:w w:val="105"/>
        </w:rPr>
        <w:t>While these first actions are under </w:t>
      </w:r>
      <w:r>
        <w:rPr>
          <w:color w:val="231F20"/>
          <w:spacing w:val="-8"/>
          <w:w w:val="105"/>
        </w:rPr>
        <w:t>way, </w:t>
      </w:r>
      <w:r>
        <w:rPr>
          <w:rFonts w:ascii="Times New Roman"/>
          <w:color w:val="231F20"/>
          <w:w w:val="105"/>
        </w:rPr>
        <w:t>appropriate</w:t>
      </w:r>
      <w:r>
        <w:rPr>
          <w:rFonts w:ascii="Times New Roman"/>
          <w:color w:val="231F20"/>
          <w:spacing w:val="-33"/>
          <w:w w:val="105"/>
        </w:rPr>
        <w:t> </w:t>
      </w:r>
      <w:r>
        <w:rPr>
          <w:rFonts w:ascii="Times New Roman"/>
          <w:color w:val="231F20"/>
          <w:w w:val="105"/>
        </w:rPr>
        <w:t>food</w:t>
      </w:r>
      <w:r>
        <w:rPr>
          <w:rFonts w:ascii="Times New Roman"/>
          <w:color w:val="231F20"/>
          <w:spacing w:val="-33"/>
          <w:w w:val="105"/>
        </w:rPr>
        <w:t> </w:t>
      </w:r>
      <w:r>
        <w:rPr>
          <w:rFonts w:ascii="Times New Roman"/>
          <w:color w:val="231F20"/>
          <w:w w:val="105"/>
        </w:rPr>
        <w:t>samples</w:t>
      </w:r>
      <w:r>
        <w:rPr>
          <w:rFonts w:ascii="Times New Roman"/>
          <w:color w:val="231F20"/>
          <w:spacing w:val="-33"/>
          <w:w w:val="105"/>
        </w:rPr>
        <w:t> </w:t>
      </w:r>
      <w:r>
        <w:rPr>
          <w:rFonts w:ascii="Times New Roman"/>
          <w:color w:val="231F20"/>
          <w:w w:val="105"/>
        </w:rPr>
        <w:t>need</w:t>
      </w:r>
      <w:r>
        <w:rPr>
          <w:rFonts w:ascii="Times New Roman"/>
          <w:color w:val="231F20"/>
          <w:spacing w:val="-33"/>
          <w:w w:val="105"/>
        </w:rPr>
        <w:t> </w:t>
      </w:r>
      <w:r>
        <w:rPr>
          <w:rFonts w:ascii="Times New Roman"/>
          <w:color w:val="231F20"/>
          <w:w w:val="105"/>
        </w:rPr>
        <w:t>to</w:t>
      </w:r>
      <w:r>
        <w:rPr>
          <w:rFonts w:ascii="Times New Roman"/>
          <w:color w:val="231F20"/>
          <w:spacing w:val="-33"/>
          <w:w w:val="105"/>
        </w:rPr>
        <w:t> </w:t>
      </w:r>
      <w:r>
        <w:rPr>
          <w:rFonts w:ascii="Times New Roman"/>
          <w:color w:val="231F20"/>
          <w:w w:val="105"/>
        </w:rPr>
        <w:t>be</w:t>
      </w:r>
      <w:r>
        <w:rPr>
          <w:rFonts w:ascii="Times New Roman"/>
          <w:color w:val="231F20"/>
          <w:spacing w:val="-33"/>
          <w:w w:val="105"/>
        </w:rPr>
        <w:t> </w:t>
      </w:r>
      <w:r>
        <w:rPr>
          <w:rFonts w:ascii="Times New Roman"/>
          <w:color w:val="231F20"/>
          <w:w w:val="105"/>
        </w:rPr>
        <w:t>collected </w:t>
      </w:r>
      <w:r>
        <w:rPr>
          <w:color w:val="231F20"/>
          <w:w w:val="105"/>
        </w:rPr>
        <w:t>for</w:t>
      </w:r>
      <w:r>
        <w:rPr>
          <w:color w:val="231F20"/>
          <w:spacing w:val="-11"/>
          <w:w w:val="105"/>
        </w:rPr>
        <w:t> </w:t>
      </w:r>
      <w:r>
        <w:rPr>
          <w:color w:val="231F20"/>
          <w:w w:val="105"/>
        </w:rPr>
        <w:t>laboratory</w:t>
      </w:r>
      <w:r>
        <w:rPr>
          <w:color w:val="231F20"/>
          <w:spacing w:val="-11"/>
          <w:w w:val="105"/>
        </w:rPr>
        <w:t> </w:t>
      </w:r>
      <w:r>
        <w:rPr>
          <w:color w:val="231F20"/>
          <w:w w:val="105"/>
        </w:rPr>
        <w:t>analyses</w:t>
      </w:r>
      <w:r>
        <w:rPr>
          <w:color w:val="231F20"/>
          <w:spacing w:val="-11"/>
          <w:w w:val="105"/>
        </w:rPr>
        <w:t> </w:t>
      </w:r>
      <w:r>
        <w:rPr>
          <w:color w:val="231F20"/>
          <w:w w:val="105"/>
        </w:rPr>
        <w:t>and</w:t>
      </w:r>
      <w:r>
        <w:rPr>
          <w:color w:val="231F20"/>
          <w:spacing w:val="-11"/>
          <w:w w:val="105"/>
        </w:rPr>
        <w:t> </w:t>
      </w:r>
      <w:r>
        <w:rPr>
          <w:color w:val="231F20"/>
          <w:w w:val="105"/>
        </w:rPr>
        <w:t>chain-of-</w:t>
      </w:r>
    </w:p>
    <w:p>
      <w:pPr>
        <w:pStyle w:val="BodyText"/>
        <w:spacing w:line="266" w:lineRule="auto" w:before="2"/>
        <w:ind w:left="323" w:right="1549"/>
      </w:pPr>
      <w:r>
        <w:rPr/>
        <w:pict>
          <v:shape style="position:absolute;margin-left:470.346802pt;margin-top:-49.503845pt;width:12.25pt;height:164.15pt;mso-position-horizontal-relative:page;mso-position-vertical-relative:paragraph;z-index:3736"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rPr>
        <w:t>custody practices need to be maintained and documented. Samples should be stored and analyzed when more information is available to implicate certain food items.</w:t>
      </w:r>
    </w:p>
    <w:p>
      <w:pPr>
        <w:spacing w:before="183"/>
        <w:ind w:left="323" w:right="0" w:firstLine="0"/>
        <w:jc w:val="left"/>
        <w:rPr>
          <w:rFonts w:ascii="Arial"/>
          <w:sz w:val="18"/>
        </w:rPr>
      </w:pPr>
      <w:r>
        <w:rPr>
          <w:rFonts w:ascii="Arial"/>
          <w:color w:val="00A94F"/>
          <w:sz w:val="18"/>
        </w:rPr>
        <w:t>Specific Control Measures (6.2.2)</w:t>
      </w:r>
    </w:p>
    <w:p>
      <w:pPr>
        <w:pStyle w:val="BodyText"/>
        <w:spacing w:line="268" w:lineRule="auto" w:before="25"/>
        <w:ind w:left="323" w:right="1449"/>
      </w:pPr>
      <w:r>
        <w:rPr>
          <w:rFonts w:ascii="Times New Roman"/>
          <w:color w:val="231F20"/>
          <w:w w:val="105"/>
        </w:rPr>
        <w:t>When a food has been implicated, control </w:t>
      </w:r>
      <w:r>
        <w:rPr>
          <w:color w:val="231F20"/>
          <w:w w:val="105"/>
        </w:rPr>
        <w:t>measures directed at the specific cause can be implemented. Desirable control measures vary depending on whether the implicated food is associated with a food-service establishment or is home prepared (6.2.2.1) or is processor/ producer-based (6.2.2.2).</w:t>
      </w:r>
    </w:p>
    <w:p>
      <w:pPr>
        <w:spacing w:line="266" w:lineRule="auto" w:before="178"/>
        <w:ind w:left="323" w:right="1670" w:firstLine="0"/>
        <w:jc w:val="left"/>
        <w:rPr>
          <w:i/>
          <w:sz w:val="20"/>
        </w:rPr>
      </w:pPr>
      <w:r>
        <w:rPr>
          <w:i/>
          <w:color w:val="E36F1E"/>
          <w:w w:val="105"/>
          <w:sz w:val="20"/>
        </w:rPr>
        <w:t>Foods associated with food-service establishments or </w:t>
      </w:r>
      <w:r>
        <w:rPr>
          <w:i/>
          <w:color w:val="E36F1E"/>
          <w:w w:val="105"/>
          <w:sz w:val="20"/>
        </w:rPr>
        <w:t>home preparation (6.2.2.1)</w:t>
      </w:r>
    </w:p>
    <w:p>
      <w:pPr>
        <w:pStyle w:val="BodyText"/>
        <w:ind w:left="323"/>
      </w:pPr>
      <w:r>
        <w:rPr>
          <w:color w:val="231F20"/>
          <w:w w:val="105"/>
        </w:rPr>
        <w:t>Specific control measures include:</w:t>
      </w:r>
    </w:p>
    <w:p>
      <w:pPr>
        <w:pStyle w:val="BodyText"/>
        <w:spacing w:before="2"/>
        <w:rPr>
          <w:sz w:val="18"/>
        </w:rPr>
      </w:pPr>
    </w:p>
    <w:p>
      <w:pPr>
        <w:pStyle w:val="ListParagraph"/>
        <w:numPr>
          <w:ilvl w:val="0"/>
          <w:numId w:val="2"/>
        </w:numPr>
        <w:tabs>
          <w:tab w:pos="495" w:val="left" w:leader="none"/>
        </w:tabs>
        <w:spacing w:line="266" w:lineRule="auto" w:before="0" w:after="0"/>
        <w:ind w:left="494" w:right="1625" w:hanging="171"/>
        <w:jc w:val="left"/>
        <w:rPr>
          <w:sz w:val="20"/>
        </w:rPr>
      </w:pPr>
      <w:r>
        <w:rPr>
          <w:color w:val="231F20"/>
          <w:w w:val="105"/>
          <w:sz w:val="20"/>
        </w:rPr>
        <w:t>Removing</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implicated</w:t>
      </w:r>
      <w:r>
        <w:rPr>
          <w:color w:val="231F20"/>
          <w:spacing w:val="-16"/>
          <w:w w:val="105"/>
          <w:sz w:val="20"/>
        </w:rPr>
        <w:t> </w:t>
      </w:r>
      <w:r>
        <w:rPr>
          <w:color w:val="231F20"/>
          <w:w w:val="105"/>
          <w:sz w:val="20"/>
        </w:rPr>
        <w:t>food</w:t>
      </w:r>
      <w:r>
        <w:rPr>
          <w:color w:val="231F20"/>
          <w:spacing w:val="-16"/>
          <w:w w:val="105"/>
          <w:sz w:val="20"/>
        </w:rPr>
        <w:t> </w:t>
      </w:r>
      <w:r>
        <w:rPr>
          <w:color w:val="231F20"/>
          <w:w w:val="105"/>
          <w:sz w:val="20"/>
        </w:rPr>
        <w:t>from</w:t>
      </w:r>
      <w:r>
        <w:rPr>
          <w:color w:val="231F20"/>
          <w:spacing w:val="-16"/>
          <w:w w:val="105"/>
          <w:sz w:val="20"/>
        </w:rPr>
        <w:t> </w:t>
      </w:r>
      <w:r>
        <w:rPr>
          <w:color w:val="231F20"/>
          <w:w w:val="105"/>
          <w:sz w:val="20"/>
        </w:rPr>
        <w:t>sale</w:t>
      </w:r>
      <w:r>
        <w:rPr>
          <w:color w:val="231F20"/>
          <w:spacing w:val="-16"/>
          <w:w w:val="105"/>
          <w:sz w:val="20"/>
        </w:rPr>
        <w:t> </w:t>
      </w:r>
      <w:r>
        <w:rPr>
          <w:color w:val="231F20"/>
          <w:w w:val="105"/>
          <w:sz w:val="20"/>
        </w:rPr>
        <w:t>or preventing</w:t>
      </w:r>
      <w:r>
        <w:rPr>
          <w:color w:val="231F20"/>
          <w:spacing w:val="-28"/>
          <w:w w:val="105"/>
          <w:sz w:val="20"/>
        </w:rPr>
        <w:t> </w:t>
      </w:r>
      <w:r>
        <w:rPr>
          <w:color w:val="231F20"/>
          <w:w w:val="105"/>
          <w:sz w:val="20"/>
        </w:rPr>
        <w:t>consumption</w:t>
      </w:r>
      <w:r>
        <w:rPr>
          <w:color w:val="231F20"/>
          <w:spacing w:val="-28"/>
          <w:w w:val="105"/>
          <w:sz w:val="20"/>
        </w:rPr>
        <w:t> </w:t>
      </w:r>
      <w:r>
        <w:rPr>
          <w:color w:val="231F20"/>
          <w:w w:val="105"/>
          <w:sz w:val="20"/>
        </w:rPr>
        <w:t>(6.2.2.1.1);</w:t>
      </w:r>
    </w:p>
    <w:p>
      <w:pPr>
        <w:pStyle w:val="ListParagraph"/>
        <w:numPr>
          <w:ilvl w:val="0"/>
          <w:numId w:val="2"/>
        </w:numPr>
        <w:tabs>
          <w:tab w:pos="493" w:val="left" w:leader="none"/>
        </w:tabs>
        <w:spacing w:line="266" w:lineRule="auto" w:before="90" w:after="0"/>
        <w:ind w:left="492" w:right="1464" w:hanging="169"/>
        <w:jc w:val="left"/>
        <w:rPr>
          <w:sz w:val="20"/>
        </w:rPr>
      </w:pPr>
      <w:r>
        <w:rPr>
          <w:color w:val="231F20"/>
          <w:w w:val="105"/>
          <w:sz w:val="20"/>
        </w:rPr>
        <w:t>Cleaning and sanitizing of the implicated facility</w:t>
      </w:r>
      <w:r>
        <w:rPr>
          <w:color w:val="231F20"/>
          <w:spacing w:val="-18"/>
          <w:w w:val="105"/>
          <w:sz w:val="20"/>
        </w:rPr>
        <w:t> </w:t>
      </w:r>
      <w:r>
        <w:rPr>
          <w:color w:val="231F20"/>
          <w:w w:val="105"/>
          <w:sz w:val="20"/>
        </w:rPr>
        <w:t>and</w:t>
      </w:r>
      <w:r>
        <w:rPr>
          <w:color w:val="231F20"/>
          <w:spacing w:val="-18"/>
          <w:w w:val="105"/>
          <w:sz w:val="20"/>
        </w:rPr>
        <w:t> </w:t>
      </w:r>
      <w:r>
        <w:rPr>
          <w:color w:val="231F20"/>
          <w:w w:val="105"/>
          <w:sz w:val="20"/>
        </w:rPr>
        <w:t>equipment,</w:t>
      </w:r>
      <w:r>
        <w:rPr>
          <w:color w:val="231F20"/>
          <w:spacing w:val="-18"/>
          <w:w w:val="105"/>
          <w:sz w:val="20"/>
        </w:rPr>
        <w:t> </w:t>
      </w:r>
      <w:r>
        <w:rPr>
          <w:color w:val="231F20"/>
          <w:w w:val="105"/>
          <w:sz w:val="20"/>
        </w:rPr>
        <w:t>followed</w:t>
      </w:r>
      <w:r>
        <w:rPr>
          <w:color w:val="231F20"/>
          <w:spacing w:val="-18"/>
          <w:w w:val="105"/>
          <w:sz w:val="20"/>
        </w:rPr>
        <w:t> </w:t>
      </w:r>
      <w:r>
        <w:rPr>
          <w:color w:val="231F20"/>
          <w:spacing w:val="-3"/>
          <w:w w:val="105"/>
          <w:sz w:val="20"/>
        </w:rPr>
        <w:t>by</w:t>
      </w:r>
      <w:r>
        <w:rPr>
          <w:color w:val="231F20"/>
          <w:spacing w:val="-18"/>
          <w:w w:val="105"/>
          <w:sz w:val="20"/>
        </w:rPr>
        <w:t> </w:t>
      </w:r>
      <w:r>
        <w:rPr>
          <w:color w:val="231F20"/>
          <w:w w:val="105"/>
          <w:sz w:val="20"/>
        </w:rPr>
        <w:t>microbial verification of the effectiveness of the cleaning</w:t>
      </w:r>
      <w:r>
        <w:rPr>
          <w:color w:val="231F20"/>
          <w:spacing w:val="-22"/>
          <w:w w:val="105"/>
          <w:sz w:val="20"/>
        </w:rPr>
        <w:t> </w:t>
      </w:r>
      <w:r>
        <w:rPr>
          <w:color w:val="231F20"/>
          <w:w w:val="105"/>
          <w:sz w:val="20"/>
        </w:rPr>
        <w:t>and</w:t>
      </w:r>
      <w:r>
        <w:rPr>
          <w:color w:val="231F20"/>
          <w:spacing w:val="-22"/>
          <w:w w:val="105"/>
          <w:sz w:val="20"/>
        </w:rPr>
        <w:t> </w:t>
      </w:r>
      <w:r>
        <w:rPr>
          <w:color w:val="231F20"/>
          <w:w w:val="105"/>
          <w:sz w:val="20"/>
        </w:rPr>
        <w:t>sanitizing</w:t>
      </w:r>
      <w:r>
        <w:rPr>
          <w:color w:val="231F20"/>
          <w:spacing w:val="-22"/>
          <w:w w:val="105"/>
          <w:sz w:val="20"/>
        </w:rPr>
        <w:t> </w:t>
      </w:r>
      <w:r>
        <w:rPr>
          <w:color w:val="231F20"/>
          <w:w w:val="105"/>
          <w:sz w:val="20"/>
        </w:rPr>
        <w:t>processes</w:t>
      </w:r>
      <w:r>
        <w:rPr>
          <w:color w:val="231F20"/>
          <w:spacing w:val="-22"/>
          <w:w w:val="105"/>
          <w:sz w:val="20"/>
        </w:rPr>
        <w:t> </w:t>
      </w:r>
      <w:r>
        <w:rPr>
          <w:color w:val="231F20"/>
          <w:w w:val="105"/>
          <w:sz w:val="20"/>
        </w:rPr>
        <w:t>(6.2.2.1.2);</w:t>
      </w:r>
    </w:p>
    <w:p>
      <w:pPr>
        <w:pStyle w:val="ListParagraph"/>
        <w:numPr>
          <w:ilvl w:val="0"/>
          <w:numId w:val="2"/>
        </w:numPr>
        <w:tabs>
          <w:tab w:pos="495" w:val="left" w:leader="none"/>
        </w:tabs>
        <w:spacing w:line="266" w:lineRule="auto" w:before="90" w:after="0"/>
        <w:ind w:left="494" w:right="1510" w:hanging="171"/>
        <w:jc w:val="left"/>
        <w:rPr>
          <w:sz w:val="20"/>
        </w:rPr>
      </w:pPr>
      <w:r>
        <w:rPr>
          <w:color w:val="231F20"/>
          <w:w w:val="105"/>
          <w:sz w:val="20"/>
        </w:rPr>
        <w:t>Training staff on general safe food- preparation practices and practices specific to</w:t>
      </w:r>
      <w:r>
        <w:rPr>
          <w:color w:val="231F20"/>
          <w:spacing w:val="-10"/>
          <w:w w:val="105"/>
          <w:sz w:val="20"/>
        </w:rPr>
        <w:t> </w:t>
      </w:r>
      <w:r>
        <w:rPr>
          <w:color w:val="231F20"/>
          <w:w w:val="105"/>
          <w:sz w:val="20"/>
        </w:rPr>
        <w:t>controlling</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causative</w:t>
      </w:r>
      <w:r>
        <w:rPr>
          <w:color w:val="231F20"/>
          <w:spacing w:val="-10"/>
          <w:w w:val="105"/>
          <w:sz w:val="20"/>
        </w:rPr>
        <w:t> </w:t>
      </w:r>
      <w:r>
        <w:rPr>
          <w:color w:val="231F20"/>
          <w:w w:val="105"/>
          <w:sz w:val="20"/>
        </w:rPr>
        <w:t>agent</w:t>
      </w:r>
      <w:r>
        <w:rPr>
          <w:color w:val="231F20"/>
          <w:spacing w:val="-10"/>
          <w:w w:val="105"/>
          <w:sz w:val="20"/>
        </w:rPr>
        <w:t> </w:t>
      </w:r>
      <w:r>
        <w:rPr>
          <w:color w:val="231F20"/>
          <w:w w:val="105"/>
          <w:sz w:val="20"/>
        </w:rPr>
        <w:t>(6.2.2.1.3);</w:t>
      </w:r>
    </w:p>
    <w:p>
      <w:pPr>
        <w:pStyle w:val="ListParagraph"/>
        <w:numPr>
          <w:ilvl w:val="0"/>
          <w:numId w:val="2"/>
        </w:numPr>
        <w:tabs>
          <w:tab w:pos="495" w:val="left" w:leader="none"/>
        </w:tabs>
        <w:spacing w:line="266" w:lineRule="auto" w:before="90" w:after="0"/>
        <w:ind w:left="494" w:right="1457" w:hanging="171"/>
        <w:jc w:val="left"/>
        <w:rPr>
          <w:sz w:val="20"/>
        </w:rPr>
      </w:pPr>
      <w:r>
        <w:rPr>
          <w:color w:val="231F20"/>
          <w:sz w:val="20"/>
        </w:rPr>
        <w:t>Modifying food-production or preparation processes at the facility to prevent further </w:t>
      </w:r>
      <w:r>
        <w:rPr>
          <w:rFonts w:ascii="Times New Roman"/>
          <w:color w:val="231F20"/>
          <w:sz w:val="20"/>
        </w:rPr>
        <w:t>contamination of  food or survival and </w:t>
      </w:r>
      <w:r>
        <w:rPr>
          <w:color w:val="231F20"/>
          <w:sz w:val="20"/>
        </w:rPr>
        <w:t>growth of microbes already present in food with follow-up monitoring to ensure that processes </w:t>
      </w:r>
      <w:r>
        <w:rPr>
          <w:color w:val="231F20"/>
          <w:spacing w:val="-3"/>
          <w:sz w:val="20"/>
        </w:rPr>
        <w:t>have  </w:t>
      </w:r>
      <w:r>
        <w:rPr>
          <w:color w:val="231F20"/>
          <w:sz w:val="20"/>
        </w:rPr>
        <w:t>been implemented </w:t>
      </w:r>
      <w:r>
        <w:rPr>
          <w:color w:val="231F20"/>
          <w:spacing w:val="20"/>
          <w:sz w:val="20"/>
        </w:rPr>
        <w:t> </w:t>
      </w:r>
      <w:r>
        <w:rPr>
          <w:color w:val="231F20"/>
          <w:sz w:val="20"/>
        </w:rPr>
        <w:t>(6.2.2.1.4);</w:t>
      </w:r>
    </w:p>
    <w:p>
      <w:pPr>
        <w:pStyle w:val="ListParagraph"/>
        <w:numPr>
          <w:ilvl w:val="0"/>
          <w:numId w:val="2"/>
        </w:numPr>
        <w:tabs>
          <w:tab w:pos="495" w:val="left" w:leader="none"/>
        </w:tabs>
        <w:spacing w:line="264" w:lineRule="auto" w:before="76" w:after="0"/>
        <w:ind w:left="494" w:right="1474" w:hanging="171"/>
        <w:jc w:val="left"/>
        <w:rPr>
          <w:sz w:val="20"/>
        </w:rPr>
      </w:pPr>
      <w:r>
        <w:rPr>
          <w:rFonts w:ascii="Times New Roman"/>
          <w:color w:val="231F20"/>
          <w:sz w:val="20"/>
        </w:rPr>
        <w:t>Eliminating the implicated foods from the menu until it is certain that control measures </w:t>
      </w:r>
      <w:r>
        <w:rPr>
          <w:color w:val="231F20"/>
          <w:sz w:val="20"/>
        </w:rPr>
        <w:t>are  in  place</w:t>
      </w:r>
      <w:r>
        <w:rPr>
          <w:color w:val="231F20"/>
          <w:spacing w:val="-7"/>
          <w:sz w:val="20"/>
        </w:rPr>
        <w:t> </w:t>
      </w:r>
      <w:r>
        <w:rPr>
          <w:color w:val="231F20"/>
          <w:sz w:val="20"/>
        </w:rPr>
        <w:t>(6.2.2.1.5);</w:t>
      </w:r>
    </w:p>
    <w:p>
      <w:pPr>
        <w:pStyle w:val="ListParagraph"/>
        <w:numPr>
          <w:ilvl w:val="0"/>
          <w:numId w:val="2"/>
        </w:numPr>
        <w:tabs>
          <w:tab w:pos="495" w:val="left" w:leader="none"/>
        </w:tabs>
        <w:spacing w:line="264" w:lineRule="auto" w:before="92" w:after="0"/>
        <w:ind w:left="494" w:right="1653" w:hanging="171"/>
        <w:jc w:val="left"/>
        <w:rPr>
          <w:sz w:val="20"/>
        </w:rPr>
      </w:pPr>
      <w:r>
        <w:rPr>
          <w:color w:val="231F20"/>
          <w:spacing w:val="-3"/>
          <w:sz w:val="20"/>
        </w:rPr>
        <w:t>Removal </w:t>
      </w:r>
      <w:r>
        <w:rPr>
          <w:color w:val="231F20"/>
          <w:sz w:val="20"/>
        </w:rPr>
        <w:t>of infected food workers or </w:t>
      </w:r>
      <w:r>
        <w:rPr>
          <w:rFonts w:ascii="Times New Roman"/>
          <w:color w:val="231F20"/>
          <w:sz w:val="20"/>
        </w:rPr>
        <w:t>restriction from food-preparation</w:t>
      </w:r>
      <w:r>
        <w:rPr>
          <w:rFonts w:ascii="Times New Roman"/>
          <w:color w:val="231F20"/>
          <w:spacing w:val="-27"/>
          <w:sz w:val="20"/>
        </w:rPr>
        <w:t> </w:t>
      </w:r>
      <w:r>
        <w:rPr>
          <w:rFonts w:ascii="Times New Roman"/>
          <w:color w:val="231F20"/>
          <w:sz w:val="20"/>
        </w:rPr>
        <w:t>activities </w:t>
      </w:r>
      <w:r>
        <w:rPr>
          <w:color w:val="231F20"/>
          <w:sz w:val="20"/>
        </w:rPr>
        <w:t>(6.2.2.1.6);</w:t>
      </w:r>
    </w:p>
    <w:p>
      <w:pPr>
        <w:pStyle w:val="ListParagraph"/>
        <w:numPr>
          <w:ilvl w:val="0"/>
          <w:numId w:val="2"/>
        </w:numPr>
        <w:tabs>
          <w:tab w:pos="495" w:val="left" w:leader="none"/>
        </w:tabs>
        <w:spacing w:line="266" w:lineRule="auto" w:before="92" w:after="0"/>
        <w:ind w:left="494" w:right="1702" w:hanging="171"/>
        <w:jc w:val="left"/>
        <w:rPr>
          <w:sz w:val="20"/>
        </w:rPr>
      </w:pPr>
      <w:r>
        <w:rPr>
          <w:color w:val="231F20"/>
          <w:w w:val="105"/>
          <w:sz w:val="20"/>
        </w:rPr>
        <w:t>Closure of the facility and an outline of actions</w:t>
      </w:r>
      <w:r>
        <w:rPr>
          <w:color w:val="231F20"/>
          <w:spacing w:val="-14"/>
          <w:w w:val="105"/>
          <w:sz w:val="20"/>
        </w:rPr>
        <w:t> </w:t>
      </w:r>
      <w:r>
        <w:rPr>
          <w:color w:val="231F20"/>
          <w:w w:val="105"/>
          <w:sz w:val="20"/>
        </w:rPr>
        <w:t>necessary</w:t>
      </w:r>
      <w:r>
        <w:rPr>
          <w:color w:val="231F20"/>
          <w:spacing w:val="-14"/>
          <w:w w:val="105"/>
          <w:sz w:val="20"/>
        </w:rPr>
        <w:t> </w:t>
      </w:r>
      <w:r>
        <w:rPr>
          <w:color w:val="231F20"/>
          <w:w w:val="105"/>
          <w:sz w:val="20"/>
        </w:rPr>
        <w:t>for</w:t>
      </w:r>
      <w:r>
        <w:rPr>
          <w:color w:val="231F20"/>
          <w:spacing w:val="-14"/>
          <w:w w:val="105"/>
          <w:sz w:val="20"/>
        </w:rPr>
        <w:t> </w:t>
      </w:r>
      <w:r>
        <w:rPr>
          <w:color w:val="231F20"/>
          <w:w w:val="105"/>
          <w:sz w:val="20"/>
        </w:rPr>
        <w:t>the</w:t>
      </w:r>
      <w:r>
        <w:rPr>
          <w:color w:val="231F20"/>
          <w:spacing w:val="-14"/>
          <w:w w:val="105"/>
          <w:sz w:val="20"/>
        </w:rPr>
        <w:t> </w:t>
      </w:r>
      <w:r>
        <w:rPr>
          <w:color w:val="231F20"/>
          <w:w w:val="105"/>
          <w:sz w:val="20"/>
        </w:rPr>
        <w:t>facility</w:t>
      </w:r>
      <w:r>
        <w:rPr>
          <w:color w:val="231F20"/>
          <w:spacing w:val="-14"/>
          <w:w w:val="105"/>
          <w:sz w:val="20"/>
        </w:rPr>
        <w:t> </w:t>
      </w:r>
      <w:r>
        <w:rPr>
          <w:color w:val="231F20"/>
          <w:w w:val="105"/>
          <w:sz w:val="20"/>
        </w:rPr>
        <w:t>to</w:t>
      </w:r>
      <w:r>
        <w:rPr>
          <w:color w:val="231F20"/>
          <w:spacing w:val="-14"/>
          <w:w w:val="105"/>
          <w:sz w:val="20"/>
        </w:rPr>
        <w:t> </w:t>
      </w:r>
      <w:r>
        <w:rPr>
          <w:color w:val="231F20"/>
          <w:w w:val="105"/>
          <w:sz w:val="20"/>
        </w:rPr>
        <w:t>reopen (6.2.2.1.7);</w:t>
      </w:r>
      <w:r>
        <w:rPr>
          <w:color w:val="231F20"/>
          <w:spacing w:val="5"/>
          <w:w w:val="105"/>
          <w:sz w:val="20"/>
        </w:rPr>
        <w:t> </w:t>
      </w:r>
      <w:r>
        <w:rPr>
          <w:color w:val="231F20"/>
          <w:w w:val="105"/>
          <w:sz w:val="20"/>
        </w:rPr>
        <w:t>and</w:t>
      </w:r>
    </w:p>
    <w:p>
      <w:pPr>
        <w:spacing w:after="0" w:line="266" w:lineRule="auto"/>
        <w:jc w:val="left"/>
        <w:rPr>
          <w:sz w:val="20"/>
        </w:rPr>
        <w:sectPr>
          <w:type w:val="continuous"/>
          <w:pgSz w:w="10080" w:h="14400"/>
          <w:pgMar w:top="0" w:bottom="360" w:left="0" w:right="0"/>
          <w:cols w:num="2" w:equalWidth="0">
            <w:col w:w="4497" w:space="40"/>
            <w:col w:w="5543"/>
          </w:cols>
        </w:sectPr>
      </w:pPr>
    </w:p>
    <w:p>
      <w:pPr>
        <w:pStyle w:val="BodyText"/>
        <w:spacing w:before="8"/>
        <w:rPr>
          <w:sz w:val="10"/>
        </w:rPr>
      </w:pPr>
    </w:p>
    <w:p>
      <w:pPr>
        <w:pStyle w:val="Heading1"/>
      </w:pPr>
      <w:r>
        <w:rPr/>
        <w:pict>
          <v:line style="position:absolute;mso-position-horizontal-relative:page;mso-position-vertical-relative:paragraph;z-index:3760;mso-wrap-distance-left:0;mso-wrap-distance-right:0" from="72pt,23.991844pt" to="468pt,23.991844pt" stroked="true" strokeweight=".5pt" strokecolor="#00a94f">
            <v:stroke dashstyle="solid"/>
            <w10:wrap type="topAndBottom"/>
          </v:line>
        </w:pict>
      </w:r>
      <w:r>
        <w:rPr/>
        <w:pict>
          <v:rect style="position:absolute;margin-left:0pt;margin-top:7.341943pt;width:45pt;height:18pt;mso-position-horizontal-relative:page;mso-position-vertical-relative:paragraph;z-index:3784" filled="true" fillcolor="#0079c1" stroked="false">
            <v:fill type="solid"/>
            <w10:wrap type="none"/>
          </v:rect>
        </w:pict>
      </w:r>
      <w:r>
        <w:rPr/>
        <w:pict>
          <v:line style="position:absolute;mso-position-horizontal-relative:page;mso-position-vertical-relative:paragraph;z-index:3808"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3832"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6. Control  Measures</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ListParagraph"/>
        <w:numPr>
          <w:ilvl w:val="1"/>
          <w:numId w:val="2"/>
        </w:numPr>
        <w:tabs>
          <w:tab w:pos="1611" w:val="left" w:leader="none"/>
        </w:tabs>
        <w:spacing w:line="264" w:lineRule="auto" w:before="108" w:after="0"/>
        <w:ind w:left="1610" w:right="200" w:hanging="170"/>
        <w:jc w:val="left"/>
        <w:rPr>
          <w:sz w:val="20"/>
        </w:rPr>
      </w:pPr>
      <w:r>
        <w:rPr>
          <w:color w:val="231F20"/>
          <w:w w:val="105"/>
          <w:sz w:val="20"/>
        </w:rPr>
        <w:t>Communication</w:t>
      </w:r>
      <w:r>
        <w:rPr>
          <w:color w:val="231F20"/>
          <w:spacing w:val="-9"/>
          <w:w w:val="105"/>
          <w:sz w:val="20"/>
        </w:rPr>
        <w:t> </w:t>
      </w:r>
      <w:r>
        <w:rPr>
          <w:color w:val="231F20"/>
          <w:w w:val="105"/>
          <w:sz w:val="20"/>
        </w:rPr>
        <w:t>with</w:t>
      </w:r>
      <w:r>
        <w:rPr>
          <w:color w:val="231F20"/>
          <w:spacing w:val="-9"/>
          <w:w w:val="105"/>
          <w:sz w:val="20"/>
        </w:rPr>
        <w:t> </w:t>
      </w:r>
      <w:r>
        <w:rPr>
          <w:color w:val="231F20"/>
          <w:w w:val="105"/>
          <w:sz w:val="20"/>
        </w:rPr>
        <w:t>the</w:t>
      </w:r>
      <w:r>
        <w:rPr>
          <w:color w:val="231F20"/>
          <w:spacing w:val="-9"/>
          <w:w w:val="105"/>
          <w:sz w:val="20"/>
        </w:rPr>
        <w:t> </w:t>
      </w:r>
      <w:r>
        <w:rPr>
          <w:color w:val="231F20"/>
          <w:w w:val="105"/>
          <w:sz w:val="20"/>
        </w:rPr>
        <w:t>public</w:t>
      </w:r>
      <w:r>
        <w:rPr>
          <w:color w:val="231F20"/>
          <w:spacing w:val="-9"/>
          <w:w w:val="105"/>
          <w:sz w:val="20"/>
        </w:rPr>
        <w:t> </w:t>
      </w:r>
      <w:r>
        <w:rPr>
          <w:color w:val="231F20"/>
          <w:w w:val="105"/>
          <w:sz w:val="20"/>
        </w:rPr>
        <w:t>about</w:t>
      </w:r>
      <w:r>
        <w:rPr>
          <w:color w:val="231F20"/>
          <w:spacing w:val="-9"/>
          <w:w w:val="105"/>
          <w:sz w:val="20"/>
        </w:rPr>
        <w:t> </w:t>
      </w:r>
      <w:r>
        <w:rPr>
          <w:color w:val="231F20"/>
          <w:w w:val="105"/>
          <w:sz w:val="20"/>
        </w:rPr>
        <w:t>the </w:t>
      </w:r>
      <w:r>
        <w:rPr>
          <w:rFonts w:ascii="Times New Roman"/>
          <w:color w:val="231F20"/>
          <w:w w:val="105"/>
          <w:sz w:val="20"/>
        </w:rPr>
        <w:t>outbreak if medical treatment is needed </w:t>
      </w:r>
      <w:r>
        <w:rPr>
          <w:color w:val="231F20"/>
          <w:w w:val="105"/>
          <w:sz w:val="20"/>
        </w:rPr>
        <w:t>for</w:t>
      </w:r>
      <w:r>
        <w:rPr>
          <w:color w:val="231F20"/>
          <w:spacing w:val="-17"/>
          <w:w w:val="105"/>
          <w:sz w:val="20"/>
        </w:rPr>
        <w:t> </w:t>
      </w:r>
      <w:r>
        <w:rPr>
          <w:color w:val="231F20"/>
          <w:w w:val="105"/>
          <w:sz w:val="20"/>
        </w:rPr>
        <w:t>persons</w:t>
      </w:r>
      <w:r>
        <w:rPr>
          <w:color w:val="231F20"/>
          <w:spacing w:val="-17"/>
          <w:w w:val="105"/>
          <w:sz w:val="20"/>
        </w:rPr>
        <w:t> </w:t>
      </w:r>
      <w:r>
        <w:rPr>
          <w:color w:val="231F20"/>
          <w:w w:val="105"/>
          <w:sz w:val="20"/>
        </w:rPr>
        <w:t>exposed</w:t>
      </w:r>
      <w:r>
        <w:rPr>
          <w:color w:val="231F20"/>
          <w:spacing w:val="-17"/>
          <w:w w:val="105"/>
          <w:sz w:val="20"/>
        </w:rPr>
        <w:t> </w:t>
      </w:r>
      <w:r>
        <w:rPr>
          <w:color w:val="231F20"/>
          <w:w w:val="105"/>
          <w:sz w:val="20"/>
        </w:rPr>
        <w:t>to</w:t>
      </w:r>
      <w:r>
        <w:rPr>
          <w:color w:val="231F20"/>
          <w:spacing w:val="-17"/>
          <w:w w:val="105"/>
          <w:sz w:val="20"/>
        </w:rPr>
        <w:t> </w:t>
      </w:r>
      <w:r>
        <w:rPr>
          <w:color w:val="231F20"/>
          <w:w w:val="105"/>
          <w:sz w:val="20"/>
        </w:rPr>
        <w:t>the</w:t>
      </w:r>
      <w:r>
        <w:rPr>
          <w:color w:val="231F20"/>
          <w:spacing w:val="-17"/>
          <w:w w:val="105"/>
          <w:sz w:val="20"/>
        </w:rPr>
        <w:t> </w:t>
      </w:r>
      <w:r>
        <w:rPr>
          <w:color w:val="231F20"/>
          <w:w w:val="105"/>
          <w:sz w:val="20"/>
        </w:rPr>
        <w:t>etiologic</w:t>
      </w:r>
      <w:r>
        <w:rPr>
          <w:color w:val="231F20"/>
          <w:spacing w:val="-17"/>
          <w:w w:val="105"/>
          <w:sz w:val="20"/>
        </w:rPr>
        <w:t> </w:t>
      </w:r>
      <w:r>
        <w:rPr>
          <w:color w:val="231F20"/>
          <w:w w:val="105"/>
          <w:sz w:val="20"/>
        </w:rPr>
        <w:t>agent, reporting of suspected cases is necessary </w:t>
      </w:r>
      <w:r>
        <w:rPr>
          <w:rFonts w:ascii="Times New Roman"/>
          <w:color w:val="231F20"/>
          <w:w w:val="105"/>
          <w:sz w:val="20"/>
        </w:rPr>
        <w:t>for</w:t>
      </w:r>
      <w:r>
        <w:rPr>
          <w:rFonts w:ascii="Times New Roman"/>
          <w:color w:val="231F20"/>
          <w:spacing w:val="-25"/>
          <w:w w:val="105"/>
          <w:sz w:val="20"/>
        </w:rPr>
        <w:t> </w:t>
      </w:r>
      <w:r>
        <w:rPr>
          <w:rFonts w:ascii="Times New Roman"/>
          <w:color w:val="231F20"/>
          <w:w w:val="105"/>
          <w:sz w:val="20"/>
        </w:rPr>
        <w:t>investigation</w:t>
      </w:r>
      <w:r>
        <w:rPr>
          <w:rFonts w:ascii="Times New Roman"/>
          <w:color w:val="231F20"/>
          <w:spacing w:val="-26"/>
          <w:w w:val="105"/>
          <w:sz w:val="20"/>
        </w:rPr>
        <w:t> </w:t>
      </w:r>
      <w:r>
        <w:rPr>
          <w:rFonts w:ascii="Times New Roman"/>
          <w:color w:val="231F20"/>
          <w:w w:val="105"/>
          <w:sz w:val="20"/>
        </w:rPr>
        <w:t>purposes,</w:t>
      </w:r>
      <w:r>
        <w:rPr>
          <w:rFonts w:ascii="Times New Roman"/>
          <w:color w:val="231F20"/>
          <w:spacing w:val="-25"/>
          <w:w w:val="105"/>
          <w:sz w:val="20"/>
        </w:rPr>
        <w:t> </w:t>
      </w:r>
      <w:r>
        <w:rPr>
          <w:rFonts w:ascii="Times New Roman"/>
          <w:color w:val="231F20"/>
          <w:w w:val="105"/>
          <w:sz w:val="20"/>
        </w:rPr>
        <w:t>or</w:t>
      </w:r>
      <w:r>
        <w:rPr>
          <w:rFonts w:ascii="Times New Roman"/>
          <w:color w:val="231F20"/>
          <w:spacing w:val="-25"/>
          <w:w w:val="105"/>
          <w:sz w:val="20"/>
        </w:rPr>
        <w:t> </w:t>
      </w:r>
      <w:r>
        <w:rPr>
          <w:rFonts w:ascii="Times New Roman"/>
          <w:color w:val="231F20"/>
          <w:w w:val="105"/>
          <w:sz w:val="20"/>
        </w:rPr>
        <w:t>the</w:t>
      </w:r>
      <w:r>
        <w:rPr>
          <w:rFonts w:ascii="Times New Roman"/>
          <w:color w:val="231F20"/>
          <w:spacing w:val="-26"/>
          <w:w w:val="105"/>
          <w:sz w:val="20"/>
        </w:rPr>
        <w:t> </w:t>
      </w:r>
      <w:r>
        <w:rPr>
          <w:rFonts w:ascii="Times New Roman"/>
          <w:color w:val="231F20"/>
          <w:w w:val="105"/>
          <w:sz w:val="20"/>
        </w:rPr>
        <w:t>risk</w:t>
      </w:r>
      <w:r>
        <w:rPr>
          <w:rFonts w:ascii="Times New Roman"/>
          <w:color w:val="231F20"/>
          <w:spacing w:val="-26"/>
          <w:w w:val="105"/>
          <w:sz w:val="20"/>
        </w:rPr>
        <w:t> </w:t>
      </w:r>
      <w:r>
        <w:rPr>
          <w:rFonts w:ascii="Times New Roman"/>
          <w:color w:val="231F20"/>
          <w:w w:val="105"/>
          <w:sz w:val="20"/>
        </w:rPr>
        <w:t>for </w:t>
      </w:r>
      <w:r>
        <w:rPr>
          <w:color w:val="231F20"/>
          <w:w w:val="105"/>
          <w:sz w:val="20"/>
        </w:rPr>
        <w:t>exposure</w:t>
      </w:r>
      <w:r>
        <w:rPr>
          <w:color w:val="231F20"/>
          <w:spacing w:val="-21"/>
          <w:w w:val="105"/>
          <w:sz w:val="20"/>
        </w:rPr>
        <w:t> </w:t>
      </w:r>
      <w:r>
        <w:rPr>
          <w:color w:val="231F20"/>
          <w:w w:val="105"/>
          <w:sz w:val="20"/>
        </w:rPr>
        <w:t>still</w:t>
      </w:r>
      <w:r>
        <w:rPr>
          <w:color w:val="231F20"/>
          <w:spacing w:val="-21"/>
          <w:w w:val="105"/>
          <w:sz w:val="20"/>
        </w:rPr>
        <w:t> </w:t>
      </w:r>
      <w:r>
        <w:rPr>
          <w:color w:val="231F20"/>
          <w:w w:val="105"/>
          <w:sz w:val="20"/>
        </w:rPr>
        <w:t>exists</w:t>
      </w:r>
      <w:r>
        <w:rPr>
          <w:color w:val="231F20"/>
          <w:spacing w:val="-21"/>
          <w:w w:val="105"/>
          <w:sz w:val="20"/>
        </w:rPr>
        <w:t> </w:t>
      </w:r>
      <w:r>
        <w:rPr>
          <w:color w:val="231F20"/>
          <w:w w:val="105"/>
          <w:sz w:val="20"/>
        </w:rPr>
        <w:t>(6.2.2.1.8).</w:t>
      </w:r>
    </w:p>
    <w:p>
      <w:pPr>
        <w:pStyle w:val="BodyText"/>
        <w:spacing w:line="264" w:lineRule="auto" w:before="182"/>
        <w:ind w:left="1440" w:right="46"/>
      </w:pPr>
      <w:r>
        <w:rPr>
          <w:i/>
          <w:color w:val="E36F1E"/>
          <w:spacing w:val="-3"/>
        </w:rPr>
        <w:t>Foods </w:t>
      </w:r>
      <w:r>
        <w:rPr>
          <w:i/>
          <w:color w:val="E36F1E"/>
        </w:rPr>
        <w:t>associated with a processor/producer (6.2.2.2) </w:t>
      </w:r>
      <w:r>
        <w:rPr>
          <w:rFonts w:ascii="Times New Roman"/>
          <w:color w:val="231F20"/>
        </w:rPr>
        <w:t>Implication of multiple food-service establishments in an outbreak or receipt of </w:t>
      </w:r>
      <w:r>
        <w:rPr>
          <w:color w:val="231F20"/>
        </w:rPr>
        <w:t>multiple,  seemingly  unrelated,  reports  of illness from consumers eating the same type   of food suggests an outbreak caused </w:t>
      </w:r>
      <w:r>
        <w:rPr>
          <w:color w:val="231F20"/>
          <w:spacing w:val="-3"/>
        </w:rPr>
        <w:t>by </w:t>
      </w:r>
      <w:r>
        <w:rPr>
          <w:color w:val="231F20"/>
        </w:rPr>
        <w:t>food contaminated at the processor/producer  </w:t>
      </w:r>
      <w:r>
        <w:rPr>
          <w:color w:val="231F20"/>
          <w:spacing w:val="8"/>
        </w:rPr>
        <w:t> </w:t>
      </w:r>
      <w:r>
        <w:rPr>
          <w:color w:val="231F20"/>
        </w:rPr>
        <w:t>level.</w:t>
      </w:r>
    </w:p>
    <w:p>
      <w:pPr>
        <w:pStyle w:val="BodyText"/>
        <w:spacing w:line="261" w:lineRule="auto" w:before="2"/>
        <w:ind w:left="1440" w:right="162"/>
        <w:rPr>
          <w:rFonts w:ascii="Times New Roman"/>
        </w:rPr>
      </w:pPr>
      <w:r>
        <w:rPr>
          <w:color w:val="231F20"/>
        </w:rPr>
        <w:t>Depending on the scope of  the outbreak  </w:t>
      </w:r>
      <w:r>
        <w:rPr>
          <w:rFonts w:ascii="Times New Roman"/>
          <w:color w:val="231F20"/>
        </w:rPr>
        <w:t>and probable point of  contamination, most </w:t>
      </w:r>
      <w:r>
        <w:rPr>
          <w:color w:val="231F20"/>
        </w:rPr>
        <w:t>of the specific control measures listed above will still be appropriate once the point of contamination is identified; </w:t>
      </w:r>
      <w:r>
        <w:rPr>
          <w:color w:val="231F20"/>
          <w:spacing w:val="-5"/>
        </w:rPr>
        <w:t>however, </w:t>
      </w:r>
      <w:r>
        <w:rPr>
          <w:color w:val="231F20"/>
        </w:rPr>
        <w:t>efforts </w:t>
      </w:r>
      <w:r>
        <w:rPr>
          <w:rFonts w:ascii="Times New Roman"/>
          <w:color w:val="231F20"/>
        </w:rPr>
        <w:t>also might be needed to recall the</w:t>
      </w:r>
      <w:r>
        <w:rPr>
          <w:rFonts w:ascii="Times New Roman"/>
          <w:color w:val="231F20"/>
          <w:spacing w:val="-18"/>
        </w:rPr>
        <w:t> </w:t>
      </w:r>
      <w:r>
        <w:rPr>
          <w:rFonts w:ascii="Times New Roman"/>
          <w:color w:val="231F20"/>
        </w:rPr>
        <w:t>implicated</w:t>
      </w:r>
    </w:p>
    <w:p>
      <w:pPr>
        <w:pStyle w:val="BodyText"/>
        <w:spacing w:line="256" w:lineRule="auto" w:before="14"/>
        <w:ind w:left="1440" w:right="46"/>
        <w:rPr>
          <w:rFonts w:ascii="Times New Roman"/>
        </w:rPr>
      </w:pPr>
      <w:r>
        <w:rPr>
          <w:color w:val="231F20"/>
        </w:rPr>
        <w:t>food from the market. The decision to recall a </w:t>
      </w:r>
      <w:r>
        <w:rPr>
          <w:rFonts w:ascii="Times New Roman"/>
          <w:color w:val="231F20"/>
        </w:rPr>
        <w:t>food is based on the strength of the evidence linking the food to illness and the ongoing</w:t>
      </w:r>
    </w:p>
    <w:p>
      <w:pPr>
        <w:pStyle w:val="BodyText"/>
        <w:spacing w:line="264" w:lineRule="auto" w:before="18"/>
        <w:ind w:left="1440" w:right="3"/>
      </w:pPr>
      <w:r>
        <w:rPr>
          <w:color w:val="231F20"/>
        </w:rPr>
        <w:t>risk for exposure among consumers (i.e., the </w:t>
      </w:r>
      <w:r>
        <w:rPr>
          <w:rFonts w:ascii="Times New Roman"/>
          <w:color w:val="231F20"/>
        </w:rPr>
        <w:t>likelihood</w:t>
      </w:r>
      <w:r>
        <w:rPr>
          <w:rFonts w:ascii="Times New Roman"/>
          <w:color w:val="231F20"/>
          <w:spacing w:val="-6"/>
        </w:rPr>
        <w:t> </w:t>
      </w:r>
      <w:r>
        <w:rPr>
          <w:rFonts w:ascii="Times New Roman"/>
          <w:color w:val="231F20"/>
        </w:rPr>
        <w:t>that</w:t>
      </w:r>
      <w:r>
        <w:rPr>
          <w:rFonts w:ascii="Times New Roman"/>
          <w:color w:val="231F20"/>
          <w:spacing w:val="-5"/>
        </w:rPr>
        <w:t> </w:t>
      </w:r>
      <w:r>
        <w:rPr>
          <w:rFonts w:ascii="Times New Roman"/>
          <w:color w:val="231F20"/>
        </w:rPr>
        <w:t>the</w:t>
      </w:r>
      <w:r>
        <w:rPr>
          <w:rFonts w:ascii="Times New Roman"/>
          <w:color w:val="231F20"/>
          <w:spacing w:val="-6"/>
        </w:rPr>
        <w:t> </w:t>
      </w:r>
      <w:r>
        <w:rPr>
          <w:rFonts w:ascii="Times New Roman"/>
          <w:color w:val="231F20"/>
        </w:rPr>
        <w:t>food</w:t>
      </w:r>
      <w:r>
        <w:rPr>
          <w:rFonts w:ascii="Times New Roman"/>
          <w:color w:val="231F20"/>
          <w:spacing w:val="-5"/>
        </w:rPr>
        <w:t> </w:t>
      </w:r>
      <w:r>
        <w:rPr>
          <w:rFonts w:ascii="Times New Roman"/>
          <w:color w:val="231F20"/>
        </w:rPr>
        <w:t>is</w:t>
      </w:r>
      <w:r>
        <w:rPr>
          <w:rFonts w:ascii="Times New Roman"/>
          <w:color w:val="231F20"/>
          <w:spacing w:val="-6"/>
        </w:rPr>
        <w:t> </w:t>
      </w:r>
      <w:r>
        <w:rPr>
          <w:rFonts w:ascii="Times New Roman"/>
          <w:color w:val="231F20"/>
        </w:rPr>
        <w:t>still</w:t>
      </w:r>
      <w:r>
        <w:rPr>
          <w:rFonts w:ascii="Times New Roman"/>
          <w:color w:val="231F20"/>
          <w:spacing w:val="-5"/>
        </w:rPr>
        <w:t> </w:t>
      </w:r>
      <w:r>
        <w:rPr>
          <w:rFonts w:ascii="Times New Roman"/>
          <w:color w:val="231F20"/>
        </w:rPr>
        <w:t>on</w:t>
      </w:r>
      <w:r>
        <w:rPr>
          <w:rFonts w:ascii="Times New Roman"/>
          <w:color w:val="231F20"/>
          <w:spacing w:val="-6"/>
        </w:rPr>
        <w:t> </w:t>
      </w:r>
      <w:r>
        <w:rPr>
          <w:rFonts w:ascii="Times New Roman"/>
          <w:color w:val="231F20"/>
        </w:rPr>
        <w:t>the</w:t>
      </w:r>
      <w:r>
        <w:rPr>
          <w:rFonts w:ascii="Times New Roman"/>
          <w:color w:val="231F20"/>
          <w:spacing w:val="-6"/>
        </w:rPr>
        <w:t> </w:t>
      </w:r>
      <w:r>
        <w:rPr>
          <w:rFonts w:ascii="Times New Roman"/>
          <w:color w:val="231F20"/>
        </w:rPr>
        <w:t>market</w:t>
      </w:r>
      <w:r>
        <w:rPr>
          <w:rFonts w:ascii="Times New Roman"/>
          <w:color w:val="231F20"/>
          <w:spacing w:val="-5"/>
        </w:rPr>
        <w:t> </w:t>
      </w:r>
      <w:r>
        <w:rPr>
          <w:rFonts w:ascii="Times New Roman"/>
          <w:color w:val="231F20"/>
        </w:rPr>
        <w:t>or </w:t>
      </w:r>
      <w:r>
        <w:rPr>
          <w:color w:val="231F20"/>
        </w:rPr>
        <w:t>is in the homes of</w:t>
      </w:r>
      <w:r>
        <w:rPr>
          <w:color w:val="231F20"/>
          <w:spacing w:val="49"/>
        </w:rPr>
        <w:t> </w:t>
      </w:r>
      <w:r>
        <w:rPr>
          <w:color w:val="231F20"/>
        </w:rPr>
        <w:t>consumers).</w:t>
      </w:r>
    </w:p>
    <w:p>
      <w:pPr>
        <w:pStyle w:val="BodyText"/>
        <w:spacing w:line="266" w:lineRule="auto" w:before="182"/>
        <w:ind w:left="1440" w:right="49"/>
      </w:pPr>
      <w:r>
        <w:rPr>
          <w:color w:val="231F20"/>
          <w:w w:val="105"/>
        </w:rPr>
        <w:t>Recall of food at the processor/producer level generally requires federal and/or state action. Contact the federal or state regulatory agency that has jurisdiction over the product.</w:t>
      </w:r>
    </w:p>
    <w:p>
      <w:pPr>
        <w:pStyle w:val="BodyText"/>
        <w:spacing w:line="266" w:lineRule="auto"/>
        <w:ind w:left="1440" w:right="-11"/>
      </w:pPr>
      <w:r>
        <w:rPr>
          <w:color w:val="231F20"/>
          <w:spacing w:val="-5"/>
          <w:w w:val="105"/>
        </w:rPr>
        <w:t>FDA</w:t>
      </w:r>
      <w:r>
        <w:rPr>
          <w:color w:val="231F20"/>
          <w:spacing w:val="-19"/>
          <w:w w:val="105"/>
        </w:rPr>
        <w:t> </w:t>
      </w:r>
      <w:r>
        <w:rPr>
          <w:color w:val="231F20"/>
          <w:w w:val="105"/>
        </w:rPr>
        <w:t>regulates</w:t>
      </w:r>
      <w:r>
        <w:rPr>
          <w:color w:val="231F20"/>
          <w:spacing w:val="-19"/>
          <w:w w:val="105"/>
        </w:rPr>
        <w:t> </w:t>
      </w:r>
      <w:r>
        <w:rPr>
          <w:color w:val="231F20"/>
          <w:w w:val="105"/>
        </w:rPr>
        <w:t>the</w:t>
      </w:r>
      <w:r>
        <w:rPr>
          <w:color w:val="231F20"/>
          <w:spacing w:val="-19"/>
          <w:w w:val="105"/>
        </w:rPr>
        <w:t> </w:t>
      </w:r>
      <w:r>
        <w:rPr>
          <w:color w:val="231F20"/>
          <w:w w:val="105"/>
        </w:rPr>
        <w:t>safety</w:t>
      </w:r>
      <w:r>
        <w:rPr>
          <w:color w:val="231F20"/>
          <w:spacing w:val="-19"/>
          <w:w w:val="105"/>
        </w:rPr>
        <w:t> </w:t>
      </w:r>
      <w:r>
        <w:rPr>
          <w:color w:val="231F20"/>
          <w:w w:val="105"/>
        </w:rPr>
        <w:t>of</w:t>
      </w:r>
      <w:r>
        <w:rPr>
          <w:color w:val="231F20"/>
          <w:spacing w:val="-1"/>
          <w:w w:val="105"/>
        </w:rPr>
        <w:t> </w:t>
      </w:r>
      <w:r>
        <w:rPr>
          <w:color w:val="231F20"/>
          <w:w w:val="105"/>
        </w:rPr>
        <w:t>most</w:t>
      </w:r>
      <w:r>
        <w:rPr>
          <w:color w:val="231F20"/>
          <w:spacing w:val="-19"/>
          <w:w w:val="105"/>
        </w:rPr>
        <w:t> </w:t>
      </w:r>
      <w:r>
        <w:rPr>
          <w:color w:val="231F20"/>
          <w:w w:val="105"/>
        </w:rPr>
        <w:t>foods,</w:t>
      </w:r>
      <w:r>
        <w:rPr>
          <w:color w:val="231F20"/>
          <w:spacing w:val="-19"/>
          <w:w w:val="105"/>
        </w:rPr>
        <w:t> </w:t>
      </w:r>
      <w:r>
        <w:rPr>
          <w:color w:val="231F20"/>
          <w:w w:val="105"/>
        </w:rPr>
        <w:t>except meat, </w:t>
      </w:r>
      <w:r>
        <w:rPr>
          <w:color w:val="231F20"/>
          <w:spacing w:val="-4"/>
          <w:w w:val="105"/>
        </w:rPr>
        <w:t>poultry, </w:t>
      </w:r>
      <w:r>
        <w:rPr>
          <w:color w:val="231F20"/>
          <w:w w:val="105"/>
        </w:rPr>
        <w:t>and most out-of-shell egg products that are regulated </w:t>
      </w:r>
      <w:r>
        <w:rPr>
          <w:color w:val="231F20"/>
          <w:spacing w:val="-3"/>
          <w:w w:val="105"/>
        </w:rPr>
        <w:t>by USDA. </w:t>
      </w:r>
      <w:r>
        <w:rPr>
          <w:color w:val="231F20"/>
          <w:w w:val="105"/>
        </w:rPr>
        <w:t>The appropriate regulatory authority will contact the manufacturer immediately and get its cooperation. The regulatory authority may </w:t>
      </w:r>
      <w:r>
        <w:rPr>
          <w:rFonts w:ascii="Times New Roman"/>
          <w:color w:val="231F20"/>
          <w:w w:val="105"/>
        </w:rPr>
        <w:t>recommend</w:t>
      </w:r>
      <w:r>
        <w:rPr>
          <w:rFonts w:ascii="Times New Roman"/>
          <w:color w:val="231F20"/>
          <w:spacing w:val="-27"/>
          <w:w w:val="105"/>
        </w:rPr>
        <w:t> </w:t>
      </w:r>
      <w:r>
        <w:rPr>
          <w:rFonts w:ascii="Times New Roman"/>
          <w:color w:val="231F20"/>
          <w:w w:val="105"/>
        </w:rPr>
        <w:t>that</w:t>
      </w:r>
      <w:r>
        <w:rPr>
          <w:rFonts w:ascii="Times New Roman"/>
          <w:color w:val="231F20"/>
          <w:spacing w:val="-26"/>
          <w:w w:val="105"/>
        </w:rPr>
        <w:t> </w:t>
      </w:r>
      <w:r>
        <w:rPr>
          <w:rFonts w:ascii="Times New Roman"/>
          <w:color w:val="231F20"/>
          <w:w w:val="105"/>
        </w:rPr>
        <w:t>the</w:t>
      </w:r>
      <w:r>
        <w:rPr>
          <w:rFonts w:ascii="Times New Roman"/>
          <w:color w:val="231F20"/>
          <w:spacing w:val="-27"/>
          <w:w w:val="105"/>
        </w:rPr>
        <w:t> </w:t>
      </w:r>
      <w:r>
        <w:rPr>
          <w:rFonts w:ascii="Times New Roman"/>
          <w:color w:val="231F20"/>
          <w:w w:val="105"/>
        </w:rPr>
        <w:t>manufacturer</w:t>
      </w:r>
      <w:r>
        <w:rPr>
          <w:rFonts w:ascii="Times New Roman"/>
          <w:color w:val="231F20"/>
          <w:spacing w:val="-27"/>
          <w:w w:val="105"/>
        </w:rPr>
        <w:t> </w:t>
      </w:r>
      <w:r>
        <w:rPr>
          <w:rFonts w:ascii="Times New Roman"/>
          <w:color w:val="231F20"/>
          <w:w w:val="105"/>
        </w:rPr>
        <w:t>issue</w:t>
      </w:r>
      <w:r>
        <w:rPr>
          <w:rFonts w:ascii="Times New Roman"/>
          <w:color w:val="231F20"/>
          <w:spacing w:val="-27"/>
          <w:w w:val="105"/>
        </w:rPr>
        <w:t> </w:t>
      </w:r>
      <w:r>
        <w:rPr>
          <w:rFonts w:ascii="Times New Roman"/>
          <w:color w:val="231F20"/>
          <w:w w:val="105"/>
        </w:rPr>
        <w:t>a</w:t>
      </w:r>
      <w:r>
        <w:rPr>
          <w:rFonts w:ascii="Times New Roman"/>
          <w:color w:val="231F20"/>
          <w:spacing w:val="-26"/>
          <w:w w:val="105"/>
        </w:rPr>
        <w:t> </w:t>
      </w:r>
      <w:r>
        <w:rPr>
          <w:rFonts w:ascii="Times New Roman"/>
          <w:color w:val="231F20"/>
          <w:w w:val="105"/>
        </w:rPr>
        <w:t>food </w:t>
      </w:r>
      <w:r>
        <w:rPr>
          <w:color w:val="231F20"/>
          <w:w w:val="105"/>
        </w:rPr>
        <w:t>recall. In addition, the regulatory authority and/or the manufacturer may ask</w:t>
      </w:r>
      <w:r>
        <w:rPr>
          <w:color w:val="231F20"/>
          <w:spacing w:val="-14"/>
          <w:w w:val="105"/>
        </w:rPr>
        <w:t> </w:t>
      </w:r>
      <w:r>
        <w:rPr>
          <w:color w:val="231F20"/>
          <w:w w:val="105"/>
        </w:rPr>
        <w:t>retailers</w:t>
      </w:r>
    </w:p>
    <w:p>
      <w:pPr>
        <w:pStyle w:val="BodyText"/>
        <w:spacing w:line="216" w:lineRule="exact"/>
        <w:ind w:left="1440"/>
        <w:rPr>
          <w:rFonts w:ascii="Times New Roman"/>
        </w:rPr>
      </w:pPr>
      <w:r>
        <w:rPr>
          <w:rFonts w:ascii="Times New Roman"/>
          <w:color w:val="231F20"/>
        </w:rPr>
        <w:t>to remove the product from their shelves and</w:t>
      </w:r>
    </w:p>
    <w:p>
      <w:pPr>
        <w:pStyle w:val="BodyText"/>
        <w:spacing w:line="266" w:lineRule="auto" w:before="34"/>
        <w:ind w:left="1440" w:right="46"/>
      </w:pPr>
      <w:r>
        <w:rPr>
          <w:color w:val="231F20"/>
        </w:rPr>
        <w:t>for distributors to withhold the product from distribution.</w:t>
      </w:r>
    </w:p>
    <w:p>
      <w:pPr>
        <w:spacing w:line="266" w:lineRule="auto" w:before="179"/>
        <w:ind w:left="1440" w:right="716" w:firstLine="0"/>
        <w:jc w:val="left"/>
        <w:rPr>
          <w:i/>
          <w:sz w:val="20"/>
        </w:rPr>
      </w:pPr>
      <w:r>
        <w:rPr>
          <w:i/>
          <w:color w:val="E36F1E"/>
          <w:w w:val="105"/>
          <w:sz w:val="20"/>
        </w:rPr>
        <w:t>Procedures</w:t>
      </w:r>
      <w:r>
        <w:rPr>
          <w:i/>
          <w:color w:val="E36F1E"/>
          <w:spacing w:val="-21"/>
          <w:w w:val="105"/>
          <w:sz w:val="20"/>
        </w:rPr>
        <w:t> </w:t>
      </w:r>
      <w:r>
        <w:rPr>
          <w:i/>
          <w:color w:val="E36F1E"/>
          <w:w w:val="105"/>
          <w:sz w:val="20"/>
        </w:rPr>
        <w:t>for</w:t>
      </w:r>
      <w:r>
        <w:rPr>
          <w:i/>
          <w:color w:val="E36F1E"/>
          <w:spacing w:val="-21"/>
          <w:w w:val="105"/>
          <w:sz w:val="20"/>
        </w:rPr>
        <w:t> </w:t>
      </w:r>
      <w:r>
        <w:rPr>
          <w:i/>
          <w:color w:val="E36F1E"/>
          <w:w w:val="105"/>
          <w:sz w:val="20"/>
        </w:rPr>
        <w:t>removing</w:t>
      </w:r>
      <w:r>
        <w:rPr>
          <w:i/>
          <w:color w:val="E36F1E"/>
          <w:spacing w:val="-21"/>
          <w:w w:val="105"/>
          <w:sz w:val="20"/>
        </w:rPr>
        <w:t> </w:t>
      </w:r>
      <w:r>
        <w:rPr>
          <w:i/>
          <w:color w:val="E36F1E"/>
          <w:w w:val="105"/>
          <w:sz w:val="20"/>
        </w:rPr>
        <w:t>food</w:t>
      </w:r>
      <w:r>
        <w:rPr>
          <w:i/>
          <w:color w:val="E36F1E"/>
          <w:spacing w:val="-21"/>
          <w:w w:val="105"/>
          <w:sz w:val="20"/>
        </w:rPr>
        <w:t> </w:t>
      </w:r>
      <w:r>
        <w:rPr>
          <w:i/>
          <w:color w:val="E36F1E"/>
          <w:w w:val="105"/>
          <w:sz w:val="20"/>
        </w:rPr>
        <w:t>from</w:t>
      </w:r>
      <w:r>
        <w:rPr>
          <w:i/>
          <w:color w:val="E36F1E"/>
          <w:spacing w:val="-21"/>
          <w:w w:val="105"/>
          <w:sz w:val="20"/>
        </w:rPr>
        <w:t> </w:t>
      </w:r>
      <w:r>
        <w:rPr>
          <w:i/>
          <w:color w:val="E36F1E"/>
          <w:w w:val="105"/>
          <w:sz w:val="20"/>
        </w:rPr>
        <w:t>the</w:t>
      </w:r>
      <w:r>
        <w:rPr>
          <w:i/>
          <w:color w:val="E36F1E"/>
          <w:spacing w:val="-21"/>
          <w:w w:val="105"/>
          <w:sz w:val="20"/>
        </w:rPr>
        <w:t> </w:t>
      </w:r>
      <w:r>
        <w:rPr>
          <w:i/>
          <w:color w:val="E36F1E"/>
          <w:w w:val="105"/>
          <w:sz w:val="20"/>
        </w:rPr>
        <w:t>market </w:t>
      </w:r>
      <w:r>
        <w:rPr>
          <w:i/>
          <w:color w:val="E36F1E"/>
          <w:w w:val="105"/>
          <w:sz w:val="20"/>
        </w:rPr>
        <w:t>(6.2.2.2.1)</w:t>
      </w:r>
    </w:p>
    <w:p>
      <w:pPr>
        <w:pStyle w:val="BodyText"/>
        <w:ind w:left="1440"/>
      </w:pPr>
      <w:r>
        <w:rPr>
          <w:color w:val="231F20"/>
          <w:w w:val="105"/>
        </w:rPr>
        <w:t>Once a decision is made to remove food</w:t>
      </w:r>
    </w:p>
    <w:p>
      <w:pPr>
        <w:pStyle w:val="BodyText"/>
        <w:spacing w:line="266" w:lineRule="auto" w:before="93"/>
        <w:ind w:left="355" w:right="732"/>
      </w:pPr>
      <w:r>
        <w:rPr/>
        <w:br w:type="column"/>
      </w:r>
      <w:r>
        <w:rPr>
          <w:rFonts w:ascii="Times New Roman"/>
          <w:color w:val="231F20"/>
          <w:w w:val="105"/>
        </w:rPr>
        <w:t>from the market, the goal is to </w:t>
      </w:r>
      <w:r>
        <w:rPr>
          <w:rFonts w:ascii="Times New Roman"/>
          <w:color w:val="231F20"/>
          <w:spacing w:val="-3"/>
          <w:w w:val="105"/>
        </w:rPr>
        <w:t>remove </w:t>
      </w:r>
      <w:r>
        <w:rPr>
          <w:rFonts w:ascii="Times New Roman"/>
          <w:color w:val="231F20"/>
          <w:w w:val="105"/>
        </w:rPr>
        <w:t>it as </w:t>
      </w:r>
      <w:r>
        <w:rPr>
          <w:color w:val="231F20"/>
          <w:w w:val="105"/>
        </w:rPr>
        <w:t>quickly and efficiently as possible. </w:t>
      </w:r>
      <w:r>
        <w:rPr>
          <w:color w:val="231F20"/>
          <w:spacing w:val="-5"/>
          <w:w w:val="105"/>
        </w:rPr>
        <w:t>Food </w:t>
      </w:r>
      <w:r>
        <w:rPr>
          <w:color w:val="231F20"/>
          <w:w w:val="105"/>
        </w:rPr>
        <w:t>is removed from the market more smoothly if certain steps are undertaken </w:t>
      </w:r>
      <w:r>
        <w:rPr>
          <w:color w:val="231F20"/>
          <w:spacing w:val="-3"/>
          <w:w w:val="105"/>
        </w:rPr>
        <w:t>by industry, </w:t>
      </w:r>
      <w:r>
        <w:rPr>
          <w:color w:val="231F20"/>
          <w:w w:val="105"/>
        </w:rPr>
        <w:t>retail </w:t>
      </w:r>
      <w:r>
        <w:rPr>
          <w:rFonts w:ascii="Times New Roman"/>
          <w:color w:val="231F20"/>
          <w:w w:val="105"/>
        </w:rPr>
        <w:t>establishments, and public health agencies </w:t>
      </w:r>
      <w:r>
        <w:rPr>
          <w:color w:val="231F20"/>
          <w:w w:val="105"/>
        </w:rPr>
        <w:t>before a food-safety problem occurs. Industry and retail establishments should routinely </w:t>
      </w:r>
      <w:r>
        <w:rPr>
          <w:rFonts w:ascii="Times New Roman"/>
          <w:color w:val="231F20"/>
          <w:w w:val="105"/>
        </w:rPr>
        <w:t>maintain product source and shipping information for quick access in conducting </w:t>
      </w:r>
      <w:r>
        <w:rPr>
          <w:color w:val="231F20"/>
          <w:w w:val="105"/>
        </w:rPr>
        <w:t>tracebacks and trace-forwards and develop methods</w:t>
      </w:r>
      <w:r>
        <w:rPr>
          <w:color w:val="231F20"/>
          <w:spacing w:val="-13"/>
          <w:w w:val="105"/>
        </w:rPr>
        <w:t> </w:t>
      </w:r>
      <w:r>
        <w:rPr>
          <w:color w:val="231F20"/>
          <w:w w:val="105"/>
        </w:rPr>
        <w:t>to</w:t>
      </w:r>
      <w:r>
        <w:rPr>
          <w:color w:val="231F20"/>
          <w:spacing w:val="-13"/>
          <w:w w:val="105"/>
        </w:rPr>
        <w:t> </w:t>
      </w:r>
      <w:r>
        <w:rPr>
          <w:color w:val="231F20"/>
          <w:w w:val="105"/>
        </w:rPr>
        <w:t>rapidly</w:t>
      </w:r>
      <w:r>
        <w:rPr>
          <w:color w:val="231F20"/>
          <w:spacing w:val="-13"/>
          <w:w w:val="105"/>
        </w:rPr>
        <w:t> </w:t>
      </w:r>
      <w:r>
        <w:rPr>
          <w:color w:val="231F20"/>
          <w:w w:val="105"/>
        </w:rPr>
        <w:t>notify</w:t>
      </w:r>
      <w:r>
        <w:rPr>
          <w:color w:val="231F20"/>
          <w:spacing w:val="-13"/>
          <w:w w:val="105"/>
        </w:rPr>
        <w:t> </w:t>
      </w:r>
      <w:r>
        <w:rPr>
          <w:color w:val="231F20"/>
          <w:w w:val="105"/>
        </w:rPr>
        <w:t>customers</w:t>
      </w:r>
      <w:r>
        <w:rPr>
          <w:color w:val="231F20"/>
          <w:spacing w:val="-13"/>
          <w:w w:val="105"/>
        </w:rPr>
        <w:t> </w:t>
      </w:r>
      <w:r>
        <w:rPr>
          <w:color w:val="231F20"/>
          <w:spacing w:val="-4"/>
          <w:w w:val="105"/>
        </w:rPr>
        <w:t>(e.g.,</w:t>
      </w:r>
      <w:r>
        <w:rPr>
          <w:color w:val="231F20"/>
          <w:spacing w:val="-13"/>
          <w:w w:val="105"/>
        </w:rPr>
        <w:t> </w:t>
      </w:r>
      <w:r>
        <w:rPr>
          <w:color w:val="231F20"/>
          <w:w w:val="105"/>
        </w:rPr>
        <w:t>blast e-mail/fax). Public health agencies should establish relationships with industry and retail establishments before a food-safety problem occurs. They should also develop a list of control measures to immediately put in place when a recall has been issued, and be aware of </w:t>
      </w:r>
      <w:r>
        <w:rPr>
          <w:rFonts w:ascii="Times New Roman"/>
          <w:color w:val="231F20"/>
          <w:w w:val="105"/>
        </w:rPr>
        <w:t>common</w:t>
      </w:r>
      <w:r>
        <w:rPr>
          <w:rFonts w:ascii="Times New Roman"/>
          <w:color w:val="231F20"/>
          <w:spacing w:val="-25"/>
          <w:w w:val="105"/>
        </w:rPr>
        <w:t> </w:t>
      </w:r>
      <w:r>
        <w:rPr>
          <w:rFonts w:ascii="Times New Roman"/>
          <w:color w:val="231F20"/>
          <w:w w:val="105"/>
        </w:rPr>
        <w:t>errors</w:t>
      </w:r>
      <w:r>
        <w:rPr>
          <w:rFonts w:ascii="Times New Roman"/>
          <w:color w:val="231F20"/>
          <w:spacing w:val="-26"/>
          <w:w w:val="105"/>
        </w:rPr>
        <w:t> </w:t>
      </w:r>
      <w:r>
        <w:rPr>
          <w:rFonts w:ascii="Times New Roman"/>
          <w:color w:val="231F20"/>
          <w:w w:val="105"/>
        </w:rPr>
        <w:t>that</w:t>
      </w:r>
      <w:r>
        <w:rPr>
          <w:rFonts w:ascii="Times New Roman"/>
          <w:color w:val="231F20"/>
          <w:spacing w:val="-25"/>
          <w:w w:val="105"/>
        </w:rPr>
        <w:t> </w:t>
      </w:r>
      <w:r>
        <w:rPr>
          <w:rFonts w:ascii="Times New Roman"/>
          <w:color w:val="231F20"/>
          <w:w w:val="105"/>
        </w:rPr>
        <w:t>lead</w:t>
      </w:r>
      <w:r>
        <w:rPr>
          <w:rFonts w:ascii="Times New Roman"/>
          <w:color w:val="231F20"/>
          <w:spacing w:val="-26"/>
          <w:w w:val="105"/>
        </w:rPr>
        <w:t> </w:t>
      </w:r>
      <w:r>
        <w:rPr>
          <w:rFonts w:ascii="Times New Roman"/>
          <w:color w:val="231F20"/>
          <w:w w:val="105"/>
        </w:rPr>
        <w:t>to</w:t>
      </w:r>
      <w:r>
        <w:rPr>
          <w:rFonts w:ascii="Times New Roman"/>
          <w:color w:val="231F20"/>
          <w:spacing w:val="-26"/>
          <w:w w:val="105"/>
        </w:rPr>
        <w:t> </w:t>
      </w:r>
      <w:r>
        <w:rPr>
          <w:rFonts w:ascii="Times New Roman"/>
          <w:color w:val="231F20"/>
          <w:w w:val="105"/>
        </w:rPr>
        <w:t>recalled</w:t>
      </w:r>
      <w:r>
        <w:rPr>
          <w:rFonts w:ascii="Times New Roman"/>
          <w:color w:val="231F20"/>
          <w:spacing w:val="-26"/>
          <w:w w:val="105"/>
        </w:rPr>
        <w:t> </w:t>
      </w:r>
      <w:r>
        <w:rPr>
          <w:rFonts w:ascii="Times New Roman"/>
          <w:color w:val="231F20"/>
          <w:w w:val="105"/>
        </w:rPr>
        <w:t>food</w:t>
      </w:r>
      <w:r>
        <w:rPr>
          <w:rFonts w:ascii="Times New Roman"/>
          <w:color w:val="231F20"/>
          <w:spacing w:val="-25"/>
          <w:w w:val="105"/>
        </w:rPr>
        <w:t> </w:t>
      </w:r>
      <w:r>
        <w:rPr>
          <w:rFonts w:ascii="Times New Roman"/>
          <w:color w:val="231F20"/>
          <w:w w:val="105"/>
        </w:rPr>
        <w:t>being </w:t>
      </w:r>
      <w:r>
        <w:rPr>
          <w:color w:val="231F20"/>
          <w:w w:val="105"/>
        </w:rPr>
        <w:t>put back into commerce. Regulatory agencies </w:t>
      </w:r>
      <w:r>
        <w:rPr>
          <w:rFonts w:ascii="Times New Roman"/>
          <w:color w:val="231F20"/>
          <w:w w:val="105"/>
        </w:rPr>
        <w:t>responsible for retail food facilities need a </w:t>
      </w:r>
      <w:r>
        <w:rPr>
          <w:color w:val="231F20"/>
          <w:w w:val="105"/>
        </w:rPr>
        <w:t>means to immediately notify all food facilities in their jurisdiction through e-mail, blast fax, or phone calls of a</w:t>
      </w:r>
      <w:r>
        <w:rPr>
          <w:color w:val="231F20"/>
          <w:spacing w:val="-7"/>
          <w:w w:val="105"/>
        </w:rPr>
        <w:t> </w:t>
      </w:r>
      <w:r>
        <w:rPr>
          <w:color w:val="231F20"/>
          <w:w w:val="105"/>
        </w:rPr>
        <w:t>recall.</w:t>
      </w:r>
    </w:p>
    <w:p>
      <w:pPr>
        <w:pStyle w:val="BodyText"/>
        <w:spacing w:line="264" w:lineRule="auto" w:before="179"/>
        <w:ind w:left="355" w:right="1160"/>
        <w:rPr>
          <w:rFonts w:ascii="Times New Roman"/>
        </w:rPr>
      </w:pPr>
      <w:r>
        <w:rPr>
          <w:color w:val="231F20"/>
          <w:w w:val="105"/>
        </w:rPr>
        <w:t>The agency/jurisdiction should monitor to</w:t>
      </w:r>
      <w:r>
        <w:rPr>
          <w:color w:val="231F20"/>
          <w:spacing w:val="-16"/>
          <w:w w:val="105"/>
        </w:rPr>
        <w:t> </w:t>
      </w:r>
      <w:r>
        <w:rPr>
          <w:color w:val="231F20"/>
          <w:w w:val="105"/>
        </w:rPr>
        <w:t>ensure</w:t>
      </w:r>
      <w:r>
        <w:rPr>
          <w:color w:val="231F20"/>
          <w:spacing w:val="-16"/>
          <w:w w:val="105"/>
        </w:rPr>
        <w:t> </w:t>
      </w:r>
      <w:r>
        <w:rPr>
          <w:color w:val="231F20"/>
          <w:w w:val="105"/>
        </w:rPr>
        <w:t>the</w:t>
      </w:r>
      <w:r>
        <w:rPr>
          <w:color w:val="231F20"/>
          <w:spacing w:val="-16"/>
          <w:w w:val="105"/>
        </w:rPr>
        <w:t> </w:t>
      </w:r>
      <w:r>
        <w:rPr>
          <w:color w:val="231F20"/>
          <w:w w:val="105"/>
        </w:rPr>
        <w:t>recall</w:t>
      </w:r>
      <w:r>
        <w:rPr>
          <w:color w:val="231F20"/>
          <w:spacing w:val="-16"/>
          <w:w w:val="105"/>
        </w:rPr>
        <w:t> </w:t>
      </w:r>
      <w:r>
        <w:rPr>
          <w:color w:val="231F20"/>
          <w:w w:val="105"/>
        </w:rPr>
        <w:t>is</w:t>
      </w:r>
      <w:r>
        <w:rPr>
          <w:color w:val="231F20"/>
          <w:spacing w:val="-16"/>
          <w:w w:val="105"/>
        </w:rPr>
        <w:t> </w:t>
      </w:r>
      <w:r>
        <w:rPr>
          <w:color w:val="231F20"/>
          <w:w w:val="105"/>
        </w:rPr>
        <w:t>effective</w:t>
      </w:r>
      <w:r>
        <w:rPr>
          <w:color w:val="231F20"/>
          <w:spacing w:val="-16"/>
          <w:w w:val="105"/>
        </w:rPr>
        <w:t> </w:t>
      </w:r>
      <w:r>
        <w:rPr>
          <w:color w:val="231F20"/>
          <w:w w:val="105"/>
        </w:rPr>
        <w:t>in</w:t>
      </w:r>
      <w:r>
        <w:rPr>
          <w:color w:val="231F20"/>
          <w:spacing w:val="-16"/>
          <w:w w:val="105"/>
        </w:rPr>
        <w:t> </w:t>
      </w:r>
      <w:r>
        <w:rPr>
          <w:color w:val="231F20"/>
          <w:w w:val="105"/>
        </w:rPr>
        <w:t>stopping illnesses</w:t>
      </w:r>
      <w:r>
        <w:rPr>
          <w:color w:val="231F20"/>
          <w:spacing w:val="-18"/>
          <w:w w:val="105"/>
        </w:rPr>
        <w:t> </w:t>
      </w:r>
      <w:r>
        <w:rPr>
          <w:color w:val="231F20"/>
          <w:w w:val="105"/>
        </w:rPr>
        <w:t>and</w:t>
      </w:r>
      <w:r>
        <w:rPr>
          <w:color w:val="231F20"/>
          <w:spacing w:val="-18"/>
          <w:w w:val="105"/>
        </w:rPr>
        <w:t> </w:t>
      </w:r>
      <w:r>
        <w:rPr>
          <w:color w:val="231F20"/>
          <w:w w:val="105"/>
        </w:rPr>
        <w:t>food</w:t>
      </w:r>
      <w:r>
        <w:rPr>
          <w:color w:val="231F20"/>
          <w:spacing w:val="-18"/>
          <w:w w:val="105"/>
        </w:rPr>
        <w:t> </w:t>
      </w:r>
      <w:r>
        <w:rPr>
          <w:color w:val="231F20"/>
          <w:w w:val="105"/>
        </w:rPr>
        <w:t>is</w:t>
      </w:r>
      <w:r>
        <w:rPr>
          <w:color w:val="231F20"/>
          <w:spacing w:val="-18"/>
          <w:w w:val="105"/>
        </w:rPr>
        <w:t> </w:t>
      </w:r>
      <w:r>
        <w:rPr>
          <w:color w:val="231F20"/>
          <w:w w:val="105"/>
        </w:rPr>
        <w:t>completely</w:t>
      </w:r>
      <w:r>
        <w:rPr>
          <w:color w:val="231F20"/>
          <w:spacing w:val="-18"/>
          <w:w w:val="105"/>
        </w:rPr>
        <w:t> </w:t>
      </w:r>
      <w:r>
        <w:rPr>
          <w:color w:val="231F20"/>
          <w:w w:val="105"/>
        </w:rPr>
        <w:t>removed. Assuring</w:t>
      </w:r>
      <w:r>
        <w:rPr>
          <w:color w:val="231F20"/>
          <w:spacing w:val="-23"/>
          <w:w w:val="105"/>
        </w:rPr>
        <w:t> </w:t>
      </w:r>
      <w:r>
        <w:rPr>
          <w:color w:val="231F20"/>
          <w:w w:val="105"/>
        </w:rPr>
        <w:t>the</w:t>
      </w:r>
      <w:r>
        <w:rPr>
          <w:color w:val="231F20"/>
          <w:spacing w:val="-23"/>
          <w:w w:val="105"/>
        </w:rPr>
        <w:t> </w:t>
      </w:r>
      <w:r>
        <w:rPr>
          <w:color w:val="231F20"/>
          <w:w w:val="105"/>
        </w:rPr>
        <w:t>effectiveness</w:t>
      </w:r>
      <w:r>
        <w:rPr>
          <w:color w:val="231F20"/>
          <w:spacing w:val="-23"/>
          <w:w w:val="105"/>
        </w:rPr>
        <w:t> </w:t>
      </w:r>
      <w:r>
        <w:rPr>
          <w:color w:val="231F20"/>
          <w:w w:val="105"/>
        </w:rPr>
        <w:t>of</w:t>
      </w:r>
      <w:r>
        <w:rPr>
          <w:color w:val="231F20"/>
          <w:spacing w:val="-6"/>
          <w:w w:val="105"/>
        </w:rPr>
        <w:t> </w:t>
      </w:r>
      <w:r>
        <w:rPr>
          <w:color w:val="231F20"/>
          <w:w w:val="105"/>
        </w:rPr>
        <w:t>recalls</w:t>
      </w:r>
      <w:r>
        <w:rPr>
          <w:color w:val="231F20"/>
          <w:spacing w:val="-23"/>
          <w:w w:val="105"/>
        </w:rPr>
        <w:t> </w:t>
      </w:r>
      <w:r>
        <w:rPr>
          <w:color w:val="231F20"/>
          <w:w w:val="105"/>
        </w:rPr>
        <w:t>often </w:t>
      </w:r>
      <w:r>
        <w:rPr>
          <w:rFonts w:ascii="Times New Roman"/>
          <w:color w:val="231F20"/>
        </w:rPr>
        <w:t>requires close cooperation among</w:t>
      </w:r>
      <w:r>
        <w:rPr>
          <w:rFonts w:ascii="Times New Roman"/>
          <w:color w:val="231F20"/>
          <w:spacing w:val="-31"/>
        </w:rPr>
        <w:t> </w:t>
      </w:r>
      <w:r>
        <w:rPr>
          <w:rFonts w:ascii="Times New Roman"/>
          <w:color w:val="231F20"/>
        </w:rPr>
        <w:t>local,</w:t>
      </w:r>
    </w:p>
    <w:p>
      <w:pPr>
        <w:pStyle w:val="BodyText"/>
        <w:spacing w:line="276" w:lineRule="auto"/>
        <w:ind w:left="355" w:right="732"/>
      </w:pPr>
      <w:r>
        <w:rPr>
          <w:rFonts w:ascii="Times New Roman"/>
          <w:color w:val="231F20"/>
        </w:rPr>
        <w:t>state, and federal agencies on audits for recall </w:t>
      </w:r>
      <w:r>
        <w:rPr>
          <w:color w:val="231F20"/>
        </w:rPr>
        <w:t>effectiveness checks.</w:t>
      </w:r>
    </w:p>
    <w:p>
      <w:pPr>
        <w:pStyle w:val="BodyText"/>
        <w:spacing w:line="266" w:lineRule="auto" w:before="174"/>
        <w:ind w:left="355" w:right="959"/>
      </w:pPr>
      <w:r>
        <w:rPr>
          <w:i/>
          <w:color w:val="E36F1E"/>
          <w:w w:val="105"/>
        </w:rPr>
        <w:t>Communication with the public (6.2.2.2.2) </w:t>
      </w:r>
      <w:r>
        <w:rPr>
          <w:color w:val="231F20"/>
          <w:w w:val="105"/>
        </w:rPr>
        <w:t>Notify the public if the outbreak involves distributed product. Messages to the public should follow good risk communication practices.</w:t>
      </w:r>
      <w:r>
        <w:rPr>
          <w:color w:val="231F20"/>
          <w:spacing w:val="-18"/>
          <w:w w:val="105"/>
        </w:rPr>
        <w:t> </w:t>
      </w:r>
      <w:r>
        <w:rPr>
          <w:color w:val="231F20"/>
          <w:w w:val="105"/>
        </w:rPr>
        <w:t>Provide</w:t>
      </w:r>
      <w:r>
        <w:rPr>
          <w:color w:val="231F20"/>
          <w:spacing w:val="-18"/>
          <w:w w:val="105"/>
        </w:rPr>
        <w:t> </w:t>
      </w:r>
      <w:r>
        <w:rPr>
          <w:color w:val="231F20"/>
          <w:w w:val="105"/>
        </w:rPr>
        <w:t>information</w:t>
      </w:r>
      <w:r>
        <w:rPr>
          <w:color w:val="231F20"/>
          <w:spacing w:val="-18"/>
          <w:w w:val="105"/>
        </w:rPr>
        <w:t> </w:t>
      </w:r>
      <w:r>
        <w:rPr>
          <w:color w:val="231F20"/>
          <w:w w:val="105"/>
        </w:rPr>
        <w:t>about</w:t>
      </w:r>
      <w:r>
        <w:rPr>
          <w:color w:val="231F20"/>
          <w:spacing w:val="-18"/>
          <w:w w:val="105"/>
        </w:rPr>
        <w:t> </w:t>
      </w:r>
      <w:r>
        <w:rPr>
          <w:color w:val="231F20"/>
          <w:w w:val="105"/>
        </w:rPr>
        <w:t>how</w:t>
      </w:r>
      <w:r>
        <w:rPr>
          <w:color w:val="231F20"/>
          <w:spacing w:val="-18"/>
          <w:w w:val="105"/>
        </w:rPr>
        <w:t> </w:t>
      </w:r>
      <w:r>
        <w:rPr>
          <w:color w:val="231F20"/>
          <w:w w:val="105"/>
        </w:rPr>
        <w:t>to</w:t>
      </w:r>
    </w:p>
    <w:p>
      <w:pPr>
        <w:pStyle w:val="BodyText"/>
        <w:spacing w:line="216" w:lineRule="exact"/>
        <w:ind w:left="355"/>
        <w:rPr>
          <w:rFonts w:ascii="Times New Roman"/>
        </w:rPr>
      </w:pPr>
      <w:r>
        <w:rPr>
          <w:rFonts w:ascii="Times New Roman"/>
          <w:color w:val="231F20"/>
        </w:rPr>
        <w:t>handle the suspected product (discard, special</w:t>
      </w:r>
    </w:p>
    <w:p>
      <w:pPr>
        <w:pStyle w:val="BodyText"/>
        <w:spacing w:line="266" w:lineRule="auto" w:before="20"/>
        <w:ind w:left="355" w:right="734"/>
      </w:pPr>
      <w:r>
        <w:rPr>
          <w:rFonts w:ascii="Times New Roman" w:hAnsi="Times New Roman"/>
          <w:color w:val="231F20"/>
        </w:rPr>
        <w:t>preparation instructions, or return to place of </w:t>
      </w:r>
      <w:r>
        <w:rPr>
          <w:color w:val="231F20"/>
        </w:rPr>
        <w:t>purchase). Means of  notification depend on  </w:t>
      </w:r>
      <w:r>
        <w:rPr>
          <w:rFonts w:ascii="Times New Roman" w:hAnsi="Times New Roman"/>
          <w:color w:val="231F20"/>
        </w:rPr>
        <w:t>the public health risk and the target population and might include press releases, radio, </w:t>
      </w:r>
      <w:r>
        <w:rPr>
          <w:color w:val="231F20"/>
        </w:rPr>
        <w:t>television, fax, telephone, e-mail, </w:t>
      </w:r>
      <w:r>
        <w:rPr>
          <w:color w:val="231F20"/>
          <w:spacing w:val="-6"/>
        </w:rPr>
        <w:t>Web </w:t>
      </w:r>
      <w:r>
        <w:rPr>
          <w:color w:val="231F20"/>
        </w:rPr>
        <w:t>posting, social media, or letters. Attempt to reach all </w:t>
      </w:r>
      <w:r>
        <w:rPr>
          <w:rFonts w:ascii="Times New Roman" w:hAnsi="Times New Roman"/>
          <w:color w:val="231F20"/>
        </w:rPr>
        <w:t>members of the population at risk, including </w:t>
      </w:r>
      <w:r>
        <w:rPr>
          <w:color w:val="231F20"/>
        </w:rPr>
        <w:t>non–English–speaking and low-literacy populations.</w:t>
      </w:r>
    </w:p>
    <w:p>
      <w:pPr>
        <w:spacing w:after="0" w:line="266" w:lineRule="auto"/>
        <w:sectPr>
          <w:type w:val="continuous"/>
          <w:pgSz w:w="10080" w:h="14400"/>
          <w:pgMar w:top="0" w:bottom="360" w:left="0" w:right="0"/>
          <w:cols w:num="2" w:equalWidth="0">
            <w:col w:w="5185" w:space="40"/>
            <w:col w:w="4855"/>
          </w:cols>
        </w:sectPr>
      </w:pPr>
    </w:p>
    <w:p>
      <w:pPr>
        <w:pStyle w:val="BodyText"/>
        <w:spacing w:before="8"/>
        <w:rPr>
          <w:sz w:val="26"/>
        </w:rPr>
      </w:pPr>
    </w:p>
    <w:p>
      <w:pPr>
        <w:pStyle w:val="Heading1"/>
        <w:ind w:left="720"/>
      </w:pPr>
      <w:r>
        <w:rPr/>
        <w:pict>
          <v:line style="position:absolute;mso-position-horizontal-relative:page;mso-position-vertical-relative:paragraph;z-index:3856;mso-wrap-distance-left:0;mso-wrap-distance-right:0" from="36pt,23.991844pt" to="432pt,23.991844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3880" filled="true" fillcolor="#0079c1" stroked="false">
            <v:fill type="solid"/>
            <w10:wrap type="none"/>
          </v:rect>
        </w:pict>
      </w:r>
      <w:r>
        <w:rPr/>
        <w:pict>
          <v:line style="position:absolute;mso-position-horizontal-relative:page;mso-position-vertical-relative:paragraph;z-index:3904"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3928"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color w:val="00A94F"/>
        </w:rPr>
        <w:t>Overview of Chapter 6. Control  Measures</w:t>
      </w:r>
    </w:p>
    <w:p>
      <w:pPr>
        <w:pStyle w:val="BodyText"/>
        <w:rPr>
          <w:rFonts w:ascii="Arial"/>
          <w:sz w:val="18"/>
        </w:rPr>
      </w:pPr>
    </w:p>
    <w:p>
      <w:pPr>
        <w:spacing w:after="0"/>
        <w:rPr>
          <w:rFonts w:ascii="Arial"/>
          <w:sz w:val="18"/>
        </w:rPr>
        <w:sectPr>
          <w:pgSz w:w="10080" w:h="14400"/>
          <w:pgMar w:header="0" w:footer="160" w:top="980" w:bottom="360" w:left="0" w:right="0"/>
        </w:sectPr>
      </w:pPr>
    </w:p>
    <w:p>
      <w:pPr>
        <w:spacing w:line="266" w:lineRule="auto" w:before="108"/>
        <w:ind w:left="720" w:right="785" w:firstLine="0"/>
        <w:jc w:val="left"/>
        <w:rPr>
          <w:i/>
          <w:sz w:val="20"/>
        </w:rPr>
      </w:pPr>
      <w:r>
        <w:rPr>
          <w:i/>
          <w:color w:val="E36F1E"/>
          <w:w w:val="105"/>
          <w:sz w:val="20"/>
        </w:rPr>
        <w:t>Post-recall reporting by the food business or </w:t>
      </w:r>
      <w:r>
        <w:rPr>
          <w:i/>
          <w:color w:val="E36F1E"/>
          <w:w w:val="105"/>
          <w:sz w:val="20"/>
        </w:rPr>
        <w:t>manufacturer (6.2.2.2.3)</w:t>
      </w:r>
    </w:p>
    <w:p>
      <w:pPr>
        <w:pStyle w:val="BodyText"/>
        <w:spacing w:line="216" w:lineRule="exact"/>
        <w:ind w:left="720"/>
        <w:rPr>
          <w:rFonts w:ascii="Times New Roman"/>
        </w:rPr>
      </w:pPr>
      <w:r>
        <w:rPr>
          <w:rFonts w:ascii="Times New Roman"/>
          <w:color w:val="231F20"/>
        </w:rPr>
        <w:t>If a food business or manufacturer recalls a</w:t>
      </w:r>
    </w:p>
    <w:p>
      <w:pPr>
        <w:pStyle w:val="BodyText"/>
        <w:spacing w:line="264" w:lineRule="auto" w:before="34"/>
        <w:ind w:left="720" w:right="-4"/>
      </w:pPr>
      <w:r>
        <w:rPr>
          <w:color w:val="231F20"/>
        </w:rPr>
        <w:t>product, it should prepare interim and final reports about the recall. The contents of these </w:t>
      </w:r>
      <w:r>
        <w:rPr>
          <w:rFonts w:ascii="Times New Roman"/>
          <w:color w:val="231F20"/>
        </w:rPr>
        <w:t>reports are used to determine the need for </w:t>
      </w:r>
      <w:r>
        <w:rPr>
          <w:color w:val="231F20"/>
        </w:rPr>
        <w:t>further  recall actions.</w:t>
      </w:r>
    </w:p>
    <w:p>
      <w:pPr>
        <w:pStyle w:val="BodyText"/>
        <w:spacing w:before="167"/>
        <w:ind w:left="720"/>
        <w:rPr>
          <w:rFonts w:ascii="Arial"/>
        </w:rPr>
      </w:pPr>
      <w:r>
        <w:rPr>
          <w:rFonts w:ascii="Arial"/>
          <w:color w:val="1C3E94"/>
        </w:rPr>
        <w:t>Intentional Contamination (Section 6.3)</w:t>
      </w:r>
    </w:p>
    <w:p>
      <w:pPr>
        <w:pStyle w:val="BodyText"/>
        <w:rPr>
          <w:rFonts w:ascii="Arial"/>
          <w:sz w:val="19"/>
        </w:rPr>
      </w:pPr>
    </w:p>
    <w:p>
      <w:pPr>
        <w:spacing w:line="290" w:lineRule="auto" w:before="0"/>
        <w:ind w:left="720" w:right="315" w:firstLine="0"/>
        <w:jc w:val="left"/>
        <w:rPr>
          <w:rFonts w:ascii="Arial"/>
          <w:sz w:val="18"/>
        </w:rPr>
      </w:pPr>
      <w:r>
        <w:rPr>
          <w:rFonts w:ascii="Arial"/>
          <w:color w:val="00A94F"/>
          <w:w w:val="105"/>
          <w:sz w:val="18"/>
        </w:rPr>
        <w:t>Indicators of Intentional Contamination of </w:t>
      </w:r>
      <w:r>
        <w:rPr>
          <w:rFonts w:ascii="Arial"/>
          <w:color w:val="00A94F"/>
          <w:sz w:val="18"/>
        </w:rPr>
        <w:t>Food (6.3.1)</w:t>
      </w:r>
    </w:p>
    <w:p>
      <w:pPr>
        <w:pStyle w:val="BodyText"/>
        <w:spacing w:line="213" w:lineRule="exact"/>
        <w:ind w:left="720"/>
        <w:rPr>
          <w:rFonts w:ascii="Times New Roman"/>
        </w:rPr>
      </w:pPr>
      <w:r>
        <w:rPr>
          <w:rFonts w:ascii="Times New Roman"/>
          <w:color w:val="231F20"/>
        </w:rPr>
        <w:t>Even though intentional contamination of</w:t>
      </w:r>
    </w:p>
    <w:p>
      <w:pPr>
        <w:pStyle w:val="BodyText"/>
        <w:spacing w:line="266" w:lineRule="auto" w:before="34"/>
        <w:ind w:left="720" w:right="109"/>
      </w:pPr>
      <w:r>
        <w:rPr>
          <w:color w:val="231F20"/>
          <w:w w:val="105"/>
        </w:rPr>
        <w:t>food is very rare, a number of such instances have been reported. Agencies responding to outbreaks should always keep in mind the possibility that an outbreak might be due</w:t>
      </w:r>
    </w:p>
    <w:p>
      <w:pPr>
        <w:pStyle w:val="BodyText"/>
        <w:spacing w:line="216" w:lineRule="exact"/>
        <w:ind w:left="720"/>
        <w:rPr>
          <w:rFonts w:ascii="Times New Roman"/>
        </w:rPr>
      </w:pPr>
      <w:r>
        <w:rPr>
          <w:rFonts w:ascii="Times New Roman"/>
          <w:color w:val="231F20"/>
        </w:rPr>
        <w:t>to a criminal act and look for indicators of</w:t>
      </w:r>
    </w:p>
    <w:p>
      <w:pPr>
        <w:pStyle w:val="BodyText"/>
        <w:spacing w:line="264" w:lineRule="auto" w:before="35"/>
        <w:ind w:left="720" w:right="171"/>
      </w:pPr>
      <w:r>
        <w:rPr>
          <w:color w:val="231F20"/>
        </w:rPr>
        <w:t>intentional contamination (e.g., presence of </w:t>
      </w:r>
      <w:r>
        <w:rPr>
          <w:rFonts w:ascii="Times New Roman"/>
          <w:color w:val="231F20"/>
        </w:rPr>
        <w:t>unusual microorganisms in host food, an </w:t>
      </w:r>
      <w:r>
        <w:rPr>
          <w:color w:val="231F20"/>
        </w:rPr>
        <w:t>unusually high inoculum, a disease found outside the normal transmission  season).</w:t>
      </w:r>
    </w:p>
    <w:p>
      <w:pPr>
        <w:spacing w:line="290" w:lineRule="auto" w:before="186"/>
        <w:ind w:left="720" w:right="939" w:firstLine="0"/>
        <w:jc w:val="left"/>
        <w:rPr>
          <w:rFonts w:ascii="Arial"/>
          <w:sz w:val="18"/>
        </w:rPr>
      </w:pPr>
      <w:r>
        <w:rPr>
          <w:rFonts w:ascii="Arial"/>
          <w:color w:val="00A94F"/>
          <w:sz w:val="18"/>
        </w:rPr>
        <w:t>Actions to Take When Intentional Contamination is Suspected (6.3.2)</w:t>
      </w:r>
    </w:p>
    <w:p>
      <w:pPr>
        <w:pStyle w:val="BodyText"/>
        <w:spacing w:line="261" w:lineRule="auto"/>
        <w:ind w:left="720" w:right="309"/>
        <w:rPr>
          <w:rFonts w:ascii="Times New Roman"/>
        </w:rPr>
      </w:pPr>
      <w:r>
        <w:rPr>
          <w:color w:val="231F20"/>
        </w:rPr>
        <w:t>Each agency should establish a process for </w:t>
      </w:r>
      <w:r>
        <w:rPr>
          <w:rFonts w:ascii="Times New Roman"/>
          <w:color w:val="231F20"/>
        </w:rPr>
        <w:t>actions to take if intentional contamination </w:t>
      </w:r>
      <w:r>
        <w:rPr>
          <w:color w:val="231F20"/>
        </w:rPr>
        <w:t>is suspected. Organizations responsible for </w:t>
      </w:r>
      <w:r>
        <w:rPr>
          <w:rFonts w:ascii="Times New Roman"/>
          <w:color w:val="231F20"/>
        </w:rPr>
        <w:t>outbreak investigations should determine </w:t>
      </w:r>
      <w:r>
        <w:rPr>
          <w:color w:val="231F20"/>
        </w:rPr>
        <w:t>in advance of any outbreak which law enforcement agencies will be notified if </w:t>
      </w:r>
      <w:r>
        <w:rPr>
          <w:rFonts w:ascii="Times New Roman"/>
          <w:color w:val="231F20"/>
        </w:rPr>
        <w:t>intentional contamination is suspected and</w:t>
      </w:r>
    </w:p>
    <w:p>
      <w:pPr>
        <w:pStyle w:val="BodyText"/>
        <w:spacing w:line="266" w:lineRule="auto" w:before="17"/>
        <w:ind w:left="720" w:right="-4"/>
      </w:pPr>
      <w:r>
        <w:rPr>
          <w:color w:val="231F20"/>
          <w:w w:val="105"/>
        </w:rPr>
        <w:t>how that notification will occur. Any criminal investigation will need to be coordinated with the foodborne disease outbreak investigation.</w:t>
      </w:r>
    </w:p>
    <w:p>
      <w:pPr>
        <w:pStyle w:val="BodyText"/>
        <w:spacing w:before="165"/>
        <w:ind w:left="720"/>
        <w:rPr>
          <w:rFonts w:ascii="Arial"/>
        </w:rPr>
      </w:pPr>
      <w:r>
        <w:rPr>
          <w:rFonts w:ascii="Arial"/>
          <w:color w:val="1C3E94"/>
        </w:rPr>
        <w:t>Control of Secondary Spread (Section 6.4)</w:t>
      </w:r>
    </w:p>
    <w:p>
      <w:pPr>
        <w:pStyle w:val="BodyText"/>
        <w:rPr>
          <w:rFonts w:ascii="Arial"/>
          <w:sz w:val="19"/>
        </w:rPr>
      </w:pPr>
    </w:p>
    <w:p>
      <w:pPr>
        <w:spacing w:before="0"/>
        <w:ind w:left="720" w:right="0" w:firstLine="0"/>
        <w:jc w:val="left"/>
        <w:rPr>
          <w:rFonts w:ascii="Arial"/>
          <w:sz w:val="18"/>
        </w:rPr>
      </w:pPr>
      <w:r>
        <w:rPr>
          <w:rFonts w:ascii="Arial"/>
          <w:color w:val="00A94F"/>
          <w:sz w:val="18"/>
        </w:rPr>
        <w:t>Education (6.4.1, 6.4.2, 6.4.4)</w:t>
      </w:r>
    </w:p>
    <w:p>
      <w:pPr>
        <w:pStyle w:val="BodyText"/>
        <w:spacing w:line="264" w:lineRule="auto" w:before="39"/>
        <w:ind w:left="720" w:right="382"/>
      </w:pPr>
      <w:r>
        <w:rPr>
          <w:color w:val="231F20"/>
        </w:rPr>
        <w:t>Education is key to preventing the spread  of infection from persons exposed to the </w:t>
      </w:r>
      <w:r>
        <w:rPr>
          <w:rFonts w:ascii="Times New Roman"/>
          <w:color w:val="231F20"/>
        </w:rPr>
        <w:t>original outbreak source to others through </w:t>
      </w:r>
      <w:r>
        <w:rPr>
          <w:color w:val="231F20"/>
        </w:rPr>
        <w:t>food, </w:t>
      </w:r>
      <w:r>
        <w:rPr>
          <w:color w:val="231F20"/>
          <w:spacing w:val="-4"/>
        </w:rPr>
        <w:t>water,  </w:t>
      </w:r>
      <w:r>
        <w:rPr>
          <w:color w:val="231F20"/>
        </w:rPr>
        <w:t>and person-to-person</w:t>
      </w:r>
      <w:r>
        <w:rPr>
          <w:color w:val="231F20"/>
          <w:spacing w:val="48"/>
        </w:rPr>
        <w:t> </w:t>
      </w:r>
      <w:r>
        <w:rPr>
          <w:color w:val="231F20"/>
        </w:rPr>
        <w:t>contact.</w:t>
      </w:r>
    </w:p>
    <w:p>
      <w:pPr>
        <w:pStyle w:val="BodyText"/>
        <w:spacing w:line="264" w:lineRule="auto" w:before="2"/>
        <w:ind w:left="720" w:right="37"/>
      </w:pPr>
      <w:r>
        <w:rPr>
          <w:color w:val="231F20"/>
          <w:w w:val="105"/>
        </w:rPr>
        <w:t>Health-care providers should be encouraged </w:t>
      </w:r>
      <w:r>
        <w:rPr>
          <w:rFonts w:ascii="Times New Roman"/>
          <w:color w:val="231F20"/>
          <w:w w:val="105"/>
        </w:rPr>
        <w:t>to collect appropriate patient specimens and </w:t>
      </w:r>
      <w:r>
        <w:rPr>
          <w:color w:val="231F20"/>
          <w:w w:val="105"/>
        </w:rPr>
        <w:t>report cases of notifiable disease to the health department (6.4.1) and be reminded about</w:t>
      </w:r>
    </w:p>
    <w:p>
      <w:pPr>
        <w:pStyle w:val="BodyText"/>
        <w:spacing w:line="266" w:lineRule="auto" w:before="108"/>
        <w:ind w:left="329" w:right="1603"/>
      </w:pPr>
      <w:r>
        <w:rPr/>
        <w:br w:type="column"/>
      </w:r>
      <w:r>
        <w:rPr>
          <w:color w:val="231F20"/>
          <w:w w:val="105"/>
        </w:rPr>
        <w:t>infection</w:t>
      </w:r>
      <w:r>
        <w:rPr>
          <w:color w:val="231F20"/>
          <w:spacing w:val="-24"/>
          <w:w w:val="105"/>
        </w:rPr>
        <w:t> </w:t>
      </w:r>
      <w:r>
        <w:rPr>
          <w:color w:val="231F20"/>
          <w:w w:val="105"/>
        </w:rPr>
        <w:t>control</w:t>
      </w:r>
      <w:r>
        <w:rPr>
          <w:color w:val="231F20"/>
          <w:spacing w:val="-24"/>
          <w:w w:val="105"/>
        </w:rPr>
        <w:t> </w:t>
      </w:r>
      <w:r>
        <w:rPr>
          <w:color w:val="231F20"/>
          <w:w w:val="105"/>
        </w:rPr>
        <w:t>precautions</w:t>
      </w:r>
      <w:r>
        <w:rPr>
          <w:color w:val="231F20"/>
          <w:spacing w:val="-24"/>
          <w:w w:val="105"/>
        </w:rPr>
        <w:t> </w:t>
      </w:r>
      <w:r>
        <w:rPr>
          <w:color w:val="231F20"/>
          <w:w w:val="105"/>
        </w:rPr>
        <w:t>for</w:t>
      </w:r>
      <w:r>
        <w:rPr>
          <w:color w:val="231F20"/>
          <w:spacing w:val="-24"/>
          <w:w w:val="105"/>
        </w:rPr>
        <w:t> </w:t>
      </w:r>
      <w:r>
        <w:rPr>
          <w:color w:val="231F20"/>
          <w:w w:val="105"/>
        </w:rPr>
        <w:t>hospitalized and institutionalized persons with infectious diarrhea (6.4.4). The public should be reminded of basic food-safety precautions, as</w:t>
      </w:r>
      <w:r>
        <w:rPr>
          <w:color w:val="231F20"/>
          <w:spacing w:val="-13"/>
          <w:w w:val="105"/>
        </w:rPr>
        <w:t> </w:t>
      </w:r>
      <w:r>
        <w:rPr>
          <w:color w:val="231F20"/>
          <w:w w:val="105"/>
        </w:rPr>
        <w:t>well</w:t>
      </w:r>
      <w:r>
        <w:rPr>
          <w:color w:val="231F20"/>
          <w:spacing w:val="-13"/>
          <w:w w:val="105"/>
        </w:rPr>
        <w:t> </w:t>
      </w:r>
      <w:r>
        <w:rPr>
          <w:color w:val="231F20"/>
          <w:w w:val="105"/>
        </w:rPr>
        <w:t>as</w:t>
      </w:r>
      <w:r>
        <w:rPr>
          <w:color w:val="231F20"/>
          <w:spacing w:val="-13"/>
          <w:w w:val="105"/>
        </w:rPr>
        <w:t> </w:t>
      </w:r>
      <w:r>
        <w:rPr>
          <w:color w:val="231F20"/>
          <w:w w:val="105"/>
        </w:rPr>
        <w:t>means</w:t>
      </w:r>
      <w:r>
        <w:rPr>
          <w:color w:val="231F20"/>
          <w:spacing w:val="-13"/>
          <w:w w:val="105"/>
        </w:rPr>
        <w:t> </w:t>
      </w:r>
      <w:r>
        <w:rPr>
          <w:color w:val="231F20"/>
          <w:w w:val="105"/>
        </w:rPr>
        <w:t>to</w:t>
      </w:r>
      <w:r>
        <w:rPr>
          <w:color w:val="231F20"/>
          <w:spacing w:val="-13"/>
          <w:w w:val="105"/>
        </w:rPr>
        <w:t> </w:t>
      </w:r>
      <w:r>
        <w:rPr>
          <w:color w:val="231F20"/>
          <w:w w:val="105"/>
        </w:rPr>
        <w:t>decrease</w:t>
      </w:r>
      <w:r>
        <w:rPr>
          <w:color w:val="231F20"/>
          <w:spacing w:val="-13"/>
          <w:w w:val="105"/>
        </w:rPr>
        <w:t> </w:t>
      </w:r>
      <w:r>
        <w:rPr>
          <w:color w:val="231F20"/>
          <w:w w:val="105"/>
        </w:rPr>
        <w:t>risk</w:t>
      </w:r>
      <w:r>
        <w:rPr>
          <w:color w:val="231F20"/>
          <w:spacing w:val="-13"/>
          <w:w w:val="105"/>
        </w:rPr>
        <w:t> </w:t>
      </w:r>
      <w:r>
        <w:rPr>
          <w:color w:val="231F20"/>
          <w:w w:val="105"/>
        </w:rPr>
        <w:t>for</w:t>
      </w:r>
      <w:r>
        <w:rPr>
          <w:color w:val="231F20"/>
          <w:spacing w:val="-13"/>
          <w:w w:val="105"/>
        </w:rPr>
        <w:t> </w:t>
      </w:r>
      <w:r>
        <w:rPr>
          <w:color w:val="231F20"/>
          <w:w w:val="105"/>
        </w:rPr>
        <w:t>infection through the current outbreak (6.4.2). The operator of the implicated facility should be notified of the steps needed to control the situation</w:t>
      </w:r>
      <w:r>
        <w:rPr>
          <w:color w:val="231F20"/>
          <w:spacing w:val="-16"/>
          <w:w w:val="105"/>
        </w:rPr>
        <w:t> </w:t>
      </w:r>
      <w:r>
        <w:rPr>
          <w:color w:val="231F20"/>
          <w:w w:val="105"/>
        </w:rPr>
        <w:t>and</w:t>
      </w:r>
      <w:r>
        <w:rPr>
          <w:color w:val="231F20"/>
          <w:spacing w:val="-16"/>
          <w:w w:val="105"/>
        </w:rPr>
        <w:t> </w:t>
      </w:r>
      <w:r>
        <w:rPr>
          <w:color w:val="231F20"/>
          <w:w w:val="105"/>
        </w:rPr>
        <w:t>to</w:t>
      </w:r>
      <w:r>
        <w:rPr>
          <w:color w:val="231F20"/>
          <w:spacing w:val="-16"/>
          <w:w w:val="105"/>
        </w:rPr>
        <w:t> </w:t>
      </w:r>
      <w:r>
        <w:rPr>
          <w:color w:val="231F20"/>
          <w:w w:val="105"/>
        </w:rPr>
        <w:t>prevent</w:t>
      </w:r>
      <w:r>
        <w:rPr>
          <w:color w:val="231F20"/>
          <w:spacing w:val="-16"/>
          <w:w w:val="105"/>
        </w:rPr>
        <w:t> </w:t>
      </w:r>
      <w:r>
        <w:rPr>
          <w:color w:val="231F20"/>
          <w:w w:val="105"/>
        </w:rPr>
        <w:t>further</w:t>
      </w:r>
      <w:r>
        <w:rPr>
          <w:color w:val="231F20"/>
          <w:spacing w:val="-16"/>
          <w:w w:val="105"/>
        </w:rPr>
        <w:t> </w:t>
      </w:r>
      <w:r>
        <w:rPr>
          <w:color w:val="231F20"/>
          <w:w w:val="105"/>
        </w:rPr>
        <w:t>outbreaks.</w:t>
      </w:r>
    </w:p>
    <w:p>
      <w:pPr>
        <w:pStyle w:val="BodyText"/>
        <w:spacing w:line="264" w:lineRule="auto"/>
        <w:ind w:left="329" w:right="1421"/>
      </w:pPr>
      <w:r>
        <w:rPr/>
        <w:pict>
          <v:shape style="position:absolute;margin-left:470.346802pt;margin-top:-124.607018pt;width:12.25pt;height:164.15pt;mso-position-horizontal-relative:page;mso-position-vertical-relative:paragraph;z-index:3952"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231F20"/>
          <w:w w:val="105"/>
        </w:rPr>
        <w:t>Food workers at the implicated facility should be educated about the disease (e.g., symptoms, </w:t>
      </w:r>
      <w:r>
        <w:rPr>
          <w:rFonts w:ascii="Times New Roman"/>
          <w:color w:val="231F20"/>
          <w:w w:val="105"/>
        </w:rPr>
        <w:t>mode of transmission, and prevention) and </w:t>
      </w:r>
      <w:r>
        <w:rPr>
          <w:rFonts w:ascii="Times New Roman"/>
          <w:color w:val="231F20"/>
        </w:rPr>
        <w:t>general infection control precautions including </w:t>
      </w:r>
      <w:r>
        <w:rPr>
          <w:color w:val="231F20"/>
          <w:w w:val="105"/>
        </w:rPr>
        <w:t>thorough hand-washing, not working when ill, and use of gloves and utensils when handling ready-to-eat foods (6.4.4).</w:t>
      </w:r>
    </w:p>
    <w:p>
      <w:pPr>
        <w:spacing w:line="290" w:lineRule="auto" w:before="186"/>
        <w:ind w:left="329" w:right="1572" w:firstLine="0"/>
        <w:jc w:val="both"/>
        <w:rPr>
          <w:rFonts w:ascii="Arial"/>
          <w:sz w:val="18"/>
        </w:rPr>
      </w:pPr>
      <w:r>
        <w:rPr>
          <w:rFonts w:ascii="Arial"/>
          <w:color w:val="00A94F"/>
          <w:w w:val="105"/>
          <w:sz w:val="18"/>
        </w:rPr>
        <w:t>Exclusion</w:t>
      </w:r>
      <w:r>
        <w:rPr>
          <w:rFonts w:ascii="Arial"/>
          <w:color w:val="00A94F"/>
          <w:spacing w:val="-33"/>
          <w:w w:val="105"/>
          <w:sz w:val="18"/>
        </w:rPr>
        <w:t> </w:t>
      </w:r>
      <w:r>
        <w:rPr>
          <w:rFonts w:ascii="Arial"/>
          <w:color w:val="00A94F"/>
          <w:w w:val="105"/>
          <w:sz w:val="18"/>
        </w:rPr>
        <w:t>and</w:t>
      </w:r>
      <w:r>
        <w:rPr>
          <w:rFonts w:ascii="Arial"/>
          <w:color w:val="00A94F"/>
          <w:spacing w:val="-33"/>
          <w:w w:val="105"/>
          <w:sz w:val="18"/>
        </w:rPr>
        <w:t> </w:t>
      </w:r>
      <w:r>
        <w:rPr>
          <w:rFonts w:ascii="Arial"/>
          <w:color w:val="00A94F"/>
          <w:w w:val="105"/>
          <w:sz w:val="18"/>
        </w:rPr>
        <w:t>Restriction</w:t>
      </w:r>
      <w:r>
        <w:rPr>
          <w:rFonts w:ascii="Arial"/>
          <w:color w:val="00A94F"/>
          <w:spacing w:val="-33"/>
          <w:w w:val="105"/>
          <w:sz w:val="18"/>
        </w:rPr>
        <w:t> </w:t>
      </w:r>
      <w:r>
        <w:rPr>
          <w:rFonts w:ascii="Arial"/>
          <w:color w:val="00A94F"/>
          <w:w w:val="105"/>
          <w:sz w:val="18"/>
        </w:rPr>
        <w:t>of</w:t>
      </w:r>
      <w:r>
        <w:rPr>
          <w:rFonts w:ascii="Arial"/>
          <w:color w:val="00A94F"/>
          <w:spacing w:val="-33"/>
          <w:w w:val="105"/>
          <w:sz w:val="18"/>
        </w:rPr>
        <w:t> </w:t>
      </w:r>
      <w:r>
        <w:rPr>
          <w:rFonts w:ascii="Arial"/>
          <w:color w:val="00A94F"/>
          <w:w w:val="105"/>
          <w:sz w:val="18"/>
        </w:rPr>
        <w:t>Infected</w:t>
      </w:r>
      <w:r>
        <w:rPr>
          <w:rFonts w:ascii="Arial"/>
          <w:color w:val="00A94F"/>
          <w:spacing w:val="-33"/>
          <w:w w:val="105"/>
          <w:sz w:val="18"/>
        </w:rPr>
        <w:t> </w:t>
      </w:r>
      <w:r>
        <w:rPr>
          <w:rFonts w:ascii="Arial"/>
          <w:color w:val="00A94F"/>
          <w:w w:val="105"/>
          <w:sz w:val="18"/>
        </w:rPr>
        <w:t>Persons </w:t>
      </w:r>
      <w:r>
        <w:rPr>
          <w:rFonts w:ascii="Arial"/>
          <w:color w:val="00A94F"/>
          <w:sz w:val="18"/>
        </w:rPr>
        <w:t>from Settings Where Transmission Can</w:t>
      </w:r>
      <w:r>
        <w:rPr>
          <w:rFonts w:ascii="Arial"/>
          <w:color w:val="00A94F"/>
          <w:spacing w:val="-28"/>
          <w:sz w:val="18"/>
        </w:rPr>
        <w:t> </w:t>
      </w:r>
      <w:r>
        <w:rPr>
          <w:rFonts w:ascii="Arial"/>
          <w:color w:val="00A94F"/>
          <w:sz w:val="18"/>
        </w:rPr>
        <w:t>Occur </w:t>
      </w:r>
      <w:r>
        <w:rPr>
          <w:rFonts w:ascii="Arial"/>
          <w:color w:val="00A94F"/>
          <w:w w:val="105"/>
          <w:sz w:val="18"/>
        </w:rPr>
        <w:t>(including</w:t>
      </w:r>
      <w:r>
        <w:rPr>
          <w:rFonts w:ascii="Arial"/>
          <w:color w:val="00A94F"/>
          <w:spacing w:val="-28"/>
          <w:w w:val="105"/>
          <w:sz w:val="18"/>
        </w:rPr>
        <w:t> </w:t>
      </w:r>
      <w:r>
        <w:rPr>
          <w:rFonts w:ascii="Arial"/>
          <w:color w:val="00A94F"/>
          <w:w w:val="105"/>
          <w:sz w:val="18"/>
        </w:rPr>
        <w:t>food-preparation,</w:t>
      </w:r>
      <w:r>
        <w:rPr>
          <w:rFonts w:ascii="Arial"/>
          <w:color w:val="00A94F"/>
          <w:spacing w:val="-28"/>
          <w:w w:val="105"/>
          <w:sz w:val="18"/>
        </w:rPr>
        <w:t> </w:t>
      </w:r>
      <w:r>
        <w:rPr>
          <w:rFonts w:ascii="Arial"/>
          <w:color w:val="00A94F"/>
          <w:w w:val="105"/>
          <w:sz w:val="18"/>
        </w:rPr>
        <w:t>health-care,</w:t>
      </w:r>
      <w:r>
        <w:rPr>
          <w:rFonts w:ascii="Arial"/>
          <w:color w:val="00A94F"/>
          <w:spacing w:val="-28"/>
          <w:w w:val="105"/>
          <w:sz w:val="18"/>
        </w:rPr>
        <w:t> </w:t>
      </w:r>
      <w:r>
        <w:rPr>
          <w:rFonts w:ascii="Arial"/>
          <w:color w:val="00A94F"/>
          <w:w w:val="105"/>
          <w:sz w:val="18"/>
        </w:rPr>
        <w:t>and </w:t>
      </w:r>
      <w:r>
        <w:rPr>
          <w:rFonts w:ascii="Arial"/>
          <w:color w:val="00A94F"/>
          <w:sz w:val="18"/>
        </w:rPr>
        <w:t>child-care)</w:t>
      </w:r>
      <w:r>
        <w:rPr>
          <w:rFonts w:ascii="Arial"/>
          <w:color w:val="00A94F"/>
          <w:spacing w:val="-28"/>
          <w:sz w:val="18"/>
        </w:rPr>
        <w:t> </w:t>
      </w:r>
      <w:r>
        <w:rPr>
          <w:rFonts w:ascii="Arial"/>
          <w:color w:val="00A94F"/>
          <w:sz w:val="18"/>
        </w:rPr>
        <w:t>(6.4.3)</w:t>
      </w:r>
    </w:p>
    <w:p>
      <w:pPr>
        <w:pStyle w:val="BodyText"/>
        <w:spacing w:line="261" w:lineRule="auto"/>
        <w:ind w:left="329" w:right="1448"/>
      </w:pPr>
      <w:r>
        <w:rPr>
          <w:color w:val="231F20"/>
        </w:rPr>
        <w:t>A person who has been ill with vomiting and diarrhea should be excluded from the </w:t>
      </w:r>
      <w:r>
        <w:rPr>
          <w:color w:val="231F20"/>
          <w:spacing w:val="-3"/>
        </w:rPr>
        <w:t>facility. </w:t>
      </w:r>
      <w:r>
        <w:rPr>
          <w:color w:val="231F20"/>
          <w:spacing w:val="-7"/>
        </w:rPr>
        <w:t>For </w:t>
      </w:r>
      <w:r>
        <w:rPr>
          <w:color w:val="231F20"/>
        </w:rPr>
        <w:t>norovirus outbreaks, exclusion should be until the person is free of symptoms for 72 hours. In </w:t>
      </w:r>
      <w:r>
        <w:rPr>
          <w:i/>
          <w:color w:val="231F20"/>
        </w:rPr>
        <w:t>Salmonella </w:t>
      </w:r>
      <w:r>
        <w:rPr>
          <w:rFonts w:ascii="Times New Roman"/>
          <w:color w:val="231F20"/>
        </w:rPr>
        <w:t>and </w:t>
      </w:r>
      <w:r>
        <w:rPr>
          <w:i/>
          <w:color w:val="231F20"/>
        </w:rPr>
        <w:t>Shigella </w:t>
      </w:r>
      <w:r>
        <w:rPr>
          <w:rFonts w:ascii="Times New Roman"/>
          <w:color w:val="231F20"/>
        </w:rPr>
        <w:t>outbreaks, all </w:t>
      </w:r>
      <w:r>
        <w:rPr>
          <w:color w:val="231F20"/>
        </w:rPr>
        <w:t>employees should be cultured whether ill or  </w:t>
      </w:r>
      <w:r>
        <w:rPr>
          <w:rFonts w:ascii="Times New Roman"/>
          <w:color w:val="231F20"/>
        </w:rPr>
        <w:t>not, and restricted until culture negative as </w:t>
      </w:r>
      <w:r>
        <w:rPr>
          <w:color w:val="231F20"/>
        </w:rPr>
        <w:t>infected, asymptomatic food workers could transmit infection to others. Conversely there   </w:t>
      </w:r>
      <w:r>
        <w:rPr>
          <w:rFonts w:ascii="Times New Roman"/>
          <w:color w:val="231F20"/>
        </w:rPr>
        <w:t>is little evidence for an important role of infected food handlers in transmission of </w:t>
      </w:r>
      <w:r>
        <w:rPr>
          <w:i/>
          <w:color w:val="231F20"/>
        </w:rPr>
        <w:t>E. coli </w:t>
      </w:r>
      <w:r>
        <w:rPr>
          <w:color w:val="231F20"/>
        </w:rPr>
        <w:t>O157:H7. Local ordinances or state statutes </w:t>
      </w:r>
      <w:r>
        <w:rPr>
          <w:rFonts w:ascii="Times New Roman"/>
          <w:color w:val="231F20"/>
        </w:rPr>
        <w:t>should be used to determine requirements for </w:t>
      </w:r>
      <w:r>
        <w:rPr>
          <w:color w:val="231F20"/>
        </w:rPr>
        <w:t>returning to work. </w:t>
      </w:r>
      <w:r>
        <w:rPr>
          <w:color w:val="231F20"/>
          <w:spacing w:val="-4"/>
        </w:rPr>
        <w:t>However, </w:t>
      </w:r>
      <w:r>
        <w:rPr>
          <w:color w:val="231F20"/>
        </w:rPr>
        <w:t>if  the </w:t>
      </w:r>
      <w:r>
        <w:rPr>
          <w:color w:val="231F20"/>
          <w:spacing w:val="31"/>
        </w:rPr>
        <w:t> </w:t>
      </w:r>
      <w:r>
        <w:rPr>
          <w:color w:val="231F20"/>
        </w:rPr>
        <w:t>outbreak</w:t>
      </w:r>
    </w:p>
    <w:p>
      <w:pPr>
        <w:pStyle w:val="BodyText"/>
        <w:spacing w:line="271" w:lineRule="auto"/>
        <w:ind w:left="329" w:right="1363"/>
      </w:pPr>
      <w:r>
        <w:rPr>
          <w:rFonts w:ascii="Times New Roman"/>
          <w:color w:val="231F20"/>
        </w:rPr>
        <w:t>investigation and control team believes a public </w:t>
      </w:r>
      <w:r>
        <w:rPr>
          <w:color w:val="231F20"/>
        </w:rPr>
        <w:t>health threat exists, the team should strongly recommend exclusions of  food workers.</w:t>
      </w:r>
    </w:p>
    <w:p>
      <w:pPr>
        <w:spacing w:before="186"/>
        <w:ind w:left="329" w:right="0" w:firstLine="0"/>
        <w:jc w:val="left"/>
        <w:rPr>
          <w:rFonts w:ascii="Arial"/>
          <w:sz w:val="18"/>
        </w:rPr>
      </w:pPr>
      <w:r>
        <w:rPr>
          <w:rFonts w:ascii="Arial"/>
          <w:color w:val="00A94F"/>
          <w:w w:val="95"/>
          <w:sz w:val="18"/>
        </w:rPr>
        <w:t>Prophylaxis (6.4.5)</w:t>
      </w:r>
    </w:p>
    <w:p>
      <w:pPr>
        <w:pStyle w:val="BodyText"/>
        <w:spacing w:line="264" w:lineRule="auto" w:before="39"/>
        <w:ind w:left="329" w:right="1673"/>
      </w:pPr>
      <w:r>
        <w:rPr>
          <w:color w:val="231F20"/>
          <w:spacing w:val="-7"/>
          <w:w w:val="105"/>
        </w:rPr>
        <w:t>For </w:t>
      </w:r>
      <w:r>
        <w:rPr>
          <w:color w:val="231F20"/>
          <w:w w:val="105"/>
        </w:rPr>
        <w:t>some diseases, prophylaxis might be appropriate, and the public health agency should</w:t>
      </w:r>
      <w:r>
        <w:rPr>
          <w:color w:val="231F20"/>
          <w:spacing w:val="-14"/>
          <w:w w:val="105"/>
        </w:rPr>
        <w:t> </w:t>
      </w:r>
      <w:r>
        <w:rPr>
          <w:color w:val="231F20"/>
          <w:w w:val="105"/>
        </w:rPr>
        <w:t>work</w:t>
      </w:r>
      <w:r>
        <w:rPr>
          <w:color w:val="231F20"/>
          <w:spacing w:val="-14"/>
          <w:w w:val="105"/>
        </w:rPr>
        <w:t> </w:t>
      </w:r>
      <w:r>
        <w:rPr>
          <w:color w:val="231F20"/>
          <w:w w:val="105"/>
        </w:rPr>
        <w:t>with</w:t>
      </w:r>
      <w:r>
        <w:rPr>
          <w:color w:val="231F20"/>
          <w:spacing w:val="-14"/>
          <w:w w:val="105"/>
        </w:rPr>
        <w:t> </w:t>
      </w:r>
      <w:r>
        <w:rPr>
          <w:color w:val="231F20"/>
          <w:w w:val="105"/>
        </w:rPr>
        <w:t>area</w:t>
      </w:r>
      <w:r>
        <w:rPr>
          <w:color w:val="231F20"/>
          <w:spacing w:val="-14"/>
          <w:w w:val="105"/>
        </w:rPr>
        <w:t> </w:t>
      </w:r>
      <w:r>
        <w:rPr>
          <w:color w:val="231F20"/>
          <w:w w:val="105"/>
        </w:rPr>
        <w:t>hospitals,</w:t>
      </w:r>
      <w:r>
        <w:rPr>
          <w:color w:val="231F20"/>
          <w:spacing w:val="-14"/>
          <w:w w:val="105"/>
        </w:rPr>
        <w:t> </w:t>
      </w:r>
      <w:r>
        <w:rPr>
          <w:color w:val="231F20"/>
          <w:w w:val="105"/>
        </w:rPr>
        <w:t>physicians, local health departments, specialty clinics, </w:t>
      </w:r>
      <w:r>
        <w:rPr>
          <w:rFonts w:ascii="Times New Roman"/>
          <w:color w:val="231F20"/>
          <w:w w:val="105"/>
        </w:rPr>
        <w:t>or other health-care providers to provide </w:t>
      </w:r>
      <w:r>
        <w:rPr>
          <w:rFonts w:ascii="Times New Roman"/>
          <w:color w:val="231F20"/>
        </w:rPr>
        <w:t>vaccination, immune globulin, or</w:t>
      </w:r>
      <w:r>
        <w:rPr>
          <w:rFonts w:ascii="Times New Roman"/>
          <w:color w:val="231F20"/>
          <w:spacing w:val="-17"/>
        </w:rPr>
        <w:t> </w:t>
      </w:r>
      <w:r>
        <w:rPr>
          <w:rFonts w:ascii="Times New Roman"/>
          <w:color w:val="231F20"/>
        </w:rPr>
        <w:t>antibiotics </w:t>
      </w:r>
      <w:r>
        <w:rPr>
          <w:color w:val="231F20"/>
          <w:w w:val="105"/>
        </w:rPr>
        <w:t>to</w:t>
      </w:r>
      <w:r>
        <w:rPr>
          <w:color w:val="231F20"/>
          <w:spacing w:val="-18"/>
          <w:w w:val="105"/>
        </w:rPr>
        <w:t> </w:t>
      </w:r>
      <w:r>
        <w:rPr>
          <w:color w:val="231F20"/>
          <w:w w:val="105"/>
        </w:rPr>
        <w:t>exposed</w:t>
      </w:r>
      <w:r>
        <w:rPr>
          <w:color w:val="231F20"/>
          <w:spacing w:val="-18"/>
          <w:w w:val="105"/>
        </w:rPr>
        <w:t> </w:t>
      </w:r>
      <w:r>
        <w:rPr>
          <w:color w:val="231F20"/>
          <w:w w:val="105"/>
        </w:rPr>
        <w:t>persons.</w:t>
      </w:r>
      <w:r>
        <w:rPr>
          <w:color w:val="231F20"/>
          <w:spacing w:val="-18"/>
          <w:w w:val="105"/>
        </w:rPr>
        <w:t> </w:t>
      </w:r>
      <w:r>
        <w:rPr>
          <w:color w:val="231F20"/>
          <w:w w:val="105"/>
        </w:rPr>
        <w:t>Special</w:t>
      </w:r>
      <w:r>
        <w:rPr>
          <w:color w:val="231F20"/>
          <w:spacing w:val="-18"/>
          <w:w w:val="105"/>
        </w:rPr>
        <w:t> </w:t>
      </w:r>
      <w:r>
        <w:rPr>
          <w:color w:val="231F20"/>
          <w:w w:val="105"/>
        </w:rPr>
        <w:t>attention</w:t>
      </w:r>
      <w:r>
        <w:rPr>
          <w:color w:val="231F20"/>
          <w:spacing w:val="-18"/>
          <w:w w:val="105"/>
        </w:rPr>
        <w:t> </w:t>
      </w:r>
      <w:r>
        <w:rPr>
          <w:color w:val="231F20"/>
          <w:w w:val="105"/>
        </w:rPr>
        <w:t>should</w:t>
      </w:r>
    </w:p>
    <w:p>
      <w:pPr>
        <w:spacing w:after="0" w:line="264" w:lineRule="auto"/>
        <w:sectPr>
          <w:type w:val="continuous"/>
          <w:pgSz w:w="10080" w:h="14400"/>
          <w:pgMar w:top="0" w:bottom="360" w:left="0" w:right="0"/>
          <w:cols w:num="2" w:equalWidth="0">
            <w:col w:w="4491" w:space="40"/>
            <w:col w:w="5549"/>
          </w:cols>
        </w:sectPr>
      </w:pPr>
    </w:p>
    <w:p>
      <w:pPr>
        <w:pStyle w:val="BodyText"/>
        <w:spacing w:before="8"/>
        <w:rPr>
          <w:sz w:val="10"/>
        </w:rPr>
      </w:pPr>
    </w:p>
    <w:p>
      <w:pPr>
        <w:pStyle w:val="Heading1"/>
      </w:pPr>
      <w:r>
        <w:rPr/>
        <w:pict>
          <v:line style="position:absolute;mso-position-horizontal-relative:page;mso-position-vertical-relative:paragraph;z-index:3976;mso-wrap-distance-left:0;mso-wrap-distance-right:0" from="72pt,23.991844pt" to="468pt,23.991844pt" stroked="true" strokeweight=".5pt" strokecolor="#00a94f">
            <v:stroke dashstyle="solid"/>
            <w10:wrap type="topAndBottom"/>
          </v:line>
        </w:pict>
      </w:r>
      <w:r>
        <w:rPr/>
        <w:pict>
          <v:rect style="position:absolute;margin-left:0pt;margin-top:7.341943pt;width:45pt;height:18pt;mso-position-horizontal-relative:page;mso-position-vertical-relative:paragraph;z-index:4000" filled="true" fillcolor="#0079c1" stroked="false">
            <v:fill type="solid"/>
            <w10:wrap type="none"/>
          </v:rect>
        </w:pict>
      </w:r>
      <w:r>
        <w:rPr/>
        <w:pict>
          <v:line style="position:absolute;mso-position-horizontal-relative:page;mso-position-vertical-relative:paragraph;z-index:4024"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4048"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6. Control  Measures</w:t>
      </w:r>
    </w:p>
    <w:p>
      <w:pPr>
        <w:pStyle w:val="BodyText"/>
        <w:rPr>
          <w:rFonts w:ascii="Arial"/>
          <w:sz w:val="18"/>
        </w:rPr>
      </w:pPr>
    </w:p>
    <w:p>
      <w:pPr>
        <w:spacing w:after="0"/>
        <w:rPr>
          <w:rFonts w:ascii="Arial"/>
          <w:sz w:val="18"/>
        </w:rPr>
        <w:sectPr>
          <w:pgSz w:w="10080" w:h="14400"/>
          <w:pgMar w:header="0" w:footer="160" w:top="1160" w:bottom="360" w:left="0" w:right="0"/>
        </w:sectPr>
      </w:pPr>
    </w:p>
    <w:p>
      <w:pPr>
        <w:pStyle w:val="BodyText"/>
        <w:spacing w:line="264" w:lineRule="auto" w:before="108"/>
        <w:ind w:left="1440" w:right="93"/>
      </w:pPr>
      <w:r>
        <w:rPr>
          <w:color w:val="231F20"/>
        </w:rPr>
        <w:t>be given to prophylaxis of  groups at higher </w:t>
      </w:r>
      <w:r>
        <w:rPr>
          <w:rFonts w:ascii="Times New Roman"/>
          <w:color w:val="231F20"/>
        </w:rPr>
        <w:t>risk</w:t>
      </w:r>
      <w:r>
        <w:rPr>
          <w:rFonts w:ascii="Times New Roman"/>
          <w:color w:val="231F20"/>
          <w:spacing w:val="-11"/>
        </w:rPr>
        <w:t> </w:t>
      </w:r>
      <w:r>
        <w:rPr>
          <w:rFonts w:ascii="Times New Roman"/>
          <w:color w:val="231F20"/>
        </w:rPr>
        <w:t>for</w:t>
      </w:r>
      <w:r>
        <w:rPr>
          <w:rFonts w:ascii="Times New Roman"/>
          <w:color w:val="231F20"/>
          <w:spacing w:val="-10"/>
        </w:rPr>
        <w:t> </w:t>
      </w:r>
      <w:r>
        <w:rPr>
          <w:rFonts w:ascii="Times New Roman"/>
          <w:color w:val="231F20"/>
        </w:rPr>
        <w:t>severe</w:t>
      </w:r>
      <w:r>
        <w:rPr>
          <w:rFonts w:ascii="Times New Roman"/>
          <w:color w:val="231F20"/>
          <w:spacing w:val="-10"/>
        </w:rPr>
        <w:t> </w:t>
      </w:r>
      <w:r>
        <w:rPr>
          <w:rFonts w:ascii="Times New Roman"/>
          <w:color w:val="231F20"/>
        </w:rPr>
        <w:t>illness</w:t>
      </w:r>
      <w:r>
        <w:rPr>
          <w:rFonts w:ascii="Times New Roman"/>
          <w:color w:val="231F20"/>
          <w:spacing w:val="-11"/>
        </w:rPr>
        <w:t> </w:t>
      </w:r>
      <w:r>
        <w:rPr>
          <w:rFonts w:ascii="Times New Roman"/>
          <w:color w:val="231F20"/>
        </w:rPr>
        <w:t>and</w:t>
      </w:r>
      <w:r>
        <w:rPr>
          <w:rFonts w:ascii="Times New Roman"/>
          <w:color w:val="231F20"/>
          <w:spacing w:val="-11"/>
        </w:rPr>
        <w:t> </w:t>
      </w:r>
      <w:r>
        <w:rPr>
          <w:rFonts w:ascii="Times New Roman"/>
          <w:color w:val="231F20"/>
        </w:rPr>
        <w:t>poor</w:t>
      </w:r>
      <w:r>
        <w:rPr>
          <w:rFonts w:ascii="Times New Roman"/>
          <w:color w:val="231F20"/>
          <w:spacing w:val="-10"/>
        </w:rPr>
        <w:t> </w:t>
      </w:r>
      <w:r>
        <w:rPr>
          <w:rFonts w:ascii="Times New Roman"/>
          <w:color w:val="231F20"/>
        </w:rPr>
        <w:t>outcomes</w:t>
      </w:r>
      <w:r>
        <w:rPr>
          <w:rFonts w:ascii="Times New Roman"/>
          <w:color w:val="231F20"/>
          <w:spacing w:val="-10"/>
        </w:rPr>
        <w:t> </w:t>
      </w:r>
      <w:r>
        <w:rPr>
          <w:rFonts w:ascii="Times New Roman"/>
          <w:color w:val="231F20"/>
        </w:rPr>
        <w:t>from foodborne disease, including infants,</w:t>
      </w:r>
      <w:r>
        <w:rPr>
          <w:rFonts w:ascii="Times New Roman"/>
          <w:color w:val="231F20"/>
          <w:spacing w:val="-18"/>
        </w:rPr>
        <w:t> </w:t>
      </w:r>
      <w:r>
        <w:rPr>
          <w:rFonts w:ascii="Times New Roman"/>
          <w:color w:val="231F20"/>
        </w:rPr>
        <w:t>pregnant </w:t>
      </w:r>
      <w:r>
        <w:rPr>
          <w:color w:val="231F20"/>
        </w:rPr>
        <w:t>women, elderly persons, and immune- compromised</w:t>
      </w:r>
      <w:r>
        <w:rPr>
          <w:color w:val="231F20"/>
          <w:spacing w:val="26"/>
        </w:rPr>
        <w:t> </w:t>
      </w:r>
      <w:r>
        <w:rPr>
          <w:color w:val="231F20"/>
        </w:rPr>
        <w:t>persons.</w:t>
      </w:r>
    </w:p>
    <w:p>
      <w:pPr>
        <w:pStyle w:val="BodyText"/>
        <w:spacing w:before="167"/>
        <w:ind w:left="1440"/>
        <w:rPr>
          <w:rFonts w:ascii="Arial"/>
        </w:rPr>
      </w:pPr>
      <w:r>
        <w:rPr>
          <w:rFonts w:ascii="Arial"/>
          <w:color w:val="1C3E94"/>
        </w:rPr>
        <w:t>Communication (Section 6.5)</w:t>
      </w:r>
    </w:p>
    <w:p>
      <w:pPr>
        <w:pStyle w:val="BodyText"/>
        <w:spacing w:before="8"/>
        <w:rPr>
          <w:rFonts w:ascii="Arial"/>
          <w:sz w:val="18"/>
        </w:rPr>
      </w:pPr>
    </w:p>
    <w:p>
      <w:pPr>
        <w:pStyle w:val="BodyText"/>
        <w:spacing w:line="266" w:lineRule="auto"/>
        <w:ind w:left="1440" w:right="-8"/>
      </w:pPr>
      <w:r>
        <w:rPr>
          <w:color w:val="231F20"/>
          <w:w w:val="105"/>
        </w:rPr>
        <w:t>Communication is critical in determining what control measures to implement and when to change an intervention’s focus.</w:t>
      </w:r>
    </w:p>
    <w:p>
      <w:pPr>
        <w:spacing w:line="276" w:lineRule="auto" w:before="183"/>
        <w:ind w:left="1440" w:right="124" w:firstLine="0"/>
        <w:jc w:val="left"/>
        <w:rPr>
          <w:rFonts w:ascii="Times New Roman"/>
          <w:sz w:val="20"/>
        </w:rPr>
      </w:pPr>
      <w:r>
        <w:rPr>
          <w:rFonts w:ascii="Arial"/>
          <w:color w:val="00A94F"/>
          <w:sz w:val="18"/>
        </w:rPr>
        <w:t>Outbreak Investigation and Control </w:t>
      </w:r>
      <w:r>
        <w:rPr>
          <w:rFonts w:ascii="Arial"/>
          <w:color w:val="00A94F"/>
          <w:spacing w:val="-5"/>
          <w:sz w:val="18"/>
        </w:rPr>
        <w:t>Team </w:t>
      </w:r>
      <w:r>
        <w:rPr>
          <w:rFonts w:ascii="Arial"/>
          <w:color w:val="00A94F"/>
          <w:sz w:val="18"/>
        </w:rPr>
        <w:t>and Related Agencies (6.5.1 and 6.5.2) </w:t>
      </w:r>
      <w:r>
        <w:rPr>
          <w:color w:val="231F20"/>
          <w:sz w:val="20"/>
        </w:rPr>
        <w:t>Information should be shared routinely with  </w:t>
      </w:r>
      <w:r>
        <w:rPr>
          <w:rFonts w:ascii="Times New Roman"/>
          <w:color w:val="231F20"/>
          <w:sz w:val="20"/>
        </w:rPr>
        <w:t>all members of the outbreak</w:t>
      </w:r>
      <w:r>
        <w:rPr>
          <w:rFonts w:ascii="Times New Roman"/>
          <w:color w:val="231F20"/>
          <w:spacing w:val="-10"/>
          <w:sz w:val="20"/>
        </w:rPr>
        <w:t> </w:t>
      </w:r>
      <w:r>
        <w:rPr>
          <w:rFonts w:ascii="Times New Roman"/>
          <w:color w:val="231F20"/>
          <w:sz w:val="20"/>
        </w:rPr>
        <w:t>investigation</w:t>
      </w:r>
    </w:p>
    <w:p>
      <w:pPr>
        <w:pStyle w:val="BodyText"/>
        <w:spacing w:line="217" w:lineRule="exact"/>
        <w:ind w:left="1440"/>
        <w:rPr>
          <w:rFonts w:ascii="Times New Roman"/>
        </w:rPr>
      </w:pPr>
      <w:r>
        <w:rPr>
          <w:rFonts w:ascii="Times New Roman"/>
          <w:color w:val="231F20"/>
        </w:rPr>
        <w:t>and control team, including actions taken</w:t>
      </w:r>
    </w:p>
    <w:p>
      <w:pPr>
        <w:pStyle w:val="BodyText"/>
        <w:spacing w:line="266" w:lineRule="auto" w:before="35"/>
        <w:ind w:left="1440" w:right="51"/>
      </w:pPr>
      <w:r>
        <w:rPr>
          <w:color w:val="231F20"/>
          <w:w w:val="105"/>
        </w:rPr>
        <w:t>and updates on the outbreak (6.5.1). Agency heads should routinely receive information about the status of the investigation (6.5.2). If the outbreak is potentially multijurisdictional, other relevant agencies and organizations should also routinely receive status reports.</w:t>
      </w:r>
    </w:p>
    <w:p>
      <w:pPr>
        <w:pStyle w:val="BodyText"/>
        <w:spacing w:line="216" w:lineRule="exact"/>
        <w:ind w:left="1440"/>
        <w:rPr>
          <w:rFonts w:ascii="Times New Roman"/>
        </w:rPr>
      </w:pPr>
      <w:r>
        <w:rPr>
          <w:rFonts w:ascii="Times New Roman"/>
          <w:color w:val="231F20"/>
        </w:rPr>
        <w:t>Messages and information need to be</w:t>
      </w:r>
    </w:p>
    <w:p>
      <w:pPr>
        <w:pStyle w:val="BodyText"/>
        <w:spacing w:line="266" w:lineRule="auto" w:before="34"/>
        <w:ind w:left="1440" w:right="565"/>
      </w:pPr>
      <w:r>
        <w:rPr>
          <w:color w:val="231F20"/>
          <w:w w:val="105"/>
        </w:rPr>
        <w:t>coordinated with other agencies so that consumers are not confused.</w:t>
      </w:r>
    </w:p>
    <w:p>
      <w:pPr>
        <w:spacing w:before="183"/>
        <w:ind w:left="1440" w:right="0" w:firstLine="0"/>
        <w:jc w:val="left"/>
        <w:rPr>
          <w:rFonts w:ascii="Arial"/>
          <w:sz w:val="18"/>
        </w:rPr>
      </w:pPr>
      <w:r>
        <w:rPr>
          <w:rFonts w:ascii="Arial"/>
          <w:color w:val="00A94F"/>
          <w:sz w:val="18"/>
        </w:rPr>
        <w:t>The Public (6.5.3)</w:t>
      </w:r>
    </w:p>
    <w:p>
      <w:pPr>
        <w:pStyle w:val="BodyText"/>
        <w:spacing w:line="264" w:lineRule="auto" w:before="25"/>
        <w:ind w:left="1440" w:right="361"/>
        <w:rPr>
          <w:rFonts w:ascii="Times New Roman"/>
        </w:rPr>
      </w:pPr>
      <w:r>
        <w:rPr>
          <w:rFonts w:ascii="Times New Roman"/>
          <w:color w:val="231F20"/>
          <w:w w:val="105"/>
        </w:rPr>
        <w:t>If the public has been informed about an </w:t>
      </w:r>
      <w:r>
        <w:rPr>
          <w:color w:val="231F20"/>
          <w:w w:val="105"/>
        </w:rPr>
        <w:t>outbreak, periodically issue updates so </w:t>
      </w:r>
      <w:r>
        <w:rPr>
          <w:rFonts w:ascii="Times New Roman"/>
          <w:color w:val="231F20"/>
          <w:w w:val="105"/>
        </w:rPr>
        <w:t>that</w:t>
      </w:r>
      <w:r>
        <w:rPr>
          <w:rFonts w:ascii="Times New Roman"/>
          <w:color w:val="231F20"/>
          <w:spacing w:val="-26"/>
          <w:w w:val="105"/>
        </w:rPr>
        <w:t> </w:t>
      </w:r>
      <w:r>
        <w:rPr>
          <w:rFonts w:ascii="Times New Roman"/>
          <w:color w:val="231F20"/>
          <w:w w:val="105"/>
        </w:rPr>
        <w:t>the</w:t>
      </w:r>
      <w:r>
        <w:rPr>
          <w:rFonts w:ascii="Times New Roman"/>
          <w:color w:val="231F20"/>
          <w:spacing w:val="-27"/>
          <w:w w:val="105"/>
        </w:rPr>
        <w:t> </w:t>
      </w:r>
      <w:r>
        <w:rPr>
          <w:rFonts w:ascii="Times New Roman"/>
          <w:color w:val="231F20"/>
          <w:w w:val="105"/>
        </w:rPr>
        <w:t>public</w:t>
      </w:r>
      <w:r>
        <w:rPr>
          <w:rFonts w:ascii="Times New Roman"/>
          <w:color w:val="231F20"/>
          <w:spacing w:val="-27"/>
          <w:w w:val="105"/>
        </w:rPr>
        <w:t> </w:t>
      </w:r>
      <w:r>
        <w:rPr>
          <w:rFonts w:ascii="Times New Roman"/>
          <w:color w:val="231F20"/>
          <w:w w:val="105"/>
        </w:rPr>
        <w:t>can</w:t>
      </w:r>
      <w:r>
        <w:rPr>
          <w:rFonts w:ascii="Times New Roman"/>
          <w:color w:val="231F20"/>
          <w:spacing w:val="-26"/>
          <w:w w:val="105"/>
        </w:rPr>
        <w:t> </w:t>
      </w:r>
      <w:r>
        <w:rPr>
          <w:rFonts w:ascii="Times New Roman"/>
          <w:color w:val="231F20"/>
          <w:w w:val="105"/>
        </w:rPr>
        <w:t>make</w:t>
      </w:r>
      <w:r>
        <w:rPr>
          <w:rFonts w:ascii="Times New Roman"/>
          <w:color w:val="231F20"/>
          <w:spacing w:val="-26"/>
          <w:w w:val="105"/>
        </w:rPr>
        <w:t> </w:t>
      </w:r>
      <w:r>
        <w:rPr>
          <w:rFonts w:ascii="Times New Roman"/>
          <w:color w:val="231F20"/>
          <w:w w:val="105"/>
        </w:rPr>
        <w:t>good</w:t>
      </w:r>
      <w:r>
        <w:rPr>
          <w:rFonts w:ascii="Times New Roman"/>
          <w:color w:val="231F20"/>
          <w:spacing w:val="-27"/>
          <w:w w:val="105"/>
        </w:rPr>
        <w:t> </w:t>
      </w:r>
      <w:r>
        <w:rPr>
          <w:rFonts w:ascii="Times New Roman"/>
          <w:color w:val="231F20"/>
          <w:w w:val="105"/>
        </w:rPr>
        <w:t>decisions</w:t>
      </w:r>
      <w:r>
        <w:rPr>
          <w:rFonts w:ascii="Times New Roman"/>
          <w:color w:val="231F20"/>
          <w:spacing w:val="-27"/>
          <w:w w:val="105"/>
        </w:rPr>
        <w:t> </w:t>
      </w:r>
      <w:r>
        <w:rPr>
          <w:rFonts w:ascii="Times New Roman"/>
          <w:color w:val="231F20"/>
          <w:w w:val="105"/>
        </w:rPr>
        <w:t>to</w:t>
      </w:r>
    </w:p>
    <w:p>
      <w:pPr>
        <w:pStyle w:val="BodyText"/>
        <w:spacing w:line="252" w:lineRule="auto" w:before="12"/>
        <w:ind w:left="1440" w:right="262"/>
        <w:rPr>
          <w:rFonts w:ascii="Times New Roman" w:hAnsi="Times New Roman"/>
        </w:rPr>
      </w:pPr>
      <w:r>
        <w:rPr>
          <w:color w:val="231F20"/>
        </w:rPr>
        <w:t>protect themselves. Use all available sources </w:t>
      </w:r>
      <w:r>
        <w:rPr>
          <w:rFonts w:ascii="Times New Roman" w:hAnsi="Times New Roman"/>
          <w:color w:val="231F20"/>
        </w:rPr>
        <w:t>to disseminate information—the Internet,</w:t>
      </w:r>
    </w:p>
    <w:p>
      <w:pPr>
        <w:pStyle w:val="BodyText"/>
        <w:spacing w:line="264" w:lineRule="auto" w:before="23"/>
        <w:ind w:left="1440" w:right="-14"/>
      </w:pPr>
      <w:r>
        <w:rPr>
          <w:color w:val="231F20"/>
          <w:w w:val="105"/>
        </w:rPr>
        <w:t>television,</w:t>
      </w:r>
      <w:r>
        <w:rPr>
          <w:color w:val="231F20"/>
          <w:spacing w:val="-8"/>
          <w:w w:val="105"/>
        </w:rPr>
        <w:t> </w:t>
      </w:r>
      <w:r>
        <w:rPr>
          <w:color w:val="231F20"/>
          <w:w w:val="105"/>
        </w:rPr>
        <w:t>radio,</w:t>
      </w:r>
      <w:r>
        <w:rPr>
          <w:color w:val="231F20"/>
          <w:spacing w:val="-8"/>
          <w:w w:val="105"/>
        </w:rPr>
        <w:t> </w:t>
      </w:r>
      <w:r>
        <w:rPr>
          <w:color w:val="231F20"/>
          <w:w w:val="105"/>
        </w:rPr>
        <w:t>social</w:t>
      </w:r>
      <w:r>
        <w:rPr>
          <w:color w:val="231F20"/>
          <w:spacing w:val="-8"/>
          <w:w w:val="105"/>
        </w:rPr>
        <w:t> </w:t>
      </w:r>
      <w:r>
        <w:rPr>
          <w:color w:val="231F20"/>
          <w:w w:val="105"/>
        </w:rPr>
        <w:t>media,</w:t>
      </w:r>
      <w:r>
        <w:rPr>
          <w:color w:val="231F20"/>
          <w:spacing w:val="-8"/>
          <w:w w:val="105"/>
        </w:rPr>
        <w:t> </w:t>
      </w:r>
      <w:r>
        <w:rPr>
          <w:color w:val="231F20"/>
          <w:w w:val="105"/>
        </w:rPr>
        <w:t>and</w:t>
      </w:r>
      <w:r>
        <w:rPr>
          <w:color w:val="231F20"/>
          <w:spacing w:val="-8"/>
          <w:w w:val="105"/>
        </w:rPr>
        <w:t> </w:t>
      </w:r>
      <w:r>
        <w:rPr>
          <w:color w:val="231F20"/>
          <w:w w:val="105"/>
        </w:rPr>
        <w:t>newspapers. Adopt a standardized format or script for reporting</w:t>
      </w:r>
      <w:r>
        <w:rPr>
          <w:color w:val="231F20"/>
          <w:spacing w:val="-16"/>
          <w:w w:val="105"/>
        </w:rPr>
        <w:t> </w:t>
      </w:r>
      <w:r>
        <w:rPr>
          <w:color w:val="231F20"/>
          <w:w w:val="105"/>
        </w:rPr>
        <w:t>risk</w:t>
      </w:r>
      <w:r>
        <w:rPr>
          <w:color w:val="231F20"/>
          <w:spacing w:val="-16"/>
          <w:w w:val="105"/>
        </w:rPr>
        <w:t> </w:t>
      </w:r>
      <w:r>
        <w:rPr>
          <w:color w:val="231F20"/>
          <w:w w:val="105"/>
        </w:rPr>
        <w:t>information,</w:t>
      </w:r>
      <w:r>
        <w:rPr>
          <w:color w:val="231F20"/>
          <w:spacing w:val="-16"/>
          <w:w w:val="105"/>
        </w:rPr>
        <w:t> </w:t>
      </w:r>
      <w:r>
        <w:rPr>
          <w:color w:val="231F20"/>
          <w:w w:val="105"/>
        </w:rPr>
        <w:t>complex</w:t>
      </w:r>
      <w:r>
        <w:rPr>
          <w:color w:val="231F20"/>
          <w:spacing w:val="-16"/>
          <w:w w:val="105"/>
        </w:rPr>
        <w:t> </w:t>
      </w:r>
      <w:r>
        <w:rPr>
          <w:color w:val="231F20"/>
          <w:w w:val="105"/>
        </w:rPr>
        <w:t>procedural </w:t>
      </w:r>
      <w:r>
        <w:rPr>
          <w:rFonts w:ascii="Times New Roman"/>
          <w:color w:val="231F20"/>
          <w:w w:val="105"/>
        </w:rPr>
        <w:t>or technical information, or recommended </w:t>
      </w:r>
      <w:r>
        <w:rPr>
          <w:color w:val="231F20"/>
          <w:w w:val="105"/>
        </w:rPr>
        <w:t>actions. Emphasize safe food-preparation practices and handwashing to groups at higher </w:t>
      </w:r>
      <w:r>
        <w:rPr>
          <w:rFonts w:ascii="Times New Roman"/>
          <w:color w:val="231F20"/>
          <w:w w:val="105"/>
        </w:rPr>
        <w:t>risk than others for severe illness and poor </w:t>
      </w:r>
      <w:r>
        <w:rPr>
          <w:color w:val="231F20"/>
          <w:w w:val="105"/>
        </w:rPr>
        <w:t>outcomes</w:t>
      </w:r>
      <w:r>
        <w:rPr>
          <w:color w:val="231F20"/>
          <w:spacing w:val="-36"/>
          <w:w w:val="105"/>
        </w:rPr>
        <w:t> </w:t>
      </w:r>
      <w:r>
        <w:rPr>
          <w:color w:val="231F20"/>
          <w:w w:val="105"/>
        </w:rPr>
        <w:t>from</w:t>
      </w:r>
      <w:r>
        <w:rPr>
          <w:color w:val="231F20"/>
          <w:spacing w:val="-36"/>
          <w:w w:val="105"/>
        </w:rPr>
        <w:t> </w:t>
      </w:r>
      <w:r>
        <w:rPr>
          <w:color w:val="231F20"/>
          <w:w w:val="105"/>
        </w:rPr>
        <w:t>foodborne</w:t>
      </w:r>
      <w:r>
        <w:rPr>
          <w:color w:val="231F20"/>
          <w:spacing w:val="-36"/>
          <w:w w:val="105"/>
        </w:rPr>
        <w:t> </w:t>
      </w:r>
      <w:r>
        <w:rPr>
          <w:color w:val="231F20"/>
          <w:w w:val="105"/>
        </w:rPr>
        <w:t>disease.</w:t>
      </w:r>
    </w:p>
    <w:p>
      <w:pPr>
        <w:spacing w:before="186"/>
        <w:ind w:left="1440" w:right="0" w:firstLine="0"/>
        <w:jc w:val="left"/>
        <w:rPr>
          <w:rFonts w:ascii="Arial"/>
          <w:sz w:val="18"/>
        </w:rPr>
      </w:pPr>
      <w:r>
        <w:rPr>
          <w:rFonts w:ascii="Arial"/>
          <w:color w:val="00A94F"/>
          <w:sz w:val="18"/>
        </w:rPr>
        <w:t>Industry (6.5.4)</w:t>
      </w:r>
    </w:p>
    <w:p>
      <w:pPr>
        <w:pStyle w:val="BodyText"/>
        <w:spacing w:line="264" w:lineRule="auto" w:before="39"/>
        <w:ind w:left="1440" w:right="257"/>
      </w:pPr>
      <w:r>
        <w:rPr>
          <w:color w:val="231F20"/>
        </w:rPr>
        <w:t>Contact the food establishments(s) directly </w:t>
      </w:r>
      <w:r>
        <w:rPr>
          <w:rFonts w:ascii="Times New Roman"/>
          <w:color w:val="231F20"/>
        </w:rPr>
        <w:t>linked to an outbreak as soon as possible, </w:t>
      </w:r>
      <w:r>
        <w:rPr>
          <w:color w:val="231F20"/>
        </w:rPr>
        <w:t>and tell them as much as possible. Share   the</w:t>
      </w:r>
    </w:p>
    <w:p>
      <w:pPr>
        <w:pStyle w:val="BodyText"/>
        <w:spacing w:before="2"/>
        <w:ind w:left="1440"/>
      </w:pPr>
      <w:r>
        <w:rPr>
          <w:color w:val="231F20"/>
          <w:w w:val="105"/>
        </w:rPr>
        <w:t>findings that have implicated their product or</w:t>
      </w:r>
    </w:p>
    <w:p>
      <w:pPr>
        <w:pStyle w:val="BodyText"/>
        <w:spacing w:line="266" w:lineRule="auto" w:before="108"/>
        <w:ind w:left="319" w:right="674"/>
      </w:pPr>
      <w:r>
        <w:rPr/>
        <w:br w:type="column"/>
      </w:r>
      <w:r>
        <w:rPr>
          <w:color w:val="231F20"/>
          <w:w w:val="105"/>
        </w:rPr>
        <w:t>facility, and seek their help in the investigation. Provide them with the CIFOR Industry Guidelines to assist them in response. Because enforcement action may result from the investigation, the local legal framework needs to be understood before any interactions with facilities that may be linked to an outbreak.</w:t>
      </w:r>
    </w:p>
    <w:p>
      <w:pPr>
        <w:pStyle w:val="BodyText"/>
        <w:spacing w:line="264" w:lineRule="auto" w:before="180"/>
        <w:ind w:left="319" w:right="877"/>
      </w:pPr>
      <w:r>
        <w:rPr>
          <w:color w:val="231F20"/>
        </w:rPr>
        <w:t>At the time of an outbreak, outreach </w:t>
      </w:r>
      <w:r>
        <w:rPr>
          <w:color w:val="231F20"/>
          <w:spacing w:val="-3"/>
        </w:rPr>
        <w:t>by </w:t>
      </w:r>
      <w:r>
        <w:rPr>
          <w:rFonts w:ascii="Times New Roman"/>
          <w:color w:val="231F20"/>
        </w:rPr>
        <w:t>government agencies to the appropriate  </w:t>
      </w:r>
      <w:r>
        <w:rPr>
          <w:color w:val="231F20"/>
        </w:rPr>
        <w:t>trade associations with information about  </w:t>
      </w:r>
      <w:r>
        <w:rPr>
          <w:color w:val="231F20"/>
          <w:spacing w:val="9"/>
        </w:rPr>
        <w:t> </w:t>
      </w:r>
      <w:r>
        <w:rPr>
          <w:color w:val="231F20"/>
        </w:rPr>
        <w:t>the</w:t>
      </w:r>
    </w:p>
    <w:p>
      <w:pPr>
        <w:pStyle w:val="BodyText"/>
        <w:spacing w:line="264" w:lineRule="auto"/>
        <w:ind w:left="319" w:right="747"/>
        <w:rPr>
          <w:rFonts w:ascii="Times New Roman"/>
        </w:rPr>
      </w:pPr>
      <w:r>
        <w:rPr>
          <w:rFonts w:ascii="Times New Roman"/>
          <w:color w:val="231F20"/>
        </w:rPr>
        <w:t>outbreak and actions members should take can help prevent spread of the current problem or </w:t>
      </w:r>
      <w:r>
        <w:rPr>
          <w:color w:val="231F20"/>
        </w:rPr>
        <w:t>similar problems in their firms. Interactions  with the food industry and related trade </w:t>
      </w:r>
      <w:r>
        <w:rPr>
          <w:rFonts w:ascii="Times New Roman"/>
          <w:color w:val="231F20"/>
        </w:rPr>
        <w:t>associations can help dispel misconceptions about the outbreak and take advantage</w:t>
      </w:r>
      <w:r>
        <w:rPr>
          <w:rFonts w:ascii="Times New Roman"/>
          <w:color w:val="231F20"/>
          <w:spacing w:val="38"/>
        </w:rPr>
        <w:t> </w:t>
      </w:r>
      <w:r>
        <w:rPr>
          <w:rFonts w:ascii="Times New Roman"/>
          <w:color w:val="231F20"/>
        </w:rPr>
        <w:t>of</w:t>
      </w:r>
    </w:p>
    <w:p>
      <w:pPr>
        <w:pStyle w:val="BodyText"/>
        <w:spacing w:line="261" w:lineRule="auto" w:before="24"/>
        <w:ind w:left="319" w:right="848"/>
      </w:pPr>
      <w:r>
        <w:rPr>
          <w:color w:val="231F20"/>
          <w:w w:val="105"/>
        </w:rPr>
        <w:t>a teachable moment. However, state, local, and federal agencies need to have working relationships with industry </w:t>
      </w:r>
      <w:r>
        <w:rPr>
          <w:i/>
          <w:color w:val="231F20"/>
          <w:w w:val="105"/>
        </w:rPr>
        <w:t>before </w:t>
      </w:r>
      <w:r>
        <w:rPr>
          <w:rFonts w:ascii="Times New Roman"/>
          <w:color w:val="231F20"/>
          <w:w w:val="105"/>
        </w:rPr>
        <w:t>an outbreak </w:t>
      </w:r>
      <w:r>
        <w:rPr>
          <w:color w:val="231F20"/>
          <w:w w:val="105"/>
        </w:rPr>
        <w:t>occurs.</w:t>
      </w:r>
    </w:p>
    <w:p>
      <w:pPr>
        <w:pStyle w:val="BodyText"/>
        <w:spacing w:before="169"/>
        <w:ind w:left="319"/>
        <w:rPr>
          <w:rFonts w:ascii="Arial"/>
        </w:rPr>
      </w:pPr>
      <w:r>
        <w:rPr>
          <w:rFonts w:ascii="Arial"/>
          <w:color w:val="1C3E94"/>
          <w:w w:val="105"/>
        </w:rPr>
        <w:t>End of the Outbreak (Section 6.6)</w:t>
      </w:r>
    </w:p>
    <w:p>
      <w:pPr>
        <w:pStyle w:val="BodyText"/>
        <w:spacing w:before="8"/>
        <w:rPr>
          <w:rFonts w:ascii="Arial"/>
          <w:sz w:val="18"/>
        </w:rPr>
      </w:pPr>
    </w:p>
    <w:p>
      <w:pPr>
        <w:pStyle w:val="BodyText"/>
        <w:spacing w:line="264" w:lineRule="auto"/>
        <w:ind w:left="319" w:right="877"/>
        <w:rPr>
          <w:rFonts w:ascii="Times New Roman"/>
        </w:rPr>
      </w:pPr>
      <w:r>
        <w:rPr>
          <w:color w:val="231F20"/>
        </w:rPr>
        <w:t>Most outbreaks can be considered </w:t>
      </w:r>
      <w:r>
        <w:rPr>
          <w:color w:val="231F20"/>
          <w:spacing w:val="-3"/>
        </w:rPr>
        <w:t>over </w:t>
      </w:r>
      <w:r>
        <w:rPr>
          <w:color w:val="231F20"/>
        </w:rPr>
        <w:t>when two or more incubation periods </w:t>
      </w:r>
      <w:r>
        <w:rPr>
          <w:color w:val="231F20"/>
          <w:spacing w:val="-3"/>
        </w:rPr>
        <w:t>have </w:t>
      </w:r>
      <w:r>
        <w:rPr>
          <w:color w:val="231F20"/>
        </w:rPr>
        <w:t>passed without new cases (6.6.1). </w:t>
      </w:r>
      <w:r>
        <w:rPr>
          <w:color w:val="231F20"/>
          <w:spacing w:val="-4"/>
        </w:rPr>
        <w:t>Remove </w:t>
      </w:r>
      <w:r>
        <w:rPr>
          <w:color w:val="231F20"/>
        </w:rPr>
        <w:t>restrictions when no further risk to the public exists (6.6.2). Post-outbreak monitoring is necessary </w:t>
      </w:r>
      <w:r>
        <w:rPr>
          <w:rFonts w:ascii="Times New Roman"/>
          <w:color w:val="231F20"/>
        </w:rPr>
        <w:t>to ensure the outbreak has ended and the </w:t>
      </w:r>
      <w:r>
        <w:rPr>
          <w:color w:val="231F20"/>
        </w:rPr>
        <w:t>source has been eliminated (6.6.3). Efforts </w:t>
      </w:r>
      <w:r>
        <w:rPr>
          <w:rFonts w:ascii="Times New Roman"/>
          <w:color w:val="231F20"/>
        </w:rPr>
        <w:t>should be made to monitor the</w:t>
      </w:r>
      <w:r>
        <w:rPr>
          <w:rFonts w:ascii="Times New Roman"/>
          <w:color w:val="231F20"/>
          <w:spacing w:val="31"/>
        </w:rPr>
        <w:t> </w:t>
      </w:r>
      <w:r>
        <w:rPr>
          <w:rFonts w:ascii="Times New Roman"/>
          <w:color w:val="231F20"/>
        </w:rPr>
        <w:t>population</w:t>
      </w:r>
    </w:p>
    <w:p>
      <w:pPr>
        <w:pStyle w:val="BodyText"/>
        <w:spacing w:line="268" w:lineRule="auto"/>
        <w:ind w:left="319" w:right="914"/>
      </w:pPr>
      <w:r>
        <w:rPr>
          <w:rFonts w:ascii="Times New Roman"/>
          <w:color w:val="231F20"/>
        </w:rPr>
        <w:t>at risk for disease, the implicated foods for contamination, and the implicated facilities </w:t>
      </w:r>
      <w:r>
        <w:rPr>
          <w:color w:val="231F20"/>
        </w:rPr>
        <w:t>to make sure they are complying with all required  procedures.  The  latter requires</w:t>
      </w:r>
    </w:p>
    <w:p>
      <w:pPr>
        <w:pStyle w:val="BodyText"/>
        <w:spacing w:line="266" w:lineRule="auto"/>
        <w:ind w:left="319" w:right="800"/>
        <w:jc w:val="both"/>
      </w:pPr>
      <w:r>
        <w:rPr>
          <w:color w:val="231F20"/>
          <w:w w:val="105"/>
        </w:rPr>
        <w:t>continued</w:t>
      </w:r>
      <w:r>
        <w:rPr>
          <w:color w:val="231F20"/>
          <w:spacing w:val="-13"/>
          <w:w w:val="105"/>
        </w:rPr>
        <w:t> </w:t>
      </w:r>
      <w:r>
        <w:rPr>
          <w:color w:val="231F20"/>
          <w:w w:val="105"/>
        </w:rPr>
        <w:t>communication</w:t>
      </w:r>
      <w:r>
        <w:rPr>
          <w:color w:val="231F20"/>
          <w:spacing w:val="-13"/>
          <w:w w:val="105"/>
        </w:rPr>
        <w:t> </w:t>
      </w:r>
      <w:r>
        <w:rPr>
          <w:color w:val="231F20"/>
          <w:w w:val="105"/>
        </w:rPr>
        <w:t>with</w:t>
      </w:r>
      <w:r>
        <w:rPr>
          <w:color w:val="231F20"/>
          <w:spacing w:val="-13"/>
          <w:w w:val="105"/>
        </w:rPr>
        <w:t> </w:t>
      </w:r>
      <w:r>
        <w:rPr>
          <w:color w:val="231F20"/>
          <w:w w:val="105"/>
        </w:rPr>
        <w:t>the</w:t>
      </w:r>
      <w:r>
        <w:rPr>
          <w:color w:val="231F20"/>
          <w:spacing w:val="-13"/>
          <w:w w:val="105"/>
        </w:rPr>
        <w:t> </w:t>
      </w:r>
      <w:r>
        <w:rPr>
          <w:color w:val="231F20"/>
          <w:w w:val="105"/>
        </w:rPr>
        <w:t>implicated food</w:t>
      </w:r>
      <w:r>
        <w:rPr>
          <w:color w:val="231F20"/>
          <w:spacing w:val="-9"/>
          <w:w w:val="105"/>
        </w:rPr>
        <w:t> </w:t>
      </w:r>
      <w:r>
        <w:rPr>
          <w:color w:val="231F20"/>
          <w:w w:val="105"/>
        </w:rPr>
        <w:t>establishment</w:t>
      </w:r>
      <w:r>
        <w:rPr>
          <w:color w:val="231F20"/>
          <w:spacing w:val="-9"/>
          <w:w w:val="105"/>
        </w:rPr>
        <w:t> </w:t>
      </w:r>
      <w:r>
        <w:rPr>
          <w:color w:val="231F20"/>
          <w:w w:val="105"/>
        </w:rPr>
        <w:t>and</w:t>
      </w:r>
      <w:r>
        <w:rPr>
          <w:color w:val="231F20"/>
          <w:spacing w:val="-9"/>
          <w:w w:val="105"/>
        </w:rPr>
        <w:t> </w:t>
      </w:r>
      <w:r>
        <w:rPr>
          <w:color w:val="231F20"/>
          <w:w w:val="105"/>
        </w:rPr>
        <w:t>may</w:t>
      </w:r>
      <w:r>
        <w:rPr>
          <w:color w:val="231F20"/>
          <w:spacing w:val="-9"/>
          <w:w w:val="105"/>
        </w:rPr>
        <w:t> </w:t>
      </w:r>
      <w:r>
        <w:rPr>
          <w:color w:val="231F20"/>
          <w:w w:val="105"/>
        </w:rPr>
        <w:t>require</w:t>
      </w:r>
      <w:r>
        <w:rPr>
          <w:color w:val="231F20"/>
          <w:spacing w:val="-9"/>
          <w:w w:val="105"/>
        </w:rPr>
        <w:t> </w:t>
      </w:r>
      <w:r>
        <w:rPr>
          <w:color w:val="231F20"/>
          <w:w w:val="105"/>
        </w:rPr>
        <w:t>increased inspections</w:t>
      </w:r>
      <w:r>
        <w:rPr>
          <w:color w:val="231F20"/>
          <w:spacing w:val="-21"/>
          <w:w w:val="105"/>
        </w:rPr>
        <w:t> </w:t>
      </w:r>
      <w:r>
        <w:rPr>
          <w:color w:val="231F20"/>
          <w:w w:val="105"/>
        </w:rPr>
        <w:t>and</w:t>
      </w:r>
      <w:r>
        <w:rPr>
          <w:color w:val="231F20"/>
          <w:spacing w:val="-21"/>
          <w:w w:val="105"/>
        </w:rPr>
        <w:t> </w:t>
      </w:r>
      <w:r>
        <w:rPr>
          <w:color w:val="231F20"/>
          <w:w w:val="105"/>
        </w:rPr>
        <w:t>customized</w:t>
      </w:r>
      <w:r>
        <w:rPr>
          <w:color w:val="231F20"/>
          <w:spacing w:val="-21"/>
          <w:w w:val="105"/>
        </w:rPr>
        <w:t> </w:t>
      </w:r>
      <w:r>
        <w:rPr>
          <w:color w:val="231F20"/>
          <w:w w:val="105"/>
        </w:rPr>
        <w:t>training.</w:t>
      </w:r>
    </w:p>
    <w:p>
      <w:pPr>
        <w:pStyle w:val="BodyText"/>
        <w:spacing w:line="261" w:lineRule="auto" w:before="165"/>
        <w:ind w:left="319" w:right="1270"/>
        <w:rPr>
          <w:rFonts w:ascii="Arial"/>
        </w:rPr>
      </w:pPr>
      <w:r>
        <w:rPr>
          <w:rFonts w:ascii="Arial"/>
          <w:color w:val="1C3E94"/>
          <w:w w:val="105"/>
        </w:rPr>
        <w:t>After-Action Meetings and Reports</w:t>
      </w:r>
      <w:r>
        <w:rPr>
          <w:rFonts w:ascii="Arial"/>
          <w:color w:val="1C3E94"/>
          <w:w w:val="100"/>
        </w:rPr>
        <w:t> </w:t>
      </w:r>
      <w:r>
        <w:rPr>
          <w:rFonts w:ascii="Arial"/>
          <w:color w:val="1C3E94"/>
        </w:rPr>
        <w:t>(Section 6.7)</w:t>
      </w:r>
    </w:p>
    <w:p>
      <w:pPr>
        <w:pStyle w:val="BodyText"/>
        <w:spacing w:line="261" w:lineRule="auto" w:before="181"/>
        <w:ind w:left="319" w:right="914"/>
        <w:rPr>
          <w:rFonts w:ascii="Times New Roman"/>
        </w:rPr>
      </w:pPr>
      <w:r>
        <w:rPr>
          <w:rFonts w:ascii="Times New Roman"/>
          <w:color w:val="231F20"/>
        </w:rPr>
        <w:t>The outbreak investigation and control team </w:t>
      </w:r>
      <w:r>
        <w:rPr>
          <w:color w:val="231F20"/>
        </w:rPr>
        <w:t>should meet and review all aspects of the </w:t>
      </w:r>
      <w:r>
        <w:rPr>
          <w:rFonts w:ascii="Times New Roman"/>
          <w:color w:val="231F20"/>
        </w:rPr>
        <w:t>investigation including the root cause of the outbreak, long-term and structural control</w:t>
      </w:r>
    </w:p>
    <w:p>
      <w:pPr>
        <w:spacing w:after="0" w:line="261" w:lineRule="auto"/>
        <w:rPr>
          <w:rFonts w:ascii="Times New Roman"/>
        </w:rPr>
        <w:sectPr>
          <w:type w:val="continuous"/>
          <w:pgSz w:w="10080" w:h="14400"/>
          <w:pgMar w:top="0" w:bottom="360" w:left="0" w:right="0"/>
          <w:cols w:num="2" w:equalWidth="0">
            <w:col w:w="5221" w:space="40"/>
            <w:col w:w="4819"/>
          </w:cols>
        </w:sectPr>
      </w:pPr>
    </w:p>
    <w:p>
      <w:pPr>
        <w:pStyle w:val="BodyText"/>
        <w:spacing w:before="2"/>
        <w:rPr>
          <w:rFonts w:ascii="Times New Roman"/>
          <w:sz w:val="26"/>
        </w:rPr>
      </w:pPr>
    </w:p>
    <w:p>
      <w:pPr>
        <w:pStyle w:val="Heading1"/>
        <w:ind w:left="720"/>
      </w:pPr>
      <w:r>
        <w:rPr/>
        <w:pict>
          <v:line style="position:absolute;mso-position-horizontal-relative:page;mso-position-vertical-relative:paragraph;z-index:4072;mso-wrap-distance-left:0;mso-wrap-distance-right:0" from="36pt,23.991844pt" to="432pt,23.991844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4096" filled="true" fillcolor="#0079c1" stroked="false">
            <v:fill type="solid"/>
            <w10:wrap type="none"/>
          </v:rect>
        </w:pict>
      </w:r>
      <w:r>
        <w:rPr/>
        <w:pict>
          <v:line style="position:absolute;mso-position-horizontal-relative:page;mso-position-vertical-relative:paragraph;z-index:4120"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414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color w:val="00A94F"/>
        </w:rPr>
        <w:t>Overview of Chapter 6. Control  Measures</w:t>
      </w:r>
    </w:p>
    <w:p>
      <w:pPr>
        <w:pStyle w:val="BodyText"/>
        <w:rPr>
          <w:rFonts w:ascii="Arial"/>
          <w:sz w:val="18"/>
        </w:rPr>
      </w:pPr>
    </w:p>
    <w:p>
      <w:pPr>
        <w:spacing w:after="0"/>
        <w:rPr>
          <w:rFonts w:ascii="Arial"/>
          <w:sz w:val="18"/>
        </w:rPr>
        <w:sectPr>
          <w:pgSz w:w="10080" w:h="14400"/>
          <w:pgMar w:header="0" w:footer="160" w:top="980" w:bottom="360" w:left="0" w:right="0"/>
        </w:sectPr>
      </w:pPr>
    </w:p>
    <w:p>
      <w:pPr>
        <w:pStyle w:val="BodyText"/>
        <w:spacing w:line="264" w:lineRule="auto" w:before="108"/>
        <w:ind w:left="720" w:right="186"/>
      </w:pPr>
      <w:r>
        <w:rPr>
          <w:color w:val="231F20"/>
        </w:rPr>
        <w:t>measures, effectiveness of outbreak control measures, problems with the response effort </w:t>
      </w:r>
      <w:r>
        <w:rPr>
          <w:rFonts w:ascii="Times New Roman"/>
          <w:color w:val="231F20"/>
        </w:rPr>
        <w:t>and needed changes, and need for further </w:t>
      </w:r>
      <w:r>
        <w:rPr>
          <w:color w:val="231F20"/>
        </w:rPr>
        <w:t>study. The complexity of the review depends on the size of  the outbreak.</w:t>
      </w:r>
    </w:p>
    <w:p>
      <w:pPr>
        <w:pStyle w:val="BodyText"/>
        <w:spacing w:before="167"/>
        <w:ind w:left="720"/>
        <w:rPr>
          <w:rFonts w:ascii="Arial"/>
        </w:rPr>
      </w:pPr>
      <w:r>
        <w:rPr>
          <w:rFonts w:ascii="Arial"/>
          <w:color w:val="1C3E94"/>
        </w:rPr>
        <w:t>Outbreak Report (Section 6.8)</w:t>
      </w:r>
    </w:p>
    <w:p>
      <w:pPr>
        <w:pStyle w:val="BodyText"/>
        <w:spacing w:before="8"/>
        <w:rPr>
          <w:rFonts w:ascii="Arial"/>
          <w:sz w:val="18"/>
        </w:rPr>
      </w:pPr>
    </w:p>
    <w:p>
      <w:pPr>
        <w:pStyle w:val="BodyText"/>
        <w:spacing w:line="264" w:lineRule="auto"/>
        <w:ind w:left="720" w:right="186"/>
      </w:pPr>
      <w:r>
        <w:rPr>
          <w:color w:val="231F20"/>
          <w:w w:val="105"/>
        </w:rPr>
        <w:t>Summary reports should be prepared for all </w:t>
      </w:r>
      <w:r>
        <w:rPr>
          <w:rFonts w:ascii="Times New Roman"/>
          <w:color w:val="231F20"/>
          <w:w w:val="105"/>
        </w:rPr>
        <w:t>outbreaks to document activities, educate </w:t>
      </w:r>
      <w:r>
        <w:rPr>
          <w:color w:val="231F20"/>
          <w:w w:val="105"/>
        </w:rPr>
        <w:t>staff, and look for trends across outbreaks that can be useful in future investigations.</w:t>
      </w:r>
    </w:p>
    <w:p>
      <w:pPr>
        <w:pStyle w:val="BodyText"/>
        <w:spacing w:line="266" w:lineRule="auto" w:before="2"/>
        <w:ind w:left="720" w:right="95"/>
      </w:pPr>
      <w:r>
        <w:rPr>
          <w:color w:val="231F20"/>
          <w:spacing w:val="-7"/>
          <w:w w:val="105"/>
        </w:rPr>
        <w:t>For </w:t>
      </w:r>
      <w:r>
        <w:rPr>
          <w:color w:val="231F20"/>
          <w:w w:val="105"/>
        </w:rPr>
        <w:t>a large outbreak, the final report should be more comprehensive, with information provided </w:t>
      </w:r>
      <w:r>
        <w:rPr>
          <w:color w:val="231F20"/>
          <w:spacing w:val="-3"/>
          <w:w w:val="105"/>
        </w:rPr>
        <w:t>by </w:t>
      </w:r>
      <w:r>
        <w:rPr>
          <w:color w:val="231F20"/>
          <w:w w:val="105"/>
        </w:rPr>
        <w:t>all team members. Such a report </w:t>
      </w:r>
      <w:r>
        <w:rPr>
          <w:rFonts w:ascii="Times New Roman"/>
          <w:color w:val="231F20"/>
          <w:w w:val="105"/>
        </w:rPr>
        <w:t>should be disseminated to all participating </w:t>
      </w:r>
      <w:r>
        <w:rPr>
          <w:color w:val="231F20"/>
          <w:w w:val="105"/>
        </w:rPr>
        <w:t>organizations and investigators. Given that outbreak reports are likely to be subject to Freedom</w:t>
      </w:r>
      <w:r>
        <w:rPr>
          <w:color w:val="231F20"/>
          <w:spacing w:val="-24"/>
          <w:w w:val="105"/>
        </w:rPr>
        <w:t> </w:t>
      </w:r>
      <w:r>
        <w:rPr>
          <w:color w:val="231F20"/>
          <w:w w:val="105"/>
        </w:rPr>
        <w:t>of</w:t>
      </w:r>
      <w:r>
        <w:rPr>
          <w:color w:val="231F20"/>
          <w:spacing w:val="-8"/>
          <w:w w:val="105"/>
        </w:rPr>
        <w:t> </w:t>
      </w:r>
      <w:r>
        <w:rPr>
          <w:color w:val="231F20"/>
          <w:w w:val="105"/>
        </w:rPr>
        <w:t>Information</w:t>
      </w:r>
      <w:r>
        <w:rPr>
          <w:color w:val="231F20"/>
          <w:spacing w:val="-24"/>
          <w:w w:val="105"/>
        </w:rPr>
        <w:t> </w:t>
      </w:r>
      <w:r>
        <w:rPr>
          <w:color w:val="231F20"/>
          <w:w w:val="105"/>
        </w:rPr>
        <w:t>Act</w:t>
      </w:r>
      <w:r>
        <w:rPr>
          <w:color w:val="231F20"/>
          <w:spacing w:val="-24"/>
          <w:w w:val="105"/>
        </w:rPr>
        <w:t> </w:t>
      </w:r>
      <w:r>
        <w:rPr>
          <w:color w:val="231F20"/>
          <w:w w:val="105"/>
        </w:rPr>
        <w:t>requests,</w:t>
      </w:r>
      <w:r>
        <w:rPr>
          <w:color w:val="231F20"/>
          <w:spacing w:val="-24"/>
          <w:w w:val="105"/>
        </w:rPr>
        <w:t> </w:t>
      </w:r>
      <w:r>
        <w:rPr>
          <w:color w:val="231F20"/>
          <w:w w:val="105"/>
        </w:rPr>
        <w:t>reports should</w:t>
      </w:r>
      <w:r>
        <w:rPr>
          <w:color w:val="231F20"/>
          <w:spacing w:val="-13"/>
          <w:w w:val="105"/>
        </w:rPr>
        <w:t> </w:t>
      </w:r>
      <w:r>
        <w:rPr>
          <w:color w:val="231F20"/>
          <w:w w:val="105"/>
        </w:rPr>
        <w:t>not</w:t>
      </w:r>
      <w:r>
        <w:rPr>
          <w:color w:val="231F20"/>
          <w:spacing w:val="-13"/>
          <w:w w:val="105"/>
        </w:rPr>
        <w:t> </w:t>
      </w:r>
      <w:r>
        <w:rPr>
          <w:color w:val="231F20"/>
          <w:w w:val="105"/>
        </w:rPr>
        <w:t>identify</w:t>
      </w:r>
      <w:r>
        <w:rPr>
          <w:color w:val="231F20"/>
          <w:spacing w:val="-13"/>
          <w:w w:val="105"/>
        </w:rPr>
        <w:t> </w:t>
      </w:r>
      <w:r>
        <w:rPr>
          <w:color w:val="231F20"/>
          <w:w w:val="105"/>
        </w:rPr>
        <w:t>individuals</w:t>
      </w:r>
      <w:r>
        <w:rPr>
          <w:color w:val="231F20"/>
          <w:spacing w:val="-13"/>
          <w:w w:val="105"/>
        </w:rPr>
        <w:t> </w:t>
      </w:r>
      <w:r>
        <w:rPr>
          <w:color w:val="231F20"/>
          <w:w w:val="105"/>
        </w:rPr>
        <w:t>or</w:t>
      </w:r>
      <w:r>
        <w:rPr>
          <w:color w:val="231F20"/>
          <w:spacing w:val="-13"/>
          <w:w w:val="105"/>
        </w:rPr>
        <w:t> </w:t>
      </w:r>
      <w:r>
        <w:rPr>
          <w:color w:val="231F20"/>
          <w:w w:val="105"/>
        </w:rPr>
        <w:t>share</w:t>
      </w:r>
    </w:p>
    <w:p>
      <w:pPr>
        <w:pStyle w:val="BodyText"/>
        <w:spacing w:line="266" w:lineRule="auto"/>
        <w:ind w:left="720" w:right="99"/>
      </w:pPr>
      <w:r>
        <w:rPr>
          <w:color w:val="231F20"/>
          <w:w w:val="105"/>
        </w:rPr>
        <w:t>other legally nonpublic information, unless absolutely necessary, nor should they include inappropriate language.</w:t>
      </w:r>
    </w:p>
    <w:p>
      <w:pPr>
        <w:pStyle w:val="BodyText"/>
        <w:spacing w:before="165"/>
        <w:ind w:left="720"/>
        <w:rPr>
          <w:rFonts w:ascii="Arial"/>
        </w:rPr>
      </w:pPr>
      <w:r>
        <w:rPr>
          <w:rFonts w:ascii="Arial"/>
          <w:color w:val="1C3E94"/>
        </w:rPr>
        <w:t>Other Follow-Up Activities (Section  6.9)</w:t>
      </w:r>
    </w:p>
    <w:p>
      <w:pPr>
        <w:pStyle w:val="BodyText"/>
        <w:spacing w:before="8"/>
        <w:rPr>
          <w:rFonts w:ascii="Arial"/>
          <w:sz w:val="18"/>
        </w:rPr>
      </w:pPr>
    </w:p>
    <w:p>
      <w:pPr>
        <w:pStyle w:val="BodyText"/>
        <w:spacing w:line="264" w:lineRule="auto"/>
        <w:ind w:left="720" w:right="186"/>
      </w:pPr>
      <w:r>
        <w:rPr>
          <w:color w:val="231F20"/>
          <w:w w:val="105"/>
        </w:rPr>
        <w:t>The outbreak investigation findings might identify the need for new measures to </w:t>
      </w:r>
      <w:r>
        <w:rPr>
          <w:rFonts w:ascii="Times New Roman"/>
          <w:color w:val="231F20"/>
          <w:w w:val="105"/>
        </w:rPr>
        <w:t>detect, control, or eliminate pathogenic </w:t>
      </w:r>
      <w:r>
        <w:rPr>
          <w:color w:val="231F20"/>
          <w:w w:val="105"/>
        </w:rPr>
        <w:t>microorganisms (or their toxins) from food requiring</w:t>
      </w:r>
      <w:r>
        <w:rPr>
          <w:color w:val="231F20"/>
          <w:spacing w:val="-14"/>
          <w:w w:val="105"/>
        </w:rPr>
        <w:t> </w:t>
      </w:r>
      <w:r>
        <w:rPr>
          <w:color w:val="231F20"/>
          <w:w w:val="105"/>
        </w:rPr>
        <w:t>future</w:t>
      </w:r>
      <w:r>
        <w:rPr>
          <w:color w:val="231F20"/>
          <w:spacing w:val="-14"/>
          <w:w w:val="105"/>
        </w:rPr>
        <w:t> </w:t>
      </w:r>
      <w:r>
        <w:rPr>
          <w:color w:val="231F20"/>
          <w:w w:val="105"/>
        </w:rPr>
        <w:t>studies</w:t>
      </w:r>
      <w:r>
        <w:rPr>
          <w:color w:val="231F20"/>
          <w:spacing w:val="-14"/>
          <w:w w:val="105"/>
        </w:rPr>
        <w:t> </w:t>
      </w:r>
      <w:r>
        <w:rPr>
          <w:color w:val="231F20"/>
          <w:w w:val="105"/>
        </w:rPr>
        <w:t>or</w:t>
      </w:r>
      <w:r>
        <w:rPr>
          <w:color w:val="231F20"/>
          <w:spacing w:val="-14"/>
          <w:w w:val="105"/>
        </w:rPr>
        <w:t> </w:t>
      </w:r>
      <w:r>
        <w:rPr>
          <w:color w:val="231F20"/>
          <w:w w:val="105"/>
        </w:rPr>
        <w:t>research</w:t>
      </w:r>
      <w:r>
        <w:rPr>
          <w:color w:val="231F20"/>
          <w:spacing w:val="-14"/>
          <w:w w:val="105"/>
        </w:rPr>
        <w:t> </w:t>
      </w:r>
      <w:r>
        <w:rPr>
          <w:color w:val="231F20"/>
          <w:w w:val="105"/>
        </w:rPr>
        <w:t>(6.9.1).</w:t>
      </w:r>
      <w:r>
        <w:rPr>
          <w:color w:val="231F20"/>
          <w:spacing w:val="-14"/>
          <w:w w:val="105"/>
        </w:rPr>
        <w:t> </w:t>
      </w:r>
      <w:r>
        <w:rPr>
          <w:color w:val="231F20"/>
          <w:w w:val="105"/>
        </w:rPr>
        <w:t>If</w:t>
      </w:r>
    </w:p>
    <w:p>
      <w:pPr>
        <w:pStyle w:val="BodyText"/>
        <w:spacing w:line="261" w:lineRule="auto" w:before="2"/>
        <w:ind w:left="720" w:right="-12"/>
        <w:rPr>
          <w:rFonts w:ascii="Times New Roman"/>
        </w:rPr>
      </w:pPr>
      <w:r>
        <w:rPr>
          <w:color w:val="231F20"/>
          <w:w w:val="105"/>
        </w:rPr>
        <w:t>something unusual characterized the outbreak </w:t>
      </w:r>
      <w:r>
        <w:rPr>
          <w:color w:val="231F20"/>
          <w:spacing w:val="-4"/>
          <w:w w:val="105"/>
        </w:rPr>
        <w:t>(e.g.,</w:t>
      </w:r>
      <w:r>
        <w:rPr>
          <w:color w:val="231F20"/>
          <w:spacing w:val="-12"/>
          <w:w w:val="105"/>
        </w:rPr>
        <w:t> </w:t>
      </w:r>
      <w:r>
        <w:rPr>
          <w:color w:val="231F20"/>
          <w:w w:val="105"/>
        </w:rPr>
        <w:t>unusual</w:t>
      </w:r>
      <w:r>
        <w:rPr>
          <w:color w:val="231F20"/>
          <w:spacing w:val="-12"/>
          <w:w w:val="105"/>
        </w:rPr>
        <w:t> </w:t>
      </w:r>
      <w:r>
        <w:rPr>
          <w:color w:val="231F20"/>
          <w:w w:val="105"/>
        </w:rPr>
        <w:t>exposure,</w:t>
      </w:r>
      <w:r>
        <w:rPr>
          <w:color w:val="231F20"/>
          <w:spacing w:val="-12"/>
          <w:w w:val="105"/>
        </w:rPr>
        <w:t> </w:t>
      </w:r>
      <w:r>
        <w:rPr>
          <w:color w:val="231F20"/>
          <w:w w:val="105"/>
        </w:rPr>
        <w:t>presence</w:t>
      </w:r>
      <w:r>
        <w:rPr>
          <w:color w:val="231F20"/>
          <w:spacing w:val="-12"/>
          <w:w w:val="105"/>
        </w:rPr>
        <w:t> </w:t>
      </w:r>
      <w:r>
        <w:rPr>
          <w:color w:val="231F20"/>
          <w:w w:val="105"/>
        </w:rPr>
        <w:t>of</w:t>
      </w:r>
      <w:r>
        <w:rPr>
          <w:color w:val="231F20"/>
          <w:spacing w:val="11"/>
          <w:w w:val="105"/>
        </w:rPr>
        <w:t> </w:t>
      </w:r>
      <w:r>
        <w:rPr>
          <w:color w:val="231F20"/>
          <w:w w:val="105"/>
        </w:rPr>
        <w:t>a</w:t>
      </w:r>
      <w:r>
        <w:rPr>
          <w:color w:val="231F20"/>
          <w:spacing w:val="-12"/>
          <w:w w:val="105"/>
        </w:rPr>
        <w:t> </w:t>
      </w:r>
      <w:r>
        <w:rPr>
          <w:color w:val="231F20"/>
          <w:w w:val="105"/>
        </w:rPr>
        <w:t>pathogen in a food where it had not previously been </w:t>
      </w:r>
      <w:r>
        <w:rPr>
          <w:rFonts w:ascii="Times New Roman"/>
          <w:color w:val="231F20"/>
        </w:rPr>
        <w:t>seen)</w:t>
      </w:r>
      <w:r>
        <w:rPr>
          <w:rFonts w:ascii="Times New Roman"/>
          <w:color w:val="231F20"/>
          <w:spacing w:val="-14"/>
        </w:rPr>
        <w:t> </w:t>
      </w:r>
      <w:r>
        <w:rPr>
          <w:rFonts w:ascii="Times New Roman"/>
          <w:color w:val="231F20"/>
        </w:rPr>
        <w:t>the</w:t>
      </w:r>
      <w:r>
        <w:rPr>
          <w:rFonts w:ascii="Times New Roman"/>
          <w:color w:val="231F20"/>
          <w:spacing w:val="-15"/>
        </w:rPr>
        <w:t> </w:t>
      </w:r>
      <w:r>
        <w:rPr>
          <w:rFonts w:ascii="Times New Roman"/>
          <w:color w:val="231F20"/>
        </w:rPr>
        <w:t>results</w:t>
      </w:r>
      <w:r>
        <w:rPr>
          <w:rFonts w:ascii="Times New Roman"/>
          <w:color w:val="231F20"/>
          <w:spacing w:val="-15"/>
        </w:rPr>
        <w:t> </w:t>
      </w:r>
      <w:r>
        <w:rPr>
          <w:rFonts w:ascii="Times New Roman"/>
          <w:color w:val="231F20"/>
        </w:rPr>
        <w:t>of</w:t>
      </w:r>
      <w:r>
        <w:rPr>
          <w:rFonts w:ascii="Times New Roman"/>
          <w:color w:val="231F20"/>
          <w:spacing w:val="6"/>
        </w:rPr>
        <w:t> </w:t>
      </w:r>
      <w:r>
        <w:rPr>
          <w:rFonts w:ascii="Times New Roman"/>
          <w:color w:val="231F20"/>
        </w:rPr>
        <w:t>the</w:t>
      </w:r>
      <w:r>
        <w:rPr>
          <w:rFonts w:ascii="Times New Roman"/>
          <w:color w:val="231F20"/>
          <w:spacing w:val="-15"/>
        </w:rPr>
        <w:t> </w:t>
      </w:r>
      <w:r>
        <w:rPr>
          <w:rFonts w:ascii="Times New Roman"/>
          <w:color w:val="231F20"/>
        </w:rPr>
        <w:t>investigation</w:t>
      </w:r>
      <w:r>
        <w:rPr>
          <w:rFonts w:ascii="Times New Roman"/>
          <w:color w:val="231F20"/>
          <w:spacing w:val="-15"/>
        </w:rPr>
        <w:t> </w:t>
      </w:r>
      <w:r>
        <w:rPr>
          <w:rFonts w:ascii="Times New Roman"/>
          <w:color w:val="231F20"/>
        </w:rPr>
        <w:t>should</w:t>
      </w:r>
    </w:p>
    <w:p>
      <w:pPr>
        <w:pStyle w:val="BodyText"/>
        <w:spacing w:line="264" w:lineRule="auto" w:before="14"/>
        <w:ind w:left="720" w:right="221"/>
        <w:rPr>
          <w:rFonts w:ascii="Times New Roman"/>
        </w:rPr>
      </w:pPr>
      <w:r>
        <w:rPr>
          <w:color w:val="231F20"/>
          <w:w w:val="105"/>
        </w:rPr>
        <w:t>be disseminated more widely </w:t>
      </w:r>
      <w:r>
        <w:rPr>
          <w:color w:val="231F20"/>
          <w:spacing w:val="-4"/>
          <w:w w:val="105"/>
        </w:rPr>
        <w:t>(e.g., </w:t>
      </w:r>
      <w:r>
        <w:rPr>
          <w:color w:val="231F20"/>
          <w:w w:val="105"/>
        </w:rPr>
        <w:t>through peer-reviewed</w:t>
      </w:r>
      <w:r>
        <w:rPr>
          <w:color w:val="231F20"/>
          <w:spacing w:val="-27"/>
          <w:w w:val="105"/>
        </w:rPr>
        <w:t> </w:t>
      </w:r>
      <w:r>
        <w:rPr>
          <w:color w:val="231F20"/>
          <w:w w:val="105"/>
        </w:rPr>
        <w:t>journals)</w:t>
      </w:r>
      <w:r>
        <w:rPr>
          <w:color w:val="231F20"/>
          <w:spacing w:val="-27"/>
          <w:w w:val="105"/>
        </w:rPr>
        <w:t> </w:t>
      </w:r>
      <w:r>
        <w:rPr>
          <w:color w:val="231F20"/>
          <w:w w:val="105"/>
        </w:rPr>
        <w:t>(6.9.2).</w:t>
      </w:r>
      <w:r>
        <w:rPr>
          <w:color w:val="231F20"/>
          <w:spacing w:val="-27"/>
          <w:w w:val="105"/>
        </w:rPr>
        <w:t> </w:t>
      </w:r>
      <w:r>
        <w:rPr>
          <w:color w:val="231F20"/>
          <w:w w:val="105"/>
        </w:rPr>
        <w:t>Investigation findings might identify the need for broad education</w:t>
      </w:r>
      <w:r>
        <w:rPr>
          <w:color w:val="231F20"/>
          <w:spacing w:val="-23"/>
          <w:w w:val="105"/>
        </w:rPr>
        <w:t> </w:t>
      </w:r>
      <w:r>
        <w:rPr>
          <w:color w:val="231F20"/>
          <w:w w:val="105"/>
        </w:rPr>
        <w:t>efforts</w:t>
      </w:r>
      <w:r>
        <w:rPr>
          <w:color w:val="231F20"/>
          <w:spacing w:val="-23"/>
          <w:w w:val="105"/>
        </w:rPr>
        <w:t> </w:t>
      </w:r>
      <w:r>
        <w:rPr>
          <w:color w:val="231F20"/>
          <w:w w:val="105"/>
        </w:rPr>
        <w:t>of</w:t>
      </w:r>
      <w:r>
        <w:rPr>
          <w:color w:val="231F20"/>
          <w:spacing w:val="-6"/>
          <w:w w:val="105"/>
        </w:rPr>
        <w:t> </w:t>
      </w:r>
      <w:r>
        <w:rPr>
          <w:color w:val="231F20"/>
          <w:w w:val="105"/>
        </w:rPr>
        <w:t>the</w:t>
      </w:r>
      <w:r>
        <w:rPr>
          <w:color w:val="231F20"/>
          <w:spacing w:val="-23"/>
          <w:w w:val="105"/>
        </w:rPr>
        <w:t> </w:t>
      </w:r>
      <w:r>
        <w:rPr>
          <w:color w:val="231F20"/>
          <w:w w:val="105"/>
        </w:rPr>
        <w:t>public,</w:t>
      </w:r>
      <w:r>
        <w:rPr>
          <w:color w:val="231F20"/>
          <w:spacing w:val="-23"/>
          <w:w w:val="105"/>
        </w:rPr>
        <w:t> </w:t>
      </w:r>
      <w:r>
        <w:rPr>
          <w:color w:val="231F20"/>
          <w:w w:val="105"/>
        </w:rPr>
        <w:t>food</w:t>
      </w:r>
      <w:r>
        <w:rPr>
          <w:color w:val="231F20"/>
          <w:spacing w:val="-23"/>
          <w:w w:val="105"/>
        </w:rPr>
        <w:t> </w:t>
      </w:r>
      <w:r>
        <w:rPr>
          <w:color w:val="231F20"/>
          <w:w w:val="105"/>
        </w:rPr>
        <w:t>workers </w:t>
      </w:r>
      <w:r>
        <w:rPr>
          <w:rFonts w:ascii="Times New Roman"/>
          <w:color w:val="231F20"/>
        </w:rPr>
        <w:t>and processors, or health-care</w:t>
      </w:r>
      <w:r>
        <w:rPr>
          <w:rFonts w:ascii="Times New Roman"/>
          <w:color w:val="231F20"/>
          <w:spacing w:val="-22"/>
        </w:rPr>
        <w:t> </w:t>
      </w:r>
      <w:r>
        <w:rPr>
          <w:rFonts w:ascii="Times New Roman"/>
          <w:color w:val="231F20"/>
        </w:rPr>
        <w:t>providers</w:t>
      </w:r>
    </w:p>
    <w:p>
      <w:pPr>
        <w:pStyle w:val="BodyText"/>
        <w:spacing w:line="264" w:lineRule="auto" w:before="108"/>
        <w:ind w:left="335" w:right="1541"/>
      </w:pPr>
      <w:r>
        <w:rPr/>
        <w:br w:type="column"/>
      </w:r>
      <w:r>
        <w:rPr>
          <w:color w:val="231F20"/>
        </w:rPr>
        <w:t>(6.9.3). They might also identify the need for new public health or regulatory policies at the </w:t>
      </w:r>
      <w:r>
        <w:rPr>
          <w:rFonts w:ascii="Times New Roman"/>
          <w:color w:val="231F20"/>
        </w:rPr>
        <w:t>local, state, or federal level, such as changes in inspection practices, source controls, or surveillance procedures or increased control </w:t>
      </w:r>
      <w:r>
        <w:rPr>
          <w:color w:val="231F20"/>
        </w:rPr>
        <w:t>over the recall process  (6.9.4).</w:t>
      </w:r>
    </w:p>
    <w:p>
      <w:pPr>
        <w:pStyle w:val="BodyText"/>
        <w:spacing w:before="167"/>
        <w:ind w:left="335"/>
        <w:rPr>
          <w:rFonts w:ascii="Arial"/>
        </w:rPr>
      </w:pPr>
      <w:r>
        <w:rPr/>
        <w:pict>
          <v:shape style="position:absolute;margin-left:470.346802pt;margin-top:-86.992126pt;width:12.25pt;height:164.15pt;mso-position-horizontal-relative:page;mso-position-vertical-relative:paragraph;z-index:4168"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rFonts w:ascii="Arial"/>
          <w:color w:val="1C3E94"/>
        </w:rPr>
        <w:t>Introduction (Section 7.0)</w:t>
      </w:r>
    </w:p>
    <w:p>
      <w:pPr>
        <w:pStyle w:val="BodyText"/>
        <w:spacing w:before="5"/>
        <w:rPr>
          <w:rFonts w:ascii="Arial"/>
          <w:sz w:val="17"/>
        </w:rPr>
      </w:pPr>
    </w:p>
    <w:p>
      <w:pPr>
        <w:pStyle w:val="BodyText"/>
        <w:spacing w:line="264" w:lineRule="auto"/>
        <w:ind w:left="335" w:right="1651"/>
        <w:rPr>
          <w:rFonts w:ascii="Times New Roman"/>
        </w:rPr>
      </w:pPr>
      <w:r>
        <w:rPr>
          <w:rFonts w:ascii="Times New Roman"/>
          <w:color w:val="231F20"/>
        </w:rPr>
        <w:t>A multijurisdictional foodborne disease </w:t>
      </w:r>
      <w:r>
        <w:rPr>
          <w:color w:val="231F20"/>
        </w:rPr>
        <w:t>event (e.g., foodborne disease outbreak or </w:t>
      </w:r>
      <w:r>
        <w:rPr>
          <w:rFonts w:ascii="Times New Roman"/>
          <w:color w:val="231F20"/>
        </w:rPr>
        <w:t>contaminated food-product recall) requires the resources of more than one local, state, territorial, tribal, or federal public health or </w:t>
      </w:r>
      <w:r>
        <w:rPr>
          <w:color w:val="231F20"/>
        </w:rPr>
        <w:t>food-regulatory agency to detect, investigate, or control. Categories of multijurisdictional </w:t>
      </w:r>
      <w:r>
        <w:rPr>
          <w:rFonts w:ascii="Times New Roman"/>
          <w:color w:val="231F20"/>
        </w:rPr>
        <w:t>outbreaks include:</w:t>
      </w:r>
    </w:p>
    <w:p>
      <w:pPr>
        <w:pStyle w:val="ListParagraph"/>
        <w:numPr>
          <w:ilvl w:val="0"/>
          <w:numId w:val="2"/>
        </w:numPr>
        <w:tabs>
          <w:tab w:pos="507" w:val="left" w:leader="none"/>
        </w:tabs>
        <w:spacing w:line="266" w:lineRule="auto" w:before="192" w:after="0"/>
        <w:ind w:left="506" w:right="1789" w:hanging="171"/>
        <w:jc w:val="left"/>
        <w:rPr>
          <w:sz w:val="20"/>
        </w:rPr>
      </w:pPr>
      <w:r>
        <w:rPr>
          <w:color w:val="231F20"/>
          <w:w w:val="105"/>
          <w:sz w:val="20"/>
        </w:rPr>
        <w:t>Outbreaks</w:t>
      </w:r>
      <w:r>
        <w:rPr>
          <w:color w:val="231F20"/>
          <w:spacing w:val="-13"/>
          <w:w w:val="105"/>
          <w:sz w:val="20"/>
        </w:rPr>
        <w:t> </w:t>
      </w:r>
      <w:r>
        <w:rPr>
          <w:color w:val="231F20"/>
          <w:w w:val="105"/>
          <w:sz w:val="20"/>
        </w:rPr>
        <w:t>affecting</w:t>
      </w:r>
      <w:r>
        <w:rPr>
          <w:color w:val="231F20"/>
          <w:spacing w:val="-13"/>
          <w:w w:val="105"/>
          <w:sz w:val="20"/>
        </w:rPr>
        <w:t> </w:t>
      </w:r>
      <w:r>
        <w:rPr>
          <w:color w:val="231F20"/>
          <w:w w:val="105"/>
          <w:sz w:val="20"/>
        </w:rPr>
        <w:t>multiple</w:t>
      </w:r>
      <w:r>
        <w:rPr>
          <w:color w:val="231F20"/>
          <w:spacing w:val="-13"/>
          <w:w w:val="105"/>
          <w:sz w:val="20"/>
        </w:rPr>
        <w:t> </w:t>
      </w:r>
      <w:r>
        <w:rPr>
          <w:color w:val="231F20"/>
          <w:w w:val="105"/>
          <w:sz w:val="20"/>
        </w:rPr>
        <w:t>local</w:t>
      </w:r>
      <w:r>
        <w:rPr>
          <w:color w:val="231F20"/>
          <w:spacing w:val="-13"/>
          <w:w w:val="105"/>
          <w:sz w:val="20"/>
        </w:rPr>
        <w:t> </w:t>
      </w:r>
      <w:r>
        <w:rPr>
          <w:color w:val="231F20"/>
          <w:w w:val="105"/>
          <w:sz w:val="20"/>
        </w:rPr>
        <w:t>health jurisdictions</w:t>
      </w:r>
      <w:r>
        <w:rPr>
          <w:color w:val="231F20"/>
          <w:spacing w:val="-13"/>
          <w:w w:val="105"/>
          <w:sz w:val="20"/>
        </w:rPr>
        <w:t> </w:t>
      </w:r>
      <w:r>
        <w:rPr>
          <w:color w:val="231F20"/>
          <w:w w:val="105"/>
          <w:sz w:val="20"/>
        </w:rPr>
        <w:t>within</w:t>
      </w:r>
      <w:r>
        <w:rPr>
          <w:color w:val="231F20"/>
          <w:spacing w:val="-13"/>
          <w:w w:val="105"/>
          <w:sz w:val="20"/>
        </w:rPr>
        <w:t> </w:t>
      </w:r>
      <w:r>
        <w:rPr>
          <w:color w:val="231F20"/>
          <w:w w:val="105"/>
          <w:sz w:val="20"/>
        </w:rPr>
        <w:t>the</w:t>
      </w:r>
      <w:r>
        <w:rPr>
          <w:color w:val="231F20"/>
          <w:spacing w:val="-13"/>
          <w:w w:val="105"/>
          <w:sz w:val="20"/>
        </w:rPr>
        <w:t> </w:t>
      </w:r>
      <w:r>
        <w:rPr>
          <w:color w:val="231F20"/>
          <w:w w:val="105"/>
          <w:sz w:val="20"/>
        </w:rPr>
        <w:t>same</w:t>
      </w:r>
      <w:r>
        <w:rPr>
          <w:color w:val="231F20"/>
          <w:spacing w:val="-13"/>
          <w:w w:val="105"/>
          <w:sz w:val="20"/>
        </w:rPr>
        <w:t> </w:t>
      </w:r>
      <w:r>
        <w:rPr>
          <w:color w:val="231F20"/>
          <w:w w:val="105"/>
          <w:sz w:val="20"/>
        </w:rPr>
        <w:t>state;</w:t>
      </w:r>
    </w:p>
    <w:p>
      <w:pPr>
        <w:pStyle w:val="ListParagraph"/>
        <w:numPr>
          <w:ilvl w:val="0"/>
          <w:numId w:val="2"/>
        </w:numPr>
        <w:tabs>
          <w:tab w:pos="507" w:val="left" w:leader="none"/>
        </w:tabs>
        <w:spacing w:line="240" w:lineRule="auto" w:before="90" w:after="0"/>
        <w:ind w:left="506" w:right="0" w:hanging="171"/>
        <w:jc w:val="left"/>
        <w:rPr>
          <w:sz w:val="20"/>
        </w:rPr>
      </w:pPr>
      <w:r>
        <w:rPr>
          <w:color w:val="231F20"/>
          <w:w w:val="105"/>
          <w:sz w:val="20"/>
        </w:rPr>
        <w:t>Outbreaks</w:t>
      </w:r>
      <w:r>
        <w:rPr>
          <w:color w:val="231F20"/>
          <w:spacing w:val="-25"/>
          <w:w w:val="105"/>
          <w:sz w:val="20"/>
        </w:rPr>
        <w:t> </w:t>
      </w:r>
      <w:r>
        <w:rPr>
          <w:color w:val="231F20"/>
          <w:w w:val="105"/>
          <w:sz w:val="20"/>
        </w:rPr>
        <w:t>involving</w:t>
      </w:r>
      <w:r>
        <w:rPr>
          <w:color w:val="231F20"/>
          <w:spacing w:val="-25"/>
          <w:w w:val="105"/>
          <w:sz w:val="20"/>
        </w:rPr>
        <w:t> </w:t>
      </w:r>
      <w:r>
        <w:rPr>
          <w:color w:val="231F20"/>
          <w:w w:val="105"/>
          <w:sz w:val="20"/>
        </w:rPr>
        <w:t>multiple</w:t>
      </w:r>
      <w:r>
        <w:rPr>
          <w:color w:val="231F20"/>
          <w:spacing w:val="-25"/>
          <w:w w:val="105"/>
          <w:sz w:val="20"/>
        </w:rPr>
        <w:t> </w:t>
      </w:r>
      <w:r>
        <w:rPr>
          <w:color w:val="231F20"/>
          <w:w w:val="105"/>
          <w:sz w:val="20"/>
        </w:rPr>
        <w:t>states;</w:t>
      </w:r>
    </w:p>
    <w:p>
      <w:pPr>
        <w:pStyle w:val="ListParagraph"/>
        <w:numPr>
          <w:ilvl w:val="0"/>
          <w:numId w:val="2"/>
        </w:numPr>
        <w:tabs>
          <w:tab w:pos="507" w:val="left" w:leader="none"/>
        </w:tabs>
        <w:spacing w:line="240" w:lineRule="auto" w:before="114" w:after="0"/>
        <w:ind w:left="506" w:right="0" w:hanging="171"/>
        <w:jc w:val="left"/>
        <w:rPr>
          <w:sz w:val="20"/>
        </w:rPr>
      </w:pPr>
      <w:r>
        <w:rPr>
          <w:color w:val="231F20"/>
          <w:w w:val="105"/>
          <w:sz w:val="20"/>
        </w:rPr>
        <w:t>Outbreaks</w:t>
      </w:r>
      <w:r>
        <w:rPr>
          <w:color w:val="231F20"/>
          <w:spacing w:val="-24"/>
          <w:w w:val="105"/>
          <w:sz w:val="20"/>
        </w:rPr>
        <w:t> </w:t>
      </w:r>
      <w:r>
        <w:rPr>
          <w:color w:val="231F20"/>
          <w:w w:val="105"/>
          <w:sz w:val="20"/>
        </w:rPr>
        <w:t>involving</w:t>
      </w:r>
      <w:r>
        <w:rPr>
          <w:color w:val="231F20"/>
          <w:spacing w:val="-24"/>
          <w:w w:val="105"/>
          <w:sz w:val="20"/>
        </w:rPr>
        <w:t> </w:t>
      </w:r>
      <w:r>
        <w:rPr>
          <w:color w:val="231F20"/>
          <w:w w:val="105"/>
          <w:sz w:val="20"/>
        </w:rPr>
        <w:t>multiple</w:t>
      </w:r>
      <w:r>
        <w:rPr>
          <w:color w:val="231F20"/>
          <w:spacing w:val="-24"/>
          <w:w w:val="105"/>
          <w:sz w:val="20"/>
        </w:rPr>
        <w:t> </w:t>
      </w:r>
      <w:r>
        <w:rPr>
          <w:color w:val="231F20"/>
          <w:w w:val="105"/>
          <w:sz w:val="20"/>
        </w:rPr>
        <w:t>countries;</w:t>
      </w:r>
    </w:p>
    <w:p>
      <w:pPr>
        <w:pStyle w:val="ListParagraph"/>
        <w:numPr>
          <w:ilvl w:val="0"/>
          <w:numId w:val="2"/>
        </w:numPr>
        <w:tabs>
          <w:tab w:pos="507" w:val="left" w:leader="none"/>
        </w:tabs>
        <w:spacing w:line="266" w:lineRule="auto" w:before="114" w:after="0"/>
        <w:ind w:left="506" w:right="1509" w:hanging="171"/>
        <w:jc w:val="left"/>
        <w:rPr>
          <w:sz w:val="20"/>
        </w:rPr>
      </w:pPr>
      <w:r>
        <w:rPr>
          <w:color w:val="231F20"/>
          <w:w w:val="105"/>
          <w:sz w:val="20"/>
        </w:rPr>
        <w:t>Outbreaks affecting multiple distinct agencies </w:t>
      </w:r>
      <w:r>
        <w:rPr>
          <w:color w:val="231F20"/>
          <w:spacing w:val="-4"/>
          <w:w w:val="105"/>
          <w:sz w:val="20"/>
        </w:rPr>
        <w:t>(e.g., </w:t>
      </w:r>
      <w:r>
        <w:rPr>
          <w:color w:val="231F20"/>
          <w:w w:val="105"/>
          <w:sz w:val="20"/>
        </w:rPr>
        <w:t>public health,</w:t>
      </w:r>
      <w:r>
        <w:rPr>
          <w:color w:val="231F20"/>
          <w:spacing w:val="-10"/>
          <w:w w:val="105"/>
          <w:sz w:val="20"/>
        </w:rPr>
        <w:t> </w:t>
      </w:r>
      <w:r>
        <w:rPr>
          <w:color w:val="231F20"/>
          <w:spacing w:val="-3"/>
          <w:w w:val="105"/>
          <w:sz w:val="20"/>
        </w:rPr>
        <w:t>food-regulatory, </w:t>
      </w:r>
      <w:r>
        <w:rPr>
          <w:color w:val="231F20"/>
          <w:w w:val="105"/>
          <w:sz w:val="20"/>
        </w:rPr>
        <w:t>emergency</w:t>
      </w:r>
      <w:r>
        <w:rPr>
          <w:color w:val="231F20"/>
          <w:spacing w:val="-3"/>
          <w:w w:val="105"/>
          <w:sz w:val="20"/>
        </w:rPr>
        <w:t> </w:t>
      </w:r>
      <w:r>
        <w:rPr>
          <w:color w:val="231F20"/>
          <w:w w:val="105"/>
          <w:sz w:val="20"/>
        </w:rPr>
        <w:t>management);</w:t>
      </w:r>
    </w:p>
    <w:p>
      <w:pPr>
        <w:pStyle w:val="ListParagraph"/>
        <w:numPr>
          <w:ilvl w:val="0"/>
          <w:numId w:val="2"/>
        </w:numPr>
        <w:tabs>
          <w:tab w:pos="507" w:val="left" w:leader="none"/>
        </w:tabs>
        <w:spacing w:line="266" w:lineRule="auto" w:before="90" w:after="0"/>
        <w:ind w:left="506" w:right="1494" w:hanging="171"/>
        <w:jc w:val="left"/>
        <w:rPr>
          <w:sz w:val="20"/>
        </w:rPr>
      </w:pPr>
      <w:r>
        <w:rPr>
          <w:color w:val="231F20"/>
          <w:w w:val="105"/>
          <w:sz w:val="20"/>
        </w:rPr>
        <w:t>Outbreaks, regardless of jurisdiction,</w:t>
      </w:r>
      <w:r>
        <w:rPr>
          <w:color w:val="231F20"/>
          <w:spacing w:val="-35"/>
          <w:w w:val="105"/>
          <w:sz w:val="20"/>
        </w:rPr>
        <w:t> </w:t>
      </w:r>
      <w:r>
        <w:rPr>
          <w:color w:val="231F20"/>
          <w:w w:val="105"/>
          <w:sz w:val="20"/>
        </w:rPr>
        <w:t>caused </w:t>
      </w:r>
      <w:r>
        <w:rPr>
          <w:color w:val="231F20"/>
          <w:spacing w:val="-3"/>
          <w:w w:val="105"/>
          <w:sz w:val="20"/>
        </w:rPr>
        <w:t>by </w:t>
      </w:r>
      <w:r>
        <w:rPr>
          <w:color w:val="231F20"/>
          <w:w w:val="105"/>
          <w:sz w:val="20"/>
        </w:rPr>
        <w:t>highly pathogenic or unusual</w:t>
      </w:r>
      <w:r>
        <w:rPr>
          <w:color w:val="231F20"/>
          <w:spacing w:val="-11"/>
          <w:w w:val="105"/>
          <w:sz w:val="20"/>
        </w:rPr>
        <w:t> </w:t>
      </w:r>
      <w:r>
        <w:rPr>
          <w:color w:val="231F20"/>
          <w:w w:val="105"/>
          <w:sz w:val="20"/>
        </w:rPr>
        <w:t>agent;</w:t>
      </w:r>
    </w:p>
    <w:p>
      <w:pPr>
        <w:pStyle w:val="ListParagraph"/>
        <w:numPr>
          <w:ilvl w:val="0"/>
          <w:numId w:val="2"/>
        </w:numPr>
        <w:tabs>
          <w:tab w:pos="507" w:val="left" w:leader="none"/>
        </w:tabs>
        <w:spacing w:line="266" w:lineRule="auto" w:before="90" w:after="0"/>
        <w:ind w:left="506" w:right="1622" w:hanging="171"/>
        <w:jc w:val="left"/>
        <w:rPr>
          <w:sz w:val="20"/>
        </w:rPr>
      </w:pPr>
      <w:r>
        <w:rPr>
          <w:color w:val="231F20"/>
          <w:w w:val="105"/>
          <w:sz w:val="20"/>
        </w:rPr>
        <w:t>Outbreaks in which the suspected or implicated vehicle is a commercially distributed,</w:t>
      </w:r>
      <w:r>
        <w:rPr>
          <w:color w:val="231F20"/>
          <w:spacing w:val="-23"/>
          <w:w w:val="105"/>
          <w:sz w:val="20"/>
        </w:rPr>
        <w:t> </w:t>
      </w:r>
      <w:r>
        <w:rPr>
          <w:color w:val="231F20"/>
          <w:w w:val="105"/>
          <w:sz w:val="20"/>
        </w:rPr>
        <w:t>processed,</w:t>
      </w:r>
      <w:r>
        <w:rPr>
          <w:color w:val="231F20"/>
          <w:spacing w:val="-23"/>
          <w:w w:val="105"/>
          <w:sz w:val="20"/>
        </w:rPr>
        <w:t> </w:t>
      </w:r>
      <w:r>
        <w:rPr>
          <w:color w:val="231F20"/>
          <w:w w:val="105"/>
          <w:sz w:val="20"/>
        </w:rPr>
        <w:t>or</w:t>
      </w:r>
      <w:r>
        <w:rPr>
          <w:color w:val="231F20"/>
          <w:spacing w:val="-23"/>
          <w:w w:val="105"/>
          <w:sz w:val="20"/>
        </w:rPr>
        <w:t> </w:t>
      </w:r>
      <w:r>
        <w:rPr>
          <w:color w:val="231F20"/>
          <w:w w:val="105"/>
          <w:sz w:val="20"/>
        </w:rPr>
        <w:t>ready-to-eat</w:t>
      </w:r>
      <w:r>
        <w:rPr>
          <w:color w:val="231F20"/>
          <w:spacing w:val="-23"/>
          <w:w w:val="105"/>
          <w:sz w:val="20"/>
        </w:rPr>
        <w:t> </w:t>
      </w:r>
      <w:r>
        <w:rPr>
          <w:color w:val="231F20"/>
          <w:w w:val="105"/>
          <w:sz w:val="20"/>
        </w:rPr>
        <w:t>food contaminated</w:t>
      </w:r>
      <w:r>
        <w:rPr>
          <w:color w:val="231F20"/>
          <w:spacing w:val="-16"/>
          <w:w w:val="105"/>
          <w:sz w:val="20"/>
        </w:rPr>
        <w:t> </w:t>
      </w:r>
      <w:r>
        <w:rPr>
          <w:color w:val="231F20"/>
          <w:w w:val="105"/>
          <w:sz w:val="20"/>
        </w:rPr>
        <w:t>before</w:t>
      </w:r>
      <w:r>
        <w:rPr>
          <w:color w:val="231F20"/>
          <w:spacing w:val="-16"/>
          <w:w w:val="105"/>
          <w:sz w:val="20"/>
        </w:rPr>
        <w:t> </w:t>
      </w:r>
      <w:r>
        <w:rPr>
          <w:color w:val="231F20"/>
          <w:w w:val="105"/>
          <w:sz w:val="20"/>
        </w:rPr>
        <w:t>the</w:t>
      </w:r>
      <w:r>
        <w:rPr>
          <w:color w:val="231F20"/>
          <w:spacing w:val="-16"/>
          <w:w w:val="105"/>
          <w:sz w:val="20"/>
        </w:rPr>
        <w:t> </w:t>
      </w:r>
      <w:r>
        <w:rPr>
          <w:color w:val="231F20"/>
          <w:w w:val="105"/>
          <w:sz w:val="20"/>
        </w:rPr>
        <w:t>point</w:t>
      </w:r>
      <w:r>
        <w:rPr>
          <w:color w:val="231F20"/>
          <w:spacing w:val="-16"/>
          <w:w w:val="105"/>
          <w:sz w:val="20"/>
        </w:rPr>
        <w:t> </w:t>
      </w:r>
      <w:r>
        <w:rPr>
          <w:color w:val="231F20"/>
          <w:w w:val="105"/>
          <w:sz w:val="20"/>
        </w:rPr>
        <w:t>of</w:t>
      </w:r>
      <w:r>
        <w:rPr>
          <w:color w:val="231F20"/>
          <w:spacing w:val="4"/>
          <w:w w:val="105"/>
          <w:sz w:val="20"/>
        </w:rPr>
        <w:t> </w:t>
      </w:r>
      <w:r>
        <w:rPr>
          <w:color w:val="231F20"/>
          <w:w w:val="105"/>
          <w:sz w:val="20"/>
        </w:rPr>
        <w:t>service;</w:t>
      </w:r>
    </w:p>
    <w:p>
      <w:pPr>
        <w:pStyle w:val="ListParagraph"/>
        <w:numPr>
          <w:ilvl w:val="0"/>
          <w:numId w:val="2"/>
        </w:numPr>
        <w:tabs>
          <w:tab w:pos="507" w:val="left" w:leader="none"/>
        </w:tabs>
        <w:spacing w:line="266" w:lineRule="auto" w:before="90" w:after="0"/>
        <w:ind w:left="506" w:right="1547" w:hanging="171"/>
        <w:jc w:val="left"/>
        <w:rPr>
          <w:sz w:val="20"/>
        </w:rPr>
      </w:pPr>
      <w:r>
        <w:rPr>
          <w:color w:val="231F20"/>
          <w:w w:val="105"/>
          <w:sz w:val="20"/>
        </w:rPr>
        <w:t>Outbreaks</w:t>
      </w:r>
      <w:r>
        <w:rPr>
          <w:color w:val="231F20"/>
          <w:spacing w:val="-17"/>
          <w:w w:val="105"/>
          <w:sz w:val="20"/>
        </w:rPr>
        <w:t> </w:t>
      </w:r>
      <w:r>
        <w:rPr>
          <w:color w:val="231F20"/>
          <w:w w:val="105"/>
          <w:sz w:val="20"/>
        </w:rPr>
        <w:t>involving</w:t>
      </w:r>
      <w:r>
        <w:rPr>
          <w:color w:val="231F20"/>
          <w:spacing w:val="-17"/>
          <w:w w:val="105"/>
          <w:sz w:val="20"/>
        </w:rPr>
        <w:t> </w:t>
      </w:r>
      <w:r>
        <w:rPr>
          <w:color w:val="231F20"/>
          <w:w w:val="105"/>
          <w:sz w:val="20"/>
        </w:rPr>
        <w:t>large</w:t>
      </w:r>
      <w:r>
        <w:rPr>
          <w:color w:val="231F20"/>
          <w:spacing w:val="-17"/>
          <w:w w:val="105"/>
          <w:sz w:val="20"/>
        </w:rPr>
        <w:t> </w:t>
      </w:r>
      <w:r>
        <w:rPr>
          <w:color w:val="231F20"/>
          <w:w w:val="105"/>
          <w:sz w:val="20"/>
        </w:rPr>
        <w:t>numbers</w:t>
      </w:r>
      <w:r>
        <w:rPr>
          <w:color w:val="231F20"/>
          <w:spacing w:val="-17"/>
          <w:w w:val="105"/>
          <w:sz w:val="20"/>
        </w:rPr>
        <w:t> </w:t>
      </w:r>
      <w:r>
        <w:rPr>
          <w:color w:val="231F20"/>
          <w:w w:val="105"/>
          <w:sz w:val="20"/>
        </w:rPr>
        <w:t>of</w:t>
      </w:r>
      <w:r>
        <w:rPr>
          <w:color w:val="231F20"/>
          <w:spacing w:val="3"/>
          <w:w w:val="105"/>
          <w:sz w:val="20"/>
        </w:rPr>
        <w:t> </w:t>
      </w:r>
      <w:r>
        <w:rPr>
          <w:color w:val="231F20"/>
          <w:w w:val="105"/>
          <w:sz w:val="20"/>
        </w:rPr>
        <w:t>cases that may require additional resources to investigate;</w:t>
      </w:r>
      <w:r>
        <w:rPr>
          <w:color w:val="231F20"/>
          <w:spacing w:val="-14"/>
          <w:w w:val="105"/>
          <w:sz w:val="20"/>
        </w:rPr>
        <w:t> </w:t>
      </w:r>
      <w:r>
        <w:rPr>
          <w:color w:val="231F20"/>
          <w:w w:val="105"/>
          <w:sz w:val="20"/>
        </w:rPr>
        <w:t>and</w:t>
      </w:r>
    </w:p>
    <w:p>
      <w:pPr>
        <w:pStyle w:val="ListParagraph"/>
        <w:numPr>
          <w:ilvl w:val="0"/>
          <w:numId w:val="2"/>
        </w:numPr>
        <w:tabs>
          <w:tab w:pos="507" w:val="left" w:leader="none"/>
        </w:tabs>
        <w:spacing w:line="266" w:lineRule="auto" w:before="90" w:after="0"/>
        <w:ind w:left="506" w:right="2555" w:hanging="171"/>
        <w:jc w:val="left"/>
        <w:rPr>
          <w:sz w:val="20"/>
        </w:rPr>
      </w:pPr>
      <w:r>
        <w:rPr>
          <w:color w:val="231F20"/>
          <w:w w:val="105"/>
          <w:sz w:val="20"/>
        </w:rPr>
        <w:t>Outbreaks in which</w:t>
      </w:r>
      <w:r>
        <w:rPr>
          <w:color w:val="231F20"/>
          <w:spacing w:val="-33"/>
          <w:w w:val="105"/>
          <w:sz w:val="20"/>
        </w:rPr>
        <w:t> </w:t>
      </w:r>
      <w:r>
        <w:rPr>
          <w:color w:val="231F20"/>
          <w:w w:val="105"/>
          <w:sz w:val="20"/>
        </w:rPr>
        <w:t>intentional contamination</w:t>
      </w:r>
      <w:r>
        <w:rPr>
          <w:color w:val="231F20"/>
          <w:spacing w:val="-22"/>
          <w:w w:val="105"/>
          <w:sz w:val="20"/>
        </w:rPr>
        <w:t> </w:t>
      </w:r>
      <w:r>
        <w:rPr>
          <w:color w:val="231F20"/>
          <w:w w:val="105"/>
          <w:sz w:val="20"/>
        </w:rPr>
        <w:t>is</w:t>
      </w:r>
      <w:r>
        <w:rPr>
          <w:color w:val="231F20"/>
          <w:spacing w:val="-22"/>
          <w:w w:val="105"/>
          <w:sz w:val="20"/>
        </w:rPr>
        <w:t> </w:t>
      </w:r>
      <w:r>
        <w:rPr>
          <w:color w:val="231F20"/>
          <w:w w:val="105"/>
          <w:sz w:val="20"/>
        </w:rPr>
        <w:t>suspected.</w:t>
      </w:r>
    </w:p>
    <w:p>
      <w:pPr>
        <w:spacing w:after="0" w:line="266" w:lineRule="auto"/>
        <w:jc w:val="left"/>
        <w:rPr>
          <w:sz w:val="20"/>
        </w:rPr>
        <w:sectPr>
          <w:type w:val="continuous"/>
          <w:pgSz w:w="10080" w:h="14400"/>
          <w:pgMar w:top="0" w:bottom="360" w:left="0" w:right="0"/>
          <w:cols w:num="2" w:equalWidth="0">
            <w:col w:w="4485" w:space="40"/>
            <w:col w:w="5555"/>
          </w:cols>
        </w:sectPr>
      </w:pPr>
    </w:p>
    <w:p>
      <w:pPr>
        <w:pStyle w:val="BodyText"/>
        <w:spacing w:before="8"/>
        <w:rPr>
          <w:sz w:val="10"/>
        </w:rPr>
      </w:pPr>
    </w:p>
    <w:p>
      <w:pPr>
        <w:pStyle w:val="Heading1"/>
        <w:spacing w:line="249" w:lineRule="auto"/>
        <w:ind w:right="2321"/>
      </w:pPr>
      <w:r>
        <w:rPr/>
        <w:pict>
          <v:line style="position:absolute;mso-position-horizontal-relative:page;mso-position-vertical-relative:paragraph;z-index:4192;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4216" filled="true" fillcolor="#0079c1" stroked="false">
            <v:fill type="solid"/>
            <w10:wrap type="none"/>
          </v:rect>
        </w:pict>
      </w:r>
      <w:r>
        <w:rPr/>
        <w:pict>
          <v:line style="position:absolute;mso-position-horizontal-relative:page;mso-position-vertical-relative:paragraph;z-index:4240"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4264"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w w:val="105"/>
        </w:rPr>
        <w:t>Overview</w:t>
      </w:r>
      <w:r>
        <w:rPr>
          <w:color w:val="00A94F"/>
          <w:spacing w:val="-37"/>
          <w:w w:val="105"/>
        </w:rPr>
        <w:t> </w:t>
      </w:r>
      <w:r>
        <w:rPr>
          <w:color w:val="00A94F"/>
          <w:w w:val="105"/>
        </w:rPr>
        <w:t>of</w:t>
      </w:r>
      <w:r>
        <w:rPr>
          <w:color w:val="00A94F"/>
          <w:spacing w:val="-37"/>
          <w:w w:val="105"/>
        </w:rPr>
        <w:t> </w:t>
      </w:r>
      <w:r>
        <w:rPr>
          <w:color w:val="00A94F"/>
          <w:w w:val="105"/>
        </w:rPr>
        <w:t>Chapter</w:t>
      </w:r>
      <w:r>
        <w:rPr>
          <w:color w:val="00A94F"/>
          <w:spacing w:val="-37"/>
          <w:w w:val="105"/>
        </w:rPr>
        <w:t> </w:t>
      </w:r>
      <w:r>
        <w:rPr>
          <w:color w:val="00A94F"/>
          <w:w w:val="105"/>
        </w:rPr>
        <w:t>7.</w:t>
      </w:r>
      <w:r>
        <w:rPr>
          <w:color w:val="00A94F"/>
          <w:spacing w:val="-37"/>
          <w:w w:val="105"/>
        </w:rPr>
        <w:t> </w:t>
      </w:r>
      <w:r>
        <w:rPr>
          <w:color w:val="00A94F"/>
          <w:w w:val="105"/>
        </w:rPr>
        <w:t>Special</w:t>
      </w:r>
      <w:r>
        <w:rPr>
          <w:color w:val="00A94F"/>
          <w:spacing w:val="-37"/>
          <w:w w:val="105"/>
        </w:rPr>
        <w:t> </w:t>
      </w:r>
      <w:r>
        <w:rPr>
          <w:color w:val="00A94F"/>
          <w:w w:val="105"/>
        </w:rPr>
        <w:t>Considerations</w:t>
      </w:r>
      <w:r>
        <w:rPr>
          <w:color w:val="00A94F"/>
          <w:spacing w:val="-37"/>
          <w:w w:val="105"/>
        </w:rPr>
        <w:t> </w:t>
      </w:r>
      <w:r>
        <w:rPr>
          <w:color w:val="00A94F"/>
          <w:w w:val="105"/>
        </w:rPr>
        <w:t>for</w:t>
      </w:r>
      <w:r>
        <w:rPr>
          <w:color w:val="00A94F"/>
          <w:w w:val="108"/>
        </w:rPr>
        <w:t> </w:t>
      </w:r>
      <w:r>
        <w:rPr>
          <w:color w:val="00A94F"/>
        </w:rPr>
        <w:t>Multijurisdictional </w:t>
      </w:r>
      <w:r>
        <w:rPr>
          <w:color w:val="00A94F"/>
          <w:spacing w:val="34"/>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before="110"/>
        <w:ind w:left="1440"/>
        <w:rPr>
          <w:rFonts w:ascii="Arial"/>
        </w:rPr>
      </w:pPr>
      <w:r>
        <w:rPr>
          <w:rFonts w:ascii="Arial"/>
          <w:color w:val="1C3E94"/>
        </w:rPr>
        <w:t>Background (Section 7.1)</w:t>
      </w:r>
    </w:p>
    <w:p>
      <w:pPr>
        <w:pStyle w:val="BodyText"/>
        <w:spacing w:before="7"/>
        <w:rPr>
          <w:rFonts w:ascii="Arial"/>
          <w:sz w:val="18"/>
        </w:rPr>
      </w:pPr>
    </w:p>
    <w:p>
      <w:pPr>
        <w:pStyle w:val="BodyText"/>
        <w:spacing w:line="266" w:lineRule="auto" w:before="1"/>
        <w:ind w:left="1440" w:right="470"/>
      </w:pPr>
      <w:r>
        <w:rPr>
          <w:color w:val="231F20"/>
          <w:w w:val="105"/>
        </w:rPr>
        <w:t>In February 2001, the National Food Safety System (NFSS) Project, Outbreak</w:t>
      </w:r>
    </w:p>
    <w:p>
      <w:pPr>
        <w:pStyle w:val="BodyText"/>
        <w:spacing w:line="216" w:lineRule="exact"/>
        <w:ind w:left="1440"/>
        <w:rPr>
          <w:rFonts w:ascii="Times New Roman"/>
        </w:rPr>
      </w:pPr>
      <w:r>
        <w:rPr>
          <w:rFonts w:ascii="Times New Roman"/>
          <w:color w:val="231F20"/>
        </w:rPr>
        <w:t>Coordination and Investigation Workgroup,</w:t>
      </w:r>
    </w:p>
    <w:p>
      <w:pPr>
        <w:pStyle w:val="BodyText"/>
        <w:spacing w:line="266" w:lineRule="auto" w:before="20"/>
        <w:ind w:left="1440" w:right="18"/>
      </w:pPr>
      <w:r>
        <w:rPr>
          <w:rFonts w:ascii="Times New Roman"/>
          <w:color w:val="231F20"/>
        </w:rPr>
        <w:t>published guidelines for improving coordination and communication in multistate </w:t>
      </w:r>
      <w:r>
        <w:rPr>
          <w:color w:val="231F20"/>
        </w:rPr>
        <w:t>foodborne disease outbreak investigations. The audience for these guidelines was local, state, </w:t>
      </w:r>
      <w:r>
        <w:rPr>
          <w:rFonts w:ascii="Times New Roman"/>
          <w:color w:val="231F20"/>
        </w:rPr>
        <w:t>and federal agencies, including public health, </w:t>
      </w:r>
      <w:r>
        <w:rPr>
          <w:color w:val="231F20"/>
        </w:rPr>
        <w:t>epidemiology,  environmental, </w:t>
      </w:r>
      <w:r>
        <w:rPr>
          <w:color w:val="231F20"/>
          <w:spacing w:val="26"/>
        </w:rPr>
        <w:t> </w:t>
      </w:r>
      <w:r>
        <w:rPr>
          <w:color w:val="231F20"/>
          <w:spacing w:val="-3"/>
        </w:rPr>
        <w:t>laboratory,</w:t>
      </w:r>
    </w:p>
    <w:p>
      <w:pPr>
        <w:pStyle w:val="BodyText"/>
        <w:spacing w:line="266" w:lineRule="auto"/>
        <w:ind w:left="1440" w:right="126"/>
      </w:pPr>
      <w:r>
        <w:rPr>
          <w:color w:val="231F20"/>
          <w:w w:val="105"/>
        </w:rPr>
        <w:t>and agriculture representatives; industry; and </w:t>
      </w:r>
      <w:r>
        <w:rPr>
          <w:color w:val="231F20"/>
        </w:rPr>
        <w:t>professional organizations.</w:t>
      </w:r>
    </w:p>
    <w:p>
      <w:pPr>
        <w:pStyle w:val="BodyText"/>
        <w:spacing w:line="264" w:lineRule="auto" w:before="180"/>
        <w:ind w:left="1440" w:right="64"/>
      </w:pPr>
      <w:r>
        <w:rPr>
          <w:color w:val="231F20"/>
          <w:spacing w:val="-3"/>
        </w:rPr>
        <w:t>Terrorist  </w:t>
      </w:r>
      <w:r>
        <w:rPr>
          <w:color w:val="231F20"/>
        </w:rPr>
        <w:t>attacks on September 11, 2001,  </w:t>
      </w:r>
      <w:r>
        <w:rPr>
          <w:rFonts w:ascii="Times New Roman"/>
          <w:color w:val="231F20"/>
        </w:rPr>
        <w:t>raised concerns about the potential for intentional contamination of food at all levels </w:t>
      </w:r>
      <w:r>
        <w:rPr>
          <w:color w:val="231F20"/>
        </w:rPr>
        <w:t>of the food system, which would require interaction  among  agencies  that  previously had not worked </w:t>
      </w:r>
      <w:r>
        <w:rPr>
          <w:color w:val="231F20"/>
          <w:spacing w:val="-3"/>
        </w:rPr>
        <w:t>together. </w:t>
      </w:r>
      <w:r>
        <w:rPr>
          <w:color w:val="231F20"/>
        </w:rPr>
        <w:t>Subsequent large </w:t>
      </w:r>
      <w:r>
        <w:rPr>
          <w:rFonts w:ascii="Times New Roman"/>
          <w:color w:val="231F20"/>
        </w:rPr>
        <w:t>multistate case clusters and foodborne disease </w:t>
      </w:r>
      <w:r>
        <w:rPr>
          <w:color w:val="231F20"/>
        </w:rPr>
        <w:t>outbreaks, largely detected through PulseNet, </w:t>
      </w:r>
      <w:r>
        <w:rPr>
          <w:rFonts w:ascii="Times New Roman"/>
          <w:color w:val="231F20"/>
        </w:rPr>
        <w:t>underscored the need for multijurisdictional </w:t>
      </w:r>
      <w:r>
        <w:rPr>
          <w:color w:val="231F20"/>
        </w:rPr>
        <w:t>coordination during foodborne disease </w:t>
      </w:r>
      <w:r>
        <w:rPr>
          <w:color w:val="231F20"/>
          <w:spacing w:val="34"/>
        </w:rPr>
        <w:t> </w:t>
      </w:r>
      <w:r>
        <w:rPr>
          <w:color w:val="231F20"/>
        </w:rPr>
        <w:t>events.</w:t>
      </w:r>
    </w:p>
    <w:p>
      <w:pPr>
        <w:pStyle w:val="BodyText"/>
        <w:spacing w:line="264" w:lineRule="auto" w:before="182"/>
        <w:ind w:left="1440" w:right="127"/>
      </w:pPr>
      <w:r>
        <w:rPr>
          <w:color w:val="231F20"/>
        </w:rPr>
        <w:t>The Council to Improve Foodborne Outbreak Response (CIFOR) was created in 2006 to  </w:t>
      </w:r>
      <w:r>
        <w:rPr>
          <w:rFonts w:ascii="Times New Roman"/>
          <w:color w:val="231F20"/>
        </w:rPr>
        <w:t>help develop model programs and processes to facilitate the investigation and control of foodborne disease outbreaks and guidelines for the investigation of multijurisdictional </w:t>
      </w:r>
      <w:r>
        <w:rPr>
          <w:color w:val="231F20"/>
        </w:rPr>
        <w:t>outbreaks, including those affecting multiple states, multiple localities within a state, and multiple agencies. These guidelines were included in the 2009 CIFOR Guidelines for Foodborne Disease Outbreak </w:t>
      </w:r>
      <w:r>
        <w:rPr>
          <w:color w:val="231F20"/>
          <w:spacing w:val="5"/>
        </w:rPr>
        <w:t> </w:t>
      </w:r>
      <w:r>
        <w:rPr>
          <w:color w:val="231F20"/>
        </w:rPr>
        <w:t>Response.</w:t>
      </w:r>
    </w:p>
    <w:p>
      <w:pPr>
        <w:pStyle w:val="BodyText"/>
        <w:spacing w:line="266" w:lineRule="auto" w:before="182"/>
        <w:ind w:left="1440" w:right="-17"/>
      </w:pPr>
      <w:r>
        <w:rPr>
          <w:color w:val="231F20"/>
          <w:w w:val="105"/>
        </w:rPr>
        <w:t>The passage of the </w:t>
      </w:r>
      <w:r>
        <w:rPr>
          <w:color w:val="231F20"/>
          <w:spacing w:val="-5"/>
          <w:w w:val="105"/>
        </w:rPr>
        <w:t>Food </w:t>
      </w:r>
      <w:r>
        <w:rPr>
          <w:color w:val="231F20"/>
          <w:w w:val="105"/>
        </w:rPr>
        <w:t>Safety</w:t>
      </w:r>
      <w:r>
        <w:rPr>
          <w:color w:val="231F20"/>
          <w:spacing w:val="-15"/>
          <w:w w:val="105"/>
        </w:rPr>
        <w:t> </w:t>
      </w:r>
      <w:r>
        <w:rPr>
          <w:color w:val="231F20"/>
          <w:w w:val="105"/>
        </w:rPr>
        <w:t>Modernization Act in 2011 </w:t>
      </w:r>
      <w:r>
        <w:rPr>
          <w:color w:val="231F20"/>
          <w:spacing w:val="-3"/>
          <w:w w:val="105"/>
        </w:rPr>
        <w:t>gave </w:t>
      </w:r>
      <w:r>
        <w:rPr>
          <w:color w:val="231F20"/>
          <w:w w:val="105"/>
        </w:rPr>
        <w:t>CDC and </w:t>
      </w:r>
      <w:r>
        <w:rPr>
          <w:color w:val="231F20"/>
          <w:spacing w:val="-5"/>
          <w:w w:val="105"/>
        </w:rPr>
        <w:t>FDA </w:t>
      </w:r>
      <w:r>
        <w:rPr>
          <w:color w:val="231F20"/>
          <w:w w:val="105"/>
        </w:rPr>
        <w:t>greater responsibility in the coordination of multijurisdictional outbreaks. Coordinating offices for foodborne illness investigations in the three primary federal agencies</w:t>
      </w:r>
      <w:r>
        <w:rPr>
          <w:color w:val="231F20"/>
          <w:spacing w:val="-5"/>
          <w:w w:val="105"/>
        </w:rPr>
        <w:t> </w:t>
      </w:r>
      <w:r>
        <w:rPr>
          <w:color w:val="231F20"/>
          <w:w w:val="105"/>
        </w:rPr>
        <w:t>include:</w:t>
      </w:r>
    </w:p>
    <w:p>
      <w:pPr>
        <w:pStyle w:val="ListParagraph"/>
        <w:numPr>
          <w:ilvl w:val="1"/>
          <w:numId w:val="2"/>
        </w:numPr>
        <w:tabs>
          <w:tab w:pos="1611" w:val="left" w:leader="none"/>
        </w:tabs>
        <w:spacing w:line="266" w:lineRule="auto" w:before="180" w:after="0"/>
        <w:ind w:left="1610" w:right="207" w:hanging="170"/>
        <w:jc w:val="left"/>
        <w:rPr>
          <w:sz w:val="20"/>
        </w:rPr>
      </w:pPr>
      <w:r>
        <w:rPr>
          <w:color w:val="231F20"/>
          <w:w w:val="105"/>
          <w:sz w:val="20"/>
        </w:rPr>
        <w:t>CDC:</w:t>
      </w:r>
      <w:r>
        <w:rPr>
          <w:color w:val="231F20"/>
          <w:spacing w:val="-12"/>
          <w:w w:val="105"/>
          <w:sz w:val="20"/>
        </w:rPr>
        <w:t> </w:t>
      </w:r>
      <w:r>
        <w:rPr>
          <w:color w:val="231F20"/>
          <w:w w:val="105"/>
          <w:sz w:val="20"/>
        </w:rPr>
        <w:t>Outbreak</w:t>
      </w:r>
      <w:r>
        <w:rPr>
          <w:color w:val="231F20"/>
          <w:spacing w:val="-12"/>
          <w:w w:val="105"/>
          <w:sz w:val="20"/>
        </w:rPr>
        <w:t> </w:t>
      </w:r>
      <w:r>
        <w:rPr>
          <w:color w:val="231F20"/>
          <w:w w:val="105"/>
          <w:sz w:val="20"/>
        </w:rPr>
        <w:t>Response</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Prevention Branch;</w:t>
      </w:r>
    </w:p>
    <w:p>
      <w:pPr>
        <w:pStyle w:val="ListParagraph"/>
        <w:numPr>
          <w:ilvl w:val="0"/>
          <w:numId w:val="2"/>
        </w:numPr>
        <w:tabs>
          <w:tab w:pos="501" w:val="left" w:leader="none"/>
        </w:tabs>
        <w:spacing w:line="266" w:lineRule="auto" w:before="108" w:after="0"/>
        <w:ind w:left="500" w:right="840" w:hanging="171"/>
        <w:jc w:val="left"/>
        <w:rPr>
          <w:sz w:val="20"/>
        </w:rPr>
      </w:pPr>
      <w:r>
        <w:rPr>
          <w:color w:val="231F20"/>
          <w:w w:val="98"/>
          <w:sz w:val="20"/>
        </w:rPr>
        <w:br w:type="column"/>
      </w:r>
      <w:r>
        <w:rPr>
          <w:color w:val="231F20"/>
          <w:spacing w:val="-4"/>
          <w:w w:val="105"/>
          <w:sz w:val="20"/>
        </w:rPr>
        <w:t>FDA:</w:t>
      </w:r>
      <w:r>
        <w:rPr>
          <w:color w:val="231F20"/>
          <w:spacing w:val="-12"/>
          <w:w w:val="105"/>
          <w:sz w:val="20"/>
        </w:rPr>
        <w:t> </w:t>
      </w:r>
      <w:r>
        <w:rPr>
          <w:color w:val="231F20"/>
          <w:w w:val="105"/>
          <w:sz w:val="20"/>
        </w:rPr>
        <w:t>Coordinated</w:t>
      </w:r>
      <w:r>
        <w:rPr>
          <w:color w:val="231F20"/>
          <w:spacing w:val="-12"/>
          <w:w w:val="105"/>
          <w:sz w:val="20"/>
        </w:rPr>
        <w:t> </w:t>
      </w:r>
      <w:r>
        <w:rPr>
          <w:color w:val="231F20"/>
          <w:w w:val="105"/>
          <w:sz w:val="20"/>
        </w:rPr>
        <w:t>Outbreak</w:t>
      </w:r>
      <w:r>
        <w:rPr>
          <w:color w:val="231F20"/>
          <w:spacing w:val="-12"/>
          <w:w w:val="105"/>
          <w:sz w:val="20"/>
        </w:rPr>
        <w:t> </w:t>
      </w:r>
      <w:r>
        <w:rPr>
          <w:color w:val="231F20"/>
          <w:w w:val="105"/>
          <w:sz w:val="20"/>
        </w:rPr>
        <w:t>Response</w:t>
      </w:r>
      <w:r>
        <w:rPr>
          <w:color w:val="231F20"/>
          <w:spacing w:val="-12"/>
          <w:w w:val="105"/>
          <w:sz w:val="20"/>
        </w:rPr>
        <w:t> </w:t>
      </w:r>
      <w:r>
        <w:rPr>
          <w:color w:val="231F20"/>
          <w:w w:val="105"/>
          <w:sz w:val="20"/>
        </w:rPr>
        <w:t>and Evaluation</w:t>
      </w:r>
      <w:r>
        <w:rPr>
          <w:color w:val="231F20"/>
          <w:spacing w:val="-21"/>
          <w:w w:val="105"/>
          <w:sz w:val="20"/>
        </w:rPr>
        <w:t> </w:t>
      </w:r>
      <w:r>
        <w:rPr>
          <w:color w:val="231F20"/>
          <w:w w:val="105"/>
          <w:sz w:val="20"/>
        </w:rPr>
        <w:t>Network</w:t>
      </w:r>
      <w:r>
        <w:rPr>
          <w:color w:val="231F20"/>
          <w:spacing w:val="-21"/>
          <w:w w:val="105"/>
          <w:sz w:val="20"/>
        </w:rPr>
        <w:t> </w:t>
      </w:r>
      <w:r>
        <w:rPr>
          <w:color w:val="231F20"/>
          <w:w w:val="105"/>
          <w:sz w:val="20"/>
        </w:rPr>
        <w:t>(CORE);</w:t>
      </w:r>
      <w:r>
        <w:rPr>
          <w:color w:val="231F20"/>
          <w:spacing w:val="-21"/>
          <w:w w:val="105"/>
          <w:sz w:val="20"/>
        </w:rPr>
        <w:t> </w:t>
      </w:r>
      <w:r>
        <w:rPr>
          <w:color w:val="231F20"/>
          <w:w w:val="105"/>
          <w:sz w:val="20"/>
        </w:rPr>
        <w:t>and</w:t>
      </w:r>
    </w:p>
    <w:p>
      <w:pPr>
        <w:pStyle w:val="ListParagraph"/>
        <w:numPr>
          <w:ilvl w:val="0"/>
          <w:numId w:val="2"/>
        </w:numPr>
        <w:tabs>
          <w:tab w:pos="501" w:val="left" w:leader="none"/>
        </w:tabs>
        <w:spacing w:line="266" w:lineRule="auto" w:before="90" w:after="0"/>
        <w:ind w:left="500" w:right="913" w:hanging="171"/>
        <w:jc w:val="left"/>
        <w:rPr>
          <w:sz w:val="20"/>
        </w:rPr>
      </w:pPr>
      <w:r>
        <w:rPr>
          <w:color w:val="231F20"/>
          <w:w w:val="105"/>
          <w:sz w:val="20"/>
        </w:rPr>
        <w:t>USDA/FSIS:</w:t>
      </w:r>
      <w:r>
        <w:rPr>
          <w:color w:val="231F20"/>
          <w:spacing w:val="-19"/>
          <w:w w:val="105"/>
          <w:sz w:val="20"/>
        </w:rPr>
        <w:t> </w:t>
      </w:r>
      <w:r>
        <w:rPr>
          <w:color w:val="231F20"/>
          <w:w w:val="105"/>
          <w:sz w:val="20"/>
        </w:rPr>
        <w:t>Applied</w:t>
      </w:r>
      <w:r>
        <w:rPr>
          <w:color w:val="231F20"/>
          <w:spacing w:val="-19"/>
          <w:w w:val="105"/>
          <w:sz w:val="20"/>
        </w:rPr>
        <w:t> </w:t>
      </w:r>
      <w:r>
        <w:rPr>
          <w:color w:val="231F20"/>
          <w:w w:val="105"/>
          <w:sz w:val="20"/>
        </w:rPr>
        <w:t>Epidemiology</w:t>
      </w:r>
      <w:r>
        <w:rPr>
          <w:color w:val="231F20"/>
          <w:spacing w:val="-19"/>
          <w:w w:val="105"/>
          <w:sz w:val="20"/>
        </w:rPr>
        <w:t> </w:t>
      </w:r>
      <w:r>
        <w:rPr>
          <w:color w:val="231F20"/>
          <w:w w:val="105"/>
          <w:sz w:val="20"/>
        </w:rPr>
        <w:t>Staff, Office of Public Health</w:t>
      </w:r>
      <w:r>
        <w:rPr>
          <w:color w:val="231F20"/>
          <w:spacing w:val="-35"/>
          <w:w w:val="105"/>
          <w:sz w:val="20"/>
        </w:rPr>
        <w:t> </w:t>
      </w:r>
      <w:r>
        <w:rPr>
          <w:color w:val="231F20"/>
          <w:w w:val="105"/>
          <w:sz w:val="20"/>
        </w:rPr>
        <w:t>Science.</w:t>
      </w:r>
    </w:p>
    <w:p>
      <w:pPr>
        <w:pStyle w:val="BodyText"/>
        <w:spacing w:line="261" w:lineRule="auto" w:before="128"/>
        <w:ind w:left="329" w:right="920"/>
        <w:rPr>
          <w:rFonts w:ascii="Arial"/>
        </w:rPr>
      </w:pPr>
      <w:r>
        <w:rPr>
          <w:rFonts w:ascii="Arial"/>
          <w:color w:val="1C3E94"/>
          <w:w w:val="105"/>
        </w:rPr>
        <w:t>Major Indicators of a Multijurisdictional Outbreak and Notification Steps </w:t>
      </w:r>
      <w:r>
        <w:rPr>
          <w:rFonts w:ascii="Arial"/>
          <w:color w:val="1C3E94"/>
        </w:rPr>
        <w:t>(Section 7.2)</w:t>
      </w:r>
    </w:p>
    <w:p>
      <w:pPr>
        <w:pStyle w:val="BodyText"/>
        <w:spacing w:line="264" w:lineRule="auto" w:before="144"/>
        <w:ind w:left="329" w:right="774"/>
      </w:pPr>
      <w:r>
        <w:rPr>
          <w:rFonts w:ascii="Times New Roman"/>
          <w:color w:val="231F20"/>
        </w:rPr>
        <w:t>Certain outbreak characteristics are indicators of a multijurisdictional outbreak and include the implication of a fresh produce item </w:t>
      </w:r>
      <w:r>
        <w:rPr>
          <w:color w:val="231F20"/>
        </w:rPr>
        <w:t>contaminated before the point of service; </w:t>
      </w:r>
      <w:r>
        <w:rPr>
          <w:rFonts w:ascii="Times New Roman"/>
          <w:color w:val="231F20"/>
        </w:rPr>
        <w:t>isolation of </w:t>
      </w:r>
      <w:r>
        <w:rPr>
          <w:i/>
          <w:color w:val="231F20"/>
        </w:rPr>
        <w:t>E. coli </w:t>
      </w:r>
      <w:r>
        <w:rPr>
          <w:color w:val="231F20"/>
        </w:rPr>
        <w:t>serotypes O26, O45, O103, O111, O121, and O145 as the etiologic agent; </w:t>
      </w:r>
      <w:r>
        <w:rPr>
          <w:rFonts w:ascii="Times New Roman"/>
          <w:color w:val="231F20"/>
        </w:rPr>
        <w:t>and multiple common-source outbreaks linked </w:t>
      </w:r>
      <w:r>
        <w:rPr>
          <w:color w:val="231F20"/>
          <w:spacing w:val="-3"/>
        </w:rPr>
        <w:t>by </w:t>
      </w:r>
      <w:r>
        <w:rPr>
          <w:color w:val="231F20"/>
        </w:rPr>
        <w:t>common agent, food, or </w:t>
      </w:r>
      <w:r>
        <w:rPr>
          <w:color w:val="231F20"/>
          <w:spacing w:val="-4"/>
        </w:rPr>
        <w:t>water. </w:t>
      </w:r>
      <w:r>
        <w:rPr>
          <w:color w:val="231F20"/>
        </w:rPr>
        <w:t>Depending  on the </w:t>
      </w:r>
      <w:r>
        <w:rPr>
          <w:color w:val="231F20"/>
          <w:spacing w:val="-3"/>
        </w:rPr>
        <w:t>indicator,  </w:t>
      </w:r>
      <w:r>
        <w:rPr>
          <w:color w:val="231F20"/>
        </w:rPr>
        <w:t>a variety of  agencies might   be affected </w:t>
      </w:r>
      <w:r>
        <w:rPr>
          <w:color w:val="231F20"/>
          <w:spacing w:val="-3"/>
        </w:rPr>
        <w:t>by </w:t>
      </w:r>
      <w:r>
        <w:rPr>
          <w:color w:val="231F20"/>
        </w:rPr>
        <w:t>the event or need to participate in the investigation and need to be notified immediately  </w:t>
      </w:r>
      <w:r>
        <w:rPr>
          <w:color w:val="231F20"/>
          <w:spacing w:val="-4"/>
        </w:rPr>
        <w:t>(Table </w:t>
      </w:r>
      <w:r>
        <w:rPr>
          <w:color w:val="231F20"/>
          <w:spacing w:val="5"/>
        </w:rPr>
        <w:t> </w:t>
      </w:r>
      <w:r>
        <w:rPr>
          <w:color w:val="231F20"/>
        </w:rPr>
        <w:t>7.3).</w:t>
      </w:r>
    </w:p>
    <w:p>
      <w:pPr>
        <w:pStyle w:val="BodyText"/>
        <w:spacing w:line="261" w:lineRule="auto" w:before="131"/>
        <w:ind w:left="329" w:right="920"/>
        <w:rPr>
          <w:rFonts w:ascii="Arial"/>
        </w:rPr>
      </w:pPr>
      <w:r>
        <w:rPr>
          <w:rFonts w:ascii="Arial"/>
          <w:color w:val="1C3E94"/>
          <w:w w:val="105"/>
        </w:rPr>
        <w:t>Coordination of Multijurisdictional </w:t>
      </w:r>
      <w:r>
        <w:rPr>
          <w:rFonts w:ascii="Arial"/>
          <w:color w:val="1C3E94"/>
        </w:rPr>
        <w:t>Investigations (Section 7.3)</w:t>
      </w:r>
    </w:p>
    <w:p>
      <w:pPr>
        <w:pStyle w:val="BodyText"/>
        <w:spacing w:line="266" w:lineRule="auto" w:before="144"/>
        <w:ind w:left="329" w:right="676"/>
      </w:pPr>
      <w:r>
        <w:rPr>
          <w:rFonts w:ascii="Times New Roman"/>
          <w:color w:val="231F20"/>
        </w:rPr>
        <w:t>Investigating a multijurisdictional foodborne disease event represents a collaborative process among local, state, and federal agencies and </w:t>
      </w:r>
      <w:r>
        <w:rPr>
          <w:color w:val="231F20"/>
        </w:rPr>
        <w:t>industry and may require establishment   of</w:t>
      </w:r>
    </w:p>
    <w:p>
      <w:pPr>
        <w:pStyle w:val="BodyText"/>
        <w:spacing w:line="266" w:lineRule="auto"/>
        <w:ind w:left="329" w:right="899"/>
      </w:pPr>
      <w:r>
        <w:rPr>
          <w:color w:val="231F20"/>
          <w:w w:val="105"/>
        </w:rPr>
        <w:t>a coordinating office to collect, organize, and disseminate data from the investigation. Depending on the scope and nature of the </w:t>
      </w:r>
      <w:r>
        <w:rPr>
          <w:rFonts w:ascii="Times New Roman"/>
          <w:color w:val="231F20"/>
          <w:w w:val="105"/>
        </w:rPr>
        <w:t>multijurisdictional event, the coordinating </w:t>
      </w:r>
      <w:r>
        <w:rPr>
          <w:color w:val="231F20"/>
          <w:w w:val="105"/>
        </w:rPr>
        <w:t>office may be located at a local or state public health or food-regulatory agency</w:t>
      </w:r>
    </w:p>
    <w:p>
      <w:pPr>
        <w:pStyle w:val="BodyText"/>
        <w:spacing w:line="261" w:lineRule="auto"/>
        <w:ind w:left="329" w:right="1114"/>
        <w:rPr>
          <w:rFonts w:ascii="Times New Roman"/>
        </w:rPr>
      </w:pPr>
      <w:r>
        <w:rPr>
          <w:color w:val="231F20"/>
        </w:rPr>
        <w:t>or at CDC, </w:t>
      </w:r>
      <w:r>
        <w:rPr>
          <w:color w:val="231F20"/>
          <w:spacing w:val="-4"/>
        </w:rPr>
        <w:t>FDA, </w:t>
      </w:r>
      <w:r>
        <w:rPr>
          <w:color w:val="231F20"/>
        </w:rPr>
        <w:t>or USDA/FSIS. Several principles guide the decision about where  to locate the coordinating office for a given </w:t>
      </w:r>
      <w:r>
        <w:rPr>
          <w:rFonts w:ascii="Times New Roman"/>
          <w:color w:val="231F20"/>
          <w:w w:val="95"/>
        </w:rPr>
        <w:t>multijurisdictional </w:t>
      </w:r>
      <w:r>
        <w:rPr>
          <w:rFonts w:ascii="Times New Roman"/>
          <w:color w:val="231F20"/>
          <w:spacing w:val="25"/>
          <w:w w:val="95"/>
        </w:rPr>
        <w:t> </w:t>
      </w:r>
      <w:r>
        <w:rPr>
          <w:rFonts w:ascii="Times New Roman"/>
          <w:color w:val="231F20"/>
          <w:w w:val="95"/>
        </w:rPr>
        <w:t>investigation:</w:t>
      </w:r>
    </w:p>
    <w:p>
      <w:pPr>
        <w:pStyle w:val="ListParagraph"/>
        <w:numPr>
          <w:ilvl w:val="0"/>
          <w:numId w:val="2"/>
        </w:numPr>
        <w:tabs>
          <w:tab w:pos="498" w:val="left" w:leader="none"/>
        </w:tabs>
        <w:spacing w:line="266" w:lineRule="auto" w:before="143" w:after="0"/>
        <w:ind w:left="497" w:right="744" w:hanging="168"/>
        <w:jc w:val="left"/>
        <w:rPr>
          <w:sz w:val="20"/>
        </w:rPr>
      </w:pPr>
      <w:r>
        <w:rPr>
          <w:rFonts w:ascii="Times New Roman"/>
          <w:color w:val="231F20"/>
          <w:sz w:val="20"/>
        </w:rPr>
        <w:t>If possible, investigations should be </w:t>
      </w:r>
      <w:r>
        <w:rPr>
          <w:color w:val="231F20"/>
          <w:sz w:val="20"/>
        </w:rPr>
        <w:t>coordinated at the level at which the outbreak originally was detected and </w:t>
      </w:r>
      <w:r>
        <w:rPr>
          <w:color w:val="231F20"/>
          <w:spacing w:val="4"/>
          <w:sz w:val="20"/>
        </w:rPr>
        <w:t> </w:t>
      </w:r>
      <w:r>
        <w:rPr>
          <w:color w:val="231F20"/>
          <w:sz w:val="20"/>
        </w:rPr>
        <w:t>investigated.</w:t>
      </w:r>
    </w:p>
    <w:p>
      <w:pPr>
        <w:pStyle w:val="ListParagraph"/>
        <w:numPr>
          <w:ilvl w:val="0"/>
          <w:numId w:val="2"/>
        </w:numPr>
        <w:tabs>
          <w:tab w:pos="501" w:val="left" w:leader="none"/>
        </w:tabs>
        <w:spacing w:line="266" w:lineRule="auto" w:before="89" w:after="0"/>
        <w:ind w:left="500" w:right="817" w:hanging="171"/>
        <w:jc w:val="left"/>
        <w:rPr>
          <w:sz w:val="20"/>
        </w:rPr>
      </w:pPr>
      <w:r>
        <w:rPr>
          <w:color w:val="231F20"/>
          <w:w w:val="105"/>
          <w:sz w:val="20"/>
        </w:rPr>
        <w:t>The</w:t>
      </w:r>
      <w:r>
        <w:rPr>
          <w:color w:val="231F20"/>
          <w:spacing w:val="-20"/>
          <w:w w:val="105"/>
          <w:sz w:val="20"/>
        </w:rPr>
        <w:t> </w:t>
      </w:r>
      <w:r>
        <w:rPr>
          <w:color w:val="231F20"/>
          <w:w w:val="105"/>
          <w:sz w:val="20"/>
        </w:rPr>
        <w:t>coordinating</w:t>
      </w:r>
      <w:r>
        <w:rPr>
          <w:color w:val="231F20"/>
          <w:spacing w:val="-20"/>
          <w:w w:val="105"/>
          <w:sz w:val="20"/>
        </w:rPr>
        <w:t> </w:t>
      </w:r>
      <w:r>
        <w:rPr>
          <w:color w:val="231F20"/>
          <w:w w:val="105"/>
          <w:sz w:val="20"/>
        </w:rPr>
        <w:t>office</w:t>
      </w:r>
      <w:r>
        <w:rPr>
          <w:color w:val="231F20"/>
          <w:spacing w:val="-20"/>
          <w:w w:val="105"/>
          <w:sz w:val="20"/>
        </w:rPr>
        <w:t> </w:t>
      </w:r>
      <w:r>
        <w:rPr>
          <w:color w:val="231F20"/>
          <w:w w:val="105"/>
          <w:sz w:val="20"/>
        </w:rPr>
        <w:t>must</w:t>
      </w:r>
      <w:r>
        <w:rPr>
          <w:color w:val="231F20"/>
          <w:spacing w:val="-20"/>
          <w:w w:val="105"/>
          <w:sz w:val="20"/>
        </w:rPr>
        <w:t> </w:t>
      </w:r>
      <w:r>
        <w:rPr>
          <w:color w:val="231F20"/>
          <w:spacing w:val="-3"/>
          <w:w w:val="105"/>
          <w:sz w:val="20"/>
        </w:rPr>
        <w:t>have</w:t>
      </w:r>
      <w:r>
        <w:rPr>
          <w:color w:val="231F20"/>
          <w:spacing w:val="-20"/>
          <w:w w:val="105"/>
          <w:sz w:val="20"/>
        </w:rPr>
        <w:t> </w:t>
      </w:r>
      <w:r>
        <w:rPr>
          <w:color w:val="231F20"/>
          <w:w w:val="105"/>
          <w:sz w:val="20"/>
        </w:rPr>
        <w:t>sufficient resources, expertise, and legal authority to collect,</w:t>
      </w:r>
      <w:r>
        <w:rPr>
          <w:color w:val="231F20"/>
          <w:spacing w:val="-10"/>
          <w:w w:val="105"/>
          <w:sz w:val="20"/>
        </w:rPr>
        <w:t> </w:t>
      </w:r>
      <w:r>
        <w:rPr>
          <w:color w:val="231F20"/>
          <w:w w:val="105"/>
          <w:sz w:val="20"/>
        </w:rPr>
        <w:t>organize,</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disseminate</w:t>
      </w:r>
      <w:r>
        <w:rPr>
          <w:color w:val="231F20"/>
          <w:spacing w:val="-10"/>
          <w:w w:val="105"/>
          <w:sz w:val="20"/>
        </w:rPr>
        <w:t> </w:t>
      </w:r>
      <w:r>
        <w:rPr>
          <w:color w:val="231F20"/>
          <w:w w:val="105"/>
          <w:sz w:val="20"/>
        </w:rPr>
        <w:t>data</w:t>
      </w:r>
      <w:r>
        <w:rPr>
          <w:color w:val="231F20"/>
          <w:spacing w:val="-10"/>
          <w:w w:val="105"/>
          <w:sz w:val="20"/>
        </w:rPr>
        <w:t> </w:t>
      </w:r>
      <w:r>
        <w:rPr>
          <w:color w:val="231F20"/>
          <w:w w:val="105"/>
          <w:sz w:val="20"/>
        </w:rPr>
        <w:t>from the</w:t>
      </w:r>
      <w:r>
        <w:rPr>
          <w:color w:val="231F20"/>
          <w:spacing w:val="-31"/>
          <w:w w:val="105"/>
          <w:sz w:val="20"/>
        </w:rPr>
        <w:t> </w:t>
      </w:r>
      <w:r>
        <w:rPr>
          <w:color w:val="231F20"/>
          <w:w w:val="105"/>
          <w:sz w:val="20"/>
        </w:rPr>
        <w:t>investigation.</w:t>
      </w:r>
    </w:p>
    <w:p>
      <w:pPr>
        <w:spacing w:after="0" w:line="266" w:lineRule="auto"/>
        <w:jc w:val="left"/>
        <w:rPr>
          <w:sz w:val="20"/>
        </w:rPr>
        <w:sectPr>
          <w:type w:val="continuous"/>
          <w:pgSz w:w="10080" w:h="14400"/>
          <w:pgMar w:top="0" w:bottom="360" w:left="0" w:right="0"/>
          <w:cols w:num="2" w:equalWidth="0">
            <w:col w:w="5211" w:space="40"/>
            <w:col w:w="4829"/>
          </w:cols>
        </w:sectPr>
      </w:pPr>
    </w:p>
    <w:p>
      <w:pPr>
        <w:pStyle w:val="BodyText"/>
        <w:spacing w:before="8"/>
        <w:rPr>
          <w:sz w:val="26"/>
        </w:rPr>
      </w:pPr>
    </w:p>
    <w:p>
      <w:pPr>
        <w:pStyle w:val="Heading1"/>
        <w:spacing w:line="249" w:lineRule="auto"/>
        <w:ind w:left="720" w:right="3041"/>
      </w:pPr>
      <w:r>
        <w:rPr/>
        <w:pict>
          <v:line style="position:absolute;mso-position-horizontal-relative:page;mso-position-vertical-relative:paragraph;z-index:4288;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4312" filled="true" fillcolor="#0079c1" stroked="false">
            <v:fill type="solid"/>
            <w10:wrap type="none"/>
          </v:rect>
        </w:pict>
      </w:r>
      <w:r>
        <w:rPr/>
        <w:pict>
          <v:line style="position:absolute;mso-position-horizontal-relative:page;mso-position-vertical-relative:paragraph;z-index:4336"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436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4384"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w w:val="105"/>
        </w:rPr>
        <w:t>Overview</w:t>
      </w:r>
      <w:r>
        <w:rPr>
          <w:color w:val="00A94F"/>
          <w:spacing w:val="-37"/>
          <w:w w:val="105"/>
        </w:rPr>
        <w:t> </w:t>
      </w:r>
      <w:r>
        <w:rPr>
          <w:color w:val="00A94F"/>
          <w:w w:val="105"/>
        </w:rPr>
        <w:t>of</w:t>
      </w:r>
      <w:r>
        <w:rPr>
          <w:color w:val="00A94F"/>
          <w:spacing w:val="-37"/>
          <w:w w:val="105"/>
        </w:rPr>
        <w:t> </w:t>
      </w:r>
      <w:r>
        <w:rPr>
          <w:color w:val="00A94F"/>
          <w:w w:val="105"/>
        </w:rPr>
        <w:t>Chapter</w:t>
      </w:r>
      <w:r>
        <w:rPr>
          <w:color w:val="00A94F"/>
          <w:spacing w:val="-37"/>
          <w:w w:val="105"/>
        </w:rPr>
        <w:t> </w:t>
      </w:r>
      <w:r>
        <w:rPr>
          <w:color w:val="00A94F"/>
          <w:w w:val="105"/>
        </w:rPr>
        <w:t>7.</w:t>
      </w:r>
      <w:r>
        <w:rPr>
          <w:color w:val="00A94F"/>
          <w:spacing w:val="-37"/>
          <w:w w:val="105"/>
        </w:rPr>
        <w:t> </w:t>
      </w:r>
      <w:r>
        <w:rPr>
          <w:color w:val="00A94F"/>
          <w:w w:val="105"/>
        </w:rPr>
        <w:t>Special</w:t>
      </w:r>
      <w:r>
        <w:rPr>
          <w:color w:val="00A94F"/>
          <w:spacing w:val="-37"/>
          <w:w w:val="105"/>
        </w:rPr>
        <w:t> </w:t>
      </w:r>
      <w:r>
        <w:rPr>
          <w:color w:val="00A94F"/>
          <w:w w:val="105"/>
        </w:rPr>
        <w:t>Considerations</w:t>
      </w:r>
      <w:r>
        <w:rPr>
          <w:color w:val="00A94F"/>
          <w:spacing w:val="-37"/>
          <w:w w:val="105"/>
        </w:rPr>
        <w:t> </w:t>
      </w:r>
      <w:r>
        <w:rPr>
          <w:color w:val="00A94F"/>
          <w:w w:val="105"/>
        </w:rPr>
        <w:t>for</w:t>
      </w:r>
      <w:r>
        <w:rPr>
          <w:color w:val="00A94F"/>
          <w:w w:val="108"/>
        </w:rPr>
        <w:t> </w:t>
      </w:r>
      <w:r>
        <w:rPr>
          <w:color w:val="00A94F"/>
        </w:rPr>
        <w:t>Multijurisdictional </w:t>
      </w:r>
      <w:r>
        <w:rPr>
          <w:color w:val="00A94F"/>
          <w:spacing w:val="34"/>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ListParagraph"/>
        <w:numPr>
          <w:ilvl w:val="1"/>
          <w:numId w:val="2"/>
        </w:numPr>
        <w:tabs>
          <w:tab w:pos="891" w:val="left" w:leader="none"/>
        </w:tabs>
        <w:spacing w:line="266" w:lineRule="auto" w:before="93" w:after="0"/>
        <w:ind w:left="890" w:right="0" w:hanging="170"/>
        <w:jc w:val="left"/>
        <w:rPr>
          <w:sz w:val="20"/>
        </w:rPr>
      </w:pPr>
      <w:r>
        <w:rPr>
          <w:rFonts w:ascii="Times New Roman"/>
          <w:color w:val="231F20"/>
          <w:sz w:val="20"/>
        </w:rPr>
        <w:t>As outbreak investigations progress through </w:t>
      </w:r>
      <w:r>
        <w:rPr>
          <w:color w:val="231F20"/>
          <w:sz w:val="20"/>
        </w:rPr>
        <w:t>phases of </w:t>
      </w:r>
      <w:r>
        <w:rPr>
          <w:color w:val="231F20"/>
          <w:spacing w:val="-3"/>
          <w:sz w:val="20"/>
        </w:rPr>
        <w:t>activity, </w:t>
      </w:r>
      <w:r>
        <w:rPr>
          <w:color w:val="231F20"/>
          <w:sz w:val="20"/>
        </w:rPr>
        <w:t>coordination should reflect the focus of  the investigation at the</w:t>
      </w:r>
      <w:r>
        <w:rPr>
          <w:color w:val="231F20"/>
          <w:spacing w:val="22"/>
          <w:sz w:val="20"/>
        </w:rPr>
        <w:t> </w:t>
      </w:r>
      <w:r>
        <w:rPr>
          <w:color w:val="231F20"/>
          <w:sz w:val="20"/>
        </w:rPr>
        <w:t>time.</w:t>
      </w:r>
    </w:p>
    <w:p>
      <w:pPr>
        <w:pStyle w:val="BodyText"/>
        <w:spacing w:line="266" w:lineRule="auto" w:before="165"/>
        <w:ind w:left="720" w:right="52"/>
      </w:pPr>
      <w:r>
        <w:rPr>
          <w:rFonts w:ascii="Times New Roman"/>
          <w:color w:val="231F20"/>
        </w:rPr>
        <w:t>Multistate outbreaks and outbreaks associated </w:t>
      </w:r>
      <w:r>
        <w:rPr>
          <w:color w:val="231F20"/>
        </w:rPr>
        <w:t>with regionally or nationally distributed food products may require regional or national resources. Although they require active </w:t>
      </w:r>
      <w:r>
        <w:rPr>
          <w:rFonts w:ascii="Times New Roman"/>
          <w:color w:val="231F20"/>
        </w:rPr>
        <w:t>participation from multiple local agencies and state response coordination, consultation, and </w:t>
      </w:r>
      <w:r>
        <w:rPr>
          <w:color w:val="231F20"/>
        </w:rPr>
        <w:t>information sharing, they also may require federal  agency  leadership,  depending on</w:t>
      </w:r>
    </w:p>
    <w:p>
      <w:pPr>
        <w:pStyle w:val="BodyText"/>
        <w:spacing w:line="266" w:lineRule="auto"/>
        <w:ind w:left="720" w:right="52"/>
      </w:pPr>
      <w:r>
        <w:rPr>
          <w:color w:val="231F20"/>
        </w:rPr>
        <w:t>the capabilities and willingness of the states involved (7.4.2).</w:t>
      </w:r>
    </w:p>
    <w:p>
      <w:pPr>
        <w:pStyle w:val="BodyText"/>
        <w:spacing w:line="264" w:lineRule="auto" w:before="180"/>
        <w:ind w:left="720" w:right="133"/>
      </w:pPr>
      <w:r>
        <w:rPr>
          <w:color w:val="231F20"/>
          <w:w w:val="105"/>
        </w:rPr>
        <w:t>Sharing of information between public health and food-regulatory agencies is</w:t>
      </w:r>
      <w:r>
        <w:rPr>
          <w:color w:val="231F20"/>
          <w:spacing w:val="-33"/>
          <w:w w:val="105"/>
        </w:rPr>
        <w:t> </w:t>
      </w:r>
      <w:r>
        <w:rPr>
          <w:color w:val="231F20"/>
          <w:w w:val="105"/>
        </w:rPr>
        <w:t>critical to the effectiveness of multijurisdictional </w:t>
      </w:r>
      <w:r>
        <w:rPr>
          <w:rFonts w:ascii="Times New Roman"/>
          <w:color w:val="231F20"/>
        </w:rPr>
        <w:t>investigations and often requires</w:t>
      </w:r>
      <w:r>
        <w:rPr>
          <w:rFonts w:ascii="Times New Roman"/>
          <w:color w:val="231F20"/>
          <w:spacing w:val="-32"/>
        </w:rPr>
        <w:t> </w:t>
      </w:r>
      <w:r>
        <w:rPr>
          <w:rFonts w:ascii="Times New Roman"/>
          <w:color w:val="231F20"/>
        </w:rPr>
        <w:t>information- </w:t>
      </w:r>
      <w:r>
        <w:rPr>
          <w:color w:val="231F20"/>
          <w:w w:val="105"/>
        </w:rPr>
        <w:t>sharing protocols. State, local, and federal public</w:t>
      </w:r>
      <w:r>
        <w:rPr>
          <w:color w:val="231F20"/>
          <w:spacing w:val="-14"/>
          <w:w w:val="105"/>
        </w:rPr>
        <w:t> </w:t>
      </w:r>
      <w:r>
        <w:rPr>
          <w:color w:val="231F20"/>
          <w:w w:val="105"/>
        </w:rPr>
        <w:t>health</w:t>
      </w:r>
      <w:r>
        <w:rPr>
          <w:color w:val="231F20"/>
          <w:spacing w:val="-14"/>
          <w:w w:val="105"/>
        </w:rPr>
        <w:t> </w:t>
      </w:r>
      <w:r>
        <w:rPr>
          <w:color w:val="231F20"/>
          <w:w w:val="105"/>
        </w:rPr>
        <w:t>officials</w:t>
      </w:r>
      <w:r>
        <w:rPr>
          <w:color w:val="231F20"/>
          <w:spacing w:val="-14"/>
          <w:w w:val="105"/>
        </w:rPr>
        <w:t> </w:t>
      </w:r>
      <w:r>
        <w:rPr>
          <w:color w:val="231F20"/>
          <w:w w:val="105"/>
        </w:rPr>
        <w:t>should</w:t>
      </w:r>
      <w:r>
        <w:rPr>
          <w:color w:val="231F20"/>
          <w:spacing w:val="-14"/>
          <w:w w:val="105"/>
        </w:rPr>
        <w:t> </w:t>
      </w:r>
      <w:r>
        <w:rPr>
          <w:color w:val="231F20"/>
          <w:w w:val="105"/>
        </w:rPr>
        <w:t>ensure</w:t>
      </w:r>
      <w:r>
        <w:rPr>
          <w:color w:val="231F20"/>
          <w:spacing w:val="-14"/>
          <w:w w:val="105"/>
        </w:rPr>
        <w:t> </w:t>
      </w:r>
      <w:r>
        <w:rPr>
          <w:color w:val="231F20"/>
          <w:w w:val="105"/>
        </w:rPr>
        <w:t>that</w:t>
      </w:r>
      <w:r>
        <w:rPr>
          <w:color w:val="231F20"/>
          <w:spacing w:val="-14"/>
          <w:w w:val="105"/>
        </w:rPr>
        <w:t> </w:t>
      </w:r>
      <w:r>
        <w:rPr>
          <w:color w:val="231F20"/>
          <w:w w:val="105"/>
        </w:rPr>
        <w:t>their </w:t>
      </w:r>
      <w:r>
        <w:rPr>
          <w:rFonts w:ascii="Times New Roman"/>
          <w:color w:val="231F20"/>
          <w:w w:val="105"/>
        </w:rPr>
        <w:t>agencies</w:t>
      </w:r>
      <w:r>
        <w:rPr>
          <w:rFonts w:ascii="Times New Roman"/>
          <w:color w:val="231F20"/>
          <w:spacing w:val="-25"/>
          <w:w w:val="105"/>
        </w:rPr>
        <w:t> </w:t>
      </w:r>
      <w:r>
        <w:rPr>
          <w:rFonts w:ascii="Times New Roman"/>
          <w:color w:val="231F20"/>
          <w:spacing w:val="-3"/>
          <w:w w:val="105"/>
        </w:rPr>
        <w:t>have</w:t>
      </w:r>
      <w:r>
        <w:rPr>
          <w:rFonts w:ascii="Times New Roman"/>
          <w:color w:val="231F20"/>
          <w:spacing w:val="-25"/>
          <w:w w:val="105"/>
        </w:rPr>
        <w:t> </w:t>
      </w:r>
      <w:r>
        <w:rPr>
          <w:rFonts w:ascii="Times New Roman"/>
          <w:color w:val="231F20"/>
          <w:w w:val="105"/>
        </w:rPr>
        <w:t>the</w:t>
      </w:r>
      <w:r>
        <w:rPr>
          <w:rFonts w:ascii="Times New Roman"/>
          <w:color w:val="231F20"/>
          <w:spacing w:val="-25"/>
          <w:w w:val="105"/>
        </w:rPr>
        <w:t> </w:t>
      </w:r>
      <w:r>
        <w:rPr>
          <w:rFonts w:ascii="Times New Roman"/>
          <w:color w:val="231F20"/>
          <w:w w:val="105"/>
        </w:rPr>
        <w:t>legal</w:t>
      </w:r>
      <w:r>
        <w:rPr>
          <w:rFonts w:ascii="Times New Roman"/>
          <w:color w:val="231F20"/>
          <w:spacing w:val="-25"/>
          <w:w w:val="105"/>
        </w:rPr>
        <w:t> </w:t>
      </w:r>
      <w:r>
        <w:rPr>
          <w:rFonts w:ascii="Times New Roman"/>
          <w:color w:val="231F20"/>
          <w:w w:val="105"/>
        </w:rPr>
        <w:t>authorities</w:t>
      </w:r>
      <w:r>
        <w:rPr>
          <w:rFonts w:ascii="Times New Roman"/>
          <w:color w:val="231F20"/>
          <w:spacing w:val="-25"/>
          <w:w w:val="105"/>
        </w:rPr>
        <w:t> </w:t>
      </w:r>
      <w:r>
        <w:rPr>
          <w:rFonts w:ascii="Times New Roman"/>
          <w:color w:val="231F20"/>
          <w:w w:val="105"/>
        </w:rPr>
        <w:t>needed</w:t>
      </w:r>
      <w:r>
        <w:rPr>
          <w:rFonts w:ascii="Times New Roman"/>
          <w:color w:val="231F20"/>
          <w:spacing w:val="-25"/>
          <w:w w:val="105"/>
        </w:rPr>
        <w:t> </w:t>
      </w:r>
      <w:r>
        <w:rPr>
          <w:rFonts w:ascii="Times New Roman"/>
          <w:color w:val="231F20"/>
          <w:w w:val="105"/>
        </w:rPr>
        <w:t>to share</w:t>
      </w:r>
      <w:r>
        <w:rPr>
          <w:rFonts w:ascii="Times New Roman"/>
          <w:color w:val="231F20"/>
          <w:spacing w:val="-26"/>
          <w:w w:val="105"/>
        </w:rPr>
        <w:t> </w:t>
      </w:r>
      <w:r>
        <w:rPr>
          <w:rFonts w:ascii="Times New Roman"/>
          <w:color w:val="231F20"/>
          <w:w w:val="105"/>
        </w:rPr>
        <w:t>information</w:t>
      </w:r>
      <w:r>
        <w:rPr>
          <w:rFonts w:ascii="Times New Roman"/>
          <w:color w:val="231F20"/>
          <w:spacing w:val="-26"/>
          <w:w w:val="105"/>
        </w:rPr>
        <w:t> </w:t>
      </w:r>
      <w:r>
        <w:rPr>
          <w:rFonts w:ascii="Times New Roman"/>
          <w:color w:val="231F20"/>
          <w:w w:val="105"/>
        </w:rPr>
        <w:t>and</w:t>
      </w:r>
      <w:r>
        <w:rPr>
          <w:rFonts w:ascii="Times New Roman"/>
          <w:color w:val="231F20"/>
          <w:spacing w:val="-26"/>
          <w:w w:val="105"/>
        </w:rPr>
        <w:t> </w:t>
      </w:r>
      <w:r>
        <w:rPr>
          <w:rFonts w:ascii="Times New Roman"/>
          <w:color w:val="231F20"/>
          <w:w w:val="105"/>
        </w:rPr>
        <w:t>that</w:t>
      </w:r>
      <w:r>
        <w:rPr>
          <w:rFonts w:ascii="Times New Roman"/>
          <w:color w:val="231F20"/>
          <w:spacing w:val="-26"/>
          <w:w w:val="105"/>
        </w:rPr>
        <w:t> </w:t>
      </w:r>
      <w:r>
        <w:rPr>
          <w:rFonts w:ascii="Times New Roman"/>
          <w:color w:val="231F20"/>
          <w:w w:val="105"/>
        </w:rPr>
        <w:t>their</w:t>
      </w:r>
      <w:r>
        <w:rPr>
          <w:rFonts w:ascii="Times New Roman"/>
          <w:color w:val="231F20"/>
          <w:spacing w:val="-26"/>
          <w:w w:val="105"/>
        </w:rPr>
        <w:t> </w:t>
      </w:r>
      <w:r>
        <w:rPr>
          <w:rFonts w:ascii="Times New Roman"/>
          <w:color w:val="231F20"/>
          <w:w w:val="105"/>
        </w:rPr>
        <w:t>professional </w:t>
      </w:r>
      <w:r>
        <w:rPr>
          <w:color w:val="231F20"/>
          <w:w w:val="105"/>
        </w:rPr>
        <w:t>staff</w:t>
      </w:r>
      <w:r>
        <w:rPr>
          <w:color w:val="231F20"/>
          <w:spacing w:val="-24"/>
          <w:w w:val="105"/>
        </w:rPr>
        <w:t> </w:t>
      </w:r>
      <w:r>
        <w:rPr>
          <w:color w:val="231F20"/>
          <w:w w:val="105"/>
        </w:rPr>
        <w:t>understand</w:t>
      </w:r>
      <w:r>
        <w:rPr>
          <w:color w:val="231F20"/>
          <w:spacing w:val="-24"/>
          <w:w w:val="105"/>
        </w:rPr>
        <w:t> </w:t>
      </w:r>
      <w:r>
        <w:rPr>
          <w:color w:val="231F20"/>
          <w:w w:val="105"/>
        </w:rPr>
        <w:t>those</w:t>
      </w:r>
      <w:r>
        <w:rPr>
          <w:color w:val="231F20"/>
          <w:spacing w:val="-24"/>
          <w:w w:val="105"/>
        </w:rPr>
        <w:t> </w:t>
      </w:r>
      <w:r>
        <w:rPr>
          <w:color w:val="231F20"/>
          <w:w w:val="105"/>
        </w:rPr>
        <w:t>authorities.</w:t>
      </w:r>
    </w:p>
    <w:p>
      <w:pPr>
        <w:pStyle w:val="BodyText"/>
        <w:spacing w:line="266" w:lineRule="auto" w:before="168"/>
        <w:ind w:left="720" w:right="358"/>
      </w:pPr>
      <w:r>
        <w:rPr>
          <w:rFonts w:ascii="Times New Roman"/>
          <w:color w:val="231F20"/>
          <w:w w:val="105"/>
        </w:rPr>
        <w:t>Individual food companies and trade </w:t>
      </w:r>
      <w:r>
        <w:rPr>
          <w:color w:val="231F20"/>
          <w:w w:val="105"/>
        </w:rPr>
        <w:t>associations should be engaged early in an outbreak investigation because they can </w:t>
      </w:r>
      <w:r>
        <w:rPr>
          <w:rFonts w:ascii="Times New Roman"/>
          <w:color w:val="231F20"/>
          <w:w w:val="105"/>
        </w:rPr>
        <w:t>provide important product information, </w:t>
      </w:r>
      <w:r>
        <w:rPr>
          <w:color w:val="231F20"/>
          <w:w w:val="105"/>
        </w:rPr>
        <w:t>help with traceback investigations, assist in hypothesis generation, and facilitate implementation of control measures.</w:t>
      </w:r>
    </w:p>
    <w:p>
      <w:pPr>
        <w:pStyle w:val="BodyText"/>
        <w:spacing w:line="261" w:lineRule="auto" w:before="180"/>
        <w:ind w:left="720" w:right="164"/>
        <w:rPr>
          <w:rFonts w:ascii="Times New Roman"/>
        </w:rPr>
      </w:pPr>
      <w:r>
        <w:rPr>
          <w:color w:val="231F20"/>
          <w:w w:val="105"/>
        </w:rPr>
        <w:t>Releasing public information about an outbreak should be coordinated with the lead coordinating agency when feasible. A </w:t>
      </w:r>
      <w:r>
        <w:rPr>
          <w:rFonts w:ascii="Times New Roman"/>
          <w:color w:val="231F20"/>
        </w:rPr>
        <w:t>coordinated communications plan can help</w:t>
      </w:r>
    </w:p>
    <w:p>
      <w:pPr>
        <w:pStyle w:val="BodyText"/>
        <w:spacing w:line="264" w:lineRule="auto" w:before="14"/>
        <w:ind w:left="720" w:right="49"/>
      </w:pPr>
      <w:r>
        <w:rPr>
          <w:color w:val="231F20"/>
        </w:rPr>
        <w:t>provide a consistent, unified message about the </w:t>
      </w:r>
      <w:r>
        <w:rPr>
          <w:rFonts w:ascii="Times New Roman"/>
          <w:color w:val="231F20"/>
        </w:rPr>
        <w:t>progress of the investigation, the source of the </w:t>
      </w:r>
      <w:r>
        <w:rPr>
          <w:color w:val="231F20"/>
        </w:rPr>
        <w:t>outbreak, or any prevention activities needed  for the public to protect</w:t>
      </w:r>
      <w:r>
        <w:rPr>
          <w:color w:val="231F20"/>
          <w:spacing w:val="31"/>
        </w:rPr>
        <w:t> </w:t>
      </w:r>
      <w:r>
        <w:rPr>
          <w:color w:val="231F20"/>
        </w:rPr>
        <w:t>themselves.</w:t>
      </w:r>
    </w:p>
    <w:p>
      <w:pPr>
        <w:pStyle w:val="BodyText"/>
        <w:spacing w:line="268" w:lineRule="auto" w:before="168"/>
        <w:ind w:left="720" w:right="148"/>
      </w:pPr>
      <w:r>
        <w:rPr>
          <w:rFonts w:ascii="Times New Roman"/>
          <w:color w:val="231F20"/>
          <w:w w:val="105"/>
        </w:rPr>
        <w:t>Most health departments have incident </w:t>
      </w:r>
      <w:r>
        <w:rPr>
          <w:color w:val="231F20"/>
          <w:w w:val="105"/>
        </w:rPr>
        <w:t>command systems (ICS) that guide outbreak responses within the public health agencies. Historically multijurisdictional foodborne</w:t>
      </w:r>
    </w:p>
    <w:p>
      <w:pPr>
        <w:pStyle w:val="BodyText"/>
        <w:spacing w:line="268" w:lineRule="auto" w:before="93"/>
        <w:ind w:left="323" w:right="1561"/>
      </w:pPr>
      <w:r>
        <w:rPr/>
        <w:br w:type="column"/>
      </w:r>
      <w:r>
        <w:rPr>
          <w:rFonts w:ascii="Times New Roman"/>
          <w:color w:val="231F20"/>
          <w:w w:val="105"/>
        </w:rPr>
        <w:t>disease outbreak investigations have not </w:t>
      </w:r>
      <w:r>
        <w:rPr>
          <w:color w:val="231F20"/>
          <w:w w:val="105"/>
        </w:rPr>
        <w:t>required formal activation of ICS. However federal agencies are now mandated to use ICS for response to outbreak incidents.</w:t>
      </w:r>
    </w:p>
    <w:p>
      <w:pPr>
        <w:pStyle w:val="BodyText"/>
        <w:spacing w:line="266" w:lineRule="auto"/>
        <w:ind w:left="323" w:right="1398"/>
      </w:pPr>
      <w:r>
        <w:rPr>
          <w:color w:val="231F20"/>
          <w:w w:val="105"/>
        </w:rPr>
        <w:t>The Department of Homeland Security released the National Incident Management System (NIMS) and requires all federal agencies to incorporate and use NIMS for incident response. NIMS is a comprehensive, standardized, scalable, and flexible system used by all levels of government to manage and coordinate emergencies and other significant incidents.</w:t>
      </w:r>
    </w:p>
    <w:p>
      <w:pPr>
        <w:pStyle w:val="BodyText"/>
        <w:spacing w:line="261" w:lineRule="auto" w:before="167"/>
        <w:ind w:left="323" w:right="1549"/>
        <w:rPr>
          <w:rFonts w:ascii="Arial"/>
        </w:rPr>
      </w:pPr>
      <w:r>
        <w:rPr>
          <w:rFonts w:ascii="Arial"/>
          <w:color w:val="1C3E94"/>
        </w:rPr>
        <w:t>Outbreak Detection and Investigation by Level (Section 7.4)</w:t>
      </w:r>
    </w:p>
    <w:p>
      <w:pPr>
        <w:pStyle w:val="BodyText"/>
        <w:spacing w:line="266" w:lineRule="auto" w:before="194"/>
        <w:ind w:left="323" w:right="1298"/>
      </w:pPr>
      <w:r>
        <w:rPr>
          <w:color w:val="231F20"/>
          <w:w w:val="105"/>
        </w:rPr>
        <w:t>Outbreaks can be detected at the local level (7.4.1), state level (7.4.2), and federal level (7.4.3). Means of detection will vary depending on the level.</w:t>
      </w:r>
    </w:p>
    <w:p>
      <w:pPr>
        <w:pStyle w:val="BodyText"/>
        <w:spacing w:before="165"/>
        <w:ind w:left="323"/>
        <w:rPr>
          <w:rFonts w:ascii="Times New Roman"/>
        </w:rPr>
      </w:pPr>
      <w:r>
        <w:rPr>
          <w:rFonts w:ascii="Times New Roman"/>
          <w:color w:val="231F20"/>
        </w:rPr>
        <w:t>Investigation actions depend on the nature</w:t>
      </w:r>
    </w:p>
    <w:p>
      <w:pPr>
        <w:pStyle w:val="BodyText"/>
        <w:spacing w:line="259" w:lineRule="auto" w:before="34"/>
        <w:ind w:left="323" w:right="1523"/>
        <w:rPr>
          <w:rFonts w:ascii="Times New Roman"/>
        </w:rPr>
      </w:pPr>
      <w:r>
        <w:rPr>
          <w:color w:val="231F20"/>
          <w:w w:val="105"/>
        </w:rPr>
        <w:t>of the outbreak, how it was identified, and its state and national significance. Actions may </w:t>
      </w:r>
      <w:r>
        <w:rPr>
          <w:rFonts w:ascii="Times New Roman"/>
          <w:color w:val="231F20"/>
          <w:w w:val="105"/>
        </w:rPr>
        <w:t>include:</w:t>
      </w:r>
    </w:p>
    <w:p>
      <w:pPr>
        <w:pStyle w:val="ListParagraph"/>
        <w:numPr>
          <w:ilvl w:val="0"/>
          <w:numId w:val="2"/>
        </w:numPr>
        <w:tabs>
          <w:tab w:pos="495" w:val="left" w:leader="none"/>
        </w:tabs>
        <w:spacing w:line="259" w:lineRule="auto" w:before="196" w:after="0"/>
        <w:ind w:left="494" w:right="1624" w:hanging="171"/>
        <w:jc w:val="left"/>
        <w:rPr>
          <w:rFonts w:ascii="Times New Roman"/>
          <w:sz w:val="20"/>
        </w:rPr>
      </w:pPr>
      <w:r>
        <w:rPr>
          <w:color w:val="231F20"/>
          <w:sz w:val="20"/>
        </w:rPr>
        <w:t>Notification of  jurisdictions or agencies that might also be affected </w:t>
      </w:r>
      <w:r>
        <w:rPr>
          <w:color w:val="231F20"/>
          <w:spacing w:val="-4"/>
          <w:sz w:val="20"/>
        </w:rPr>
        <w:t>by </w:t>
      </w:r>
      <w:r>
        <w:rPr>
          <w:color w:val="231F20"/>
          <w:sz w:val="20"/>
        </w:rPr>
        <w:t>the problem, </w:t>
      </w:r>
      <w:r>
        <w:rPr>
          <w:rFonts w:ascii="Times New Roman"/>
          <w:color w:val="231F20"/>
          <w:sz w:val="20"/>
        </w:rPr>
        <w:t>might be investigating the</w:t>
      </w:r>
      <w:r>
        <w:rPr>
          <w:rFonts w:ascii="Times New Roman"/>
          <w:color w:val="231F20"/>
          <w:spacing w:val="-28"/>
          <w:sz w:val="20"/>
        </w:rPr>
        <w:t> </w:t>
      </w:r>
      <w:r>
        <w:rPr>
          <w:rFonts w:ascii="Times New Roman"/>
          <w:color w:val="231F20"/>
          <w:sz w:val="20"/>
        </w:rPr>
        <w:t>problem</w:t>
      </w:r>
    </w:p>
    <w:p>
      <w:pPr>
        <w:pStyle w:val="BodyText"/>
        <w:spacing w:line="266" w:lineRule="auto" w:before="16"/>
        <w:ind w:left="494" w:right="1415"/>
      </w:pPr>
      <w:r>
        <w:rPr>
          <w:color w:val="231F20"/>
          <w:spacing w:val="-3"/>
          <w:w w:val="105"/>
        </w:rPr>
        <w:t>simultaneously, </w:t>
      </w:r>
      <w:r>
        <w:rPr>
          <w:color w:val="231F20"/>
          <w:w w:val="105"/>
        </w:rPr>
        <w:t>or might need to be involved in the investigation </w:t>
      </w:r>
      <w:r>
        <w:rPr>
          <w:color w:val="231F20"/>
          <w:spacing w:val="-4"/>
          <w:w w:val="105"/>
        </w:rPr>
        <w:t>(e.g., </w:t>
      </w:r>
      <w:r>
        <w:rPr>
          <w:color w:val="231F20"/>
          <w:w w:val="105"/>
        </w:rPr>
        <w:t>appropriate food- regulatory agency);</w:t>
      </w:r>
    </w:p>
    <w:p>
      <w:pPr>
        <w:pStyle w:val="ListParagraph"/>
        <w:numPr>
          <w:ilvl w:val="0"/>
          <w:numId w:val="2"/>
        </w:numPr>
        <w:tabs>
          <w:tab w:pos="495" w:val="left" w:leader="none"/>
        </w:tabs>
        <w:spacing w:line="264" w:lineRule="auto" w:before="90" w:after="0"/>
        <w:ind w:left="494" w:right="1831" w:hanging="171"/>
        <w:jc w:val="left"/>
        <w:rPr>
          <w:sz w:val="20"/>
        </w:rPr>
      </w:pPr>
      <w:r>
        <w:rPr>
          <w:color w:val="231F20"/>
          <w:w w:val="105"/>
          <w:sz w:val="20"/>
        </w:rPr>
        <w:t>Distribution of summary data about</w:t>
      </w:r>
      <w:r>
        <w:rPr>
          <w:color w:val="231F20"/>
          <w:spacing w:val="-25"/>
          <w:w w:val="105"/>
          <w:sz w:val="20"/>
        </w:rPr>
        <w:t> </w:t>
      </w:r>
      <w:r>
        <w:rPr>
          <w:color w:val="231F20"/>
          <w:w w:val="105"/>
          <w:sz w:val="20"/>
        </w:rPr>
        <w:t>the </w:t>
      </w:r>
      <w:r>
        <w:rPr>
          <w:rFonts w:ascii="Times New Roman"/>
          <w:color w:val="231F20"/>
          <w:w w:val="105"/>
          <w:sz w:val="20"/>
        </w:rPr>
        <w:t>outbreak</w:t>
      </w:r>
      <w:r>
        <w:rPr>
          <w:rFonts w:ascii="Times New Roman"/>
          <w:color w:val="231F20"/>
          <w:spacing w:val="-19"/>
          <w:w w:val="105"/>
          <w:sz w:val="20"/>
        </w:rPr>
        <w:t> </w:t>
      </w:r>
      <w:r>
        <w:rPr>
          <w:rFonts w:ascii="Times New Roman"/>
          <w:color w:val="231F20"/>
          <w:w w:val="105"/>
          <w:sz w:val="20"/>
        </w:rPr>
        <w:t>and</w:t>
      </w:r>
      <w:r>
        <w:rPr>
          <w:rFonts w:ascii="Times New Roman"/>
          <w:color w:val="231F20"/>
          <w:spacing w:val="-19"/>
          <w:w w:val="105"/>
          <w:sz w:val="20"/>
        </w:rPr>
        <w:t> </w:t>
      </w:r>
      <w:r>
        <w:rPr>
          <w:rFonts w:ascii="Times New Roman"/>
          <w:color w:val="231F20"/>
          <w:w w:val="105"/>
          <w:sz w:val="20"/>
        </w:rPr>
        <w:t>periodic</w:t>
      </w:r>
      <w:r>
        <w:rPr>
          <w:rFonts w:ascii="Times New Roman"/>
          <w:color w:val="231F20"/>
          <w:spacing w:val="-18"/>
          <w:w w:val="105"/>
          <w:sz w:val="20"/>
        </w:rPr>
        <w:t> </w:t>
      </w:r>
      <w:r>
        <w:rPr>
          <w:rFonts w:ascii="Times New Roman"/>
          <w:color w:val="231F20"/>
          <w:w w:val="105"/>
          <w:sz w:val="20"/>
        </w:rPr>
        <w:t>updates</w:t>
      </w:r>
      <w:r>
        <w:rPr>
          <w:rFonts w:ascii="Times New Roman"/>
          <w:color w:val="231F20"/>
          <w:spacing w:val="-19"/>
          <w:w w:val="105"/>
          <w:sz w:val="20"/>
        </w:rPr>
        <w:t> </w:t>
      </w:r>
      <w:r>
        <w:rPr>
          <w:rFonts w:ascii="Times New Roman"/>
          <w:color w:val="231F20"/>
          <w:w w:val="105"/>
          <w:sz w:val="20"/>
        </w:rPr>
        <w:t>to</w:t>
      </w:r>
      <w:r>
        <w:rPr>
          <w:rFonts w:ascii="Times New Roman"/>
          <w:color w:val="231F20"/>
          <w:spacing w:val="-19"/>
          <w:w w:val="105"/>
          <w:sz w:val="20"/>
        </w:rPr>
        <w:t> </w:t>
      </w:r>
      <w:r>
        <w:rPr>
          <w:rFonts w:ascii="Times New Roman"/>
          <w:color w:val="231F20"/>
          <w:w w:val="105"/>
          <w:sz w:val="20"/>
        </w:rPr>
        <w:t>these </w:t>
      </w:r>
      <w:r>
        <w:rPr>
          <w:color w:val="231F20"/>
          <w:w w:val="105"/>
          <w:sz w:val="20"/>
        </w:rPr>
        <w:t>identified</w:t>
      </w:r>
      <w:r>
        <w:rPr>
          <w:color w:val="231F20"/>
          <w:spacing w:val="-16"/>
          <w:w w:val="105"/>
          <w:sz w:val="20"/>
        </w:rPr>
        <w:t> </w:t>
      </w:r>
      <w:r>
        <w:rPr>
          <w:color w:val="231F20"/>
          <w:w w:val="105"/>
          <w:sz w:val="20"/>
        </w:rPr>
        <w:t>jurisdictions</w:t>
      </w:r>
      <w:r>
        <w:rPr>
          <w:color w:val="231F20"/>
          <w:spacing w:val="-16"/>
          <w:w w:val="105"/>
          <w:sz w:val="20"/>
        </w:rPr>
        <w:t> </w:t>
      </w:r>
      <w:r>
        <w:rPr>
          <w:color w:val="231F20"/>
          <w:w w:val="105"/>
          <w:sz w:val="20"/>
        </w:rPr>
        <w:t>or</w:t>
      </w:r>
      <w:r>
        <w:rPr>
          <w:color w:val="231F20"/>
          <w:spacing w:val="-16"/>
          <w:w w:val="105"/>
          <w:sz w:val="20"/>
        </w:rPr>
        <w:t> </w:t>
      </w:r>
      <w:r>
        <w:rPr>
          <w:color w:val="231F20"/>
          <w:w w:val="105"/>
          <w:sz w:val="20"/>
        </w:rPr>
        <w:t>agencies;</w:t>
      </w:r>
    </w:p>
    <w:p>
      <w:pPr>
        <w:pStyle w:val="ListParagraph"/>
        <w:numPr>
          <w:ilvl w:val="0"/>
          <w:numId w:val="2"/>
        </w:numPr>
        <w:tabs>
          <w:tab w:pos="495" w:val="left" w:leader="none"/>
        </w:tabs>
        <w:spacing w:line="266" w:lineRule="auto" w:before="92" w:after="0"/>
        <w:ind w:left="494" w:right="1978" w:hanging="171"/>
        <w:jc w:val="both"/>
        <w:rPr>
          <w:sz w:val="20"/>
        </w:rPr>
      </w:pPr>
      <w:r>
        <w:rPr>
          <w:color w:val="231F20"/>
          <w:sz w:val="20"/>
        </w:rPr>
        <w:t>Interview of cases locally (or provision of support to ensure timely conduct of interviews);</w:t>
      </w:r>
    </w:p>
    <w:p>
      <w:pPr>
        <w:pStyle w:val="ListParagraph"/>
        <w:numPr>
          <w:ilvl w:val="0"/>
          <w:numId w:val="2"/>
        </w:numPr>
        <w:tabs>
          <w:tab w:pos="495" w:val="left" w:leader="none"/>
        </w:tabs>
        <w:spacing w:line="266" w:lineRule="auto" w:before="90" w:after="0"/>
        <w:ind w:left="494" w:right="2125" w:hanging="171"/>
        <w:jc w:val="left"/>
        <w:rPr>
          <w:sz w:val="20"/>
        </w:rPr>
      </w:pPr>
      <w:r>
        <w:rPr>
          <w:color w:val="231F20"/>
          <w:sz w:val="20"/>
        </w:rPr>
        <w:t>Efforts to subtype agents and upload patterns to PulseNet; </w:t>
      </w:r>
      <w:r>
        <w:rPr>
          <w:color w:val="231F20"/>
          <w:spacing w:val="8"/>
          <w:sz w:val="20"/>
        </w:rPr>
        <w:t> </w:t>
      </w:r>
      <w:r>
        <w:rPr>
          <w:color w:val="231F20"/>
          <w:sz w:val="20"/>
        </w:rPr>
        <w:t>and</w:t>
      </w:r>
    </w:p>
    <w:p>
      <w:pPr>
        <w:pStyle w:val="ListParagraph"/>
        <w:numPr>
          <w:ilvl w:val="0"/>
          <w:numId w:val="2"/>
        </w:numPr>
        <w:tabs>
          <w:tab w:pos="495" w:val="left" w:leader="none"/>
        </w:tabs>
        <w:spacing w:line="266" w:lineRule="auto" w:before="90" w:after="0"/>
        <w:ind w:left="494" w:right="1580" w:hanging="171"/>
        <w:jc w:val="left"/>
        <w:rPr>
          <w:sz w:val="20"/>
        </w:rPr>
      </w:pPr>
      <w:r>
        <w:rPr>
          <w:color w:val="231F20"/>
          <w:sz w:val="20"/>
        </w:rPr>
        <w:t>Establishment of a coordinating office to collect, organize, and disseminate collective data.</w:t>
      </w:r>
    </w:p>
    <w:p>
      <w:pPr>
        <w:spacing w:after="0" w:line="266" w:lineRule="auto"/>
        <w:jc w:val="left"/>
        <w:rPr>
          <w:sz w:val="20"/>
        </w:rPr>
        <w:sectPr>
          <w:type w:val="continuous"/>
          <w:pgSz w:w="10080" w:h="14400"/>
          <w:pgMar w:top="0" w:bottom="360" w:left="0" w:right="0"/>
          <w:cols w:num="2" w:equalWidth="0">
            <w:col w:w="4497" w:space="40"/>
            <w:col w:w="5543"/>
          </w:cols>
        </w:sectPr>
      </w:pPr>
    </w:p>
    <w:p>
      <w:pPr>
        <w:pStyle w:val="BodyText"/>
        <w:spacing w:before="8"/>
        <w:rPr>
          <w:sz w:val="10"/>
        </w:rPr>
      </w:pPr>
    </w:p>
    <w:p>
      <w:pPr>
        <w:pStyle w:val="Heading1"/>
        <w:spacing w:line="249" w:lineRule="auto"/>
        <w:ind w:right="2321"/>
      </w:pPr>
      <w:r>
        <w:rPr/>
        <w:pict>
          <v:line style="position:absolute;mso-position-horizontal-relative:page;mso-position-vertical-relative:paragraph;z-index:4408;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4456" filled="true" fillcolor="#0079c1" stroked="false">
            <v:fill type="solid"/>
            <w10:wrap type="none"/>
          </v:rect>
        </w:pict>
      </w:r>
      <w:r>
        <w:rPr/>
        <w:pict>
          <v:line style="position:absolute;mso-position-horizontal-relative:page;mso-position-vertical-relative:paragraph;z-index:4480"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4504"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w w:val="105"/>
        </w:rPr>
        <w:t>Overview</w:t>
      </w:r>
      <w:r>
        <w:rPr>
          <w:color w:val="00A94F"/>
          <w:spacing w:val="-37"/>
          <w:w w:val="105"/>
        </w:rPr>
        <w:t> </w:t>
      </w:r>
      <w:r>
        <w:rPr>
          <w:color w:val="00A94F"/>
          <w:w w:val="105"/>
        </w:rPr>
        <w:t>of</w:t>
      </w:r>
      <w:r>
        <w:rPr>
          <w:color w:val="00A94F"/>
          <w:spacing w:val="-37"/>
          <w:w w:val="105"/>
        </w:rPr>
        <w:t> </w:t>
      </w:r>
      <w:r>
        <w:rPr>
          <w:color w:val="00A94F"/>
          <w:w w:val="105"/>
        </w:rPr>
        <w:t>Chapter</w:t>
      </w:r>
      <w:r>
        <w:rPr>
          <w:color w:val="00A94F"/>
          <w:spacing w:val="-37"/>
          <w:w w:val="105"/>
        </w:rPr>
        <w:t> </w:t>
      </w:r>
      <w:r>
        <w:rPr>
          <w:color w:val="00A94F"/>
          <w:w w:val="105"/>
        </w:rPr>
        <w:t>7.</w:t>
      </w:r>
      <w:r>
        <w:rPr>
          <w:color w:val="00A94F"/>
          <w:spacing w:val="-37"/>
          <w:w w:val="105"/>
        </w:rPr>
        <w:t> </w:t>
      </w:r>
      <w:r>
        <w:rPr>
          <w:color w:val="00A94F"/>
          <w:w w:val="105"/>
        </w:rPr>
        <w:t>Special</w:t>
      </w:r>
      <w:r>
        <w:rPr>
          <w:color w:val="00A94F"/>
          <w:spacing w:val="-37"/>
          <w:w w:val="105"/>
        </w:rPr>
        <w:t> </w:t>
      </w:r>
      <w:r>
        <w:rPr>
          <w:color w:val="00A94F"/>
          <w:w w:val="105"/>
        </w:rPr>
        <w:t>Considerations</w:t>
      </w:r>
      <w:r>
        <w:rPr>
          <w:color w:val="00A94F"/>
          <w:spacing w:val="-37"/>
          <w:w w:val="105"/>
        </w:rPr>
        <w:t> </w:t>
      </w:r>
      <w:r>
        <w:rPr>
          <w:color w:val="00A94F"/>
          <w:w w:val="105"/>
        </w:rPr>
        <w:t>for</w:t>
      </w:r>
      <w:r>
        <w:rPr>
          <w:color w:val="00A94F"/>
          <w:w w:val="108"/>
        </w:rPr>
        <w:t> </w:t>
      </w:r>
      <w:r>
        <w:rPr>
          <w:color w:val="00A94F"/>
        </w:rPr>
        <w:t>Multijurisdictional </w:t>
      </w:r>
      <w:r>
        <w:rPr>
          <w:color w:val="00A94F"/>
          <w:spacing w:val="34"/>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1" w:lineRule="auto" w:before="110"/>
        <w:ind w:left="1440"/>
        <w:rPr>
          <w:rFonts w:ascii="Arial"/>
        </w:rPr>
      </w:pPr>
      <w:r>
        <w:rPr>
          <w:rFonts w:ascii="Arial"/>
          <w:color w:val="1C3E94"/>
          <w:w w:val="105"/>
        </w:rPr>
        <w:t>Multijurisdictional</w:t>
      </w:r>
      <w:r>
        <w:rPr>
          <w:rFonts w:ascii="Arial"/>
          <w:color w:val="1C3E94"/>
          <w:spacing w:val="-29"/>
          <w:w w:val="105"/>
        </w:rPr>
        <w:t> </w:t>
      </w:r>
      <w:r>
        <w:rPr>
          <w:rFonts w:ascii="Arial"/>
          <w:color w:val="1C3E94"/>
          <w:w w:val="105"/>
        </w:rPr>
        <w:t>Outbreak</w:t>
      </w:r>
      <w:r>
        <w:rPr>
          <w:rFonts w:ascii="Arial"/>
          <w:color w:val="1C3E94"/>
          <w:spacing w:val="-29"/>
          <w:w w:val="105"/>
        </w:rPr>
        <w:t> </w:t>
      </w:r>
      <w:r>
        <w:rPr>
          <w:rFonts w:ascii="Arial"/>
          <w:color w:val="1C3E94"/>
          <w:w w:val="105"/>
        </w:rPr>
        <w:t>Investigation</w:t>
      </w:r>
      <w:r>
        <w:rPr>
          <w:rFonts w:ascii="Arial"/>
          <w:color w:val="1C3E94"/>
          <w:w w:val="102"/>
        </w:rPr>
        <w:t> </w:t>
      </w:r>
      <w:r>
        <w:rPr>
          <w:rFonts w:ascii="Arial"/>
          <w:color w:val="1C3E94"/>
          <w:w w:val="105"/>
        </w:rPr>
        <w:t>After-Action Reports and Reporting to </w:t>
      </w:r>
      <w:r>
        <w:rPr>
          <w:rFonts w:ascii="Arial"/>
          <w:color w:val="1C3E94"/>
        </w:rPr>
        <w:t>NORS (Section</w:t>
      </w:r>
      <w:r>
        <w:rPr>
          <w:rFonts w:ascii="Arial"/>
          <w:color w:val="1C3E94"/>
          <w:spacing w:val="-44"/>
        </w:rPr>
        <w:t> </w:t>
      </w:r>
      <w:r>
        <w:rPr>
          <w:rFonts w:ascii="Arial"/>
          <w:color w:val="1C3E94"/>
        </w:rPr>
        <w:t>7.5)</w:t>
      </w:r>
    </w:p>
    <w:p>
      <w:pPr>
        <w:pStyle w:val="BodyText"/>
        <w:spacing w:line="266" w:lineRule="auto" w:before="194"/>
        <w:ind w:left="1440" w:right="68"/>
      </w:pPr>
      <w:r>
        <w:rPr>
          <w:color w:val="231F20"/>
        </w:rPr>
        <w:t>The organizations involved in a </w:t>
      </w:r>
      <w:r>
        <w:rPr>
          <w:rFonts w:ascii="Times New Roman" w:hAnsi="Times New Roman"/>
          <w:color w:val="231F20"/>
        </w:rPr>
        <w:t>multijurisdictional outbreak should hold a </w:t>
      </w:r>
      <w:r>
        <w:rPr>
          <w:color w:val="231F20"/>
        </w:rPr>
        <w:t>conference call 1–3 months after the initial investigation ends to review lessons learned and to update participants on findings, conclusions, and actions taken. The lead agency(ies)  coordinating  the investigation</w:t>
      </w:r>
    </w:p>
    <w:p>
      <w:pPr>
        <w:pStyle w:val="BodyText"/>
        <w:spacing w:line="268" w:lineRule="auto" w:before="93"/>
        <w:ind w:left="398" w:right="798"/>
      </w:pPr>
      <w:r>
        <w:rPr/>
        <w:br w:type="column"/>
      </w:r>
      <w:r>
        <w:rPr>
          <w:rFonts w:ascii="Times New Roman"/>
          <w:color w:val="231F20"/>
          <w:w w:val="105"/>
        </w:rPr>
        <w:t>should</w:t>
      </w:r>
      <w:r>
        <w:rPr>
          <w:rFonts w:ascii="Times New Roman"/>
          <w:color w:val="231F20"/>
          <w:spacing w:val="-23"/>
          <w:w w:val="105"/>
        </w:rPr>
        <w:t> </w:t>
      </w:r>
      <w:r>
        <w:rPr>
          <w:rFonts w:ascii="Times New Roman"/>
          <w:color w:val="231F20"/>
          <w:w w:val="105"/>
        </w:rPr>
        <w:t>prepare</w:t>
      </w:r>
      <w:r>
        <w:rPr>
          <w:rFonts w:ascii="Times New Roman"/>
          <w:color w:val="231F20"/>
          <w:spacing w:val="-23"/>
          <w:w w:val="105"/>
        </w:rPr>
        <w:t> </w:t>
      </w:r>
      <w:r>
        <w:rPr>
          <w:rFonts w:ascii="Times New Roman"/>
          <w:color w:val="231F20"/>
          <w:w w:val="105"/>
        </w:rPr>
        <w:t>an</w:t>
      </w:r>
      <w:r>
        <w:rPr>
          <w:rFonts w:ascii="Times New Roman"/>
          <w:color w:val="231F20"/>
          <w:spacing w:val="-23"/>
          <w:w w:val="105"/>
        </w:rPr>
        <w:t> </w:t>
      </w:r>
      <w:r>
        <w:rPr>
          <w:rFonts w:ascii="Times New Roman"/>
          <w:color w:val="231F20"/>
          <w:w w:val="105"/>
        </w:rPr>
        <w:t>after-action</w:t>
      </w:r>
      <w:r>
        <w:rPr>
          <w:rFonts w:ascii="Times New Roman"/>
          <w:color w:val="231F20"/>
          <w:spacing w:val="-24"/>
          <w:w w:val="105"/>
        </w:rPr>
        <w:t> </w:t>
      </w:r>
      <w:r>
        <w:rPr>
          <w:rFonts w:ascii="Times New Roman"/>
          <w:color w:val="231F20"/>
          <w:w w:val="105"/>
        </w:rPr>
        <w:t>report</w:t>
      </w:r>
      <w:r>
        <w:rPr>
          <w:rFonts w:ascii="Times New Roman"/>
          <w:color w:val="231F20"/>
          <w:spacing w:val="-23"/>
          <w:w w:val="105"/>
        </w:rPr>
        <w:t> </w:t>
      </w:r>
      <w:r>
        <w:rPr>
          <w:rFonts w:ascii="Times New Roman"/>
          <w:color w:val="231F20"/>
          <w:w w:val="105"/>
        </w:rPr>
        <w:t>after</w:t>
      </w:r>
      <w:r>
        <w:rPr>
          <w:rFonts w:ascii="Times New Roman"/>
          <w:color w:val="231F20"/>
          <w:spacing w:val="-23"/>
          <w:w w:val="105"/>
        </w:rPr>
        <w:t> </w:t>
      </w:r>
      <w:r>
        <w:rPr>
          <w:rFonts w:ascii="Times New Roman"/>
          <w:color w:val="231F20"/>
          <w:w w:val="105"/>
        </w:rPr>
        <w:t>the </w:t>
      </w:r>
      <w:r>
        <w:rPr>
          <w:color w:val="231F20"/>
          <w:w w:val="105"/>
        </w:rPr>
        <w:t>conference</w:t>
      </w:r>
      <w:r>
        <w:rPr>
          <w:color w:val="231F20"/>
          <w:spacing w:val="-10"/>
          <w:w w:val="105"/>
        </w:rPr>
        <w:t> </w:t>
      </w:r>
      <w:r>
        <w:rPr>
          <w:color w:val="231F20"/>
          <w:w w:val="105"/>
        </w:rPr>
        <w:t>call.</w:t>
      </w:r>
      <w:r>
        <w:rPr>
          <w:color w:val="231F20"/>
          <w:spacing w:val="-10"/>
          <w:w w:val="105"/>
        </w:rPr>
        <w:t> </w:t>
      </w:r>
      <w:r>
        <w:rPr>
          <w:color w:val="231F20"/>
          <w:w w:val="105"/>
        </w:rPr>
        <w:t>The</w:t>
      </w:r>
      <w:r>
        <w:rPr>
          <w:color w:val="231F20"/>
          <w:spacing w:val="-10"/>
          <w:w w:val="105"/>
        </w:rPr>
        <w:t> </w:t>
      </w:r>
      <w:r>
        <w:rPr>
          <w:color w:val="231F20"/>
          <w:w w:val="105"/>
        </w:rPr>
        <w:t>report</w:t>
      </w:r>
      <w:r>
        <w:rPr>
          <w:color w:val="231F20"/>
          <w:spacing w:val="-10"/>
          <w:w w:val="105"/>
        </w:rPr>
        <w:t> </w:t>
      </w:r>
      <w:r>
        <w:rPr>
          <w:color w:val="231F20"/>
          <w:w w:val="105"/>
        </w:rPr>
        <w:t>should</w:t>
      </w:r>
      <w:r>
        <w:rPr>
          <w:color w:val="231F20"/>
          <w:spacing w:val="-10"/>
          <w:w w:val="105"/>
        </w:rPr>
        <w:t> </w:t>
      </w:r>
      <w:r>
        <w:rPr>
          <w:color w:val="231F20"/>
          <w:w w:val="105"/>
        </w:rPr>
        <w:t>summarize the effectiveness of communication and coordination</w:t>
      </w:r>
      <w:r>
        <w:rPr>
          <w:color w:val="231F20"/>
          <w:spacing w:val="-12"/>
          <w:w w:val="105"/>
        </w:rPr>
        <w:t> </w:t>
      </w:r>
      <w:r>
        <w:rPr>
          <w:color w:val="231F20"/>
          <w:w w:val="105"/>
        </w:rPr>
        <w:t>among</w:t>
      </w:r>
      <w:r>
        <w:rPr>
          <w:color w:val="231F20"/>
          <w:spacing w:val="-12"/>
          <w:w w:val="105"/>
        </w:rPr>
        <w:t> </w:t>
      </w:r>
      <w:r>
        <w:rPr>
          <w:color w:val="231F20"/>
          <w:w w:val="105"/>
        </w:rPr>
        <w:t>jurisdictions</w:t>
      </w:r>
      <w:r>
        <w:rPr>
          <w:color w:val="231F20"/>
          <w:spacing w:val="-12"/>
          <w:w w:val="105"/>
        </w:rPr>
        <w:t> </w:t>
      </w:r>
      <w:r>
        <w:rPr>
          <w:color w:val="231F20"/>
          <w:w w:val="105"/>
        </w:rPr>
        <w:t>and</w:t>
      </w:r>
      <w:r>
        <w:rPr>
          <w:color w:val="231F20"/>
          <w:spacing w:val="-12"/>
          <w:w w:val="105"/>
        </w:rPr>
        <w:t> </w:t>
      </w:r>
      <w:r>
        <w:rPr>
          <w:color w:val="231F20"/>
          <w:w w:val="105"/>
        </w:rPr>
        <w:t>identify specific gaps or problems that arose during the</w:t>
      </w:r>
      <w:r>
        <w:rPr>
          <w:color w:val="231F20"/>
          <w:spacing w:val="-17"/>
          <w:w w:val="105"/>
        </w:rPr>
        <w:t> </w:t>
      </w:r>
      <w:r>
        <w:rPr>
          <w:color w:val="231F20"/>
          <w:w w:val="105"/>
        </w:rPr>
        <w:t>investigation.</w:t>
      </w:r>
      <w:r>
        <w:rPr>
          <w:color w:val="231F20"/>
          <w:spacing w:val="-17"/>
          <w:w w:val="105"/>
        </w:rPr>
        <w:t> </w:t>
      </w:r>
      <w:r>
        <w:rPr>
          <w:color w:val="231F20"/>
          <w:w w:val="105"/>
        </w:rPr>
        <w:t>All</w:t>
      </w:r>
      <w:r>
        <w:rPr>
          <w:color w:val="231F20"/>
          <w:spacing w:val="-17"/>
          <w:w w:val="105"/>
        </w:rPr>
        <w:t> </w:t>
      </w:r>
      <w:r>
        <w:rPr>
          <w:color w:val="231F20"/>
          <w:w w:val="105"/>
        </w:rPr>
        <w:t>multijurisdictional</w:t>
      </w:r>
    </w:p>
    <w:p>
      <w:pPr>
        <w:pStyle w:val="BodyText"/>
        <w:spacing w:line="266" w:lineRule="auto"/>
        <w:ind w:left="398" w:right="558"/>
      </w:pPr>
      <w:r>
        <w:rPr>
          <w:color w:val="231F20"/>
          <w:w w:val="105"/>
        </w:rPr>
        <w:t>investigations should be reported by individual states to NORS. The multijurisdictional nature of the investigation should be indicated by completion of appropriate data fields in the NORS report form.</w:t>
      </w:r>
    </w:p>
    <w:p>
      <w:pPr>
        <w:spacing w:after="0" w:line="266" w:lineRule="auto"/>
        <w:sectPr>
          <w:type w:val="continuous"/>
          <w:pgSz w:w="10080" w:h="14400"/>
          <w:pgMar w:top="0" w:bottom="360" w:left="0" w:right="0"/>
          <w:cols w:num="2" w:equalWidth="0">
            <w:col w:w="5142" w:space="40"/>
            <w:col w:w="4898"/>
          </w:cols>
        </w:sectPr>
      </w:pPr>
    </w:p>
    <w:p>
      <w:pPr>
        <w:pStyle w:val="BodyText"/>
      </w:pPr>
    </w:p>
    <w:p>
      <w:pPr>
        <w:pStyle w:val="BodyText"/>
        <w:spacing w:before="2"/>
        <w:rPr>
          <w:sz w:val="27"/>
        </w:rPr>
      </w:pPr>
    </w:p>
    <w:p>
      <w:pPr>
        <w:pStyle w:val="Heading1"/>
        <w:spacing w:line="249" w:lineRule="auto" w:before="98"/>
        <w:ind w:right="11"/>
      </w:pPr>
      <w:r>
        <w:rPr/>
        <w:pict>
          <v:line style="position:absolute;mso-position-horizontal-relative:page;mso-position-vertical-relative:paragraph;z-index:4432;mso-wrap-distance-left:0;mso-wrap-distance-right:0" from="72pt,40.841839pt" to="468pt,40.841839pt" stroked="true" strokeweight=".5pt" strokecolor="#00a94f">
            <v:stroke dashstyle="solid"/>
            <w10:wrap type="topAndBottom"/>
          </v:line>
        </w:pict>
      </w:r>
      <w:r>
        <w:rPr>
          <w:color w:val="00A94F"/>
        </w:rPr>
        <w:t>Overview of Chapter 8. Performance Measures for Foodborne </w:t>
      </w:r>
      <w:r>
        <w:rPr>
          <w:color w:val="00A94F"/>
          <w:w w:val="95"/>
        </w:rPr>
        <w:t>Disease</w:t>
      </w:r>
      <w:r>
        <w:rPr>
          <w:color w:val="00A94F"/>
          <w:spacing w:val="58"/>
          <w:w w:val="95"/>
        </w:rPr>
        <w:t> </w:t>
      </w:r>
      <w:r>
        <w:rPr>
          <w:color w:val="00A94F"/>
          <w:w w:val="95"/>
        </w:rPr>
        <w:t>Programs</w:t>
      </w:r>
    </w:p>
    <w:p>
      <w:pPr>
        <w:pStyle w:val="BodyText"/>
        <w:spacing w:before="10"/>
        <w:rPr>
          <w:rFonts w:ascii="Arial"/>
          <w:sz w:val="13"/>
        </w:rPr>
      </w:pPr>
    </w:p>
    <w:p>
      <w:pPr>
        <w:spacing w:after="0"/>
        <w:rPr>
          <w:rFonts w:ascii="Arial"/>
          <w:sz w:val="13"/>
        </w:rPr>
        <w:sectPr>
          <w:type w:val="continuous"/>
          <w:pgSz w:w="10080" w:h="14400"/>
          <w:pgMar w:top="0" w:bottom="360" w:left="0" w:right="0"/>
        </w:sectPr>
      </w:pPr>
    </w:p>
    <w:p>
      <w:pPr>
        <w:pStyle w:val="BodyText"/>
        <w:spacing w:before="110"/>
        <w:ind w:left="1440"/>
        <w:rPr>
          <w:rFonts w:ascii="Arial"/>
        </w:rPr>
      </w:pPr>
      <w:r>
        <w:rPr>
          <w:rFonts w:ascii="Arial"/>
          <w:color w:val="1C3E94"/>
        </w:rPr>
        <w:t>Introduction (Section 8.0)</w:t>
      </w:r>
    </w:p>
    <w:p>
      <w:pPr>
        <w:pStyle w:val="BodyText"/>
        <w:spacing w:before="8"/>
        <w:rPr>
          <w:rFonts w:ascii="Arial"/>
          <w:sz w:val="18"/>
        </w:rPr>
      </w:pPr>
    </w:p>
    <w:p>
      <w:pPr>
        <w:pStyle w:val="BodyText"/>
        <w:spacing w:line="264" w:lineRule="auto"/>
        <w:ind w:left="1440"/>
      </w:pPr>
      <w:r>
        <w:rPr>
          <w:color w:val="231F20"/>
        </w:rPr>
        <w:t>Progress is being made toward the </w:t>
      </w:r>
      <w:r>
        <w:rPr>
          <w:rFonts w:ascii="Times New Roman" w:hAnsi="Times New Roman"/>
          <w:color w:val="231F20"/>
        </w:rPr>
        <w:t>development of comprehensive national performance standards, measures, and models </w:t>
      </w:r>
      <w:r>
        <w:rPr>
          <w:color w:val="231F20"/>
        </w:rPr>
        <w:t>that public health agencies can follow to  </w:t>
      </w:r>
      <w:r>
        <w:rPr>
          <w:rFonts w:ascii="Times New Roman" w:hAnsi="Times New Roman"/>
          <w:color w:val="231F20"/>
        </w:rPr>
        <w:t>ensure foodborne illness surveillance and </w:t>
      </w:r>
      <w:r>
        <w:rPr>
          <w:color w:val="231F20"/>
        </w:rPr>
        <w:t>outbreak detection and response systems work at maximum </w:t>
      </w:r>
      <w:r>
        <w:rPr>
          <w:color w:val="231F20"/>
          <w:spacing w:val="-3"/>
        </w:rPr>
        <w:t>efficiency. </w:t>
      </w:r>
      <w:r>
        <w:rPr>
          <w:color w:val="231F20"/>
        </w:rPr>
        <w:t>CDC’s Public Health Emergency  Preparedness  Goals</w:t>
      </w:r>
      <w:r>
        <w:rPr>
          <w:color w:val="231F20"/>
          <w:spacing w:val="-10"/>
        </w:rPr>
        <w:t> </w:t>
      </w:r>
      <w:r>
        <w:rPr>
          <w:color w:val="231F20"/>
        </w:rPr>
        <w:t>established</w:t>
      </w:r>
    </w:p>
    <w:p>
      <w:pPr>
        <w:pStyle w:val="BodyText"/>
        <w:spacing w:line="264" w:lineRule="auto" w:before="2"/>
        <w:ind w:left="1440"/>
      </w:pPr>
      <w:r>
        <w:rPr>
          <w:color w:val="231F20"/>
          <w:w w:val="105"/>
        </w:rPr>
        <w:t>a general framework and a few specific </w:t>
      </w:r>
      <w:r>
        <w:rPr>
          <w:rFonts w:ascii="Times New Roman" w:hAnsi="Times New Roman"/>
          <w:color w:val="231F20"/>
        </w:rPr>
        <w:t>performance measures relevant to foodborne </w:t>
      </w:r>
      <w:r>
        <w:rPr>
          <w:color w:val="231F20"/>
          <w:w w:val="105"/>
        </w:rPr>
        <w:t>disease surveillance. CDC’s</w:t>
      </w:r>
    </w:p>
    <w:p>
      <w:pPr>
        <w:pStyle w:val="BodyText"/>
        <w:spacing w:line="264" w:lineRule="auto" w:before="182"/>
        <w:ind w:left="1440" w:right="207"/>
      </w:pPr>
      <w:r>
        <w:rPr>
          <w:color w:val="231F20"/>
        </w:rPr>
        <w:t>Foodborne Diseases Centers for Outbreak Response Enhancement (FoodCORE) </w:t>
      </w:r>
      <w:r>
        <w:rPr>
          <w:rFonts w:ascii="Times New Roman"/>
          <w:color w:val="231F20"/>
        </w:rPr>
        <w:t>program has developed a series of performance metrics that cover a range of </w:t>
      </w:r>
      <w:r>
        <w:rPr>
          <w:color w:val="231F20"/>
        </w:rPr>
        <w:t>outbreak detection and response activities. </w:t>
      </w:r>
      <w:r>
        <w:rPr>
          <w:rFonts w:ascii="Times New Roman"/>
          <w:color w:val="231F20"/>
        </w:rPr>
        <w:t>These are designed to demonstrate </w:t>
      </w:r>
      <w:r>
        <w:rPr>
          <w:color w:val="231F20"/>
        </w:rPr>
        <w:t>successes and identify gaps in the detection, </w:t>
      </w:r>
      <w:r>
        <w:rPr>
          <w:rFonts w:ascii="Times New Roman"/>
          <w:color w:val="231F20"/>
        </w:rPr>
        <w:t>investigation, and control of enteric disease </w:t>
      </w:r>
      <w:r>
        <w:rPr>
          <w:color w:val="231F20"/>
        </w:rPr>
        <w:t>outbreaks.</w:t>
      </w:r>
    </w:p>
    <w:p>
      <w:pPr>
        <w:pStyle w:val="BodyText"/>
        <w:spacing w:line="268" w:lineRule="auto" w:before="167"/>
        <w:ind w:left="1440" w:right="338"/>
      </w:pPr>
      <w:r>
        <w:rPr>
          <w:rFonts w:ascii="Times New Roman"/>
          <w:color w:val="231F20"/>
        </w:rPr>
        <w:t>Because</w:t>
      </w:r>
      <w:r>
        <w:rPr>
          <w:rFonts w:ascii="Times New Roman"/>
          <w:color w:val="231F20"/>
          <w:spacing w:val="-14"/>
        </w:rPr>
        <w:t> </w:t>
      </w:r>
      <w:r>
        <w:rPr>
          <w:rFonts w:ascii="Times New Roman"/>
          <w:color w:val="231F20"/>
        </w:rPr>
        <w:t>the</w:t>
      </w:r>
      <w:r>
        <w:rPr>
          <w:rFonts w:ascii="Times New Roman"/>
          <w:color w:val="231F20"/>
          <w:spacing w:val="-14"/>
        </w:rPr>
        <w:t> </w:t>
      </w:r>
      <w:r>
        <w:rPr>
          <w:rFonts w:ascii="Times New Roman"/>
          <w:color w:val="231F20"/>
        </w:rPr>
        <w:t>evidence</w:t>
      </w:r>
      <w:r>
        <w:rPr>
          <w:rFonts w:ascii="Times New Roman"/>
          <w:color w:val="231F20"/>
          <w:spacing w:val="-13"/>
        </w:rPr>
        <w:t> </w:t>
      </w:r>
      <w:r>
        <w:rPr>
          <w:rFonts w:ascii="Times New Roman"/>
          <w:color w:val="231F20"/>
        </w:rPr>
        <w:t>base</w:t>
      </w:r>
      <w:r>
        <w:rPr>
          <w:rFonts w:ascii="Times New Roman"/>
          <w:color w:val="231F20"/>
          <w:spacing w:val="-14"/>
        </w:rPr>
        <w:t> </w:t>
      </w:r>
      <w:r>
        <w:rPr>
          <w:rFonts w:ascii="Times New Roman"/>
          <w:color w:val="231F20"/>
        </w:rPr>
        <w:t>for</w:t>
      </w:r>
      <w:r>
        <w:rPr>
          <w:rFonts w:ascii="Times New Roman"/>
          <w:color w:val="231F20"/>
          <w:spacing w:val="-14"/>
        </w:rPr>
        <w:t> </w:t>
      </w:r>
      <w:r>
        <w:rPr>
          <w:rFonts w:ascii="Times New Roman"/>
          <w:color w:val="231F20"/>
        </w:rPr>
        <w:t>establishing performance measures has increased </w:t>
      </w:r>
      <w:r>
        <w:rPr>
          <w:color w:val="231F20"/>
        </w:rPr>
        <w:t>greatly since the original publication of   the  CIFOR  Guidelines,  the</w:t>
      </w:r>
      <w:r>
        <w:rPr>
          <w:color w:val="231F20"/>
          <w:spacing w:val="-21"/>
        </w:rPr>
        <w:t> </w:t>
      </w:r>
      <w:r>
        <w:rPr>
          <w:color w:val="231F20"/>
        </w:rPr>
        <w:t>performance</w:t>
      </w:r>
    </w:p>
    <w:p>
      <w:pPr>
        <w:pStyle w:val="BodyText"/>
        <w:spacing w:line="271" w:lineRule="auto" w:before="93"/>
        <w:ind w:left="404" w:right="583"/>
      </w:pPr>
      <w:r>
        <w:rPr/>
        <w:br w:type="column"/>
      </w:r>
      <w:r>
        <w:rPr>
          <w:rFonts w:ascii="Times New Roman"/>
          <w:color w:val="231F20"/>
        </w:rPr>
        <w:t>measures included in this chapter have been </w:t>
      </w:r>
      <w:r>
        <w:rPr>
          <w:color w:val="231F20"/>
        </w:rPr>
        <w:t>modified, and some have been selected for the development of  target ranges.</w:t>
      </w:r>
    </w:p>
    <w:p>
      <w:pPr>
        <w:pStyle w:val="BodyText"/>
        <w:spacing w:before="160"/>
        <w:ind w:left="404"/>
        <w:rPr>
          <w:rFonts w:ascii="Arial"/>
        </w:rPr>
      </w:pPr>
      <w:r>
        <w:rPr>
          <w:rFonts w:ascii="Arial"/>
          <w:color w:val="1C3E94"/>
        </w:rPr>
        <w:t>Purpose and Intended Use (Section 8.1)</w:t>
      </w:r>
    </w:p>
    <w:p>
      <w:pPr>
        <w:pStyle w:val="BodyText"/>
        <w:spacing w:before="7"/>
        <w:rPr>
          <w:rFonts w:ascii="Arial"/>
          <w:sz w:val="18"/>
        </w:rPr>
      </w:pPr>
    </w:p>
    <w:p>
      <w:pPr>
        <w:pStyle w:val="BodyText"/>
        <w:spacing w:line="264" w:lineRule="auto" w:before="1"/>
        <w:ind w:left="404" w:right="907"/>
      </w:pPr>
      <w:r>
        <w:rPr>
          <w:color w:val="231F20"/>
        </w:rPr>
        <w:t>The First Edition of the Guidelines included measurable indicators of effective surveillance </w:t>
      </w:r>
      <w:r>
        <w:rPr>
          <w:rFonts w:ascii="Times New Roman"/>
          <w:color w:val="231F20"/>
        </w:rPr>
        <w:t>for enteric diseases and of response to </w:t>
      </w:r>
      <w:r>
        <w:rPr>
          <w:color w:val="231F20"/>
        </w:rPr>
        <w:t>outbreaks </w:t>
      </w:r>
      <w:r>
        <w:rPr>
          <w:color w:val="231F20"/>
          <w:spacing w:val="-3"/>
        </w:rPr>
        <w:t>by </w:t>
      </w:r>
      <w:r>
        <w:rPr>
          <w:color w:val="231F20"/>
        </w:rPr>
        <w:t>state and local public health officials. The performance indicators were intended to be used </w:t>
      </w:r>
      <w:r>
        <w:rPr>
          <w:color w:val="231F20"/>
          <w:spacing w:val="-3"/>
        </w:rPr>
        <w:t>by </w:t>
      </w:r>
      <w:r>
        <w:rPr>
          <w:color w:val="231F20"/>
        </w:rPr>
        <w:t>agencies to evaluate   </w:t>
      </w:r>
      <w:r>
        <w:rPr>
          <w:rFonts w:ascii="Times New Roman"/>
          <w:color w:val="231F20"/>
        </w:rPr>
        <w:t>the performance of their foodborne disease </w:t>
      </w:r>
      <w:r>
        <w:rPr>
          <w:color w:val="231F20"/>
        </w:rPr>
        <w:t>surveillance and control programs. </w:t>
      </w:r>
      <w:r>
        <w:rPr>
          <w:color w:val="231F20"/>
          <w:spacing w:val="-4"/>
        </w:rPr>
        <w:t>However, </w:t>
      </w:r>
      <w:r>
        <w:rPr>
          <w:color w:val="231F20"/>
        </w:rPr>
        <w:t>the original Guidelines stopped short </w:t>
      </w:r>
      <w:r>
        <w:rPr>
          <w:color w:val="231F20"/>
          <w:spacing w:val="16"/>
        </w:rPr>
        <w:t> </w:t>
      </w:r>
      <w:r>
        <w:rPr>
          <w:color w:val="231F20"/>
        </w:rPr>
        <w:t>of</w:t>
      </w:r>
    </w:p>
    <w:p>
      <w:pPr>
        <w:pStyle w:val="BodyText"/>
        <w:spacing w:before="2"/>
        <w:ind w:left="404"/>
      </w:pPr>
      <w:r>
        <w:rPr>
          <w:color w:val="231F20"/>
          <w:w w:val="105"/>
        </w:rPr>
        <w:t>providing specific targets for individual metrics.</w:t>
      </w:r>
    </w:p>
    <w:p>
      <w:pPr>
        <w:pStyle w:val="BodyText"/>
        <w:spacing w:before="1"/>
        <w:rPr>
          <w:sz w:val="18"/>
        </w:rPr>
      </w:pPr>
    </w:p>
    <w:p>
      <w:pPr>
        <w:pStyle w:val="BodyText"/>
        <w:spacing w:line="266" w:lineRule="auto" w:before="1"/>
        <w:ind w:left="404" w:right="583"/>
      </w:pPr>
      <w:r>
        <w:rPr>
          <w:color w:val="231F20"/>
          <w:w w:val="105"/>
        </w:rPr>
        <w:t>Since the development of the Guidelines, performance, accountability, and transparency by public health agencies have received more emphasis. Therefore, target values need to</w:t>
      </w:r>
    </w:p>
    <w:p>
      <w:pPr>
        <w:pStyle w:val="BodyText"/>
        <w:spacing w:line="261" w:lineRule="auto"/>
        <w:ind w:left="404" w:right="782"/>
        <w:rPr>
          <w:rFonts w:ascii="Times New Roman"/>
        </w:rPr>
      </w:pPr>
      <w:r>
        <w:rPr>
          <w:color w:val="231F20"/>
        </w:rPr>
        <w:t>be developed that will help state and local  </w:t>
      </w:r>
      <w:r>
        <w:rPr>
          <w:rFonts w:ascii="Times New Roman"/>
          <w:color w:val="231F20"/>
        </w:rPr>
        <w:t>public health agencies demonstrate their </w:t>
      </w:r>
      <w:r>
        <w:rPr>
          <w:color w:val="231F20"/>
        </w:rPr>
        <w:t>performance and effectiveness for foodborne </w:t>
      </w:r>
      <w:r>
        <w:rPr>
          <w:rFonts w:ascii="Times New Roman"/>
          <w:color w:val="231F20"/>
        </w:rPr>
        <w:t>disease surveillance and outbreak control </w:t>
      </w:r>
      <w:r>
        <w:rPr>
          <w:color w:val="231F20"/>
        </w:rPr>
        <w:t>activities. Given a public health system that </w:t>
      </w:r>
      <w:r>
        <w:rPr>
          <w:rFonts w:ascii="Times New Roman"/>
          <w:color w:val="231F20"/>
        </w:rPr>
        <w:t>involves multiple independent jurisdictions, having performance criteria and metrics along</w:t>
      </w:r>
    </w:p>
    <w:p>
      <w:pPr>
        <w:spacing w:after="0" w:line="261" w:lineRule="auto"/>
        <w:rPr>
          <w:rFonts w:ascii="Times New Roman"/>
        </w:rPr>
        <w:sectPr>
          <w:type w:val="continuous"/>
          <w:pgSz w:w="10080" w:h="14400"/>
          <w:pgMar w:top="0" w:bottom="360" w:left="0" w:right="0"/>
          <w:cols w:num="2" w:equalWidth="0">
            <w:col w:w="5136" w:space="40"/>
            <w:col w:w="4904"/>
          </w:cols>
        </w:sectPr>
      </w:pPr>
    </w:p>
    <w:p>
      <w:pPr>
        <w:pStyle w:val="BodyText"/>
        <w:spacing w:before="2"/>
        <w:rPr>
          <w:rFonts w:ascii="Times New Roman"/>
          <w:sz w:val="26"/>
        </w:rPr>
      </w:pPr>
    </w:p>
    <w:p>
      <w:pPr>
        <w:pStyle w:val="Heading1"/>
        <w:spacing w:line="249" w:lineRule="auto"/>
        <w:ind w:left="720" w:right="1582"/>
      </w:pPr>
      <w:r>
        <w:rPr/>
        <w:pict>
          <v:line style="position:absolute;mso-position-horizontal-relative:page;mso-position-vertical-relative:paragraph;z-index:4528;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4576" filled="true" fillcolor="#0079c1" stroked="false">
            <v:fill type="solid"/>
            <w10:wrap type="none"/>
          </v:rect>
        </w:pict>
      </w:r>
      <w:r>
        <w:rPr/>
        <w:pict>
          <v:line style="position:absolute;mso-position-horizontal-relative:page;mso-position-vertical-relative:paragraph;z-index:4600"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4624"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4648"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8. Performance Measures for Foodborne </w:t>
      </w:r>
      <w:r>
        <w:rPr>
          <w:color w:val="00A94F"/>
          <w:w w:val="95"/>
        </w:rPr>
        <w:t>Disease</w:t>
      </w:r>
      <w:r>
        <w:rPr>
          <w:color w:val="00A94F"/>
          <w:spacing w:val="58"/>
          <w:w w:val="95"/>
        </w:rPr>
        <w:t> </w:t>
      </w:r>
      <w:r>
        <w:rPr>
          <w:color w:val="00A94F"/>
          <w:w w:val="95"/>
        </w:rPr>
        <w:t>Programs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64" w:lineRule="auto" w:before="108"/>
        <w:ind w:left="720" w:right="221"/>
      </w:pPr>
      <w:r>
        <w:rPr>
          <w:color w:val="231F20"/>
        </w:rPr>
        <w:t>with target values will provide a framework </w:t>
      </w:r>
      <w:r>
        <w:rPr>
          <w:rFonts w:ascii="Times New Roman"/>
          <w:color w:val="231F20"/>
        </w:rPr>
        <w:t>for communicating model practices for </w:t>
      </w:r>
      <w:r>
        <w:rPr>
          <w:color w:val="231F20"/>
        </w:rPr>
        <w:t>surveillance  activities;  facilitate training</w:t>
      </w:r>
    </w:p>
    <w:p>
      <w:pPr>
        <w:pStyle w:val="BodyText"/>
        <w:spacing w:line="264" w:lineRule="auto" w:before="2"/>
        <w:ind w:left="720" w:right="9"/>
      </w:pPr>
      <w:r>
        <w:rPr>
          <w:color w:val="231F20"/>
          <w:w w:val="105"/>
        </w:rPr>
        <w:t>for staff; enable aggregation of data at the </w:t>
      </w:r>
      <w:r>
        <w:rPr>
          <w:rFonts w:ascii="Times New Roman"/>
          <w:color w:val="231F20"/>
          <w:w w:val="105"/>
        </w:rPr>
        <w:t>state, regional, and national level to evaluate </w:t>
      </w:r>
      <w:r>
        <w:rPr>
          <w:color w:val="231F20"/>
          <w:w w:val="105"/>
        </w:rPr>
        <w:t>program effectiveness and identify needs for improvement;</w:t>
      </w:r>
      <w:r>
        <w:rPr>
          <w:color w:val="231F20"/>
          <w:spacing w:val="-14"/>
          <w:w w:val="105"/>
        </w:rPr>
        <w:t> </w:t>
      </w:r>
      <w:r>
        <w:rPr>
          <w:color w:val="231F20"/>
          <w:w w:val="105"/>
        </w:rPr>
        <w:t>and</w:t>
      </w:r>
      <w:r>
        <w:rPr>
          <w:color w:val="231F20"/>
          <w:spacing w:val="-14"/>
          <w:w w:val="105"/>
        </w:rPr>
        <w:t> </w:t>
      </w:r>
      <w:r>
        <w:rPr>
          <w:color w:val="231F20"/>
          <w:w w:val="105"/>
        </w:rPr>
        <w:t>create</w:t>
      </w:r>
      <w:r>
        <w:rPr>
          <w:color w:val="231F20"/>
          <w:spacing w:val="-14"/>
          <w:w w:val="105"/>
        </w:rPr>
        <w:t> </w:t>
      </w:r>
      <w:r>
        <w:rPr>
          <w:color w:val="231F20"/>
          <w:w w:val="105"/>
        </w:rPr>
        <w:t>clear</w:t>
      </w:r>
      <w:r>
        <w:rPr>
          <w:color w:val="231F20"/>
          <w:spacing w:val="-14"/>
          <w:w w:val="105"/>
        </w:rPr>
        <w:t> </w:t>
      </w:r>
      <w:r>
        <w:rPr>
          <w:color w:val="231F20"/>
          <w:w w:val="105"/>
        </w:rPr>
        <w:t>expectations</w:t>
      </w:r>
      <w:r>
        <w:rPr>
          <w:color w:val="231F20"/>
          <w:spacing w:val="-14"/>
          <w:w w:val="105"/>
        </w:rPr>
        <w:t> </w:t>
      </w:r>
      <w:r>
        <w:rPr>
          <w:color w:val="231F20"/>
          <w:w w:val="105"/>
        </w:rPr>
        <w:t>for performance.</w:t>
      </w:r>
    </w:p>
    <w:p>
      <w:pPr>
        <w:pStyle w:val="BodyText"/>
        <w:spacing w:before="166"/>
        <w:ind w:left="720"/>
        <w:rPr>
          <w:rFonts w:ascii="Arial"/>
        </w:rPr>
      </w:pPr>
      <w:r>
        <w:rPr>
          <w:rFonts w:ascii="Arial"/>
          <w:color w:val="1C3E94"/>
        </w:rPr>
        <w:t>Performance Indicators (Section 8.2)</w:t>
      </w:r>
    </w:p>
    <w:p>
      <w:pPr>
        <w:pStyle w:val="BodyText"/>
        <w:spacing w:before="7"/>
        <w:rPr>
          <w:rFonts w:ascii="Arial"/>
          <w:sz w:val="18"/>
        </w:rPr>
      </w:pPr>
    </w:p>
    <w:p>
      <w:pPr>
        <w:pStyle w:val="BodyText"/>
        <w:spacing w:line="266" w:lineRule="auto"/>
        <w:ind w:left="720" w:right="55"/>
      </w:pPr>
      <w:r>
        <w:rPr>
          <w:color w:val="231F20"/>
          <w:w w:val="105"/>
        </w:rPr>
        <w:t>Major performance indicators are organized in multiple tables by program function. The </w:t>
      </w:r>
      <w:r>
        <w:rPr>
          <w:rFonts w:ascii="Times New Roman" w:hAnsi="Times New Roman"/>
          <w:color w:val="231F20"/>
        </w:rPr>
        <w:t>roles and responsibilities of foodborne disease </w:t>
      </w:r>
      <w:r>
        <w:rPr>
          <w:color w:val="231F20"/>
          <w:w w:val="105"/>
        </w:rPr>
        <w:t>surveillance and control programs vary by state in accordance with state law. Individual agencies that wish to evaluate their programs by using these indicators should select indicators and metrics that best reflect their activities, regardless of where they fall in the document’s table structure.</w:t>
      </w:r>
    </w:p>
    <w:p>
      <w:pPr>
        <w:pStyle w:val="BodyText"/>
        <w:spacing w:line="252" w:lineRule="auto" w:before="179"/>
        <w:ind w:left="720"/>
        <w:rPr>
          <w:rFonts w:ascii="Times New Roman"/>
        </w:rPr>
      </w:pPr>
      <w:r>
        <w:rPr>
          <w:color w:val="231F20"/>
        </w:rPr>
        <w:t>The first four tables focus on foodborne disease </w:t>
      </w:r>
      <w:r>
        <w:rPr>
          <w:rFonts w:ascii="Times New Roman"/>
          <w:color w:val="231F20"/>
        </w:rPr>
        <w:t>program objectives and indicators:</w:t>
      </w:r>
    </w:p>
    <w:p>
      <w:pPr>
        <w:pStyle w:val="ListParagraph"/>
        <w:numPr>
          <w:ilvl w:val="0"/>
          <w:numId w:val="2"/>
        </w:numPr>
        <w:tabs>
          <w:tab w:pos="494" w:val="left" w:leader="none"/>
        </w:tabs>
        <w:spacing w:line="252" w:lineRule="auto" w:before="108" w:after="0"/>
        <w:ind w:left="493" w:right="1628" w:hanging="171"/>
        <w:jc w:val="left"/>
        <w:rPr>
          <w:rFonts w:ascii="Times New Roman"/>
          <w:sz w:val="20"/>
        </w:rPr>
      </w:pPr>
      <w:r>
        <w:rPr>
          <w:color w:val="231F20"/>
          <w:spacing w:val="-17"/>
          <w:w w:val="113"/>
          <w:sz w:val="20"/>
        </w:rPr>
        <w:br w:type="column"/>
      </w:r>
      <w:r>
        <w:rPr>
          <w:color w:val="231F20"/>
          <w:spacing w:val="-4"/>
          <w:sz w:val="20"/>
        </w:rPr>
        <w:t>Table </w:t>
      </w:r>
      <w:r>
        <w:rPr>
          <w:color w:val="231F20"/>
          <w:sz w:val="20"/>
        </w:rPr>
        <w:t>8.1. Objectives of foodborne disease </w:t>
      </w:r>
      <w:r>
        <w:rPr>
          <w:rFonts w:ascii="Times New Roman"/>
          <w:color w:val="231F20"/>
          <w:sz w:val="20"/>
        </w:rPr>
        <w:t>surveillance</w:t>
      </w:r>
      <w:r>
        <w:rPr>
          <w:rFonts w:ascii="Times New Roman"/>
          <w:color w:val="231F20"/>
          <w:spacing w:val="-15"/>
          <w:sz w:val="20"/>
        </w:rPr>
        <w:t> </w:t>
      </w:r>
      <w:r>
        <w:rPr>
          <w:rFonts w:ascii="Times New Roman"/>
          <w:color w:val="231F20"/>
          <w:sz w:val="20"/>
        </w:rPr>
        <w:t>program</w:t>
      </w:r>
    </w:p>
    <w:p>
      <w:pPr>
        <w:pStyle w:val="ListParagraph"/>
        <w:numPr>
          <w:ilvl w:val="0"/>
          <w:numId w:val="2"/>
        </w:numPr>
        <w:tabs>
          <w:tab w:pos="494" w:val="left" w:leader="none"/>
        </w:tabs>
        <w:spacing w:line="252" w:lineRule="auto" w:before="113" w:after="0"/>
        <w:ind w:left="493" w:right="1540" w:hanging="171"/>
        <w:jc w:val="left"/>
        <w:rPr>
          <w:rFonts w:ascii="Times New Roman"/>
          <w:sz w:val="20"/>
        </w:rPr>
      </w:pPr>
      <w:r>
        <w:rPr>
          <w:color w:val="231F20"/>
          <w:spacing w:val="-4"/>
          <w:w w:val="105"/>
          <w:sz w:val="20"/>
        </w:rPr>
        <w:t>Table </w:t>
      </w:r>
      <w:r>
        <w:rPr>
          <w:color w:val="231F20"/>
          <w:w w:val="105"/>
          <w:sz w:val="20"/>
        </w:rPr>
        <w:t>8.2. Short-term objectives,</w:t>
      </w:r>
      <w:r>
        <w:rPr>
          <w:color w:val="231F20"/>
          <w:spacing w:val="-17"/>
          <w:w w:val="105"/>
          <w:sz w:val="20"/>
        </w:rPr>
        <w:t> </w:t>
      </w:r>
      <w:r>
        <w:rPr>
          <w:color w:val="231F20"/>
          <w:w w:val="105"/>
          <w:sz w:val="20"/>
        </w:rPr>
        <w:t>indicators, </w:t>
      </w:r>
      <w:r>
        <w:rPr>
          <w:rFonts w:ascii="Times New Roman"/>
          <w:color w:val="231F20"/>
          <w:sz w:val="20"/>
        </w:rPr>
        <w:t>subindicators, and</w:t>
      </w:r>
      <w:r>
        <w:rPr>
          <w:rFonts w:ascii="Times New Roman"/>
          <w:color w:val="231F20"/>
          <w:spacing w:val="-17"/>
          <w:sz w:val="20"/>
        </w:rPr>
        <w:t> </w:t>
      </w:r>
      <w:r>
        <w:rPr>
          <w:rFonts w:ascii="Times New Roman"/>
          <w:color w:val="231F20"/>
          <w:sz w:val="20"/>
        </w:rPr>
        <w:t>metrics</w:t>
      </w:r>
    </w:p>
    <w:p>
      <w:pPr>
        <w:pStyle w:val="ListParagraph"/>
        <w:numPr>
          <w:ilvl w:val="0"/>
          <w:numId w:val="2"/>
        </w:numPr>
        <w:tabs>
          <w:tab w:pos="494" w:val="left" w:leader="none"/>
        </w:tabs>
        <w:spacing w:line="252" w:lineRule="auto" w:before="113" w:after="0"/>
        <w:ind w:left="493" w:right="2069" w:hanging="171"/>
        <w:jc w:val="left"/>
        <w:rPr>
          <w:rFonts w:ascii="Times New Roman"/>
          <w:sz w:val="20"/>
        </w:rPr>
      </w:pPr>
      <w:r>
        <w:rPr>
          <w:color w:val="231F20"/>
          <w:spacing w:val="-4"/>
          <w:w w:val="105"/>
          <w:sz w:val="20"/>
        </w:rPr>
        <w:t>Table </w:t>
      </w:r>
      <w:r>
        <w:rPr>
          <w:color w:val="231F20"/>
          <w:w w:val="105"/>
          <w:sz w:val="20"/>
        </w:rPr>
        <w:t>8.3. Intermediate objectives, </w:t>
      </w:r>
      <w:r>
        <w:rPr>
          <w:rFonts w:ascii="Times New Roman"/>
          <w:color w:val="231F20"/>
          <w:sz w:val="20"/>
        </w:rPr>
        <w:t>indicators, subindicators, and</w:t>
      </w:r>
      <w:r>
        <w:rPr>
          <w:rFonts w:ascii="Times New Roman"/>
          <w:color w:val="231F20"/>
          <w:spacing w:val="-23"/>
          <w:sz w:val="20"/>
        </w:rPr>
        <w:t> </w:t>
      </w:r>
      <w:r>
        <w:rPr>
          <w:rFonts w:ascii="Times New Roman"/>
          <w:color w:val="231F20"/>
          <w:sz w:val="20"/>
        </w:rPr>
        <w:t>metrics</w:t>
      </w:r>
    </w:p>
    <w:p>
      <w:pPr>
        <w:pStyle w:val="ListParagraph"/>
        <w:numPr>
          <w:ilvl w:val="0"/>
          <w:numId w:val="2"/>
        </w:numPr>
        <w:tabs>
          <w:tab w:pos="494" w:val="left" w:leader="none"/>
        </w:tabs>
        <w:spacing w:line="252" w:lineRule="auto" w:before="113" w:after="0"/>
        <w:ind w:left="493" w:right="1565" w:hanging="171"/>
        <w:jc w:val="left"/>
        <w:rPr>
          <w:rFonts w:ascii="Times New Roman"/>
          <w:sz w:val="20"/>
        </w:rPr>
      </w:pPr>
      <w:r>
        <w:rPr>
          <w:color w:val="231F20"/>
          <w:spacing w:val="-4"/>
          <w:w w:val="105"/>
          <w:sz w:val="20"/>
        </w:rPr>
        <w:t>Table </w:t>
      </w:r>
      <w:r>
        <w:rPr>
          <w:color w:val="231F20"/>
          <w:w w:val="105"/>
          <w:sz w:val="20"/>
        </w:rPr>
        <w:t>8.4. Long-term objectives,</w:t>
      </w:r>
      <w:r>
        <w:rPr>
          <w:color w:val="231F20"/>
          <w:spacing w:val="-25"/>
          <w:w w:val="105"/>
          <w:sz w:val="20"/>
        </w:rPr>
        <w:t> </w:t>
      </w:r>
      <w:r>
        <w:rPr>
          <w:color w:val="231F20"/>
          <w:w w:val="105"/>
          <w:sz w:val="20"/>
        </w:rPr>
        <w:t>indicators, </w:t>
      </w:r>
      <w:r>
        <w:rPr>
          <w:rFonts w:ascii="Times New Roman"/>
          <w:color w:val="231F20"/>
          <w:sz w:val="20"/>
        </w:rPr>
        <w:t>subindicators, and</w:t>
      </w:r>
      <w:r>
        <w:rPr>
          <w:rFonts w:ascii="Times New Roman"/>
          <w:color w:val="231F20"/>
          <w:spacing w:val="-17"/>
          <w:sz w:val="20"/>
        </w:rPr>
        <w:t> </w:t>
      </w:r>
      <w:r>
        <w:rPr>
          <w:rFonts w:ascii="Times New Roman"/>
          <w:color w:val="231F20"/>
          <w:sz w:val="20"/>
        </w:rPr>
        <w:t>metrics</w:t>
      </w:r>
    </w:p>
    <w:p>
      <w:pPr>
        <w:pStyle w:val="BodyText"/>
        <w:spacing w:before="7"/>
        <w:rPr>
          <w:rFonts w:ascii="Times New Roman"/>
          <w:sz w:val="17"/>
        </w:rPr>
      </w:pPr>
    </w:p>
    <w:p>
      <w:pPr>
        <w:pStyle w:val="BodyText"/>
        <w:spacing w:line="256" w:lineRule="auto"/>
        <w:ind w:left="322" w:right="1394"/>
        <w:rPr>
          <w:rFonts w:ascii="Times New Roman"/>
        </w:rPr>
      </w:pPr>
      <w:r>
        <w:rPr>
          <w:color w:val="231F20"/>
        </w:rPr>
        <w:t>A fifth table, Table 8.5, covers 16 performance </w:t>
      </w:r>
      <w:r>
        <w:rPr>
          <w:rFonts w:ascii="Times New Roman"/>
          <w:color w:val="231F20"/>
        </w:rPr>
        <w:t>indicators that have been selected for the development of target ranges on the basis</w:t>
      </w:r>
    </w:p>
    <w:p>
      <w:pPr>
        <w:pStyle w:val="BodyText"/>
        <w:spacing w:line="266" w:lineRule="auto" w:before="18"/>
        <w:ind w:left="322" w:right="1394"/>
      </w:pPr>
      <w:r>
        <w:rPr>
          <w:color w:val="231F20"/>
          <w:w w:val="105"/>
        </w:rPr>
        <w:t>of their importance and feasibility of implementation. These include metrics for epidemiology, laboratory, and environmental health programs. Target ranges for these </w:t>
      </w:r>
      <w:r>
        <w:rPr>
          <w:rFonts w:ascii="Times New Roman"/>
          <w:color w:val="231F20"/>
          <w:w w:val="105"/>
        </w:rPr>
        <w:t>performance measures are being developed </w:t>
      </w:r>
      <w:r>
        <w:rPr>
          <w:color w:val="231F20"/>
          <w:w w:val="105"/>
        </w:rPr>
        <w:t>under direction of the CIFOR Performance Indicators Work Group and will be maintained separately on the CIFOR website. This will allow target ranges to be modified as needed on the basis of the availability of resources and the performance of the system.</w:t>
      </w:r>
    </w:p>
    <w:p>
      <w:pPr>
        <w:spacing w:after="0" w:line="266" w:lineRule="auto"/>
        <w:sectPr>
          <w:type w:val="continuous"/>
          <w:pgSz w:w="10080" w:h="14400"/>
          <w:pgMar w:top="0" w:bottom="360" w:left="0" w:right="0"/>
          <w:cols w:num="2" w:equalWidth="0">
            <w:col w:w="4498" w:space="40"/>
            <w:col w:w="5542"/>
          </w:cols>
        </w:sectPr>
      </w:pPr>
    </w:p>
    <w:p>
      <w:pPr>
        <w:pStyle w:val="BodyText"/>
      </w:pPr>
    </w:p>
    <w:p>
      <w:pPr>
        <w:pStyle w:val="BodyText"/>
      </w:pPr>
    </w:p>
    <w:p>
      <w:pPr>
        <w:pStyle w:val="Heading1"/>
        <w:spacing w:line="249" w:lineRule="auto" w:before="248"/>
        <w:ind w:left="720" w:right="2020"/>
      </w:pPr>
      <w:r>
        <w:rPr/>
        <w:pict>
          <v:line style="position:absolute;mso-position-horizontal-relative:page;mso-position-vertical-relative:paragraph;z-index:4552;mso-wrap-distance-left:0;mso-wrap-distance-right:0" from="36pt,48.341843pt" to="432pt,48.341843pt" stroked="true" strokeweight=".5pt" strokecolor="#00a94f">
            <v:stroke dashstyle="solid"/>
            <w10:wrap type="topAndBottom"/>
          </v:line>
        </w:pict>
      </w:r>
      <w:r>
        <w:rPr>
          <w:color w:val="00A94F"/>
        </w:rPr>
        <w:t>Overview of Chapter 9. Legal Preparedness for the Surveillance and Control of Foodborne Disease</w:t>
      </w:r>
      <w:r>
        <w:rPr>
          <w:color w:val="00A94F"/>
          <w:spacing w:val="67"/>
        </w:rPr>
        <w:t> </w:t>
      </w:r>
      <w:r>
        <w:rPr>
          <w:color w:val="00A94F"/>
        </w:rPr>
        <w:t>Outbreaks</w:t>
      </w:r>
    </w:p>
    <w:p>
      <w:pPr>
        <w:pStyle w:val="BodyText"/>
        <w:spacing w:before="5"/>
        <w:rPr>
          <w:rFonts w:ascii="Arial"/>
          <w:sz w:val="11"/>
        </w:rPr>
      </w:pPr>
    </w:p>
    <w:p>
      <w:pPr>
        <w:spacing w:after="0"/>
        <w:rPr>
          <w:rFonts w:ascii="Arial"/>
          <w:sz w:val="11"/>
        </w:rPr>
        <w:sectPr>
          <w:type w:val="continuous"/>
          <w:pgSz w:w="10080" w:h="14400"/>
          <w:pgMar w:top="0" w:bottom="360" w:left="0" w:right="0"/>
        </w:sectPr>
      </w:pPr>
    </w:p>
    <w:p>
      <w:pPr>
        <w:pStyle w:val="BodyText"/>
        <w:spacing w:before="110"/>
        <w:ind w:left="720"/>
        <w:rPr>
          <w:rFonts w:ascii="Arial"/>
        </w:rPr>
      </w:pPr>
      <w:r>
        <w:rPr>
          <w:rFonts w:ascii="Arial"/>
          <w:color w:val="1C3E94"/>
        </w:rPr>
        <w:t>Introduction (Section 9.0)</w:t>
      </w:r>
    </w:p>
    <w:p>
      <w:pPr>
        <w:pStyle w:val="BodyText"/>
        <w:spacing w:before="5"/>
        <w:rPr>
          <w:rFonts w:ascii="Arial"/>
          <w:sz w:val="17"/>
        </w:rPr>
      </w:pPr>
    </w:p>
    <w:p>
      <w:pPr>
        <w:pStyle w:val="BodyText"/>
        <w:spacing w:line="266" w:lineRule="auto"/>
        <w:ind w:left="720" w:right="130"/>
      </w:pPr>
      <w:r>
        <w:rPr>
          <w:rFonts w:ascii="Times New Roman"/>
          <w:color w:val="231F20"/>
        </w:rPr>
        <w:t>Public health legal preparedness has four </w:t>
      </w:r>
      <w:r>
        <w:rPr>
          <w:color w:val="231F20"/>
        </w:rPr>
        <w:t>core elements: a) laws and legal authorities </w:t>
      </w:r>
      <w:r>
        <w:rPr>
          <w:rFonts w:ascii="Times New Roman"/>
          <w:color w:val="231F20"/>
        </w:rPr>
        <w:t>needed to conduct functions essential to </w:t>
      </w:r>
      <w:r>
        <w:rPr>
          <w:color w:val="231F20"/>
        </w:rPr>
        <w:t>effective surveillance and disease control, b) staff competency in understanding and using those laws, c) coordination across sectors  and</w:t>
      </w:r>
    </w:p>
    <w:p>
      <w:pPr>
        <w:pStyle w:val="BodyText"/>
        <w:ind w:left="720"/>
      </w:pPr>
      <w:r>
        <w:rPr>
          <w:color w:val="231F20"/>
          <w:w w:val="105"/>
        </w:rPr>
        <w:t>jurisdictions in the implementation of </w:t>
      </w:r>
      <w:r>
        <w:rPr>
          <w:color w:val="231F20"/>
          <w:spacing w:val="-7"/>
          <w:w w:val="105"/>
        </w:rPr>
        <w:t>law,</w:t>
      </w:r>
      <w:r>
        <w:rPr>
          <w:color w:val="231F20"/>
          <w:spacing w:val="-29"/>
          <w:w w:val="105"/>
        </w:rPr>
        <w:t> </w:t>
      </w:r>
      <w:r>
        <w:rPr>
          <w:color w:val="231F20"/>
          <w:w w:val="105"/>
        </w:rPr>
        <w:t>and</w:t>
      </w:r>
    </w:p>
    <w:p>
      <w:pPr>
        <w:pStyle w:val="BodyText"/>
        <w:spacing w:line="266" w:lineRule="auto" w:before="11"/>
        <w:ind w:left="720" w:right="10"/>
      </w:pPr>
      <w:r>
        <w:rPr>
          <w:rFonts w:ascii="Times New Roman"/>
          <w:color w:val="231F20"/>
          <w:w w:val="105"/>
        </w:rPr>
        <w:t>d) information about best practices in using </w:t>
      </w:r>
      <w:r>
        <w:rPr>
          <w:color w:val="231F20"/>
          <w:w w:val="105"/>
        </w:rPr>
        <w:t>law for public health purposes (9.0.1). State and local public health officials should ensure their agencies and jurisdictions are legally </w:t>
      </w:r>
      <w:r>
        <w:rPr>
          <w:rFonts w:ascii="Times New Roman"/>
          <w:color w:val="231F20"/>
          <w:w w:val="105"/>
        </w:rPr>
        <w:t>prepared for foodborne disease surveillance </w:t>
      </w:r>
      <w:r>
        <w:rPr>
          <w:color w:val="231F20"/>
          <w:w w:val="105"/>
        </w:rPr>
        <w:t>and control. As part of ensuring their</w:t>
      </w:r>
    </w:p>
    <w:p>
      <w:pPr>
        <w:pStyle w:val="BodyText"/>
        <w:spacing w:line="264" w:lineRule="auto" w:before="107"/>
        <w:ind w:left="369" w:right="1426"/>
      </w:pPr>
      <w:r>
        <w:rPr/>
        <w:br w:type="column"/>
      </w:r>
      <w:r>
        <w:rPr>
          <w:color w:val="231F20"/>
          <w:w w:val="105"/>
        </w:rPr>
        <w:t>jurisdictions’ legal preparedness, they should consult with their legal counsel and with </w:t>
      </w:r>
      <w:r>
        <w:rPr>
          <w:rFonts w:ascii="Times New Roman" w:hAnsi="Times New Roman"/>
          <w:color w:val="231F20"/>
          <w:w w:val="105"/>
        </w:rPr>
        <w:t>counterparts</w:t>
      </w:r>
      <w:r>
        <w:rPr>
          <w:rFonts w:ascii="Times New Roman" w:hAnsi="Times New Roman"/>
          <w:color w:val="231F20"/>
          <w:spacing w:val="-30"/>
          <w:w w:val="105"/>
        </w:rPr>
        <w:t> </w:t>
      </w:r>
      <w:r>
        <w:rPr>
          <w:rFonts w:ascii="Times New Roman" w:hAnsi="Times New Roman"/>
          <w:color w:val="231F20"/>
          <w:w w:val="105"/>
        </w:rPr>
        <w:t>in</w:t>
      </w:r>
      <w:r>
        <w:rPr>
          <w:rFonts w:ascii="Times New Roman" w:hAnsi="Times New Roman"/>
          <w:color w:val="231F20"/>
          <w:spacing w:val="-30"/>
          <w:w w:val="105"/>
        </w:rPr>
        <w:t> </w:t>
      </w:r>
      <w:r>
        <w:rPr>
          <w:rFonts w:ascii="Times New Roman" w:hAnsi="Times New Roman"/>
          <w:color w:val="231F20"/>
          <w:w w:val="105"/>
        </w:rPr>
        <w:t>other</w:t>
      </w:r>
      <w:r>
        <w:rPr>
          <w:rFonts w:ascii="Times New Roman" w:hAnsi="Times New Roman"/>
          <w:color w:val="231F20"/>
          <w:spacing w:val="-30"/>
          <w:w w:val="105"/>
        </w:rPr>
        <w:t> </w:t>
      </w:r>
      <w:r>
        <w:rPr>
          <w:rFonts w:ascii="Times New Roman" w:hAnsi="Times New Roman"/>
          <w:color w:val="231F20"/>
          <w:w w:val="105"/>
        </w:rPr>
        <w:t>government</w:t>
      </w:r>
      <w:r>
        <w:rPr>
          <w:rFonts w:ascii="Times New Roman" w:hAnsi="Times New Roman"/>
          <w:color w:val="231F20"/>
          <w:spacing w:val="-30"/>
          <w:w w:val="105"/>
        </w:rPr>
        <w:t> </w:t>
      </w:r>
      <w:r>
        <w:rPr>
          <w:rFonts w:ascii="Times New Roman" w:hAnsi="Times New Roman"/>
          <w:color w:val="231F20"/>
          <w:w w:val="105"/>
        </w:rPr>
        <w:t>agencies</w:t>
      </w:r>
      <w:r>
        <w:rPr>
          <w:rFonts w:ascii="Times New Roman" w:hAnsi="Times New Roman"/>
          <w:color w:val="231F20"/>
          <w:spacing w:val="-31"/>
          <w:w w:val="105"/>
        </w:rPr>
        <w:t> </w:t>
      </w:r>
      <w:r>
        <w:rPr>
          <w:rFonts w:ascii="Times New Roman" w:hAnsi="Times New Roman"/>
          <w:color w:val="231F20"/>
          <w:w w:val="105"/>
        </w:rPr>
        <w:t>and </w:t>
      </w:r>
      <w:r>
        <w:rPr>
          <w:color w:val="231F20"/>
          <w:w w:val="105"/>
        </w:rPr>
        <w:t>private organizations that </w:t>
      </w:r>
      <w:r>
        <w:rPr>
          <w:color w:val="231F20"/>
          <w:spacing w:val="-3"/>
          <w:w w:val="105"/>
        </w:rPr>
        <w:t>have </w:t>
      </w:r>
      <w:r>
        <w:rPr>
          <w:color w:val="231F20"/>
          <w:w w:val="105"/>
        </w:rPr>
        <w:t>legal</w:t>
      </w:r>
      <w:r>
        <w:rPr>
          <w:color w:val="231F20"/>
          <w:spacing w:val="-30"/>
          <w:w w:val="105"/>
        </w:rPr>
        <w:t> </w:t>
      </w:r>
      <w:r>
        <w:rPr>
          <w:color w:val="231F20"/>
          <w:w w:val="105"/>
        </w:rPr>
        <w:t>authorities </w:t>
      </w:r>
      <w:r>
        <w:rPr>
          <w:rFonts w:ascii="Times New Roman" w:hAnsi="Times New Roman"/>
          <w:color w:val="231F20"/>
          <w:w w:val="105"/>
        </w:rPr>
        <w:t>or legal duties relevant to surveillance and </w:t>
      </w:r>
      <w:r>
        <w:rPr>
          <w:color w:val="231F20"/>
          <w:w w:val="105"/>
        </w:rPr>
        <w:t>control</w:t>
      </w:r>
      <w:r>
        <w:rPr>
          <w:color w:val="231F20"/>
          <w:spacing w:val="-24"/>
          <w:w w:val="105"/>
        </w:rPr>
        <w:t> </w:t>
      </w:r>
      <w:r>
        <w:rPr>
          <w:color w:val="231F20"/>
          <w:w w:val="105"/>
        </w:rPr>
        <w:t>of</w:t>
      </w:r>
      <w:r>
        <w:rPr>
          <w:color w:val="231F20"/>
          <w:spacing w:val="-7"/>
          <w:w w:val="105"/>
        </w:rPr>
        <w:t> </w:t>
      </w:r>
      <w:r>
        <w:rPr>
          <w:color w:val="231F20"/>
          <w:w w:val="105"/>
        </w:rPr>
        <w:t>foodborne</w:t>
      </w:r>
      <w:r>
        <w:rPr>
          <w:color w:val="231F20"/>
          <w:spacing w:val="-24"/>
          <w:w w:val="105"/>
        </w:rPr>
        <w:t> </w:t>
      </w:r>
      <w:r>
        <w:rPr>
          <w:color w:val="231F20"/>
          <w:w w:val="105"/>
        </w:rPr>
        <w:t>disease</w:t>
      </w:r>
      <w:r>
        <w:rPr>
          <w:color w:val="231F20"/>
          <w:spacing w:val="-24"/>
          <w:w w:val="105"/>
        </w:rPr>
        <w:t> </w:t>
      </w:r>
      <w:r>
        <w:rPr>
          <w:color w:val="231F20"/>
          <w:w w:val="105"/>
        </w:rPr>
        <w:t>outbreaks</w:t>
      </w:r>
      <w:r>
        <w:rPr>
          <w:color w:val="231F20"/>
          <w:spacing w:val="-24"/>
          <w:w w:val="105"/>
        </w:rPr>
        <w:t> </w:t>
      </w:r>
      <w:r>
        <w:rPr>
          <w:color w:val="231F20"/>
          <w:w w:val="105"/>
        </w:rPr>
        <w:t>(9.0.2).</w:t>
      </w:r>
    </w:p>
    <w:p>
      <w:pPr>
        <w:pStyle w:val="BodyText"/>
        <w:spacing w:line="266" w:lineRule="auto" w:before="182"/>
        <w:ind w:left="369" w:right="1539"/>
      </w:pPr>
      <w:r>
        <w:rPr>
          <w:color w:val="231F20"/>
        </w:rPr>
        <w:t>Public health agencies, as part of the executive branch of government, are broadly charged to implement laws enacted </w:t>
      </w:r>
      <w:r>
        <w:rPr>
          <w:color w:val="231F20"/>
          <w:spacing w:val="-3"/>
        </w:rPr>
        <w:t>by </w:t>
      </w:r>
      <w:r>
        <w:rPr>
          <w:color w:val="231F20"/>
        </w:rPr>
        <w:t>the legislature and interpreted </w:t>
      </w:r>
      <w:r>
        <w:rPr>
          <w:color w:val="231F20"/>
          <w:spacing w:val="-3"/>
        </w:rPr>
        <w:t>by </w:t>
      </w:r>
      <w:r>
        <w:rPr>
          <w:color w:val="231F20"/>
        </w:rPr>
        <w:t>the courts. They also possess inherent police powers to protect the health  and safety of the public. The </w:t>
      </w:r>
      <w:r>
        <w:rPr>
          <w:color w:val="231F20"/>
          <w:spacing w:val="-8"/>
        </w:rPr>
        <w:t>U.S. </w:t>
      </w:r>
      <w:r>
        <w:rPr>
          <w:color w:val="231F20"/>
        </w:rPr>
        <w:t>Constitution as well as state constitutions, statutory and regulatory </w:t>
      </w:r>
      <w:r>
        <w:rPr>
          <w:color w:val="231F20"/>
          <w:spacing w:val="-7"/>
        </w:rPr>
        <w:t>law,  </w:t>
      </w:r>
      <w:r>
        <w:rPr>
          <w:color w:val="231F20"/>
        </w:rPr>
        <w:t>ordinances, and court  </w:t>
      </w:r>
      <w:r>
        <w:rPr>
          <w:color w:val="231F20"/>
          <w:spacing w:val="23"/>
        </w:rPr>
        <w:t> </w:t>
      </w:r>
      <w:r>
        <w:rPr>
          <w:color w:val="231F20"/>
        </w:rPr>
        <w:t>rulings,</w:t>
      </w:r>
    </w:p>
    <w:p>
      <w:pPr>
        <w:spacing w:after="0" w:line="266" w:lineRule="auto"/>
        <w:sectPr>
          <w:type w:val="continuous"/>
          <w:pgSz w:w="10080" w:h="14400"/>
          <w:pgMar w:top="0" w:bottom="360" w:left="0" w:right="0"/>
          <w:cols w:num="2" w:equalWidth="0">
            <w:col w:w="4451" w:space="40"/>
            <w:col w:w="5589"/>
          </w:cols>
        </w:sectPr>
      </w:pPr>
    </w:p>
    <w:p>
      <w:pPr>
        <w:pStyle w:val="BodyText"/>
        <w:spacing w:before="8"/>
        <w:rPr>
          <w:sz w:val="10"/>
        </w:rPr>
      </w:pPr>
    </w:p>
    <w:p>
      <w:pPr>
        <w:pStyle w:val="Heading1"/>
        <w:spacing w:line="249" w:lineRule="auto"/>
        <w:ind w:right="1300"/>
      </w:pPr>
      <w:r>
        <w:rPr/>
        <w:pict>
          <v:line style="position:absolute;mso-position-horizontal-relative:page;mso-position-vertical-relative:paragraph;z-index:4672;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4696" filled="true" fillcolor="#0079c1" stroked="false">
            <v:fill type="solid"/>
            <w10:wrap type="none"/>
          </v:rect>
        </w:pict>
      </w:r>
      <w:r>
        <w:rPr/>
        <w:pict>
          <v:line style="position:absolute;mso-position-horizontal-relative:page;mso-position-vertical-relative:paragraph;z-index:4720"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4744"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9. Legal Preparedness for the Surveillance and Control of Foodborne Disease</w:t>
      </w:r>
      <w:r>
        <w:rPr>
          <w:color w:val="00A94F"/>
          <w:spacing w:val="67"/>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1160" w:bottom="360" w:left="0" w:right="0"/>
        </w:sectPr>
      </w:pPr>
    </w:p>
    <w:p>
      <w:pPr>
        <w:pStyle w:val="BodyText"/>
        <w:spacing w:line="268" w:lineRule="auto" w:before="93"/>
        <w:ind w:left="1440"/>
      </w:pPr>
      <w:r>
        <w:rPr>
          <w:rFonts w:ascii="Times New Roman"/>
          <w:color w:val="231F20"/>
        </w:rPr>
        <w:t>provide protections to local, state, and federal governments in the conduct of  surveillance </w:t>
      </w:r>
      <w:r>
        <w:rPr>
          <w:color w:val="231F20"/>
        </w:rPr>
        <w:t>and control of  foodborne disease (9.0.3) (9.0.4).</w:t>
      </w:r>
    </w:p>
    <w:p>
      <w:pPr>
        <w:pStyle w:val="BodyText"/>
        <w:spacing w:line="266" w:lineRule="auto" w:before="177"/>
        <w:ind w:left="1440" w:right="-14"/>
      </w:pPr>
      <w:r>
        <w:rPr>
          <w:color w:val="231F20"/>
          <w:w w:val="105"/>
        </w:rPr>
        <w:t>CDC operates under congressionally enacted statutory law and provisions of the Public Health Service Act to gather data on</w:t>
      </w:r>
      <w:r>
        <w:rPr>
          <w:color w:val="231F20"/>
          <w:spacing w:val="-22"/>
          <w:w w:val="105"/>
        </w:rPr>
        <w:t> </w:t>
      </w:r>
      <w:r>
        <w:rPr>
          <w:color w:val="231F20"/>
          <w:w w:val="105"/>
        </w:rPr>
        <w:t>nationally notifiable</w:t>
      </w:r>
      <w:r>
        <w:rPr>
          <w:color w:val="231F20"/>
          <w:spacing w:val="-14"/>
          <w:w w:val="105"/>
        </w:rPr>
        <w:t> </w:t>
      </w:r>
      <w:r>
        <w:rPr>
          <w:color w:val="231F20"/>
          <w:w w:val="105"/>
        </w:rPr>
        <w:t>diseases</w:t>
      </w:r>
      <w:r>
        <w:rPr>
          <w:color w:val="231F20"/>
          <w:spacing w:val="-14"/>
          <w:w w:val="105"/>
        </w:rPr>
        <w:t> </w:t>
      </w:r>
      <w:r>
        <w:rPr>
          <w:color w:val="231F20"/>
          <w:w w:val="105"/>
        </w:rPr>
        <w:t>and</w:t>
      </w:r>
      <w:r>
        <w:rPr>
          <w:color w:val="231F20"/>
          <w:spacing w:val="-14"/>
          <w:w w:val="105"/>
        </w:rPr>
        <w:t> </w:t>
      </w:r>
      <w:r>
        <w:rPr>
          <w:color w:val="231F20"/>
          <w:w w:val="105"/>
        </w:rPr>
        <w:t>perform</w:t>
      </w:r>
      <w:r>
        <w:rPr>
          <w:color w:val="231F20"/>
          <w:spacing w:val="-14"/>
          <w:w w:val="105"/>
        </w:rPr>
        <w:t> </w:t>
      </w:r>
      <w:r>
        <w:rPr>
          <w:color w:val="231F20"/>
          <w:w w:val="105"/>
        </w:rPr>
        <w:t>laboratory</w:t>
      </w:r>
    </w:p>
    <w:p>
      <w:pPr>
        <w:pStyle w:val="BodyText"/>
        <w:spacing w:line="216" w:lineRule="exact"/>
        <w:ind w:left="1440"/>
        <w:rPr>
          <w:rFonts w:ascii="Times New Roman"/>
        </w:rPr>
      </w:pPr>
      <w:r>
        <w:rPr>
          <w:rFonts w:ascii="Times New Roman"/>
          <w:color w:val="231F20"/>
        </w:rPr>
        <w:t>tests on specimens received from state and</w:t>
      </w:r>
    </w:p>
    <w:p>
      <w:pPr>
        <w:pStyle w:val="BodyText"/>
        <w:spacing w:line="266" w:lineRule="auto" w:before="34"/>
        <w:ind w:left="1440" w:right="158"/>
      </w:pPr>
      <w:r>
        <w:rPr>
          <w:color w:val="231F20"/>
        </w:rPr>
        <w:t>local governments. CDC is not authorized to </w:t>
      </w:r>
      <w:r>
        <w:rPr>
          <w:rFonts w:ascii="Times New Roman"/>
          <w:color w:val="231F20"/>
        </w:rPr>
        <w:t>mandate reporting or methods of reporting </w:t>
      </w:r>
      <w:r>
        <w:rPr>
          <w:color w:val="231F20"/>
        </w:rPr>
        <w:t>and partners with state and local public   health agencies and the Council of State and Territorial Epidemiologists (CSTE) to receive voluntary reports. CDC does not collect personal identifiers on routine surveillance data that it receives </w:t>
      </w:r>
      <w:r>
        <w:rPr>
          <w:color w:val="231F20"/>
          <w:spacing w:val="28"/>
        </w:rPr>
        <w:t> </w:t>
      </w:r>
      <w:r>
        <w:rPr>
          <w:color w:val="231F20"/>
        </w:rPr>
        <w:t>(9.0.5.).</w:t>
      </w:r>
    </w:p>
    <w:p>
      <w:pPr>
        <w:pStyle w:val="BodyText"/>
        <w:spacing w:line="261" w:lineRule="auto" w:before="164"/>
        <w:ind w:left="1440" w:right="-14"/>
        <w:rPr>
          <w:rFonts w:ascii="Arial"/>
        </w:rPr>
      </w:pPr>
      <w:r>
        <w:rPr>
          <w:rFonts w:ascii="Arial"/>
          <w:color w:val="1C3E94"/>
        </w:rPr>
        <w:t>Legal Framework for Mandatory Disease Reporting (Section 9.1)</w:t>
      </w:r>
    </w:p>
    <w:p>
      <w:pPr>
        <w:pStyle w:val="BodyText"/>
        <w:spacing w:before="2"/>
        <w:rPr>
          <w:rFonts w:ascii="Arial"/>
          <w:sz w:val="17"/>
        </w:rPr>
      </w:pPr>
    </w:p>
    <w:p>
      <w:pPr>
        <w:spacing w:before="1"/>
        <w:ind w:left="1440" w:right="0" w:firstLine="0"/>
        <w:jc w:val="left"/>
        <w:rPr>
          <w:rFonts w:ascii="Arial"/>
          <w:sz w:val="18"/>
        </w:rPr>
      </w:pPr>
      <w:r>
        <w:rPr>
          <w:rFonts w:ascii="Arial"/>
          <w:color w:val="00A94F"/>
          <w:sz w:val="18"/>
        </w:rPr>
        <w:t>Statutes and Regulations (9.1.1)</w:t>
      </w:r>
    </w:p>
    <w:p>
      <w:pPr>
        <w:pStyle w:val="BodyText"/>
        <w:spacing w:line="264" w:lineRule="auto" w:before="39"/>
        <w:ind w:left="1440" w:right="76"/>
      </w:pPr>
      <w:r>
        <w:rPr>
          <w:color w:val="231F20"/>
          <w:w w:val="105"/>
        </w:rPr>
        <w:t>State health departments </w:t>
      </w:r>
      <w:r>
        <w:rPr>
          <w:color w:val="231F20"/>
          <w:spacing w:val="-3"/>
          <w:w w:val="105"/>
        </w:rPr>
        <w:t>have </w:t>
      </w:r>
      <w:r>
        <w:rPr>
          <w:color w:val="231F20"/>
          <w:w w:val="105"/>
        </w:rPr>
        <w:t>broad</w:t>
      </w:r>
      <w:r>
        <w:rPr>
          <w:color w:val="231F20"/>
          <w:spacing w:val="-19"/>
          <w:w w:val="105"/>
        </w:rPr>
        <w:t> </w:t>
      </w:r>
      <w:r>
        <w:rPr>
          <w:color w:val="231F20"/>
          <w:w w:val="105"/>
        </w:rPr>
        <w:t>statutory authority to collect information and require </w:t>
      </w:r>
      <w:r>
        <w:rPr>
          <w:rFonts w:ascii="Times New Roman"/>
          <w:color w:val="231F20"/>
          <w:w w:val="105"/>
        </w:rPr>
        <w:t>reports of conditions of public health </w:t>
      </w:r>
      <w:r>
        <w:rPr>
          <w:color w:val="231F20"/>
          <w:w w:val="105"/>
        </w:rPr>
        <w:t>importance, as well as specific legal authority </w:t>
      </w:r>
      <w:r>
        <w:rPr>
          <w:rFonts w:ascii="Times New Roman"/>
          <w:color w:val="231F20"/>
          <w:w w:val="105"/>
        </w:rPr>
        <w:t>to</w:t>
      </w:r>
      <w:r>
        <w:rPr>
          <w:rFonts w:ascii="Times New Roman"/>
          <w:color w:val="231F20"/>
          <w:spacing w:val="-31"/>
          <w:w w:val="105"/>
        </w:rPr>
        <w:t> </w:t>
      </w:r>
      <w:r>
        <w:rPr>
          <w:rFonts w:ascii="Times New Roman"/>
          <w:color w:val="231F20"/>
          <w:w w:val="105"/>
        </w:rPr>
        <w:t>conduct</w:t>
      </w:r>
      <w:r>
        <w:rPr>
          <w:rFonts w:ascii="Times New Roman"/>
          <w:color w:val="231F20"/>
          <w:spacing w:val="-31"/>
          <w:w w:val="105"/>
        </w:rPr>
        <w:t> </w:t>
      </w:r>
      <w:r>
        <w:rPr>
          <w:rFonts w:ascii="Times New Roman"/>
          <w:color w:val="231F20"/>
          <w:w w:val="105"/>
        </w:rPr>
        <w:t>surveillance</w:t>
      </w:r>
      <w:r>
        <w:rPr>
          <w:rFonts w:ascii="Times New Roman"/>
          <w:color w:val="231F20"/>
          <w:spacing w:val="-32"/>
          <w:w w:val="105"/>
        </w:rPr>
        <w:t> </w:t>
      </w:r>
      <w:r>
        <w:rPr>
          <w:rFonts w:ascii="Times New Roman"/>
          <w:color w:val="231F20"/>
          <w:w w:val="105"/>
        </w:rPr>
        <w:t>and</w:t>
      </w:r>
      <w:r>
        <w:rPr>
          <w:rFonts w:ascii="Times New Roman"/>
          <w:color w:val="231F20"/>
          <w:spacing w:val="-31"/>
          <w:w w:val="105"/>
        </w:rPr>
        <w:t> </w:t>
      </w:r>
      <w:r>
        <w:rPr>
          <w:rFonts w:ascii="Times New Roman"/>
          <w:color w:val="231F20"/>
          <w:w w:val="105"/>
        </w:rPr>
        <w:t>control</w:t>
      </w:r>
      <w:r>
        <w:rPr>
          <w:rFonts w:ascii="Times New Roman"/>
          <w:color w:val="231F20"/>
          <w:spacing w:val="-31"/>
          <w:w w:val="105"/>
        </w:rPr>
        <w:t> </w:t>
      </w:r>
      <w:r>
        <w:rPr>
          <w:rFonts w:ascii="Times New Roman"/>
          <w:color w:val="231F20"/>
          <w:w w:val="105"/>
        </w:rPr>
        <w:t>for</w:t>
      </w:r>
      <w:r>
        <w:rPr>
          <w:rFonts w:ascii="Times New Roman"/>
          <w:color w:val="231F20"/>
          <w:spacing w:val="-31"/>
          <w:w w:val="105"/>
        </w:rPr>
        <w:t> </w:t>
      </w:r>
      <w:r>
        <w:rPr>
          <w:rFonts w:ascii="Times New Roman"/>
          <w:color w:val="231F20"/>
          <w:w w:val="105"/>
        </w:rPr>
        <w:t>certain </w:t>
      </w:r>
      <w:r>
        <w:rPr>
          <w:color w:val="231F20"/>
          <w:w w:val="105"/>
        </w:rPr>
        <w:t>diseases </w:t>
      </w:r>
      <w:r>
        <w:rPr>
          <w:color w:val="231F20"/>
          <w:spacing w:val="-4"/>
          <w:w w:val="105"/>
        </w:rPr>
        <w:t>(e.g., </w:t>
      </w:r>
      <w:r>
        <w:rPr>
          <w:color w:val="231F20"/>
          <w:w w:val="105"/>
        </w:rPr>
        <w:t>tuberculosis, HIV infection, vaccine-preventable diseases). All states </w:t>
      </w:r>
      <w:r>
        <w:rPr>
          <w:color w:val="231F20"/>
          <w:spacing w:val="-3"/>
          <w:w w:val="105"/>
        </w:rPr>
        <w:t>have </w:t>
      </w:r>
      <w:r>
        <w:rPr>
          <w:rFonts w:ascii="Times New Roman"/>
          <w:color w:val="231F20"/>
          <w:w w:val="105"/>
        </w:rPr>
        <w:t>statutes addressing response to bioterrorism </w:t>
      </w:r>
      <w:r>
        <w:rPr>
          <w:color w:val="231F20"/>
          <w:w w:val="105"/>
        </w:rPr>
        <w:t>incidents</w:t>
      </w:r>
      <w:r>
        <w:rPr>
          <w:color w:val="231F20"/>
          <w:spacing w:val="-21"/>
          <w:w w:val="105"/>
        </w:rPr>
        <w:t> </w:t>
      </w:r>
      <w:r>
        <w:rPr>
          <w:color w:val="231F20"/>
          <w:w w:val="105"/>
        </w:rPr>
        <w:t>(9.1.1.1).</w:t>
      </w:r>
    </w:p>
    <w:p>
      <w:pPr>
        <w:pStyle w:val="BodyText"/>
        <w:spacing w:line="266" w:lineRule="auto" w:before="182"/>
        <w:ind w:left="1440" w:right="173"/>
      </w:pPr>
      <w:r>
        <w:rPr>
          <w:color w:val="231F20"/>
        </w:rPr>
        <w:t>Epidemiologists and health officers in state </w:t>
      </w:r>
      <w:r>
        <w:rPr>
          <w:rFonts w:ascii="Times New Roman"/>
          <w:color w:val="231F20"/>
        </w:rPr>
        <w:t>and local agencies maintain and update the list of reportable diseases and conditions and </w:t>
      </w:r>
      <w:r>
        <w:rPr>
          <w:color w:val="231F20"/>
        </w:rPr>
        <w:t>laboratory findings in their jurisdiction after public input and approval </w:t>
      </w:r>
      <w:r>
        <w:rPr>
          <w:color w:val="231F20"/>
          <w:spacing w:val="-3"/>
        </w:rPr>
        <w:t>by </w:t>
      </w:r>
      <w:r>
        <w:rPr>
          <w:color w:val="231F20"/>
        </w:rPr>
        <w:t>an oversight  body (typically a board of health established  </w:t>
      </w:r>
      <w:r>
        <w:rPr>
          <w:color w:val="231F20"/>
          <w:spacing w:val="-3"/>
        </w:rPr>
        <w:t>by </w:t>
      </w:r>
      <w:r>
        <w:rPr>
          <w:color w:val="231F20"/>
        </w:rPr>
        <w:t>statute). Required reporting of specific laboratory test results generally means the list must be regularly updated as new laboratory tests are developed </w:t>
      </w:r>
      <w:r>
        <w:rPr>
          <w:color w:val="231F20"/>
          <w:spacing w:val="5"/>
        </w:rPr>
        <w:t> </w:t>
      </w:r>
      <w:r>
        <w:rPr>
          <w:color w:val="231F20"/>
        </w:rPr>
        <w:t>(9.1.1.2).</w:t>
      </w:r>
    </w:p>
    <w:p>
      <w:pPr>
        <w:spacing w:before="184"/>
        <w:ind w:left="1440" w:right="0" w:firstLine="0"/>
        <w:jc w:val="left"/>
        <w:rPr>
          <w:rFonts w:ascii="Arial"/>
          <w:sz w:val="18"/>
        </w:rPr>
      </w:pPr>
      <w:r>
        <w:rPr>
          <w:rFonts w:ascii="Arial"/>
          <w:color w:val="00A94F"/>
          <w:sz w:val="18"/>
        </w:rPr>
        <w:t>Reporting Processes (9.1.2)</w:t>
      </w:r>
    </w:p>
    <w:p>
      <w:pPr>
        <w:pStyle w:val="BodyText"/>
        <w:spacing w:line="266" w:lineRule="auto" w:before="39"/>
        <w:ind w:left="1440" w:right="-14"/>
      </w:pPr>
      <w:r>
        <w:rPr>
          <w:color w:val="231F20"/>
          <w:w w:val="105"/>
        </w:rPr>
        <w:t>State and local statutes and regulations usually specify the time frame for reporting, means</w:t>
      </w:r>
    </w:p>
    <w:p>
      <w:pPr>
        <w:pStyle w:val="BodyText"/>
        <w:spacing w:line="266" w:lineRule="auto" w:before="93"/>
        <w:ind w:left="319" w:right="748"/>
      </w:pPr>
      <w:r>
        <w:rPr/>
        <w:br w:type="column"/>
      </w:r>
      <w:r>
        <w:rPr>
          <w:rFonts w:ascii="Times New Roman"/>
          <w:color w:val="231F20"/>
        </w:rPr>
        <w:t>of reporting, and information to be reported </w:t>
      </w:r>
      <w:r>
        <w:rPr>
          <w:color w:val="231F20"/>
        </w:rPr>
        <w:t>(9.1.2.1),  as  well  as  the  entities  that  are required to report (9.1.2.2). Specifics vary from one locale to another (9.1.2.3). Some public </w:t>
      </w:r>
      <w:r>
        <w:rPr>
          <w:rFonts w:ascii="Times New Roman"/>
          <w:color w:val="231F20"/>
        </w:rPr>
        <w:t>health agencies have adopted regulations that require hospital and clinical laboratories to </w:t>
      </w:r>
      <w:r>
        <w:rPr>
          <w:color w:val="231F20"/>
        </w:rPr>
        <w:t>submit isolates of specific pathogens to a public health laboratory to improve surveillance of </w:t>
      </w:r>
      <w:r>
        <w:rPr>
          <w:rFonts w:ascii="Times New Roman"/>
          <w:color w:val="231F20"/>
        </w:rPr>
        <w:t>foodborne diseases and outbreak detection </w:t>
      </w:r>
      <w:r>
        <w:rPr>
          <w:color w:val="231F20"/>
        </w:rPr>
        <w:t>(9.1.2.4).</w:t>
      </w:r>
    </w:p>
    <w:p>
      <w:pPr>
        <w:spacing w:line="290" w:lineRule="auto" w:before="183"/>
        <w:ind w:left="319" w:right="1008" w:firstLine="0"/>
        <w:jc w:val="left"/>
        <w:rPr>
          <w:rFonts w:ascii="Arial"/>
          <w:sz w:val="18"/>
        </w:rPr>
      </w:pPr>
      <w:r>
        <w:rPr>
          <w:rFonts w:ascii="Arial"/>
          <w:color w:val="00A94F"/>
          <w:sz w:val="18"/>
        </w:rPr>
        <w:t>Accessing Medical and Laboratory Records (9.1.3)</w:t>
      </w:r>
    </w:p>
    <w:p>
      <w:pPr>
        <w:pStyle w:val="BodyText"/>
        <w:spacing w:line="266" w:lineRule="auto"/>
        <w:ind w:left="319" w:right="748"/>
      </w:pPr>
      <w:r>
        <w:rPr>
          <w:color w:val="231F20"/>
          <w:w w:val="105"/>
        </w:rPr>
        <w:t>Typically, broad authority to conduct surveillance includes authority to investigate </w:t>
      </w:r>
      <w:r>
        <w:rPr>
          <w:rFonts w:ascii="Times New Roman"/>
          <w:color w:val="231F20"/>
          <w:w w:val="105"/>
        </w:rPr>
        <w:t>and control diseases of public health </w:t>
      </w:r>
      <w:r>
        <w:rPr>
          <w:color w:val="231F20"/>
          <w:w w:val="105"/>
        </w:rPr>
        <w:t>significance, including review of relevant and pertinent medical and laboratory records and reports.</w:t>
      </w:r>
    </w:p>
    <w:p>
      <w:pPr>
        <w:spacing w:before="186"/>
        <w:ind w:left="319" w:right="0" w:firstLine="0"/>
        <w:jc w:val="left"/>
        <w:rPr>
          <w:rFonts w:ascii="Arial"/>
          <w:sz w:val="18"/>
        </w:rPr>
      </w:pPr>
      <w:r>
        <w:rPr>
          <w:rFonts w:ascii="Arial"/>
          <w:color w:val="00A94F"/>
          <w:sz w:val="18"/>
        </w:rPr>
        <w:t>Enforcement (9.1.4)</w:t>
      </w:r>
    </w:p>
    <w:p>
      <w:pPr>
        <w:pStyle w:val="BodyText"/>
        <w:spacing w:line="266" w:lineRule="auto" w:before="39"/>
        <w:ind w:left="319" w:right="893"/>
      </w:pPr>
      <w:r>
        <w:rPr>
          <w:color w:val="231F20"/>
          <w:w w:val="105"/>
        </w:rPr>
        <w:t>Failure to comply with reporting regulations is punishable by law but is rarely enforced because penalizing a health-care provider may be counterproductive to the success</w:t>
      </w:r>
    </w:p>
    <w:p>
      <w:pPr>
        <w:pStyle w:val="BodyText"/>
        <w:spacing w:line="266" w:lineRule="auto"/>
        <w:ind w:left="319" w:right="1079"/>
      </w:pPr>
      <w:r>
        <w:rPr>
          <w:color w:val="231F20"/>
          <w:w w:val="105"/>
        </w:rPr>
        <w:t>of a surveillance program. In most cases of nonreporting, the public health agency</w:t>
      </w:r>
    </w:p>
    <w:p>
      <w:pPr>
        <w:pStyle w:val="BodyText"/>
        <w:spacing w:line="266" w:lineRule="auto"/>
        <w:ind w:left="319" w:right="914"/>
      </w:pPr>
      <w:r>
        <w:rPr>
          <w:color w:val="231F20"/>
          <w:w w:val="105"/>
        </w:rPr>
        <w:t>explains the regulatory requirement and its </w:t>
      </w:r>
      <w:r>
        <w:rPr>
          <w:rFonts w:ascii="Times New Roman" w:hAnsi="Times New Roman"/>
          <w:color w:val="231F20"/>
          <w:w w:val="105"/>
        </w:rPr>
        <w:t>rationale and asks for future compliance, </w:t>
      </w:r>
      <w:r>
        <w:rPr>
          <w:color w:val="231F20"/>
          <w:w w:val="105"/>
        </w:rPr>
        <w:t>rather than seeking penalties or sanctions. Reporting is difficult to enforce with a laboratory or health-care provider outside the agency’s jurisdiction. Arrangements and</w:t>
      </w:r>
    </w:p>
    <w:p>
      <w:pPr>
        <w:pStyle w:val="BodyText"/>
        <w:spacing w:line="216" w:lineRule="exact"/>
        <w:ind w:left="319"/>
        <w:rPr>
          <w:rFonts w:ascii="Times New Roman"/>
        </w:rPr>
      </w:pPr>
      <w:r>
        <w:rPr>
          <w:rFonts w:ascii="Times New Roman"/>
          <w:color w:val="231F20"/>
        </w:rPr>
        <w:t>ongoing communication should be established</w:t>
      </w:r>
    </w:p>
    <w:p>
      <w:pPr>
        <w:pStyle w:val="BodyText"/>
        <w:spacing w:line="266" w:lineRule="auto" w:before="34"/>
        <w:ind w:left="319" w:right="1153"/>
      </w:pPr>
      <w:r>
        <w:rPr>
          <w:color w:val="231F20"/>
          <w:w w:val="105"/>
        </w:rPr>
        <w:t>with out-of-state clinical laboratories and hospitals to ensure reporting.</w:t>
      </w:r>
    </w:p>
    <w:p>
      <w:pPr>
        <w:pStyle w:val="BodyText"/>
        <w:spacing w:line="268" w:lineRule="auto" w:before="183"/>
        <w:ind w:left="319" w:right="1112"/>
      </w:pPr>
      <w:r>
        <w:rPr>
          <w:rFonts w:ascii="Arial"/>
          <w:color w:val="00A94F"/>
          <w:w w:val="105"/>
          <w:sz w:val="18"/>
        </w:rPr>
        <w:t>Protection of Confidentiality (9.1.5) </w:t>
      </w:r>
      <w:r>
        <w:rPr>
          <w:color w:val="231F20"/>
          <w:w w:val="105"/>
        </w:rPr>
        <w:t>Personally identifying information in </w:t>
      </w:r>
      <w:r>
        <w:rPr>
          <w:rFonts w:ascii="Times New Roman"/>
          <w:color w:val="231F20"/>
          <w:w w:val="105"/>
        </w:rPr>
        <w:t>disease</w:t>
      </w:r>
      <w:r>
        <w:rPr>
          <w:rFonts w:ascii="Times New Roman"/>
          <w:color w:val="231F20"/>
          <w:spacing w:val="-29"/>
          <w:w w:val="105"/>
        </w:rPr>
        <w:t> </w:t>
      </w:r>
      <w:r>
        <w:rPr>
          <w:rFonts w:ascii="Times New Roman"/>
          <w:color w:val="231F20"/>
          <w:w w:val="105"/>
        </w:rPr>
        <w:t>reports</w:t>
      </w:r>
      <w:r>
        <w:rPr>
          <w:rFonts w:ascii="Times New Roman"/>
          <w:color w:val="231F20"/>
          <w:spacing w:val="-29"/>
          <w:w w:val="105"/>
        </w:rPr>
        <w:t> </w:t>
      </w:r>
      <w:r>
        <w:rPr>
          <w:rFonts w:ascii="Times New Roman"/>
          <w:color w:val="231F20"/>
          <w:w w:val="105"/>
        </w:rPr>
        <w:t>and</w:t>
      </w:r>
      <w:r>
        <w:rPr>
          <w:rFonts w:ascii="Times New Roman"/>
          <w:color w:val="231F20"/>
          <w:spacing w:val="-29"/>
          <w:w w:val="105"/>
        </w:rPr>
        <w:t> </w:t>
      </w:r>
      <w:r>
        <w:rPr>
          <w:rFonts w:ascii="Times New Roman"/>
          <w:color w:val="231F20"/>
          <w:w w:val="105"/>
        </w:rPr>
        <w:t>investigation</w:t>
      </w:r>
      <w:r>
        <w:rPr>
          <w:rFonts w:ascii="Times New Roman"/>
          <w:color w:val="231F20"/>
          <w:spacing w:val="-29"/>
          <w:w w:val="105"/>
        </w:rPr>
        <w:t> </w:t>
      </w:r>
      <w:r>
        <w:rPr>
          <w:rFonts w:ascii="Times New Roman"/>
          <w:color w:val="231F20"/>
          <w:w w:val="105"/>
        </w:rPr>
        <w:t>records </w:t>
      </w:r>
      <w:r>
        <w:rPr>
          <w:color w:val="231F20"/>
          <w:w w:val="105"/>
        </w:rPr>
        <w:t>is</w:t>
      </w:r>
      <w:r>
        <w:rPr>
          <w:color w:val="231F20"/>
          <w:spacing w:val="-19"/>
          <w:w w:val="105"/>
        </w:rPr>
        <w:t> </w:t>
      </w:r>
      <w:r>
        <w:rPr>
          <w:color w:val="231F20"/>
          <w:w w:val="105"/>
        </w:rPr>
        <w:t>confidential</w:t>
      </w:r>
      <w:r>
        <w:rPr>
          <w:color w:val="231F20"/>
          <w:spacing w:val="-19"/>
          <w:w w:val="105"/>
        </w:rPr>
        <w:t> </w:t>
      </w:r>
      <w:r>
        <w:rPr>
          <w:color w:val="231F20"/>
          <w:w w:val="105"/>
        </w:rPr>
        <w:t>and</w:t>
      </w:r>
      <w:r>
        <w:rPr>
          <w:color w:val="231F20"/>
          <w:spacing w:val="-19"/>
          <w:w w:val="105"/>
        </w:rPr>
        <w:t> </w:t>
      </w:r>
      <w:r>
        <w:rPr>
          <w:color w:val="231F20"/>
          <w:w w:val="105"/>
        </w:rPr>
        <w:t>exempt</w:t>
      </w:r>
      <w:r>
        <w:rPr>
          <w:color w:val="231F20"/>
          <w:spacing w:val="-19"/>
          <w:w w:val="105"/>
        </w:rPr>
        <w:t> </w:t>
      </w:r>
      <w:r>
        <w:rPr>
          <w:color w:val="231F20"/>
          <w:w w:val="105"/>
        </w:rPr>
        <w:t>from</w:t>
      </w:r>
      <w:r>
        <w:rPr>
          <w:color w:val="231F20"/>
          <w:spacing w:val="-19"/>
          <w:w w:val="105"/>
        </w:rPr>
        <w:t> </w:t>
      </w:r>
      <w:r>
        <w:rPr>
          <w:color w:val="231F20"/>
          <w:w w:val="105"/>
        </w:rPr>
        <w:t>disclosure in response to Freedom of Information Act</w:t>
      </w:r>
      <w:r>
        <w:rPr>
          <w:color w:val="231F20"/>
          <w:spacing w:val="-15"/>
          <w:w w:val="105"/>
        </w:rPr>
        <w:t> </w:t>
      </w:r>
      <w:r>
        <w:rPr>
          <w:color w:val="231F20"/>
          <w:w w:val="105"/>
        </w:rPr>
        <w:t>requests.</w:t>
      </w:r>
      <w:r>
        <w:rPr>
          <w:color w:val="231F20"/>
          <w:spacing w:val="-15"/>
          <w:w w:val="105"/>
        </w:rPr>
        <w:t> </w:t>
      </w:r>
      <w:r>
        <w:rPr>
          <w:color w:val="231F20"/>
          <w:w w:val="105"/>
        </w:rPr>
        <w:t>Descriptors</w:t>
      </w:r>
      <w:r>
        <w:rPr>
          <w:color w:val="231F20"/>
          <w:spacing w:val="-15"/>
          <w:w w:val="105"/>
        </w:rPr>
        <w:t> </w:t>
      </w:r>
      <w:r>
        <w:rPr>
          <w:color w:val="231F20"/>
          <w:w w:val="105"/>
        </w:rPr>
        <w:t>such</w:t>
      </w:r>
      <w:r>
        <w:rPr>
          <w:color w:val="231F20"/>
          <w:spacing w:val="-15"/>
          <w:w w:val="105"/>
        </w:rPr>
        <w:t> </w:t>
      </w:r>
      <w:r>
        <w:rPr>
          <w:color w:val="231F20"/>
          <w:w w:val="105"/>
        </w:rPr>
        <w:t>as</w:t>
      </w:r>
      <w:r>
        <w:rPr>
          <w:color w:val="231F20"/>
          <w:spacing w:val="-15"/>
          <w:w w:val="105"/>
        </w:rPr>
        <w:t> </w:t>
      </w:r>
      <w:r>
        <w:rPr>
          <w:color w:val="231F20"/>
          <w:w w:val="105"/>
        </w:rPr>
        <w:t>age,</w:t>
      </w:r>
      <w:r>
        <w:rPr>
          <w:color w:val="231F20"/>
          <w:spacing w:val="-15"/>
          <w:w w:val="105"/>
        </w:rPr>
        <w:t> </w:t>
      </w:r>
      <w:r>
        <w:rPr>
          <w:color w:val="231F20"/>
          <w:w w:val="105"/>
        </w:rPr>
        <w:t>sex, race/ethnicity,</w:t>
      </w:r>
      <w:r>
        <w:rPr>
          <w:color w:val="231F20"/>
          <w:spacing w:val="-9"/>
          <w:w w:val="105"/>
        </w:rPr>
        <w:t> </w:t>
      </w:r>
      <w:r>
        <w:rPr>
          <w:color w:val="231F20"/>
          <w:w w:val="105"/>
        </w:rPr>
        <w:t>and</w:t>
      </w:r>
      <w:r>
        <w:rPr>
          <w:color w:val="231F20"/>
          <w:spacing w:val="-9"/>
          <w:w w:val="105"/>
        </w:rPr>
        <w:t> </w:t>
      </w:r>
      <w:r>
        <w:rPr>
          <w:color w:val="231F20"/>
          <w:w w:val="105"/>
        </w:rPr>
        <w:t>residence,</w:t>
      </w:r>
      <w:r>
        <w:rPr>
          <w:color w:val="231F20"/>
          <w:spacing w:val="-9"/>
          <w:w w:val="105"/>
        </w:rPr>
        <w:t> </w:t>
      </w:r>
      <w:r>
        <w:rPr>
          <w:color w:val="231F20"/>
          <w:w w:val="105"/>
        </w:rPr>
        <w:t>and</w:t>
      </w:r>
      <w:r>
        <w:rPr>
          <w:color w:val="231F20"/>
          <w:spacing w:val="-9"/>
          <w:w w:val="105"/>
        </w:rPr>
        <w:t> </w:t>
      </w:r>
      <w:r>
        <w:rPr>
          <w:color w:val="231F20"/>
          <w:w w:val="105"/>
        </w:rPr>
        <w:t>date</w:t>
      </w:r>
      <w:r>
        <w:rPr>
          <w:color w:val="231F20"/>
          <w:spacing w:val="-9"/>
          <w:w w:val="105"/>
        </w:rPr>
        <w:t> </w:t>
      </w:r>
      <w:r>
        <w:rPr>
          <w:color w:val="231F20"/>
          <w:w w:val="105"/>
        </w:rPr>
        <w:t>of</w:t>
      </w:r>
    </w:p>
    <w:p>
      <w:pPr>
        <w:pStyle w:val="BodyText"/>
        <w:spacing w:line="266" w:lineRule="auto"/>
        <w:ind w:left="319" w:right="748"/>
      </w:pPr>
      <w:r>
        <w:rPr>
          <w:color w:val="231F20"/>
          <w:w w:val="105"/>
        </w:rPr>
        <w:t>diagnosis might enable identification of an ill person and need to be treated as personally</w:t>
      </w:r>
    </w:p>
    <w:p>
      <w:pPr>
        <w:spacing w:after="0" w:line="266" w:lineRule="auto"/>
        <w:sectPr>
          <w:type w:val="continuous"/>
          <w:pgSz w:w="10080" w:h="14400"/>
          <w:pgMar w:top="0" w:bottom="360" w:left="0" w:right="0"/>
          <w:cols w:num="2" w:equalWidth="0">
            <w:col w:w="5221" w:space="40"/>
            <w:col w:w="4819"/>
          </w:cols>
        </w:sectPr>
      </w:pPr>
    </w:p>
    <w:p>
      <w:pPr>
        <w:pStyle w:val="BodyText"/>
        <w:spacing w:before="8"/>
        <w:rPr>
          <w:sz w:val="26"/>
        </w:rPr>
      </w:pPr>
    </w:p>
    <w:p>
      <w:pPr>
        <w:pStyle w:val="Heading1"/>
        <w:spacing w:line="249" w:lineRule="auto"/>
        <w:ind w:left="720" w:right="2020"/>
      </w:pPr>
      <w:r>
        <w:rPr/>
        <w:pict>
          <v:line style="position:absolute;mso-position-horizontal-relative:page;mso-position-vertical-relative:paragraph;z-index:4768;mso-wrap-distance-left:0;mso-wrap-distance-right:0" from="36pt,40.791943pt" to="432pt,40.791943pt" stroked="true" strokeweight=".5pt" strokecolor="#00a94f">
            <v:stroke dashstyle="solid"/>
            <w10:wrap type="topAndBottom"/>
          </v:line>
        </w:pict>
      </w:r>
      <w:r>
        <w:rPr/>
        <w:pict>
          <v:rect style="position:absolute;margin-left:459pt;margin-top:7.341943pt;width:45pt;height:18pt;mso-position-horizontal-relative:page;mso-position-vertical-relative:paragraph;z-index:4792" filled="true" fillcolor="#0079c1" stroked="false">
            <v:fill type="solid"/>
            <w10:wrap type="none"/>
          </v:rect>
        </w:pict>
      </w:r>
      <w:r>
        <w:rPr/>
        <w:pict>
          <v:line style="position:absolute;mso-position-horizontal-relative:page;mso-position-vertical-relative:paragraph;z-index:4816" from="450.5pt,7.341943pt" to="450.5pt,191.618943pt" stroked="true" strokeweight="1pt" strokecolor="#0079c1">
            <v:stroke dashstyle="solid"/>
            <w10:wrap type="none"/>
          </v:line>
        </w:pict>
      </w:r>
      <w:r>
        <w:rPr/>
        <w:pict>
          <v:shape style="position:absolute;margin-left:468.849609pt;margin-top:12.092943pt;width:15.85pt;height:8.5pt;mso-position-horizontal-relative:page;mso-position-vertical-relative:paragraph;z-index:4840" type="#_x0000_t202" filled="false" stroked="false">
            <v:textbox inset="0,0,0,0" style="layout-flow:vertical">
              <w:txbxContent>
                <w:p>
                  <w:pPr>
                    <w:spacing w:before="11"/>
                    <w:ind w:left="20" w:right="0" w:firstLine="0"/>
                    <w:jc w:val="left"/>
                    <w:rPr>
                      <w:rFonts w:ascii="Times New Roman"/>
                      <w:b/>
                      <w:sz w:val="24"/>
                    </w:rPr>
                  </w:pPr>
                  <w:r>
                    <w:rPr>
                      <w:rFonts w:ascii="Times New Roman"/>
                      <w:b/>
                      <w:color w:val="FFFFFF"/>
                      <w:w w:val="108"/>
                      <w:sz w:val="24"/>
                    </w:rPr>
                    <w:t>1</w:t>
                  </w:r>
                </w:p>
              </w:txbxContent>
            </v:textbox>
            <w10:wrap type="none"/>
          </v:shape>
        </w:pict>
      </w:r>
      <w:r>
        <w:rPr/>
        <w:pict>
          <v:shape style="position:absolute;margin-left:470.346802pt;margin-top:29.338743pt;width:12.25pt;height:164.15pt;mso-position-horizontal-relative:page;mso-position-vertical-relative:paragraph;z-index:4864" type="#_x0000_t202" filled="false" stroked="false">
            <v:textbox inset="0,0,0,0" style="layout-flow:vertical">
              <w:txbxContent>
                <w:p>
                  <w:pPr>
                    <w:spacing w:before="12"/>
                    <w:ind w:left="20" w:right="-947" w:firstLine="0"/>
                    <w:jc w:val="left"/>
                    <w:rPr>
                      <w:rFonts w:ascii="Lucida Sans"/>
                      <w:sz w:val="17"/>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pacing w:val="-37"/>
                      <w:sz w:val="17"/>
                    </w:rPr>
                    <w:t> </w:t>
                  </w:r>
                </w:p>
              </w:txbxContent>
            </v:textbox>
            <w10:wrap type="none"/>
          </v:shape>
        </w:pict>
      </w:r>
      <w:r>
        <w:rPr>
          <w:color w:val="00A94F"/>
        </w:rPr>
        <w:t>Overview of Chapter 9. Legal Preparedness for the Surveillance and Control of Foodborne Disease</w:t>
      </w:r>
      <w:r>
        <w:rPr>
          <w:color w:val="00A94F"/>
          <w:spacing w:val="67"/>
        </w:rPr>
        <w:t> </w:t>
      </w:r>
      <w:r>
        <w:rPr>
          <w:color w:val="00A94F"/>
        </w:rPr>
        <w:t>Outbreaks</w:t>
      </w:r>
    </w:p>
    <w:p>
      <w:pPr>
        <w:pStyle w:val="BodyText"/>
        <w:spacing w:before="3"/>
        <w:rPr>
          <w:rFonts w:ascii="Arial"/>
          <w:sz w:val="12"/>
        </w:rPr>
      </w:pPr>
    </w:p>
    <w:p>
      <w:pPr>
        <w:spacing w:after="0"/>
        <w:rPr>
          <w:rFonts w:ascii="Arial"/>
          <w:sz w:val="12"/>
        </w:rPr>
        <w:sectPr>
          <w:pgSz w:w="10080" w:h="14400"/>
          <w:pgMar w:header="0" w:footer="160" w:top="980" w:bottom="360" w:left="0" w:right="0"/>
        </w:sectPr>
      </w:pPr>
    </w:p>
    <w:p>
      <w:pPr>
        <w:pStyle w:val="BodyText"/>
        <w:spacing w:line="266" w:lineRule="auto" w:before="108"/>
        <w:ind w:left="720" w:right="97"/>
      </w:pPr>
      <w:r>
        <w:rPr>
          <w:color w:val="231F20"/>
          <w:w w:val="105"/>
        </w:rPr>
        <w:t>identifying information. The public health agency generally is restricted from sharing personally identifying information with other government agencies without the consent of the reported person, with a few exceptions (e.g., in a bioterrorism incident or when it</w:t>
      </w:r>
    </w:p>
    <w:p>
      <w:pPr>
        <w:pStyle w:val="BodyText"/>
        <w:spacing w:line="266" w:lineRule="auto"/>
        <w:ind w:left="720" w:right="8"/>
      </w:pPr>
      <w:r>
        <w:rPr>
          <w:color w:val="231F20"/>
          <w:w w:val="105"/>
        </w:rPr>
        <w:t>is deemed necessary to protect the public health).</w:t>
      </w:r>
      <w:r>
        <w:rPr>
          <w:color w:val="231F20"/>
          <w:spacing w:val="-15"/>
          <w:w w:val="105"/>
        </w:rPr>
        <w:t> </w:t>
      </w:r>
      <w:r>
        <w:rPr>
          <w:color w:val="231F20"/>
          <w:w w:val="105"/>
        </w:rPr>
        <w:t>Reporting</w:t>
      </w:r>
      <w:r>
        <w:rPr>
          <w:color w:val="231F20"/>
          <w:spacing w:val="-15"/>
          <w:w w:val="105"/>
        </w:rPr>
        <w:t> </w:t>
      </w:r>
      <w:r>
        <w:rPr>
          <w:color w:val="231F20"/>
          <w:w w:val="105"/>
        </w:rPr>
        <w:t>statutes</w:t>
      </w:r>
      <w:r>
        <w:rPr>
          <w:color w:val="231F20"/>
          <w:spacing w:val="-15"/>
          <w:w w:val="105"/>
        </w:rPr>
        <w:t> </w:t>
      </w:r>
      <w:r>
        <w:rPr>
          <w:color w:val="231F20"/>
          <w:w w:val="105"/>
        </w:rPr>
        <w:t>typically</w:t>
      </w:r>
      <w:r>
        <w:rPr>
          <w:color w:val="231F20"/>
          <w:spacing w:val="-15"/>
          <w:w w:val="105"/>
        </w:rPr>
        <w:t> </w:t>
      </w:r>
      <w:r>
        <w:rPr>
          <w:color w:val="231F20"/>
          <w:w w:val="105"/>
        </w:rPr>
        <w:t>provide</w:t>
      </w:r>
      <w:r>
        <w:rPr>
          <w:color w:val="231F20"/>
          <w:spacing w:val="-15"/>
          <w:w w:val="105"/>
        </w:rPr>
        <w:t> </w:t>
      </w:r>
      <w:r>
        <w:rPr>
          <w:color w:val="231F20"/>
          <w:w w:val="105"/>
        </w:rPr>
        <w:t>for punishment of government employees for a breach of confidential information held</w:t>
      </w:r>
      <w:r>
        <w:rPr>
          <w:color w:val="231F20"/>
          <w:spacing w:val="-36"/>
          <w:w w:val="105"/>
        </w:rPr>
        <w:t> </w:t>
      </w:r>
      <w:r>
        <w:rPr>
          <w:color w:val="231F20"/>
          <w:spacing w:val="-3"/>
          <w:w w:val="105"/>
        </w:rPr>
        <w:t>by </w:t>
      </w:r>
      <w:r>
        <w:rPr>
          <w:color w:val="231F20"/>
          <w:w w:val="105"/>
        </w:rPr>
        <w:t>the public health</w:t>
      </w:r>
      <w:r>
        <w:rPr>
          <w:color w:val="231F20"/>
          <w:spacing w:val="7"/>
          <w:w w:val="105"/>
        </w:rPr>
        <w:t> </w:t>
      </w:r>
      <w:r>
        <w:rPr>
          <w:color w:val="231F20"/>
          <w:spacing w:val="-4"/>
          <w:w w:val="105"/>
        </w:rPr>
        <w:t>agency.</w:t>
      </w:r>
    </w:p>
    <w:p>
      <w:pPr>
        <w:pStyle w:val="BodyText"/>
        <w:spacing w:line="266" w:lineRule="auto" w:before="180"/>
        <w:ind w:left="720" w:right="226"/>
      </w:pPr>
      <w:r>
        <w:rPr>
          <w:color w:val="231F20"/>
          <w:w w:val="105"/>
        </w:rPr>
        <w:t>Health information protected </w:t>
      </w:r>
      <w:r>
        <w:rPr>
          <w:color w:val="231F20"/>
          <w:spacing w:val="-3"/>
          <w:w w:val="105"/>
        </w:rPr>
        <w:t>by </w:t>
      </w:r>
      <w:r>
        <w:rPr>
          <w:color w:val="231F20"/>
          <w:w w:val="105"/>
        </w:rPr>
        <w:t>the</w:t>
      </w:r>
      <w:r>
        <w:rPr>
          <w:color w:val="231F20"/>
          <w:spacing w:val="-35"/>
          <w:w w:val="105"/>
        </w:rPr>
        <w:t> </w:t>
      </w:r>
      <w:r>
        <w:rPr>
          <w:color w:val="231F20"/>
          <w:w w:val="105"/>
        </w:rPr>
        <w:t>Health Insurance Portability and Accountability Act of 1996 </w:t>
      </w:r>
      <w:r>
        <w:rPr>
          <w:color w:val="231F20"/>
          <w:spacing w:val="-3"/>
          <w:w w:val="105"/>
        </w:rPr>
        <w:t>(HIPAA) </w:t>
      </w:r>
      <w:r>
        <w:rPr>
          <w:color w:val="231F20"/>
          <w:w w:val="105"/>
        </w:rPr>
        <w:t>may be disclosed </w:t>
      </w:r>
      <w:r>
        <w:rPr>
          <w:color w:val="231F20"/>
          <w:spacing w:val="-3"/>
          <w:w w:val="105"/>
        </w:rPr>
        <w:t>by </w:t>
      </w:r>
      <w:r>
        <w:rPr>
          <w:color w:val="231F20"/>
          <w:w w:val="105"/>
        </w:rPr>
        <w:t>the</w:t>
      </w:r>
      <w:r>
        <w:rPr>
          <w:color w:val="231F20"/>
          <w:spacing w:val="-15"/>
          <w:w w:val="105"/>
        </w:rPr>
        <w:t> </w:t>
      </w:r>
      <w:r>
        <w:rPr>
          <w:color w:val="231F20"/>
          <w:w w:val="105"/>
        </w:rPr>
        <w:t>reporting</w:t>
      </w:r>
      <w:r>
        <w:rPr>
          <w:color w:val="231F20"/>
          <w:spacing w:val="-15"/>
          <w:w w:val="105"/>
        </w:rPr>
        <w:t> </w:t>
      </w:r>
      <w:r>
        <w:rPr>
          <w:color w:val="231F20"/>
          <w:w w:val="105"/>
        </w:rPr>
        <w:t>source</w:t>
      </w:r>
      <w:r>
        <w:rPr>
          <w:color w:val="231F20"/>
          <w:spacing w:val="-15"/>
          <w:w w:val="105"/>
        </w:rPr>
        <w:t> </w:t>
      </w:r>
      <w:r>
        <w:rPr>
          <w:color w:val="231F20"/>
          <w:spacing w:val="-4"/>
          <w:w w:val="105"/>
        </w:rPr>
        <w:t>(e.g.,</w:t>
      </w:r>
      <w:r>
        <w:rPr>
          <w:color w:val="231F20"/>
          <w:spacing w:val="-15"/>
          <w:w w:val="105"/>
        </w:rPr>
        <w:t> </w:t>
      </w:r>
      <w:r>
        <w:rPr>
          <w:color w:val="231F20"/>
          <w:w w:val="105"/>
        </w:rPr>
        <w:t>physician)</w:t>
      </w:r>
      <w:r>
        <w:rPr>
          <w:color w:val="231F20"/>
          <w:spacing w:val="-15"/>
          <w:w w:val="105"/>
        </w:rPr>
        <w:t> </w:t>
      </w:r>
      <w:r>
        <w:rPr>
          <w:color w:val="231F20"/>
          <w:w w:val="105"/>
        </w:rPr>
        <w:t>without individual authorization to a public</w:t>
      </w:r>
      <w:r>
        <w:rPr>
          <w:color w:val="231F20"/>
          <w:spacing w:val="-16"/>
          <w:w w:val="105"/>
        </w:rPr>
        <w:t> </w:t>
      </w:r>
      <w:r>
        <w:rPr>
          <w:color w:val="231F20"/>
          <w:w w:val="105"/>
        </w:rPr>
        <w:t>health</w:t>
      </w:r>
    </w:p>
    <w:p>
      <w:pPr>
        <w:pStyle w:val="BodyText"/>
        <w:spacing w:line="266" w:lineRule="auto"/>
        <w:ind w:left="720" w:right="66"/>
      </w:pPr>
      <w:r>
        <w:rPr>
          <w:color w:val="231F20"/>
          <w:w w:val="105"/>
        </w:rPr>
        <w:t>agency authorized by law to collect or receive such information. The legal requirement</w:t>
      </w:r>
    </w:p>
    <w:p>
      <w:pPr>
        <w:pStyle w:val="BodyText"/>
        <w:spacing w:line="266" w:lineRule="auto"/>
        <w:ind w:left="720" w:right="20"/>
      </w:pPr>
      <w:r>
        <w:rPr>
          <w:color w:val="231F20"/>
          <w:w w:val="105"/>
        </w:rPr>
        <w:t>to report relieves the reporting source (e.g., physician) of concern that reporting breaches the privacy of the doctor–patient relationship.</w:t>
      </w:r>
    </w:p>
    <w:p>
      <w:pPr>
        <w:spacing w:line="290" w:lineRule="auto" w:before="183"/>
        <w:ind w:left="720" w:right="70" w:firstLine="0"/>
        <w:jc w:val="left"/>
        <w:rPr>
          <w:rFonts w:ascii="Arial"/>
          <w:sz w:val="18"/>
        </w:rPr>
      </w:pPr>
      <w:r>
        <w:rPr>
          <w:rFonts w:ascii="Arial"/>
          <w:color w:val="00A94F"/>
          <w:sz w:val="18"/>
        </w:rPr>
        <w:t>Cross-Jurisdiction and Cross-Sector Coordination (9.1.6)</w:t>
      </w:r>
    </w:p>
    <w:p>
      <w:pPr>
        <w:pStyle w:val="BodyText"/>
        <w:spacing w:line="264" w:lineRule="auto"/>
        <w:ind w:left="720" w:right="68"/>
      </w:pPr>
      <w:r>
        <w:rPr>
          <w:color w:val="231F20"/>
          <w:w w:val="105"/>
        </w:rPr>
        <w:t>State and local health officials should periodically assess the need for memoranda of agreement (or other legal agreements) with </w:t>
      </w:r>
      <w:r>
        <w:rPr>
          <w:rFonts w:ascii="Times New Roman"/>
          <w:color w:val="231F20"/>
          <w:w w:val="105"/>
        </w:rPr>
        <w:t>partners in other jurisdictions and sectors to </w:t>
      </w:r>
      <w:r>
        <w:rPr>
          <w:color w:val="231F20"/>
          <w:w w:val="105"/>
        </w:rPr>
        <w:t>ensure timely and effective reporting.</w:t>
      </w:r>
    </w:p>
    <w:p>
      <w:pPr>
        <w:pStyle w:val="BodyText"/>
        <w:spacing w:line="261" w:lineRule="auto" w:before="170"/>
        <w:ind w:left="720" w:right="70"/>
        <w:rPr>
          <w:rFonts w:ascii="Arial"/>
        </w:rPr>
      </w:pPr>
      <w:r>
        <w:rPr>
          <w:rFonts w:ascii="Arial"/>
          <w:color w:val="1C3E94"/>
        </w:rPr>
        <w:t>Legal Framework for Surveillance and Investigation of Foodborne and Enteric Diseases (Section 9.2)</w:t>
      </w:r>
    </w:p>
    <w:p>
      <w:pPr>
        <w:pStyle w:val="BodyText"/>
        <w:spacing w:line="268" w:lineRule="auto" w:before="198"/>
        <w:ind w:left="720" w:right="-17"/>
      </w:pPr>
      <w:r>
        <w:rPr>
          <w:rFonts w:ascii="Arial"/>
          <w:color w:val="00A94F"/>
          <w:w w:val="105"/>
          <w:sz w:val="18"/>
        </w:rPr>
        <w:t>Sources of Surveillance Information (9.2.1) </w:t>
      </w:r>
      <w:r>
        <w:rPr>
          <w:color w:val="231F20"/>
          <w:w w:val="105"/>
        </w:rPr>
        <w:t>Reports of food-related illness may come to the attention of the state or local health</w:t>
      </w:r>
      <w:r>
        <w:rPr>
          <w:color w:val="231F20"/>
          <w:spacing w:val="-32"/>
          <w:w w:val="105"/>
        </w:rPr>
        <w:t> </w:t>
      </w:r>
      <w:r>
        <w:rPr>
          <w:color w:val="231F20"/>
          <w:w w:val="105"/>
        </w:rPr>
        <w:t>agency in a variety of ways </w:t>
      </w:r>
      <w:r>
        <w:rPr>
          <w:color w:val="231F20"/>
          <w:spacing w:val="-4"/>
          <w:w w:val="105"/>
        </w:rPr>
        <w:t>(e.g., </w:t>
      </w:r>
      <w:r>
        <w:rPr>
          <w:color w:val="231F20"/>
          <w:w w:val="105"/>
        </w:rPr>
        <w:t>surveillance reports, </w:t>
      </w:r>
      <w:r>
        <w:rPr>
          <w:rFonts w:ascii="Times New Roman"/>
          <w:color w:val="231F20"/>
          <w:w w:val="105"/>
        </w:rPr>
        <w:t>foodborne</w:t>
      </w:r>
      <w:r>
        <w:rPr>
          <w:rFonts w:ascii="Times New Roman"/>
          <w:color w:val="231F20"/>
          <w:spacing w:val="-28"/>
          <w:w w:val="105"/>
        </w:rPr>
        <w:t> </w:t>
      </w:r>
      <w:r>
        <w:rPr>
          <w:rFonts w:ascii="Times New Roman"/>
          <w:color w:val="231F20"/>
          <w:w w:val="105"/>
        </w:rPr>
        <w:t>illness</w:t>
      </w:r>
      <w:r>
        <w:rPr>
          <w:rFonts w:ascii="Times New Roman"/>
          <w:color w:val="231F20"/>
          <w:spacing w:val="-29"/>
          <w:w w:val="105"/>
        </w:rPr>
        <w:t> </w:t>
      </w:r>
      <w:r>
        <w:rPr>
          <w:rFonts w:ascii="Times New Roman"/>
          <w:color w:val="231F20"/>
          <w:w w:val="105"/>
        </w:rPr>
        <w:t>complaints</w:t>
      </w:r>
      <w:r>
        <w:rPr>
          <w:rFonts w:ascii="Times New Roman"/>
          <w:color w:val="231F20"/>
          <w:spacing w:val="-28"/>
          <w:w w:val="105"/>
        </w:rPr>
        <w:t> </w:t>
      </w:r>
      <w:r>
        <w:rPr>
          <w:rFonts w:ascii="Times New Roman"/>
          <w:color w:val="231F20"/>
          <w:w w:val="105"/>
        </w:rPr>
        <w:t>from</w:t>
      </w:r>
      <w:r>
        <w:rPr>
          <w:rFonts w:ascii="Times New Roman"/>
          <w:color w:val="231F20"/>
          <w:spacing w:val="-29"/>
          <w:w w:val="105"/>
        </w:rPr>
        <w:t> </w:t>
      </w:r>
      <w:r>
        <w:rPr>
          <w:rFonts w:ascii="Times New Roman"/>
          <w:color w:val="231F20"/>
          <w:w w:val="105"/>
        </w:rPr>
        <w:t>the</w:t>
      </w:r>
      <w:r>
        <w:rPr>
          <w:rFonts w:ascii="Times New Roman"/>
          <w:color w:val="231F20"/>
          <w:spacing w:val="-29"/>
          <w:w w:val="105"/>
        </w:rPr>
        <w:t> </w:t>
      </w:r>
      <w:r>
        <w:rPr>
          <w:rFonts w:ascii="Times New Roman"/>
          <w:color w:val="231F20"/>
          <w:w w:val="105"/>
        </w:rPr>
        <w:t>public, </w:t>
      </w:r>
      <w:r>
        <w:rPr>
          <w:color w:val="231F20"/>
        </w:rPr>
        <w:t>syndromic </w:t>
      </w:r>
      <w:r>
        <w:rPr>
          <w:color w:val="231F20"/>
          <w:spacing w:val="5"/>
        </w:rPr>
        <w:t> </w:t>
      </w:r>
      <w:r>
        <w:rPr>
          <w:color w:val="231F20"/>
        </w:rPr>
        <w:t>surveillance).</w:t>
      </w:r>
    </w:p>
    <w:p>
      <w:pPr>
        <w:spacing w:line="280" w:lineRule="auto" w:before="181"/>
        <w:ind w:left="720" w:right="70" w:firstLine="0"/>
        <w:jc w:val="left"/>
        <w:rPr>
          <w:sz w:val="20"/>
        </w:rPr>
      </w:pPr>
      <w:r>
        <w:rPr>
          <w:rFonts w:ascii="Arial"/>
          <w:color w:val="00A94F"/>
          <w:sz w:val="18"/>
        </w:rPr>
        <w:t>Statutes and Regulations Governing Surveillance and Investigation (9.2.2) </w:t>
      </w:r>
      <w:r>
        <w:rPr>
          <w:color w:val="231F20"/>
          <w:sz w:val="20"/>
        </w:rPr>
        <w:t>Voluntary, unconfirmed disease reports (e.g., complaints of  food-safety problems by the</w:t>
      </w:r>
    </w:p>
    <w:p>
      <w:pPr>
        <w:pStyle w:val="BodyText"/>
        <w:spacing w:line="266" w:lineRule="auto" w:before="108"/>
        <w:ind w:left="326" w:right="1376"/>
      </w:pPr>
      <w:r>
        <w:rPr/>
        <w:br w:type="column"/>
      </w:r>
      <w:r>
        <w:rPr>
          <w:color w:val="231F20"/>
          <w:w w:val="105"/>
        </w:rPr>
        <w:t>general public) or diagnoses for which names of patients are not collected (e.g., syndromic surveillance) generally do not have as strong a level of legal protection as do reports in which patients are named (e.g., surveillance reports or </w:t>
      </w:r>
      <w:r>
        <w:rPr>
          <w:color w:val="231F20"/>
        </w:rPr>
        <w:t>foodborne illness complaints).</w:t>
      </w:r>
    </w:p>
    <w:p>
      <w:pPr>
        <w:pStyle w:val="BodyText"/>
        <w:spacing w:line="252" w:lineRule="auto" w:before="180"/>
        <w:ind w:left="326" w:right="1753"/>
        <w:rPr>
          <w:rFonts w:ascii="Times New Roman"/>
        </w:rPr>
      </w:pPr>
      <w:r>
        <w:rPr>
          <w:color w:val="231F20"/>
        </w:rPr>
        <w:t>Routine investigation of reports to confirm </w:t>
      </w:r>
      <w:r>
        <w:rPr>
          <w:rFonts w:ascii="Times New Roman"/>
          <w:color w:val="231F20"/>
        </w:rPr>
        <w:t>the diagnosis and determine the source</w:t>
      </w:r>
    </w:p>
    <w:p>
      <w:pPr>
        <w:pStyle w:val="BodyText"/>
        <w:spacing w:line="264" w:lineRule="auto" w:before="23"/>
        <w:ind w:left="326" w:right="1857"/>
      </w:pPr>
      <w:r>
        <w:rPr>
          <w:color w:val="231F20"/>
          <w:w w:val="105"/>
        </w:rPr>
        <w:t>of exposure, risk factors for infection, and contacts is usually considered part of </w:t>
      </w:r>
      <w:r>
        <w:rPr>
          <w:rFonts w:ascii="Times New Roman"/>
          <w:color w:val="231F20"/>
        </w:rPr>
        <w:t>surveillance and disease control activities </w:t>
      </w:r>
      <w:r>
        <w:rPr>
          <w:color w:val="231F20"/>
          <w:w w:val="105"/>
        </w:rPr>
        <w:t>authorized by state and local statutes.</w:t>
      </w:r>
    </w:p>
    <w:p>
      <w:pPr>
        <w:pStyle w:val="BodyText"/>
        <w:spacing w:line="264" w:lineRule="auto" w:before="168"/>
        <w:ind w:left="326" w:right="1753"/>
        <w:rPr>
          <w:rFonts w:ascii="Times New Roman"/>
        </w:rPr>
      </w:pPr>
      <w:r>
        <w:rPr>
          <w:rFonts w:ascii="Times New Roman"/>
          <w:color w:val="231F20"/>
          <w:w w:val="105"/>
        </w:rPr>
        <w:t>The legal authorities to conduct outbreak </w:t>
      </w:r>
      <w:r>
        <w:rPr>
          <w:rFonts w:ascii="Times New Roman"/>
          <w:color w:val="231F20"/>
        </w:rPr>
        <w:t>detection activities are the same regardless </w:t>
      </w:r>
      <w:r>
        <w:rPr>
          <w:color w:val="231F20"/>
          <w:w w:val="105"/>
        </w:rPr>
        <w:t>of the intentionality of the contamination. However, once intentional contamination </w:t>
      </w:r>
      <w:r>
        <w:rPr>
          <w:rFonts w:ascii="Times New Roman"/>
          <w:color w:val="231F20"/>
        </w:rPr>
        <w:t>is suspected, additional state criminal,</w:t>
      </w:r>
    </w:p>
    <w:p>
      <w:pPr>
        <w:pStyle w:val="BodyText"/>
        <w:spacing w:line="266" w:lineRule="auto" w:before="12"/>
        <w:ind w:left="326" w:right="1501"/>
      </w:pPr>
      <w:r>
        <w:rPr>
          <w:color w:val="231F20"/>
          <w:w w:val="105"/>
        </w:rPr>
        <w:t>antiterrorism, and emergency response laws most likely will enhance or control the course of the outbreak investigation and response.</w:t>
      </w:r>
    </w:p>
    <w:p>
      <w:pPr>
        <w:pStyle w:val="BodyText"/>
        <w:spacing w:line="261" w:lineRule="auto" w:before="165"/>
        <w:ind w:left="326" w:right="2043"/>
        <w:rPr>
          <w:rFonts w:ascii="Arial"/>
        </w:rPr>
      </w:pPr>
      <w:r>
        <w:rPr>
          <w:rFonts w:ascii="Arial"/>
          <w:color w:val="1C3E94"/>
        </w:rPr>
        <w:t>Legal Framework for Measures and Methods to Prevent or Mitigate Foodborne Disease Outbreaks (Section 9.3)</w:t>
      </w:r>
    </w:p>
    <w:p>
      <w:pPr>
        <w:pStyle w:val="BodyText"/>
        <w:spacing w:line="271" w:lineRule="auto" w:before="181"/>
        <w:ind w:left="326" w:right="1930"/>
        <w:jc w:val="both"/>
      </w:pPr>
      <w:r>
        <w:rPr>
          <w:rFonts w:ascii="Times New Roman"/>
          <w:color w:val="231F20"/>
        </w:rPr>
        <w:t>Because of improvements in</w:t>
      </w:r>
      <w:r>
        <w:rPr>
          <w:rFonts w:ascii="Times New Roman"/>
          <w:color w:val="231F20"/>
          <w:spacing w:val="-38"/>
        </w:rPr>
        <w:t> </w:t>
      </w:r>
      <w:r>
        <w:rPr>
          <w:rFonts w:ascii="Times New Roman"/>
          <w:color w:val="231F20"/>
        </w:rPr>
        <w:t>surveillance </w:t>
      </w:r>
      <w:r>
        <w:rPr>
          <w:color w:val="231F20"/>
        </w:rPr>
        <w:t>and outbreak detection and globalization of  the food </w:t>
      </w:r>
      <w:r>
        <w:rPr>
          <w:color w:val="231F20"/>
          <w:spacing w:val="-4"/>
        </w:rPr>
        <w:t>supply, </w:t>
      </w:r>
      <w:r>
        <w:rPr>
          <w:color w:val="231F20"/>
        </w:rPr>
        <w:t>more multistate</w:t>
      </w:r>
      <w:r>
        <w:rPr>
          <w:color w:val="231F20"/>
          <w:spacing w:val="44"/>
        </w:rPr>
        <w:t> </w:t>
      </w:r>
      <w:r>
        <w:rPr>
          <w:color w:val="231F20"/>
        </w:rPr>
        <w:t>and</w:t>
      </w:r>
    </w:p>
    <w:p>
      <w:pPr>
        <w:pStyle w:val="BodyText"/>
        <w:spacing w:line="211" w:lineRule="exact"/>
        <w:ind w:left="326"/>
        <w:rPr>
          <w:rFonts w:ascii="Times New Roman"/>
        </w:rPr>
      </w:pPr>
      <w:r>
        <w:rPr>
          <w:rFonts w:ascii="Times New Roman"/>
          <w:color w:val="231F20"/>
        </w:rPr>
        <w:t>international foodborne disease outbreaks are</w:t>
      </w:r>
    </w:p>
    <w:p>
      <w:pPr>
        <w:pStyle w:val="BodyText"/>
        <w:spacing w:line="266" w:lineRule="auto" w:before="34"/>
        <w:ind w:left="326" w:right="1470"/>
      </w:pPr>
      <w:r>
        <w:rPr>
          <w:color w:val="231F20"/>
          <w:w w:val="105"/>
        </w:rPr>
        <w:t>being discovered (9.3.1). As a result several federal agencies </w:t>
      </w:r>
      <w:r>
        <w:rPr>
          <w:color w:val="231F20"/>
          <w:spacing w:val="-3"/>
          <w:w w:val="105"/>
        </w:rPr>
        <w:t>have </w:t>
      </w:r>
      <w:r>
        <w:rPr>
          <w:color w:val="231F20"/>
          <w:w w:val="105"/>
        </w:rPr>
        <w:t>played an increasingly </w:t>
      </w:r>
      <w:r>
        <w:rPr>
          <w:rFonts w:ascii="Times New Roman"/>
          <w:color w:val="231F20"/>
          <w:w w:val="105"/>
        </w:rPr>
        <w:t>direct,</w:t>
      </w:r>
      <w:r>
        <w:rPr>
          <w:rFonts w:ascii="Times New Roman"/>
          <w:color w:val="231F20"/>
          <w:spacing w:val="-27"/>
          <w:w w:val="105"/>
        </w:rPr>
        <w:t> </w:t>
      </w:r>
      <w:r>
        <w:rPr>
          <w:rFonts w:ascii="Times New Roman"/>
          <w:color w:val="231F20"/>
          <w:w w:val="105"/>
        </w:rPr>
        <w:t>leading</w:t>
      </w:r>
      <w:r>
        <w:rPr>
          <w:rFonts w:ascii="Times New Roman"/>
          <w:color w:val="231F20"/>
          <w:spacing w:val="-27"/>
          <w:w w:val="105"/>
        </w:rPr>
        <w:t> </w:t>
      </w:r>
      <w:r>
        <w:rPr>
          <w:rFonts w:ascii="Times New Roman"/>
          <w:color w:val="231F20"/>
          <w:w w:val="105"/>
        </w:rPr>
        <w:t>role</w:t>
      </w:r>
      <w:r>
        <w:rPr>
          <w:rFonts w:ascii="Times New Roman"/>
          <w:color w:val="231F20"/>
          <w:spacing w:val="-26"/>
          <w:w w:val="105"/>
        </w:rPr>
        <w:t> </w:t>
      </w:r>
      <w:r>
        <w:rPr>
          <w:rFonts w:ascii="Times New Roman"/>
          <w:color w:val="231F20"/>
          <w:w w:val="105"/>
        </w:rPr>
        <w:t>in</w:t>
      </w:r>
      <w:r>
        <w:rPr>
          <w:rFonts w:ascii="Times New Roman"/>
          <w:color w:val="231F20"/>
          <w:spacing w:val="-27"/>
          <w:w w:val="105"/>
        </w:rPr>
        <w:t> </w:t>
      </w:r>
      <w:r>
        <w:rPr>
          <w:rFonts w:ascii="Times New Roman"/>
          <w:color w:val="231F20"/>
          <w:w w:val="105"/>
        </w:rPr>
        <w:t>the</w:t>
      </w:r>
      <w:r>
        <w:rPr>
          <w:rFonts w:ascii="Times New Roman"/>
          <w:color w:val="231F20"/>
          <w:spacing w:val="-27"/>
          <w:w w:val="105"/>
        </w:rPr>
        <w:t> </w:t>
      </w:r>
      <w:r>
        <w:rPr>
          <w:rFonts w:ascii="Times New Roman"/>
          <w:color w:val="231F20"/>
          <w:w w:val="105"/>
        </w:rPr>
        <w:t>control</w:t>
      </w:r>
      <w:r>
        <w:rPr>
          <w:rFonts w:ascii="Times New Roman"/>
          <w:color w:val="231F20"/>
          <w:spacing w:val="-26"/>
          <w:w w:val="105"/>
        </w:rPr>
        <w:t> </w:t>
      </w:r>
      <w:r>
        <w:rPr>
          <w:rFonts w:ascii="Times New Roman"/>
          <w:color w:val="231F20"/>
          <w:w w:val="105"/>
        </w:rPr>
        <w:t>of</w:t>
      </w:r>
      <w:r>
        <w:rPr>
          <w:rFonts w:ascii="Times New Roman"/>
          <w:color w:val="231F20"/>
          <w:spacing w:val="-11"/>
          <w:w w:val="105"/>
        </w:rPr>
        <w:t> </w:t>
      </w:r>
      <w:r>
        <w:rPr>
          <w:rFonts w:ascii="Times New Roman"/>
          <w:color w:val="231F20"/>
          <w:w w:val="105"/>
        </w:rPr>
        <w:t>foodborne </w:t>
      </w:r>
      <w:r>
        <w:rPr>
          <w:color w:val="231F20"/>
          <w:w w:val="105"/>
        </w:rPr>
        <w:t>diseases (9.3.2) including CDC; </w:t>
      </w:r>
      <w:r>
        <w:rPr>
          <w:color w:val="231F20"/>
          <w:spacing w:val="-4"/>
          <w:w w:val="105"/>
        </w:rPr>
        <w:t>FDA; </w:t>
      </w:r>
      <w:r>
        <w:rPr>
          <w:color w:val="231F20"/>
          <w:spacing w:val="-3"/>
          <w:w w:val="105"/>
        </w:rPr>
        <w:t>USDA/ </w:t>
      </w:r>
      <w:r>
        <w:rPr>
          <w:color w:val="231F20"/>
          <w:w w:val="105"/>
        </w:rPr>
        <w:t>FSIS; USDA/Animal and Plant Health Inspection Service; </w:t>
      </w:r>
      <w:r>
        <w:rPr>
          <w:color w:val="231F20"/>
          <w:spacing w:val="-8"/>
          <w:w w:val="105"/>
        </w:rPr>
        <w:t>U.S. </w:t>
      </w:r>
      <w:r>
        <w:rPr>
          <w:color w:val="231F20"/>
          <w:w w:val="105"/>
        </w:rPr>
        <w:t>Environmental Protection</w:t>
      </w:r>
      <w:r>
        <w:rPr>
          <w:color w:val="231F20"/>
          <w:spacing w:val="-16"/>
          <w:w w:val="105"/>
        </w:rPr>
        <w:t> </w:t>
      </w:r>
      <w:r>
        <w:rPr>
          <w:color w:val="231F20"/>
          <w:w w:val="105"/>
        </w:rPr>
        <w:t>Agency;</w:t>
      </w:r>
      <w:r>
        <w:rPr>
          <w:color w:val="231F20"/>
          <w:spacing w:val="-16"/>
          <w:w w:val="105"/>
        </w:rPr>
        <w:t> </w:t>
      </w:r>
      <w:r>
        <w:rPr>
          <w:color w:val="231F20"/>
          <w:w w:val="105"/>
        </w:rPr>
        <w:t>and</w:t>
      </w:r>
      <w:r>
        <w:rPr>
          <w:color w:val="231F20"/>
          <w:spacing w:val="-16"/>
          <w:w w:val="105"/>
        </w:rPr>
        <w:t> </w:t>
      </w:r>
      <w:r>
        <w:rPr>
          <w:color w:val="231F20"/>
          <w:w w:val="105"/>
        </w:rPr>
        <w:t>when</w:t>
      </w:r>
      <w:r>
        <w:rPr>
          <w:color w:val="231F20"/>
          <w:spacing w:val="-16"/>
          <w:w w:val="105"/>
        </w:rPr>
        <w:t> </w:t>
      </w:r>
      <w:r>
        <w:rPr>
          <w:color w:val="231F20"/>
          <w:w w:val="105"/>
        </w:rPr>
        <w:t>bioterrorism</w:t>
      </w:r>
    </w:p>
    <w:p>
      <w:pPr>
        <w:pStyle w:val="BodyText"/>
        <w:ind w:left="326"/>
      </w:pPr>
      <w:r>
        <w:rPr>
          <w:color w:val="231F20"/>
          <w:w w:val="105"/>
        </w:rPr>
        <w:t>is suspected, U.S. Department of Justice and</w:t>
      </w:r>
    </w:p>
    <w:p>
      <w:pPr>
        <w:pStyle w:val="BodyText"/>
        <w:spacing w:line="266" w:lineRule="auto" w:before="25"/>
        <w:ind w:left="326" w:right="1553"/>
      </w:pPr>
      <w:r>
        <w:rPr>
          <w:color w:val="231F20"/>
          <w:w w:val="105"/>
        </w:rPr>
        <w:t>U.S. Department of Homeland Security. The primary legislation by which FDA exercises authority over food is the Federal Food, Drug, and Cosmetic Act (FFDCA) (9.3.2.1). The FDA Food Safety Modernization Act (FSMA), signed into law in January 2011,</w:t>
      </w:r>
    </w:p>
    <w:p>
      <w:pPr>
        <w:spacing w:after="0" w:line="266" w:lineRule="auto"/>
        <w:sectPr>
          <w:type w:val="continuous"/>
          <w:pgSz w:w="10080" w:h="14400"/>
          <w:pgMar w:top="0" w:bottom="360" w:left="0" w:right="0"/>
          <w:cols w:num="2" w:equalWidth="0">
            <w:col w:w="4494" w:space="40"/>
            <w:col w:w="5546"/>
          </w:cols>
        </w:sectPr>
      </w:pPr>
    </w:p>
    <w:p>
      <w:pPr>
        <w:pStyle w:val="BodyText"/>
        <w:spacing w:before="8"/>
        <w:rPr>
          <w:sz w:val="10"/>
        </w:rPr>
      </w:pPr>
    </w:p>
    <w:p>
      <w:pPr>
        <w:pStyle w:val="Heading1"/>
        <w:spacing w:line="249" w:lineRule="auto"/>
        <w:ind w:right="1300"/>
      </w:pPr>
      <w:r>
        <w:rPr/>
        <w:pict>
          <v:line style="position:absolute;mso-position-horizontal-relative:page;mso-position-vertical-relative:paragraph;z-index:4888;mso-wrap-distance-left:0;mso-wrap-distance-right:0" from="72pt,40.791943pt" to="468pt,40.791943pt" stroked="true" strokeweight=".5pt" strokecolor="#00a94f">
            <v:stroke dashstyle="solid"/>
            <w10:wrap type="topAndBottom"/>
          </v:line>
        </w:pict>
      </w:r>
      <w:r>
        <w:rPr/>
        <w:pict>
          <v:rect style="position:absolute;margin-left:0pt;margin-top:7.341943pt;width:45pt;height:18pt;mso-position-horizontal-relative:page;mso-position-vertical-relative:paragraph;z-index:4912" filled="true" fillcolor="#0079c1" stroked="false">
            <v:fill type="solid"/>
            <w10:wrap type="none"/>
          </v:rect>
        </w:pict>
      </w:r>
      <w:r>
        <w:rPr/>
        <w:pict>
          <v:line style="position:absolute;mso-position-horizontal-relative:page;mso-position-vertical-relative:paragraph;z-index:4936" from="54.5pt,7.341943pt" to="54.5pt,191.619943pt" stroked="true" strokeweight="1pt" strokecolor="#0079c1">
            <v:stroke dashstyle="solid"/>
            <w10:wrap type="none"/>
          </v:line>
        </w:pict>
      </w:r>
      <w:r>
        <w:rPr/>
        <w:pict>
          <v:shape style="position:absolute;margin-left:18.200388pt;margin-top:12.092896pt;width:15.85pt;height:180.55pt;mso-position-horizontal-relative:page;mso-position-vertical-relative:paragraph;z-index:4960" type="#_x0000_t202" filled="false" stroked="false">
            <v:textbox inset="0,0,0,0" style="layout-flow:vertical;mso-layout-flow-alt:bottom-to-top">
              <w:txbxContent>
                <w:p>
                  <w:pPr>
                    <w:spacing w:before="7"/>
                    <w:ind w:left="20" w:right="-875" w:firstLine="0"/>
                    <w:jc w:val="left"/>
                    <w:rPr>
                      <w:rFonts w:ascii="Times New Roman"/>
                      <w:b/>
                      <w:sz w:val="24"/>
                    </w:rPr>
                  </w:pPr>
                  <w:r>
                    <w:rPr>
                      <w:rFonts w:ascii="Lucida Sans"/>
                      <w:color w:val="0079C1"/>
                      <w:spacing w:val="17"/>
                      <w:w w:val="104"/>
                      <w:sz w:val="17"/>
                    </w:rPr>
                    <w:t>OVERVIE</w:t>
                  </w:r>
                  <w:r>
                    <w:rPr>
                      <w:rFonts w:ascii="Lucida Sans"/>
                      <w:color w:val="0079C1"/>
                      <w:w w:val="104"/>
                      <w:sz w:val="17"/>
                    </w:rPr>
                    <w:t>W</w:t>
                  </w:r>
                  <w:r>
                    <w:rPr>
                      <w:rFonts w:ascii="Lucida Sans"/>
                      <w:color w:val="0079C1"/>
                      <w:sz w:val="17"/>
                    </w:rPr>
                    <w:t> </w:t>
                  </w:r>
                  <w:r>
                    <w:rPr>
                      <w:rFonts w:ascii="Lucida Sans"/>
                      <w:color w:val="0079C1"/>
                      <w:spacing w:val="-27"/>
                      <w:sz w:val="17"/>
                    </w:rPr>
                    <w:t> </w:t>
                  </w:r>
                  <w:r>
                    <w:rPr>
                      <w:rFonts w:ascii="Lucida Sans"/>
                      <w:color w:val="0079C1"/>
                      <w:spacing w:val="17"/>
                      <w:w w:val="107"/>
                      <w:sz w:val="17"/>
                    </w:rPr>
                    <w:t>O</w:t>
                  </w:r>
                  <w:r>
                    <w:rPr>
                      <w:rFonts w:ascii="Lucida Sans"/>
                      <w:color w:val="0079C1"/>
                      <w:w w:val="107"/>
                      <w:sz w:val="17"/>
                    </w:rPr>
                    <w:t>F</w:t>
                  </w:r>
                  <w:r>
                    <w:rPr>
                      <w:rFonts w:ascii="Lucida Sans"/>
                      <w:color w:val="0079C1"/>
                      <w:sz w:val="17"/>
                    </w:rPr>
                    <w:t> </w:t>
                  </w:r>
                  <w:r>
                    <w:rPr>
                      <w:rFonts w:ascii="Lucida Sans"/>
                      <w:color w:val="0079C1"/>
                      <w:spacing w:val="-27"/>
                      <w:sz w:val="17"/>
                    </w:rPr>
                    <w:t> </w:t>
                  </w:r>
                  <w:r>
                    <w:rPr>
                      <w:rFonts w:ascii="Lucida Sans"/>
                      <w:color w:val="0079C1"/>
                      <w:spacing w:val="17"/>
                      <w:w w:val="102"/>
                      <w:sz w:val="17"/>
                    </w:rPr>
                    <w:t>CIFO</w:t>
                  </w:r>
                  <w:r>
                    <w:rPr>
                      <w:rFonts w:ascii="Lucida Sans"/>
                      <w:color w:val="0079C1"/>
                      <w:w w:val="102"/>
                      <w:sz w:val="17"/>
                    </w:rPr>
                    <w:t>R</w:t>
                  </w:r>
                  <w:r>
                    <w:rPr>
                      <w:rFonts w:ascii="Lucida Sans"/>
                      <w:color w:val="0079C1"/>
                      <w:sz w:val="17"/>
                    </w:rPr>
                    <w:t> </w:t>
                  </w:r>
                  <w:r>
                    <w:rPr>
                      <w:rFonts w:ascii="Lucida Sans"/>
                      <w:color w:val="0079C1"/>
                      <w:spacing w:val="-27"/>
                      <w:sz w:val="17"/>
                    </w:rPr>
                    <w:t> </w:t>
                  </w:r>
                  <w:r>
                    <w:rPr>
                      <w:rFonts w:ascii="Lucida Sans"/>
                      <w:color w:val="0079C1"/>
                      <w:spacing w:val="17"/>
                      <w:w w:val="104"/>
                      <w:sz w:val="17"/>
                    </w:rPr>
                    <w:t>GUIDELINE</w:t>
                  </w:r>
                  <w:r>
                    <w:rPr>
                      <w:rFonts w:ascii="Lucida Sans"/>
                      <w:color w:val="0079C1"/>
                      <w:w w:val="104"/>
                      <w:sz w:val="17"/>
                    </w:rPr>
                    <w:t>S</w:t>
                  </w:r>
                  <w:r>
                    <w:rPr>
                      <w:rFonts w:ascii="Lucida Sans"/>
                      <w:color w:val="0079C1"/>
                      <w:sz w:val="17"/>
                    </w:rPr>
                    <w:t>  </w:t>
                  </w:r>
                  <w:r>
                    <w:rPr>
                      <w:rFonts w:ascii="Lucida Sans"/>
                      <w:color w:val="0079C1"/>
                      <w:spacing w:val="-5"/>
                      <w:sz w:val="17"/>
                    </w:rPr>
                    <w:t> </w:t>
                  </w:r>
                  <w:r>
                    <w:rPr>
                      <w:rFonts w:ascii="Times New Roman"/>
                      <w:b/>
                      <w:color w:val="FFFFFF"/>
                      <w:w w:val="108"/>
                      <w:position w:val="1"/>
                      <w:sz w:val="24"/>
                    </w:rPr>
                    <w:t>1</w:t>
                  </w:r>
                </w:p>
              </w:txbxContent>
            </v:textbox>
            <w10:wrap type="none"/>
          </v:shape>
        </w:pict>
      </w:r>
      <w:r>
        <w:rPr>
          <w:color w:val="00A94F"/>
        </w:rPr>
        <w:t>Overview of Chapter 9. Legal Preparedness for the Surveillance and Control of Foodborne Disease</w:t>
      </w:r>
      <w:r>
        <w:rPr>
          <w:color w:val="00A94F"/>
          <w:spacing w:val="67"/>
        </w:rPr>
        <w:t> </w:t>
      </w:r>
      <w:r>
        <w:rPr>
          <w:color w:val="00A94F"/>
        </w:rPr>
        <w:t>Outbreaks</w:t>
      </w:r>
    </w:p>
    <w:p>
      <w:pPr>
        <w:pStyle w:val="BodyText"/>
        <w:spacing w:before="5"/>
        <w:rPr>
          <w:rFonts w:ascii="Arial"/>
          <w:sz w:val="14"/>
        </w:rPr>
      </w:pPr>
    </w:p>
    <w:p>
      <w:pPr>
        <w:spacing w:after="0"/>
        <w:rPr>
          <w:rFonts w:ascii="Arial"/>
          <w:sz w:val="14"/>
        </w:rPr>
        <w:sectPr>
          <w:pgSz w:w="10080" w:h="14400"/>
          <w:pgMar w:header="0" w:footer="160" w:top="1160" w:bottom="360" w:left="0" w:right="0"/>
        </w:sectPr>
      </w:pPr>
    </w:p>
    <w:p>
      <w:pPr>
        <w:pStyle w:val="BodyText"/>
        <w:spacing w:line="266" w:lineRule="auto" w:before="107"/>
        <w:ind w:left="1440" w:right="104"/>
      </w:pPr>
      <w:r>
        <w:rPr>
          <w:color w:val="231F20"/>
          <w:w w:val="105"/>
        </w:rPr>
        <w:t>amended</w:t>
      </w:r>
      <w:r>
        <w:rPr>
          <w:color w:val="231F20"/>
          <w:spacing w:val="-8"/>
          <w:w w:val="105"/>
        </w:rPr>
        <w:t> </w:t>
      </w:r>
      <w:r>
        <w:rPr>
          <w:color w:val="231F20"/>
          <w:w w:val="105"/>
        </w:rPr>
        <w:t>the</w:t>
      </w:r>
      <w:r>
        <w:rPr>
          <w:color w:val="231F20"/>
          <w:spacing w:val="-8"/>
          <w:w w:val="105"/>
        </w:rPr>
        <w:t> </w:t>
      </w:r>
      <w:r>
        <w:rPr>
          <w:color w:val="231F20"/>
          <w:w w:val="105"/>
        </w:rPr>
        <w:t>FFDCA</w:t>
      </w:r>
      <w:r>
        <w:rPr>
          <w:color w:val="231F20"/>
          <w:spacing w:val="-8"/>
          <w:w w:val="105"/>
        </w:rPr>
        <w:t> </w:t>
      </w:r>
      <w:r>
        <w:rPr>
          <w:color w:val="231F20"/>
          <w:w w:val="105"/>
        </w:rPr>
        <w:t>to</w:t>
      </w:r>
      <w:r>
        <w:rPr>
          <w:color w:val="231F20"/>
          <w:spacing w:val="-8"/>
          <w:w w:val="105"/>
        </w:rPr>
        <w:t> </w:t>
      </w:r>
      <w:r>
        <w:rPr>
          <w:color w:val="231F20"/>
          <w:w w:val="105"/>
        </w:rPr>
        <w:t>enhance</w:t>
      </w:r>
      <w:r>
        <w:rPr>
          <w:color w:val="231F20"/>
          <w:spacing w:val="-8"/>
          <w:w w:val="105"/>
        </w:rPr>
        <w:t> </w:t>
      </w:r>
      <w:r>
        <w:rPr>
          <w:color w:val="231F20"/>
          <w:w w:val="105"/>
        </w:rPr>
        <w:t>the</w:t>
      </w:r>
      <w:r>
        <w:rPr>
          <w:color w:val="231F20"/>
          <w:spacing w:val="-8"/>
          <w:w w:val="105"/>
        </w:rPr>
        <w:t> </w:t>
      </w:r>
      <w:r>
        <w:rPr>
          <w:color w:val="231F20"/>
          <w:w w:val="105"/>
        </w:rPr>
        <w:t>federal government’s ability to prevent and respond to</w:t>
      </w:r>
      <w:r>
        <w:rPr>
          <w:color w:val="231F20"/>
          <w:spacing w:val="-13"/>
          <w:w w:val="105"/>
        </w:rPr>
        <w:t> </w:t>
      </w:r>
      <w:r>
        <w:rPr>
          <w:color w:val="231F20"/>
          <w:w w:val="105"/>
        </w:rPr>
        <w:t>contamination</w:t>
      </w:r>
      <w:r>
        <w:rPr>
          <w:color w:val="231F20"/>
          <w:spacing w:val="-13"/>
          <w:w w:val="105"/>
        </w:rPr>
        <w:t> </w:t>
      </w:r>
      <w:r>
        <w:rPr>
          <w:color w:val="231F20"/>
          <w:w w:val="105"/>
        </w:rPr>
        <w:t>in</w:t>
      </w:r>
      <w:r>
        <w:rPr>
          <w:color w:val="231F20"/>
          <w:spacing w:val="-13"/>
          <w:w w:val="105"/>
        </w:rPr>
        <w:t> </w:t>
      </w:r>
      <w:r>
        <w:rPr>
          <w:color w:val="231F20"/>
          <w:w w:val="105"/>
        </w:rPr>
        <w:t>the</w:t>
      </w:r>
      <w:r>
        <w:rPr>
          <w:color w:val="231F20"/>
          <w:spacing w:val="-13"/>
          <w:w w:val="105"/>
        </w:rPr>
        <w:t> </w:t>
      </w:r>
      <w:r>
        <w:rPr>
          <w:color w:val="231F20"/>
          <w:w w:val="105"/>
        </w:rPr>
        <w:t>food</w:t>
      </w:r>
      <w:r>
        <w:rPr>
          <w:color w:val="231F20"/>
          <w:spacing w:val="-13"/>
          <w:w w:val="105"/>
        </w:rPr>
        <w:t> </w:t>
      </w:r>
      <w:r>
        <w:rPr>
          <w:color w:val="231F20"/>
          <w:w w:val="105"/>
        </w:rPr>
        <w:t>supply</w:t>
      </w:r>
      <w:r>
        <w:rPr>
          <w:color w:val="231F20"/>
          <w:spacing w:val="-13"/>
          <w:w w:val="105"/>
        </w:rPr>
        <w:t> </w:t>
      </w:r>
      <w:r>
        <w:rPr>
          <w:color w:val="231F20"/>
          <w:w w:val="105"/>
        </w:rPr>
        <w:t>(9.3.2.2). FSMA addresses prevention, inspection, compliance, and response activities. It also </w:t>
      </w:r>
      <w:r>
        <w:rPr>
          <w:rFonts w:ascii="Times New Roman" w:hAnsi="Times New Roman"/>
          <w:color w:val="231F20"/>
          <w:w w:val="105"/>
        </w:rPr>
        <w:t>adds authorities to ensure that imported </w:t>
      </w:r>
      <w:r>
        <w:rPr>
          <w:color w:val="231F20"/>
          <w:w w:val="105"/>
        </w:rPr>
        <w:t>products</w:t>
      </w:r>
      <w:r>
        <w:rPr>
          <w:color w:val="231F20"/>
          <w:spacing w:val="-12"/>
          <w:w w:val="105"/>
        </w:rPr>
        <w:t> </w:t>
      </w:r>
      <w:r>
        <w:rPr>
          <w:color w:val="231F20"/>
          <w:w w:val="105"/>
        </w:rPr>
        <w:t>are</w:t>
      </w:r>
      <w:r>
        <w:rPr>
          <w:color w:val="231F20"/>
          <w:spacing w:val="-12"/>
          <w:w w:val="105"/>
        </w:rPr>
        <w:t> </w:t>
      </w:r>
      <w:r>
        <w:rPr>
          <w:color w:val="231F20"/>
          <w:w w:val="105"/>
        </w:rPr>
        <w:t>as</w:t>
      </w:r>
      <w:r>
        <w:rPr>
          <w:color w:val="231F20"/>
          <w:spacing w:val="-12"/>
          <w:w w:val="105"/>
        </w:rPr>
        <w:t> </w:t>
      </w:r>
      <w:r>
        <w:rPr>
          <w:color w:val="231F20"/>
          <w:w w:val="105"/>
        </w:rPr>
        <w:t>safe</w:t>
      </w:r>
      <w:r>
        <w:rPr>
          <w:color w:val="231F20"/>
          <w:spacing w:val="-12"/>
          <w:w w:val="105"/>
        </w:rPr>
        <w:t> </w:t>
      </w:r>
      <w:r>
        <w:rPr>
          <w:color w:val="231F20"/>
          <w:w w:val="105"/>
        </w:rPr>
        <w:t>as</w:t>
      </w:r>
      <w:r>
        <w:rPr>
          <w:color w:val="231F20"/>
          <w:spacing w:val="-12"/>
          <w:w w:val="105"/>
        </w:rPr>
        <w:t> </w:t>
      </w:r>
      <w:r>
        <w:rPr>
          <w:color w:val="231F20"/>
          <w:w w:val="105"/>
        </w:rPr>
        <w:t>domestically</w:t>
      </w:r>
      <w:r>
        <w:rPr>
          <w:color w:val="231F20"/>
          <w:spacing w:val="-12"/>
          <w:w w:val="105"/>
        </w:rPr>
        <w:t> </w:t>
      </w:r>
      <w:r>
        <w:rPr>
          <w:color w:val="231F20"/>
          <w:w w:val="105"/>
        </w:rPr>
        <w:t>produced food. USDA/FSIS operates under the authority of the </w:t>
      </w:r>
      <w:r>
        <w:rPr>
          <w:color w:val="231F20"/>
          <w:spacing w:val="-3"/>
          <w:w w:val="105"/>
        </w:rPr>
        <w:t>Federal </w:t>
      </w:r>
      <w:r>
        <w:rPr>
          <w:color w:val="231F20"/>
          <w:w w:val="105"/>
        </w:rPr>
        <w:t>Meat Inspection Act (FMIA),</w:t>
      </w:r>
      <w:r>
        <w:rPr>
          <w:color w:val="231F20"/>
          <w:spacing w:val="-21"/>
          <w:w w:val="105"/>
        </w:rPr>
        <w:t> </w:t>
      </w:r>
      <w:r>
        <w:rPr>
          <w:color w:val="231F20"/>
          <w:w w:val="105"/>
        </w:rPr>
        <w:t>the</w:t>
      </w:r>
      <w:r>
        <w:rPr>
          <w:color w:val="231F20"/>
          <w:spacing w:val="-21"/>
          <w:w w:val="105"/>
        </w:rPr>
        <w:t> </w:t>
      </w:r>
      <w:r>
        <w:rPr>
          <w:color w:val="231F20"/>
          <w:w w:val="105"/>
        </w:rPr>
        <w:t>Poultry</w:t>
      </w:r>
      <w:r>
        <w:rPr>
          <w:color w:val="231F20"/>
          <w:spacing w:val="-21"/>
          <w:w w:val="105"/>
        </w:rPr>
        <w:t> </w:t>
      </w:r>
      <w:r>
        <w:rPr>
          <w:color w:val="231F20"/>
          <w:w w:val="105"/>
        </w:rPr>
        <w:t>Products</w:t>
      </w:r>
      <w:r>
        <w:rPr>
          <w:color w:val="231F20"/>
          <w:spacing w:val="-21"/>
          <w:w w:val="105"/>
        </w:rPr>
        <w:t> </w:t>
      </w:r>
      <w:r>
        <w:rPr>
          <w:color w:val="231F20"/>
          <w:w w:val="105"/>
        </w:rPr>
        <w:t>Inspection</w:t>
      </w:r>
      <w:r>
        <w:rPr>
          <w:color w:val="231F20"/>
          <w:spacing w:val="-21"/>
          <w:w w:val="105"/>
        </w:rPr>
        <w:t> </w:t>
      </w:r>
      <w:r>
        <w:rPr>
          <w:color w:val="231F20"/>
          <w:w w:val="105"/>
        </w:rPr>
        <w:t>Act </w:t>
      </w:r>
      <w:r>
        <w:rPr>
          <w:rFonts w:ascii="Times New Roman" w:hAnsi="Times New Roman"/>
          <w:color w:val="231F20"/>
          <w:w w:val="105"/>
        </w:rPr>
        <w:t>(PPIA),</w:t>
      </w:r>
      <w:r>
        <w:rPr>
          <w:rFonts w:ascii="Times New Roman" w:hAnsi="Times New Roman"/>
          <w:color w:val="231F20"/>
          <w:spacing w:val="-31"/>
          <w:w w:val="105"/>
        </w:rPr>
        <w:t> </w:t>
      </w:r>
      <w:r>
        <w:rPr>
          <w:rFonts w:ascii="Times New Roman" w:hAnsi="Times New Roman"/>
          <w:color w:val="231F20"/>
          <w:w w:val="105"/>
        </w:rPr>
        <w:t>and</w:t>
      </w:r>
      <w:r>
        <w:rPr>
          <w:rFonts w:ascii="Times New Roman" w:hAnsi="Times New Roman"/>
          <w:color w:val="231F20"/>
          <w:spacing w:val="-31"/>
          <w:w w:val="105"/>
        </w:rPr>
        <w:t> </w:t>
      </w:r>
      <w:r>
        <w:rPr>
          <w:rFonts w:ascii="Times New Roman" w:hAnsi="Times New Roman"/>
          <w:color w:val="231F20"/>
          <w:w w:val="105"/>
        </w:rPr>
        <w:t>the</w:t>
      </w:r>
      <w:r>
        <w:rPr>
          <w:rFonts w:ascii="Times New Roman" w:hAnsi="Times New Roman"/>
          <w:color w:val="231F20"/>
          <w:spacing w:val="-31"/>
          <w:w w:val="105"/>
        </w:rPr>
        <w:t> </w:t>
      </w:r>
      <w:r>
        <w:rPr>
          <w:rFonts w:ascii="Times New Roman" w:hAnsi="Times New Roman"/>
          <w:color w:val="231F20"/>
          <w:w w:val="105"/>
        </w:rPr>
        <w:t>Egg</w:t>
      </w:r>
      <w:r>
        <w:rPr>
          <w:rFonts w:ascii="Times New Roman" w:hAnsi="Times New Roman"/>
          <w:color w:val="231F20"/>
          <w:spacing w:val="-30"/>
          <w:w w:val="105"/>
        </w:rPr>
        <w:t> </w:t>
      </w:r>
      <w:r>
        <w:rPr>
          <w:rFonts w:ascii="Times New Roman" w:hAnsi="Times New Roman"/>
          <w:color w:val="231F20"/>
          <w:w w:val="105"/>
        </w:rPr>
        <w:t>Products</w:t>
      </w:r>
      <w:r>
        <w:rPr>
          <w:rFonts w:ascii="Times New Roman" w:hAnsi="Times New Roman"/>
          <w:color w:val="231F20"/>
          <w:spacing w:val="-31"/>
          <w:w w:val="105"/>
        </w:rPr>
        <w:t> </w:t>
      </w:r>
      <w:r>
        <w:rPr>
          <w:rFonts w:ascii="Times New Roman" w:hAnsi="Times New Roman"/>
          <w:color w:val="231F20"/>
          <w:w w:val="105"/>
        </w:rPr>
        <w:t>Inspection</w:t>
      </w:r>
      <w:r>
        <w:rPr>
          <w:rFonts w:ascii="Times New Roman" w:hAnsi="Times New Roman"/>
          <w:color w:val="231F20"/>
          <w:spacing w:val="-31"/>
          <w:w w:val="105"/>
        </w:rPr>
        <w:t> </w:t>
      </w:r>
      <w:r>
        <w:rPr>
          <w:rFonts w:ascii="Times New Roman" w:hAnsi="Times New Roman"/>
          <w:color w:val="231F20"/>
          <w:w w:val="105"/>
        </w:rPr>
        <w:t>Act </w:t>
      </w:r>
      <w:r>
        <w:rPr>
          <w:color w:val="231F20"/>
        </w:rPr>
        <w:t>(EPIA)</w:t>
      </w:r>
      <w:r>
        <w:rPr>
          <w:color w:val="231F20"/>
          <w:spacing w:val="2"/>
        </w:rPr>
        <w:t> </w:t>
      </w:r>
      <w:r>
        <w:rPr>
          <w:color w:val="231F20"/>
        </w:rPr>
        <w:t>(9.3.2.3).</w:t>
      </w:r>
    </w:p>
    <w:p>
      <w:pPr>
        <w:pStyle w:val="BodyText"/>
        <w:spacing w:line="266" w:lineRule="auto" w:before="179"/>
        <w:ind w:left="1440" w:right="7"/>
      </w:pPr>
      <w:r>
        <w:rPr>
          <w:color w:val="231F20"/>
          <w:w w:val="105"/>
        </w:rPr>
        <w:t>In instances in which improper food </w:t>
      </w:r>
      <w:r>
        <w:rPr>
          <w:rFonts w:ascii="Times New Roman"/>
          <w:color w:val="231F20"/>
          <w:w w:val="105"/>
        </w:rPr>
        <w:t>preparation at the local level results in </w:t>
      </w:r>
      <w:r>
        <w:rPr>
          <w:color w:val="231F20"/>
          <w:w w:val="105"/>
        </w:rPr>
        <w:t>foodborne disease, the broad authority of </w:t>
      </w:r>
      <w:r>
        <w:rPr>
          <w:rFonts w:ascii="Times New Roman"/>
          <w:color w:val="231F20"/>
          <w:w w:val="105"/>
        </w:rPr>
        <w:t>public health agencies to control epidemics </w:t>
      </w:r>
      <w:r>
        <w:rPr>
          <w:color w:val="231F20"/>
          <w:w w:val="105"/>
        </w:rPr>
        <w:t>and</w:t>
      </w:r>
      <w:r>
        <w:rPr>
          <w:color w:val="231F20"/>
          <w:spacing w:val="-9"/>
          <w:w w:val="105"/>
        </w:rPr>
        <w:t> </w:t>
      </w:r>
      <w:r>
        <w:rPr>
          <w:color w:val="231F20"/>
          <w:w w:val="105"/>
        </w:rPr>
        <w:t>end</w:t>
      </w:r>
      <w:r>
        <w:rPr>
          <w:color w:val="231F20"/>
          <w:spacing w:val="-9"/>
          <w:w w:val="105"/>
        </w:rPr>
        <w:t> </w:t>
      </w:r>
      <w:r>
        <w:rPr>
          <w:color w:val="231F20"/>
          <w:w w:val="105"/>
        </w:rPr>
        <w:t>nuisances,</w:t>
      </w:r>
      <w:r>
        <w:rPr>
          <w:color w:val="231F20"/>
          <w:spacing w:val="-9"/>
          <w:w w:val="105"/>
        </w:rPr>
        <w:t> </w:t>
      </w:r>
      <w:r>
        <w:rPr>
          <w:color w:val="231F20"/>
          <w:w w:val="105"/>
        </w:rPr>
        <w:t>as</w:t>
      </w:r>
      <w:r>
        <w:rPr>
          <w:color w:val="231F20"/>
          <w:spacing w:val="-9"/>
          <w:w w:val="105"/>
        </w:rPr>
        <w:t> </w:t>
      </w:r>
      <w:r>
        <w:rPr>
          <w:color w:val="231F20"/>
          <w:w w:val="105"/>
        </w:rPr>
        <w:t>well</w:t>
      </w:r>
      <w:r>
        <w:rPr>
          <w:color w:val="231F20"/>
          <w:spacing w:val="-9"/>
          <w:w w:val="105"/>
        </w:rPr>
        <w:t> </w:t>
      </w:r>
      <w:r>
        <w:rPr>
          <w:color w:val="231F20"/>
          <w:w w:val="105"/>
        </w:rPr>
        <w:t>as</w:t>
      </w:r>
      <w:r>
        <w:rPr>
          <w:color w:val="231F20"/>
          <w:spacing w:val="-9"/>
          <w:w w:val="105"/>
        </w:rPr>
        <w:t> </w:t>
      </w:r>
      <w:r>
        <w:rPr>
          <w:color w:val="231F20"/>
          <w:w w:val="105"/>
        </w:rPr>
        <w:t>specific</w:t>
      </w:r>
      <w:r>
        <w:rPr>
          <w:color w:val="231F20"/>
          <w:spacing w:val="-9"/>
          <w:w w:val="105"/>
        </w:rPr>
        <w:t> </w:t>
      </w:r>
      <w:r>
        <w:rPr>
          <w:color w:val="231F20"/>
          <w:w w:val="105"/>
        </w:rPr>
        <w:t>authority they </w:t>
      </w:r>
      <w:r>
        <w:rPr>
          <w:color w:val="231F20"/>
          <w:spacing w:val="-3"/>
          <w:w w:val="105"/>
        </w:rPr>
        <w:t>have </w:t>
      </w:r>
      <w:r>
        <w:rPr>
          <w:color w:val="231F20"/>
          <w:w w:val="105"/>
        </w:rPr>
        <w:t>to inspect restaurants and ensure proper</w:t>
      </w:r>
      <w:r>
        <w:rPr>
          <w:color w:val="231F20"/>
          <w:spacing w:val="-23"/>
          <w:w w:val="105"/>
        </w:rPr>
        <w:t> </w:t>
      </w:r>
      <w:r>
        <w:rPr>
          <w:color w:val="231F20"/>
          <w:w w:val="105"/>
        </w:rPr>
        <w:t>food</w:t>
      </w:r>
      <w:r>
        <w:rPr>
          <w:color w:val="231F20"/>
          <w:spacing w:val="-23"/>
          <w:w w:val="105"/>
        </w:rPr>
        <w:t> </w:t>
      </w:r>
      <w:r>
        <w:rPr>
          <w:color w:val="231F20"/>
          <w:spacing w:val="-4"/>
          <w:w w:val="105"/>
        </w:rPr>
        <w:t>safety,</w:t>
      </w:r>
      <w:r>
        <w:rPr>
          <w:color w:val="231F20"/>
          <w:spacing w:val="-23"/>
          <w:w w:val="105"/>
        </w:rPr>
        <w:t> </w:t>
      </w:r>
      <w:r>
        <w:rPr>
          <w:color w:val="231F20"/>
          <w:w w:val="105"/>
        </w:rPr>
        <w:t>is</w:t>
      </w:r>
      <w:r>
        <w:rPr>
          <w:color w:val="231F20"/>
          <w:spacing w:val="-23"/>
          <w:w w:val="105"/>
        </w:rPr>
        <w:t> </w:t>
      </w:r>
      <w:r>
        <w:rPr>
          <w:color w:val="231F20"/>
          <w:w w:val="105"/>
        </w:rPr>
        <w:t>used</w:t>
      </w:r>
      <w:r>
        <w:rPr>
          <w:color w:val="231F20"/>
          <w:spacing w:val="-23"/>
          <w:w w:val="105"/>
        </w:rPr>
        <w:t> </w:t>
      </w:r>
      <w:r>
        <w:rPr>
          <w:color w:val="231F20"/>
          <w:w w:val="105"/>
        </w:rPr>
        <w:t>to</w:t>
      </w:r>
      <w:r>
        <w:rPr>
          <w:color w:val="231F20"/>
          <w:spacing w:val="-23"/>
          <w:w w:val="105"/>
        </w:rPr>
        <w:t> </w:t>
      </w:r>
      <w:r>
        <w:rPr>
          <w:color w:val="231F20"/>
          <w:w w:val="105"/>
        </w:rPr>
        <w:t>close</w:t>
      </w:r>
      <w:r>
        <w:rPr>
          <w:color w:val="231F20"/>
          <w:spacing w:val="-23"/>
          <w:w w:val="105"/>
        </w:rPr>
        <w:t> </w:t>
      </w:r>
      <w:r>
        <w:rPr>
          <w:color w:val="231F20"/>
          <w:w w:val="105"/>
        </w:rPr>
        <w:t>food-service establishments; </w:t>
      </w:r>
      <w:r>
        <w:rPr>
          <w:color w:val="231F20"/>
          <w:spacing w:val="-2"/>
          <w:w w:val="105"/>
        </w:rPr>
        <w:t>remove </w:t>
      </w:r>
      <w:r>
        <w:rPr>
          <w:color w:val="231F20"/>
          <w:w w:val="105"/>
        </w:rPr>
        <w:t>contaminated food from</w:t>
      </w:r>
      <w:r>
        <w:rPr>
          <w:color w:val="231F20"/>
          <w:spacing w:val="-20"/>
          <w:w w:val="105"/>
        </w:rPr>
        <w:t> </w:t>
      </w:r>
      <w:r>
        <w:rPr>
          <w:color w:val="231F20"/>
          <w:w w:val="105"/>
        </w:rPr>
        <w:t>possible</w:t>
      </w:r>
      <w:r>
        <w:rPr>
          <w:color w:val="231F20"/>
          <w:spacing w:val="-20"/>
          <w:w w:val="105"/>
        </w:rPr>
        <w:t> </w:t>
      </w:r>
      <w:r>
        <w:rPr>
          <w:color w:val="231F20"/>
          <w:w w:val="105"/>
        </w:rPr>
        <w:t>consumption;</w:t>
      </w:r>
      <w:r>
        <w:rPr>
          <w:color w:val="231F20"/>
          <w:spacing w:val="-20"/>
          <w:w w:val="105"/>
        </w:rPr>
        <w:t> </w:t>
      </w:r>
      <w:r>
        <w:rPr>
          <w:color w:val="231F20"/>
          <w:w w:val="105"/>
        </w:rPr>
        <w:t>require</w:t>
      </w:r>
      <w:r>
        <w:rPr>
          <w:color w:val="231F20"/>
          <w:spacing w:val="-20"/>
          <w:w w:val="105"/>
        </w:rPr>
        <w:t> </w:t>
      </w:r>
      <w:r>
        <w:rPr>
          <w:color w:val="231F20"/>
          <w:w w:val="105"/>
        </w:rPr>
        <w:t>changes</w:t>
      </w:r>
      <w:r>
        <w:rPr>
          <w:color w:val="231F20"/>
          <w:spacing w:val="-19"/>
          <w:w w:val="105"/>
        </w:rPr>
        <w:t> </w:t>
      </w:r>
      <w:r>
        <w:rPr>
          <w:color w:val="231F20"/>
          <w:w w:val="105"/>
        </w:rPr>
        <w:t>in</w:t>
      </w:r>
      <w:r>
        <w:rPr>
          <w:color w:val="231F20"/>
        </w:rPr>
        <w:t> </w:t>
      </w:r>
      <w:r>
        <w:rPr>
          <w:color w:val="231F20"/>
          <w:w w:val="105"/>
        </w:rPr>
        <w:t>food preparation; and temporarily </w:t>
      </w:r>
      <w:r>
        <w:rPr>
          <w:color w:val="231F20"/>
          <w:spacing w:val="-3"/>
          <w:w w:val="105"/>
        </w:rPr>
        <w:t>remove </w:t>
      </w:r>
      <w:r>
        <w:rPr>
          <w:color w:val="231F20"/>
          <w:w w:val="105"/>
        </w:rPr>
        <w:t>infectious persons from the workplace. These actions are taken through agency authority granted </w:t>
      </w:r>
      <w:r>
        <w:rPr>
          <w:color w:val="231F20"/>
          <w:spacing w:val="-3"/>
          <w:w w:val="105"/>
        </w:rPr>
        <w:t>by </w:t>
      </w:r>
      <w:r>
        <w:rPr>
          <w:color w:val="231F20"/>
          <w:w w:val="105"/>
        </w:rPr>
        <w:t>rule or through administrative orders. If </w:t>
      </w:r>
      <w:r>
        <w:rPr>
          <w:color w:val="231F20"/>
          <w:spacing w:val="-3"/>
          <w:w w:val="105"/>
        </w:rPr>
        <w:t>necessary, </w:t>
      </w:r>
      <w:r>
        <w:rPr>
          <w:color w:val="231F20"/>
          <w:w w:val="105"/>
        </w:rPr>
        <w:t>agencies may seek enforcement</w:t>
      </w:r>
      <w:r>
        <w:rPr>
          <w:color w:val="231F20"/>
          <w:spacing w:val="-22"/>
          <w:w w:val="105"/>
        </w:rPr>
        <w:t> </w:t>
      </w:r>
      <w:r>
        <w:rPr>
          <w:color w:val="231F20"/>
          <w:w w:val="105"/>
        </w:rPr>
        <w:t>through</w:t>
      </w:r>
      <w:r>
        <w:rPr>
          <w:color w:val="231F20"/>
          <w:spacing w:val="-22"/>
          <w:w w:val="105"/>
        </w:rPr>
        <w:t> </w:t>
      </w:r>
      <w:r>
        <w:rPr>
          <w:color w:val="231F20"/>
          <w:w w:val="105"/>
        </w:rPr>
        <w:t>court</w:t>
      </w:r>
      <w:r>
        <w:rPr>
          <w:color w:val="231F20"/>
          <w:spacing w:val="-22"/>
          <w:w w:val="105"/>
        </w:rPr>
        <w:t> </w:t>
      </w:r>
      <w:r>
        <w:rPr>
          <w:color w:val="231F20"/>
          <w:w w:val="105"/>
        </w:rPr>
        <w:t>orders</w:t>
      </w:r>
      <w:r>
        <w:rPr>
          <w:color w:val="231F20"/>
          <w:spacing w:val="-22"/>
          <w:w w:val="105"/>
        </w:rPr>
        <w:t> </w:t>
      </w:r>
      <w:r>
        <w:rPr>
          <w:color w:val="231F20"/>
          <w:w w:val="105"/>
        </w:rPr>
        <w:t>(9.3.3).</w:t>
      </w:r>
    </w:p>
    <w:p>
      <w:pPr>
        <w:pStyle w:val="BodyText"/>
        <w:spacing w:line="266" w:lineRule="auto" w:before="179"/>
        <w:ind w:left="1440" w:right="215"/>
        <w:jc w:val="both"/>
      </w:pPr>
      <w:r>
        <w:rPr>
          <w:color w:val="231F20"/>
        </w:rPr>
        <w:t>Public Health Investigations as the Basis for Regulatory Actions or Criminal Prosecution (Section 9.4)</w:t>
      </w:r>
    </w:p>
    <w:p>
      <w:pPr>
        <w:pStyle w:val="BodyText"/>
        <w:spacing w:line="268" w:lineRule="auto" w:before="165"/>
        <w:ind w:left="1440" w:right="-11"/>
      </w:pPr>
      <w:r>
        <w:rPr>
          <w:rFonts w:ascii="Times New Roman"/>
          <w:color w:val="231F20"/>
          <w:w w:val="105"/>
        </w:rPr>
        <w:t>Because</w:t>
      </w:r>
      <w:r>
        <w:rPr>
          <w:rFonts w:ascii="Times New Roman"/>
          <w:color w:val="231F20"/>
          <w:spacing w:val="-31"/>
          <w:w w:val="105"/>
        </w:rPr>
        <w:t> </w:t>
      </w:r>
      <w:r>
        <w:rPr>
          <w:rFonts w:ascii="Times New Roman"/>
          <w:color w:val="231F20"/>
          <w:w w:val="105"/>
        </w:rPr>
        <w:t>of</w:t>
      </w:r>
      <w:r>
        <w:rPr>
          <w:rFonts w:ascii="Times New Roman"/>
          <w:color w:val="231F20"/>
          <w:spacing w:val="-17"/>
          <w:w w:val="105"/>
        </w:rPr>
        <w:t> </w:t>
      </w:r>
      <w:r>
        <w:rPr>
          <w:rFonts w:ascii="Times New Roman"/>
          <w:color w:val="231F20"/>
          <w:w w:val="105"/>
        </w:rPr>
        <w:t>the</w:t>
      </w:r>
      <w:r>
        <w:rPr>
          <w:rFonts w:ascii="Times New Roman"/>
          <w:color w:val="231F20"/>
          <w:spacing w:val="-31"/>
          <w:w w:val="105"/>
        </w:rPr>
        <w:t> </w:t>
      </w:r>
      <w:r>
        <w:rPr>
          <w:rFonts w:ascii="Times New Roman"/>
          <w:color w:val="231F20"/>
          <w:w w:val="105"/>
        </w:rPr>
        <w:t>need</w:t>
      </w:r>
      <w:r>
        <w:rPr>
          <w:rFonts w:ascii="Times New Roman"/>
          <w:color w:val="231F20"/>
          <w:spacing w:val="-30"/>
          <w:w w:val="105"/>
        </w:rPr>
        <w:t> </w:t>
      </w:r>
      <w:r>
        <w:rPr>
          <w:rFonts w:ascii="Times New Roman"/>
          <w:color w:val="231F20"/>
          <w:w w:val="105"/>
        </w:rPr>
        <w:t>to</w:t>
      </w:r>
      <w:r>
        <w:rPr>
          <w:rFonts w:ascii="Times New Roman"/>
          <w:color w:val="231F20"/>
          <w:spacing w:val="-31"/>
          <w:w w:val="105"/>
        </w:rPr>
        <w:t> </w:t>
      </w:r>
      <w:r>
        <w:rPr>
          <w:rFonts w:ascii="Times New Roman"/>
          <w:color w:val="231F20"/>
          <w:w w:val="105"/>
        </w:rPr>
        <w:t>link</w:t>
      </w:r>
      <w:r>
        <w:rPr>
          <w:rFonts w:ascii="Times New Roman"/>
          <w:color w:val="231F20"/>
          <w:spacing w:val="-31"/>
          <w:w w:val="105"/>
        </w:rPr>
        <w:t> </w:t>
      </w:r>
      <w:r>
        <w:rPr>
          <w:rFonts w:ascii="Times New Roman"/>
          <w:color w:val="231F20"/>
          <w:w w:val="105"/>
        </w:rPr>
        <w:t>epidemiologic</w:t>
      </w:r>
      <w:r>
        <w:rPr>
          <w:rFonts w:ascii="Times New Roman"/>
          <w:color w:val="231F20"/>
          <w:spacing w:val="-30"/>
          <w:w w:val="105"/>
        </w:rPr>
        <w:t> </w:t>
      </w:r>
      <w:r>
        <w:rPr>
          <w:rFonts w:ascii="Times New Roman"/>
          <w:color w:val="231F20"/>
          <w:w w:val="105"/>
        </w:rPr>
        <w:t>data </w:t>
      </w:r>
      <w:r>
        <w:rPr>
          <w:color w:val="231F20"/>
          <w:w w:val="105"/>
        </w:rPr>
        <w:t>with product information to take regulatory action </w:t>
      </w:r>
      <w:r>
        <w:rPr>
          <w:color w:val="231F20"/>
          <w:spacing w:val="-4"/>
          <w:w w:val="105"/>
        </w:rPr>
        <w:t>(e.g., </w:t>
      </w:r>
      <w:r>
        <w:rPr>
          <w:color w:val="231F20"/>
          <w:w w:val="105"/>
        </w:rPr>
        <w:t>product recall), the roles of state and local public health agencies and CDC must be coordinated with the roles of federal regulatory agencies</w:t>
      </w:r>
      <w:r>
        <w:rPr>
          <w:color w:val="231F20"/>
          <w:spacing w:val="-16"/>
          <w:w w:val="105"/>
        </w:rPr>
        <w:t> </w:t>
      </w:r>
      <w:r>
        <w:rPr>
          <w:color w:val="231F20"/>
          <w:w w:val="105"/>
        </w:rPr>
        <w:t>(9.4.1)</w:t>
      </w:r>
    </w:p>
    <w:p>
      <w:pPr>
        <w:pStyle w:val="BodyText"/>
        <w:spacing w:line="276" w:lineRule="auto" w:before="163"/>
        <w:ind w:left="1440" w:right="3"/>
      </w:pPr>
      <w:r>
        <w:rPr>
          <w:rFonts w:ascii="Times New Roman"/>
          <w:color w:val="231F20"/>
          <w:w w:val="105"/>
        </w:rPr>
        <w:t>In the event of a possible criminal act, joint </w:t>
      </w:r>
      <w:r>
        <w:rPr>
          <w:color w:val="231F20"/>
          <w:w w:val="105"/>
        </w:rPr>
        <w:t>investigation by regulatory and nonregulatory</w:t>
      </w:r>
    </w:p>
    <w:p>
      <w:pPr>
        <w:pStyle w:val="BodyText"/>
        <w:spacing w:line="266" w:lineRule="auto" w:before="107"/>
        <w:ind w:left="355" w:right="853"/>
      </w:pPr>
      <w:r>
        <w:rPr/>
        <w:br w:type="column"/>
      </w:r>
      <w:r>
        <w:rPr>
          <w:color w:val="231F20"/>
          <w:w w:val="105"/>
        </w:rPr>
        <w:t>public health and law enforcement agencies may be hindered </w:t>
      </w:r>
      <w:r>
        <w:rPr>
          <w:color w:val="231F20"/>
          <w:spacing w:val="-3"/>
          <w:w w:val="105"/>
        </w:rPr>
        <w:t>by </w:t>
      </w:r>
      <w:r>
        <w:rPr>
          <w:color w:val="231F20"/>
          <w:w w:val="105"/>
        </w:rPr>
        <w:t>the different legal powers and investigatory practices of each </w:t>
      </w:r>
      <w:r>
        <w:rPr>
          <w:color w:val="231F20"/>
          <w:spacing w:val="-4"/>
          <w:w w:val="105"/>
        </w:rPr>
        <w:t>agency. </w:t>
      </w:r>
      <w:r>
        <w:rPr>
          <w:color w:val="231F20"/>
          <w:w w:val="105"/>
        </w:rPr>
        <w:t>State and local public health officials, in collaboration with counterparts in law enforcement agencies, should periodically </w:t>
      </w:r>
      <w:r>
        <w:rPr>
          <w:rFonts w:ascii="Times New Roman"/>
          <w:color w:val="231F20"/>
          <w:w w:val="105"/>
        </w:rPr>
        <w:t>assess the need for memoranda of </w:t>
      </w:r>
      <w:r>
        <w:rPr>
          <w:color w:val="231F20"/>
          <w:w w:val="105"/>
        </w:rPr>
        <w:t>understanding to clarify the roles of public health and law enforcement agencies in conducting joint investigations. Regulatory and nonregulatory public health and law enforcement officials all must conform to </w:t>
      </w:r>
      <w:r>
        <w:rPr>
          <w:rFonts w:ascii="Times New Roman"/>
          <w:color w:val="231F20"/>
          <w:w w:val="105"/>
        </w:rPr>
        <w:t>constitutional standards about collection of </w:t>
      </w:r>
      <w:r>
        <w:rPr>
          <w:color w:val="231F20"/>
          <w:w w:val="105"/>
        </w:rPr>
        <w:t>evidence</w:t>
      </w:r>
      <w:r>
        <w:rPr>
          <w:color w:val="231F20"/>
          <w:spacing w:val="-16"/>
          <w:w w:val="105"/>
        </w:rPr>
        <w:t> </w:t>
      </w:r>
      <w:r>
        <w:rPr>
          <w:color w:val="231F20"/>
          <w:w w:val="105"/>
        </w:rPr>
        <w:t>such</w:t>
      </w:r>
      <w:r>
        <w:rPr>
          <w:color w:val="231F20"/>
          <w:spacing w:val="-16"/>
          <w:w w:val="105"/>
        </w:rPr>
        <w:t> </w:t>
      </w:r>
      <w:r>
        <w:rPr>
          <w:color w:val="231F20"/>
          <w:w w:val="105"/>
        </w:rPr>
        <w:t>as</w:t>
      </w:r>
      <w:r>
        <w:rPr>
          <w:color w:val="231F20"/>
          <w:spacing w:val="-16"/>
          <w:w w:val="105"/>
        </w:rPr>
        <w:t> </w:t>
      </w:r>
      <w:r>
        <w:rPr>
          <w:color w:val="231F20"/>
          <w:w w:val="105"/>
        </w:rPr>
        <w:t>chain</w:t>
      </w:r>
      <w:r>
        <w:rPr>
          <w:color w:val="231F20"/>
          <w:spacing w:val="-16"/>
          <w:w w:val="105"/>
        </w:rPr>
        <w:t> </w:t>
      </w:r>
      <w:r>
        <w:rPr>
          <w:color w:val="231F20"/>
          <w:w w:val="105"/>
        </w:rPr>
        <w:t>of</w:t>
      </w:r>
      <w:r>
        <w:rPr>
          <w:color w:val="231F20"/>
          <w:spacing w:val="5"/>
          <w:w w:val="105"/>
        </w:rPr>
        <w:t> </w:t>
      </w:r>
      <w:r>
        <w:rPr>
          <w:color w:val="231F20"/>
          <w:w w:val="105"/>
        </w:rPr>
        <w:t>custody</w:t>
      </w:r>
      <w:r>
        <w:rPr>
          <w:color w:val="231F20"/>
          <w:spacing w:val="-16"/>
          <w:w w:val="105"/>
        </w:rPr>
        <w:t> </w:t>
      </w:r>
      <w:r>
        <w:rPr>
          <w:color w:val="231F20"/>
          <w:w w:val="105"/>
        </w:rPr>
        <w:t>procedures (9.4.2).</w:t>
      </w:r>
    </w:p>
    <w:p>
      <w:pPr>
        <w:pStyle w:val="BodyText"/>
        <w:spacing w:line="261" w:lineRule="auto" w:before="164"/>
        <w:ind w:left="355" w:right="1111"/>
        <w:rPr>
          <w:rFonts w:ascii="Arial"/>
        </w:rPr>
      </w:pPr>
      <w:r>
        <w:rPr>
          <w:rFonts w:ascii="Arial"/>
          <w:color w:val="1C3E94"/>
        </w:rPr>
        <w:t>CIFOR</w:t>
      </w:r>
      <w:r>
        <w:rPr>
          <w:rFonts w:ascii="Arial"/>
          <w:color w:val="1C3E94"/>
          <w:spacing w:val="-37"/>
        </w:rPr>
        <w:t> </w:t>
      </w:r>
      <w:r>
        <w:rPr>
          <w:rFonts w:ascii="Arial"/>
          <w:color w:val="1C3E94"/>
        </w:rPr>
        <w:t>Legal</w:t>
      </w:r>
      <w:r>
        <w:rPr>
          <w:rFonts w:ascii="Arial"/>
          <w:color w:val="1C3E94"/>
          <w:spacing w:val="-37"/>
        </w:rPr>
        <w:t> </w:t>
      </w:r>
      <w:r>
        <w:rPr>
          <w:rFonts w:ascii="Arial"/>
          <w:color w:val="1C3E94"/>
        </w:rPr>
        <w:t>Preparedness</w:t>
      </w:r>
      <w:r>
        <w:rPr>
          <w:rFonts w:ascii="Arial"/>
          <w:color w:val="1C3E94"/>
          <w:spacing w:val="-37"/>
        </w:rPr>
        <w:t> </w:t>
      </w:r>
      <w:r>
        <w:rPr>
          <w:rFonts w:ascii="Arial"/>
          <w:color w:val="1C3E94"/>
        </w:rPr>
        <w:t>Resources</w:t>
      </w:r>
      <w:r>
        <w:rPr>
          <w:rFonts w:ascii="Arial"/>
          <w:color w:val="1C3E94"/>
          <w:w w:val="94"/>
        </w:rPr>
        <w:t> </w:t>
      </w:r>
      <w:r>
        <w:rPr>
          <w:rFonts w:ascii="Arial"/>
          <w:color w:val="1C3E94"/>
        </w:rPr>
        <w:t>(Section</w:t>
      </w:r>
      <w:r>
        <w:rPr>
          <w:rFonts w:ascii="Arial"/>
          <w:color w:val="1C3E94"/>
          <w:spacing w:val="-22"/>
        </w:rPr>
        <w:t> </w:t>
      </w:r>
      <w:r>
        <w:rPr>
          <w:rFonts w:ascii="Arial"/>
          <w:color w:val="1C3E94"/>
        </w:rPr>
        <w:t>9.5)</w:t>
      </w:r>
    </w:p>
    <w:p>
      <w:pPr>
        <w:pStyle w:val="BodyText"/>
        <w:spacing w:line="256" w:lineRule="auto" w:before="194"/>
        <w:ind w:left="355" w:right="731"/>
        <w:rPr>
          <w:rFonts w:ascii="Times New Roman"/>
        </w:rPr>
      </w:pPr>
      <w:r>
        <w:rPr>
          <w:color w:val="231F20"/>
        </w:rPr>
        <w:t>CIFOR  has  created  several  resource </w:t>
      </w:r>
      <w:r>
        <w:rPr>
          <w:rFonts w:ascii="Times New Roman"/>
          <w:color w:val="231F20"/>
        </w:rPr>
        <w:t>documents to help state and local public health agencies improve their legal preparedness</w:t>
      </w:r>
    </w:p>
    <w:p>
      <w:pPr>
        <w:pStyle w:val="BodyText"/>
        <w:spacing w:line="261" w:lineRule="auto" w:before="4"/>
        <w:ind w:left="355" w:right="1028"/>
        <w:rPr>
          <w:rFonts w:ascii="Times New Roman"/>
        </w:rPr>
      </w:pPr>
      <w:r>
        <w:rPr>
          <w:rFonts w:ascii="Times New Roman"/>
          <w:color w:val="231F20"/>
        </w:rPr>
        <w:t>to conduct surveillance for foodborne </w:t>
      </w:r>
      <w:r>
        <w:rPr>
          <w:color w:val="231F20"/>
        </w:rPr>
        <w:t>diseases and respond to outbreaks within </w:t>
      </w:r>
      <w:r>
        <w:rPr>
          <w:rFonts w:ascii="Times New Roman"/>
          <w:color w:val="231F20"/>
        </w:rPr>
        <w:t>their jurisdictions and across jurisdictional boundaries, including</w:t>
      </w:r>
    </w:p>
    <w:p>
      <w:pPr>
        <w:pStyle w:val="ListParagraph"/>
        <w:numPr>
          <w:ilvl w:val="0"/>
          <w:numId w:val="2"/>
        </w:numPr>
        <w:tabs>
          <w:tab w:pos="527" w:val="left" w:leader="none"/>
        </w:tabs>
        <w:spacing w:line="266" w:lineRule="auto" w:before="194" w:after="0"/>
        <w:ind w:left="526" w:right="785" w:hanging="171"/>
        <w:jc w:val="left"/>
        <w:rPr>
          <w:sz w:val="20"/>
        </w:rPr>
      </w:pPr>
      <w:r>
        <w:rPr>
          <w:color w:val="231F20"/>
          <w:w w:val="105"/>
          <w:sz w:val="20"/>
        </w:rPr>
        <w:t>Analysis of State Legal Authorities for Foodborne</w:t>
      </w:r>
      <w:r>
        <w:rPr>
          <w:color w:val="231F20"/>
          <w:spacing w:val="-23"/>
          <w:w w:val="105"/>
          <w:sz w:val="20"/>
        </w:rPr>
        <w:t> </w:t>
      </w:r>
      <w:r>
        <w:rPr>
          <w:color w:val="231F20"/>
          <w:w w:val="105"/>
          <w:sz w:val="20"/>
        </w:rPr>
        <w:t>Disease</w:t>
      </w:r>
      <w:r>
        <w:rPr>
          <w:color w:val="231F20"/>
          <w:spacing w:val="-23"/>
          <w:w w:val="105"/>
          <w:sz w:val="20"/>
        </w:rPr>
        <w:t> </w:t>
      </w:r>
      <w:r>
        <w:rPr>
          <w:color w:val="231F20"/>
          <w:w w:val="105"/>
          <w:sz w:val="20"/>
        </w:rPr>
        <w:t>Detection</w:t>
      </w:r>
      <w:r>
        <w:rPr>
          <w:color w:val="231F20"/>
          <w:spacing w:val="-23"/>
          <w:w w:val="105"/>
          <w:sz w:val="20"/>
        </w:rPr>
        <w:t> </w:t>
      </w:r>
      <w:r>
        <w:rPr>
          <w:color w:val="231F20"/>
          <w:w w:val="105"/>
          <w:sz w:val="20"/>
        </w:rPr>
        <w:t>and</w:t>
      </w:r>
      <w:r>
        <w:rPr>
          <w:color w:val="231F20"/>
          <w:spacing w:val="-23"/>
          <w:w w:val="105"/>
          <w:sz w:val="20"/>
        </w:rPr>
        <w:t> </w:t>
      </w:r>
      <w:r>
        <w:rPr>
          <w:color w:val="231F20"/>
          <w:w w:val="105"/>
          <w:sz w:val="20"/>
        </w:rPr>
        <w:t>Outbreak Response.</w:t>
      </w:r>
    </w:p>
    <w:p>
      <w:pPr>
        <w:pStyle w:val="ListParagraph"/>
        <w:numPr>
          <w:ilvl w:val="0"/>
          <w:numId w:val="2"/>
        </w:numPr>
        <w:tabs>
          <w:tab w:pos="527" w:val="left" w:leader="none"/>
        </w:tabs>
        <w:spacing w:line="266" w:lineRule="auto" w:before="89" w:after="0"/>
        <w:ind w:left="526" w:right="753" w:hanging="171"/>
        <w:jc w:val="left"/>
        <w:rPr>
          <w:sz w:val="20"/>
        </w:rPr>
      </w:pPr>
      <w:r>
        <w:rPr>
          <w:color w:val="231F20"/>
          <w:w w:val="105"/>
          <w:sz w:val="20"/>
        </w:rPr>
        <w:t>Practitioners’ Handbook on Legal Authorities</w:t>
      </w:r>
      <w:r>
        <w:rPr>
          <w:color w:val="231F20"/>
          <w:spacing w:val="-36"/>
          <w:w w:val="105"/>
          <w:sz w:val="20"/>
        </w:rPr>
        <w:t> </w:t>
      </w:r>
      <w:r>
        <w:rPr>
          <w:color w:val="231F20"/>
          <w:w w:val="105"/>
          <w:sz w:val="20"/>
        </w:rPr>
        <w:t>for</w:t>
      </w:r>
      <w:r>
        <w:rPr>
          <w:color w:val="231F20"/>
          <w:spacing w:val="-36"/>
          <w:w w:val="105"/>
          <w:sz w:val="20"/>
        </w:rPr>
        <w:t> </w:t>
      </w:r>
      <w:r>
        <w:rPr>
          <w:color w:val="231F20"/>
          <w:w w:val="105"/>
          <w:sz w:val="20"/>
        </w:rPr>
        <w:t>Foodborne</w:t>
      </w:r>
      <w:r>
        <w:rPr>
          <w:color w:val="231F20"/>
          <w:spacing w:val="-36"/>
          <w:w w:val="105"/>
          <w:sz w:val="20"/>
        </w:rPr>
        <w:t> </w:t>
      </w:r>
      <w:r>
        <w:rPr>
          <w:color w:val="231F20"/>
          <w:w w:val="105"/>
          <w:sz w:val="20"/>
        </w:rPr>
        <w:t>Disease</w:t>
      </w:r>
      <w:r>
        <w:rPr>
          <w:color w:val="231F20"/>
          <w:spacing w:val="-36"/>
          <w:w w:val="105"/>
          <w:sz w:val="20"/>
        </w:rPr>
        <w:t> </w:t>
      </w:r>
      <w:r>
        <w:rPr>
          <w:color w:val="231F20"/>
          <w:w w:val="105"/>
          <w:sz w:val="20"/>
        </w:rPr>
        <w:t>Detection</w:t>
      </w:r>
      <w:r>
        <w:rPr>
          <w:color w:val="231F20"/>
          <w:w w:val="101"/>
          <w:sz w:val="20"/>
        </w:rPr>
        <w:t> </w:t>
      </w:r>
      <w:r>
        <w:rPr>
          <w:color w:val="231F20"/>
          <w:w w:val="105"/>
          <w:sz w:val="20"/>
        </w:rPr>
        <w:t>and Outbreak</w:t>
      </w:r>
      <w:r>
        <w:rPr>
          <w:color w:val="231F20"/>
          <w:spacing w:val="-29"/>
          <w:w w:val="105"/>
          <w:sz w:val="20"/>
        </w:rPr>
        <w:t> </w:t>
      </w:r>
      <w:r>
        <w:rPr>
          <w:color w:val="231F20"/>
          <w:w w:val="105"/>
          <w:sz w:val="20"/>
        </w:rPr>
        <w:t>Response.</w:t>
      </w:r>
    </w:p>
    <w:p>
      <w:pPr>
        <w:pStyle w:val="ListParagraph"/>
        <w:numPr>
          <w:ilvl w:val="0"/>
          <w:numId w:val="2"/>
        </w:numPr>
        <w:tabs>
          <w:tab w:pos="527" w:val="left" w:leader="none"/>
        </w:tabs>
        <w:spacing w:line="266" w:lineRule="auto" w:before="89" w:after="0"/>
        <w:ind w:left="526" w:right="858" w:hanging="171"/>
        <w:jc w:val="left"/>
        <w:rPr>
          <w:sz w:val="20"/>
        </w:rPr>
      </w:pPr>
      <w:r>
        <w:rPr>
          <w:color w:val="231F20"/>
          <w:sz w:val="20"/>
        </w:rPr>
        <w:t>Menu of Legal Options for Foodborne Disease Detection and Outbreak </w:t>
      </w:r>
      <w:r>
        <w:rPr>
          <w:color w:val="231F20"/>
          <w:spacing w:val="42"/>
          <w:sz w:val="20"/>
        </w:rPr>
        <w:t> </w:t>
      </w:r>
      <w:r>
        <w:rPr>
          <w:color w:val="231F20"/>
          <w:sz w:val="20"/>
        </w:rPr>
        <w:t>Response.</w:t>
      </w:r>
    </w:p>
    <w:p>
      <w:pPr>
        <w:pStyle w:val="BodyText"/>
        <w:spacing w:line="276" w:lineRule="auto" w:before="165"/>
        <w:ind w:left="355" w:right="1028"/>
      </w:pPr>
      <w:r>
        <w:rPr>
          <w:rFonts w:ascii="Times New Roman"/>
          <w:color w:val="231F20"/>
          <w:w w:val="105"/>
        </w:rPr>
        <w:t>These</w:t>
      </w:r>
      <w:r>
        <w:rPr>
          <w:rFonts w:ascii="Times New Roman"/>
          <w:color w:val="231F20"/>
          <w:spacing w:val="-29"/>
          <w:w w:val="105"/>
        </w:rPr>
        <w:t> </w:t>
      </w:r>
      <w:r>
        <w:rPr>
          <w:rFonts w:ascii="Times New Roman"/>
          <w:color w:val="231F20"/>
          <w:w w:val="105"/>
        </w:rPr>
        <w:t>documents</w:t>
      </w:r>
      <w:r>
        <w:rPr>
          <w:rFonts w:ascii="Times New Roman"/>
          <w:color w:val="231F20"/>
          <w:spacing w:val="-30"/>
          <w:w w:val="105"/>
        </w:rPr>
        <w:t> </w:t>
      </w:r>
      <w:r>
        <w:rPr>
          <w:rFonts w:ascii="Times New Roman"/>
          <w:color w:val="231F20"/>
          <w:w w:val="105"/>
        </w:rPr>
        <w:t>are</w:t>
      </w:r>
      <w:r>
        <w:rPr>
          <w:rFonts w:ascii="Times New Roman"/>
          <w:color w:val="231F20"/>
          <w:spacing w:val="-29"/>
          <w:w w:val="105"/>
        </w:rPr>
        <w:t> </w:t>
      </w:r>
      <w:r>
        <w:rPr>
          <w:rFonts w:ascii="Times New Roman"/>
          <w:color w:val="231F20"/>
          <w:w w:val="105"/>
        </w:rPr>
        <w:t>available</w:t>
      </w:r>
      <w:r>
        <w:rPr>
          <w:rFonts w:ascii="Times New Roman"/>
          <w:color w:val="231F20"/>
          <w:spacing w:val="-29"/>
          <w:w w:val="105"/>
        </w:rPr>
        <w:t> </w:t>
      </w:r>
      <w:r>
        <w:rPr>
          <w:rFonts w:ascii="Times New Roman"/>
          <w:color w:val="231F20"/>
          <w:w w:val="105"/>
        </w:rPr>
        <w:t>through</w:t>
      </w:r>
      <w:r>
        <w:rPr>
          <w:rFonts w:ascii="Times New Roman"/>
          <w:color w:val="231F20"/>
          <w:spacing w:val="-29"/>
          <w:w w:val="105"/>
        </w:rPr>
        <w:t> </w:t>
      </w:r>
      <w:r>
        <w:rPr>
          <w:rFonts w:ascii="Times New Roman"/>
          <w:color w:val="231F20"/>
          <w:w w:val="105"/>
        </w:rPr>
        <w:t>the </w:t>
      </w:r>
      <w:r>
        <w:rPr>
          <w:color w:val="231F20"/>
          <w:w w:val="105"/>
        </w:rPr>
        <w:t>CIFOR website at</w:t>
      </w:r>
      <w:r>
        <w:rPr>
          <w:color w:val="231F20"/>
          <w:spacing w:val="-39"/>
          <w:w w:val="105"/>
        </w:rPr>
        <w:t> </w:t>
      </w:r>
      <w:hyperlink r:id="rId12">
        <w:r>
          <w:rPr>
            <w:color w:val="0079C1"/>
            <w:spacing w:val="-4"/>
            <w:w w:val="105"/>
          </w:rPr>
          <w:t>www.cifor.us</w:t>
        </w:r>
        <w:r>
          <w:rPr>
            <w:color w:val="231F20"/>
            <w:spacing w:val="-4"/>
            <w:w w:val="105"/>
          </w:rPr>
          <w:t>.</w:t>
        </w:r>
      </w:hyperlink>
    </w:p>
    <w:sectPr>
      <w:type w:val="continuous"/>
      <w:pgSz w:w="10080" w:h="14400"/>
      <w:pgMar w:top="0" w:bottom="360" w:left="0" w:right="0"/>
      <w:cols w:num="2" w:equalWidth="0">
        <w:col w:w="5185" w:space="40"/>
        <w:col w:w="4855"/>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aramond">
    <w:altName w:val="Garamond"/>
    <w:charset w:val="0"/>
    <w:family w:val="roman"/>
    <w:pitch w:val="variable"/>
  </w:font>
  <w:font w:name="Arial">
    <w:altName w:val="Arial"/>
    <w:charset w:val="0"/>
    <w:family w:val="swiss"/>
    <w:pitch w:val="variable"/>
  </w:font>
  <w:font w:name="Lucida Sans">
    <w:altName w:val="Lucida Sans"/>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36184" from="0pt,702.5pt" to="432pt,702.5pt" stroked="true" strokeweight="1pt" strokecolor="#00a94f">
          <v:stroke dashstyle="solid"/>
          <w10:wrap type="non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line style="position:absolute;mso-position-horizontal-relative:page;mso-position-vertical-relative:page;z-index:-36160" from="72pt,702.5pt" to="504pt,702.5pt" stroked="true" strokeweight="1pt" strokecolor="#00a94f">
          <v:stroke dashstyle="solid"/>
          <w10:wrap type="none"/>
        </v:lin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9.6pt;mso-position-horizontal-relative:page;mso-position-vertical-relative:page;z-index:-36136" coordorigin="-10,-20" coordsize="10100,1192">
          <v:shape style="position:absolute;left:0;top:0;width:10080;height:900" type="#_x0000_t75" stroked="false">
            <v:imagedata r:id="rId1" o:title=""/>
          </v:shape>
          <v:shape style="position:absolute;left:360;top:360;width:360;height:360" type="#_x0000_t75" stroked="false">
            <v:imagedata r:id="rId2" o:title=""/>
          </v:shape>
          <v:line style="position:absolute" from="1100,0" to="1100,115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20.0471pt;margin-top:21.131701pt;width:14.05pt;height:12.9pt;mso-position-horizontal-relative:page;mso-position-vertical-relative:page;z-index:-36112"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95"/>
                    <w:sz w:val="18"/>
                  </w:rPr>
                  <w:instrText> PAGE </w:instrText>
                </w:r>
                <w:r>
                  <w:rPr/>
                  <w:fldChar w:fldCharType="separate"/>
                </w:r>
                <w:r>
                  <w:rPr/>
                  <w:t>22</w:t>
                </w:r>
                <w:r>
                  <w:rPr/>
                  <w:fldChar w:fldCharType="end"/>
                </w:r>
              </w:p>
            </w:txbxContent>
          </v:textbox>
          <w10:wrap type="none"/>
        </v:shape>
      </w:pict>
    </w:r>
    <w:r>
      <w:rPr/>
      <w:pict>
        <v:shape style="position:absolute;margin-left:71pt;margin-top:21.131701pt;width:275.150pt;height:12.9pt;mso-position-horizontal-relative:page;mso-position-vertical-relative:page;z-index:-36088" type="#_x0000_t202" filled="false" stroked="false">
          <v:textbox inset="0,0,0,0">
            <w:txbxContent>
              <w:p>
                <w:pPr>
                  <w:spacing w:before="12"/>
                  <w:ind w:left="20" w:right="0" w:firstLine="0"/>
                  <w:jc w:val="left"/>
                  <w:rPr>
                    <w:rFonts w:ascii="Lucida Sans"/>
                    <w:sz w:val="18"/>
                  </w:rPr>
                </w:pPr>
                <w:r>
                  <w:rPr>
                    <w:rFonts w:ascii="Lucida Sans"/>
                    <w:color w:val="FFFFFF"/>
                    <w:sz w:val="18"/>
                  </w:rPr>
                  <w:t>CIFOR | Council to Improve Foodborne Outbreak Response</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5pt;margin-top:-1pt;width:505pt;height:50.6pt;mso-position-horizontal-relative:page;mso-position-vertical-relative:page;z-index:-36064" coordorigin="-10,-20" coordsize="10100,1012">
          <v:shape style="position:absolute;left:0;top:0;width:10080;height:900" type="#_x0000_t75" stroked="false">
            <v:imagedata r:id="rId1" o:title=""/>
          </v:shape>
          <v:shape style="position:absolute;left:9360;top:360;width:360;height:360" type="#_x0000_t75" stroked="false">
            <v:imagedata r:id="rId2" o:title=""/>
          </v:shape>
          <v:line style="position:absolute" from="9020,0" to="9020,972" stroked="true" strokeweight="2pt" strokecolor="#ffffff">
            <v:stroke dashstyle="solid"/>
          </v:line>
          <v:line style="position:absolute" from="0,910" to="10080,910" stroked="true" strokeweight="1pt" strokecolor="#1c3e94">
            <v:stroke dashstyle="solid"/>
          </v:line>
          <w10:wrap type="none"/>
        </v:group>
      </w:pict>
    </w:r>
    <w:r>
      <w:rPr/>
      <w:pict>
        <v:shape style="position:absolute;margin-left:150.479797pt;margin-top:21.131701pt;width:283pt;height:12.9pt;mso-position-horizontal-relative:page;mso-position-vertical-relative:page;z-index:-36040" type="#_x0000_t202" filled="false" stroked="false">
          <v:textbox inset="0,0,0,0">
            <w:txbxContent>
              <w:p>
                <w:pPr>
                  <w:spacing w:before="12"/>
                  <w:ind w:left="20" w:right="0" w:firstLine="0"/>
                  <w:jc w:val="left"/>
                  <w:rPr>
                    <w:rFonts w:ascii="Lucida Sans"/>
                    <w:sz w:val="18"/>
                  </w:rPr>
                </w:pPr>
                <w:r>
                  <w:rPr>
                    <w:rFonts w:ascii="Lucida Sans"/>
                    <w:color w:val="FFFFFF"/>
                    <w:sz w:val="18"/>
                  </w:rPr>
                  <w:t>2014 | Guidelines for Foodborne Disease Outbreak Response</w:t>
                </w:r>
              </w:p>
            </w:txbxContent>
          </v:textbox>
          <w10:wrap type="none"/>
        </v:shape>
      </w:pict>
    </w:r>
    <w:r>
      <w:rPr/>
      <w:pict>
        <v:shape style="position:absolute;margin-left:469.996002pt;margin-top:21.131701pt;width:14.05pt;height:12.9pt;mso-position-horizontal-relative:page;mso-position-vertical-relative:page;z-index:-36016" type="#_x0000_t202" filled="false" stroked="false">
          <v:textbox inset="0,0,0,0">
            <w:txbxContent>
              <w:p>
                <w:pPr>
                  <w:spacing w:before="12"/>
                  <w:ind w:left="40" w:right="0" w:firstLine="0"/>
                  <w:jc w:val="left"/>
                  <w:rPr>
                    <w:rFonts w:ascii="Lucida Sans"/>
                    <w:sz w:val="18"/>
                  </w:rPr>
                </w:pPr>
                <w:r>
                  <w:rPr/>
                  <w:fldChar w:fldCharType="begin"/>
                </w:r>
                <w:r>
                  <w:rPr>
                    <w:rFonts w:ascii="Lucida Sans"/>
                    <w:color w:val="0079C1"/>
                    <w:w w:val="95"/>
                    <w:sz w:val="18"/>
                  </w:rPr>
                  <w:instrText> PAGE </w:instrText>
                </w:r>
                <w:r>
                  <w:rPr/>
                  <w:fldChar w:fldCharType="separate"/>
                </w:r>
                <w:r>
                  <w:rPr/>
                  <w:t>23</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o"/>
      <w:lvlJc w:val="left"/>
      <w:pPr>
        <w:ind w:left="689" w:hanging="189"/>
      </w:pPr>
      <w:rPr>
        <w:rFonts w:hint="default" w:ascii="Arial" w:hAnsi="Arial" w:eastAsia="Arial" w:cs="Arial"/>
        <w:color w:val="1C3E94"/>
        <w:spacing w:val="-23"/>
        <w:w w:val="83"/>
        <w:sz w:val="16"/>
        <w:szCs w:val="16"/>
      </w:rPr>
    </w:lvl>
    <w:lvl w:ilvl="1">
      <w:start w:val="0"/>
      <w:numFmt w:val="bullet"/>
      <w:lvlText w:val="•"/>
      <w:lvlJc w:val="left"/>
      <w:pPr>
        <w:ind w:left="1610" w:hanging="171"/>
      </w:pPr>
      <w:rPr>
        <w:rFonts w:hint="default" w:ascii="Garamond" w:hAnsi="Garamond" w:eastAsia="Garamond" w:cs="Garamond"/>
        <w:color w:val="00A94F"/>
        <w:spacing w:val="-22"/>
        <w:w w:val="83"/>
        <w:sz w:val="20"/>
        <w:szCs w:val="20"/>
      </w:rPr>
    </w:lvl>
    <w:lvl w:ilvl="2">
      <w:start w:val="0"/>
      <w:numFmt w:val="bullet"/>
      <w:lvlText w:val="•"/>
      <w:lvlJc w:val="left"/>
      <w:pPr>
        <w:ind w:left="1800" w:hanging="171"/>
      </w:pPr>
      <w:rPr>
        <w:rFonts w:hint="default"/>
      </w:rPr>
    </w:lvl>
    <w:lvl w:ilvl="3">
      <w:start w:val="0"/>
      <w:numFmt w:val="bullet"/>
      <w:lvlText w:val="•"/>
      <w:lvlJc w:val="left"/>
      <w:pPr>
        <w:ind w:left="1660" w:hanging="171"/>
      </w:pPr>
      <w:rPr>
        <w:rFonts w:hint="default"/>
      </w:rPr>
    </w:lvl>
    <w:lvl w:ilvl="4">
      <w:start w:val="0"/>
      <w:numFmt w:val="bullet"/>
      <w:lvlText w:val="•"/>
      <w:lvlJc w:val="left"/>
      <w:pPr>
        <w:ind w:left="1520" w:hanging="171"/>
      </w:pPr>
      <w:rPr>
        <w:rFonts w:hint="default"/>
      </w:rPr>
    </w:lvl>
    <w:lvl w:ilvl="5">
      <w:start w:val="0"/>
      <w:numFmt w:val="bullet"/>
      <w:lvlText w:val="•"/>
      <w:lvlJc w:val="left"/>
      <w:pPr>
        <w:ind w:left="1380" w:hanging="171"/>
      </w:pPr>
      <w:rPr>
        <w:rFonts w:hint="default"/>
      </w:rPr>
    </w:lvl>
    <w:lvl w:ilvl="6">
      <w:start w:val="0"/>
      <w:numFmt w:val="bullet"/>
      <w:lvlText w:val="•"/>
      <w:lvlJc w:val="left"/>
      <w:pPr>
        <w:ind w:left="1240" w:hanging="171"/>
      </w:pPr>
      <w:rPr>
        <w:rFonts w:hint="default"/>
      </w:rPr>
    </w:lvl>
    <w:lvl w:ilvl="7">
      <w:start w:val="0"/>
      <w:numFmt w:val="bullet"/>
      <w:lvlText w:val="•"/>
      <w:lvlJc w:val="left"/>
      <w:pPr>
        <w:ind w:left="1100" w:hanging="171"/>
      </w:pPr>
      <w:rPr>
        <w:rFonts w:hint="default"/>
      </w:rPr>
    </w:lvl>
    <w:lvl w:ilvl="8">
      <w:start w:val="0"/>
      <w:numFmt w:val="bullet"/>
      <w:lvlText w:val="•"/>
      <w:lvlJc w:val="left"/>
      <w:pPr>
        <w:ind w:left="960" w:hanging="171"/>
      </w:pPr>
      <w:rPr>
        <w:rFonts w:hint="default"/>
      </w:rPr>
    </w:lvl>
  </w:abstractNum>
  <w:abstractNum w:abstractNumId="3">
    <w:multiLevelType w:val="hybridMultilevel"/>
    <w:lvl w:ilvl="0">
      <w:start w:val="0"/>
      <w:numFmt w:val="bullet"/>
      <w:lvlText w:val="•"/>
      <w:lvlJc w:val="left"/>
      <w:pPr>
        <w:ind w:left="890" w:hanging="171"/>
      </w:pPr>
      <w:rPr>
        <w:rFonts w:hint="default" w:ascii="Garamond" w:hAnsi="Garamond" w:eastAsia="Garamond" w:cs="Garamond"/>
        <w:color w:val="00A94F"/>
        <w:spacing w:val="-4"/>
        <w:w w:val="97"/>
        <w:sz w:val="20"/>
        <w:szCs w:val="20"/>
      </w:rPr>
    </w:lvl>
    <w:lvl w:ilvl="1">
      <w:start w:val="0"/>
      <w:numFmt w:val="bullet"/>
      <w:lvlText w:val="•"/>
      <w:lvlJc w:val="left"/>
      <w:pPr>
        <w:ind w:left="1258" w:hanging="171"/>
      </w:pPr>
      <w:rPr>
        <w:rFonts w:hint="default"/>
      </w:rPr>
    </w:lvl>
    <w:lvl w:ilvl="2">
      <w:start w:val="0"/>
      <w:numFmt w:val="bullet"/>
      <w:lvlText w:val="•"/>
      <w:lvlJc w:val="left"/>
      <w:pPr>
        <w:ind w:left="1617" w:hanging="171"/>
      </w:pPr>
      <w:rPr>
        <w:rFonts w:hint="default"/>
      </w:rPr>
    </w:lvl>
    <w:lvl w:ilvl="3">
      <w:start w:val="0"/>
      <w:numFmt w:val="bullet"/>
      <w:lvlText w:val="•"/>
      <w:lvlJc w:val="left"/>
      <w:pPr>
        <w:ind w:left="1976" w:hanging="171"/>
      </w:pPr>
      <w:rPr>
        <w:rFonts w:hint="default"/>
      </w:rPr>
    </w:lvl>
    <w:lvl w:ilvl="4">
      <w:start w:val="0"/>
      <w:numFmt w:val="bullet"/>
      <w:lvlText w:val="•"/>
      <w:lvlJc w:val="left"/>
      <w:pPr>
        <w:ind w:left="2335" w:hanging="171"/>
      </w:pPr>
      <w:rPr>
        <w:rFonts w:hint="default"/>
      </w:rPr>
    </w:lvl>
    <w:lvl w:ilvl="5">
      <w:start w:val="0"/>
      <w:numFmt w:val="bullet"/>
      <w:lvlText w:val="•"/>
      <w:lvlJc w:val="left"/>
      <w:pPr>
        <w:ind w:left="2693" w:hanging="171"/>
      </w:pPr>
      <w:rPr>
        <w:rFonts w:hint="default"/>
      </w:rPr>
    </w:lvl>
    <w:lvl w:ilvl="6">
      <w:start w:val="0"/>
      <w:numFmt w:val="bullet"/>
      <w:lvlText w:val="•"/>
      <w:lvlJc w:val="left"/>
      <w:pPr>
        <w:ind w:left="3052" w:hanging="171"/>
      </w:pPr>
      <w:rPr>
        <w:rFonts w:hint="default"/>
      </w:rPr>
    </w:lvl>
    <w:lvl w:ilvl="7">
      <w:start w:val="0"/>
      <w:numFmt w:val="bullet"/>
      <w:lvlText w:val="•"/>
      <w:lvlJc w:val="left"/>
      <w:pPr>
        <w:ind w:left="3411" w:hanging="171"/>
      </w:pPr>
      <w:rPr>
        <w:rFonts w:hint="default"/>
      </w:rPr>
    </w:lvl>
    <w:lvl w:ilvl="8">
      <w:start w:val="0"/>
      <w:numFmt w:val="bullet"/>
      <w:lvlText w:val="•"/>
      <w:lvlJc w:val="left"/>
      <w:pPr>
        <w:ind w:left="3770" w:hanging="171"/>
      </w:pPr>
      <w:rPr>
        <w:rFonts w:hint="default"/>
      </w:rPr>
    </w:lvl>
  </w:abstractNum>
  <w:abstractNum w:abstractNumId="2">
    <w:multiLevelType w:val="hybridMultilevel"/>
    <w:lvl w:ilvl="0">
      <w:start w:val="0"/>
      <w:numFmt w:val="bullet"/>
      <w:lvlText w:val="•"/>
      <w:lvlJc w:val="left"/>
      <w:pPr>
        <w:ind w:left="890" w:hanging="171"/>
      </w:pPr>
      <w:rPr>
        <w:rFonts w:hint="default" w:ascii="Garamond" w:hAnsi="Garamond" w:eastAsia="Garamond" w:cs="Garamond"/>
        <w:color w:val="00A94F"/>
        <w:spacing w:val="-4"/>
        <w:w w:val="98"/>
        <w:sz w:val="20"/>
        <w:szCs w:val="20"/>
      </w:rPr>
    </w:lvl>
    <w:lvl w:ilvl="1">
      <w:start w:val="0"/>
      <w:numFmt w:val="bullet"/>
      <w:lvlText w:val="•"/>
      <w:lvlJc w:val="left"/>
      <w:pPr>
        <w:ind w:left="1258" w:hanging="171"/>
      </w:pPr>
      <w:rPr>
        <w:rFonts w:hint="default"/>
      </w:rPr>
    </w:lvl>
    <w:lvl w:ilvl="2">
      <w:start w:val="0"/>
      <w:numFmt w:val="bullet"/>
      <w:lvlText w:val="•"/>
      <w:lvlJc w:val="left"/>
      <w:pPr>
        <w:ind w:left="1616" w:hanging="171"/>
      </w:pPr>
      <w:rPr>
        <w:rFonts w:hint="default"/>
      </w:rPr>
    </w:lvl>
    <w:lvl w:ilvl="3">
      <w:start w:val="0"/>
      <w:numFmt w:val="bullet"/>
      <w:lvlText w:val="•"/>
      <w:lvlJc w:val="left"/>
      <w:pPr>
        <w:ind w:left="1974" w:hanging="171"/>
      </w:pPr>
      <w:rPr>
        <w:rFonts w:hint="default"/>
      </w:rPr>
    </w:lvl>
    <w:lvl w:ilvl="4">
      <w:start w:val="0"/>
      <w:numFmt w:val="bullet"/>
      <w:lvlText w:val="•"/>
      <w:lvlJc w:val="left"/>
      <w:pPr>
        <w:ind w:left="2332" w:hanging="171"/>
      </w:pPr>
      <w:rPr>
        <w:rFonts w:hint="default"/>
      </w:rPr>
    </w:lvl>
    <w:lvl w:ilvl="5">
      <w:start w:val="0"/>
      <w:numFmt w:val="bullet"/>
      <w:lvlText w:val="•"/>
      <w:lvlJc w:val="left"/>
      <w:pPr>
        <w:ind w:left="2690" w:hanging="171"/>
      </w:pPr>
      <w:rPr>
        <w:rFonts w:hint="default"/>
      </w:rPr>
    </w:lvl>
    <w:lvl w:ilvl="6">
      <w:start w:val="0"/>
      <w:numFmt w:val="bullet"/>
      <w:lvlText w:val="•"/>
      <w:lvlJc w:val="left"/>
      <w:pPr>
        <w:ind w:left="3048" w:hanging="171"/>
      </w:pPr>
      <w:rPr>
        <w:rFonts w:hint="default"/>
      </w:rPr>
    </w:lvl>
    <w:lvl w:ilvl="7">
      <w:start w:val="0"/>
      <w:numFmt w:val="bullet"/>
      <w:lvlText w:val="•"/>
      <w:lvlJc w:val="left"/>
      <w:pPr>
        <w:ind w:left="3406" w:hanging="171"/>
      </w:pPr>
      <w:rPr>
        <w:rFonts w:hint="default"/>
      </w:rPr>
    </w:lvl>
    <w:lvl w:ilvl="8">
      <w:start w:val="0"/>
      <w:numFmt w:val="bullet"/>
      <w:lvlText w:val="•"/>
      <w:lvlJc w:val="left"/>
      <w:pPr>
        <w:ind w:left="3764" w:hanging="171"/>
      </w:pPr>
      <w:rPr>
        <w:rFonts w:hint="default"/>
      </w:rPr>
    </w:lvl>
  </w:abstractNum>
  <w:abstractNum w:abstractNumId="1">
    <w:multiLevelType w:val="hybridMultilevel"/>
    <w:lvl w:ilvl="0">
      <w:start w:val="0"/>
      <w:numFmt w:val="bullet"/>
      <w:lvlText w:val="•"/>
      <w:lvlJc w:val="left"/>
      <w:pPr>
        <w:ind w:left="493" w:hanging="171"/>
      </w:pPr>
      <w:rPr>
        <w:rFonts w:hint="default" w:ascii="Garamond" w:hAnsi="Garamond" w:eastAsia="Garamond" w:cs="Garamond"/>
        <w:color w:val="00A94F"/>
        <w:spacing w:val="-22"/>
        <w:w w:val="81"/>
        <w:sz w:val="20"/>
        <w:szCs w:val="20"/>
      </w:rPr>
    </w:lvl>
    <w:lvl w:ilvl="1">
      <w:start w:val="0"/>
      <w:numFmt w:val="bullet"/>
      <w:lvlText w:val="•"/>
      <w:lvlJc w:val="left"/>
      <w:pPr>
        <w:ind w:left="890" w:hanging="171"/>
      </w:pPr>
      <w:rPr>
        <w:rFonts w:hint="default" w:ascii="Garamond" w:hAnsi="Garamond" w:eastAsia="Garamond" w:cs="Garamond"/>
        <w:color w:val="00A94F"/>
        <w:spacing w:val="-22"/>
        <w:w w:val="91"/>
        <w:sz w:val="20"/>
        <w:szCs w:val="20"/>
      </w:rPr>
    </w:lvl>
    <w:lvl w:ilvl="2">
      <w:start w:val="0"/>
      <w:numFmt w:val="bullet"/>
      <w:lvlText w:val="•"/>
      <w:lvlJc w:val="left"/>
      <w:pPr>
        <w:ind w:left="900" w:hanging="171"/>
      </w:pPr>
      <w:rPr>
        <w:rFonts w:hint="default"/>
      </w:rPr>
    </w:lvl>
    <w:lvl w:ilvl="3">
      <w:start w:val="0"/>
      <w:numFmt w:val="bullet"/>
      <w:lvlText w:val="•"/>
      <w:lvlJc w:val="left"/>
      <w:pPr>
        <w:ind w:left="1620" w:hanging="171"/>
      </w:pPr>
      <w:rPr>
        <w:rFonts w:hint="default"/>
      </w:rPr>
    </w:lvl>
    <w:lvl w:ilvl="4">
      <w:start w:val="0"/>
      <w:numFmt w:val="bullet"/>
      <w:lvlText w:val="•"/>
      <w:lvlJc w:val="left"/>
      <w:pPr>
        <w:ind w:left="1277" w:hanging="171"/>
      </w:pPr>
      <w:rPr>
        <w:rFonts w:hint="default"/>
      </w:rPr>
    </w:lvl>
    <w:lvl w:ilvl="5">
      <w:start w:val="0"/>
      <w:numFmt w:val="bullet"/>
      <w:lvlText w:val="•"/>
      <w:lvlJc w:val="left"/>
      <w:pPr>
        <w:ind w:left="935" w:hanging="171"/>
      </w:pPr>
      <w:rPr>
        <w:rFonts w:hint="default"/>
      </w:rPr>
    </w:lvl>
    <w:lvl w:ilvl="6">
      <w:start w:val="0"/>
      <w:numFmt w:val="bullet"/>
      <w:lvlText w:val="•"/>
      <w:lvlJc w:val="left"/>
      <w:pPr>
        <w:ind w:left="593" w:hanging="171"/>
      </w:pPr>
      <w:rPr>
        <w:rFonts w:hint="default"/>
      </w:rPr>
    </w:lvl>
    <w:lvl w:ilvl="7">
      <w:start w:val="0"/>
      <w:numFmt w:val="bullet"/>
      <w:lvlText w:val="•"/>
      <w:lvlJc w:val="left"/>
      <w:pPr>
        <w:ind w:left="251" w:hanging="171"/>
      </w:pPr>
      <w:rPr>
        <w:rFonts w:hint="default"/>
      </w:rPr>
    </w:lvl>
    <w:lvl w:ilvl="8">
      <w:start w:val="0"/>
      <w:numFmt w:val="bullet"/>
      <w:lvlText w:val="•"/>
      <w:lvlJc w:val="left"/>
      <w:pPr>
        <w:ind w:left="-91" w:hanging="171"/>
      </w:pPr>
      <w:rPr>
        <w:rFonts w:hint="default"/>
      </w:rPr>
    </w:lvl>
  </w:abstractNum>
  <w:abstractNum w:abstractNumId="0">
    <w:multiLevelType w:val="hybridMultilevel"/>
    <w:lvl w:ilvl="0">
      <w:start w:val="0"/>
      <w:numFmt w:val="bullet"/>
      <w:lvlText w:val="•"/>
      <w:lvlJc w:val="left"/>
      <w:pPr>
        <w:ind w:left="1620" w:hanging="180"/>
      </w:pPr>
      <w:rPr>
        <w:rFonts w:hint="default" w:ascii="Garamond" w:hAnsi="Garamond" w:eastAsia="Garamond" w:cs="Garamond"/>
        <w:color w:val="00A94F"/>
        <w:spacing w:val="-6"/>
        <w:w w:val="94"/>
        <w:sz w:val="20"/>
        <w:szCs w:val="20"/>
      </w:rPr>
    </w:lvl>
    <w:lvl w:ilvl="1">
      <w:start w:val="0"/>
      <w:numFmt w:val="bullet"/>
      <w:lvlText w:val="•"/>
      <w:lvlJc w:val="left"/>
      <w:pPr>
        <w:ind w:left="1980" w:hanging="180"/>
      </w:pPr>
      <w:rPr>
        <w:rFonts w:hint="default"/>
      </w:rPr>
    </w:lvl>
    <w:lvl w:ilvl="2">
      <w:start w:val="0"/>
      <w:numFmt w:val="bullet"/>
      <w:lvlText w:val="•"/>
      <w:lvlJc w:val="left"/>
      <w:pPr>
        <w:ind w:left="2340" w:hanging="180"/>
      </w:pPr>
      <w:rPr>
        <w:rFonts w:hint="default"/>
      </w:rPr>
    </w:lvl>
    <w:lvl w:ilvl="3">
      <w:start w:val="0"/>
      <w:numFmt w:val="bullet"/>
      <w:lvlText w:val="•"/>
      <w:lvlJc w:val="left"/>
      <w:pPr>
        <w:ind w:left="2700" w:hanging="180"/>
      </w:pPr>
      <w:rPr>
        <w:rFonts w:hint="default"/>
      </w:rPr>
    </w:lvl>
    <w:lvl w:ilvl="4">
      <w:start w:val="0"/>
      <w:numFmt w:val="bullet"/>
      <w:lvlText w:val="•"/>
      <w:lvlJc w:val="left"/>
      <w:pPr>
        <w:ind w:left="3060" w:hanging="180"/>
      </w:pPr>
      <w:rPr>
        <w:rFonts w:hint="default"/>
      </w:rPr>
    </w:lvl>
    <w:lvl w:ilvl="5">
      <w:start w:val="0"/>
      <w:numFmt w:val="bullet"/>
      <w:lvlText w:val="•"/>
      <w:lvlJc w:val="left"/>
      <w:pPr>
        <w:ind w:left="3420" w:hanging="180"/>
      </w:pPr>
      <w:rPr>
        <w:rFonts w:hint="default"/>
      </w:rPr>
    </w:lvl>
    <w:lvl w:ilvl="6">
      <w:start w:val="0"/>
      <w:numFmt w:val="bullet"/>
      <w:lvlText w:val="•"/>
      <w:lvlJc w:val="left"/>
      <w:pPr>
        <w:ind w:left="3780" w:hanging="180"/>
      </w:pPr>
      <w:rPr>
        <w:rFonts w:hint="default"/>
      </w:rPr>
    </w:lvl>
    <w:lvl w:ilvl="7">
      <w:start w:val="0"/>
      <w:numFmt w:val="bullet"/>
      <w:lvlText w:val="•"/>
      <w:lvlJc w:val="left"/>
      <w:pPr>
        <w:ind w:left="4140" w:hanging="180"/>
      </w:pPr>
      <w:rPr>
        <w:rFonts w:hint="default"/>
      </w:rPr>
    </w:lvl>
    <w:lvl w:ilvl="8">
      <w:start w:val="0"/>
      <w:numFmt w:val="bullet"/>
      <w:lvlText w:val="•"/>
      <w:lvlJc w:val="left"/>
      <w:pPr>
        <w:ind w:left="4500" w:hanging="180"/>
      </w:pPr>
      <w:rPr>
        <w:rFonts w:hint="default"/>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aramond" w:hAnsi="Garamond" w:eastAsia="Garamond" w:cs="Garamond"/>
    </w:rPr>
  </w:style>
  <w:style w:styleId="BodyText" w:type="paragraph">
    <w:name w:val="Body Text"/>
    <w:basedOn w:val="Normal"/>
    <w:uiPriority w:val="1"/>
    <w:qFormat/>
    <w:pPr/>
    <w:rPr>
      <w:rFonts w:ascii="Garamond" w:hAnsi="Garamond" w:eastAsia="Garamond" w:cs="Garamond"/>
      <w:sz w:val="20"/>
      <w:szCs w:val="20"/>
    </w:rPr>
  </w:style>
  <w:style w:styleId="Heading1" w:type="paragraph">
    <w:name w:val="Heading 1"/>
    <w:basedOn w:val="Normal"/>
    <w:uiPriority w:val="1"/>
    <w:qFormat/>
    <w:pPr>
      <w:spacing w:before="97"/>
      <w:ind w:left="1440"/>
      <w:outlineLvl w:val="1"/>
    </w:pPr>
    <w:rPr>
      <w:rFonts w:ascii="Arial" w:hAnsi="Arial" w:eastAsia="Arial" w:cs="Arial"/>
      <w:sz w:val="28"/>
      <w:szCs w:val="28"/>
    </w:rPr>
  </w:style>
  <w:style w:styleId="ListParagraph" w:type="paragraph">
    <w:name w:val="List Paragraph"/>
    <w:basedOn w:val="Normal"/>
    <w:uiPriority w:val="1"/>
    <w:qFormat/>
    <w:pPr>
      <w:spacing w:before="90"/>
      <w:ind w:left="890" w:hanging="171"/>
    </w:pPr>
    <w:rPr>
      <w:rFonts w:ascii="Garamond" w:hAnsi="Garamond" w:eastAsia="Garamond" w:cs="Garamond"/>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yperlink" Target="http://www.cifor.us/" TargetMode="External"/><Relationship Id="rId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2018-01-23T13:51:57Z</dcterms:created>
  <dcterms:modified xsi:type="dcterms:W3CDTF">2018-01-23T13:51:57Z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CS6 (Macintosh)</vt:lpwstr>
  </property>
  <property fmtid="{D5CDD505-2E9C-101B-9397-08002B2CF9AE}" pid="4" name="LastSaved">
    <vt:filetime>2018-01-23T00:00:00Z</vt:filetime>
  </property>
</Properties>
</file>