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group style="position:absolute;margin-left:0pt;margin-top:0pt;width:504pt;height:271pt;mso-position-horizontal-relative:page;mso-position-vertical-relative:page;z-index:1048" coordorigin="0,0" coordsize="10080,5420">
            <v:shape style="position:absolute;left:0;top:900;width:10080;height:4500" type="#_x0000_t75" stroked="false">
              <v:imagedata r:id="rId7" o:title=""/>
            </v:shape>
            <v:shape style="position:absolute;left:0;top:900;width:10080;height:4500" type="#_x0000_t75" stroked="false">
              <v:imagedata r:id="rId8" o:title=""/>
            </v:shape>
            <v:shape style="position:absolute;left:0;top:0;width:10080;height:900" type="#_x0000_t75" stroked="false">
              <v:imagedata r:id="rId9" o:title=""/>
            </v:shape>
            <v:rect style="position:absolute;left:0;top:900;width:10080;height:20" filled="true" fillcolor="#1c3e94" stroked="false">
              <v:fill type="solid"/>
            </v:rect>
            <v:shape style="position:absolute;left:6870;top:390;width:2460;height:2460" coordorigin="6870,390" coordsize="2460,2460" path="m8100,390l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xe" filled="true" fillcolor="#ffffff" stroked="false">
              <v:path arrowok="t"/>
              <v:fill type="solid"/>
            </v:shape>
            <v:shape style="position:absolute;left:6870;top:390;width:2460;height:2460" coordorigin="6870,390" coordsize="2460,2460" path="m8100,2850l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xe" filled="false" stroked="true" strokeweight="3pt" strokecolor="#ffffff">
              <v:path arrowok="t"/>
              <v:stroke dashstyle="solid"/>
            </v:shape>
            <v:shape style="position:absolute;left:6912;top:435;width:2363;height:2363" coordorigin="6912,435" coordsize="2363,2363" path="m8093,435l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xe" filled="true" fillcolor="#ffffff" stroked="false">
              <v:path arrowok="t"/>
              <v:fill type="solid"/>
            </v:shape>
            <v:shape style="position:absolute;left:6912;top:435;width:2363;height:2363" coordorigin="6912,435" coordsize="2363,2363" path="m8093,2797l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xe" filled="false" stroked="true" strokeweight="3pt" strokecolor="#0079c1">
              <v:path arrowok="t"/>
              <v:stroke dashstyle="solid"/>
            </v:shape>
            <v:rect style="position:absolute;left:0;top:5400;width:10080;height:20" filled="true" fillcolor="#1c3e94" stroked="false">
              <v:fill type="solid"/>
            </v:rect>
            <v:shapetype id="_x0000_t202" o:spt="202" coordsize="21600,21600" path="m,l,21600r21600,l21600,xe">
              <v:stroke joinstyle="miter"/>
              <v:path gradientshapeok="t" o:connecttype="rect"/>
            </v:shapetype>
            <v:shape style="position:absolute;left:0;top:0;width:10080;height:5420" type="#_x0000_t202" filled="false" stroked="false">
              <v:textbox inset="0,0,0,0">
                <w:txbxContent>
                  <w:p>
                    <w:pPr>
                      <w:spacing w:line="240" w:lineRule="auto" w:before="0"/>
                      <w:rPr>
                        <w:rFonts w:ascii="Arial"/>
                        <w:sz w:val="28"/>
                      </w:rPr>
                    </w:pPr>
                  </w:p>
                  <w:p>
                    <w:pPr>
                      <w:spacing w:line="240" w:lineRule="auto" w:before="0"/>
                      <w:rPr>
                        <w:rFonts w:ascii="Arial"/>
                        <w:sz w:val="28"/>
                      </w:rPr>
                    </w:pPr>
                  </w:p>
                  <w:p>
                    <w:pPr>
                      <w:spacing w:before="229"/>
                      <w:ind w:left="0" w:right="1401" w:firstLine="0"/>
                      <w:jc w:val="right"/>
                      <w:rPr>
                        <w:rFonts w:ascii="Trebuchet MS"/>
                        <w:b/>
                        <w:sz w:val="24"/>
                      </w:rPr>
                    </w:pPr>
                    <w:r>
                      <w:rPr>
                        <w:rFonts w:ascii="Trebuchet MS"/>
                        <w:b/>
                        <w:color w:val="0079C1"/>
                        <w:w w:val="105"/>
                        <w:sz w:val="24"/>
                      </w:rPr>
                      <w:t>CHAPTER</w:t>
                    </w:r>
                  </w:p>
                  <w:p>
                    <w:pPr>
                      <w:spacing w:before="54"/>
                      <w:ind w:left="0" w:right="1696" w:firstLine="0"/>
                      <w:jc w:val="right"/>
                      <w:rPr>
                        <w:rFonts w:ascii="Times New Roman"/>
                        <w:b/>
                        <w:sz w:val="104"/>
                      </w:rPr>
                    </w:pPr>
                    <w:r>
                      <w:rPr>
                        <w:rFonts w:ascii="Times New Roman"/>
                        <w:b/>
                        <w:color w:val="0079C1"/>
                        <w:w w:val="108"/>
                        <w:sz w:val="104"/>
                      </w:rPr>
                      <w:t>2</w:t>
                    </w:r>
                  </w:p>
                  <w:p>
                    <w:pPr>
                      <w:spacing w:line="350" w:lineRule="auto" w:before="773"/>
                      <w:ind w:left="3282" w:right="1416" w:hanging="23"/>
                      <w:jc w:val="right"/>
                      <w:rPr>
                        <w:rFonts w:ascii="Lucida Sans"/>
                        <w:sz w:val="42"/>
                      </w:rPr>
                    </w:pPr>
                    <w:r>
                      <w:rPr>
                        <w:rFonts w:ascii="Lucida Sans"/>
                        <w:color w:val="FFFFFF"/>
                        <w:spacing w:val="19"/>
                        <w:w w:val="95"/>
                        <w:sz w:val="42"/>
                      </w:rPr>
                      <w:t>Fundamental </w:t>
                    </w:r>
                    <w:r>
                      <w:rPr>
                        <w:rFonts w:ascii="Lucida Sans"/>
                        <w:color w:val="FFFFFF"/>
                        <w:spacing w:val="18"/>
                        <w:w w:val="95"/>
                        <w:sz w:val="42"/>
                      </w:rPr>
                      <w:t>Concepts </w:t>
                    </w:r>
                    <w:r>
                      <w:rPr>
                        <w:rFonts w:ascii="Lucida Sans"/>
                        <w:color w:val="FFFFFF"/>
                        <w:spacing w:val="21"/>
                        <w:w w:val="95"/>
                        <w:sz w:val="42"/>
                      </w:rPr>
                      <w:t>of</w:t>
                    </w:r>
                    <w:r>
                      <w:rPr>
                        <w:rFonts w:ascii="Lucida Sans"/>
                        <w:color w:val="FFFFFF"/>
                        <w:spacing w:val="21"/>
                        <w:w w:val="94"/>
                        <w:sz w:val="42"/>
                      </w:rPr>
                      <w:t> </w:t>
                    </w:r>
                    <w:r>
                      <w:rPr>
                        <w:rFonts w:ascii="Lucida Sans"/>
                        <w:color w:val="FFFFFF"/>
                        <w:spacing w:val="15"/>
                        <w:w w:val="95"/>
                        <w:sz w:val="42"/>
                      </w:rPr>
                      <w:t>Public Health </w:t>
                    </w:r>
                    <w:r>
                      <w:rPr>
                        <w:rFonts w:ascii="Lucida Sans"/>
                        <w:color w:val="FFFFFF"/>
                        <w:spacing w:val="18"/>
                        <w:w w:val="95"/>
                        <w:sz w:val="42"/>
                      </w:rPr>
                      <w:t>Surveillance</w:t>
                    </w:r>
                    <w:r>
                      <w:rPr>
                        <w:rFonts w:ascii="Lucida Sans"/>
                        <w:color w:val="FFFFFF"/>
                        <w:spacing w:val="18"/>
                        <w:w w:val="93"/>
                        <w:sz w:val="42"/>
                      </w:rPr>
                      <w:t> </w:t>
                    </w:r>
                    <w:r>
                      <w:rPr>
                        <w:rFonts w:ascii="Lucida Sans"/>
                        <w:color w:val="FFFFFF"/>
                        <w:spacing w:val="14"/>
                        <w:sz w:val="42"/>
                      </w:rPr>
                      <w:t>and</w:t>
                    </w:r>
                    <w:r>
                      <w:rPr>
                        <w:rFonts w:ascii="Lucida Sans"/>
                        <w:color w:val="FFFFFF"/>
                        <w:spacing w:val="-79"/>
                        <w:sz w:val="42"/>
                      </w:rPr>
                      <w:t> </w:t>
                    </w:r>
                    <w:r>
                      <w:rPr>
                        <w:rFonts w:ascii="Lucida Sans"/>
                        <w:color w:val="FFFFFF"/>
                        <w:spacing w:val="18"/>
                        <w:sz w:val="42"/>
                      </w:rPr>
                      <w:t>Foodborne</w:t>
                    </w:r>
                    <w:r>
                      <w:rPr>
                        <w:rFonts w:ascii="Lucida Sans"/>
                        <w:color w:val="FFFFFF"/>
                        <w:spacing w:val="-79"/>
                        <w:sz w:val="42"/>
                      </w:rPr>
                      <w:t> </w:t>
                    </w:r>
                    <w:r>
                      <w:rPr>
                        <w:rFonts w:ascii="Lucida Sans"/>
                        <w:color w:val="FFFFFF"/>
                        <w:spacing w:val="21"/>
                        <w:sz w:val="42"/>
                      </w:rPr>
                      <w:t>Disease</w:t>
                    </w:r>
                  </w:p>
                </w:txbxContent>
              </v:textbox>
              <w10:wrap type="none"/>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4"/>
        <w:rPr>
          <w:rFonts w:ascii="Times New Roman"/>
          <w:sz w:val="18"/>
        </w:rPr>
      </w:pPr>
    </w:p>
    <w:p>
      <w:pPr>
        <w:pStyle w:val="BodyText"/>
        <w:spacing w:before="9"/>
        <w:rPr>
          <w:rFonts w:ascii="Times New Roman"/>
          <w:sz w:val="30"/>
        </w:rPr>
      </w:pPr>
    </w:p>
    <w:p>
      <w:pPr>
        <w:pStyle w:val="BodyText"/>
        <w:spacing w:line="448" w:lineRule="auto"/>
        <w:ind w:left="3568" w:right="1437"/>
        <w:jc w:val="both"/>
        <w:rPr>
          <w:rFonts w:ascii="Arial"/>
        </w:rPr>
      </w:pPr>
      <w:r>
        <w:rPr/>
        <w:pict>
          <v:shape style="position:absolute;margin-left:126pt;margin-top:-12.695868pt;width:52.45pt;height:85.45pt;mso-position-horizontal-relative:page;mso-position-vertical-relative:paragraph;z-index:-44440" type="#_x0000_t202" filled="false" stroked="false">
            <v:textbox inset="0,0,0,0">
              <w:txbxContent>
                <w:p>
                  <w:pPr>
                    <w:spacing w:line="1600" w:lineRule="exact" w:before="0"/>
                    <w:ind w:left="0" w:right="0" w:firstLine="0"/>
                    <w:jc w:val="left"/>
                    <w:rPr>
                      <w:rFonts w:ascii="Arial"/>
                      <w:sz w:val="141"/>
                    </w:rPr>
                  </w:pPr>
                  <w:r>
                    <w:rPr>
                      <w:rFonts w:ascii="Arial"/>
                      <w:color w:val="00A94F"/>
                      <w:w w:val="102"/>
                      <w:sz w:val="141"/>
                    </w:rPr>
                    <w:t>D</w:t>
                  </w:r>
                </w:p>
              </w:txbxContent>
            </v:textbox>
            <w10:wrap type="none"/>
          </v:shape>
        </w:pict>
      </w:r>
      <w:r>
        <w:rPr>
          <w:rFonts w:ascii="Arial"/>
          <w:color w:val="1C3E94"/>
        </w:rPr>
        <w:t>uring the past century, the American diet transformed significantly in what food we eat, how we grow or raise that food, and how that food arrives to our tables. Factors</w:t>
      </w:r>
    </w:p>
    <w:p>
      <w:pPr>
        <w:pStyle w:val="BodyText"/>
        <w:spacing w:line="448" w:lineRule="auto" w:before="5"/>
        <w:ind w:left="2520" w:right="1437"/>
        <w:jc w:val="both"/>
        <w:rPr>
          <w:rFonts w:ascii="Arial"/>
        </w:rPr>
      </w:pPr>
      <w:r>
        <w:rPr>
          <w:rFonts w:ascii="Arial"/>
          <w:color w:val="1C3E94"/>
        </w:rPr>
        <w:t>contributing to these changes included industry consolidation and globalization, health concerns and dietary recommendations, and culinary trends and dining habits. What we eat; how our food is cultivated or raised, processed, and distributed; and how and by whom our food is prepared relate directly to the foodborne diseases we experience.</w:t>
      </w:r>
    </w:p>
    <w:p>
      <w:pPr>
        <w:pStyle w:val="BodyText"/>
        <w:rPr>
          <w:rFonts w:ascii="Arial"/>
          <w:sz w:val="24"/>
        </w:rPr>
      </w:pPr>
    </w:p>
    <w:p>
      <w:pPr>
        <w:pStyle w:val="BodyText"/>
        <w:spacing w:line="448" w:lineRule="auto" w:before="159"/>
        <w:ind w:left="2520" w:right="1437"/>
        <w:jc w:val="both"/>
        <w:rPr>
          <w:rFonts w:ascii="Arial"/>
        </w:rPr>
      </w:pPr>
      <w:r>
        <w:rPr>
          <w:rFonts w:ascii="Arial"/>
          <w:color w:val="1C3E94"/>
        </w:rPr>
        <w:t>Preventing foodborne disease relies on our ability to translate knowledge of the principles of food safety to the practices of food production and preparation at each level of the food system and in home kitchens. Foodborne disease outbreaks represent important sentinel</w:t>
      </w:r>
      <w:r>
        <w:rPr>
          <w:rFonts w:ascii="Arial"/>
          <w:color w:val="1C3E94"/>
          <w:spacing w:val="-26"/>
        </w:rPr>
        <w:t> </w:t>
      </w:r>
      <w:r>
        <w:rPr>
          <w:rFonts w:ascii="Arial"/>
          <w:color w:val="1C3E94"/>
        </w:rPr>
        <w:t>events</w:t>
      </w:r>
      <w:r>
        <w:rPr>
          <w:rFonts w:ascii="Arial"/>
          <w:color w:val="1C3E94"/>
          <w:spacing w:val="-26"/>
        </w:rPr>
        <w:t> </w:t>
      </w:r>
      <w:r>
        <w:rPr>
          <w:rFonts w:ascii="Arial"/>
          <w:color w:val="1C3E94"/>
        </w:rPr>
        <w:t>that</w:t>
      </w:r>
      <w:r>
        <w:rPr>
          <w:rFonts w:ascii="Arial"/>
          <w:color w:val="1C3E94"/>
          <w:spacing w:val="-26"/>
        </w:rPr>
        <w:t> </w:t>
      </w:r>
      <w:r>
        <w:rPr>
          <w:rFonts w:ascii="Arial"/>
          <w:color w:val="1C3E94"/>
        </w:rPr>
        <w:t>signal</w:t>
      </w:r>
      <w:r>
        <w:rPr>
          <w:rFonts w:ascii="Arial"/>
          <w:color w:val="1C3E94"/>
          <w:spacing w:val="-26"/>
        </w:rPr>
        <w:t> </w:t>
      </w:r>
      <w:r>
        <w:rPr>
          <w:rFonts w:ascii="Arial"/>
          <w:color w:val="1C3E94"/>
        </w:rPr>
        <w:t>a</w:t>
      </w:r>
      <w:r>
        <w:rPr>
          <w:rFonts w:ascii="Arial"/>
          <w:color w:val="1C3E94"/>
          <w:spacing w:val="-26"/>
        </w:rPr>
        <w:t> </w:t>
      </w:r>
      <w:r>
        <w:rPr>
          <w:rFonts w:ascii="Arial"/>
          <w:color w:val="1C3E94"/>
        </w:rPr>
        <w:t>failure</w:t>
      </w:r>
      <w:r>
        <w:rPr>
          <w:rFonts w:ascii="Arial"/>
          <w:color w:val="1C3E94"/>
          <w:spacing w:val="-26"/>
        </w:rPr>
        <w:t> </w:t>
      </w:r>
      <w:r>
        <w:rPr>
          <w:rFonts w:ascii="Arial"/>
          <w:color w:val="1C3E94"/>
        </w:rPr>
        <w:t>of</w:t>
      </w:r>
      <w:r>
        <w:rPr>
          <w:rFonts w:ascii="Arial"/>
          <w:color w:val="1C3E94"/>
          <w:spacing w:val="-26"/>
        </w:rPr>
        <w:t> </w:t>
      </w:r>
      <w:r>
        <w:rPr>
          <w:rFonts w:ascii="Arial"/>
          <w:color w:val="1C3E94"/>
        </w:rPr>
        <w:t>this</w:t>
      </w:r>
      <w:r>
        <w:rPr>
          <w:rFonts w:ascii="Arial"/>
          <w:color w:val="1C3E94"/>
          <w:spacing w:val="-26"/>
        </w:rPr>
        <w:t> </w:t>
      </w:r>
      <w:r>
        <w:rPr>
          <w:rFonts w:ascii="Arial"/>
          <w:color w:val="1C3E94"/>
        </w:rPr>
        <w:t>process.</w:t>
      </w:r>
      <w:r>
        <w:rPr>
          <w:rFonts w:ascii="Arial"/>
          <w:color w:val="1C3E94"/>
          <w:spacing w:val="-26"/>
        </w:rPr>
        <w:t> </w:t>
      </w:r>
      <w:r>
        <w:rPr>
          <w:rFonts w:ascii="Arial"/>
          <w:color w:val="1C3E94"/>
        </w:rPr>
        <w:t>Determining</w:t>
      </w:r>
      <w:r>
        <w:rPr>
          <w:rFonts w:ascii="Arial"/>
          <w:color w:val="1C3E94"/>
          <w:spacing w:val="-26"/>
        </w:rPr>
        <w:t> </w:t>
      </w:r>
      <w:r>
        <w:rPr>
          <w:rFonts w:ascii="Arial"/>
          <w:color w:val="1C3E94"/>
        </w:rPr>
        <w:t>whether this failure resulted from the emergence of a new hazard or failure to control a known hazard is critical to developing strategies to prevent future</w:t>
      </w:r>
      <w:r>
        <w:rPr>
          <w:rFonts w:ascii="Arial"/>
          <w:color w:val="1C3E94"/>
          <w:spacing w:val="-9"/>
        </w:rPr>
        <w:t> </w:t>
      </w:r>
      <w:r>
        <w:rPr>
          <w:rFonts w:ascii="Arial"/>
          <w:color w:val="1C3E94"/>
        </w:rPr>
        <w:t>outbreaks</w:t>
      </w:r>
      <w:r>
        <w:rPr>
          <w:rFonts w:ascii="Arial"/>
          <w:color w:val="1C3E94"/>
          <w:spacing w:val="-9"/>
        </w:rPr>
        <w:t> </w:t>
      </w:r>
      <w:r>
        <w:rPr>
          <w:rFonts w:ascii="Arial"/>
          <w:color w:val="1C3E94"/>
        </w:rPr>
        <w:t>and</w:t>
      </w:r>
      <w:r>
        <w:rPr>
          <w:rFonts w:ascii="Arial"/>
          <w:color w:val="1C3E94"/>
          <w:spacing w:val="-9"/>
        </w:rPr>
        <w:t> </w:t>
      </w:r>
      <w:r>
        <w:rPr>
          <w:rFonts w:ascii="Arial"/>
          <w:color w:val="1C3E94"/>
        </w:rPr>
        <w:t>evaluating</w:t>
      </w:r>
      <w:r>
        <w:rPr>
          <w:rFonts w:ascii="Arial"/>
          <w:color w:val="1C3E94"/>
          <w:spacing w:val="-9"/>
        </w:rPr>
        <w:t> </w:t>
      </w:r>
      <w:r>
        <w:rPr>
          <w:rFonts w:ascii="Arial"/>
          <w:color w:val="1C3E94"/>
        </w:rPr>
        <w:t>the</w:t>
      </w:r>
      <w:r>
        <w:rPr>
          <w:rFonts w:ascii="Arial"/>
          <w:color w:val="1C3E94"/>
          <w:spacing w:val="-9"/>
        </w:rPr>
        <w:t> </w:t>
      </w:r>
      <w:r>
        <w:rPr>
          <w:rFonts w:ascii="Arial"/>
          <w:color w:val="1C3E94"/>
        </w:rPr>
        <w:t>success</w:t>
      </w:r>
      <w:r>
        <w:rPr>
          <w:rFonts w:ascii="Arial"/>
          <w:color w:val="1C3E94"/>
          <w:spacing w:val="-9"/>
        </w:rPr>
        <w:t> </w:t>
      </w:r>
      <w:r>
        <w:rPr>
          <w:rFonts w:ascii="Arial"/>
          <w:color w:val="1C3E94"/>
        </w:rPr>
        <w:t>of</w:t>
      </w:r>
      <w:r>
        <w:rPr>
          <w:rFonts w:ascii="Arial"/>
          <w:color w:val="1C3E94"/>
          <w:spacing w:val="-9"/>
        </w:rPr>
        <w:t> </w:t>
      </w:r>
      <w:r>
        <w:rPr>
          <w:rFonts w:ascii="Arial"/>
          <w:color w:val="1C3E94"/>
        </w:rPr>
        <w:t>those</w:t>
      </w:r>
      <w:r>
        <w:rPr>
          <w:rFonts w:ascii="Arial"/>
          <w:color w:val="1C3E94"/>
          <w:spacing w:val="-9"/>
        </w:rPr>
        <w:t> </w:t>
      </w:r>
      <w:r>
        <w:rPr>
          <w:rFonts w:ascii="Arial"/>
          <w:color w:val="1C3E94"/>
        </w:rPr>
        <w:t>strategies.</w:t>
      </w:r>
    </w:p>
    <w:p>
      <w:pPr>
        <w:spacing w:after="0" w:line="448" w:lineRule="auto"/>
        <w:jc w:val="both"/>
        <w:rPr>
          <w:rFonts w:ascii="Arial"/>
        </w:rPr>
        <w:sectPr>
          <w:footerReference w:type="default" r:id="rId5"/>
          <w:footerReference w:type="even" r:id="rId6"/>
          <w:type w:val="continuous"/>
          <w:pgSz w:w="10080" w:h="14400"/>
          <w:pgMar w:footer="160" w:top="0" w:bottom="360" w:left="0" w:right="0"/>
        </w:sectPr>
      </w:pPr>
    </w:p>
    <w:p>
      <w:pPr>
        <w:pStyle w:val="BodyText"/>
        <w:spacing w:before="5"/>
        <w:rPr>
          <w:rFonts w:ascii="Arial"/>
          <w:sz w:val="10"/>
        </w:rPr>
      </w:pPr>
    </w:p>
    <w:p>
      <w:pPr>
        <w:pStyle w:val="Heading1"/>
        <w:numPr>
          <w:ilvl w:val="1"/>
          <w:numId w:val="1"/>
        </w:numPr>
        <w:tabs>
          <w:tab w:pos="1985" w:val="left" w:leader="none"/>
        </w:tabs>
        <w:spacing w:line="240" w:lineRule="auto" w:before="90" w:after="0"/>
        <w:ind w:left="1984" w:right="0" w:hanging="544"/>
        <w:jc w:val="left"/>
      </w:pPr>
      <w:r>
        <w:rPr/>
        <w:pict>
          <v:line style="position:absolute;mso-position-horizontal-relative:page;mso-position-vertical-relative:paragraph;z-index:1096;mso-wrap-distance-left:0;mso-wrap-distance-right:0" from="72pt,24.045164pt" to="468pt,24.045164pt" stroked="true" strokeweight=".5pt" strokecolor="#00a94f">
            <v:stroke dashstyle="solid"/>
            <w10:wrap type="topAndBottom"/>
          </v:line>
        </w:pict>
      </w:r>
      <w:r>
        <w:rPr>
          <w:color w:val="00A94F"/>
        </w:rPr>
        <w:t>Introduction</w:t>
      </w:r>
    </w:p>
    <w:p>
      <w:pPr>
        <w:pStyle w:val="BodyText"/>
        <w:spacing w:before="7"/>
        <w:rPr>
          <w:rFonts w:ascii="Lucida Sans"/>
          <w:sz w:val="17"/>
        </w:rPr>
      </w:pPr>
    </w:p>
    <w:p>
      <w:pPr>
        <w:spacing w:after="0"/>
        <w:rPr>
          <w:rFonts w:ascii="Lucida Sans"/>
          <w:sz w:val="17"/>
        </w:rPr>
        <w:sectPr>
          <w:headerReference w:type="even" r:id="rId10"/>
          <w:headerReference w:type="default" r:id="rId11"/>
          <w:pgSz w:w="10080" w:h="14400"/>
          <w:pgMar w:header="0" w:footer="160" w:top="1160" w:bottom="360" w:left="0" w:right="0"/>
          <w:pgNumType w:start="58"/>
        </w:sectPr>
      </w:pPr>
    </w:p>
    <w:p>
      <w:pPr>
        <w:pStyle w:val="BodyText"/>
        <w:spacing w:line="266" w:lineRule="auto" w:before="108"/>
        <w:ind w:left="1440" w:right="-8"/>
      </w:pPr>
      <w:r>
        <w:rPr/>
        <w:pict>
          <v:rect style="position:absolute;margin-left:0pt;margin-top:27.299353pt;width:45pt;height:18pt;mso-position-horizontal-relative:page;mso-position-vertical-relative:paragraph;z-index:1144" filled="true" fillcolor="#0079c1" stroked="false">
            <v:fill type="solid"/>
            <w10:wrap type="none"/>
          </v:rect>
        </w:pict>
      </w:r>
      <w:r>
        <w:rPr/>
        <w:pict>
          <v:line style="position:absolute;mso-position-horizontal-relative:page;mso-position-vertical-relative:paragraph;z-index:1168" from="54.5pt,27.300953pt" to="54.5pt,269.198953pt" stroked="true" strokeweight="1pt" strokecolor="#0079c1">
            <v:stroke dashstyle="solid"/>
            <w10:wrap type="none"/>
          </v:line>
        </w:pict>
      </w:r>
      <w:r>
        <w:rPr/>
        <w:pict>
          <v:shape style="position:absolute;margin-left:16.131701pt;margin-top:48.847244pt;width:22.9pt;height:222.55pt;mso-position-horizontal-relative:page;mso-position-vertical-relative:paragraph;z-index:1192"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32.095806pt;width:15.85pt;height:8.5pt;mso-position-horizontal-relative:page;mso-position-vertical-relative:paragraph;z-index:1216"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A variety of surveillance programs are required to accomplish this complex task. Some</w:t>
      </w:r>
      <w:r>
        <w:rPr>
          <w:color w:val="231F20"/>
          <w:spacing w:val="-18"/>
          <w:w w:val="105"/>
        </w:rPr>
        <w:t> </w:t>
      </w:r>
      <w:r>
        <w:rPr>
          <w:color w:val="231F20"/>
          <w:w w:val="105"/>
        </w:rPr>
        <w:t>focus</w:t>
      </w:r>
      <w:r>
        <w:rPr>
          <w:color w:val="231F20"/>
          <w:spacing w:val="-18"/>
          <w:w w:val="105"/>
        </w:rPr>
        <w:t> </w:t>
      </w:r>
      <w:r>
        <w:rPr>
          <w:color w:val="231F20"/>
          <w:w w:val="105"/>
        </w:rPr>
        <w:t>on</w:t>
      </w:r>
      <w:r>
        <w:rPr>
          <w:color w:val="231F20"/>
          <w:spacing w:val="-18"/>
          <w:w w:val="105"/>
        </w:rPr>
        <w:t> </w:t>
      </w:r>
      <w:r>
        <w:rPr>
          <w:color w:val="231F20"/>
          <w:w w:val="105"/>
        </w:rPr>
        <w:t>specific</w:t>
      </w:r>
      <w:r>
        <w:rPr>
          <w:color w:val="231F20"/>
          <w:spacing w:val="-18"/>
          <w:w w:val="105"/>
        </w:rPr>
        <w:t> </w:t>
      </w:r>
      <w:r>
        <w:rPr>
          <w:color w:val="231F20"/>
          <w:w w:val="105"/>
        </w:rPr>
        <w:t>enteric</w:t>
      </w:r>
      <w:r>
        <w:rPr>
          <w:color w:val="231F20"/>
          <w:spacing w:val="-18"/>
          <w:w w:val="105"/>
        </w:rPr>
        <w:t> </w:t>
      </w:r>
      <w:r>
        <w:rPr>
          <w:color w:val="231F20"/>
          <w:w w:val="105"/>
        </w:rPr>
        <w:t>pathogens</w:t>
      </w:r>
      <w:r>
        <w:rPr>
          <w:color w:val="231F20"/>
          <w:spacing w:val="-18"/>
          <w:w w:val="105"/>
        </w:rPr>
        <w:t> </w:t>
      </w:r>
      <w:r>
        <w:rPr>
          <w:color w:val="231F20"/>
          <w:w w:val="105"/>
        </w:rPr>
        <w:t>likely to</w:t>
      </w:r>
      <w:r>
        <w:rPr>
          <w:color w:val="231F20"/>
          <w:spacing w:val="-11"/>
          <w:w w:val="105"/>
        </w:rPr>
        <w:t> </w:t>
      </w:r>
      <w:r>
        <w:rPr>
          <w:color w:val="231F20"/>
          <w:w w:val="105"/>
        </w:rPr>
        <w:t>be</w:t>
      </w:r>
      <w:r>
        <w:rPr>
          <w:color w:val="231F20"/>
          <w:spacing w:val="-10"/>
          <w:w w:val="105"/>
        </w:rPr>
        <w:t> </w:t>
      </w:r>
      <w:r>
        <w:rPr>
          <w:color w:val="231F20"/>
          <w:w w:val="105"/>
        </w:rPr>
        <w:t>transmitted</w:t>
      </w:r>
      <w:r>
        <w:rPr>
          <w:color w:val="231F20"/>
          <w:spacing w:val="-12"/>
          <w:w w:val="105"/>
        </w:rPr>
        <w:t> </w:t>
      </w:r>
      <w:r>
        <w:rPr>
          <w:color w:val="231F20"/>
          <w:w w:val="105"/>
        </w:rPr>
        <w:t>through</w:t>
      </w:r>
      <w:r>
        <w:rPr>
          <w:color w:val="231F20"/>
          <w:spacing w:val="-10"/>
          <w:w w:val="105"/>
        </w:rPr>
        <w:t> </w:t>
      </w:r>
      <w:r>
        <w:rPr>
          <w:color w:val="231F20"/>
          <w:w w:val="105"/>
        </w:rPr>
        <w:t>food</w:t>
      </w:r>
      <w:r>
        <w:rPr>
          <w:color w:val="231F20"/>
          <w:spacing w:val="-10"/>
          <w:w w:val="105"/>
        </w:rPr>
        <w:t> </w:t>
      </w:r>
      <w:r>
        <w:rPr>
          <w:color w:val="231F20"/>
          <w:w w:val="105"/>
        </w:rPr>
        <w:t>and</w:t>
      </w:r>
      <w:r>
        <w:rPr>
          <w:color w:val="231F20"/>
          <w:spacing w:val="-11"/>
          <w:w w:val="105"/>
        </w:rPr>
        <w:t> </w:t>
      </w:r>
      <w:r>
        <w:rPr>
          <w:color w:val="231F20"/>
          <w:spacing w:val="-3"/>
          <w:w w:val="105"/>
        </w:rPr>
        <w:t>have</w:t>
      </w:r>
      <w:r>
        <w:rPr>
          <w:color w:val="231F20"/>
          <w:spacing w:val="-10"/>
          <w:w w:val="105"/>
        </w:rPr>
        <w:t> </w:t>
      </w:r>
      <w:r>
        <w:rPr>
          <w:color w:val="231F20"/>
          <w:w w:val="105"/>
        </w:rPr>
        <w:t>been used extensively for decades. More </w:t>
      </w:r>
      <w:r>
        <w:rPr>
          <w:color w:val="231F20"/>
          <w:spacing w:val="-4"/>
          <w:w w:val="105"/>
        </w:rPr>
        <w:t>recently, </w:t>
      </w:r>
      <w:r>
        <w:rPr>
          <w:color w:val="231F20"/>
          <w:w w:val="105"/>
        </w:rPr>
        <w:t>new surveillance methods </w:t>
      </w:r>
      <w:r>
        <w:rPr>
          <w:color w:val="231F20"/>
          <w:spacing w:val="-3"/>
          <w:w w:val="105"/>
        </w:rPr>
        <w:t>have </w:t>
      </w:r>
      <w:r>
        <w:rPr>
          <w:color w:val="231F20"/>
          <w:w w:val="105"/>
        </w:rPr>
        <w:t>emerged that shed</w:t>
      </w:r>
      <w:r>
        <w:rPr>
          <w:color w:val="231F20"/>
          <w:spacing w:val="-24"/>
          <w:w w:val="105"/>
        </w:rPr>
        <w:t> </w:t>
      </w:r>
      <w:r>
        <w:rPr>
          <w:color w:val="231F20"/>
          <w:w w:val="105"/>
        </w:rPr>
        <w:t>light</w:t>
      </w:r>
      <w:r>
        <w:rPr>
          <w:color w:val="231F20"/>
          <w:spacing w:val="-24"/>
          <w:w w:val="105"/>
        </w:rPr>
        <w:t> </w:t>
      </w:r>
      <w:r>
        <w:rPr>
          <w:color w:val="231F20"/>
          <w:w w:val="105"/>
        </w:rPr>
        <w:t>on</w:t>
      </w:r>
      <w:r>
        <w:rPr>
          <w:color w:val="231F20"/>
          <w:spacing w:val="-24"/>
          <w:w w:val="105"/>
        </w:rPr>
        <w:t> </w:t>
      </w:r>
      <w:r>
        <w:rPr>
          <w:color w:val="231F20"/>
          <w:w w:val="105"/>
        </w:rPr>
        <w:t>food</w:t>
      </w:r>
      <w:r>
        <w:rPr>
          <w:color w:val="231F20"/>
          <w:spacing w:val="-24"/>
          <w:w w:val="105"/>
        </w:rPr>
        <w:t> </w:t>
      </w:r>
      <w:r>
        <w:rPr>
          <w:color w:val="231F20"/>
          <w:w w:val="105"/>
        </w:rPr>
        <w:t>vehicles,</w:t>
      </w:r>
      <w:r>
        <w:rPr>
          <w:color w:val="231F20"/>
          <w:spacing w:val="-24"/>
          <w:w w:val="105"/>
        </w:rPr>
        <w:t> </w:t>
      </w:r>
      <w:r>
        <w:rPr>
          <w:color w:val="231F20"/>
          <w:w w:val="105"/>
        </w:rPr>
        <w:t>settings,</w:t>
      </w:r>
      <w:r>
        <w:rPr>
          <w:color w:val="231F20"/>
          <w:spacing w:val="-24"/>
          <w:w w:val="105"/>
        </w:rPr>
        <w:t> </w:t>
      </w:r>
      <w:r>
        <w:rPr>
          <w:color w:val="231F20"/>
          <w:w w:val="105"/>
        </w:rPr>
        <w:t>pathogens, contributing factors, and environmental antecedents.</w:t>
      </w:r>
    </w:p>
    <w:p>
      <w:pPr>
        <w:pStyle w:val="BodyText"/>
        <w:spacing w:line="266" w:lineRule="auto" w:before="108"/>
        <w:ind w:left="356" w:right="611"/>
      </w:pPr>
      <w:r>
        <w:rPr/>
        <w:br w:type="column"/>
      </w:r>
      <w:r>
        <w:rPr>
          <w:color w:val="231F20"/>
          <w:w w:val="105"/>
        </w:rPr>
        <w:t>This chapter provides an overview of fundamental concepts in public health surveillance and foodborne disease in the United States and outlines some factors responsible</w:t>
      </w:r>
      <w:r>
        <w:rPr>
          <w:color w:val="231F20"/>
          <w:spacing w:val="-20"/>
          <w:w w:val="105"/>
        </w:rPr>
        <w:t> </w:t>
      </w:r>
      <w:r>
        <w:rPr>
          <w:color w:val="231F20"/>
          <w:w w:val="105"/>
        </w:rPr>
        <w:t>for</w:t>
      </w:r>
      <w:r>
        <w:rPr>
          <w:color w:val="231F20"/>
          <w:spacing w:val="-20"/>
          <w:w w:val="105"/>
        </w:rPr>
        <w:t> </w:t>
      </w:r>
      <w:r>
        <w:rPr>
          <w:color w:val="231F20"/>
          <w:w w:val="105"/>
        </w:rPr>
        <w:t>recent</w:t>
      </w:r>
      <w:r>
        <w:rPr>
          <w:color w:val="231F20"/>
          <w:spacing w:val="-21"/>
          <w:w w:val="105"/>
        </w:rPr>
        <w:t> </w:t>
      </w:r>
      <w:r>
        <w:rPr>
          <w:color w:val="231F20"/>
          <w:w w:val="105"/>
        </w:rPr>
        <w:t>trends</w:t>
      </w:r>
      <w:r>
        <w:rPr>
          <w:color w:val="231F20"/>
          <w:spacing w:val="-21"/>
          <w:w w:val="105"/>
        </w:rPr>
        <w:t> </w:t>
      </w:r>
      <w:r>
        <w:rPr>
          <w:color w:val="231F20"/>
          <w:w w:val="105"/>
        </w:rPr>
        <w:t>and</w:t>
      </w:r>
      <w:r>
        <w:rPr>
          <w:color w:val="231F20"/>
          <w:spacing w:val="-21"/>
          <w:w w:val="105"/>
        </w:rPr>
        <w:t> </w:t>
      </w:r>
      <w:r>
        <w:rPr>
          <w:color w:val="231F20"/>
          <w:w w:val="105"/>
        </w:rPr>
        <w:t>challenges.</w:t>
      </w:r>
    </w:p>
    <w:p>
      <w:pPr>
        <w:spacing w:after="0" w:line="266" w:lineRule="auto"/>
        <w:sectPr>
          <w:type w:val="continuous"/>
          <w:pgSz w:w="10080" w:h="14400"/>
          <w:pgMar w:top="0" w:bottom="360" w:left="0" w:right="0"/>
          <w:cols w:num="2" w:equalWidth="0">
            <w:col w:w="5184" w:space="40"/>
            <w:col w:w="4856"/>
          </w:cols>
        </w:sectPr>
      </w:pPr>
    </w:p>
    <w:p>
      <w:pPr>
        <w:pStyle w:val="BodyText"/>
        <w:spacing w:before="6"/>
        <w:rPr>
          <w:sz w:val="24"/>
        </w:rPr>
      </w:pPr>
    </w:p>
    <w:p>
      <w:pPr>
        <w:pStyle w:val="Heading1"/>
        <w:numPr>
          <w:ilvl w:val="1"/>
          <w:numId w:val="1"/>
        </w:numPr>
        <w:tabs>
          <w:tab w:pos="1985" w:val="left" w:leader="none"/>
        </w:tabs>
        <w:spacing w:line="244" w:lineRule="auto" w:before="89" w:after="0"/>
        <w:ind w:left="1984" w:right="828" w:hanging="544"/>
        <w:jc w:val="left"/>
      </w:pPr>
      <w:r>
        <w:rPr/>
        <w:pict>
          <v:line style="position:absolute;mso-position-horizontal-relative:page;mso-position-vertical-relative:paragraph;z-index:1120;mso-wrap-distance-left:0;mso-wrap-distance-right:0" from="72pt,40.795155pt" to="468pt,40.795155pt" stroked="true" strokeweight=".5pt" strokecolor="#00a94f">
            <v:stroke dashstyle="solid"/>
            <w10:wrap type="topAndBottom"/>
          </v:line>
        </w:pict>
      </w:r>
      <w:r>
        <w:rPr>
          <w:color w:val="00A94F"/>
          <w:spacing w:val="-6"/>
          <w:w w:val="95"/>
        </w:rPr>
        <w:t>Trends</w:t>
      </w:r>
      <w:r>
        <w:rPr>
          <w:color w:val="00A94F"/>
          <w:spacing w:val="-18"/>
          <w:w w:val="95"/>
        </w:rPr>
        <w:t> </w:t>
      </w:r>
      <w:r>
        <w:rPr>
          <w:color w:val="00A94F"/>
          <w:w w:val="95"/>
        </w:rPr>
        <w:t>in</w:t>
      </w:r>
      <w:r>
        <w:rPr>
          <w:color w:val="00A94F"/>
          <w:spacing w:val="-18"/>
          <w:w w:val="95"/>
        </w:rPr>
        <w:t> </w:t>
      </w:r>
      <w:r>
        <w:rPr>
          <w:color w:val="00A94F"/>
          <w:w w:val="95"/>
        </w:rPr>
        <w:t>Diet,</w:t>
      </w:r>
      <w:r>
        <w:rPr>
          <w:color w:val="00A94F"/>
          <w:spacing w:val="-18"/>
          <w:w w:val="95"/>
        </w:rPr>
        <w:t> </w:t>
      </w:r>
      <w:r>
        <w:rPr>
          <w:color w:val="00A94F"/>
          <w:w w:val="95"/>
        </w:rPr>
        <w:t>the</w:t>
      </w:r>
      <w:r>
        <w:rPr>
          <w:color w:val="00A94F"/>
          <w:spacing w:val="-18"/>
          <w:w w:val="95"/>
        </w:rPr>
        <w:t> </w:t>
      </w:r>
      <w:r>
        <w:rPr>
          <w:color w:val="00A94F"/>
          <w:w w:val="95"/>
        </w:rPr>
        <w:t>Food</w:t>
      </w:r>
      <w:r>
        <w:rPr>
          <w:color w:val="00A94F"/>
          <w:spacing w:val="-18"/>
          <w:w w:val="95"/>
        </w:rPr>
        <w:t> </w:t>
      </w:r>
      <w:r>
        <w:rPr>
          <w:color w:val="00A94F"/>
          <w:spacing w:val="-3"/>
          <w:w w:val="95"/>
        </w:rPr>
        <w:t>Industry,</w:t>
      </w:r>
      <w:r>
        <w:rPr>
          <w:color w:val="00A94F"/>
          <w:spacing w:val="-18"/>
          <w:w w:val="95"/>
        </w:rPr>
        <w:t> </w:t>
      </w:r>
      <w:r>
        <w:rPr>
          <w:color w:val="00A94F"/>
          <w:w w:val="95"/>
        </w:rPr>
        <w:t>and</w:t>
      </w:r>
      <w:r>
        <w:rPr>
          <w:color w:val="00A94F"/>
          <w:spacing w:val="-18"/>
          <w:w w:val="95"/>
        </w:rPr>
        <w:t> </w:t>
      </w:r>
      <w:r>
        <w:rPr>
          <w:color w:val="00A94F"/>
          <w:w w:val="95"/>
        </w:rPr>
        <w:t>Foodborne</w:t>
      </w:r>
      <w:r>
        <w:rPr>
          <w:color w:val="00A94F"/>
          <w:spacing w:val="-18"/>
          <w:w w:val="95"/>
        </w:rPr>
        <w:t> </w:t>
      </w:r>
      <w:r>
        <w:rPr>
          <w:color w:val="00A94F"/>
          <w:w w:val="95"/>
        </w:rPr>
        <w:t>Disease </w:t>
      </w:r>
      <w:r>
        <w:rPr>
          <w:color w:val="00A94F"/>
        </w:rPr>
        <w:t>Outbreaks</w:t>
      </w:r>
    </w:p>
    <w:p>
      <w:pPr>
        <w:pStyle w:val="BodyText"/>
        <w:spacing w:before="2"/>
        <w:rPr>
          <w:rFonts w:ascii="Lucida Sans"/>
          <w:sz w:val="25"/>
        </w:rPr>
      </w:pPr>
    </w:p>
    <w:p>
      <w:pPr>
        <w:spacing w:after="0"/>
        <w:rPr>
          <w:rFonts w:ascii="Lucida Sans"/>
          <w:sz w:val="25"/>
        </w:rPr>
        <w:sectPr>
          <w:type w:val="continuous"/>
          <w:pgSz w:w="10080" w:h="14400"/>
          <w:pgMar w:top="0" w:bottom="360" w:left="0" w:right="0"/>
        </w:sectPr>
      </w:pPr>
    </w:p>
    <w:p>
      <w:pPr>
        <w:pStyle w:val="ListParagraph"/>
        <w:numPr>
          <w:ilvl w:val="2"/>
          <w:numId w:val="1"/>
        </w:numPr>
        <w:tabs>
          <w:tab w:pos="1996" w:val="left" w:leader="none"/>
        </w:tabs>
        <w:spacing w:line="240" w:lineRule="auto" w:before="104" w:after="0"/>
        <w:ind w:left="1996" w:right="0" w:hanging="556"/>
        <w:jc w:val="left"/>
        <w:rPr>
          <w:rFonts w:ascii="Lucida Sans"/>
          <w:sz w:val="20"/>
        </w:rPr>
      </w:pPr>
      <w:r>
        <w:rPr>
          <w:rFonts w:ascii="Lucida Sans"/>
          <w:color w:val="1C3E94"/>
          <w:w w:val="95"/>
          <w:sz w:val="20"/>
        </w:rPr>
        <w:t>Dietary</w:t>
      </w:r>
      <w:r>
        <w:rPr>
          <w:rFonts w:ascii="Lucida Sans"/>
          <w:color w:val="1C3E94"/>
          <w:spacing w:val="-21"/>
          <w:w w:val="95"/>
          <w:sz w:val="20"/>
        </w:rPr>
        <w:t> </w:t>
      </w:r>
      <w:r>
        <w:rPr>
          <w:rFonts w:ascii="Lucida Sans"/>
          <w:color w:val="1C3E94"/>
          <w:w w:val="95"/>
          <w:sz w:val="20"/>
        </w:rPr>
        <w:t>Changes</w:t>
      </w:r>
    </w:p>
    <w:p>
      <w:pPr>
        <w:pStyle w:val="BodyText"/>
        <w:spacing w:before="3"/>
        <w:rPr>
          <w:rFonts w:ascii="Lucida Sans"/>
          <w:sz w:val="18"/>
        </w:rPr>
      </w:pPr>
    </w:p>
    <w:p>
      <w:pPr>
        <w:pStyle w:val="BodyText"/>
        <w:spacing w:line="266" w:lineRule="auto"/>
        <w:ind w:left="1440" w:right="252"/>
      </w:pPr>
      <w:r>
        <w:rPr>
          <w:color w:val="231F20"/>
          <w:w w:val="105"/>
        </w:rPr>
        <w:t>That we no longer are a nation of  meat and potato eaters is evidenced </w:t>
      </w:r>
      <w:r>
        <w:rPr>
          <w:color w:val="231F20"/>
          <w:spacing w:val="-3"/>
          <w:w w:val="105"/>
        </w:rPr>
        <w:t>by </w:t>
      </w:r>
      <w:r>
        <w:rPr>
          <w:color w:val="231F20"/>
          <w:w w:val="105"/>
        </w:rPr>
        <w:t>the most recent dietary recommendations of the </w:t>
      </w:r>
      <w:r>
        <w:rPr>
          <w:color w:val="231F20"/>
          <w:spacing w:val="-8"/>
          <w:w w:val="105"/>
        </w:rPr>
        <w:t>U.S.</w:t>
      </w:r>
    </w:p>
    <w:p>
      <w:pPr>
        <w:pStyle w:val="BodyText"/>
        <w:spacing w:line="266" w:lineRule="auto"/>
        <w:ind w:left="1440" w:right="208"/>
      </w:pPr>
      <w:r>
        <w:rPr>
          <w:color w:val="231F20"/>
          <w:w w:val="105"/>
        </w:rPr>
        <w:t>Department of Health and Human Services and the U.S. Department of Agriculture (USDA), which emphasize the importance of eating a variety of fruit, vegetables, and</w:t>
      </w:r>
    </w:p>
    <w:p>
      <w:pPr>
        <w:pStyle w:val="BodyText"/>
        <w:spacing w:line="266" w:lineRule="auto"/>
        <w:ind w:left="1440" w:right="-8"/>
        <w:rPr>
          <w:sz w:val="11"/>
        </w:rPr>
      </w:pPr>
      <w:r>
        <w:rPr>
          <w:color w:val="231F20"/>
          <w:w w:val="105"/>
        </w:rPr>
        <w:t>protein.</w:t>
      </w:r>
      <w:r>
        <w:rPr>
          <w:color w:val="231F20"/>
          <w:w w:val="105"/>
          <w:position w:val="7"/>
          <w:sz w:val="11"/>
        </w:rPr>
        <w:t>1 </w:t>
      </w:r>
      <w:r>
        <w:rPr>
          <w:color w:val="231F20"/>
          <w:spacing w:val="-4"/>
          <w:w w:val="105"/>
        </w:rPr>
        <w:t>From </w:t>
      </w:r>
      <w:r>
        <w:rPr>
          <w:color w:val="231F20"/>
          <w:w w:val="105"/>
        </w:rPr>
        <w:t>1985 through 2005, the annual per</w:t>
      </w:r>
      <w:r>
        <w:rPr>
          <w:color w:val="231F20"/>
          <w:spacing w:val="-14"/>
          <w:w w:val="105"/>
        </w:rPr>
        <w:t> </w:t>
      </w:r>
      <w:r>
        <w:rPr>
          <w:color w:val="231F20"/>
          <w:w w:val="105"/>
        </w:rPr>
        <w:t>capita</w:t>
      </w:r>
      <w:r>
        <w:rPr>
          <w:color w:val="231F20"/>
          <w:spacing w:val="-14"/>
          <w:w w:val="105"/>
        </w:rPr>
        <w:t> </w:t>
      </w:r>
      <w:r>
        <w:rPr>
          <w:color w:val="231F20"/>
          <w:w w:val="105"/>
        </w:rPr>
        <w:t>consumption</w:t>
      </w:r>
      <w:r>
        <w:rPr>
          <w:color w:val="231F20"/>
          <w:spacing w:val="-14"/>
          <w:w w:val="105"/>
        </w:rPr>
        <w:t> </w:t>
      </w:r>
      <w:r>
        <w:rPr>
          <w:color w:val="231F20"/>
          <w:w w:val="105"/>
        </w:rPr>
        <w:t>of</w:t>
      </w:r>
      <w:r>
        <w:rPr>
          <w:color w:val="231F20"/>
          <w:spacing w:val="8"/>
          <w:w w:val="105"/>
        </w:rPr>
        <w:t> </w:t>
      </w:r>
      <w:r>
        <w:rPr>
          <w:color w:val="231F20"/>
          <w:w w:val="105"/>
        </w:rPr>
        <w:t>fruit</w:t>
      </w:r>
      <w:r>
        <w:rPr>
          <w:color w:val="231F20"/>
          <w:spacing w:val="-14"/>
          <w:w w:val="105"/>
        </w:rPr>
        <w:t> </w:t>
      </w:r>
      <w:r>
        <w:rPr>
          <w:color w:val="231F20"/>
          <w:w w:val="105"/>
        </w:rPr>
        <w:t>and</w:t>
      </w:r>
      <w:r>
        <w:rPr>
          <w:color w:val="231F20"/>
          <w:spacing w:val="-15"/>
          <w:w w:val="105"/>
        </w:rPr>
        <w:t> </w:t>
      </w:r>
      <w:r>
        <w:rPr>
          <w:color w:val="231F20"/>
          <w:w w:val="105"/>
        </w:rPr>
        <w:t>vegetables rose from 89 to 101 pounds and from 123 to 174 pounds, </w:t>
      </w:r>
      <w:r>
        <w:rPr>
          <w:color w:val="231F20"/>
          <w:spacing w:val="-3"/>
          <w:w w:val="105"/>
        </w:rPr>
        <w:t>respectively.</w:t>
      </w:r>
      <w:r>
        <w:rPr>
          <w:color w:val="231F20"/>
          <w:spacing w:val="-3"/>
          <w:w w:val="105"/>
          <w:position w:val="7"/>
          <w:sz w:val="11"/>
        </w:rPr>
        <w:t>2 </w:t>
      </w:r>
      <w:r>
        <w:rPr>
          <w:color w:val="231F20"/>
          <w:w w:val="105"/>
        </w:rPr>
        <w:t>In 2011, the annual per capita consumption of seafood (fish and shellfish)</w:t>
      </w:r>
      <w:r>
        <w:rPr>
          <w:color w:val="231F20"/>
          <w:spacing w:val="-14"/>
          <w:w w:val="105"/>
        </w:rPr>
        <w:t> </w:t>
      </w:r>
      <w:r>
        <w:rPr>
          <w:color w:val="231F20"/>
          <w:w w:val="105"/>
        </w:rPr>
        <w:t>was</w:t>
      </w:r>
      <w:r>
        <w:rPr>
          <w:color w:val="231F20"/>
          <w:spacing w:val="-14"/>
          <w:w w:val="105"/>
        </w:rPr>
        <w:t> </w:t>
      </w:r>
      <w:r>
        <w:rPr>
          <w:color w:val="231F20"/>
          <w:w w:val="105"/>
        </w:rPr>
        <w:t>15.0</w:t>
      </w:r>
      <w:r>
        <w:rPr>
          <w:color w:val="231F20"/>
          <w:spacing w:val="-14"/>
          <w:w w:val="105"/>
        </w:rPr>
        <w:t> </w:t>
      </w:r>
      <w:r>
        <w:rPr>
          <w:color w:val="231F20"/>
          <w:w w:val="105"/>
        </w:rPr>
        <w:t>pounds,</w:t>
      </w:r>
      <w:r>
        <w:rPr>
          <w:color w:val="231F20"/>
          <w:spacing w:val="-14"/>
          <w:w w:val="105"/>
        </w:rPr>
        <w:t> </w:t>
      </w:r>
      <w:r>
        <w:rPr>
          <w:color w:val="231F20"/>
          <w:w w:val="105"/>
        </w:rPr>
        <w:t>compared</w:t>
      </w:r>
      <w:r>
        <w:rPr>
          <w:color w:val="231F20"/>
          <w:spacing w:val="-14"/>
          <w:w w:val="105"/>
        </w:rPr>
        <w:t> </w:t>
      </w:r>
      <w:r>
        <w:rPr>
          <w:color w:val="231F20"/>
          <w:w w:val="105"/>
        </w:rPr>
        <w:t>with</w:t>
      </w:r>
      <w:r>
        <w:rPr>
          <w:color w:val="231F20"/>
          <w:spacing w:val="-14"/>
          <w:w w:val="105"/>
        </w:rPr>
        <w:t> </w:t>
      </w:r>
      <w:r>
        <w:rPr>
          <w:color w:val="231F20"/>
          <w:w w:val="105"/>
        </w:rPr>
        <w:t>12.4 in</w:t>
      </w:r>
      <w:r>
        <w:rPr>
          <w:color w:val="231F20"/>
          <w:spacing w:val="20"/>
          <w:w w:val="105"/>
        </w:rPr>
        <w:t> </w:t>
      </w:r>
      <w:r>
        <w:rPr>
          <w:color w:val="231F20"/>
          <w:w w:val="105"/>
        </w:rPr>
        <w:t>1980.</w:t>
      </w:r>
      <w:r>
        <w:rPr>
          <w:color w:val="231F20"/>
          <w:w w:val="105"/>
          <w:position w:val="7"/>
          <w:sz w:val="11"/>
        </w:rPr>
        <w:t>3,4</w:t>
      </w:r>
    </w:p>
    <w:p>
      <w:pPr>
        <w:pStyle w:val="BodyText"/>
        <w:spacing w:line="266" w:lineRule="auto" w:before="180"/>
        <w:ind w:left="1440" w:right="-4"/>
      </w:pPr>
      <w:r>
        <w:rPr>
          <w:color w:val="231F20"/>
          <w:w w:val="105"/>
        </w:rPr>
        <w:t>Changes in diets and food preferences have resulted in a greater demand for a broader variety of fruits, vegetables, and other foods. The food industry has accommodated this demand by moving from locally grown and raised products to routine importation of items once considered out of season or too exotic. According to a report by the USDA’s Economic Research Service (ERS), U.S. food imports grew from $41 billion in 1999 to $103</w:t>
      </w:r>
    </w:p>
    <w:p>
      <w:pPr>
        <w:pStyle w:val="BodyText"/>
        <w:spacing w:line="266" w:lineRule="auto"/>
        <w:ind w:left="1440" w:right="-11"/>
      </w:pPr>
      <w:r>
        <w:rPr>
          <w:color w:val="231F20"/>
          <w:w w:val="105"/>
        </w:rPr>
        <w:t>billion in 2011.</w:t>
      </w:r>
      <w:r>
        <w:rPr>
          <w:color w:val="231F20"/>
          <w:w w:val="105"/>
          <w:position w:val="7"/>
          <w:sz w:val="11"/>
        </w:rPr>
        <w:t>5 </w:t>
      </w:r>
      <w:r>
        <w:rPr>
          <w:color w:val="231F20"/>
          <w:w w:val="105"/>
        </w:rPr>
        <w:t>Much of that growth occurred in</w:t>
      </w:r>
      <w:r>
        <w:rPr>
          <w:color w:val="231F20"/>
          <w:spacing w:val="-14"/>
          <w:w w:val="105"/>
        </w:rPr>
        <w:t> </w:t>
      </w:r>
      <w:r>
        <w:rPr>
          <w:color w:val="231F20"/>
          <w:w w:val="105"/>
        </w:rPr>
        <w:t>fruit</w:t>
      </w:r>
      <w:r>
        <w:rPr>
          <w:color w:val="231F20"/>
          <w:spacing w:val="-13"/>
          <w:w w:val="105"/>
        </w:rPr>
        <w:t> </w:t>
      </w:r>
      <w:r>
        <w:rPr>
          <w:color w:val="231F20"/>
          <w:w w:val="105"/>
        </w:rPr>
        <w:t>and</w:t>
      </w:r>
      <w:r>
        <w:rPr>
          <w:color w:val="231F20"/>
          <w:spacing w:val="-14"/>
          <w:w w:val="105"/>
        </w:rPr>
        <w:t> </w:t>
      </w:r>
      <w:r>
        <w:rPr>
          <w:color w:val="231F20"/>
          <w:w w:val="105"/>
        </w:rPr>
        <w:t>vegetables,</w:t>
      </w:r>
      <w:r>
        <w:rPr>
          <w:color w:val="231F20"/>
          <w:spacing w:val="-13"/>
          <w:w w:val="105"/>
        </w:rPr>
        <w:t> </w:t>
      </w:r>
      <w:r>
        <w:rPr>
          <w:color w:val="231F20"/>
          <w:w w:val="105"/>
        </w:rPr>
        <w:t>seafood,</w:t>
      </w:r>
      <w:r>
        <w:rPr>
          <w:color w:val="231F20"/>
          <w:spacing w:val="-13"/>
          <w:w w:val="105"/>
        </w:rPr>
        <w:t> </w:t>
      </w:r>
      <w:r>
        <w:rPr>
          <w:color w:val="231F20"/>
          <w:w w:val="105"/>
        </w:rPr>
        <w:t>and</w:t>
      </w:r>
      <w:r>
        <w:rPr>
          <w:color w:val="231F20"/>
          <w:spacing w:val="-14"/>
          <w:w w:val="105"/>
        </w:rPr>
        <w:t> </w:t>
      </w:r>
      <w:r>
        <w:rPr>
          <w:color w:val="231F20"/>
          <w:w w:val="105"/>
        </w:rPr>
        <w:t>processed food products. In 2011, an estimated 15%– 20%</w:t>
      </w:r>
      <w:r>
        <w:rPr>
          <w:color w:val="231F20"/>
          <w:spacing w:val="-11"/>
          <w:w w:val="105"/>
        </w:rPr>
        <w:t> </w:t>
      </w:r>
      <w:r>
        <w:rPr>
          <w:color w:val="231F20"/>
          <w:w w:val="105"/>
        </w:rPr>
        <w:t>of</w:t>
      </w:r>
      <w:r>
        <w:rPr>
          <w:color w:val="231F20"/>
          <w:spacing w:val="12"/>
          <w:w w:val="105"/>
        </w:rPr>
        <w:t> </w:t>
      </w:r>
      <w:r>
        <w:rPr>
          <w:color w:val="231F20"/>
          <w:w w:val="105"/>
        </w:rPr>
        <w:t>all</w:t>
      </w:r>
      <w:r>
        <w:rPr>
          <w:color w:val="231F20"/>
          <w:spacing w:val="-12"/>
          <w:w w:val="105"/>
        </w:rPr>
        <w:t> </w:t>
      </w:r>
      <w:r>
        <w:rPr>
          <w:color w:val="231F20"/>
          <w:w w:val="105"/>
        </w:rPr>
        <w:t>food</w:t>
      </w:r>
      <w:r>
        <w:rPr>
          <w:color w:val="231F20"/>
          <w:spacing w:val="-11"/>
          <w:w w:val="105"/>
        </w:rPr>
        <w:t> </w:t>
      </w:r>
      <w:r>
        <w:rPr>
          <w:color w:val="231F20"/>
          <w:w w:val="105"/>
        </w:rPr>
        <w:t>consumed</w:t>
      </w:r>
      <w:r>
        <w:rPr>
          <w:color w:val="231F20"/>
          <w:spacing w:val="-11"/>
          <w:w w:val="105"/>
        </w:rPr>
        <w:t> </w:t>
      </w:r>
      <w:r>
        <w:rPr>
          <w:color w:val="231F20"/>
          <w:w w:val="105"/>
        </w:rPr>
        <w:t>in</w:t>
      </w:r>
      <w:r>
        <w:rPr>
          <w:color w:val="231F20"/>
          <w:spacing w:val="-12"/>
          <w:w w:val="105"/>
        </w:rPr>
        <w:t> </w:t>
      </w:r>
      <w:r>
        <w:rPr>
          <w:color w:val="231F20"/>
          <w:w w:val="105"/>
        </w:rPr>
        <w:t>the</w:t>
      </w:r>
      <w:r>
        <w:rPr>
          <w:color w:val="231F20"/>
          <w:spacing w:val="-12"/>
          <w:w w:val="105"/>
        </w:rPr>
        <w:t> </w:t>
      </w:r>
      <w:r>
        <w:rPr>
          <w:color w:val="231F20"/>
          <w:w w:val="105"/>
        </w:rPr>
        <w:t>United</w:t>
      </w:r>
      <w:r>
        <w:rPr>
          <w:color w:val="231F20"/>
          <w:spacing w:val="-11"/>
          <w:w w:val="105"/>
        </w:rPr>
        <w:t> </w:t>
      </w:r>
      <w:r>
        <w:rPr>
          <w:color w:val="231F20"/>
          <w:w w:val="105"/>
        </w:rPr>
        <w:t>States</w:t>
      </w:r>
    </w:p>
    <w:p>
      <w:pPr>
        <w:pStyle w:val="BodyText"/>
        <w:spacing w:line="266" w:lineRule="auto" w:before="107"/>
        <w:ind w:left="324" w:right="814"/>
        <w:rPr>
          <w:sz w:val="11"/>
        </w:rPr>
      </w:pPr>
      <w:r>
        <w:rPr/>
        <w:br w:type="column"/>
      </w:r>
      <w:r>
        <w:rPr>
          <w:color w:val="231F20"/>
          <w:w w:val="105"/>
        </w:rPr>
        <w:t>originated from other countries, including over 70% of seafood and about 35% of fresh produce. In some seasons, as much as 60% of fresh produce consumed by Americans is imported.</w:t>
      </w:r>
      <w:r>
        <w:rPr>
          <w:color w:val="231F20"/>
          <w:w w:val="105"/>
          <w:position w:val="7"/>
          <w:sz w:val="11"/>
        </w:rPr>
        <w:t>6</w:t>
      </w:r>
    </w:p>
    <w:p>
      <w:pPr>
        <w:pStyle w:val="BodyText"/>
        <w:spacing w:line="266" w:lineRule="auto" w:before="180"/>
        <w:ind w:left="324" w:right="820"/>
      </w:pPr>
      <w:r>
        <w:rPr>
          <w:color w:val="231F20"/>
        </w:rPr>
        <w:t>The safety of imported food products depends largely on the public health and food safety systems of other countries and is not always guaranteed. The existence of food safety problems in other countries is supported </w:t>
      </w:r>
      <w:r>
        <w:rPr>
          <w:color w:val="231F20"/>
          <w:spacing w:val="-3"/>
        </w:rPr>
        <w:t>by </w:t>
      </w:r>
      <w:r>
        <w:rPr>
          <w:color w:val="231F20"/>
        </w:rPr>
        <w:t>recent analyses of foodborne disease outbreaks reported to the Centers for Disease Control  and Prevention (CDC). During  </w:t>
      </w:r>
      <w:r>
        <w:rPr>
          <w:color w:val="231F20"/>
          <w:spacing w:val="23"/>
        </w:rPr>
        <w:t> </w:t>
      </w:r>
      <w:r>
        <w:rPr>
          <w:color w:val="231F20"/>
        </w:rPr>
        <w:t>2005–2010,</w:t>
      </w:r>
    </w:p>
    <w:p>
      <w:pPr>
        <w:pStyle w:val="BodyText"/>
        <w:spacing w:line="266" w:lineRule="auto"/>
        <w:ind w:left="324" w:right="875"/>
      </w:pPr>
      <w:r>
        <w:rPr>
          <w:color w:val="231F20"/>
          <w:w w:val="105"/>
        </w:rPr>
        <w:t>39 outbreaks (0.7% of outbreaks where the country of origin of the contaminated food item or ingredient was reported) were linked to imported items from 15 countries. Of those outbreaks, nearly half (17) occurred in 2009 and 2010. Overall, fish was the most</w:t>
      </w:r>
    </w:p>
    <w:p>
      <w:pPr>
        <w:pStyle w:val="BodyText"/>
        <w:spacing w:line="266" w:lineRule="auto"/>
        <w:ind w:left="324" w:right="805"/>
        <w:rPr>
          <w:sz w:val="11"/>
        </w:rPr>
      </w:pPr>
      <w:r>
        <w:rPr>
          <w:color w:val="231F20"/>
          <w:w w:val="105"/>
        </w:rPr>
        <w:t>commonly</w:t>
      </w:r>
      <w:r>
        <w:rPr>
          <w:color w:val="231F20"/>
          <w:spacing w:val="-20"/>
          <w:w w:val="105"/>
        </w:rPr>
        <w:t> </w:t>
      </w:r>
      <w:r>
        <w:rPr>
          <w:color w:val="231F20"/>
          <w:w w:val="105"/>
        </w:rPr>
        <w:t>implicated</w:t>
      </w:r>
      <w:r>
        <w:rPr>
          <w:color w:val="231F20"/>
          <w:spacing w:val="-20"/>
          <w:w w:val="105"/>
        </w:rPr>
        <w:t> </w:t>
      </w:r>
      <w:r>
        <w:rPr>
          <w:color w:val="231F20"/>
          <w:w w:val="105"/>
        </w:rPr>
        <w:t>food</w:t>
      </w:r>
      <w:r>
        <w:rPr>
          <w:color w:val="231F20"/>
          <w:spacing w:val="-20"/>
          <w:w w:val="105"/>
        </w:rPr>
        <w:t> </w:t>
      </w:r>
      <w:r>
        <w:rPr>
          <w:color w:val="231F20"/>
          <w:w w:val="105"/>
        </w:rPr>
        <w:t>in</w:t>
      </w:r>
      <w:r>
        <w:rPr>
          <w:color w:val="231F20"/>
          <w:spacing w:val="-20"/>
          <w:w w:val="105"/>
        </w:rPr>
        <w:t> </w:t>
      </w:r>
      <w:r>
        <w:rPr>
          <w:color w:val="231F20"/>
          <w:w w:val="105"/>
        </w:rPr>
        <w:t>these</w:t>
      </w:r>
      <w:r>
        <w:rPr>
          <w:color w:val="231F20"/>
          <w:spacing w:val="-20"/>
          <w:w w:val="105"/>
        </w:rPr>
        <w:t> </w:t>
      </w:r>
      <w:r>
        <w:rPr>
          <w:color w:val="231F20"/>
          <w:w w:val="105"/>
        </w:rPr>
        <w:t>outbreaks, followed </w:t>
      </w:r>
      <w:r>
        <w:rPr>
          <w:color w:val="231F20"/>
          <w:spacing w:val="-3"/>
          <w:w w:val="105"/>
        </w:rPr>
        <w:t>by </w:t>
      </w:r>
      <w:r>
        <w:rPr>
          <w:color w:val="231F20"/>
          <w:w w:val="105"/>
        </w:rPr>
        <w:t>spices (including fresh and dried peppers). Nearly 45% of the imported foods causing</w:t>
      </w:r>
      <w:r>
        <w:rPr>
          <w:color w:val="231F20"/>
          <w:spacing w:val="-16"/>
          <w:w w:val="105"/>
        </w:rPr>
        <w:t> </w:t>
      </w:r>
      <w:r>
        <w:rPr>
          <w:color w:val="231F20"/>
          <w:w w:val="105"/>
        </w:rPr>
        <w:t>outbreaks</w:t>
      </w:r>
      <w:r>
        <w:rPr>
          <w:color w:val="231F20"/>
          <w:spacing w:val="-16"/>
          <w:w w:val="105"/>
        </w:rPr>
        <w:t> </w:t>
      </w:r>
      <w:r>
        <w:rPr>
          <w:color w:val="231F20"/>
          <w:w w:val="105"/>
        </w:rPr>
        <w:t>came</w:t>
      </w:r>
      <w:r>
        <w:rPr>
          <w:color w:val="231F20"/>
          <w:spacing w:val="-16"/>
          <w:w w:val="105"/>
        </w:rPr>
        <w:t> </w:t>
      </w:r>
      <w:r>
        <w:rPr>
          <w:color w:val="231F20"/>
          <w:w w:val="105"/>
        </w:rPr>
        <w:t>from</w:t>
      </w:r>
      <w:r>
        <w:rPr>
          <w:color w:val="231F20"/>
          <w:spacing w:val="-16"/>
          <w:w w:val="105"/>
        </w:rPr>
        <w:t> </w:t>
      </w:r>
      <w:r>
        <w:rPr>
          <w:color w:val="231F20"/>
          <w:w w:val="105"/>
        </w:rPr>
        <w:t>Asia.</w:t>
      </w:r>
      <w:r>
        <w:rPr>
          <w:color w:val="231F20"/>
          <w:w w:val="105"/>
          <w:position w:val="7"/>
          <w:sz w:val="11"/>
        </w:rPr>
        <w:t>7</w:t>
      </w:r>
    </w:p>
    <w:p>
      <w:pPr>
        <w:pStyle w:val="BodyText"/>
        <w:spacing w:line="266" w:lineRule="auto" w:before="180"/>
        <w:ind w:left="324" w:right="869"/>
      </w:pPr>
      <w:r>
        <w:rPr>
          <w:color w:val="231F20"/>
          <w:w w:val="105"/>
        </w:rPr>
        <w:t>Culinary preferences that use undercooked or raw foods—particularly </w:t>
      </w:r>
      <w:r>
        <w:rPr>
          <w:color w:val="231F20"/>
          <w:spacing w:val="-5"/>
          <w:w w:val="105"/>
        </w:rPr>
        <w:t>dairy, </w:t>
      </w:r>
      <w:r>
        <w:rPr>
          <w:color w:val="231F20"/>
          <w:w w:val="105"/>
        </w:rPr>
        <w:t>fish, or shellfish—might</w:t>
      </w:r>
      <w:r>
        <w:rPr>
          <w:color w:val="231F20"/>
          <w:spacing w:val="-22"/>
          <w:w w:val="105"/>
        </w:rPr>
        <w:t> </w:t>
      </w:r>
      <w:r>
        <w:rPr>
          <w:color w:val="231F20"/>
          <w:w w:val="105"/>
        </w:rPr>
        <w:t>also</w:t>
      </w:r>
      <w:r>
        <w:rPr>
          <w:color w:val="231F20"/>
          <w:spacing w:val="-22"/>
          <w:w w:val="105"/>
        </w:rPr>
        <w:t> </w:t>
      </w:r>
      <w:r>
        <w:rPr>
          <w:color w:val="231F20"/>
          <w:w w:val="105"/>
        </w:rPr>
        <w:t>be</w:t>
      </w:r>
      <w:r>
        <w:rPr>
          <w:color w:val="231F20"/>
          <w:spacing w:val="-22"/>
          <w:w w:val="105"/>
        </w:rPr>
        <w:t> </w:t>
      </w:r>
      <w:r>
        <w:rPr>
          <w:color w:val="231F20"/>
          <w:w w:val="105"/>
        </w:rPr>
        <w:t>contributing</w:t>
      </w:r>
      <w:r>
        <w:rPr>
          <w:color w:val="231F20"/>
          <w:spacing w:val="-22"/>
          <w:w w:val="105"/>
        </w:rPr>
        <w:t> </w:t>
      </w:r>
      <w:r>
        <w:rPr>
          <w:color w:val="231F20"/>
          <w:w w:val="105"/>
        </w:rPr>
        <w:t>to</w:t>
      </w:r>
      <w:r>
        <w:rPr>
          <w:color w:val="231F20"/>
          <w:spacing w:val="-22"/>
          <w:w w:val="105"/>
        </w:rPr>
        <w:t> </w:t>
      </w:r>
      <w:r>
        <w:rPr>
          <w:color w:val="231F20"/>
          <w:w w:val="105"/>
        </w:rPr>
        <w:t>more frequent infections and outbreaks caused </w:t>
      </w:r>
      <w:r>
        <w:rPr>
          <w:color w:val="231F20"/>
          <w:spacing w:val="-3"/>
          <w:w w:val="105"/>
        </w:rPr>
        <w:t>by </w:t>
      </w:r>
      <w:r>
        <w:rPr>
          <w:color w:val="231F20"/>
          <w:w w:val="105"/>
        </w:rPr>
        <w:t>the microorganisms associated with these foods.</w:t>
      </w:r>
      <w:r>
        <w:rPr>
          <w:color w:val="231F20"/>
          <w:w w:val="105"/>
          <w:position w:val="7"/>
          <w:sz w:val="11"/>
        </w:rPr>
        <w:t>8, 9, 10, 11, 12, 13, 14 </w:t>
      </w:r>
      <w:r>
        <w:rPr>
          <w:color w:val="231F20"/>
          <w:spacing w:val="-7"/>
          <w:w w:val="105"/>
        </w:rPr>
        <w:t>For </w:t>
      </w:r>
      <w:r>
        <w:rPr>
          <w:color w:val="231F20"/>
          <w:w w:val="105"/>
        </w:rPr>
        <w:t>example,</w:t>
      </w:r>
      <w:r>
        <w:rPr>
          <w:color w:val="231F20"/>
          <w:spacing w:val="19"/>
          <w:w w:val="105"/>
        </w:rPr>
        <w:t> </w:t>
      </w:r>
      <w:r>
        <w:rPr>
          <w:color w:val="231F20"/>
          <w:w w:val="105"/>
        </w:rPr>
        <w:t>among</w:t>
      </w:r>
    </w:p>
    <w:p>
      <w:pPr>
        <w:spacing w:after="0" w:line="266" w:lineRule="auto"/>
        <w:sectPr>
          <w:type w:val="continuous"/>
          <w:pgSz w:w="10080" w:h="14400"/>
          <w:pgMar w:top="0" w:bottom="360" w:left="0" w:right="0"/>
          <w:cols w:num="2" w:equalWidth="0">
            <w:col w:w="5216" w:space="40"/>
            <w:col w:w="4824"/>
          </w:cols>
        </w:sectPr>
      </w:pPr>
    </w:p>
    <w:p>
      <w:pPr>
        <w:pStyle w:val="BodyText"/>
        <w:spacing w:before="8"/>
        <w:rPr>
          <w:sz w:val="26"/>
        </w:rPr>
      </w:pPr>
    </w:p>
    <w:p>
      <w:pPr>
        <w:pStyle w:val="Heading1"/>
        <w:numPr>
          <w:ilvl w:val="1"/>
          <w:numId w:val="2"/>
        </w:numPr>
        <w:tabs>
          <w:tab w:pos="1265" w:val="left" w:leader="none"/>
        </w:tabs>
        <w:spacing w:line="244" w:lineRule="auto" w:before="89" w:after="0"/>
        <w:ind w:left="1264" w:right="1548" w:hanging="544"/>
        <w:jc w:val="left"/>
      </w:pPr>
      <w:r>
        <w:rPr/>
        <w:pict>
          <v:line style="position:absolute;mso-position-horizontal-relative:page;mso-position-vertical-relative:paragraph;z-index:1240;mso-wrap-distance-left:0;mso-wrap-distance-right:0" from="36pt,40.795265pt" to="432pt,40.795265pt" stroked="true" strokeweight=".5pt" strokecolor="#00a94f">
            <v:stroke dashstyle="solid"/>
            <w10:wrap type="topAndBottom"/>
          </v:line>
        </w:pict>
      </w:r>
      <w:r>
        <w:rPr>
          <w:color w:val="00A94F"/>
          <w:spacing w:val="-6"/>
          <w:w w:val="95"/>
        </w:rPr>
        <w:t>Trends</w:t>
      </w:r>
      <w:r>
        <w:rPr>
          <w:color w:val="00A94F"/>
          <w:spacing w:val="-18"/>
          <w:w w:val="95"/>
        </w:rPr>
        <w:t> </w:t>
      </w:r>
      <w:r>
        <w:rPr>
          <w:color w:val="00A94F"/>
          <w:w w:val="95"/>
        </w:rPr>
        <w:t>in</w:t>
      </w:r>
      <w:r>
        <w:rPr>
          <w:color w:val="00A94F"/>
          <w:spacing w:val="-18"/>
          <w:w w:val="95"/>
        </w:rPr>
        <w:t> </w:t>
      </w:r>
      <w:r>
        <w:rPr>
          <w:color w:val="00A94F"/>
          <w:w w:val="95"/>
        </w:rPr>
        <w:t>Diet,</w:t>
      </w:r>
      <w:r>
        <w:rPr>
          <w:color w:val="00A94F"/>
          <w:spacing w:val="-18"/>
          <w:w w:val="95"/>
        </w:rPr>
        <w:t> </w:t>
      </w:r>
      <w:r>
        <w:rPr>
          <w:color w:val="00A94F"/>
          <w:w w:val="95"/>
        </w:rPr>
        <w:t>the</w:t>
      </w:r>
      <w:r>
        <w:rPr>
          <w:color w:val="00A94F"/>
          <w:spacing w:val="-18"/>
          <w:w w:val="95"/>
        </w:rPr>
        <w:t> </w:t>
      </w:r>
      <w:r>
        <w:rPr>
          <w:color w:val="00A94F"/>
          <w:w w:val="95"/>
        </w:rPr>
        <w:t>Food</w:t>
      </w:r>
      <w:r>
        <w:rPr>
          <w:color w:val="00A94F"/>
          <w:spacing w:val="-18"/>
          <w:w w:val="95"/>
        </w:rPr>
        <w:t> </w:t>
      </w:r>
      <w:r>
        <w:rPr>
          <w:color w:val="00A94F"/>
          <w:spacing w:val="-3"/>
          <w:w w:val="95"/>
        </w:rPr>
        <w:t>Industry,</w:t>
      </w:r>
      <w:r>
        <w:rPr>
          <w:color w:val="00A94F"/>
          <w:spacing w:val="-18"/>
          <w:w w:val="95"/>
        </w:rPr>
        <w:t> </w:t>
      </w:r>
      <w:r>
        <w:rPr>
          <w:color w:val="00A94F"/>
          <w:w w:val="95"/>
        </w:rPr>
        <w:t>and</w:t>
      </w:r>
      <w:r>
        <w:rPr>
          <w:color w:val="00A94F"/>
          <w:spacing w:val="-18"/>
          <w:w w:val="95"/>
        </w:rPr>
        <w:t> </w:t>
      </w:r>
      <w:r>
        <w:rPr>
          <w:color w:val="00A94F"/>
          <w:w w:val="95"/>
        </w:rPr>
        <w:t>Foodborne</w:t>
      </w:r>
      <w:r>
        <w:rPr>
          <w:color w:val="00A94F"/>
          <w:spacing w:val="-18"/>
          <w:w w:val="95"/>
        </w:rPr>
        <w:t> </w:t>
      </w:r>
      <w:r>
        <w:rPr>
          <w:color w:val="00A94F"/>
          <w:w w:val="95"/>
        </w:rPr>
        <w:t>Disease </w:t>
      </w:r>
      <w:r>
        <w:rPr>
          <w:color w:val="00A94F"/>
        </w:rPr>
        <w:t>Outbreaks</w:t>
      </w:r>
    </w:p>
    <w:p>
      <w:pPr>
        <w:pStyle w:val="BodyText"/>
        <w:rPr>
          <w:rFonts w:ascii="Lucida Sans"/>
          <w:sz w:val="12"/>
        </w:rPr>
      </w:pPr>
    </w:p>
    <w:p>
      <w:pPr>
        <w:spacing w:after="0"/>
        <w:rPr>
          <w:rFonts w:ascii="Lucida Sans"/>
          <w:sz w:val="12"/>
        </w:rPr>
        <w:sectPr>
          <w:pgSz w:w="10080" w:h="14400"/>
          <w:pgMar w:header="0" w:footer="160" w:top="980" w:bottom="360" w:left="0" w:right="0"/>
        </w:sectPr>
      </w:pPr>
    </w:p>
    <w:p>
      <w:pPr>
        <w:pStyle w:val="BodyText"/>
        <w:spacing w:line="266" w:lineRule="auto" w:before="107"/>
        <w:ind w:left="720" w:right="490"/>
        <w:jc w:val="both"/>
      </w:pPr>
      <w:r>
        <w:rPr>
          <w:color w:val="231F20"/>
          <w:w w:val="105"/>
        </w:rPr>
        <w:t>foodborne</w:t>
      </w:r>
      <w:r>
        <w:rPr>
          <w:color w:val="231F20"/>
          <w:spacing w:val="-19"/>
          <w:w w:val="105"/>
        </w:rPr>
        <w:t> </w:t>
      </w:r>
      <w:r>
        <w:rPr>
          <w:color w:val="231F20"/>
          <w:w w:val="105"/>
        </w:rPr>
        <w:t>disease</w:t>
      </w:r>
      <w:r>
        <w:rPr>
          <w:color w:val="231F20"/>
          <w:spacing w:val="-19"/>
          <w:w w:val="105"/>
        </w:rPr>
        <w:t> </w:t>
      </w:r>
      <w:r>
        <w:rPr>
          <w:color w:val="231F20"/>
          <w:w w:val="105"/>
        </w:rPr>
        <w:t>outbreaks</w:t>
      </w:r>
      <w:r>
        <w:rPr>
          <w:color w:val="231F20"/>
          <w:spacing w:val="-20"/>
          <w:w w:val="105"/>
        </w:rPr>
        <w:t> </w:t>
      </w:r>
      <w:r>
        <w:rPr>
          <w:color w:val="231F20"/>
          <w:w w:val="105"/>
        </w:rPr>
        <w:t>reported</w:t>
      </w:r>
      <w:r>
        <w:rPr>
          <w:color w:val="231F20"/>
          <w:spacing w:val="-19"/>
          <w:w w:val="105"/>
        </w:rPr>
        <w:t> </w:t>
      </w:r>
      <w:r>
        <w:rPr>
          <w:color w:val="231F20"/>
          <w:w w:val="105"/>
        </w:rPr>
        <w:t>to CDC during 1993–2006, unpasteurized dairy</w:t>
      </w:r>
      <w:r>
        <w:rPr>
          <w:color w:val="231F20"/>
          <w:spacing w:val="-14"/>
          <w:w w:val="105"/>
        </w:rPr>
        <w:t> </w:t>
      </w:r>
      <w:r>
        <w:rPr>
          <w:color w:val="231F20"/>
          <w:w w:val="105"/>
        </w:rPr>
        <w:t>products</w:t>
      </w:r>
      <w:r>
        <w:rPr>
          <w:color w:val="231F20"/>
          <w:spacing w:val="-14"/>
          <w:w w:val="105"/>
        </w:rPr>
        <w:t> </w:t>
      </w:r>
      <w:r>
        <w:rPr>
          <w:color w:val="231F20"/>
          <w:w w:val="105"/>
        </w:rPr>
        <w:t>caused</w:t>
      </w:r>
      <w:r>
        <w:rPr>
          <w:color w:val="231F20"/>
          <w:spacing w:val="-13"/>
          <w:w w:val="105"/>
        </w:rPr>
        <w:t> </w:t>
      </w:r>
      <w:r>
        <w:rPr>
          <w:color w:val="231F20"/>
          <w:w w:val="105"/>
        </w:rPr>
        <w:t>a</w:t>
      </w:r>
      <w:r>
        <w:rPr>
          <w:color w:val="231F20"/>
          <w:spacing w:val="-13"/>
          <w:w w:val="105"/>
        </w:rPr>
        <w:t> </w:t>
      </w:r>
      <w:r>
        <w:rPr>
          <w:color w:val="231F20"/>
          <w:w w:val="105"/>
        </w:rPr>
        <w:t>disproportionate</w:t>
      </w:r>
    </w:p>
    <w:p>
      <w:pPr>
        <w:pStyle w:val="BodyText"/>
        <w:spacing w:line="266" w:lineRule="auto"/>
        <w:ind w:left="720" w:right="-9"/>
      </w:pPr>
      <w:r>
        <w:rPr>
          <w:color w:val="231F20"/>
          <w:w w:val="105"/>
        </w:rPr>
        <w:t>number of outbreaks and outbreak-associated illnesses compared with pasteurized dairy products, on the basis of estimated units</w:t>
      </w:r>
    </w:p>
    <w:p>
      <w:pPr>
        <w:pStyle w:val="BodyText"/>
        <w:spacing w:line="266" w:lineRule="auto"/>
        <w:ind w:left="720" w:right="284"/>
      </w:pPr>
      <w:r>
        <w:rPr>
          <w:color w:val="231F20"/>
          <w:w w:val="105"/>
        </w:rPr>
        <w:t>of product consumed. Outbreaks resulting from unpasteurized dairy products also disproportionately affected persons &lt;20 years of  age.</w:t>
      </w:r>
      <w:r>
        <w:rPr>
          <w:color w:val="231F20"/>
          <w:w w:val="105"/>
          <w:position w:val="7"/>
          <w:sz w:val="11"/>
        </w:rPr>
        <w:t>15 </w:t>
      </w:r>
      <w:r>
        <w:rPr>
          <w:color w:val="231F20"/>
          <w:w w:val="105"/>
        </w:rPr>
        <w:t>Similarly, among the 36</w:t>
      </w:r>
    </w:p>
    <w:p>
      <w:pPr>
        <w:pStyle w:val="BodyText"/>
        <w:spacing w:line="266" w:lineRule="auto"/>
        <w:ind w:left="720" w:right="171"/>
        <w:rPr>
          <w:sz w:val="11"/>
        </w:rPr>
      </w:pPr>
      <w:r>
        <w:rPr>
          <w:color w:val="231F20"/>
          <w:w w:val="105"/>
        </w:rPr>
        <w:t>dairy-associated</w:t>
      </w:r>
      <w:r>
        <w:rPr>
          <w:color w:val="231F20"/>
          <w:spacing w:val="-11"/>
          <w:w w:val="105"/>
        </w:rPr>
        <w:t> </w:t>
      </w:r>
      <w:r>
        <w:rPr>
          <w:color w:val="231F20"/>
          <w:w w:val="105"/>
        </w:rPr>
        <w:t>outbreaks</w:t>
      </w:r>
      <w:r>
        <w:rPr>
          <w:color w:val="231F20"/>
          <w:spacing w:val="-11"/>
          <w:w w:val="105"/>
        </w:rPr>
        <w:t> </w:t>
      </w:r>
      <w:r>
        <w:rPr>
          <w:color w:val="231F20"/>
          <w:w w:val="105"/>
        </w:rPr>
        <w:t>reported</w:t>
      </w:r>
      <w:r>
        <w:rPr>
          <w:color w:val="231F20"/>
          <w:spacing w:val="-11"/>
          <w:w w:val="105"/>
        </w:rPr>
        <w:t> </w:t>
      </w:r>
      <w:r>
        <w:rPr>
          <w:color w:val="231F20"/>
          <w:w w:val="105"/>
        </w:rPr>
        <w:t>to</w:t>
      </w:r>
      <w:r>
        <w:rPr>
          <w:color w:val="231F20"/>
          <w:spacing w:val="-11"/>
          <w:w w:val="105"/>
        </w:rPr>
        <w:t> </w:t>
      </w:r>
      <w:r>
        <w:rPr>
          <w:color w:val="231F20"/>
          <w:w w:val="105"/>
        </w:rPr>
        <w:t>CDC during 2009–2010 for which pasteurization information</w:t>
      </w:r>
      <w:r>
        <w:rPr>
          <w:color w:val="231F20"/>
          <w:spacing w:val="-20"/>
          <w:w w:val="105"/>
        </w:rPr>
        <w:t> </w:t>
      </w:r>
      <w:r>
        <w:rPr>
          <w:color w:val="231F20"/>
          <w:w w:val="105"/>
        </w:rPr>
        <w:t>was</w:t>
      </w:r>
      <w:r>
        <w:rPr>
          <w:color w:val="231F20"/>
          <w:spacing w:val="-19"/>
          <w:w w:val="105"/>
        </w:rPr>
        <w:t> </w:t>
      </w:r>
      <w:r>
        <w:rPr>
          <w:color w:val="231F20"/>
          <w:w w:val="105"/>
        </w:rPr>
        <w:t>reported,</w:t>
      </w:r>
      <w:r>
        <w:rPr>
          <w:color w:val="231F20"/>
          <w:spacing w:val="-19"/>
          <w:w w:val="105"/>
        </w:rPr>
        <w:t> </w:t>
      </w:r>
      <w:r>
        <w:rPr>
          <w:color w:val="231F20"/>
          <w:w w:val="105"/>
        </w:rPr>
        <w:t>26</w:t>
      </w:r>
      <w:r>
        <w:rPr>
          <w:color w:val="231F20"/>
          <w:spacing w:val="-19"/>
          <w:w w:val="105"/>
        </w:rPr>
        <w:t> </w:t>
      </w:r>
      <w:r>
        <w:rPr>
          <w:color w:val="231F20"/>
          <w:w w:val="105"/>
        </w:rPr>
        <w:t>(81%)</w:t>
      </w:r>
      <w:r>
        <w:rPr>
          <w:color w:val="231F20"/>
          <w:spacing w:val="-20"/>
          <w:w w:val="105"/>
        </w:rPr>
        <w:t> </w:t>
      </w:r>
      <w:r>
        <w:rPr>
          <w:color w:val="231F20"/>
          <w:w w:val="105"/>
        </w:rPr>
        <w:t>involved unpasteurized</w:t>
      </w:r>
      <w:r>
        <w:rPr>
          <w:color w:val="231F20"/>
          <w:spacing w:val="-29"/>
          <w:w w:val="105"/>
        </w:rPr>
        <w:t> </w:t>
      </w:r>
      <w:r>
        <w:rPr>
          <w:color w:val="231F20"/>
          <w:w w:val="105"/>
        </w:rPr>
        <w:t>products.</w:t>
      </w:r>
      <w:r>
        <w:rPr>
          <w:color w:val="231F20"/>
          <w:w w:val="105"/>
          <w:position w:val="7"/>
          <w:sz w:val="11"/>
        </w:rPr>
        <w:t>16</w:t>
      </w:r>
    </w:p>
    <w:p>
      <w:pPr>
        <w:pStyle w:val="BodyText"/>
        <w:spacing w:line="254" w:lineRule="auto" w:before="159"/>
        <w:ind w:left="720" w:right="230"/>
        <w:rPr>
          <w:rFonts w:ascii="Lucida Sans"/>
        </w:rPr>
      </w:pPr>
      <w:r>
        <w:rPr>
          <w:rFonts w:ascii="Lucida Sans"/>
          <w:color w:val="1C3E94"/>
          <w:w w:val="95"/>
        </w:rPr>
        <w:t>2.1.2.</w:t>
      </w:r>
      <w:r>
        <w:rPr>
          <w:rFonts w:ascii="Lucida Sans"/>
          <w:color w:val="1C3E94"/>
          <w:spacing w:val="-18"/>
          <w:w w:val="95"/>
        </w:rPr>
        <w:t> </w:t>
      </w:r>
      <w:r>
        <w:rPr>
          <w:rFonts w:ascii="Lucida Sans"/>
          <w:color w:val="1C3E94"/>
          <w:w w:val="95"/>
        </w:rPr>
        <w:t>Changes</w:t>
      </w:r>
      <w:r>
        <w:rPr>
          <w:rFonts w:ascii="Lucida Sans"/>
          <w:color w:val="1C3E94"/>
          <w:spacing w:val="-18"/>
          <w:w w:val="95"/>
        </w:rPr>
        <w:t> </w:t>
      </w:r>
      <w:r>
        <w:rPr>
          <w:rFonts w:ascii="Lucida Sans"/>
          <w:color w:val="1C3E94"/>
          <w:w w:val="95"/>
        </w:rPr>
        <w:t>in</w:t>
      </w:r>
      <w:r>
        <w:rPr>
          <w:rFonts w:ascii="Lucida Sans"/>
          <w:color w:val="1C3E94"/>
          <w:spacing w:val="-18"/>
          <w:w w:val="95"/>
        </w:rPr>
        <w:t> </w:t>
      </w:r>
      <w:r>
        <w:rPr>
          <w:rFonts w:ascii="Lucida Sans"/>
          <w:color w:val="1C3E94"/>
          <w:w w:val="95"/>
        </w:rPr>
        <w:t>Food</w:t>
      </w:r>
      <w:r>
        <w:rPr>
          <w:rFonts w:ascii="Lucida Sans"/>
          <w:color w:val="1C3E94"/>
          <w:spacing w:val="-18"/>
          <w:w w:val="95"/>
        </w:rPr>
        <w:t> </w:t>
      </w:r>
      <w:r>
        <w:rPr>
          <w:rFonts w:ascii="Lucida Sans"/>
          <w:color w:val="1C3E94"/>
          <w:w w:val="95"/>
        </w:rPr>
        <w:t>Production</w:t>
      </w:r>
      <w:r>
        <w:rPr>
          <w:rFonts w:ascii="Lucida Sans"/>
          <w:color w:val="1C3E94"/>
          <w:spacing w:val="-18"/>
          <w:w w:val="95"/>
        </w:rPr>
        <w:t> </w:t>
      </w:r>
      <w:r>
        <w:rPr>
          <w:rFonts w:ascii="Lucida Sans"/>
          <w:color w:val="1C3E94"/>
          <w:w w:val="95"/>
        </w:rPr>
        <w:t>and </w:t>
      </w:r>
      <w:r>
        <w:rPr>
          <w:rFonts w:ascii="Lucida Sans"/>
          <w:color w:val="1C3E94"/>
        </w:rPr>
        <w:t>Preparation</w:t>
      </w:r>
    </w:p>
    <w:p>
      <w:pPr>
        <w:pStyle w:val="BodyText"/>
        <w:rPr>
          <w:rFonts w:ascii="Lucida Sans"/>
          <w:sz w:val="17"/>
        </w:rPr>
      </w:pPr>
    </w:p>
    <w:p>
      <w:pPr>
        <w:pStyle w:val="BodyText"/>
        <w:spacing w:line="266" w:lineRule="auto" w:before="1"/>
        <w:ind w:left="720" w:right="177"/>
      </w:pPr>
      <w:r>
        <w:rPr>
          <w:color w:val="231F20"/>
          <w:w w:val="105"/>
        </w:rPr>
        <w:t>Changes in what we eat and drink are not the</w:t>
      </w:r>
      <w:r>
        <w:rPr>
          <w:color w:val="231F20"/>
          <w:spacing w:val="-17"/>
          <w:w w:val="105"/>
        </w:rPr>
        <w:t> </w:t>
      </w:r>
      <w:r>
        <w:rPr>
          <w:color w:val="231F20"/>
          <w:w w:val="105"/>
        </w:rPr>
        <w:t>only</w:t>
      </w:r>
      <w:r>
        <w:rPr>
          <w:color w:val="231F20"/>
          <w:spacing w:val="-17"/>
          <w:w w:val="105"/>
        </w:rPr>
        <w:t> </w:t>
      </w:r>
      <w:r>
        <w:rPr>
          <w:color w:val="231F20"/>
          <w:w w:val="105"/>
        </w:rPr>
        <w:t>contributors</w:t>
      </w:r>
      <w:r>
        <w:rPr>
          <w:color w:val="231F20"/>
          <w:spacing w:val="-17"/>
          <w:w w:val="105"/>
        </w:rPr>
        <w:t> </w:t>
      </w:r>
      <w:r>
        <w:rPr>
          <w:color w:val="231F20"/>
          <w:w w:val="105"/>
        </w:rPr>
        <w:t>to</w:t>
      </w:r>
      <w:r>
        <w:rPr>
          <w:color w:val="231F20"/>
          <w:spacing w:val="-17"/>
          <w:w w:val="105"/>
        </w:rPr>
        <w:t> </w:t>
      </w:r>
      <w:r>
        <w:rPr>
          <w:color w:val="231F20"/>
          <w:w w:val="105"/>
        </w:rPr>
        <w:t>trends</w:t>
      </w:r>
      <w:r>
        <w:rPr>
          <w:color w:val="231F20"/>
          <w:spacing w:val="-17"/>
          <w:w w:val="105"/>
        </w:rPr>
        <w:t> </w:t>
      </w:r>
      <w:r>
        <w:rPr>
          <w:color w:val="231F20"/>
          <w:w w:val="105"/>
        </w:rPr>
        <w:t>in</w:t>
      </w:r>
      <w:r>
        <w:rPr>
          <w:color w:val="231F20"/>
          <w:spacing w:val="-17"/>
          <w:w w:val="105"/>
        </w:rPr>
        <w:t> </w:t>
      </w:r>
      <w:r>
        <w:rPr>
          <w:color w:val="231F20"/>
          <w:w w:val="105"/>
        </w:rPr>
        <w:t>foodborne disease.</w:t>
      </w:r>
      <w:r>
        <w:rPr>
          <w:color w:val="231F20"/>
          <w:spacing w:val="-14"/>
          <w:w w:val="105"/>
        </w:rPr>
        <w:t> </w:t>
      </w:r>
      <w:r>
        <w:rPr>
          <w:color w:val="231F20"/>
          <w:w w:val="105"/>
        </w:rPr>
        <w:t>How</w:t>
      </w:r>
      <w:r>
        <w:rPr>
          <w:color w:val="231F20"/>
          <w:spacing w:val="-14"/>
          <w:w w:val="105"/>
        </w:rPr>
        <w:t> </w:t>
      </w:r>
      <w:r>
        <w:rPr>
          <w:color w:val="231F20"/>
          <w:w w:val="105"/>
        </w:rPr>
        <w:t>our</w:t>
      </w:r>
      <w:r>
        <w:rPr>
          <w:color w:val="231F20"/>
          <w:spacing w:val="-14"/>
          <w:w w:val="105"/>
        </w:rPr>
        <w:t> </w:t>
      </w:r>
      <w:r>
        <w:rPr>
          <w:color w:val="231F20"/>
          <w:w w:val="105"/>
        </w:rPr>
        <w:t>food</w:t>
      </w:r>
      <w:r>
        <w:rPr>
          <w:color w:val="231F20"/>
          <w:spacing w:val="-14"/>
          <w:w w:val="105"/>
        </w:rPr>
        <w:t> </w:t>
      </w:r>
      <w:r>
        <w:rPr>
          <w:color w:val="231F20"/>
          <w:w w:val="105"/>
        </w:rPr>
        <w:t>is</w:t>
      </w:r>
      <w:r>
        <w:rPr>
          <w:color w:val="231F20"/>
          <w:spacing w:val="-14"/>
          <w:w w:val="105"/>
        </w:rPr>
        <w:t> </w:t>
      </w:r>
      <w:r>
        <w:rPr>
          <w:color w:val="231F20"/>
          <w:w w:val="105"/>
        </w:rPr>
        <w:t>cultivated</w:t>
      </w:r>
      <w:r>
        <w:rPr>
          <w:color w:val="231F20"/>
          <w:spacing w:val="-14"/>
          <w:w w:val="105"/>
        </w:rPr>
        <w:t> </w:t>
      </w:r>
      <w:r>
        <w:rPr>
          <w:color w:val="231F20"/>
          <w:w w:val="105"/>
        </w:rPr>
        <w:t>or</w:t>
      </w:r>
      <w:r>
        <w:rPr>
          <w:color w:val="231F20"/>
          <w:spacing w:val="-14"/>
          <w:w w:val="105"/>
        </w:rPr>
        <w:t> </w:t>
      </w:r>
      <w:r>
        <w:rPr>
          <w:color w:val="231F20"/>
          <w:w w:val="105"/>
        </w:rPr>
        <w:t>raised, processed, and distributed and </w:t>
      </w:r>
      <w:r>
        <w:rPr>
          <w:color w:val="231F20"/>
          <w:spacing w:val="-3"/>
          <w:w w:val="105"/>
        </w:rPr>
        <w:t>where, </w:t>
      </w:r>
      <w:r>
        <w:rPr>
          <w:color w:val="231F20"/>
          <w:spacing w:val="-7"/>
          <w:w w:val="105"/>
        </w:rPr>
        <w:t>how, </w:t>
      </w:r>
      <w:r>
        <w:rPr>
          <w:color w:val="231F20"/>
          <w:w w:val="105"/>
        </w:rPr>
        <w:t>and </w:t>
      </w:r>
      <w:r>
        <w:rPr>
          <w:color w:val="231F20"/>
          <w:spacing w:val="-3"/>
          <w:w w:val="105"/>
        </w:rPr>
        <w:t>by </w:t>
      </w:r>
      <w:r>
        <w:rPr>
          <w:color w:val="231F20"/>
          <w:w w:val="105"/>
        </w:rPr>
        <w:t>whom our food is prepared also are factors.</w:t>
      </w:r>
      <w:r>
        <w:rPr>
          <w:color w:val="231F20"/>
          <w:spacing w:val="-14"/>
          <w:w w:val="105"/>
        </w:rPr>
        <w:t> </w:t>
      </w:r>
      <w:r>
        <w:rPr>
          <w:color w:val="231F20"/>
          <w:spacing w:val="-5"/>
          <w:w w:val="105"/>
        </w:rPr>
        <w:t>Food</w:t>
      </w:r>
      <w:r>
        <w:rPr>
          <w:color w:val="231F20"/>
          <w:spacing w:val="-14"/>
          <w:w w:val="105"/>
        </w:rPr>
        <w:t> </w:t>
      </w:r>
      <w:r>
        <w:rPr>
          <w:color w:val="231F20"/>
          <w:w w:val="105"/>
        </w:rPr>
        <w:t>can</w:t>
      </w:r>
      <w:r>
        <w:rPr>
          <w:color w:val="231F20"/>
          <w:spacing w:val="-14"/>
          <w:w w:val="105"/>
        </w:rPr>
        <w:t> </w:t>
      </w:r>
      <w:r>
        <w:rPr>
          <w:color w:val="231F20"/>
          <w:w w:val="105"/>
        </w:rPr>
        <w:t>be</w:t>
      </w:r>
      <w:r>
        <w:rPr>
          <w:color w:val="231F20"/>
          <w:spacing w:val="-14"/>
          <w:w w:val="105"/>
        </w:rPr>
        <w:t> </w:t>
      </w:r>
      <w:r>
        <w:rPr>
          <w:color w:val="231F20"/>
          <w:w w:val="105"/>
        </w:rPr>
        <w:t>contaminated</w:t>
      </w:r>
      <w:r>
        <w:rPr>
          <w:color w:val="231F20"/>
          <w:spacing w:val="-14"/>
          <w:w w:val="105"/>
        </w:rPr>
        <w:t> </w:t>
      </w:r>
      <w:r>
        <w:rPr>
          <w:color w:val="231F20"/>
          <w:w w:val="105"/>
        </w:rPr>
        <w:t>anywhere along</w:t>
      </w:r>
      <w:r>
        <w:rPr>
          <w:color w:val="231F20"/>
          <w:spacing w:val="-15"/>
          <w:w w:val="105"/>
        </w:rPr>
        <w:t> </w:t>
      </w:r>
      <w:r>
        <w:rPr>
          <w:color w:val="231F20"/>
          <w:w w:val="105"/>
        </w:rPr>
        <w:t>the</w:t>
      </w:r>
      <w:r>
        <w:rPr>
          <w:color w:val="231F20"/>
          <w:spacing w:val="-15"/>
          <w:w w:val="105"/>
        </w:rPr>
        <w:t> </w:t>
      </w:r>
      <w:r>
        <w:rPr>
          <w:color w:val="231F20"/>
          <w:w w:val="105"/>
        </w:rPr>
        <w:t>supply</w:t>
      </w:r>
      <w:r>
        <w:rPr>
          <w:color w:val="231F20"/>
          <w:spacing w:val="-14"/>
          <w:w w:val="105"/>
        </w:rPr>
        <w:t> </w:t>
      </w:r>
      <w:r>
        <w:rPr>
          <w:color w:val="231F20"/>
          <w:w w:val="105"/>
        </w:rPr>
        <w:t>chain</w:t>
      </w:r>
      <w:r>
        <w:rPr>
          <w:color w:val="231F20"/>
          <w:spacing w:val="-14"/>
          <w:w w:val="105"/>
        </w:rPr>
        <w:t> </w:t>
      </w:r>
      <w:r>
        <w:rPr>
          <w:color w:val="231F20"/>
          <w:w w:val="105"/>
        </w:rPr>
        <w:t>from</w:t>
      </w:r>
      <w:r>
        <w:rPr>
          <w:color w:val="231F20"/>
          <w:spacing w:val="-15"/>
          <w:w w:val="105"/>
        </w:rPr>
        <w:t> </w:t>
      </w:r>
      <w:r>
        <w:rPr>
          <w:color w:val="231F20"/>
          <w:w w:val="105"/>
        </w:rPr>
        <w:t>farm</w:t>
      </w:r>
      <w:r>
        <w:rPr>
          <w:color w:val="231F20"/>
          <w:spacing w:val="-15"/>
          <w:w w:val="105"/>
        </w:rPr>
        <w:t> </w:t>
      </w:r>
      <w:r>
        <w:rPr>
          <w:color w:val="231F20"/>
          <w:w w:val="105"/>
        </w:rPr>
        <w:t>to</w:t>
      </w:r>
      <w:r>
        <w:rPr>
          <w:color w:val="231F20"/>
          <w:spacing w:val="-15"/>
          <w:w w:val="105"/>
        </w:rPr>
        <w:t> </w:t>
      </w:r>
      <w:r>
        <w:rPr>
          <w:color w:val="231F20"/>
          <w:w w:val="105"/>
        </w:rPr>
        <w:t>fork.</w:t>
      </w:r>
    </w:p>
    <w:p>
      <w:pPr>
        <w:pStyle w:val="BodyText"/>
        <w:spacing w:line="266" w:lineRule="auto" w:before="180"/>
        <w:ind w:left="720" w:right="-9"/>
        <w:rPr>
          <w:sz w:val="11"/>
        </w:rPr>
      </w:pPr>
      <w:r>
        <w:rPr>
          <w:color w:val="231F20"/>
          <w:w w:val="105"/>
        </w:rPr>
        <w:t>The demand for processed and ready-to-eat foods has led to the industrialization of food production, with concentrated animal feeding operations, increasingly intense agricultural practices, and broadening distribution of food products. Changes in agricultural, processing, or packaging methods might facilitate</w:t>
      </w:r>
      <w:r>
        <w:rPr>
          <w:color w:val="231F20"/>
          <w:spacing w:val="-37"/>
          <w:w w:val="105"/>
        </w:rPr>
        <w:t> </w:t>
      </w:r>
      <w:r>
        <w:rPr>
          <w:color w:val="231F20"/>
          <w:w w:val="105"/>
        </w:rPr>
        <w:t>bacterial </w:t>
      </w:r>
      <w:r>
        <w:rPr>
          <w:color w:val="231F20"/>
          <w:w w:val="105"/>
          <w:position w:val="-6"/>
        </w:rPr>
        <w:t>contamination or growth,</w:t>
      </w:r>
      <w:r>
        <w:rPr>
          <w:color w:val="231F20"/>
          <w:w w:val="105"/>
          <w:sz w:val="11"/>
        </w:rPr>
        <w:t>17, 18, 19, 20, 21, 22,23, </w:t>
      </w:r>
      <w:r>
        <w:rPr>
          <w:color w:val="231F20"/>
          <w:spacing w:val="25"/>
          <w:w w:val="105"/>
          <w:sz w:val="11"/>
        </w:rPr>
        <w:t> </w:t>
      </w:r>
      <w:r>
        <w:rPr>
          <w:color w:val="231F20"/>
          <w:w w:val="105"/>
          <w:sz w:val="11"/>
        </w:rPr>
        <w:t>24,</w:t>
      </w:r>
    </w:p>
    <w:p>
      <w:pPr>
        <w:pStyle w:val="BodyText"/>
        <w:spacing w:line="266" w:lineRule="auto"/>
        <w:ind w:left="720" w:right="61"/>
        <w:rPr>
          <w:sz w:val="11"/>
        </w:rPr>
      </w:pPr>
      <w:r>
        <w:rPr>
          <w:color w:val="231F20"/>
          <w:w w:val="105"/>
          <w:position w:val="7"/>
          <w:sz w:val="11"/>
        </w:rPr>
        <w:t>25, 26.27, 28, 29 </w:t>
      </w:r>
      <w:r>
        <w:rPr>
          <w:color w:val="231F20"/>
          <w:w w:val="105"/>
        </w:rPr>
        <w:t>and use of antibiotics in livestock and poultry most likely has contributed to increased human infections caused </w:t>
      </w:r>
      <w:r>
        <w:rPr>
          <w:color w:val="231F20"/>
          <w:spacing w:val="-3"/>
          <w:w w:val="105"/>
        </w:rPr>
        <w:t>by </w:t>
      </w:r>
      <w:r>
        <w:rPr>
          <w:color w:val="231F20"/>
          <w:w w:val="105"/>
        </w:rPr>
        <w:t>drug- resistant bacteria.</w:t>
      </w:r>
      <w:r>
        <w:rPr>
          <w:color w:val="231F20"/>
          <w:w w:val="105"/>
          <w:position w:val="7"/>
          <w:sz w:val="11"/>
        </w:rPr>
        <w:t>30, 31, 32, 33 </w:t>
      </w:r>
      <w:r>
        <w:rPr>
          <w:color w:val="231F20"/>
          <w:w w:val="105"/>
        </w:rPr>
        <w:t>In addition, the broadening distribution of food products has contributed</w:t>
      </w:r>
      <w:r>
        <w:rPr>
          <w:color w:val="231F20"/>
          <w:spacing w:val="-23"/>
          <w:w w:val="105"/>
        </w:rPr>
        <w:t> </w:t>
      </w:r>
      <w:r>
        <w:rPr>
          <w:color w:val="231F20"/>
          <w:w w:val="105"/>
        </w:rPr>
        <w:t>to</w:t>
      </w:r>
      <w:r>
        <w:rPr>
          <w:color w:val="231F20"/>
          <w:spacing w:val="-24"/>
          <w:w w:val="105"/>
        </w:rPr>
        <w:t> </w:t>
      </w:r>
      <w:r>
        <w:rPr>
          <w:color w:val="231F20"/>
          <w:w w:val="105"/>
        </w:rPr>
        <w:t>outbreaks</w:t>
      </w:r>
      <w:r>
        <w:rPr>
          <w:color w:val="231F20"/>
          <w:spacing w:val="-24"/>
          <w:w w:val="105"/>
        </w:rPr>
        <w:t> </w:t>
      </w:r>
      <w:r>
        <w:rPr>
          <w:color w:val="231F20"/>
          <w:w w:val="105"/>
        </w:rPr>
        <w:t>of</w:t>
      </w:r>
      <w:r>
        <w:rPr>
          <w:color w:val="231F20"/>
          <w:spacing w:val="-7"/>
          <w:w w:val="105"/>
        </w:rPr>
        <w:t> </w:t>
      </w:r>
      <w:r>
        <w:rPr>
          <w:color w:val="231F20"/>
          <w:w w:val="105"/>
        </w:rPr>
        <w:t>foodborne</w:t>
      </w:r>
      <w:r>
        <w:rPr>
          <w:color w:val="231F20"/>
          <w:spacing w:val="-23"/>
          <w:w w:val="105"/>
        </w:rPr>
        <w:t> </w:t>
      </w:r>
      <w:r>
        <w:rPr>
          <w:color w:val="231F20"/>
          <w:w w:val="105"/>
        </w:rPr>
        <w:t>disease involving larger numbers of people, multiple states,</w:t>
      </w:r>
      <w:r>
        <w:rPr>
          <w:color w:val="231F20"/>
          <w:spacing w:val="-16"/>
          <w:w w:val="105"/>
        </w:rPr>
        <w:t> </w:t>
      </w:r>
      <w:r>
        <w:rPr>
          <w:color w:val="231F20"/>
          <w:w w:val="105"/>
        </w:rPr>
        <w:t>and</w:t>
      </w:r>
      <w:r>
        <w:rPr>
          <w:color w:val="231F20"/>
          <w:spacing w:val="-17"/>
          <w:w w:val="105"/>
        </w:rPr>
        <w:t> </w:t>
      </w:r>
      <w:r>
        <w:rPr>
          <w:color w:val="231F20"/>
          <w:w w:val="105"/>
        </w:rPr>
        <w:t>even</w:t>
      </w:r>
      <w:r>
        <w:rPr>
          <w:color w:val="231F20"/>
          <w:spacing w:val="-17"/>
          <w:w w:val="105"/>
        </w:rPr>
        <w:t> </w:t>
      </w:r>
      <w:r>
        <w:rPr>
          <w:color w:val="231F20"/>
          <w:w w:val="105"/>
        </w:rPr>
        <w:t>multiple</w:t>
      </w:r>
      <w:r>
        <w:rPr>
          <w:color w:val="231F20"/>
          <w:spacing w:val="-16"/>
          <w:w w:val="105"/>
        </w:rPr>
        <w:t> </w:t>
      </w:r>
      <w:r>
        <w:rPr>
          <w:color w:val="231F20"/>
          <w:w w:val="105"/>
        </w:rPr>
        <w:t>countries.</w:t>
      </w:r>
      <w:r>
        <w:rPr>
          <w:color w:val="231F20"/>
          <w:w w:val="105"/>
          <w:position w:val="7"/>
          <w:sz w:val="11"/>
        </w:rPr>
        <w:t>34</w:t>
      </w:r>
    </w:p>
    <w:p>
      <w:pPr>
        <w:pStyle w:val="BodyText"/>
        <w:spacing w:line="266" w:lineRule="auto" w:before="183"/>
        <w:ind w:left="720" w:right="493"/>
        <w:jc w:val="both"/>
      </w:pPr>
      <w:r>
        <w:rPr>
          <w:color w:val="231F20"/>
          <w:w w:val="105"/>
        </w:rPr>
        <w:t>In</w:t>
      </w:r>
      <w:r>
        <w:rPr>
          <w:color w:val="231F20"/>
          <w:spacing w:val="-15"/>
          <w:w w:val="105"/>
        </w:rPr>
        <w:t> </w:t>
      </w:r>
      <w:r>
        <w:rPr>
          <w:color w:val="231F20"/>
          <w:w w:val="105"/>
        </w:rPr>
        <w:t>seeming</w:t>
      </w:r>
      <w:r>
        <w:rPr>
          <w:color w:val="231F20"/>
          <w:spacing w:val="-13"/>
          <w:w w:val="105"/>
        </w:rPr>
        <w:t> </w:t>
      </w:r>
      <w:r>
        <w:rPr>
          <w:color w:val="231F20"/>
          <w:w w:val="105"/>
        </w:rPr>
        <w:t>contradiction</w:t>
      </w:r>
      <w:r>
        <w:rPr>
          <w:color w:val="231F20"/>
          <w:spacing w:val="-13"/>
          <w:w w:val="105"/>
        </w:rPr>
        <w:t> </w:t>
      </w:r>
      <w:r>
        <w:rPr>
          <w:color w:val="231F20"/>
          <w:w w:val="105"/>
        </w:rPr>
        <w:t>to</w:t>
      </w:r>
      <w:r>
        <w:rPr>
          <w:color w:val="231F20"/>
          <w:spacing w:val="-15"/>
          <w:w w:val="105"/>
        </w:rPr>
        <w:t> </w:t>
      </w:r>
      <w:r>
        <w:rPr>
          <w:color w:val="231F20"/>
          <w:w w:val="105"/>
        </w:rPr>
        <w:t>the</w:t>
      </w:r>
      <w:r>
        <w:rPr>
          <w:color w:val="231F20"/>
          <w:spacing w:val="-15"/>
          <w:w w:val="105"/>
        </w:rPr>
        <w:t> </w:t>
      </w:r>
      <w:r>
        <w:rPr>
          <w:color w:val="231F20"/>
          <w:w w:val="105"/>
        </w:rPr>
        <w:t>growing industrialization</w:t>
      </w:r>
      <w:r>
        <w:rPr>
          <w:color w:val="231F20"/>
          <w:spacing w:val="-16"/>
          <w:w w:val="105"/>
        </w:rPr>
        <w:t> </w:t>
      </w:r>
      <w:r>
        <w:rPr>
          <w:color w:val="231F20"/>
          <w:w w:val="105"/>
        </w:rPr>
        <w:t>of</w:t>
      </w:r>
      <w:r>
        <w:rPr>
          <w:color w:val="231F20"/>
          <w:spacing w:val="5"/>
          <w:w w:val="105"/>
        </w:rPr>
        <w:t> </w:t>
      </w:r>
      <w:r>
        <w:rPr>
          <w:color w:val="231F20"/>
          <w:w w:val="105"/>
        </w:rPr>
        <w:t>food</w:t>
      </w:r>
      <w:r>
        <w:rPr>
          <w:color w:val="231F20"/>
          <w:spacing w:val="-16"/>
          <w:w w:val="105"/>
        </w:rPr>
        <w:t> </w:t>
      </w:r>
      <w:r>
        <w:rPr>
          <w:color w:val="231F20"/>
          <w:w w:val="105"/>
        </w:rPr>
        <w:t>production</w:t>
      </w:r>
      <w:r>
        <w:rPr>
          <w:color w:val="231F20"/>
          <w:spacing w:val="-16"/>
          <w:w w:val="105"/>
        </w:rPr>
        <w:t> </w:t>
      </w:r>
      <w:r>
        <w:rPr>
          <w:color w:val="231F20"/>
          <w:w w:val="105"/>
        </w:rPr>
        <w:t>and mass</w:t>
      </w:r>
      <w:r>
        <w:rPr>
          <w:color w:val="231F20"/>
          <w:spacing w:val="-18"/>
          <w:w w:val="105"/>
        </w:rPr>
        <w:t> </w:t>
      </w:r>
      <w:r>
        <w:rPr>
          <w:color w:val="231F20"/>
          <w:w w:val="105"/>
        </w:rPr>
        <w:t>distribution</w:t>
      </w:r>
      <w:r>
        <w:rPr>
          <w:color w:val="231F20"/>
          <w:spacing w:val="-18"/>
          <w:w w:val="105"/>
        </w:rPr>
        <w:t> </w:t>
      </w:r>
      <w:r>
        <w:rPr>
          <w:color w:val="231F20"/>
          <w:w w:val="105"/>
        </w:rPr>
        <w:t>of</w:t>
      </w:r>
      <w:r>
        <w:rPr>
          <w:color w:val="231F20"/>
          <w:spacing w:val="1"/>
          <w:w w:val="105"/>
        </w:rPr>
        <w:t> </w:t>
      </w:r>
      <w:r>
        <w:rPr>
          <w:color w:val="231F20"/>
          <w:w w:val="105"/>
        </w:rPr>
        <w:t>foods</w:t>
      </w:r>
      <w:r>
        <w:rPr>
          <w:color w:val="231F20"/>
          <w:spacing w:val="-19"/>
          <w:w w:val="105"/>
        </w:rPr>
        <w:t> </w:t>
      </w:r>
      <w:r>
        <w:rPr>
          <w:color w:val="231F20"/>
          <w:w w:val="105"/>
        </w:rPr>
        <w:t>nationally</w:t>
      </w:r>
      <w:r>
        <w:rPr>
          <w:color w:val="231F20"/>
          <w:spacing w:val="-20"/>
          <w:w w:val="105"/>
        </w:rPr>
        <w:t> </w:t>
      </w:r>
      <w:r>
        <w:rPr>
          <w:color w:val="231F20"/>
          <w:w w:val="105"/>
        </w:rPr>
        <w:t>and</w:t>
      </w:r>
    </w:p>
    <w:p>
      <w:pPr>
        <w:pStyle w:val="BodyText"/>
        <w:spacing w:line="266" w:lineRule="auto" w:before="107"/>
        <w:ind w:left="340" w:right="1385"/>
      </w:pPr>
      <w:r>
        <w:rPr/>
        <w:br w:type="column"/>
      </w:r>
      <w:r>
        <w:rPr>
          <w:color w:val="231F20"/>
          <w:w w:val="105"/>
        </w:rPr>
        <w:t>internationally, interest in eating locally produced foods also has grown in many communities because of concerns about nutrition, the environment, and local economy. As a result of this increased interest in eating locally (sometimes termed the “locavore movement”), the number of small food producers and direct-to-consumer marketing avenues (e.g., farmers markets, farm stands, farm-to-school programs, and “pick-your-</w:t>
      </w:r>
    </w:p>
    <w:p>
      <w:pPr>
        <w:pStyle w:val="BodyText"/>
        <w:spacing w:line="266" w:lineRule="auto"/>
        <w:ind w:left="340" w:right="1491"/>
        <w:rPr>
          <w:sz w:val="11"/>
        </w:rPr>
      </w:pPr>
      <w:r>
        <w:rPr/>
        <w:pict>
          <v:rect style="position:absolute;margin-left:459pt;margin-top:-116.598648pt;width:45pt;height:18pt;mso-position-horizontal-relative:page;mso-position-vertical-relative:paragraph;z-index:1264" filled="true" fillcolor="#0079c1" stroked="false">
            <v:fill type="solid"/>
            <w10:wrap type="none"/>
          </v:rect>
        </w:pict>
      </w:r>
      <w:r>
        <w:rPr/>
        <w:pict>
          <v:line style="position:absolute;mso-position-horizontal-relative:page;mso-position-vertical-relative:paragraph;z-index:1288" from="450.5pt,-116.599045pt" to="450.5pt,125.298955pt" stroked="true" strokeweight="1pt" strokecolor="#0079c1">
            <v:stroke dashstyle="solid"/>
            <w10:wrap type="none"/>
          </v:line>
        </w:pict>
      </w:r>
      <w:r>
        <w:rPr/>
        <w:pict>
          <v:shape style="position:absolute;margin-left:465.014313pt;margin-top:-94.602249pt;width:22.9pt;height:222.55pt;mso-position-horizontal-relative:page;mso-position-vertical-relative:paragraph;z-index:1312"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111.848045pt;width:15.85pt;height:8.5pt;mso-position-horizontal-relative:page;mso-position-vertical-relative:paragraph;z-index:133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rPr>
        <w:t>own operations”) has also risen. According to census data, from 1997 to 2007, direct sales of agricultural products to the public increased </w:t>
      </w:r>
      <w:r>
        <w:rPr>
          <w:color w:val="231F20"/>
          <w:spacing w:val="-3"/>
        </w:rPr>
        <w:t>by </w:t>
      </w:r>
      <w:r>
        <w:rPr>
          <w:color w:val="231F20"/>
        </w:rPr>
        <w:t>105%, compared with an increase of  48% for  all agricultural sales. Over the same period, the number of farms selling directly to consumers increased </w:t>
      </w:r>
      <w:r>
        <w:rPr>
          <w:color w:val="231F20"/>
          <w:spacing w:val="-3"/>
        </w:rPr>
        <w:t>by </w:t>
      </w:r>
      <w:r>
        <w:rPr>
          <w:color w:val="231F20"/>
        </w:rPr>
        <w:t>24%, compared with a 0.5% reduction in the total number of  </w:t>
      </w:r>
      <w:r>
        <w:rPr>
          <w:color w:val="231F20"/>
          <w:spacing w:val="23"/>
        </w:rPr>
        <w:t> </w:t>
      </w:r>
      <w:r>
        <w:rPr>
          <w:color w:val="231F20"/>
        </w:rPr>
        <w:t>farms.</w:t>
      </w:r>
      <w:r>
        <w:rPr>
          <w:color w:val="231F20"/>
          <w:position w:val="7"/>
          <w:sz w:val="11"/>
        </w:rPr>
        <w:t>35</w:t>
      </w:r>
    </w:p>
    <w:p>
      <w:pPr>
        <w:pStyle w:val="BodyText"/>
        <w:spacing w:before="180"/>
        <w:ind w:left="340"/>
      </w:pPr>
      <w:r>
        <w:rPr>
          <w:color w:val="231F20"/>
        </w:rPr>
        <w:t>The effect of  increased consumption of</w:t>
      </w:r>
    </w:p>
    <w:p>
      <w:pPr>
        <w:pStyle w:val="BodyText"/>
        <w:spacing w:line="266" w:lineRule="auto" w:before="24"/>
        <w:ind w:left="340" w:right="1491"/>
      </w:pPr>
      <w:r>
        <w:rPr>
          <w:color w:val="231F20"/>
        </w:rPr>
        <w:t>locally produced foods is yet to be determined. It would seem that the consequences of consuming unsafe food differ marginally between small and large producers, although fewer people might be adversely affected  by</w:t>
      </w:r>
    </w:p>
    <w:p>
      <w:pPr>
        <w:pStyle w:val="BodyText"/>
        <w:spacing w:line="266" w:lineRule="auto"/>
        <w:ind w:left="340" w:right="1489"/>
      </w:pPr>
      <w:r>
        <w:rPr>
          <w:color w:val="231F20"/>
          <w:w w:val="105"/>
        </w:rPr>
        <w:t>a limited distribution system, as is probably the case for smaller producers. On the other hand,</w:t>
      </w:r>
      <w:r>
        <w:rPr>
          <w:color w:val="231F20"/>
          <w:spacing w:val="-22"/>
          <w:w w:val="105"/>
        </w:rPr>
        <w:t> </w:t>
      </w:r>
      <w:r>
        <w:rPr>
          <w:color w:val="231F20"/>
          <w:w w:val="105"/>
        </w:rPr>
        <w:t>implementation</w:t>
      </w:r>
      <w:r>
        <w:rPr>
          <w:color w:val="231F20"/>
          <w:spacing w:val="-23"/>
          <w:w w:val="105"/>
        </w:rPr>
        <w:t> </w:t>
      </w:r>
      <w:r>
        <w:rPr>
          <w:color w:val="231F20"/>
          <w:w w:val="105"/>
        </w:rPr>
        <w:t>of</w:t>
      </w:r>
      <w:r>
        <w:rPr>
          <w:color w:val="231F20"/>
          <w:spacing w:val="-5"/>
          <w:w w:val="105"/>
        </w:rPr>
        <w:t> </w:t>
      </w:r>
      <w:r>
        <w:rPr>
          <w:color w:val="231F20"/>
          <w:w w:val="105"/>
        </w:rPr>
        <w:t>improved</w:t>
      </w:r>
      <w:r>
        <w:rPr>
          <w:color w:val="231F20"/>
          <w:spacing w:val="-23"/>
          <w:w w:val="105"/>
        </w:rPr>
        <w:t> </w:t>
      </w:r>
      <w:r>
        <w:rPr>
          <w:color w:val="231F20"/>
          <w:w w:val="105"/>
        </w:rPr>
        <w:t>food</w:t>
      </w:r>
      <w:r>
        <w:rPr>
          <w:color w:val="231F20"/>
          <w:spacing w:val="-22"/>
          <w:w w:val="105"/>
        </w:rPr>
        <w:t> </w:t>
      </w:r>
      <w:r>
        <w:rPr>
          <w:color w:val="231F20"/>
          <w:w w:val="105"/>
        </w:rPr>
        <w:t>safety</w:t>
      </w:r>
    </w:p>
    <w:p>
      <w:pPr>
        <w:pStyle w:val="BodyText"/>
        <w:spacing w:line="266" w:lineRule="auto"/>
        <w:ind w:left="340" w:right="1385"/>
      </w:pPr>
      <w:r>
        <w:rPr>
          <w:color w:val="231F20"/>
          <w:w w:val="105"/>
        </w:rPr>
        <w:t>measures could be more challenging among an increased number of more widespread, smaller food producers. In addition, farm direct sales (i.e., farmers selling produce, eggs, and other foods that they produced directly to retail customers, such as through farmers’ markets and farm stands) are not included among food facilities in the 2011 Food Modernization</w:t>
      </w:r>
    </w:p>
    <w:p>
      <w:pPr>
        <w:pStyle w:val="BodyText"/>
        <w:spacing w:line="266" w:lineRule="auto"/>
        <w:ind w:left="340" w:right="1385"/>
      </w:pPr>
      <w:r>
        <w:rPr>
          <w:color w:val="231F20"/>
          <w:w w:val="105"/>
        </w:rPr>
        <w:t>and Safety Act</w:t>
      </w:r>
      <w:r>
        <w:rPr>
          <w:color w:val="231F20"/>
          <w:w w:val="105"/>
          <w:position w:val="7"/>
          <w:sz w:val="11"/>
        </w:rPr>
        <w:t>36 </w:t>
      </w:r>
      <w:r>
        <w:rPr>
          <w:color w:val="231F20"/>
          <w:w w:val="105"/>
        </w:rPr>
        <w:t>and, in some states and local jurisdictions, have been exempted from food safety regulations that pertain to other food facilities.</w:t>
      </w:r>
    </w:p>
    <w:p>
      <w:pPr>
        <w:pStyle w:val="BodyText"/>
        <w:spacing w:line="266" w:lineRule="auto" w:before="180"/>
        <w:ind w:left="340" w:right="1426"/>
      </w:pPr>
      <w:r>
        <w:rPr>
          <w:color w:val="231F20"/>
          <w:w w:val="105"/>
        </w:rPr>
        <w:t>By whom and where our food is prepared probably</w:t>
      </w:r>
      <w:r>
        <w:rPr>
          <w:color w:val="231F20"/>
          <w:spacing w:val="-14"/>
          <w:w w:val="105"/>
        </w:rPr>
        <w:t> </w:t>
      </w:r>
      <w:r>
        <w:rPr>
          <w:color w:val="231F20"/>
          <w:w w:val="105"/>
        </w:rPr>
        <w:t>also</w:t>
      </w:r>
      <w:r>
        <w:rPr>
          <w:color w:val="231F20"/>
          <w:spacing w:val="-14"/>
          <w:w w:val="105"/>
        </w:rPr>
        <w:t> </w:t>
      </w:r>
      <w:r>
        <w:rPr>
          <w:color w:val="231F20"/>
          <w:w w:val="105"/>
        </w:rPr>
        <w:t>plays</w:t>
      </w:r>
      <w:r>
        <w:rPr>
          <w:color w:val="231F20"/>
          <w:spacing w:val="-14"/>
          <w:w w:val="105"/>
        </w:rPr>
        <w:t> </w:t>
      </w:r>
      <w:r>
        <w:rPr>
          <w:color w:val="231F20"/>
          <w:w w:val="105"/>
        </w:rPr>
        <w:t>a</w:t>
      </w:r>
      <w:r>
        <w:rPr>
          <w:color w:val="231F20"/>
          <w:spacing w:val="-14"/>
          <w:w w:val="105"/>
        </w:rPr>
        <w:t> </w:t>
      </w:r>
      <w:r>
        <w:rPr>
          <w:color w:val="231F20"/>
          <w:w w:val="105"/>
        </w:rPr>
        <w:t>role</w:t>
      </w:r>
      <w:r>
        <w:rPr>
          <w:color w:val="231F20"/>
          <w:spacing w:val="-14"/>
          <w:w w:val="105"/>
        </w:rPr>
        <w:t> </w:t>
      </w:r>
      <w:r>
        <w:rPr>
          <w:color w:val="231F20"/>
          <w:w w:val="105"/>
        </w:rPr>
        <w:t>in</w:t>
      </w:r>
      <w:r>
        <w:rPr>
          <w:color w:val="231F20"/>
          <w:spacing w:val="-14"/>
          <w:w w:val="105"/>
        </w:rPr>
        <w:t> </w:t>
      </w:r>
      <w:r>
        <w:rPr>
          <w:color w:val="231F20"/>
          <w:w w:val="105"/>
        </w:rPr>
        <w:t>foodborne</w:t>
      </w:r>
      <w:r>
        <w:rPr>
          <w:color w:val="231F20"/>
          <w:spacing w:val="-14"/>
          <w:w w:val="105"/>
        </w:rPr>
        <w:t> </w:t>
      </w:r>
      <w:r>
        <w:rPr>
          <w:color w:val="231F20"/>
          <w:w w:val="105"/>
        </w:rPr>
        <w:t>diseases occurrence and outbreaks.</w:t>
      </w:r>
      <w:r>
        <w:rPr>
          <w:color w:val="231F20"/>
          <w:spacing w:val="-33"/>
          <w:w w:val="105"/>
        </w:rPr>
        <w:t> </w:t>
      </w:r>
      <w:r>
        <w:rPr>
          <w:color w:val="231F20"/>
          <w:w w:val="105"/>
        </w:rPr>
        <w:t>Increasingly</w:t>
      </w:r>
    </w:p>
    <w:p>
      <w:pPr>
        <w:pStyle w:val="BodyText"/>
        <w:spacing w:line="266" w:lineRule="auto"/>
        <w:ind w:left="340" w:right="1582"/>
      </w:pPr>
      <w:r>
        <w:rPr>
          <w:color w:val="231F20"/>
          <w:w w:val="105"/>
        </w:rPr>
        <w:t>more Americans eat their meals away from home. According to the National Restaurant</w:t>
      </w:r>
    </w:p>
    <w:p>
      <w:pPr>
        <w:spacing w:after="0" w:line="266" w:lineRule="auto"/>
        <w:sectPr>
          <w:type w:val="continuous"/>
          <w:pgSz w:w="10080" w:h="14400"/>
          <w:pgMar w:top="0" w:bottom="360" w:left="0" w:right="0"/>
          <w:cols w:num="2" w:equalWidth="0">
            <w:col w:w="4480" w:space="40"/>
            <w:col w:w="5560"/>
          </w:cols>
        </w:sectPr>
      </w:pPr>
    </w:p>
    <w:p>
      <w:pPr>
        <w:pStyle w:val="BodyText"/>
        <w:spacing w:before="8"/>
        <w:rPr>
          <w:sz w:val="10"/>
        </w:rPr>
      </w:pPr>
    </w:p>
    <w:p>
      <w:pPr>
        <w:pStyle w:val="Heading1"/>
        <w:numPr>
          <w:ilvl w:val="1"/>
          <w:numId w:val="3"/>
        </w:numPr>
        <w:tabs>
          <w:tab w:pos="1985" w:val="left" w:leader="none"/>
        </w:tabs>
        <w:spacing w:line="244" w:lineRule="auto" w:before="89" w:after="0"/>
        <w:ind w:left="1984" w:right="828" w:hanging="544"/>
        <w:jc w:val="left"/>
      </w:pPr>
      <w:r>
        <w:rPr/>
        <w:pict>
          <v:line style="position:absolute;mso-position-horizontal-relative:page;mso-position-vertical-relative:paragraph;z-index:1360;mso-wrap-distance-left:0;mso-wrap-distance-right:0" from="72pt,40.795265pt" to="468pt,40.795265pt" stroked="true" strokeweight=".5pt" strokecolor="#00a94f">
            <v:stroke dashstyle="solid"/>
            <w10:wrap type="topAndBottom"/>
          </v:line>
        </w:pict>
      </w:r>
      <w:r>
        <w:rPr>
          <w:color w:val="00A94F"/>
          <w:spacing w:val="-6"/>
          <w:w w:val="95"/>
        </w:rPr>
        <w:t>Trends</w:t>
      </w:r>
      <w:r>
        <w:rPr>
          <w:color w:val="00A94F"/>
          <w:spacing w:val="-18"/>
          <w:w w:val="95"/>
        </w:rPr>
        <w:t> </w:t>
      </w:r>
      <w:r>
        <w:rPr>
          <w:color w:val="00A94F"/>
          <w:w w:val="95"/>
        </w:rPr>
        <w:t>in</w:t>
      </w:r>
      <w:r>
        <w:rPr>
          <w:color w:val="00A94F"/>
          <w:spacing w:val="-18"/>
          <w:w w:val="95"/>
        </w:rPr>
        <w:t> </w:t>
      </w:r>
      <w:r>
        <w:rPr>
          <w:color w:val="00A94F"/>
          <w:w w:val="95"/>
        </w:rPr>
        <w:t>Diet,</w:t>
      </w:r>
      <w:r>
        <w:rPr>
          <w:color w:val="00A94F"/>
          <w:spacing w:val="-18"/>
          <w:w w:val="95"/>
        </w:rPr>
        <w:t> </w:t>
      </w:r>
      <w:r>
        <w:rPr>
          <w:color w:val="00A94F"/>
          <w:w w:val="95"/>
        </w:rPr>
        <w:t>the</w:t>
      </w:r>
      <w:r>
        <w:rPr>
          <w:color w:val="00A94F"/>
          <w:spacing w:val="-18"/>
          <w:w w:val="95"/>
        </w:rPr>
        <w:t> </w:t>
      </w:r>
      <w:r>
        <w:rPr>
          <w:color w:val="00A94F"/>
          <w:w w:val="95"/>
        </w:rPr>
        <w:t>Food</w:t>
      </w:r>
      <w:r>
        <w:rPr>
          <w:color w:val="00A94F"/>
          <w:spacing w:val="-18"/>
          <w:w w:val="95"/>
        </w:rPr>
        <w:t> </w:t>
      </w:r>
      <w:r>
        <w:rPr>
          <w:color w:val="00A94F"/>
          <w:spacing w:val="-3"/>
          <w:w w:val="95"/>
        </w:rPr>
        <w:t>Industry,</w:t>
      </w:r>
      <w:r>
        <w:rPr>
          <w:color w:val="00A94F"/>
          <w:spacing w:val="-18"/>
          <w:w w:val="95"/>
        </w:rPr>
        <w:t> </w:t>
      </w:r>
      <w:r>
        <w:rPr>
          <w:color w:val="00A94F"/>
          <w:w w:val="95"/>
        </w:rPr>
        <w:t>and</w:t>
      </w:r>
      <w:r>
        <w:rPr>
          <w:color w:val="00A94F"/>
          <w:spacing w:val="-18"/>
          <w:w w:val="95"/>
        </w:rPr>
        <w:t> </w:t>
      </w:r>
      <w:r>
        <w:rPr>
          <w:color w:val="00A94F"/>
          <w:w w:val="95"/>
        </w:rPr>
        <w:t>Foodborne</w:t>
      </w:r>
      <w:r>
        <w:rPr>
          <w:color w:val="00A94F"/>
          <w:spacing w:val="-18"/>
          <w:w w:val="95"/>
        </w:rPr>
        <w:t> </w:t>
      </w:r>
      <w:r>
        <w:rPr>
          <w:color w:val="00A94F"/>
          <w:w w:val="95"/>
        </w:rPr>
        <w:t>Disease </w:t>
      </w:r>
      <w:r>
        <w:rPr>
          <w:color w:val="00A94F"/>
        </w:rPr>
        <w:t>Outbreaks</w:t>
      </w:r>
    </w:p>
    <w:p>
      <w:pPr>
        <w:pStyle w:val="BodyText"/>
        <w:rPr>
          <w:rFonts w:ascii="Lucida Sans"/>
          <w:sz w:val="12"/>
        </w:rPr>
      </w:pPr>
    </w:p>
    <w:p>
      <w:pPr>
        <w:spacing w:after="0"/>
        <w:rPr>
          <w:rFonts w:ascii="Lucida Sans"/>
          <w:sz w:val="12"/>
        </w:rPr>
        <w:sectPr>
          <w:pgSz w:w="10080" w:h="14400"/>
          <w:pgMar w:header="0" w:footer="160" w:top="1160" w:bottom="360" w:left="0" w:right="0"/>
        </w:sectPr>
      </w:pPr>
    </w:p>
    <w:p>
      <w:pPr>
        <w:pStyle w:val="BodyText"/>
        <w:spacing w:line="266" w:lineRule="auto" w:before="107"/>
        <w:ind w:left="1440" w:right="-13"/>
        <w:rPr>
          <w:sz w:val="11"/>
        </w:rPr>
      </w:pPr>
      <w:r>
        <w:rPr/>
        <w:pict>
          <v:rect style="position:absolute;margin-left:0pt;margin-top:13.749353pt;width:45pt;height:18pt;mso-position-horizontal-relative:page;mso-position-vertical-relative:paragraph;z-index:1408" filled="true" fillcolor="#0079c1" stroked="false">
            <v:fill type="solid"/>
            <w10:wrap type="none"/>
          </v:rect>
        </w:pict>
      </w:r>
      <w:r>
        <w:rPr/>
        <w:pict>
          <v:line style="position:absolute;mso-position-horizontal-relative:page;mso-position-vertical-relative:paragraph;z-index:1432" from="54.5pt,13.750953pt" to="54.5pt,255.648953pt" stroked="true" strokeweight="1pt" strokecolor="#0079c1">
            <v:stroke dashstyle="solid"/>
            <w10:wrap type="none"/>
          </v:line>
        </w:pict>
      </w:r>
      <w:r>
        <w:rPr/>
        <w:pict>
          <v:shape style="position:absolute;margin-left:16.131701pt;margin-top:35.297245pt;width:22.9pt;height:222.55pt;mso-position-horizontal-relative:page;mso-position-vertical-relative:paragraph;z-index:1456"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18.545805pt;width:15.85pt;height:8.5pt;mso-position-horizontal-relative:page;mso-position-vertical-relative:paragraph;z-index:1480"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Association’s</w:t>
      </w:r>
      <w:r>
        <w:rPr>
          <w:color w:val="231F20"/>
          <w:spacing w:val="-16"/>
          <w:w w:val="105"/>
        </w:rPr>
        <w:t> </w:t>
      </w:r>
      <w:r>
        <w:rPr>
          <w:color w:val="231F20"/>
          <w:w w:val="105"/>
        </w:rPr>
        <w:t>2012</w:t>
      </w:r>
      <w:r>
        <w:rPr>
          <w:color w:val="231F20"/>
          <w:spacing w:val="-15"/>
          <w:w w:val="105"/>
        </w:rPr>
        <w:t> </w:t>
      </w:r>
      <w:r>
        <w:rPr>
          <w:color w:val="231F20"/>
          <w:w w:val="105"/>
        </w:rPr>
        <w:t>industry</w:t>
      </w:r>
      <w:r>
        <w:rPr>
          <w:color w:val="231F20"/>
          <w:spacing w:val="-16"/>
          <w:w w:val="105"/>
        </w:rPr>
        <w:t> </w:t>
      </w:r>
      <w:r>
        <w:rPr>
          <w:color w:val="231F20"/>
          <w:spacing w:val="-4"/>
          <w:w w:val="105"/>
        </w:rPr>
        <w:t>overview,</w:t>
      </w:r>
      <w:r>
        <w:rPr>
          <w:color w:val="231F20"/>
          <w:spacing w:val="-15"/>
          <w:w w:val="105"/>
        </w:rPr>
        <w:t> </w:t>
      </w:r>
      <w:r>
        <w:rPr>
          <w:color w:val="231F20"/>
          <w:w w:val="105"/>
        </w:rPr>
        <w:t>970,000 restaurant locations will </w:t>
      </w:r>
      <w:r>
        <w:rPr>
          <w:color w:val="231F20"/>
          <w:spacing w:val="-3"/>
          <w:w w:val="105"/>
        </w:rPr>
        <w:t>have </w:t>
      </w:r>
      <w:r>
        <w:rPr>
          <w:color w:val="231F20"/>
          <w:w w:val="105"/>
        </w:rPr>
        <w:t>more than 70 billion meal and snack occasions.</w:t>
      </w:r>
      <w:r>
        <w:rPr>
          <w:color w:val="231F20"/>
          <w:w w:val="105"/>
          <w:position w:val="7"/>
          <w:sz w:val="11"/>
        </w:rPr>
        <w:t>37 </w:t>
      </w:r>
      <w:r>
        <w:rPr>
          <w:color w:val="231F20"/>
          <w:w w:val="105"/>
        </w:rPr>
        <w:t>Forty-nine percent of all food spending in 2011 was on food</w:t>
      </w:r>
      <w:r>
        <w:rPr>
          <w:color w:val="231F20"/>
          <w:spacing w:val="-13"/>
          <w:w w:val="105"/>
        </w:rPr>
        <w:t> </w:t>
      </w:r>
      <w:r>
        <w:rPr>
          <w:color w:val="231F20"/>
          <w:w w:val="105"/>
        </w:rPr>
        <w:t>prepared</w:t>
      </w:r>
      <w:r>
        <w:rPr>
          <w:color w:val="231F20"/>
          <w:spacing w:val="-14"/>
          <w:w w:val="105"/>
        </w:rPr>
        <w:t> </w:t>
      </w:r>
      <w:r>
        <w:rPr>
          <w:color w:val="231F20"/>
          <w:w w:val="105"/>
        </w:rPr>
        <w:t>away</w:t>
      </w:r>
      <w:r>
        <w:rPr>
          <w:color w:val="231F20"/>
          <w:spacing w:val="-14"/>
          <w:w w:val="105"/>
        </w:rPr>
        <w:t> </w:t>
      </w:r>
      <w:r>
        <w:rPr>
          <w:color w:val="231F20"/>
          <w:w w:val="105"/>
        </w:rPr>
        <w:t>from</w:t>
      </w:r>
      <w:r>
        <w:rPr>
          <w:color w:val="231F20"/>
          <w:spacing w:val="-14"/>
          <w:w w:val="105"/>
        </w:rPr>
        <w:t> </w:t>
      </w:r>
      <w:r>
        <w:rPr>
          <w:color w:val="231F20"/>
          <w:w w:val="105"/>
        </w:rPr>
        <w:t>home,</w:t>
      </w:r>
      <w:r>
        <w:rPr>
          <w:color w:val="231F20"/>
          <w:spacing w:val="-13"/>
          <w:w w:val="105"/>
        </w:rPr>
        <w:t> </w:t>
      </w:r>
      <w:r>
        <w:rPr>
          <w:color w:val="231F20"/>
          <w:w w:val="105"/>
        </w:rPr>
        <w:t>up</w:t>
      </w:r>
      <w:r>
        <w:rPr>
          <w:color w:val="231F20"/>
          <w:spacing w:val="-13"/>
          <w:w w:val="105"/>
        </w:rPr>
        <w:t> </w:t>
      </w:r>
      <w:r>
        <w:rPr>
          <w:color w:val="231F20"/>
          <w:w w:val="105"/>
        </w:rPr>
        <w:t>from</w:t>
      </w:r>
      <w:r>
        <w:rPr>
          <w:color w:val="231F20"/>
          <w:spacing w:val="-14"/>
          <w:w w:val="105"/>
        </w:rPr>
        <w:t> </w:t>
      </w:r>
      <w:r>
        <w:rPr>
          <w:color w:val="231F20"/>
          <w:w w:val="105"/>
        </w:rPr>
        <w:t>33% in</w:t>
      </w:r>
      <w:r>
        <w:rPr>
          <w:color w:val="231F20"/>
          <w:spacing w:val="16"/>
          <w:w w:val="105"/>
        </w:rPr>
        <w:t> </w:t>
      </w:r>
      <w:r>
        <w:rPr>
          <w:color w:val="231F20"/>
          <w:w w:val="105"/>
        </w:rPr>
        <w:t>1970.</w:t>
      </w:r>
      <w:r>
        <w:rPr>
          <w:color w:val="231F20"/>
          <w:w w:val="105"/>
          <w:position w:val="7"/>
          <w:sz w:val="11"/>
        </w:rPr>
        <w:t>38</w:t>
      </w:r>
    </w:p>
    <w:p>
      <w:pPr>
        <w:pStyle w:val="BodyText"/>
        <w:spacing w:line="266" w:lineRule="auto" w:before="179"/>
        <w:ind w:left="1440" w:right="181"/>
      </w:pPr>
      <w:r>
        <w:rPr>
          <w:color w:val="231F20"/>
          <w:w w:val="105"/>
        </w:rPr>
        <w:t>The increased number of meals eaten away from home most likely has influenced the occurrence of foodborne disease. In an analysis of foodborne disease outbreaks reported to CDC during 2009–2010,</w:t>
      </w:r>
    </w:p>
    <w:p>
      <w:pPr>
        <w:pStyle w:val="BodyText"/>
        <w:spacing w:line="266" w:lineRule="auto" w:before="107"/>
        <w:ind w:left="408" w:right="788"/>
      </w:pPr>
      <w:r>
        <w:rPr/>
        <w:br w:type="column"/>
      </w:r>
      <w:r>
        <w:rPr>
          <w:color w:val="231F20"/>
          <w:w w:val="105"/>
        </w:rPr>
        <w:t>48% were associated with restaurants or delicatessens (including cafeterias and hotels).</w:t>
      </w:r>
      <w:r>
        <w:rPr>
          <w:color w:val="231F20"/>
          <w:w w:val="105"/>
          <w:position w:val="7"/>
          <w:sz w:val="11"/>
        </w:rPr>
        <w:t>38 </w:t>
      </w:r>
      <w:r>
        <w:rPr>
          <w:color w:val="231F20"/>
          <w:w w:val="105"/>
        </w:rPr>
        <w:t>In addition, studies of both sporadic and outbreak-associated foodborne illness,</w:t>
      </w:r>
    </w:p>
    <w:p>
      <w:pPr>
        <w:spacing w:line="266" w:lineRule="auto" w:before="0"/>
        <w:ind w:left="408" w:right="655" w:firstLine="0"/>
        <w:jc w:val="left"/>
        <w:rPr>
          <w:sz w:val="11"/>
        </w:rPr>
      </w:pPr>
      <w:r>
        <w:rPr>
          <w:color w:val="231F20"/>
          <w:w w:val="105"/>
          <w:sz w:val="20"/>
        </w:rPr>
        <w:t>including infection with Shiga toxin–producing </w:t>
      </w:r>
      <w:r>
        <w:rPr>
          <w:i/>
          <w:color w:val="231F20"/>
          <w:w w:val="105"/>
          <w:sz w:val="20"/>
        </w:rPr>
        <w:t>Escherichia coli </w:t>
      </w:r>
      <w:r>
        <w:rPr>
          <w:color w:val="231F20"/>
          <w:w w:val="105"/>
          <w:sz w:val="20"/>
        </w:rPr>
        <w:t>(STEC) O157:H7, </w:t>
      </w:r>
      <w:r>
        <w:rPr>
          <w:i/>
          <w:color w:val="231F20"/>
          <w:w w:val="105"/>
          <w:sz w:val="20"/>
        </w:rPr>
        <w:t>Salmonella </w:t>
      </w:r>
      <w:r>
        <w:rPr>
          <w:i/>
          <w:color w:val="231F20"/>
          <w:w w:val="105"/>
          <w:sz w:val="20"/>
        </w:rPr>
        <w:t>enterica </w:t>
      </w:r>
      <w:r>
        <w:rPr>
          <w:color w:val="231F20"/>
          <w:w w:val="105"/>
          <w:sz w:val="20"/>
        </w:rPr>
        <w:t>serotype Enteritidis, </w:t>
      </w:r>
      <w:r>
        <w:rPr>
          <w:i/>
          <w:color w:val="231F20"/>
          <w:w w:val="105"/>
          <w:sz w:val="20"/>
        </w:rPr>
        <w:t>S. enterica </w:t>
      </w:r>
      <w:r>
        <w:rPr>
          <w:color w:val="231F20"/>
          <w:w w:val="105"/>
          <w:sz w:val="20"/>
        </w:rPr>
        <w:t>serotype Typhimurium, and </w:t>
      </w:r>
      <w:r>
        <w:rPr>
          <w:i/>
          <w:color w:val="231F20"/>
          <w:w w:val="105"/>
          <w:sz w:val="20"/>
        </w:rPr>
        <w:t>Campylobacter jejuni</w:t>
      </w:r>
      <w:r>
        <w:rPr>
          <w:color w:val="231F20"/>
          <w:w w:val="105"/>
          <w:sz w:val="20"/>
        </w:rPr>
        <w:t>, suggest that commercial food-service establishments, such as restaurants, play an important role in foodborne disease in the United States.</w:t>
      </w:r>
      <w:r>
        <w:rPr>
          <w:color w:val="231F20"/>
          <w:w w:val="105"/>
          <w:position w:val="7"/>
          <w:sz w:val="11"/>
        </w:rPr>
        <w:t>40</w:t>
      </w:r>
    </w:p>
    <w:p>
      <w:pPr>
        <w:spacing w:after="0" w:line="266" w:lineRule="auto"/>
        <w:jc w:val="left"/>
        <w:rPr>
          <w:sz w:val="11"/>
        </w:rPr>
        <w:sectPr>
          <w:type w:val="continuous"/>
          <w:pgSz w:w="10080" w:h="14400"/>
          <w:pgMar w:top="0" w:bottom="360" w:left="0" w:right="0"/>
          <w:cols w:num="2" w:equalWidth="0">
            <w:col w:w="5132" w:space="40"/>
            <w:col w:w="4908"/>
          </w:cols>
        </w:sectPr>
      </w:pPr>
    </w:p>
    <w:p>
      <w:pPr>
        <w:pStyle w:val="BodyText"/>
      </w:pPr>
    </w:p>
    <w:p>
      <w:pPr>
        <w:pStyle w:val="BodyText"/>
      </w:pPr>
    </w:p>
    <w:p>
      <w:pPr>
        <w:pStyle w:val="Heading1"/>
        <w:numPr>
          <w:ilvl w:val="1"/>
          <w:numId w:val="3"/>
        </w:numPr>
        <w:tabs>
          <w:tab w:pos="1985" w:val="left" w:leader="none"/>
        </w:tabs>
        <w:spacing w:line="240" w:lineRule="auto" w:before="89" w:after="0"/>
        <w:ind w:left="1984" w:right="0" w:hanging="544"/>
        <w:jc w:val="left"/>
      </w:pPr>
      <w:r>
        <w:rPr/>
        <w:pict>
          <v:line style="position:absolute;mso-position-horizontal-relative:page;mso-position-vertical-relative:paragraph;z-index:1384;mso-wrap-distance-left:0;mso-wrap-distance-right:0" from="72pt,23.995163pt" to="468pt,23.995163pt" stroked="true" strokeweight=".5pt" strokecolor="#00a94f">
            <v:stroke dashstyle="solid"/>
            <w10:wrap type="topAndBottom"/>
          </v:line>
        </w:pict>
      </w:r>
      <w:r>
        <w:rPr>
          <w:color w:val="00A94F"/>
          <w:spacing w:val="-6"/>
          <w:w w:val="95"/>
        </w:rPr>
        <w:t>Trends </w:t>
      </w:r>
      <w:r>
        <w:rPr>
          <w:color w:val="00A94F"/>
          <w:w w:val="95"/>
        </w:rPr>
        <w:t>in Food-Safety</w:t>
      </w:r>
      <w:r>
        <w:rPr>
          <w:color w:val="00A94F"/>
          <w:spacing w:val="-47"/>
          <w:w w:val="95"/>
        </w:rPr>
        <w:t> </w:t>
      </w:r>
      <w:r>
        <w:rPr>
          <w:color w:val="00A94F"/>
          <w:w w:val="95"/>
        </w:rPr>
        <w:t>Problems</w:t>
      </w:r>
    </w:p>
    <w:p>
      <w:pPr>
        <w:pStyle w:val="BodyText"/>
        <w:spacing w:before="8"/>
        <w:rPr>
          <w:rFonts w:ascii="Lucida Sans"/>
          <w:sz w:val="12"/>
        </w:rPr>
      </w:pPr>
    </w:p>
    <w:p>
      <w:pPr>
        <w:spacing w:after="0"/>
        <w:rPr>
          <w:rFonts w:ascii="Lucida Sans"/>
          <w:sz w:val="12"/>
        </w:rPr>
        <w:sectPr>
          <w:type w:val="continuous"/>
          <w:pgSz w:w="10080" w:h="14400"/>
          <w:pgMar w:top="0" w:bottom="360" w:left="0" w:right="0"/>
        </w:sectPr>
      </w:pPr>
    </w:p>
    <w:p>
      <w:pPr>
        <w:pStyle w:val="ListParagraph"/>
        <w:numPr>
          <w:ilvl w:val="2"/>
          <w:numId w:val="3"/>
        </w:numPr>
        <w:tabs>
          <w:tab w:pos="1996" w:val="left" w:leader="none"/>
        </w:tabs>
        <w:spacing w:line="240" w:lineRule="auto" w:before="104" w:after="0"/>
        <w:ind w:left="1996" w:right="0" w:hanging="556"/>
        <w:jc w:val="left"/>
        <w:rPr>
          <w:rFonts w:ascii="Lucida Sans"/>
          <w:sz w:val="20"/>
        </w:rPr>
      </w:pPr>
      <w:r>
        <w:rPr>
          <w:rFonts w:ascii="Lucida Sans"/>
          <w:color w:val="1C3E94"/>
          <w:w w:val="95"/>
          <w:sz w:val="20"/>
        </w:rPr>
        <w:t>Food Product</w:t>
      </w:r>
      <w:r>
        <w:rPr>
          <w:rFonts w:ascii="Lucida Sans"/>
          <w:color w:val="1C3E94"/>
          <w:spacing w:val="-15"/>
          <w:w w:val="95"/>
          <w:sz w:val="20"/>
        </w:rPr>
        <w:t> </w:t>
      </w:r>
      <w:r>
        <w:rPr>
          <w:rFonts w:ascii="Lucida Sans"/>
          <w:color w:val="1C3E94"/>
          <w:w w:val="95"/>
          <w:sz w:val="20"/>
        </w:rPr>
        <w:t>Recalls</w:t>
      </w:r>
    </w:p>
    <w:p>
      <w:pPr>
        <w:pStyle w:val="BodyText"/>
        <w:spacing w:before="2"/>
        <w:rPr>
          <w:rFonts w:ascii="Lucida Sans"/>
          <w:sz w:val="18"/>
        </w:rPr>
      </w:pPr>
    </w:p>
    <w:p>
      <w:pPr>
        <w:pStyle w:val="BodyText"/>
        <w:spacing w:line="266" w:lineRule="auto"/>
        <w:ind w:left="1440" w:right="7"/>
      </w:pPr>
      <w:r>
        <w:rPr>
          <w:color w:val="231F20"/>
        </w:rPr>
        <w:t>Food recalls indicate both food safety problems and demonstrations of control measures in response to those problems. Distributors or manufacturers recall their food products for either of two reasons: (a) a regulatory authority or the food industry identifies a food-safety problem during production, processing or distribution or (b) suspicion or  identification</w:t>
      </w:r>
    </w:p>
    <w:p>
      <w:pPr>
        <w:pStyle w:val="BodyText"/>
        <w:spacing w:line="266" w:lineRule="auto"/>
        <w:ind w:left="1440" w:right="166"/>
      </w:pPr>
      <w:r>
        <w:rPr>
          <w:color w:val="231F20"/>
          <w:w w:val="105"/>
        </w:rPr>
        <w:t>of the product as the cause of human disease. During 2012, the </w:t>
      </w:r>
      <w:r>
        <w:rPr>
          <w:color w:val="231F20"/>
          <w:spacing w:val="-8"/>
          <w:w w:val="105"/>
        </w:rPr>
        <w:t>U.S. </w:t>
      </w:r>
      <w:r>
        <w:rPr>
          <w:color w:val="231F20"/>
          <w:spacing w:val="-5"/>
          <w:w w:val="105"/>
        </w:rPr>
        <w:t>Food </w:t>
      </w:r>
      <w:r>
        <w:rPr>
          <w:color w:val="231F20"/>
          <w:w w:val="105"/>
        </w:rPr>
        <w:t>and Drug Administration </w:t>
      </w:r>
      <w:r>
        <w:rPr>
          <w:color w:val="231F20"/>
          <w:spacing w:val="-3"/>
          <w:w w:val="105"/>
        </w:rPr>
        <w:t>(FDA) </w:t>
      </w:r>
      <w:r>
        <w:rPr>
          <w:color w:val="231F20"/>
          <w:w w:val="105"/>
        </w:rPr>
        <w:t>and the </w:t>
      </w:r>
      <w:r>
        <w:rPr>
          <w:color w:val="231F20"/>
          <w:spacing w:val="-4"/>
          <w:w w:val="105"/>
        </w:rPr>
        <w:t>USDA </w:t>
      </w:r>
      <w:r>
        <w:rPr>
          <w:color w:val="231F20"/>
          <w:spacing w:val="-5"/>
          <w:w w:val="105"/>
        </w:rPr>
        <w:t>Food </w:t>
      </w:r>
      <w:r>
        <w:rPr>
          <w:color w:val="231F20"/>
          <w:w w:val="105"/>
        </w:rPr>
        <w:t>Safety and Inspection Service </w:t>
      </w:r>
      <w:r>
        <w:rPr>
          <w:color w:val="231F20"/>
          <w:spacing w:val="-3"/>
          <w:w w:val="105"/>
        </w:rPr>
        <w:t>(USDA- </w:t>
      </w:r>
      <w:r>
        <w:rPr>
          <w:color w:val="231F20"/>
          <w:w w:val="105"/>
        </w:rPr>
        <w:t>FSIS)</w:t>
      </w:r>
      <w:r>
        <w:rPr>
          <w:color w:val="231F20"/>
          <w:spacing w:val="-13"/>
          <w:w w:val="105"/>
        </w:rPr>
        <w:t> </w:t>
      </w:r>
      <w:r>
        <w:rPr>
          <w:color w:val="231F20"/>
          <w:w w:val="105"/>
        </w:rPr>
        <w:t>reported</w:t>
      </w:r>
      <w:r>
        <w:rPr>
          <w:color w:val="231F20"/>
          <w:spacing w:val="-13"/>
          <w:w w:val="105"/>
        </w:rPr>
        <w:t> </w:t>
      </w:r>
      <w:r>
        <w:rPr>
          <w:color w:val="231F20"/>
          <w:w w:val="105"/>
        </w:rPr>
        <w:t>more</w:t>
      </w:r>
      <w:r>
        <w:rPr>
          <w:color w:val="231F20"/>
          <w:spacing w:val="-13"/>
          <w:w w:val="105"/>
        </w:rPr>
        <w:t> </w:t>
      </w:r>
      <w:r>
        <w:rPr>
          <w:color w:val="231F20"/>
          <w:w w:val="105"/>
        </w:rPr>
        <w:t>than</w:t>
      </w:r>
      <w:r>
        <w:rPr>
          <w:color w:val="231F20"/>
          <w:spacing w:val="-14"/>
          <w:w w:val="105"/>
        </w:rPr>
        <w:t> </w:t>
      </w:r>
      <w:r>
        <w:rPr>
          <w:color w:val="231F20"/>
          <w:w w:val="105"/>
        </w:rPr>
        <w:t>258</w:t>
      </w:r>
      <w:r>
        <w:rPr>
          <w:color w:val="231F20"/>
          <w:spacing w:val="-13"/>
          <w:w w:val="105"/>
        </w:rPr>
        <w:t> </w:t>
      </w:r>
      <w:r>
        <w:rPr>
          <w:color w:val="231F20"/>
          <w:w w:val="105"/>
        </w:rPr>
        <w:t>recalls</w:t>
      </w:r>
      <w:r>
        <w:rPr>
          <w:color w:val="231F20"/>
          <w:spacing w:val="-14"/>
          <w:w w:val="105"/>
        </w:rPr>
        <w:t> </w:t>
      </w:r>
      <w:r>
        <w:rPr>
          <w:color w:val="231F20"/>
          <w:w w:val="105"/>
        </w:rPr>
        <w:t>of</w:t>
      </w:r>
      <w:r>
        <w:rPr>
          <w:color w:val="231F20"/>
          <w:spacing w:val="9"/>
          <w:w w:val="105"/>
        </w:rPr>
        <w:t> </w:t>
      </w:r>
      <w:r>
        <w:rPr>
          <w:color w:val="231F20"/>
          <w:w w:val="105"/>
        </w:rPr>
        <w:t>food associated</w:t>
      </w:r>
      <w:r>
        <w:rPr>
          <w:color w:val="231F20"/>
          <w:spacing w:val="-18"/>
          <w:w w:val="105"/>
        </w:rPr>
        <w:t> </w:t>
      </w:r>
      <w:r>
        <w:rPr>
          <w:color w:val="231F20"/>
          <w:w w:val="105"/>
        </w:rPr>
        <w:t>with</w:t>
      </w:r>
      <w:r>
        <w:rPr>
          <w:color w:val="231F20"/>
          <w:spacing w:val="-18"/>
          <w:w w:val="105"/>
        </w:rPr>
        <w:t> </w:t>
      </w:r>
      <w:r>
        <w:rPr>
          <w:color w:val="231F20"/>
          <w:w w:val="105"/>
        </w:rPr>
        <w:t>microbial</w:t>
      </w:r>
      <w:r>
        <w:rPr>
          <w:color w:val="231F20"/>
          <w:spacing w:val="-18"/>
          <w:w w:val="105"/>
        </w:rPr>
        <w:t> </w:t>
      </w:r>
      <w:r>
        <w:rPr>
          <w:color w:val="231F20"/>
          <w:w w:val="105"/>
        </w:rPr>
        <w:t>contamination.</w:t>
      </w:r>
    </w:p>
    <w:p>
      <w:pPr>
        <w:pStyle w:val="BodyText"/>
        <w:spacing w:line="266" w:lineRule="auto"/>
        <w:ind w:left="1440" w:right="-9"/>
        <w:rPr>
          <w:sz w:val="11"/>
        </w:rPr>
      </w:pPr>
      <w:r>
        <w:rPr>
          <w:color w:val="231F20"/>
          <w:w w:val="105"/>
        </w:rPr>
        <w:t>Imported food products were also among the list</w:t>
      </w:r>
      <w:r>
        <w:rPr>
          <w:color w:val="231F20"/>
          <w:spacing w:val="-18"/>
          <w:w w:val="105"/>
        </w:rPr>
        <w:t> </w:t>
      </w:r>
      <w:r>
        <w:rPr>
          <w:color w:val="231F20"/>
          <w:w w:val="105"/>
        </w:rPr>
        <w:t>of</w:t>
      </w:r>
      <w:r>
        <w:rPr>
          <w:color w:val="231F20"/>
          <w:spacing w:val="4"/>
          <w:w w:val="105"/>
        </w:rPr>
        <w:t> </w:t>
      </w:r>
      <w:r>
        <w:rPr>
          <w:color w:val="231F20"/>
          <w:w w:val="105"/>
        </w:rPr>
        <w:t>recalled</w:t>
      </w:r>
      <w:r>
        <w:rPr>
          <w:color w:val="231F20"/>
          <w:spacing w:val="-18"/>
          <w:w w:val="105"/>
        </w:rPr>
        <w:t> </w:t>
      </w:r>
      <w:r>
        <w:rPr>
          <w:color w:val="231F20"/>
          <w:w w:val="105"/>
        </w:rPr>
        <w:t>foods.</w:t>
      </w:r>
      <w:r>
        <w:rPr>
          <w:color w:val="231F20"/>
          <w:spacing w:val="-17"/>
          <w:w w:val="105"/>
        </w:rPr>
        <w:t> </w:t>
      </w:r>
      <w:r>
        <w:rPr>
          <w:color w:val="231F20"/>
          <w:w w:val="105"/>
        </w:rPr>
        <w:t>These</w:t>
      </w:r>
      <w:r>
        <w:rPr>
          <w:color w:val="231F20"/>
          <w:spacing w:val="-17"/>
          <w:w w:val="105"/>
        </w:rPr>
        <w:t> </w:t>
      </w:r>
      <w:r>
        <w:rPr>
          <w:color w:val="231F20"/>
          <w:w w:val="105"/>
        </w:rPr>
        <w:t>recalls</w:t>
      </w:r>
      <w:r>
        <w:rPr>
          <w:color w:val="231F20"/>
          <w:spacing w:val="-18"/>
          <w:w w:val="105"/>
        </w:rPr>
        <w:t> </w:t>
      </w:r>
      <w:r>
        <w:rPr>
          <w:color w:val="231F20"/>
          <w:w w:val="105"/>
        </w:rPr>
        <w:t>demonstrate the breadth of products and pathogens responsible for foodborne diseases in the United States.</w:t>
      </w:r>
      <w:r>
        <w:rPr>
          <w:color w:val="231F20"/>
          <w:w w:val="105"/>
          <w:position w:val="7"/>
          <w:sz w:val="11"/>
        </w:rPr>
        <w:t>41,</w:t>
      </w:r>
      <w:r>
        <w:rPr>
          <w:color w:val="231F20"/>
          <w:spacing w:val="17"/>
          <w:w w:val="105"/>
          <w:position w:val="7"/>
          <w:sz w:val="11"/>
        </w:rPr>
        <w:t> </w:t>
      </w:r>
      <w:r>
        <w:rPr>
          <w:color w:val="231F20"/>
          <w:w w:val="105"/>
          <w:position w:val="7"/>
          <w:sz w:val="11"/>
        </w:rPr>
        <w:t>42</w:t>
      </w:r>
    </w:p>
    <w:p>
      <w:pPr>
        <w:pStyle w:val="BodyText"/>
        <w:spacing w:line="266" w:lineRule="auto" w:before="179"/>
        <w:ind w:left="1440" w:right="175"/>
      </w:pPr>
      <w:r>
        <w:rPr>
          <w:color w:val="231F20"/>
          <w:w w:val="105"/>
        </w:rPr>
        <w:t>During that period, manufacturers and distributors recalled shellfish and smoked, dried, frozen, and uneviscerated fish; fresh fruit, herbs, and vegetables; cheese, ice cream, and other dairy products; ready-to- eat</w:t>
      </w:r>
      <w:r>
        <w:rPr>
          <w:color w:val="231F20"/>
          <w:spacing w:val="-10"/>
          <w:w w:val="105"/>
        </w:rPr>
        <w:t> </w:t>
      </w:r>
      <w:r>
        <w:rPr>
          <w:color w:val="231F20"/>
          <w:w w:val="105"/>
        </w:rPr>
        <w:t>prepared</w:t>
      </w:r>
      <w:r>
        <w:rPr>
          <w:color w:val="231F20"/>
          <w:spacing w:val="-11"/>
          <w:w w:val="105"/>
        </w:rPr>
        <w:t> </w:t>
      </w:r>
      <w:r>
        <w:rPr>
          <w:color w:val="231F20"/>
          <w:w w:val="105"/>
        </w:rPr>
        <w:t>foods</w:t>
      </w:r>
      <w:r>
        <w:rPr>
          <w:color w:val="231F20"/>
          <w:spacing w:val="-11"/>
          <w:w w:val="105"/>
        </w:rPr>
        <w:t> </w:t>
      </w:r>
      <w:r>
        <w:rPr>
          <w:color w:val="231F20"/>
          <w:w w:val="105"/>
        </w:rPr>
        <w:t>such</w:t>
      </w:r>
      <w:r>
        <w:rPr>
          <w:color w:val="231F20"/>
          <w:spacing w:val="-11"/>
          <w:w w:val="105"/>
        </w:rPr>
        <w:t> </w:t>
      </w:r>
      <w:r>
        <w:rPr>
          <w:color w:val="231F20"/>
          <w:w w:val="105"/>
        </w:rPr>
        <w:t>as</w:t>
      </w:r>
      <w:r>
        <w:rPr>
          <w:color w:val="231F20"/>
          <w:spacing w:val="-11"/>
          <w:w w:val="105"/>
        </w:rPr>
        <w:t> </w:t>
      </w:r>
      <w:r>
        <w:rPr>
          <w:color w:val="231F20"/>
          <w:w w:val="105"/>
        </w:rPr>
        <w:t>peanut</w:t>
      </w:r>
      <w:r>
        <w:rPr>
          <w:color w:val="231F20"/>
          <w:spacing w:val="-10"/>
          <w:w w:val="105"/>
        </w:rPr>
        <w:t> </w:t>
      </w:r>
      <w:r>
        <w:rPr>
          <w:color w:val="231F20"/>
          <w:w w:val="105"/>
        </w:rPr>
        <w:t>butter</w:t>
      </w:r>
      <w:r>
        <w:rPr>
          <w:color w:val="231F20"/>
          <w:spacing w:val="-10"/>
          <w:w w:val="105"/>
        </w:rPr>
        <w:t> </w:t>
      </w:r>
      <w:r>
        <w:rPr>
          <w:color w:val="231F20"/>
          <w:w w:val="105"/>
        </w:rPr>
        <w:t>and peanut</w:t>
      </w:r>
      <w:r>
        <w:rPr>
          <w:color w:val="231F20"/>
          <w:spacing w:val="-13"/>
          <w:w w:val="105"/>
        </w:rPr>
        <w:t> </w:t>
      </w:r>
      <w:r>
        <w:rPr>
          <w:color w:val="231F20"/>
          <w:w w:val="105"/>
        </w:rPr>
        <w:t>butter</w:t>
      </w:r>
      <w:r>
        <w:rPr>
          <w:color w:val="231F20"/>
          <w:spacing w:val="-13"/>
          <w:w w:val="105"/>
        </w:rPr>
        <w:t> </w:t>
      </w:r>
      <w:r>
        <w:rPr>
          <w:color w:val="231F20"/>
          <w:w w:val="105"/>
        </w:rPr>
        <w:t>products,</w:t>
      </w:r>
      <w:r>
        <w:rPr>
          <w:color w:val="231F20"/>
          <w:spacing w:val="-13"/>
          <w:w w:val="105"/>
        </w:rPr>
        <w:t> </w:t>
      </w:r>
      <w:r>
        <w:rPr>
          <w:color w:val="231F20"/>
          <w:w w:val="105"/>
        </w:rPr>
        <w:t>vegetarian</w:t>
      </w:r>
      <w:r>
        <w:rPr>
          <w:color w:val="231F20"/>
          <w:spacing w:val="-15"/>
          <w:w w:val="105"/>
        </w:rPr>
        <w:t> </w:t>
      </w:r>
      <w:r>
        <w:rPr>
          <w:color w:val="231F20"/>
          <w:w w:val="105"/>
        </w:rPr>
        <w:t>meatloaf,</w:t>
      </w:r>
    </w:p>
    <w:p>
      <w:pPr>
        <w:pStyle w:val="BodyText"/>
        <w:spacing w:line="266" w:lineRule="auto" w:before="108"/>
        <w:ind w:left="319" w:right="859"/>
        <w:rPr>
          <w:sz w:val="11"/>
        </w:rPr>
      </w:pPr>
      <w:r>
        <w:rPr/>
        <w:br w:type="column"/>
      </w:r>
      <w:r>
        <w:rPr>
          <w:color w:val="231F20"/>
          <w:w w:val="105"/>
        </w:rPr>
        <w:t>and salsa; pistachios, cashews, and other nuts;</w:t>
      </w:r>
      <w:r>
        <w:rPr>
          <w:color w:val="231F20"/>
          <w:spacing w:val="-9"/>
          <w:w w:val="105"/>
        </w:rPr>
        <w:t> </w:t>
      </w:r>
      <w:r>
        <w:rPr>
          <w:color w:val="231F20"/>
          <w:w w:val="105"/>
        </w:rPr>
        <w:t>ready-to-eat</w:t>
      </w:r>
      <w:r>
        <w:rPr>
          <w:color w:val="231F20"/>
          <w:spacing w:val="-9"/>
          <w:w w:val="105"/>
        </w:rPr>
        <w:t> </w:t>
      </w:r>
      <w:r>
        <w:rPr>
          <w:color w:val="231F20"/>
          <w:w w:val="105"/>
        </w:rPr>
        <w:t>meat</w:t>
      </w:r>
      <w:r>
        <w:rPr>
          <w:color w:val="231F20"/>
          <w:spacing w:val="-9"/>
          <w:w w:val="105"/>
        </w:rPr>
        <w:t> </w:t>
      </w:r>
      <w:r>
        <w:rPr>
          <w:color w:val="231F20"/>
          <w:w w:val="105"/>
        </w:rPr>
        <w:t>and</w:t>
      </w:r>
      <w:r>
        <w:rPr>
          <w:color w:val="231F20"/>
          <w:spacing w:val="-9"/>
          <w:w w:val="105"/>
        </w:rPr>
        <w:t> </w:t>
      </w:r>
      <w:r>
        <w:rPr>
          <w:color w:val="231F20"/>
          <w:w w:val="105"/>
        </w:rPr>
        <w:t>poultry</w:t>
      </w:r>
      <w:r>
        <w:rPr>
          <w:color w:val="231F20"/>
          <w:spacing w:val="-9"/>
          <w:w w:val="105"/>
        </w:rPr>
        <w:t> </w:t>
      </w:r>
      <w:r>
        <w:rPr>
          <w:color w:val="231F20"/>
          <w:w w:val="105"/>
        </w:rPr>
        <w:t>products; raw ground beef and various types of raw beef; and food ingredients, such as </w:t>
      </w:r>
      <w:r>
        <w:rPr>
          <w:color w:val="231F20"/>
          <w:spacing w:val="-4"/>
          <w:w w:val="105"/>
        </w:rPr>
        <w:t>flour, </w:t>
      </w:r>
      <w:r>
        <w:rPr>
          <w:color w:val="231F20"/>
          <w:w w:val="105"/>
        </w:rPr>
        <w:t>oat </w:t>
      </w:r>
      <w:r>
        <w:rPr>
          <w:color w:val="231F20"/>
          <w:spacing w:val="-4"/>
          <w:w w:val="105"/>
        </w:rPr>
        <w:t>fiber, </w:t>
      </w:r>
      <w:r>
        <w:rPr>
          <w:color w:val="231F20"/>
          <w:w w:val="105"/>
        </w:rPr>
        <w:t>starter yeast, seasonings, and flavor concentrate. The products were distributed </w:t>
      </w:r>
      <w:r>
        <w:rPr>
          <w:color w:val="231F20"/>
          <w:spacing w:val="-4"/>
          <w:w w:val="105"/>
        </w:rPr>
        <w:t>locally, </w:t>
      </w:r>
      <w:r>
        <w:rPr>
          <w:color w:val="231F20"/>
          <w:spacing w:val="-3"/>
          <w:w w:val="105"/>
        </w:rPr>
        <w:t>nationally, </w:t>
      </w:r>
      <w:r>
        <w:rPr>
          <w:color w:val="231F20"/>
          <w:w w:val="105"/>
        </w:rPr>
        <w:t>or internationally and were sold not only </w:t>
      </w:r>
      <w:r>
        <w:rPr>
          <w:color w:val="231F20"/>
          <w:spacing w:val="-3"/>
          <w:w w:val="105"/>
        </w:rPr>
        <w:t>by </w:t>
      </w:r>
      <w:r>
        <w:rPr>
          <w:color w:val="231F20"/>
          <w:w w:val="105"/>
        </w:rPr>
        <w:t>national chain retail stores and</w:t>
      </w:r>
      <w:r>
        <w:rPr>
          <w:color w:val="231F20"/>
          <w:spacing w:val="-12"/>
          <w:w w:val="105"/>
        </w:rPr>
        <w:t> </w:t>
      </w:r>
      <w:r>
        <w:rPr>
          <w:color w:val="231F20"/>
          <w:w w:val="105"/>
        </w:rPr>
        <w:t>food</w:t>
      </w:r>
      <w:r>
        <w:rPr>
          <w:color w:val="231F20"/>
          <w:spacing w:val="-11"/>
          <w:w w:val="105"/>
        </w:rPr>
        <w:t> </w:t>
      </w:r>
      <w:r>
        <w:rPr>
          <w:color w:val="231F20"/>
          <w:w w:val="105"/>
        </w:rPr>
        <w:t>services</w:t>
      </w:r>
      <w:r>
        <w:rPr>
          <w:color w:val="231F20"/>
          <w:spacing w:val="-11"/>
          <w:w w:val="105"/>
        </w:rPr>
        <w:t> </w:t>
      </w:r>
      <w:r>
        <w:rPr>
          <w:color w:val="231F20"/>
          <w:w w:val="105"/>
        </w:rPr>
        <w:t>but</w:t>
      </w:r>
      <w:r>
        <w:rPr>
          <w:color w:val="231F20"/>
          <w:spacing w:val="-11"/>
          <w:w w:val="105"/>
        </w:rPr>
        <w:t> </w:t>
      </w:r>
      <w:r>
        <w:rPr>
          <w:color w:val="231F20"/>
          <w:w w:val="105"/>
        </w:rPr>
        <w:t>also</w:t>
      </w:r>
      <w:r>
        <w:rPr>
          <w:color w:val="231F20"/>
          <w:spacing w:val="-12"/>
          <w:w w:val="105"/>
        </w:rPr>
        <w:t> </w:t>
      </w:r>
      <w:r>
        <w:rPr>
          <w:color w:val="231F20"/>
          <w:w w:val="105"/>
        </w:rPr>
        <w:t>at</w:t>
      </w:r>
      <w:r>
        <w:rPr>
          <w:color w:val="231F20"/>
          <w:spacing w:val="-11"/>
          <w:w w:val="105"/>
        </w:rPr>
        <w:t> </w:t>
      </w:r>
      <w:r>
        <w:rPr>
          <w:color w:val="231F20"/>
          <w:w w:val="105"/>
        </w:rPr>
        <w:t>farm</w:t>
      </w:r>
      <w:r>
        <w:rPr>
          <w:color w:val="231F20"/>
          <w:spacing w:val="-12"/>
          <w:w w:val="105"/>
        </w:rPr>
        <w:t> </w:t>
      </w:r>
      <w:r>
        <w:rPr>
          <w:color w:val="231F20"/>
          <w:w w:val="105"/>
        </w:rPr>
        <w:t>stands</w:t>
      </w:r>
      <w:r>
        <w:rPr>
          <w:color w:val="231F20"/>
          <w:spacing w:val="-11"/>
          <w:w w:val="105"/>
        </w:rPr>
        <w:t> </w:t>
      </w:r>
      <w:r>
        <w:rPr>
          <w:color w:val="231F20"/>
          <w:w w:val="105"/>
        </w:rPr>
        <w:t>and small</w:t>
      </w:r>
      <w:r>
        <w:rPr>
          <w:color w:val="231F20"/>
          <w:spacing w:val="-10"/>
          <w:w w:val="105"/>
        </w:rPr>
        <w:t> </w:t>
      </w:r>
      <w:r>
        <w:rPr>
          <w:color w:val="231F20"/>
          <w:w w:val="105"/>
        </w:rPr>
        <w:t>health</w:t>
      </w:r>
      <w:r>
        <w:rPr>
          <w:color w:val="231F20"/>
          <w:spacing w:val="-10"/>
          <w:w w:val="105"/>
        </w:rPr>
        <w:t> </w:t>
      </w:r>
      <w:r>
        <w:rPr>
          <w:color w:val="231F20"/>
          <w:w w:val="105"/>
        </w:rPr>
        <w:t>food</w:t>
      </w:r>
      <w:r>
        <w:rPr>
          <w:color w:val="231F20"/>
          <w:spacing w:val="-10"/>
          <w:w w:val="105"/>
        </w:rPr>
        <w:t> </w:t>
      </w:r>
      <w:r>
        <w:rPr>
          <w:color w:val="231F20"/>
          <w:w w:val="105"/>
        </w:rPr>
        <w:t>stores</w:t>
      </w:r>
      <w:r>
        <w:rPr>
          <w:color w:val="231F20"/>
          <w:spacing w:val="-11"/>
          <w:w w:val="105"/>
        </w:rPr>
        <w:t> </w:t>
      </w:r>
      <w:r>
        <w:rPr>
          <w:color w:val="231F20"/>
          <w:w w:val="105"/>
        </w:rPr>
        <w:t>carrying</w:t>
      </w:r>
      <w:r>
        <w:rPr>
          <w:color w:val="231F20"/>
          <w:spacing w:val="-10"/>
          <w:w w:val="105"/>
        </w:rPr>
        <w:t> </w:t>
      </w:r>
      <w:r>
        <w:rPr>
          <w:color w:val="231F20"/>
          <w:w w:val="105"/>
        </w:rPr>
        <w:t>organic</w:t>
      </w:r>
      <w:r>
        <w:rPr>
          <w:color w:val="231F20"/>
          <w:spacing w:val="-11"/>
          <w:w w:val="105"/>
        </w:rPr>
        <w:t> </w:t>
      </w:r>
      <w:r>
        <w:rPr>
          <w:color w:val="231F20"/>
          <w:w w:val="105"/>
        </w:rPr>
        <w:t>and “natural” products.</w:t>
      </w:r>
      <w:r>
        <w:rPr>
          <w:color w:val="231F20"/>
          <w:w w:val="105"/>
          <w:position w:val="7"/>
          <w:sz w:val="11"/>
        </w:rPr>
        <w:t>41,42</w:t>
      </w:r>
    </w:p>
    <w:p>
      <w:pPr>
        <w:pStyle w:val="BodyText"/>
        <w:spacing w:line="266" w:lineRule="auto" w:before="180"/>
        <w:ind w:left="319" w:right="692"/>
      </w:pPr>
      <w:r>
        <w:rPr>
          <w:color w:val="231F20"/>
          <w:w w:val="105"/>
        </w:rPr>
        <w:t>Most of these recalls followed identification of bacterial contamination of a food or beverage, but in some instances, the contamination was associated with reported human illnesses.</w:t>
      </w:r>
    </w:p>
    <w:p>
      <w:pPr>
        <w:pStyle w:val="BodyText"/>
        <w:spacing w:line="266" w:lineRule="auto" w:before="180"/>
        <w:ind w:left="319" w:right="846"/>
      </w:pPr>
      <w:r>
        <w:rPr>
          <w:color w:val="231F20"/>
          <w:w w:val="105"/>
        </w:rPr>
        <w:t>The contaminating pathogens most commonly identified in food recalls were </w:t>
      </w:r>
      <w:r>
        <w:rPr>
          <w:i/>
          <w:color w:val="231F20"/>
          <w:w w:val="105"/>
        </w:rPr>
        <w:t>Listeria monocytogenes</w:t>
      </w:r>
      <w:r>
        <w:rPr>
          <w:color w:val="231F20"/>
          <w:w w:val="105"/>
        </w:rPr>
        <w:t>, STEC, and </w:t>
      </w:r>
      <w:r>
        <w:rPr>
          <w:i/>
          <w:color w:val="231F20"/>
          <w:w w:val="105"/>
        </w:rPr>
        <w:t>Salmonella</w:t>
      </w:r>
      <w:r>
        <w:rPr>
          <w:color w:val="231F20"/>
          <w:w w:val="105"/>
        </w:rPr>
        <w:t>; the</w:t>
      </w:r>
      <w:r>
        <w:rPr>
          <w:color w:val="231F20"/>
          <w:spacing w:val="-16"/>
          <w:w w:val="105"/>
        </w:rPr>
        <w:t> </w:t>
      </w:r>
      <w:r>
        <w:rPr>
          <w:color w:val="231F20"/>
          <w:w w:val="105"/>
        </w:rPr>
        <w:t>latter</w:t>
      </w:r>
      <w:r>
        <w:rPr>
          <w:color w:val="231F20"/>
          <w:spacing w:val="-16"/>
          <w:w w:val="105"/>
        </w:rPr>
        <w:t> </w:t>
      </w:r>
      <w:r>
        <w:rPr>
          <w:color w:val="231F20"/>
          <w:w w:val="105"/>
        </w:rPr>
        <w:t>two</w:t>
      </w:r>
      <w:r>
        <w:rPr>
          <w:color w:val="231F20"/>
          <w:spacing w:val="-15"/>
          <w:w w:val="105"/>
        </w:rPr>
        <w:t> </w:t>
      </w:r>
      <w:r>
        <w:rPr>
          <w:color w:val="231F20"/>
          <w:w w:val="105"/>
        </w:rPr>
        <w:t>were</w:t>
      </w:r>
      <w:r>
        <w:rPr>
          <w:color w:val="231F20"/>
          <w:spacing w:val="-15"/>
          <w:w w:val="105"/>
        </w:rPr>
        <w:t> </w:t>
      </w:r>
      <w:r>
        <w:rPr>
          <w:color w:val="231F20"/>
          <w:w w:val="105"/>
        </w:rPr>
        <w:t>associated</w:t>
      </w:r>
      <w:r>
        <w:rPr>
          <w:color w:val="231F20"/>
          <w:spacing w:val="-16"/>
          <w:w w:val="105"/>
        </w:rPr>
        <w:t> </w:t>
      </w:r>
      <w:r>
        <w:rPr>
          <w:color w:val="231F20"/>
          <w:w w:val="105"/>
        </w:rPr>
        <w:t>most</w:t>
      </w:r>
      <w:r>
        <w:rPr>
          <w:color w:val="231F20"/>
          <w:spacing w:val="-15"/>
          <w:w w:val="105"/>
        </w:rPr>
        <w:t> </w:t>
      </w:r>
      <w:r>
        <w:rPr>
          <w:color w:val="231F20"/>
          <w:w w:val="105"/>
        </w:rPr>
        <w:t>frequently with</w:t>
      </w:r>
      <w:r>
        <w:rPr>
          <w:color w:val="231F20"/>
          <w:spacing w:val="-19"/>
          <w:w w:val="105"/>
        </w:rPr>
        <w:t> </w:t>
      </w:r>
      <w:r>
        <w:rPr>
          <w:color w:val="231F20"/>
          <w:w w:val="105"/>
        </w:rPr>
        <w:t>recalls</w:t>
      </w:r>
      <w:r>
        <w:rPr>
          <w:color w:val="231F20"/>
          <w:spacing w:val="-20"/>
          <w:w w:val="105"/>
        </w:rPr>
        <w:t> </w:t>
      </w:r>
      <w:r>
        <w:rPr>
          <w:color w:val="231F20"/>
          <w:w w:val="105"/>
        </w:rPr>
        <w:t>resulting</w:t>
      </w:r>
      <w:r>
        <w:rPr>
          <w:color w:val="231F20"/>
          <w:spacing w:val="-20"/>
          <w:w w:val="105"/>
        </w:rPr>
        <w:t> </w:t>
      </w:r>
      <w:r>
        <w:rPr>
          <w:color w:val="231F20"/>
          <w:w w:val="105"/>
        </w:rPr>
        <w:t>from</w:t>
      </w:r>
      <w:r>
        <w:rPr>
          <w:color w:val="231F20"/>
          <w:spacing w:val="-20"/>
          <w:w w:val="105"/>
        </w:rPr>
        <w:t> </w:t>
      </w:r>
      <w:r>
        <w:rPr>
          <w:color w:val="231F20"/>
          <w:w w:val="105"/>
        </w:rPr>
        <w:t>the</w:t>
      </w:r>
      <w:r>
        <w:rPr>
          <w:color w:val="231F20"/>
          <w:spacing w:val="-20"/>
          <w:w w:val="105"/>
        </w:rPr>
        <w:t> </w:t>
      </w:r>
      <w:r>
        <w:rPr>
          <w:color w:val="231F20"/>
          <w:w w:val="105"/>
        </w:rPr>
        <w:t>investigation</w:t>
      </w:r>
    </w:p>
    <w:p>
      <w:pPr>
        <w:spacing w:line="266" w:lineRule="auto" w:before="0"/>
        <w:ind w:left="319" w:right="665" w:firstLine="0"/>
        <w:jc w:val="left"/>
        <w:rPr>
          <w:sz w:val="11"/>
        </w:rPr>
      </w:pPr>
      <w:r>
        <w:rPr>
          <w:color w:val="231F20"/>
          <w:w w:val="105"/>
          <w:sz w:val="20"/>
        </w:rPr>
        <w:t>of human illness. Additional products were recalled because of contamination (or potential contamination) with </w:t>
      </w:r>
      <w:r>
        <w:rPr>
          <w:i/>
          <w:color w:val="231F20"/>
          <w:w w:val="105"/>
          <w:sz w:val="20"/>
        </w:rPr>
        <w:t>Cronobacter sakazakii </w:t>
      </w:r>
      <w:r>
        <w:rPr>
          <w:color w:val="231F20"/>
          <w:w w:val="105"/>
          <w:sz w:val="20"/>
        </w:rPr>
        <w:t>and bacterial toxins (e.g., </w:t>
      </w:r>
      <w:r>
        <w:rPr>
          <w:i/>
          <w:color w:val="231F20"/>
          <w:w w:val="105"/>
          <w:sz w:val="20"/>
        </w:rPr>
        <w:t>Clostridium botulinum </w:t>
      </w:r>
      <w:r>
        <w:rPr>
          <w:color w:val="231F20"/>
          <w:w w:val="105"/>
          <w:sz w:val="20"/>
        </w:rPr>
        <w:t>neurotoxin, </w:t>
      </w:r>
      <w:r>
        <w:rPr>
          <w:i/>
          <w:color w:val="231F20"/>
          <w:w w:val="105"/>
          <w:sz w:val="20"/>
        </w:rPr>
        <w:t>Staphylococcus aureus </w:t>
      </w:r>
      <w:r>
        <w:rPr>
          <w:color w:val="231F20"/>
          <w:w w:val="105"/>
          <w:sz w:val="20"/>
        </w:rPr>
        <w:t>enterotoxin, and </w:t>
      </w:r>
      <w:r>
        <w:rPr>
          <w:i/>
          <w:color w:val="231F20"/>
          <w:w w:val="105"/>
          <w:sz w:val="20"/>
        </w:rPr>
        <w:t>Bacillus cereus </w:t>
      </w:r>
      <w:r>
        <w:rPr>
          <w:color w:val="231F20"/>
          <w:w w:val="105"/>
          <w:sz w:val="20"/>
        </w:rPr>
        <w:t>toxin).</w:t>
      </w:r>
      <w:r>
        <w:rPr>
          <w:color w:val="231F20"/>
          <w:w w:val="105"/>
          <w:position w:val="7"/>
          <w:sz w:val="11"/>
        </w:rPr>
        <w:t>41,42</w:t>
      </w:r>
    </w:p>
    <w:p>
      <w:pPr>
        <w:spacing w:after="0" w:line="266" w:lineRule="auto"/>
        <w:jc w:val="left"/>
        <w:rPr>
          <w:sz w:val="11"/>
        </w:rPr>
        <w:sectPr>
          <w:type w:val="continuous"/>
          <w:pgSz w:w="10080" w:h="14400"/>
          <w:pgMar w:top="0" w:bottom="360" w:left="0" w:right="0"/>
          <w:cols w:num="2" w:equalWidth="0">
            <w:col w:w="5221" w:space="40"/>
            <w:col w:w="4819"/>
          </w:cols>
        </w:sectPr>
      </w:pPr>
    </w:p>
    <w:p>
      <w:pPr>
        <w:pStyle w:val="BodyText"/>
        <w:spacing w:before="8"/>
        <w:rPr>
          <w:sz w:val="26"/>
        </w:rPr>
      </w:pPr>
    </w:p>
    <w:p>
      <w:pPr>
        <w:pStyle w:val="Heading1"/>
        <w:numPr>
          <w:ilvl w:val="1"/>
          <w:numId w:val="2"/>
        </w:numPr>
        <w:tabs>
          <w:tab w:pos="1265" w:val="left" w:leader="none"/>
        </w:tabs>
        <w:spacing w:line="240" w:lineRule="auto" w:before="89" w:after="0"/>
        <w:ind w:left="1264" w:right="0" w:hanging="544"/>
        <w:jc w:val="left"/>
      </w:pPr>
      <w:r>
        <w:rPr/>
        <w:pict>
          <v:line style="position:absolute;mso-position-horizontal-relative:page;mso-position-vertical-relative:paragraph;z-index:1504;mso-wrap-distance-left:0;mso-wrap-distance-right:0" from="36pt,23.995163pt" to="432pt,23.995163pt" stroked="true" strokeweight=".5pt" strokecolor="#00a94f">
            <v:stroke dashstyle="solid"/>
            <w10:wrap type="topAndBottom"/>
          </v:line>
        </w:pict>
      </w:r>
      <w:r>
        <w:rPr>
          <w:color w:val="00A94F"/>
          <w:spacing w:val="-6"/>
          <w:w w:val="95"/>
        </w:rPr>
        <w:t>Trends </w:t>
      </w:r>
      <w:r>
        <w:rPr>
          <w:color w:val="00A94F"/>
          <w:w w:val="95"/>
        </w:rPr>
        <w:t>in Food-Safety</w:t>
      </w:r>
      <w:r>
        <w:rPr>
          <w:color w:val="00A94F"/>
          <w:spacing w:val="-47"/>
          <w:w w:val="95"/>
        </w:rPr>
        <w:t> </w:t>
      </w:r>
      <w:r>
        <w:rPr>
          <w:color w:val="00A94F"/>
          <w:w w:val="95"/>
        </w:rPr>
        <w:t>Problems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ListParagraph"/>
        <w:numPr>
          <w:ilvl w:val="2"/>
          <w:numId w:val="2"/>
        </w:numPr>
        <w:tabs>
          <w:tab w:pos="1221" w:val="left" w:leader="none"/>
        </w:tabs>
        <w:spacing w:line="240" w:lineRule="auto" w:before="104" w:after="0"/>
        <w:ind w:left="1220" w:right="0" w:hanging="500"/>
        <w:jc w:val="left"/>
        <w:rPr>
          <w:rFonts w:ascii="Lucida Sans"/>
          <w:sz w:val="20"/>
        </w:rPr>
      </w:pPr>
      <w:r>
        <w:rPr>
          <w:rFonts w:ascii="Lucida Sans"/>
          <w:color w:val="1C3E94"/>
          <w:w w:val="95"/>
          <w:sz w:val="20"/>
        </w:rPr>
        <w:t>Foodborne Disease and</w:t>
      </w:r>
      <w:r>
        <w:rPr>
          <w:rFonts w:ascii="Lucida Sans"/>
          <w:color w:val="1C3E94"/>
          <w:spacing w:val="-38"/>
          <w:w w:val="95"/>
          <w:sz w:val="20"/>
        </w:rPr>
        <w:t> </w:t>
      </w:r>
      <w:r>
        <w:rPr>
          <w:rFonts w:ascii="Lucida Sans"/>
          <w:color w:val="1C3E94"/>
          <w:w w:val="95"/>
          <w:sz w:val="20"/>
        </w:rPr>
        <w:t>Outbreaks</w:t>
      </w:r>
    </w:p>
    <w:p>
      <w:pPr>
        <w:pStyle w:val="BodyText"/>
        <w:spacing w:before="3"/>
        <w:rPr>
          <w:rFonts w:ascii="Lucida Sans"/>
          <w:sz w:val="18"/>
        </w:rPr>
      </w:pPr>
    </w:p>
    <w:p>
      <w:pPr>
        <w:pStyle w:val="BodyText"/>
        <w:spacing w:line="266" w:lineRule="auto"/>
        <w:ind w:left="720" w:right="495"/>
      </w:pPr>
      <w:r>
        <w:rPr>
          <w:color w:val="231F20"/>
          <w:w w:val="105"/>
        </w:rPr>
        <w:t>The occurrence of foodborne disease and</w:t>
      </w:r>
      <w:r>
        <w:rPr>
          <w:color w:val="231F20"/>
          <w:spacing w:val="-24"/>
          <w:w w:val="105"/>
        </w:rPr>
        <w:t> </w:t>
      </w:r>
      <w:r>
        <w:rPr>
          <w:color w:val="231F20"/>
          <w:w w:val="105"/>
        </w:rPr>
        <w:t>outbreaks</w:t>
      </w:r>
      <w:r>
        <w:rPr>
          <w:color w:val="231F20"/>
          <w:spacing w:val="-24"/>
          <w:w w:val="105"/>
        </w:rPr>
        <w:t> </w:t>
      </w:r>
      <w:r>
        <w:rPr>
          <w:color w:val="231F20"/>
          <w:w w:val="105"/>
        </w:rPr>
        <w:t>indicates</w:t>
      </w:r>
      <w:r>
        <w:rPr>
          <w:color w:val="231F20"/>
          <w:spacing w:val="-24"/>
          <w:w w:val="105"/>
        </w:rPr>
        <w:t> </w:t>
      </w:r>
      <w:r>
        <w:rPr>
          <w:color w:val="231F20"/>
          <w:w w:val="105"/>
        </w:rPr>
        <w:t>both</w:t>
      </w:r>
      <w:r>
        <w:rPr>
          <w:color w:val="231F20"/>
          <w:spacing w:val="-23"/>
          <w:w w:val="105"/>
        </w:rPr>
        <w:t> </w:t>
      </w:r>
      <w:r>
        <w:rPr>
          <w:color w:val="231F20"/>
          <w:w w:val="105"/>
        </w:rPr>
        <w:t>food-safety</w:t>
      </w:r>
    </w:p>
    <w:p>
      <w:pPr>
        <w:pStyle w:val="BodyText"/>
        <w:spacing w:line="266" w:lineRule="auto"/>
        <w:ind w:left="720" w:right="-5"/>
      </w:pPr>
      <w:r>
        <w:rPr>
          <w:color w:val="231F20"/>
          <w:w w:val="105"/>
        </w:rPr>
        <w:t>problems and surveillance efforts. In 2011, CDC estimated that foodborne diseases were responsible for 48 million illnesses each </w:t>
      </w:r>
      <w:r>
        <w:rPr>
          <w:color w:val="231F20"/>
          <w:spacing w:val="-6"/>
          <w:w w:val="105"/>
        </w:rPr>
        <w:t>year, </w:t>
      </w:r>
      <w:r>
        <w:rPr>
          <w:color w:val="231F20"/>
          <w:w w:val="105"/>
        </w:rPr>
        <w:t>resulting in 128,000 hospitalizations and</w:t>
      </w:r>
      <w:r>
        <w:rPr>
          <w:color w:val="231F20"/>
          <w:spacing w:val="-35"/>
          <w:w w:val="105"/>
        </w:rPr>
        <w:t> </w:t>
      </w:r>
      <w:r>
        <w:rPr>
          <w:color w:val="231F20"/>
          <w:w w:val="105"/>
        </w:rPr>
        <w:t>3,000</w:t>
      </w:r>
    </w:p>
    <w:p>
      <w:pPr>
        <w:pStyle w:val="BodyText"/>
        <w:spacing w:line="266" w:lineRule="auto"/>
        <w:ind w:left="720" w:right="20"/>
      </w:pPr>
      <w:r>
        <w:rPr>
          <w:color w:val="231F20"/>
          <w:w w:val="105"/>
        </w:rPr>
        <w:t>deaths.</w:t>
      </w:r>
      <w:r>
        <w:rPr>
          <w:color w:val="231F20"/>
          <w:w w:val="105"/>
          <w:position w:val="7"/>
          <w:sz w:val="11"/>
        </w:rPr>
        <w:t>43 </w:t>
      </w:r>
      <w:r>
        <w:rPr>
          <w:color w:val="231F20"/>
          <w:w w:val="105"/>
        </w:rPr>
        <w:t>During 2009–2010, 1,527 foodborne disease outbreaks were reported to CDC, resulting in at least 29,444 individual illnesses and 23 deaths.</w:t>
      </w:r>
      <w:r>
        <w:rPr>
          <w:color w:val="231F20"/>
          <w:w w:val="105"/>
          <w:position w:val="7"/>
          <w:sz w:val="11"/>
        </w:rPr>
        <w:t>44 </w:t>
      </w:r>
      <w:r>
        <w:rPr>
          <w:color w:val="231F20"/>
          <w:w w:val="105"/>
        </w:rPr>
        <w:t>In recent years, the nature of foodborne disease outbreaks detected in the United States has shifted.</w:t>
      </w:r>
    </w:p>
    <w:p>
      <w:pPr>
        <w:pStyle w:val="ListParagraph"/>
        <w:numPr>
          <w:ilvl w:val="3"/>
          <w:numId w:val="2"/>
        </w:numPr>
        <w:tabs>
          <w:tab w:pos="1362" w:val="left" w:leader="none"/>
        </w:tabs>
        <w:spacing w:line="240" w:lineRule="auto" w:before="180" w:after="0"/>
        <w:ind w:left="720" w:right="0" w:firstLine="0"/>
        <w:jc w:val="left"/>
        <w:rPr>
          <w:i/>
          <w:sz w:val="20"/>
        </w:rPr>
      </w:pPr>
      <w:r>
        <w:rPr>
          <w:i/>
          <w:color w:val="E36F1E"/>
          <w:sz w:val="20"/>
        </w:rPr>
        <w:t>Localized “event”</w:t>
      </w:r>
      <w:r>
        <w:rPr>
          <w:i/>
          <w:color w:val="E36F1E"/>
          <w:spacing w:val="-3"/>
          <w:sz w:val="20"/>
        </w:rPr>
        <w:t> </w:t>
      </w:r>
      <w:r>
        <w:rPr>
          <w:i/>
          <w:color w:val="E36F1E"/>
          <w:sz w:val="20"/>
        </w:rPr>
        <w:t>outbreaks</w:t>
      </w:r>
    </w:p>
    <w:p>
      <w:pPr>
        <w:pStyle w:val="BodyText"/>
        <w:spacing w:line="266" w:lineRule="auto" w:before="24"/>
        <w:ind w:left="720" w:right="-5"/>
      </w:pPr>
      <w:r>
        <w:rPr>
          <w:color w:val="231F20"/>
          <w:w w:val="105"/>
        </w:rPr>
        <w:t>The traditional foodborne disease outbreak scenario involves an acute and highly</w:t>
      </w:r>
    </w:p>
    <w:p>
      <w:pPr>
        <w:pStyle w:val="BodyText"/>
        <w:spacing w:line="266" w:lineRule="auto"/>
        <w:ind w:left="720" w:right="113"/>
      </w:pPr>
      <w:r>
        <w:rPr>
          <w:color w:val="231F20"/>
          <w:w w:val="105"/>
        </w:rPr>
        <w:t>local outbreak, resulting from an endpoint contamination event in a small kitchen that occurred shortly before consumption of the implicated food (i.e., terminal food-handling error).</w:t>
      </w:r>
      <w:r>
        <w:rPr>
          <w:color w:val="231F20"/>
          <w:spacing w:val="-23"/>
          <w:w w:val="105"/>
        </w:rPr>
        <w:t> </w:t>
      </w:r>
      <w:r>
        <w:rPr>
          <w:color w:val="231F20"/>
          <w:w w:val="105"/>
        </w:rPr>
        <w:t>These</w:t>
      </w:r>
      <w:r>
        <w:rPr>
          <w:color w:val="231F20"/>
          <w:spacing w:val="-23"/>
          <w:w w:val="105"/>
        </w:rPr>
        <w:t> </w:t>
      </w:r>
      <w:r>
        <w:rPr>
          <w:color w:val="231F20"/>
          <w:w w:val="105"/>
        </w:rPr>
        <w:t>localized</w:t>
      </w:r>
      <w:r>
        <w:rPr>
          <w:color w:val="231F20"/>
          <w:spacing w:val="-23"/>
          <w:w w:val="105"/>
        </w:rPr>
        <w:t> </w:t>
      </w:r>
      <w:r>
        <w:rPr>
          <w:color w:val="231F20"/>
          <w:w w:val="105"/>
        </w:rPr>
        <w:t>outbreaks</w:t>
      </w:r>
      <w:r>
        <w:rPr>
          <w:color w:val="231F20"/>
          <w:spacing w:val="-23"/>
          <w:w w:val="105"/>
        </w:rPr>
        <w:t> </w:t>
      </w:r>
      <w:r>
        <w:rPr>
          <w:color w:val="231F20"/>
          <w:w w:val="105"/>
        </w:rPr>
        <w:t>often</w:t>
      </w:r>
      <w:r>
        <w:rPr>
          <w:color w:val="231F20"/>
          <w:spacing w:val="-23"/>
          <w:w w:val="105"/>
        </w:rPr>
        <w:t> </w:t>
      </w:r>
      <w:r>
        <w:rPr>
          <w:color w:val="231F20"/>
          <w:w w:val="105"/>
        </w:rPr>
        <w:t>follow a</w:t>
      </w:r>
      <w:r>
        <w:rPr>
          <w:color w:val="231F20"/>
          <w:spacing w:val="-7"/>
          <w:w w:val="105"/>
        </w:rPr>
        <w:t> </w:t>
      </w:r>
      <w:r>
        <w:rPr>
          <w:color w:val="231F20"/>
          <w:w w:val="105"/>
        </w:rPr>
        <w:t>local</w:t>
      </w:r>
      <w:r>
        <w:rPr>
          <w:color w:val="231F20"/>
          <w:spacing w:val="-8"/>
          <w:w w:val="105"/>
        </w:rPr>
        <w:t> </w:t>
      </w:r>
      <w:r>
        <w:rPr>
          <w:color w:val="231F20"/>
          <w:w w:val="105"/>
        </w:rPr>
        <w:t>event,</w:t>
      </w:r>
      <w:r>
        <w:rPr>
          <w:color w:val="231F20"/>
          <w:spacing w:val="-8"/>
          <w:w w:val="105"/>
        </w:rPr>
        <w:t> </w:t>
      </w:r>
      <w:r>
        <w:rPr>
          <w:color w:val="231F20"/>
          <w:w w:val="105"/>
        </w:rPr>
        <w:t>such</w:t>
      </w:r>
      <w:r>
        <w:rPr>
          <w:color w:val="231F20"/>
          <w:spacing w:val="-8"/>
          <w:w w:val="105"/>
        </w:rPr>
        <w:t> </w:t>
      </w:r>
      <w:r>
        <w:rPr>
          <w:color w:val="231F20"/>
          <w:w w:val="105"/>
        </w:rPr>
        <w:t>as</w:t>
      </w:r>
      <w:r>
        <w:rPr>
          <w:color w:val="231F20"/>
          <w:spacing w:val="-8"/>
          <w:w w:val="105"/>
        </w:rPr>
        <w:t> </w:t>
      </w:r>
      <w:r>
        <w:rPr>
          <w:color w:val="231F20"/>
          <w:w w:val="105"/>
        </w:rPr>
        <w:t>a</w:t>
      </w:r>
      <w:r>
        <w:rPr>
          <w:color w:val="231F20"/>
          <w:spacing w:val="-7"/>
          <w:w w:val="105"/>
        </w:rPr>
        <w:t> </w:t>
      </w:r>
      <w:r>
        <w:rPr>
          <w:color w:val="231F20"/>
          <w:w w:val="105"/>
        </w:rPr>
        <w:t>church</w:t>
      </w:r>
      <w:r>
        <w:rPr>
          <w:color w:val="231F20"/>
          <w:spacing w:val="-8"/>
          <w:w w:val="105"/>
        </w:rPr>
        <w:t> </w:t>
      </w:r>
      <w:r>
        <w:rPr>
          <w:color w:val="231F20"/>
          <w:spacing w:val="-4"/>
          <w:w w:val="105"/>
        </w:rPr>
        <w:t>supper,</w:t>
      </w:r>
      <w:r>
        <w:rPr>
          <w:color w:val="231F20"/>
          <w:spacing w:val="-7"/>
          <w:w w:val="105"/>
        </w:rPr>
        <w:t> </w:t>
      </w:r>
      <w:r>
        <w:rPr>
          <w:color w:val="231F20"/>
          <w:w w:val="105"/>
        </w:rPr>
        <w:t>family picnic, wedding reception, or other social event. The inoculum dose and attack rate among</w:t>
      </w:r>
      <w:r>
        <w:rPr>
          <w:color w:val="231F20"/>
          <w:spacing w:val="-12"/>
          <w:w w:val="105"/>
        </w:rPr>
        <w:t> </w:t>
      </w:r>
      <w:r>
        <w:rPr>
          <w:color w:val="231F20"/>
          <w:w w:val="105"/>
        </w:rPr>
        <w:t>exposed</w:t>
      </w:r>
      <w:r>
        <w:rPr>
          <w:color w:val="231F20"/>
          <w:spacing w:val="-12"/>
          <w:w w:val="105"/>
        </w:rPr>
        <w:t> </w:t>
      </w:r>
      <w:r>
        <w:rPr>
          <w:color w:val="231F20"/>
          <w:w w:val="105"/>
        </w:rPr>
        <w:t>persons</w:t>
      </w:r>
      <w:r>
        <w:rPr>
          <w:color w:val="231F20"/>
          <w:spacing w:val="-12"/>
          <w:w w:val="105"/>
        </w:rPr>
        <w:t> </w:t>
      </w:r>
      <w:r>
        <w:rPr>
          <w:color w:val="231F20"/>
          <w:w w:val="105"/>
        </w:rPr>
        <w:t>can</w:t>
      </w:r>
      <w:r>
        <w:rPr>
          <w:color w:val="231F20"/>
          <w:spacing w:val="-12"/>
          <w:w w:val="105"/>
        </w:rPr>
        <w:t> </w:t>
      </w:r>
      <w:r>
        <w:rPr>
          <w:color w:val="231F20"/>
          <w:w w:val="105"/>
        </w:rPr>
        <w:t>be</w:t>
      </w:r>
      <w:r>
        <w:rPr>
          <w:color w:val="231F20"/>
          <w:spacing w:val="-12"/>
          <w:w w:val="105"/>
        </w:rPr>
        <w:t> </w:t>
      </w:r>
      <w:r>
        <w:rPr>
          <w:color w:val="231F20"/>
          <w:w w:val="105"/>
        </w:rPr>
        <w:t>high,</w:t>
      </w:r>
      <w:r>
        <w:rPr>
          <w:color w:val="231F20"/>
          <w:spacing w:val="-12"/>
          <w:w w:val="105"/>
        </w:rPr>
        <w:t> </w:t>
      </w:r>
      <w:r>
        <w:rPr>
          <w:color w:val="231F20"/>
          <w:w w:val="105"/>
        </w:rPr>
        <w:t>making the</w:t>
      </w:r>
      <w:r>
        <w:rPr>
          <w:color w:val="231F20"/>
          <w:spacing w:val="-10"/>
          <w:w w:val="105"/>
        </w:rPr>
        <w:t> </w:t>
      </w:r>
      <w:r>
        <w:rPr>
          <w:color w:val="231F20"/>
          <w:w w:val="105"/>
        </w:rPr>
        <w:t>outbreak</w:t>
      </w:r>
      <w:r>
        <w:rPr>
          <w:color w:val="231F20"/>
          <w:spacing w:val="-10"/>
          <w:w w:val="105"/>
        </w:rPr>
        <w:t> </w:t>
      </w:r>
      <w:r>
        <w:rPr>
          <w:color w:val="231F20"/>
          <w:w w:val="105"/>
        </w:rPr>
        <w:t>quickly</w:t>
      </w:r>
      <w:r>
        <w:rPr>
          <w:color w:val="231F20"/>
          <w:spacing w:val="-10"/>
          <w:w w:val="105"/>
        </w:rPr>
        <w:t> </w:t>
      </w:r>
      <w:r>
        <w:rPr>
          <w:color w:val="231F20"/>
          <w:w w:val="105"/>
        </w:rPr>
        <w:t>apparent</w:t>
      </w:r>
      <w:r>
        <w:rPr>
          <w:color w:val="231F20"/>
          <w:spacing w:val="-10"/>
          <w:w w:val="105"/>
        </w:rPr>
        <w:t> </w:t>
      </w:r>
      <w:r>
        <w:rPr>
          <w:color w:val="231F20"/>
          <w:w w:val="105"/>
        </w:rPr>
        <w:t>to</w:t>
      </w:r>
      <w:r>
        <w:rPr>
          <w:color w:val="231F20"/>
          <w:spacing w:val="-10"/>
          <w:w w:val="105"/>
        </w:rPr>
        <w:t> </w:t>
      </w:r>
      <w:r>
        <w:rPr>
          <w:color w:val="231F20"/>
          <w:w w:val="105"/>
        </w:rPr>
        <w:t>those</w:t>
      </w:r>
      <w:r>
        <w:rPr>
          <w:color w:val="231F20"/>
          <w:spacing w:val="-10"/>
          <w:w w:val="105"/>
        </w:rPr>
        <w:t> </w:t>
      </w:r>
      <w:r>
        <w:rPr>
          <w:color w:val="231F20"/>
          <w:w w:val="105"/>
        </w:rPr>
        <w:t>in</w:t>
      </w:r>
    </w:p>
    <w:p>
      <w:pPr>
        <w:pStyle w:val="BodyText"/>
        <w:spacing w:line="266" w:lineRule="auto"/>
        <w:ind w:left="720" w:right="116"/>
      </w:pPr>
      <w:r>
        <w:rPr>
          <w:color w:val="231F20"/>
          <w:w w:val="105"/>
        </w:rPr>
        <w:t>the group that attended the social event. Affected persons commonly notify public health</w:t>
      </w:r>
      <w:r>
        <w:rPr>
          <w:color w:val="231F20"/>
          <w:spacing w:val="-17"/>
          <w:w w:val="105"/>
        </w:rPr>
        <w:t> </w:t>
      </w:r>
      <w:r>
        <w:rPr>
          <w:color w:val="231F20"/>
          <w:w w:val="105"/>
        </w:rPr>
        <w:t>authorities</w:t>
      </w:r>
      <w:r>
        <w:rPr>
          <w:color w:val="231F20"/>
          <w:spacing w:val="-18"/>
          <w:w w:val="105"/>
        </w:rPr>
        <w:t> </w:t>
      </w:r>
      <w:r>
        <w:rPr>
          <w:color w:val="231F20"/>
          <w:w w:val="105"/>
        </w:rPr>
        <w:t>through</w:t>
      </w:r>
      <w:r>
        <w:rPr>
          <w:color w:val="231F20"/>
          <w:spacing w:val="-17"/>
          <w:w w:val="105"/>
        </w:rPr>
        <w:t> </w:t>
      </w:r>
      <w:r>
        <w:rPr>
          <w:color w:val="231F20"/>
          <w:w w:val="105"/>
        </w:rPr>
        <w:t>foodborne</w:t>
      </w:r>
      <w:r>
        <w:rPr>
          <w:color w:val="231F20"/>
          <w:spacing w:val="-17"/>
          <w:w w:val="105"/>
        </w:rPr>
        <w:t> </w:t>
      </w:r>
      <w:r>
        <w:rPr>
          <w:color w:val="231F20"/>
          <w:w w:val="105"/>
        </w:rPr>
        <w:t>disease complaint systems (see below). The solution is typically local, necessitating education of food</w:t>
      </w:r>
      <w:r>
        <w:rPr>
          <w:color w:val="231F20"/>
          <w:spacing w:val="-18"/>
          <w:w w:val="105"/>
        </w:rPr>
        <w:t> </w:t>
      </w:r>
      <w:r>
        <w:rPr>
          <w:color w:val="231F20"/>
          <w:w w:val="105"/>
        </w:rPr>
        <w:t>workers</w:t>
      </w:r>
      <w:r>
        <w:rPr>
          <w:color w:val="231F20"/>
          <w:spacing w:val="-19"/>
          <w:w w:val="105"/>
        </w:rPr>
        <w:t> </w:t>
      </w:r>
      <w:r>
        <w:rPr>
          <w:color w:val="231F20"/>
          <w:w w:val="105"/>
        </w:rPr>
        <w:t>and</w:t>
      </w:r>
      <w:r>
        <w:rPr>
          <w:color w:val="231F20"/>
          <w:spacing w:val="-19"/>
          <w:w w:val="105"/>
        </w:rPr>
        <w:t> </w:t>
      </w:r>
      <w:r>
        <w:rPr>
          <w:color w:val="231F20"/>
          <w:w w:val="105"/>
        </w:rPr>
        <w:t>changes</w:t>
      </w:r>
      <w:r>
        <w:rPr>
          <w:color w:val="231F20"/>
          <w:spacing w:val="-18"/>
          <w:w w:val="105"/>
        </w:rPr>
        <w:t> </w:t>
      </w:r>
      <w:r>
        <w:rPr>
          <w:color w:val="231F20"/>
          <w:w w:val="105"/>
        </w:rPr>
        <w:t>in</w:t>
      </w:r>
      <w:r>
        <w:rPr>
          <w:color w:val="231F20"/>
          <w:spacing w:val="-19"/>
          <w:w w:val="105"/>
        </w:rPr>
        <w:t> </w:t>
      </w:r>
      <w:r>
        <w:rPr>
          <w:color w:val="231F20"/>
          <w:w w:val="105"/>
        </w:rPr>
        <w:t>individual</w:t>
      </w:r>
      <w:r>
        <w:rPr>
          <w:color w:val="231F20"/>
          <w:spacing w:val="-19"/>
          <w:w w:val="105"/>
        </w:rPr>
        <w:t> </w:t>
      </w:r>
      <w:r>
        <w:rPr>
          <w:color w:val="231F20"/>
          <w:w w:val="105"/>
        </w:rPr>
        <w:t>food- service establishment policies and operating procedures.</w:t>
      </w:r>
    </w:p>
    <w:p>
      <w:pPr>
        <w:pStyle w:val="BodyText"/>
        <w:spacing w:line="266" w:lineRule="auto" w:before="179"/>
        <w:ind w:left="720" w:right="53"/>
      </w:pPr>
      <w:r>
        <w:rPr>
          <w:color w:val="231F20"/>
          <w:w w:val="105"/>
        </w:rPr>
        <w:t>Localized</w:t>
      </w:r>
      <w:r>
        <w:rPr>
          <w:color w:val="231F20"/>
          <w:spacing w:val="-20"/>
          <w:w w:val="105"/>
        </w:rPr>
        <w:t> </w:t>
      </w:r>
      <w:r>
        <w:rPr>
          <w:color w:val="231F20"/>
          <w:w w:val="105"/>
        </w:rPr>
        <w:t>event</w:t>
      </w:r>
      <w:r>
        <w:rPr>
          <w:color w:val="231F20"/>
          <w:spacing w:val="-20"/>
          <w:w w:val="105"/>
        </w:rPr>
        <w:t> </w:t>
      </w:r>
      <w:r>
        <w:rPr>
          <w:color w:val="231F20"/>
          <w:w w:val="105"/>
        </w:rPr>
        <w:t>outbreaks,</w:t>
      </w:r>
      <w:r>
        <w:rPr>
          <w:color w:val="231F20"/>
          <w:spacing w:val="-19"/>
          <w:w w:val="105"/>
        </w:rPr>
        <w:t> </w:t>
      </w:r>
      <w:r>
        <w:rPr>
          <w:color w:val="231F20"/>
          <w:w w:val="105"/>
        </w:rPr>
        <w:t>including</w:t>
      </w:r>
      <w:r>
        <w:rPr>
          <w:color w:val="231F20"/>
          <w:spacing w:val="-20"/>
          <w:w w:val="105"/>
        </w:rPr>
        <w:t> </w:t>
      </w:r>
      <w:r>
        <w:rPr>
          <w:color w:val="231F20"/>
          <w:w w:val="105"/>
        </w:rPr>
        <w:t>those</w:t>
      </w:r>
      <w:r>
        <w:rPr>
          <w:color w:val="231F20"/>
          <w:spacing w:val="-20"/>
          <w:w w:val="105"/>
        </w:rPr>
        <w:t> </w:t>
      </w:r>
      <w:r>
        <w:rPr>
          <w:color w:val="231F20"/>
          <w:w w:val="105"/>
        </w:rPr>
        <w:t>for which the exposure occurs at a single event but the population affected covers multiple counties</w:t>
      </w:r>
      <w:r>
        <w:rPr>
          <w:color w:val="231F20"/>
          <w:spacing w:val="-20"/>
          <w:w w:val="105"/>
        </w:rPr>
        <w:t> </w:t>
      </w:r>
      <w:r>
        <w:rPr>
          <w:color w:val="231F20"/>
          <w:w w:val="105"/>
        </w:rPr>
        <w:t>or</w:t>
      </w:r>
      <w:r>
        <w:rPr>
          <w:color w:val="231F20"/>
          <w:spacing w:val="-20"/>
          <w:w w:val="105"/>
        </w:rPr>
        <w:t> </w:t>
      </w:r>
      <w:r>
        <w:rPr>
          <w:color w:val="231F20"/>
          <w:w w:val="105"/>
        </w:rPr>
        <w:t>states,</w:t>
      </w:r>
      <w:r>
        <w:rPr>
          <w:color w:val="231F20"/>
          <w:spacing w:val="-20"/>
          <w:w w:val="105"/>
        </w:rPr>
        <w:t> </w:t>
      </w:r>
      <w:r>
        <w:rPr>
          <w:color w:val="231F20"/>
          <w:w w:val="105"/>
        </w:rPr>
        <w:t>comprise</w:t>
      </w:r>
      <w:r>
        <w:rPr>
          <w:color w:val="231F20"/>
          <w:spacing w:val="-20"/>
          <w:w w:val="105"/>
        </w:rPr>
        <w:t> </w:t>
      </w:r>
      <w:r>
        <w:rPr>
          <w:color w:val="231F20"/>
          <w:w w:val="105"/>
        </w:rPr>
        <w:t>more</w:t>
      </w:r>
      <w:r>
        <w:rPr>
          <w:color w:val="231F20"/>
          <w:spacing w:val="-20"/>
          <w:w w:val="105"/>
        </w:rPr>
        <w:t> </w:t>
      </w:r>
      <w:r>
        <w:rPr>
          <w:color w:val="231F20"/>
          <w:w w:val="105"/>
        </w:rPr>
        <w:t>than</w:t>
      </w:r>
    </w:p>
    <w:p>
      <w:pPr>
        <w:pStyle w:val="BodyText"/>
        <w:spacing w:line="266" w:lineRule="auto"/>
        <w:ind w:left="720" w:right="-5"/>
      </w:pPr>
      <w:r>
        <w:rPr>
          <w:color w:val="231F20"/>
          <w:w w:val="105"/>
        </w:rPr>
        <w:t>95% of outbreaks reported to CDC (CDC, unpublished data, 2006–2010).</w:t>
      </w:r>
    </w:p>
    <w:p>
      <w:pPr>
        <w:pStyle w:val="ListParagraph"/>
        <w:numPr>
          <w:ilvl w:val="3"/>
          <w:numId w:val="2"/>
        </w:numPr>
        <w:tabs>
          <w:tab w:pos="1362" w:val="left" w:leader="none"/>
        </w:tabs>
        <w:spacing w:line="266" w:lineRule="auto" w:before="180" w:after="0"/>
        <w:ind w:left="720" w:right="116" w:firstLine="0"/>
        <w:jc w:val="left"/>
        <w:rPr>
          <w:sz w:val="20"/>
        </w:rPr>
      </w:pPr>
      <w:r>
        <w:rPr>
          <w:i/>
          <w:color w:val="E36F1E"/>
          <w:sz w:val="20"/>
        </w:rPr>
        <w:t>Contaminated commercial product outbreaks </w:t>
      </w:r>
      <w:r>
        <w:rPr>
          <w:color w:val="231F20"/>
          <w:sz w:val="20"/>
        </w:rPr>
        <w:t>Another kind of outbreak involves food products that are contaminated upstream </w:t>
      </w:r>
      <w:r>
        <w:rPr>
          <w:color w:val="231F20"/>
          <w:spacing w:val="47"/>
          <w:sz w:val="20"/>
        </w:rPr>
        <w:t> </w:t>
      </w:r>
      <w:r>
        <w:rPr>
          <w:color w:val="231F20"/>
          <w:sz w:val="20"/>
        </w:rPr>
        <w:t>of</w:t>
      </w:r>
    </w:p>
    <w:p>
      <w:pPr>
        <w:pStyle w:val="BodyText"/>
        <w:spacing w:line="266" w:lineRule="auto" w:before="108"/>
        <w:ind w:left="368" w:right="1575"/>
        <w:jc w:val="both"/>
      </w:pPr>
      <w:r>
        <w:rPr/>
        <w:br w:type="column"/>
      </w:r>
      <w:r>
        <w:rPr>
          <w:color w:val="231F20"/>
          <w:w w:val="105"/>
        </w:rPr>
        <w:t>the</w:t>
      </w:r>
      <w:r>
        <w:rPr>
          <w:color w:val="231F20"/>
          <w:spacing w:val="-14"/>
          <w:w w:val="105"/>
        </w:rPr>
        <w:t> </w:t>
      </w:r>
      <w:r>
        <w:rPr>
          <w:color w:val="231F20"/>
          <w:w w:val="105"/>
        </w:rPr>
        <w:t>point</w:t>
      </w:r>
      <w:r>
        <w:rPr>
          <w:color w:val="231F20"/>
          <w:spacing w:val="-13"/>
          <w:w w:val="105"/>
        </w:rPr>
        <w:t> </w:t>
      </w:r>
      <w:r>
        <w:rPr>
          <w:color w:val="231F20"/>
          <w:w w:val="105"/>
        </w:rPr>
        <w:t>of</w:t>
      </w:r>
      <w:r>
        <w:rPr>
          <w:color w:val="231F20"/>
          <w:spacing w:val="9"/>
          <w:w w:val="105"/>
        </w:rPr>
        <w:t> </w:t>
      </w:r>
      <w:r>
        <w:rPr>
          <w:color w:val="231F20"/>
          <w:w w:val="105"/>
        </w:rPr>
        <w:t>sale.</w:t>
      </w:r>
      <w:r>
        <w:rPr>
          <w:color w:val="231F20"/>
          <w:spacing w:val="-13"/>
          <w:w w:val="105"/>
        </w:rPr>
        <w:t> </w:t>
      </w:r>
      <w:r>
        <w:rPr>
          <w:color w:val="231F20"/>
          <w:w w:val="105"/>
        </w:rPr>
        <w:t>Exposure</w:t>
      </w:r>
      <w:r>
        <w:rPr>
          <w:color w:val="231F20"/>
          <w:spacing w:val="-13"/>
          <w:w w:val="105"/>
        </w:rPr>
        <w:t> </w:t>
      </w:r>
      <w:r>
        <w:rPr>
          <w:color w:val="231F20"/>
          <w:w w:val="105"/>
        </w:rPr>
        <w:t>typically</w:t>
      </w:r>
      <w:r>
        <w:rPr>
          <w:color w:val="231F20"/>
          <w:spacing w:val="-15"/>
          <w:w w:val="105"/>
        </w:rPr>
        <w:t> </w:t>
      </w:r>
      <w:r>
        <w:rPr>
          <w:color w:val="231F20"/>
          <w:w w:val="105"/>
        </w:rPr>
        <w:t>occurs</w:t>
      </w:r>
      <w:r>
        <w:rPr>
          <w:color w:val="231F20"/>
          <w:spacing w:val="-14"/>
          <w:w w:val="105"/>
        </w:rPr>
        <w:t> </w:t>
      </w:r>
      <w:r>
        <w:rPr>
          <w:color w:val="231F20"/>
          <w:w w:val="105"/>
        </w:rPr>
        <w:t>in multiple</w:t>
      </w:r>
      <w:r>
        <w:rPr>
          <w:color w:val="231F20"/>
          <w:spacing w:val="-15"/>
          <w:w w:val="105"/>
        </w:rPr>
        <w:t> </w:t>
      </w:r>
      <w:r>
        <w:rPr>
          <w:color w:val="231F20"/>
          <w:w w:val="105"/>
        </w:rPr>
        <w:t>locations</w:t>
      </w:r>
      <w:r>
        <w:rPr>
          <w:color w:val="231F20"/>
          <w:spacing w:val="-15"/>
          <w:w w:val="105"/>
        </w:rPr>
        <w:t> </w:t>
      </w:r>
      <w:r>
        <w:rPr>
          <w:color w:val="231F20"/>
          <w:w w:val="105"/>
        </w:rPr>
        <w:t>that</w:t>
      </w:r>
      <w:r>
        <w:rPr>
          <w:color w:val="231F20"/>
          <w:spacing w:val="-15"/>
          <w:w w:val="105"/>
        </w:rPr>
        <w:t> </w:t>
      </w:r>
      <w:r>
        <w:rPr>
          <w:color w:val="231F20"/>
          <w:w w:val="105"/>
        </w:rPr>
        <w:t>reflect</w:t>
      </w:r>
      <w:r>
        <w:rPr>
          <w:color w:val="231F20"/>
          <w:spacing w:val="-15"/>
          <w:w w:val="105"/>
        </w:rPr>
        <w:t> </w:t>
      </w:r>
      <w:r>
        <w:rPr>
          <w:color w:val="231F20"/>
          <w:w w:val="105"/>
        </w:rPr>
        <w:t>the</w:t>
      </w:r>
      <w:r>
        <w:rPr>
          <w:color w:val="231F20"/>
          <w:spacing w:val="-15"/>
          <w:w w:val="105"/>
        </w:rPr>
        <w:t> </w:t>
      </w:r>
      <w:r>
        <w:rPr>
          <w:color w:val="231F20"/>
          <w:w w:val="105"/>
        </w:rPr>
        <w:t>distribution and</w:t>
      </w:r>
      <w:r>
        <w:rPr>
          <w:color w:val="231F20"/>
          <w:spacing w:val="-15"/>
          <w:w w:val="105"/>
        </w:rPr>
        <w:t> </w:t>
      </w:r>
      <w:r>
        <w:rPr>
          <w:color w:val="231F20"/>
          <w:w w:val="105"/>
        </w:rPr>
        <w:t>subsequent</w:t>
      </w:r>
      <w:r>
        <w:rPr>
          <w:color w:val="231F20"/>
          <w:spacing w:val="-13"/>
          <w:w w:val="105"/>
        </w:rPr>
        <w:t> </w:t>
      </w:r>
      <w:r>
        <w:rPr>
          <w:color w:val="231F20"/>
          <w:w w:val="105"/>
        </w:rPr>
        <w:t>handling</w:t>
      </w:r>
      <w:r>
        <w:rPr>
          <w:color w:val="231F20"/>
          <w:spacing w:val="-14"/>
          <w:w w:val="105"/>
        </w:rPr>
        <w:t> </w:t>
      </w:r>
      <w:r>
        <w:rPr>
          <w:color w:val="231F20"/>
          <w:w w:val="105"/>
        </w:rPr>
        <w:t>of</w:t>
      </w:r>
      <w:r>
        <w:rPr>
          <w:color w:val="231F20"/>
          <w:spacing w:val="8"/>
          <w:w w:val="105"/>
        </w:rPr>
        <w:t> </w:t>
      </w:r>
      <w:r>
        <w:rPr>
          <w:color w:val="231F20"/>
          <w:w w:val="105"/>
        </w:rPr>
        <w:t>the</w:t>
      </w:r>
      <w:r>
        <w:rPr>
          <w:color w:val="231F20"/>
          <w:spacing w:val="-15"/>
          <w:w w:val="105"/>
        </w:rPr>
        <w:t> </w:t>
      </w:r>
      <w:r>
        <w:rPr>
          <w:color w:val="231F20"/>
          <w:w w:val="105"/>
        </w:rPr>
        <w:t>product.</w:t>
      </w:r>
    </w:p>
    <w:p>
      <w:pPr>
        <w:pStyle w:val="BodyText"/>
        <w:spacing w:line="266" w:lineRule="auto"/>
        <w:ind w:left="368" w:right="1396"/>
      </w:pPr>
      <w:r>
        <w:rPr/>
        <w:pict>
          <v:rect style="position:absolute;margin-left:459pt;margin-top:-15.598647pt;width:45pt;height:18pt;mso-position-horizontal-relative:page;mso-position-vertical-relative:paragraph;z-index:1528" filled="true" fillcolor="#0079c1" stroked="false">
            <v:fill type="solid"/>
            <w10:wrap type="none"/>
          </v:rect>
        </w:pict>
      </w:r>
      <w:r>
        <w:rPr/>
        <w:pict>
          <v:line style="position:absolute;mso-position-horizontal-relative:page;mso-position-vertical-relative:paragraph;z-index:1552" from="450.5pt,-15.599047pt" to="450.5pt,226.298953pt" stroked="true" strokeweight="1pt" strokecolor="#0079c1">
            <v:stroke dashstyle="solid"/>
            <w10:wrap type="none"/>
          </v:line>
        </w:pict>
      </w:r>
      <w:r>
        <w:rPr/>
        <w:pict>
          <v:shape style="position:absolute;margin-left:465.014313pt;margin-top:6.397753pt;width:22.9pt;height:222.55pt;mso-position-horizontal-relative:page;mso-position-vertical-relative:paragraph;z-index:1576"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10.848047pt;width:15.85pt;height:8.5pt;mso-position-horizontal-relative:page;mso-position-vertical-relative:paragraph;z-index:160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Victims may be scattered across different counties, states, or even countries. The attack rate in these outbreaks may be very low, resulting in no readily apparent clustering of cases absent laboratory subtyping of ostensibly “sporadic” case isolates.</w:t>
      </w:r>
    </w:p>
    <w:p>
      <w:pPr>
        <w:pStyle w:val="BodyText"/>
        <w:spacing w:line="266" w:lineRule="auto" w:before="180"/>
        <w:ind w:left="368" w:right="1376"/>
        <w:rPr>
          <w:sz w:val="11"/>
        </w:rPr>
      </w:pPr>
      <w:r>
        <w:rPr>
          <w:color w:val="231F20"/>
          <w:w w:val="105"/>
        </w:rPr>
        <w:t>Investigation of commercial product outbreaks often requires the coordinated efforts of a multidisciplinary team to clarify the extent of the outbreak, implicate a specific food, and determine the source of contamination. Often, no obvious terminal food-handling error is found.</w:t>
      </w:r>
      <w:r>
        <w:rPr>
          <w:color w:val="231F20"/>
          <w:w w:val="105"/>
          <w:position w:val="7"/>
          <w:sz w:val="11"/>
        </w:rPr>
        <w:t>45, 46</w:t>
      </w:r>
    </w:p>
    <w:p>
      <w:pPr>
        <w:pStyle w:val="BodyText"/>
        <w:spacing w:line="266" w:lineRule="auto" w:before="180"/>
        <w:ind w:left="368" w:right="1422"/>
      </w:pPr>
      <w:r>
        <w:rPr>
          <w:color w:val="231F20"/>
          <w:w w:val="105"/>
        </w:rPr>
        <w:t>Although likely undercounted, commercial product outbreaks account for only a small proportion (2%) of all foodborne disease outbreaks reported to CDC. Such outbreaks, however, comprise a disproportionate number of reported outbreak-related illnesses (7%), hospitalizations (31%), and deaths (34%) (CDC, unpublished data, 2006–2010). The larger number and more serious illnesses associated with commercial product outbreaks most likely result in part from the efforts</w:t>
      </w:r>
    </w:p>
    <w:p>
      <w:pPr>
        <w:pStyle w:val="BodyText"/>
        <w:spacing w:line="266" w:lineRule="auto"/>
        <w:ind w:left="368" w:right="1525"/>
      </w:pPr>
      <w:r>
        <w:rPr>
          <w:color w:val="231F20"/>
          <w:w w:val="105"/>
        </w:rPr>
        <w:t>of PulseNet in helping to recognize these outbreaks. PulseNet, the national molecular subtyping network that analyzes bacterial isolates from human clinical specimens and food samples for their genetic relatedness, focuses</w:t>
      </w:r>
      <w:r>
        <w:rPr>
          <w:color w:val="231F20"/>
          <w:spacing w:val="-30"/>
          <w:w w:val="105"/>
        </w:rPr>
        <w:t> </w:t>
      </w:r>
      <w:r>
        <w:rPr>
          <w:color w:val="231F20"/>
          <w:w w:val="105"/>
        </w:rPr>
        <w:t>on</w:t>
      </w:r>
      <w:r>
        <w:rPr>
          <w:color w:val="231F20"/>
          <w:spacing w:val="-30"/>
          <w:w w:val="105"/>
        </w:rPr>
        <w:t> </w:t>
      </w:r>
      <w:r>
        <w:rPr>
          <w:color w:val="231F20"/>
          <w:w w:val="105"/>
        </w:rPr>
        <w:t>more</w:t>
      </w:r>
      <w:r>
        <w:rPr>
          <w:color w:val="231F20"/>
          <w:spacing w:val="-30"/>
          <w:w w:val="105"/>
        </w:rPr>
        <w:t> </w:t>
      </w:r>
      <w:r>
        <w:rPr>
          <w:color w:val="231F20"/>
          <w:w w:val="105"/>
        </w:rPr>
        <w:t>serious</w:t>
      </w:r>
      <w:r>
        <w:rPr>
          <w:color w:val="231F20"/>
          <w:spacing w:val="-29"/>
          <w:w w:val="105"/>
        </w:rPr>
        <w:t> </w:t>
      </w:r>
      <w:r>
        <w:rPr>
          <w:color w:val="231F20"/>
          <w:w w:val="105"/>
        </w:rPr>
        <w:t>foodborne</w:t>
      </w:r>
      <w:r>
        <w:rPr>
          <w:color w:val="231F20"/>
          <w:spacing w:val="-30"/>
          <w:w w:val="105"/>
        </w:rPr>
        <w:t> </w:t>
      </w:r>
      <w:r>
        <w:rPr>
          <w:color w:val="231F20"/>
          <w:w w:val="105"/>
        </w:rPr>
        <w:t>pathogens, including </w:t>
      </w:r>
      <w:r>
        <w:rPr>
          <w:i/>
          <w:color w:val="231F20"/>
          <w:w w:val="105"/>
        </w:rPr>
        <w:t>E. coli </w:t>
      </w:r>
      <w:r>
        <w:rPr>
          <w:color w:val="231F20"/>
          <w:w w:val="105"/>
        </w:rPr>
        <w:t>O157:H7, </w:t>
      </w:r>
      <w:r>
        <w:rPr>
          <w:i/>
          <w:color w:val="231F20"/>
          <w:w w:val="105"/>
        </w:rPr>
        <w:t>Salmonella</w:t>
      </w:r>
      <w:r>
        <w:rPr>
          <w:color w:val="231F20"/>
          <w:w w:val="105"/>
        </w:rPr>
        <w:t>, and </w:t>
      </w:r>
      <w:r>
        <w:rPr>
          <w:i/>
          <w:color w:val="231F20"/>
          <w:w w:val="105"/>
        </w:rPr>
        <w:t>Listeria</w:t>
      </w:r>
      <w:r>
        <w:rPr>
          <w:color w:val="231F20"/>
          <w:w w:val="105"/>
        </w:rPr>
        <w:t>,</w:t>
      </w:r>
      <w:r>
        <w:rPr>
          <w:color w:val="231F20"/>
          <w:spacing w:val="-10"/>
          <w:w w:val="105"/>
        </w:rPr>
        <w:t> </w:t>
      </w:r>
      <w:r>
        <w:rPr>
          <w:color w:val="231F20"/>
          <w:w w:val="105"/>
        </w:rPr>
        <w:t>and</w:t>
      </w:r>
      <w:r>
        <w:rPr>
          <w:color w:val="231F20"/>
          <w:spacing w:val="-11"/>
          <w:w w:val="105"/>
        </w:rPr>
        <w:t> </w:t>
      </w:r>
      <w:r>
        <w:rPr>
          <w:color w:val="231F20"/>
          <w:w w:val="105"/>
        </w:rPr>
        <w:t>is</w:t>
      </w:r>
      <w:r>
        <w:rPr>
          <w:color w:val="231F20"/>
          <w:spacing w:val="-11"/>
          <w:w w:val="105"/>
        </w:rPr>
        <w:t> </w:t>
      </w:r>
      <w:r>
        <w:rPr>
          <w:color w:val="231F20"/>
          <w:w w:val="105"/>
        </w:rPr>
        <w:t>better</w:t>
      </w:r>
      <w:r>
        <w:rPr>
          <w:color w:val="231F20"/>
          <w:spacing w:val="-10"/>
          <w:w w:val="105"/>
        </w:rPr>
        <w:t> </w:t>
      </w:r>
      <w:r>
        <w:rPr>
          <w:color w:val="231F20"/>
          <w:w w:val="105"/>
        </w:rPr>
        <w:t>able</w:t>
      </w:r>
      <w:r>
        <w:rPr>
          <w:color w:val="231F20"/>
          <w:spacing w:val="-10"/>
          <w:w w:val="105"/>
        </w:rPr>
        <w:t> </w:t>
      </w:r>
      <w:r>
        <w:rPr>
          <w:color w:val="231F20"/>
          <w:w w:val="105"/>
        </w:rPr>
        <w:t>than</w:t>
      </w:r>
      <w:r>
        <w:rPr>
          <w:color w:val="231F20"/>
          <w:spacing w:val="-11"/>
          <w:w w:val="105"/>
        </w:rPr>
        <w:t> </w:t>
      </w:r>
      <w:r>
        <w:rPr>
          <w:color w:val="231F20"/>
          <w:w w:val="105"/>
        </w:rPr>
        <w:t>other</w:t>
      </w:r>
      <w:r>
        <w:rPr>
          <w:color w:val="231F20"/>
          <w:spacing w:val="-10"/>
          <w:w w:val="105"/>
        </w:rPr>
        <w:t> </w:t>
      </w:r>
      <w:r>
        <w:rPr>
          <w:color w:val="231F20"/>
          <w:w w:val="105"/>
        </w:rPr>
        <w:t>means</w:t>
      </w:r>
    </w:p>
    <w:p>
      <w:pPr>
        <w:pStyle w:val="BodyText"/>
        <w:spacing w:line="266" w:lineRule="auto"/>
        <w:ind w:left="368" w:right="1514"/>
      </w:pPr>
      <w:r>
        <w:rPr>
          <w:color w:val="231F20"/>
          <w:w w:val="105"/>
        </w:rPr>
        <w:t>of detecting outbreaks </w:t>
      </w:r>
      <w:r>
        <w:rPr>
          <w:color w:val="231F20"/>
          <w:spacing w:val="-3"/>
          <w:w w:val="105"/>
        </w:rPr>
        <w:t>by </w:t>
      </w:r>
      <w:r>
        <w:rPr>
          <w:color w:val="231F20"/>
          <w:w w:val="105"/>
        </w:rPr>
        <w:t>linking related cases,</w:t>
      </w:r>
      <w:r>
        <w:rPr>
          <w:color w:val="231F20"/>
          <w:spacing w:val="-15"/>
          <w:w w:val="105"/>
        </w:rPr>
        <w:t> </w:t>
      </w:r>
      <w:r>
        <w:rPr>
          <w:color w:val="231F20"/>
          <w:w w:val="105"/>
        </w:rPr>
        <w:t>thus</w:t>
      </w:r>
      <w:r>
        <w:rPr>
          <w:color w:val="231F20"/>
          <w:spacing w:val="-16"/>
          <w:w w:val="105"/>
        </w:rPr>
        <w:t> </w:t>
      </w:r>
      <w:r>
        <w:rPr>
          <w:color w:val="231F20"/>
          <w:w w:val="105"/>
        </w:rPr>
        <w:t>associating</w:t>
      </w:r>
      <w:r>
        <w:rPr>
          <w:color w:val="231F20"/>
          <w:spacing w:val="-16"/>
          <w:w w:val="105"/>
        </w:rPr>
        <w:t> </w:t>
      </w:r>
      <w:r>
        <w:rPr>
          <w:color w:val="231F20"/>
          <w:w w:val="105"/>
        </w:rPr>
        <w:t>larger</w:t>
      </w:r>
      <w:r>
        <w:rPr>
          <w:color w:val="231F20"/>
          <w:spacing w:val="-15"/>
          <w:w w:val="105"/>
        </w:rPr>
        <w:t> </w:t>
      </w:r>
      <w:r>
        <w:rPr>
          <w:color w:val="231F20"/>
          <w:w w:val="105"/>
        </w:rPr>
        <w:t>numbers</w:t>
      </w:r>
      <w:r>
        <w:rPr>
          <w:color w:val="231F20"/>
          <w:spacing w:val="-16"/>
          <w:w w:val="105"/>
        </w:rPr>
        <w:t> </w:t>
      </w:r>
      <w:r>
        <w:rPr>
          <w:color w:val="231F20"/>
          <w:w w:val="105"/>
        </w:rPr>
        <w:t>of</w:t>
      </w:r>
      <w:r>
        <w:rPr>
          <w:color w:val="231F20"/>
          <w:spacing w:val="6"/>
          <w:w w:val="105"/>
        </w:rPr>
        <w:t> </w:t>
      </w:r>
      <w:r>
        <w:rPr>
          <w:color w:val="231F20"/>
          <w:w w:val="105"/>
        </w:rPr>
        <w:t>cases with each outbreak. Nonetheless, case counts in these outbreaks are likely to be severely undercounted.</w:t>
      </w:r>
    </w:p>
    <w:p>
      <w:pPr>
        <w:pStyle w:val="BodyText"/>
        <w:spacing w:line="266" w:lineRule="auto" w:before="179"/>
        <w:ind w:left="368" w:right="1683"/>
      </w:pPr>
      <w:r>
        <w:rPr>
          <w:color w:val="231F20"/>
          <w:w w:val="105"/>
        </w:rPr>
        <w:t>Commercial product outbreaks involve a variety of investigators from local, state, and federal agencies and can highlight food</w:t>
      </w:r>
    </w:p>
    <w:p>
      <w:pPr>
        <w:pStyle w:val="BodyText"/>
        <w:ind w:left="368"/>
      </w:pPr>
      <w:r>
        <w:rPr>
          <w:color w:val="231F20"/>
          <w:w w:val="105"/>
        </w:rPr>
        <w:t>safety problems in national (or multinational)</w:t>
      </w:r>
    </w:p>
    <w:p>
      <w:pPr>
        <w:spacing w:after="0"/>
        <w:sectPr>
          <w:type w:val="continuous"/>
          <w:pgSz w:w="10080" w:h="14400"/>
          <w:pgMar w:top="0" w:bottom="360" w:left="0" w:right="0"/>
          <w:cols w:num="2" w:equalWidth="0">
            <w:col w:w="4452" w:space="40"/>
            <w:col w:w="5588"/>
          </w:cols>
        </w:sectPr>
      </w:pPr>
    </w:p>
    <w:p>
      <w:pPr>
        <w:pStyle w:val="BodyText"/>
        <w:spacing w:before="8"/>
        <w:rPr>
          <w:sz w:val="10"/>
        </w:rPr>
      </w:pPr>
    </w:p>
    <w:p>
      <w:pPr>
        <w:pStyle w:val="Heading1"/>
        <w:numPr>
          <w:ilvl w:val="1"/>
          <w:numId w:val="4"/>
        </w:numPr>
        <w:tabs>
          <w:tab w:pos="1985" w:val="left" w:leader="none"/>
        </w:tabs>
        <w:spacing w:line="240" w:lineRule="auto" w:before="89" w:after="0"/>
        <w:ind w:left="1984" w:right="0" w:hanging="544"/>
        <w:jc w:val="left"/>
      </w:pPr>
      <w:r>
        <w:rPr/>
        <w:pict>
          <v:line style="position:absolute;mso-position-horizontal-relative:page;mso-position-vertical-relative:paragraph;z-index:1624;mso-wrap-distance-left:0;mso-wrap-distance-right:0" from="72pt,23.995163pt" to="468pt,23.995163pt" stroked="true" strokeweight=".5pt" strokecolor="#00a94f">
            <v:stroke dashstyle="solid"/>
            <w10:wrap type="topAndBottom"/>
          </v:line>
        </w:pict>
      </w:r>
      <w:r>
        <w:rPr>
          <w:color w:val="00A94F"/>
          <w:spacing w:val="-6"/>
          <w:w w:val="95"/>
        </w:rPr>
        <w:t>Trends </w:t>
      </w:r>
      <w:r>
        <w:rPr>
          <w:color w:val="00A94F"/>
          <w:w w:val="95"/>
        </w:rPr>
        <w:t>in Food-Safety</w:t>
      </w:r>
      <w:r>
        <w:rPr>
          <w:color w:val="00A94F"/>
          <w:spacing w:val="-47"/>
          <w:w w:val="95"/>
        </w:rPr>
        <w:t> </w:t>
      </w:r>
      <w:r>
        <w:rPr>
          <w:color w:val="00A94F"/>
          <w:w w:val="95"/>
        </w:rPr>
        <w:t>Problems</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9"/>
      </w:pPr>
      <w:r>
        <w:rPr/>
        <w:pict>
          <v:rect style="position:absolute;margin-left:0pt;margin-top:27.299353pt;width:45pt;height:18pt;mso-position-horizontal-relative:page;mso-position-vertical-relative:paragraph;z-index:1672" filled="true" fillcolor="#0079c1" stroked="false">
            <v:fill type="solid"/>
            <w10:wrap type="none"/>
          </v:rect>
        </w:pict>
      </w:r>
      <w:r>
        <w:rPr/>
        <w:pict>
          <v:line style="position:absolute;mso-position-horizontal-relative:page;mso-position-vertical-relative:paragraph;z-index:1696" from="54.5pt,27.300953pt" to="54.5pt,269.198953pt" stroked="true" strokeweight="1pt" strokecolor="#0079c1">
            <v:stroke dashstyle="solid"/>
            <w10:wrap type="none"/>
          </v:line>
        </w:pict>
      </w:r>
      <w:r>
        <w:rPr/>
        <w:pict>
          <v:shape style="position:absolute;margin-left:16.131701pt;margin-top:48.847244pt;width:22.9pt;height:222.55pt;mso-position-horizontal-relative:page;mso-position-vertical-relative:paragraph;z-index:1720"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32.095806pt;width:15.85pt;height:8.5pt;mso-position-horizontal-relative:page;mso-position-vertical-relative:paragraph;z-index:1744"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corporations with industrywide implications with regards to control measures. As a result, these outbreaks </w:t>
      </w:r>
      <w:r>
        <w:rPr>
          <w:color w:val="231F20"/>
          <w:spacing w:val="-3"/>
          <w:w w:val="105"/>
        </w:rPr>
        <w:t>have </w:t>
      </w:r>
      <w:r>
        <w:rPr>
          <w:color w:val="231F20"/>
          <w:w w:val="105"/>
        </w:rPr>
        <w:t>been more publicly visible and most likely </w:t>
      </w:r>
      <w:r>
        <w:rPr>
          <w:color w:val="231F20"/>
          <w:spacing w:val="-3"/>
          <w:w w:val="105"/>
        </w:rPr>
        <w:t>have </w:t>
      </w:r>
      <w:r>
        <w:rPr>
          <w:color w:val="231F20"/>
          <w:w w:val="105"/>
        </w:rPr>
        <w:t>received more investigation</w:t>
      </w:r>
      <w:r>
        <w:rPr>
          <w:color w:val="231F20"/>
          <w:spacing w:val="-19"/>
          <w:w w:val="105"/>
        </w:rPr>
        <w:t> </w:t>
      </w:r>
      <w:r>
        <w:rPr>
          <w:color w:val="231F20"/>
          <w:w w:val="105"/>
        </w:rPr>
        <w:t>resources</w:t>
      </w:r>
      <w:r>
        <w:rPr>
          <w:color w:val="231F20"/>
          <w:spacing w:val="-18"/>
          <w:w w:val="105"/>
        </w:rPr>
        <w:t> </w:t>
      </w:r>
      <w:r>
        <w:rPr>
          <w:color w:val="231F20"/>
          <w:w w:val="105"/>
        </w:rPr>
        <w:t>than</w:t>
      </w:r>
      <w:r>
        <w:rPr>
          <w:color w:val="231F20"/>
          <w:spacing w:val="-19"/>
          <w:w w:val="105"/>
        </w:rPr>
        <w:t> </w:t>
      </w:r>
      <w:r>
        <w:rPr>
          <w:color w:val="231F20"/>
          <w:w w:val="105"/>
        </w:rPr>
        <w:t>the</w:t>
      </w:r>
      <w:r>
        <w:rPr>
          <w:color w:val="231F20"/>
          <w:spacing w:val="-19"/>
          <w:w w:val="105"/>
        </w:rPr>
        <w:t> </w:t>
      </w:r>
      <w:r>
        <w:rPr>
          <w:color w:val="231F20"/>
          <w:w w:val="105"/>
        </w:rPr>
        <w:t>more</w:t>
      </w:r>
      <w:r>
        <w:rPr>
          <w:color w:val="231F20"/>
          <w:spacing w:val="-18"/>
          <w:w w:val="105"/>
        </w:rPr>
        <w:t> </w:t>
      </w:r>
      <w:r>
        <w:rPr>
          <w:color w:val="231F20"/>
          <w:w w:val="105"/>
        </w:rPr>
        <w:t>prevalent localized</w:t>
      </w:r>
      <w:r>
        <w:rPr>
          <w:color w:val="231F20"/>
          <w:spacing w:val="-18"/>
          <w:w w:val="105"/>
        </w:rPr>
        <w:t> </w:t>
      </w:r>
      <w:r>
        <w:rPr>
          <w:color w:val="231F20"/>
          <w:w w:val="105"/>
        </w:rPr>
        <w:t>outbreaks.</w:t>
      </w:r>
      <w:r>
        <w:rPr>
          <w:color w:val="231F20"/>
          <w:spacing w:val="-17"/>
          <w:w w:val="105"/>
        </w:rPr>
        <w:t> </w:t>
      </w:r>
      <w:r>
        <w:rPr>
          <w:color w:val="231F20"/>
          <w:w w:val="105"/>
        </w:rPr>
        <w:t>Further</w:t>
      </w:r>
      <w:r>
        <w:rPr>
          <w:color w:val="231F20"/>
          <w:spacing w:val="-17"/>
          <w:w w:val="105"/>
        </w:rPr>
        <w:t> </w:t>
      </w:r>
      <w:r>
        <w:rPr>
          <w:color w:val="231F20"/>
          <w:w w:val="105"/>
        </w:rPr>
        <w:t>studies</w:t>
      </w:r>
      <w:r>
        <w:rPr>
          <w:color w:val="231F20"/>
          <w:spacing w:val="-16"/>
          <w:w w:val="105"/>
        </w:rPr>
        <w:t> </w:t>
      </w:r>
      <w:r>
        <w:rPr>
          <w:color w:val="231F20"/>
          <w:w w:val="105"/>
        </w:rPr>
        <w:t>are</w:t>
      </w:r>
    </w:p>
    <w:p>
      <w:pPr>
        <w:pStyle w:val="BodyText"/>
        <w:spacing w:line="266" w:lineRule="auto"/>
        <w:ind w:left="1440" w:right="-12"/>
      </w:pPr>
      <w:r>
        <w:rPr>
          <w:color w:val="231F20"/>
          <w:w w:val="105"/>
        </w:rPr>
        <w:t>needed to better understand the occurrence of localized outbreaks and commercial product outbreaks and their impact on the health of the community.</w:t>
      </w:r>
    </w:p>
    <w:p>
      <w:pPr>
        <w:spacing w:line="266" w:lineRule="auto" w:before="180"/>
        <w:ind w:left="1440" w:right="-9" w:firstLine="0"/>
        <w:jc w:val="left"/>
        <w:rPr>
          <w:i/>
          <w:sz w:val="20"/>
        </w:rPr>
      </w:pPr>
      <w:r>
        <w:rPr>
          <w:i/>
          <w:color w:val="E36F1E"/>
          <w:sz w:val="20"/>
        </w:rPr>
        <w:t>2.2.2.3. Local investigator role in contaminated </w:t>
      </w:r>
      <w:r>
        <w:rPr>
          <w:i/>
          <w:color w:val="E36F1E"/>
          <w:sz w:val="20"/>
        </w:rPr>
        <w:t>commercial product outbreaks</w:t>
      </w:r>
    </w:p>
    <w:p>
      <w:pPr>
        <w:pStyle w:val="BodyText"/>
        <w:spacing w:line="266" w:lineRule="auto"/>
        <w:ind w:left="1440" w:right="66"/>
      </w:pPr>
      <w:r>
        <w:rPr>
          <w:color w:val="231F20"/>
          <w:w w:val="105"/>
        </w:rPr>
        <w:t>Because</w:t>
      </w:r>
      <w:r>
        <w:rPr>
          <w:color w:val="231F20"/>
          <w:spacing w:val="-10"/>
          <w:w w:val="105"/>
        </w:rPr>
        <w:t> </w:t>
      </w:r>
      <w:r>
        <w:rPr>
          <w:color w:val="231F20"/>
          <w:w w:val="105"/>
        </w:rPr>
        <w:t>a</w:t>
      </w:r>
      <w:r>
        <w:rPr>
          <w:color w:val="231F20"/>
          <w:spacing w:val="-9"/>
          <w:w w:val="105"/>
        </w:rPr>
        <w:t> </w:t>
      </w:r>
      <w:r>
        <w:rPr>
          <w:color w:val="231F20"/>
          <w:w w:val="105"/>
        </w:rPr>
        <w:t>seemingly</w:t>
      </w:r>
      <w:r>
        <w:rPr>
          <w:color w:val="231F20"/>
          <w:spacing w:val="-10"/>
          <w:w w:val="105"/>
        </w:rPr>
        <w:t> </w:t>
      </w:r>
      <w:r>
        <w:rPr>
          <w:color w:val="231F20"/>
          <w:w w:val="105"/>
        </w:rPr>
        <w:t>localized</w:t>
      </w:r>
      <w:r>
        <w:rPr>
          <w:color w:val="231F20"/>
          <w:spacing w:val="-10"/>
          <w:w w:val="105"/>
        </w:rPr>
        <w:t> </w:t>
      </w:r>
      <w:r>
        <w:rPr>
          <w:color w:val="231F20"/>
          <w:w w:val="105"/>
        </w:rPr>
        <w:t>outbreak</w:t>
      </w:r>
      <w:r>
        <w:rPr>
          <w:color w:val="231F20"/>
          <w:spacing w:val="-10"/>
          <w:w w:val="105"/>
        </w:rPr>
        <w:t> </w:t>
      </w:r>
      <w:r>
        <w:rPr>
          <w:color w:val="231F20"/>
          <w:w w:val="105"/>
        </w:rPr>
        <w:t>might herald a more widespread and diffuse food- safety</w:t>
      </w:r>
      <w:r>
        <w:rPr>
          <w:color w:val="231F20"/>
          <w:spacing w:val="-22"/>
          <w:w w:val="105"/>
        </w:rPr>
        <w:t> </w:t>
      </w:r>
      <w:r>
        <w:rPr>
          <w:color w:val="231F20"/>
          <w:w w:val="105"/>
        </w:rPr>
        <w:t>problem</w:t>
      </w:r>
      <w:r>
        <w:rPr>
          <w:color w:val="231F20"/>
          <w:spacing w:val="-22"/>
          <w:w w:val="105"/>
        </w:rPr>
        <w:t> </w:t>
      </w:r>
      <w:r>
        <w:rPr>
          <w:color w:val="231F20"/>
          <w:w w:val="105"/>
        </w:rPr>
        <w:t>affecting</w:t>
      </w:r>
      <w:r>
        <w:rPr>
          <w:color w:val="231F20"/>
          <w:spacing w:val="-22"/>
          <w:w w:val="105"/>
        </w:rPr>
        <w:t> </w:t>
      </w:r>
      <w:r>
        <w:rPr>
          <w:color w:val="231F20"/>
          <w:w w:val="105"/>
        </w:rPr>
        <w:t>multiple</w:t>
      </w:r>
      <w:r>
        <w:rPr>
          <w:color w:val="231F20"/>
          <w:spacing w:val="-22"/>
          <w:w w:val="105"/>
        </w:rPr>
        <w:t> </w:t>
      </w:r>
      <w:r>
        <w:rPr>
          <w:color w:val="231F20"/>
          <w:w w:val="105"/>
        </w:rPr>
        <w:t>jurisdictions, local</w:t>
      </w:r>
      <w:r>
        <w:rPr>
          <w:color w:val="231F20"/>
          <w:spacing w:val="-18"/>
          <w:w w:val="105"/>
        </w:rPr>
        <w:t> </w:t>
      </w:r>
      <w:r>
        <w:rPr>
          <w:color w:val="231F20"/>
          <w:w w:val="105"/>
        </w:rPr>
        <w:t>investigators</w:t>
      </w:r>
      <w:r>
        <w:rPr>
          <w:color w:val="231F20"/>
          <w:spacing w:val="-18"/>
          <w:w w:val="105"/>
        </w:rPr>
        <w:t> </w:t>
      </w:r>
      <w:r>
        <w:rPr>
          <w:color w:val="231F20"/>
          <w:w w:val="105"/>
        </w:rPr>
        <w:t>need</w:t>
      </w:r>
      <w:r>
        <w:rPr>
          <w:color w:val="231F20"/>
          <w:spacing w:val="-17"/>
          <w:w w:val="105"/>
        </w:rPr>
        <w:t> </w:t>
      </w:r>
      <w:r>
        <w:rPr>
          <w:color w:val="231F20"/>
          <w:w w:val="105"/>
        </w:rPr>
        <w:t>to</w:t>
      </w:r>
      <w:r>
        <w:rPr>
          <w:color w:val="231F20"/>
          <w:spacing w:val="-18"/>
          <w:w w:val="105"/>
        </w:rPr>
        <w:t> </w:t>
      </w:r>
      <w:r>
        <w:rPr>
          <w:color w:val="231F20"/>
          <w:w w:val="105"/>
        </w:rPr>
        <w:t>watch</w:t>
      </w:r>
      <w:r>
        <w:rPr>
          <w:color w:val="231F20"/>
          <w:spacing w:val="-18"/>
          <w:w w:val="105"/>
        </w:rPr>
        <w:t> </w:t>
      </w:r>
      <w:r>
        <w:rPr>
          <w:color w:val="231F20"/>
          <w:w w:val="105"/>
        </w:rPr>
        <w:t>for</w:t>
      </w:r>
      <w:r>
        <w:rPr>
          <w:color w:val="231F20"/>
          <w:spacing w:val="-17"/>
          <w:w w:val="105"/>
        </w:rPr>
        <w:t> </w:t>
      </w:r>
      <w:r>
        <w:rPr>
          <w:color w:val="231F20"/>
          <w:w w:val="105"/>
        </w:rPr>
        <w:t>indicators of a commercial food safety problem (see Chapter 7) and alert others immediately</w:t>
      </w:r>
      <w:r>
        <w:rPr>
          <w:color w:val="231F20"/>
          <w:spacing w:val="-24"/>
          <w:w w:val="105"/>
        </w:rPr>
        <w:t> </w:t>
      </w:r>
      <w:r>
        <w:rPr>
          <w:color w:val="231F20"/>
          <w:w w:val="105"/>
        </w:rPr>
        <w:t>when</w:t>
      </w:r>
    </w:p>
    <w:p>
      <w:pPr>
        <w:pStyle w:val="BodyText"/>
        <w:spacing w:line="266" w:lineRule="auto" w:before="108"/>
        <w:ind w:left="328" w:right="990"/>
      </w:pPr>
      <w:r>
        <w:rPr/>
        <w:br w:type="column"/>
      </w:r>
      <w:r>
        <w:rPr>
          <w:color w:val="231F20"/>
          <w:w w:val="105"/>
        </w:rPr>
        <w:t>a multijurisdictional outbreak is suspected. Local investigators play an important role in the investigation of multijurisdictional outbreaks by searching for local cases, participating in hypothesis generation, and</w:t>
      </w:r>
    </w:p>
    <w:p>
      <w:pPr>
        <w:pStyle w:val="BodyText"/>
        <w:spacing w:line="266" w:lineRule="auto"/>
        <w:ind w:left="328" w:right="864"/>
      </w:pPr>
      <w:r>
        <w:rPr>
          <w:color w:val="231F20"/>
          <w:w w:val="105"/>
        </w:rPr>
        <w:t>performing other agreed-upon tasks, such as case interviews, in an expedient manner.</w:t>
      </w:r>
    </w:p>
    <w:p>
      <w:pPr>
        <w:pStyle w:val="BodyText"/>
        <w:spacing w:line="266" w:lineRule="auto" w:before="180"/>
        <w:ind w:left="328" w:right="746"/>
        <w:rPr>
          <w:sz w:val="11"/>
        </w:rPr>
      </w:pPr>
      <w:r>
        <w:rPr>
          <w:color w:val="231F20"/>
          <w:w w:val="105"/>
        </w:rPr>
        <w:t>Each and every case interview in a multijurisdictional outbreak is critical, as was illustrated in an outbreak of </w:t>
      </w:r>
      <w:r>
        <w:rPr>
          <w:i/>
          <w:color w:val="231F20"/>
          <w:w w:val="105"/>
        </w:rPr>
        <w:t>E. coli </w:t>
      </w:r>
      <w:r>
        <w:rPr>
          <w:color w:val="231F20"/>
          <w:w w:val="105"/>
        </w:rPr>
        <w:t>O157:H7 infection in 2003 that was associated with blade-tenderized frozen steaks. Information from three persons with culture-confirmed cases in Minnesota and from single confirmed cases in two other states enabled officials to identify the source of the steaks and recall 739,000 pounds of beef in a timely manner.</w:t>
      </w:r>
      <w:r>
        <w:rPr>
          <w:color w:val="231F20"/>
          <w:w w:val="105"/>
          <w:position w:val="7"/>
          <w:sz w:val="11"/>
        </w:rPr>
        <w:t>47</w:t>
      </w:r>
    </w:p>
    <w:p>
      <w:pPr>
        <w:spacing w:after="0" w:line="266" w:lineRule="auto"/>
        <w:rPr>
          <w:sz w:val="11"/>
        </w:rPr>
        <w:sectPr>
          <w:type w:val="continuous"/>
          <w:pgSz w:w="10080" w:h="14400"/>
          <w:pgMar w:top="0" w:bottom="360" w:left="0" w:right="0"/>
          <w:cols w:num="2" w:equalWidth="0">
            <w:col w:w="5212" w:space="40"/>
            <w:col w:w="4828"/>
          </w:cols>
        </w:sectPr>
      </w:pPr>
    </w:p>
    <w:p>
      <w:pPr>
        <w:pStyle w:val="BodyText"/>
      </w:pPr>
    </w:p>
    <w:p>
      <w:pPr>
        <w:pStyle w:val="BodyText"/>
      </w:pPr>
    </w:p>
    <w:p>
      <w:pPr>
        <w:pStyle w:val="BodyText"/>
        <w:spacing w:before="10"/>
        <w:rPr>
          <w:sz w:val="17"/>
        </w:rPr>
      </w:pPr>
    </w:p>
    <w:p>
      <w:pPr>
        <w:pStyle w:val="Heading1"/>
        <w:numPr>
          <w:ilvl w:val="1"/>
          <w:numId w:val="5"/>
        </w:numPr>
        <w:tabs>
          <w:tab w:pos="1985" w:val="left" w:leader="none"/>
        </w:tabs>
        <w:spacing w:line="240" w:lineRule="auto" w:before="89" w:after="0"/>
        <w:ind w:left="1984" w:right="0" w:hanging="544"/>
        <w:jc w:val="left"/>
      </w:pPr>
      <w:r>
        <w:rPr/>
        <w:pict>
          <v:line style="position:absolute;mso-position-horizontal-relative:page;mso-position-vertical-relative:paragraph;z-index:1648;mso-wrap-distance-left:0;mso-wrap-distance-right:0" from="72pt,23.995155pt" to="468pt,23.995155pt" stroked="true" strokeweight=".5pt" strokecolor="#00a94f">
            <v:stroke dashstyle="solid"/>
            <w10:wrap type="topAndBottom"/>
          </v:line>
        </w:pict>
      </w:r>
      <w:r>
        <w:rPr>
          <w:color w:val="00A94F"/>
          <w:spacing w:val="-6"/>
          <w:w w:val="95"/>
        </w:rPr>
        <w:t>Trends</w:t>
      </w:r>
      <w:r>
        <w:rPr>
          <w:color w:val="00A94F"/>
          <w:spacing w:val="-48"/>
          <w:w w:val="95"/>
        </w:rPr>
        <w:t> </w:t>
      </w:r>
      <w:r>
        <w:rPr>
          <w:color w:val="00A94F"/>
          <w:w w:val="95"/>
        </w:rPr>
        <w:t>in</w:t>
      </w:r>
      <w:r>
        <w:rPr>
          <w:color w:val="00A94F"/>
          <w:spacing w:val="-48"/>
          <w:w w:val="95"/>
        </w:rPr>
        <w:t> </w:t>
      </w:r>
      <w:r>
        <w:rPr>
          <w:color w:val="00A94F"/>
          <w:w w:val="95"/>
        </w:rPr>
        <w:t>Surveillance</w:t>
      </w:r>
    </w:p>
    <w:p>
      <w:pPr>
        <w:pStyle w:val="BodyText"/>
        <w:spacing w:before="11"/>
        <w:rPr>
          <w:rFonts w:ascii="Lucida Sans"/>
          <w:sz w:val="5"/>
        </w:rPr>
      </w:pPr>
    </w:p>
    <w:p>
      <w:pPr>
        <w:spacing w:after="0"/>
        <w:rPr>
          <w:rFonts w:ascii="Lucida Sans"/>
          <w:sz w:val="5"/>
        </w:rPr>
        <w:sectPr>
          <w:type w:val="continuous"/>
          <w:pgSz w:w="10080" w:h="14400"/>
          <w:pgMar w:top="0" w:bottom="360" w:left="0" w:right="0"/>
        </w:sectPr>
      </w:pPr>
    </w:p>
    <w:p>
      <w:pPr>
        <w:pStyle w:val="BodyText"/>
        <w:spacing w:line="266" w:lineRule="auto" w:before="103"/>
        <w:ind w:left="1440" w:right="44"/>
      </w:pPr>
      <w:r>
        <w:rPr>
          <w:color w:val="231F20"/>
          <w:w w:val="105"/>
        </w:rPr>
        <w:t>Our ability to use public health surveillance to track cases of foodborne disease and outbreaks,</w:t>
      </w:r>
      <w:r>
        <w:rPr>
          <w:color w:val="231F20"/>
          <w:spacing w:val="-15"/>
          <w:w w:val="105"/>
        </w:rPr>
        <w:t> </w:t>
      </w:r>
      <w:r>
        <w:rPr>
          <w:color w:val="231F20"/>
          <w:w w:val="105"/>
        </w:rPr>
        <w:t>as</w:t>
      </w:r>
      <w:r>
        <w:rPr>
          <w:color w:val="231F20"/>
          <w:spacing w:val="-16"/>
          <w:w w:val="105"/>
        </w:rPr>
        <w:t> </w:t>
      </w:r>
      <w:r>
        <w:rPr>
          <w:color w:val="231F20"/>
          <w:w w:val="105"/>
        </w:rPr>
        <w:t>well</w:t>
      </w:r>
      <w:r>
        <w:rPr>
          <w:color w:val="231F20"/>
          <w:spacing w:val="-16"/>
          <w:w w:val="105"/>
        </w:rPr>
        <w:t> </w:t>
      </w:r>
      <w:r>
        <w:rPr>
          <w:color w:val="231F20"/>
          <w:w w:val="105"/>
        </w:rPr>
        <w:t>as</w:t>
      </w:r>
      <w:r>
        <w:rPr>
          <w:color w:val="231F20"/>
          <w:spacing w:val="-16"/>
          <w:w w:val="105"/>
        </w:rPr>
        <w:t> </w:t>
      </w:r>
      <w:r>
        <w:rPr>
          <w:color w:val="231F20"/>
          <w:w w:val="105"/>
        </w:rPr>
        <w:t>behaviors</w:t>
      </w:r>
      <w:r>
        <w:rPr>
          <w:color w:val="231F20"/>
          <w:spacing w:val="-16"/>
          <w:w w:val="105"/>
        </w:rPr>
        <w:t> </w:t>
      </w:r>
      <w:r>
        <w:rPr>
          <w:color w:val="231F20"/>
          <w:w w:val="105"/>
        </w:rPr>
        <w:t>and</w:t>
      </w:r>
      <w:r>
        <w:rPr>
          <w:color w:val="231F20"/>
          <w:spacing w:val="-16"/>
          <w:w w:val="105"/>
        </w:rPr>
        <w:t> </w:t>
      </w:r>
      <w:r>
        <w:rPr>
          <w:color w:val="231F20"/>
          <w:w w:val="105"/>
        </w:rPr>
        <w:t>conditions that</w:t>
      </w:r>
      <w:r>
        <w:rPr>
          <w:color w:val="231F20"/>
          <w:spacing w:val="-17"/>
          <w:w w:val="105"/>
        </w:rPr>
        <w:t> </w:t>
      </w:r>
      <w:r>
        <w:rPr>
          <w:color w:val="231F20"/>
          <w:w w:val="105"/>
        </w:rPr>
        <w:t>contribute</w:t>
      </w:r>
      <w:r>
        <w:rPr>
          <w:color w:val="231F20"/>
          <w:spacing w:val="-17"/>
          <w:w w:val="105"/>
        </w:rPr>
        <w:t> </w:t>
      </w:r>
      <w:r>
        <w:rPr>
          <w:color w:val="231F20"/>
          <w:w w:val="105"/>
        </w:rPr>
        <w:t>to</w:t>
      </w:r>
      <w:r>
        <w:rPr>
          <w:color w:val="231F20"/>
          <w:spacing w:val="-18"/>
          <w:w w:val="105"/>
        </w:rPr>
        <w:t> </w:t>
      </w:r>
      <w:r>
        <w:rPr>
          <w:color w:val="231F20"/>
          <w:w w:val="105"/>
        </w:rPr>
        <w:t>foodborne</w:t>
      </w:r>
      <w:r>
        <w:rPr>
          <w:color w:val="231F20"/>
          <w:spacing w:val="-17"/>
          <w:w w:val="105"/>
        </w:rPr>
        <w:t> </w:t>
      </w:r>
      <w:r>
        <w:rPr>
          <w:color w:val="231F20"/>
          <w:w w:val="105"/>
        </w:rPr>
        <w:t>disease,</w:t>
      </w:r>
      <w:r>
        <w:rPr>
          <w:color w:val="231F20"/>
          <w:spacing w:val="-17"/>
          <w:w w:val="105"/>
        </w:rPr>
        <w:t> </w:t>
      </w:r>
      <w:r>
        <w:rPr>
          <w:color w:val="231F20"/>
          <w:w w:val="105"/>
        </w:rPr>
        <w:t>is</w:t>
      </w:r>
      <w:r>
        <w:rPr>
          <w:color w:val="231F20"/>
          <w:spacing w:val="-18"/>
          <w:w w:val="105"/>
        </w:rPr>
        <w:t> </w:t>
      </w:r>
      <w:r>
        <w:rPr>
          <w:color w:val="231F20"/>
          <w:w w:val="105"/>
        </w:rPr>
        <w:t>critical to our understanding and control of these diseases.</w:t>
      </w:r>
    </w:p>
    <w:p>
      <w:pPr>
        <w:pStyle w:val="ListParagraph"/>
        <w:numPr>
          <w:ilvl w:val="2"/>
          <w:numId w:val="5"/>
        </w:numPr>
        <w:tabs>
          <w:tab w:pos="1996" w:val="left" w:leader="none"/>
        </w:tabs>
        <w:spacing w:line="240" w:lineRule="auto" w:before="158" w:after="0"/>
        <w:ind w:left="1996" w:right="0" w:hanging="556"/>
        <w:jc w:val="left"/>
        <w:rPr>
          <w:rFonts w:ascii="Lucida Sans"/>
          <w:sz w:val="20"/>
        </w:rPr>
      </w:pPr>
      <w:r>
        <w:rPr>
          <w:rFonts w:ascii="Lucida Sans"/>
          <w:color w:val="1C3E94"/>
          <w:sz w:val="20"/>
        </w:rPr>
        <w:t>Overview</w:t>
      </w:r>
    </w:p>
    <w:p>
      <w:pPr>
        <w:pStyle w:val="BodyText"/>
        <w:spacing w:before="2"/>
        <w:rPr>
          <w:rFonts w:ascii="Lucida Sans"/>
          <w:sz w:val="18"/>
        </w:rPr>
      </w:pPr>
    </w:p>
    <w:p>
      <w:pPr>
        <w:pStyle w:val="BodyText"/>
        <w:spacing w:line="266" w:lineRule="auto"/>
        <w:ind w:left="1440" w:right="48"/>
      </w:pPr>
      <w:r>
        <w:rPr>
          <w:color w:val="231F20"/>
          <w:w w:val="105"/>
        </w:rPr>
        <w:t>Public health surveillance is an active process of collecting, analyzing, interpreting, and disseminating data about selected diseases with the purpose of initiating action to improve the health of the community. It is the foundation of communicable disease epidemiology and an essential component</w:t>
      </w:r>
    </w:p>
    <w:p>
      <w:pPr>
        <w:pStyle w:val="BodyText"/>
        <w:spacing w:line="266" w:lineRule="auto"/>
        <w:ind w:left="1440" w:right="140"/>
      </w:pPr>
      <w:r>
        <w:rPr>
          <w:color w:val="231F20"/>
          <w:w w:val="105"/>
        </w:rPr>
        <w:t>of a food-safety program.</w:t>
      </w:r>
      <w:r>
        <w:rPr>
          <w:color w:val="231F20"/>
          <w:w w:val="105"/>
          <w:position w:val="7"/>
          <w:sz w:val="11"/>
        </w:rPr>
        <w:t>48 </w:t>
      </w:r>
      <w:r>
        <w:rPr>
          <w:color w:val="231F20"/>
          <w:w w:val="105"/>
        </w:rPr>
        <w:t>Surveillance data can reveal the burden of a particular disease in the community or the presence and scale of  a possible outbreak. Surveillance data also can provide clues to the source of and</w:t>
      </w:r>
    </w:p>
    <w:p>
      <w:pPr>
        <w:pStyle w:val="BodyText"/>
        <w:spacing w:line="266" w:lineRule="auto"/>
        <w:ind w:left="1440" w:right="-8"/>
      </w:pPr>
      <w:r>
        <w:rPr>
          <w:color w:val="231F20"/>
          <w:w w:val="105"/>
        </w:rPr>
        <w:t>contributing</w:t>
      </w:r>
      <w:r>
        <w:rPr>
          <w:color w:val="231F20"/>
          <w:spacing w:val="-20"/>
          <w:w w:val="105"/>
        </w:rPr>
        <w:t> </w:t>
      </w:r>
      <w:r>
        <w:rPr>
          <w:color w:val="231F20"/>
          <w:w w:val="105"/>
        </w:rPr>
        <w:t>factors</w:t>
      </w:r>
      <w:r>
        <w:rPr>
          <w:color w:val="231F20"/>
          <w:spacing w:val="-21"/>
          <w:w w:val="105"/>
        </w:rPr>
        <w:t> </w:t>
      </w:r>
      <w:r>
        <w:rPr>
          <w:color w:val="231F20"/>
          <w:w w:val="105"/>
        </w:rPr>
        <w:t>to</w:t>
      </w:r>
      <w:r>
        <w:rPr>
          <w:color w:val="231F20"/>
          <w:spacing w:val="-21"/>
          <w:w w:val="105"/>
        </w:rPr>
        <w:t> </w:t>
      </w:r>
      <w:r>
        <w:rPr>
          <w:color w:val="231F20"/>
          <w:w w:val="105"/>
        </w:rPr>
        <w:t>disease</w:t>
      </w:r>
      <w:r>
        <w:rPr>
          <w:color w:val="231F20"/>
          <w:spacing w:val="-20"/>
          <w:w w:val="105"/>
        </w:rPr>
        <w:t> </w:t>
      </w:r>
      <w:r>
        <w:rPr>
          <w:color w:val="231F20"/>
          <w:w w:val="105"/>
        </w:rPr>
        <w:t>outbreaks.</w:t>
      </w:r>
      <w:r>
        <w:rPr>
          <w:color w:val="231F20"/>
          <w:spacing w:val="-20"/>
          <w:w w:val="105"/>
        </w:rPr>
        <w:t> </w:t>
      </w:r>
      <w:r>
        <w:rPr>
          <w:color w:val="231F20"/>
          <w:w w:val="105"/>
        </w:rPr>
        <w:t>Over time, surveillance data can identify disease</w:t>
      </w:r>
      <w:r>
        <w:rPr>
          <w:color w:val="231F20"/>
          <w:spacing w:val="-36"/>
          <w:w w:val="105"/>
        </w:rPr>
        <w:t> </w:t>
      </w:r>
      <w:r>
        <w:rPr>
          <w:color w:val="231F20"/>
          <w:w w:val="105"/>
        </w:rPr>
        <w:t>and</w:t>
      </w:r>
    </w:p>
    <w:p>
      <w:pPr>
        <w:pStyle w:val="BodyText"/>
        <w:spacing w:line="266" w:lineRule="auto" w:before="103"/>
        <w:ind w:left="364" w:right="855"/>
      </w:pPr>
      <w:r>
        <w:rPr/>
        <w:br w:type="column"/>
      </w:r>
      <w:r>
        <w:rPr>
          <w:color w:val="231F20"/>
          <w:w w:val="105"/>
        </w:rPr>
        <w:t>behavioral trends and enable investigators to learn more about the diseases being tracked and ways to prevent them (referred to as preventive controls in the Food Safety and Modernization Act).</w:t>
      </w:r>
    </w:p>
    <w:p>
      <w:pPr>
        <w:pStyle w:val="BodyText"/>
        <w:spacing w:line="266" w:lineRule="auto" w:before="179"/>
        <w:ind w:left="364" w:right="786"/>
      </w:pPr>
      <w:r>
        <w:rPr>
          <w:color w:val="231F20"/>
          <w:w w:val="105"/>
        </w:rPr>
        <w:t>Surveillance programs conducted </w:t>
      </w:r>
      <w:r>
        <w:rPr>
          <w:color w:val="231F20"/>
          <w:spacing w:val="-3"/>
          <w:w w:val="105"/>
        </w:rPr>
        <w:t>by </w:t>
      </w:r>
      <w:r>
        <w:rPr>
          <w:color w:val="231F20"/>
          <w:w w:val="105"/>
        </w:rPr>
        <w:t>public health and other health-related agencies are much</w:t>
      </w:r>
      <w:r>
        <w:rPr>
          <w:color w:val="231F20"/>
          <w:spacing w:val="-17"/>
          <w:w w:val="105"/>
        </w:rPr>
        <w:t> </w:t>
      </w:r>
      <w:r>
        <w:rPr>
          <w:color w:val="231F20"/>
          <w:w w:val="105"/>
        </w:rPr>
        <w:t>broader</w:t>
      </w:r>
      <w:r>
        <w:rPr>
          <w:color w:val="231F20"/>
          <w:spacing w:val="-16"/>
          <w:w w:val="105"/>
        </w:rPr>
        <w:t> </w:t>
      </w:r>
      <w:r>
        <w:rPr>
          <w:color w:val="231F20"/>
          <w:w w:val="105"/>
        </w:rPr>
        <w:t>than</w:t>
      </w:r>
      <w:r>
        <w:rPr>
          <w:color w:val="231F20"/>
          <w:spacing w:val="-17"/>
          <w:w w:val="105"/>
        </w:rPr>
        <w:t> </w:t>
      </w:r>
      <w:r>
        <w:rPr>
          <w:color w:val="231F20"/>
          <w:w w:val="105"/>
        </w:rPr>
        <w:t>those</w:t>
      </w:r>
      <w:r>
        <w:rPr>
          <w:color w:val="231F20"/>
          <w:spacing w:val="-17"/>
          <w:w w:val="105"/>
        </w:rPr>
        <w:t> </w:t>
      </w:r>
      <w:r>
        <w:rPr>
          <w:color w:val="231F20"/>
          <w:w w:val="105"/>
        </w:rPr>
        <w:t>focused</w:t>
      </w:r>
      <w:r>
        <w:rPr>
          <w:color w:val="231F20"/>
          <w:spacing w:val="-17"/>
          <w:w w:val="105"/>
        </w:rPr>
        <w:t> </w:t>
      </w:r>
      <w:r>
        <w:rPr>
          <w:color w:val="231F20"/>
          <w:w w:val="105"/>
        </w:rPr>
        <w:t>on</w:t>
      </w:r>
      <w:r>
        <w:rPr>
          <w:color w:val="231F20"/>
          <w:spacing w:val="-17"/>
          <w:w w:val="105"/>
        </w:rPr>
        <w:t> </w:t>
      </w:r>
      <w:r>
        <w:rPr>
          <w:color w:val="231F20"/>
          <w:w w:val="105"/>
        </w:rPr>
        <w:t>detecting foodborne diseases. Surveillance also is conducted</w:t>
      </w:r>
      <w:r>
        <w:rPr>
          <w:color w:val="231F20"/>
          <w:spacing w:val="-14"/>
          <w:w w:val="105"/>
        </w:rPr>
        <w:t> </w:t>
      </w:r>
      <w:r>
        <w:rPr>
          <w:color w:val="231F20"/>
          <w:w w:val="105"/>
        </w:rPr>
        <w:t>to</w:t>
      </w:r>
      <w:r>
        <w:rPr>
          <w:color w:val="231F20"/>
          <w:spacing w:val="-15"/>
          <w:w w:val="105"/>
        </w:rPr>
        <w:t> </w:t>
      </w:r>
      <w:r>
        <w:rPr>
          <w:color w:val="231F20"/>
          <w:w w:val="105"/>
        </w:rPr>
        <w:t>identify</w:t>
      </w:r>
      <w:r>
        <w:rPr>
          <w:color w:val="231F20"/>
          <w:spacing w:val="-14"/>
          <w:w w:val="105"/>
        </w:rPr>
        <w:t> </w:t>
      </w:r>
      <w:r>
        <w:rPr>
          <w:color w:val="231F20"/>
          <w:w w:val="105"/>
        </w:rPr>
        <w:t>waterborne</w:t>
      </w:r>
      <w:r>
        <w:rPr>
          <w:color w:val="231F20"/>
          <w:spacing w:val="-14"/>
          <w:w w:val="105"/>
        </w:rPr>
        <w:t> </w:t>
      </w:r>
      <w:r>
        <w:rPr>
          <w:color w:val="231F20"/>
          <w:w w:val="105"/>
        </w:rPr>
        <w:t>diseases</w:t>
      </w:r>
      <w:r>
        <w:rPr>
          <w:color w:val="231F20"/>
          <w:spacing w:val="-15"/>
          <w:w w:val="105"/>
        </w:rPr>
        <w:t> </w:t>
      </w:r>
      <w:r>
        <w:rPr>
          <w:color w:val="231F20"/>
          <w:w w:val="105"/>
        </w:rPr>
        <w:t>and diseases transmissible from person to person; breakdowns in infection control in health- care facilities; animal-based diseases that may affect humans; food contaminated </w:t>
      </w:r>
      <w:r>
        <w:rPr>
          <w:color w:val="231F20"/>
          <w:spacing w:val="-3"/>
          <w:w w:val="105"/>
        </w:rPr>
        <w:t>by </w:t>
      </w:r>
      <w:r>
        <w:rPr>
          <w:color w:val="231F20"/>
          <w:w w:val="105"/>
        </w:rPr>
        <w:t>human pathogens; patterns of behavior that increase risk for poor health; and many other health- related events. Furthermore, surveillance programs typically use a variety of data sources to provide a complete understanding of a particular disease in the community and insight</w:t>
      </w:r>
      <w:r>
        <w:rPr>
          <w:color w:val="231F20"/>
          <w:spacing w:val="-19"/>
          <w:w w:val="105"/>
        </w:rPr>
        <w:t> </w:t>
      </w:r>
      <w:r>
        <w:rPr>
          <w:color w:val="231F20"/>
          <w:w w:val="105"/>
        </w:rPr>
        <w:t>into</w:t>
      </w:r>
      <w:r>
        <w:rPr>
          <w:color w:val="231F20"/>
          <w:spacing w:val="-18"/>
          <w:w w:val="105"/>
        </w:rPr>
        <w:t> </w:t>
      </w:r>
      <w:r>
        <w:rPr>
          <w:color w:val="231F20"/>
          <w:w w:val="105"/>
        </w:rPr>
        <w:t>its</w:t>
      </w:r>
      <w:r>
        <w:rPr>
          <w:color w:val="231F20"/>
          <w:spacing w:val="-18"/>
          <w:w w:val="105"/>
        </w:rPr>
        <w:t> </w:t>
      </w:r>
      <w:r>
        <w:rPr>
          <w:color w:val="231F20"/>
          <w:w w:val="105"/>
        </w:rPr>
        <w:t>control</w:t>
      </w:r>
      <w:r>
        <w:rPr>
          <w:color w:val="231F20"/>
          <w:spacing w:val="-18"/>
          <w:w w:val="105"/>
        </w:rPr>
        <w:t> </w:t>
      </w:r>
      <w:r>
        <w:rPr>
          <w:color w:val="231F20"/>
          <w:w w:val="105"/>
        </w:rPr>
        <w:t>(Figure</w:t>
      </w:r>
      <w:r>
        <w:rPr>
          <w:color w:val="231F20"/>
          <w:spacing w:val="-18"/>
          <w:w w:val="105"/>
        </w:rPr>
        <w:t> </w:t>
      </w:r>
      <w:r>
        <w:rPr>
          <w:color w:val="231F20"/>
          <w:w w:val="105"/>
        </w:rPr>
        <w:t>2.1).</w:t>
      </w:r>
    </w:p>
    <w:p>
      <w:pPr>
        <w:spacing w:after="0" w:line="266" w:lineRule="auto"/>
        <w:sectPr>
          <w:type w:val="continuous"/>
          <w:pgSz w:w="10080" w:h="14400"/>
          <w:pgMar w:top="0" w:bottom="360" w:left="0" w:right="0"/>
          <w:cols w:num="2" w:equalWidth="0">
            <w:col w:w="5176" w:space="40"/>
            <w:col w:w="4864"/>
          </w:cols>
        </w:sectPr>
      </w:pPr>
    </w:p>
    <w:p>
      <w:pPr>
        <w:pStyle w:val="BodyText"/>
        <w:spacing w:before="8"/>
        <w:rPr>
          <w:sz w:val="26"/>
        </w:rPr>
      </w:pPr>
    </w:p>
    <w:p>
      <w:pPr>
        <w:pStyle w:val="Heading1"/>
        <w:numPr>
          <w:ilvl w:val="1"/>
          <w:numId w:val="4"/>
        </w:numPr>
        <w:tabs>
          <w:tab w:pos="1265" w:val="left" w:leader="none"/>
        </w:tabs>
        <w:spacing w:line="240" w:lineRule="auto" w:before="89" w:after="0"/>
        <w:ind w:left="1264" w:right="0" w:hanging="544"/>
        <w:jc w:val="left"/>
      </w:pPr>
      <w:r>
        <w:rPr/>
        <w:pict>
          <v:line style="position:absolute;mso-position-horizontal-relative:page;mso-position-vertical-relative:paragraph;z-index:1768;mso-wrap-distance-left:0;mso-wrap-distance-right:0" from="36pt,23.995163pt" to="432pt,23.995163pt" stroked="true" strokeweight=".5pt" strokecolor="#00a94f">
            <v:stroke dashstyle="solid"/>
            <w10:wrap type="topAndBottom"/>
          </v:line>
        </w:pict>
      </w:r>
      <w:r>
        <w:rPr>
          <w:color w:val="00A94F"/>
          <w:spacing w:val="-6"/>
          <w:w w:val="95"/>
        </w:rPr>
        <w:t>Trends</w:t>
      </w:r>
      <w:r>
        <w:rPr>
          <w:color w:val="00A94F"/>
          <w:spacing w:val="-48"/>
          <w:w w:val="95"/>
        </w:rPr>
        <w:t> </w:t>
      </w:r>
      <w:r>
        <w:rPr>
          <w:color w:val="00A94F"/>
          <w:w w:val="95"/>
        </w:rPr>
        <w:t>in</w:t>
      </w:r>
      <w:r>
        <w:rPr>
          <w:color w:val="00A94F"/>
          <w:spacing w:val="-48"/>
          <w:w w:val="95"/>
        </w:rPr>
        <w:t> </w:t>
      </w:r>
      <w:r>
        <w:rPr>
          <w:color w:val="00A94F"/>
          <w:w w:val="95"/>
        </w:rPr>
        <w:t>Surveillance</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BodyText"/>
        <w:rPr>
          <w:rFonts w:ascii="Lucida Sans"/>
          <w:sz w:val="22"/>
        </w:rPr>
      </w:pPr>
    </w:p>
    <w:p>
      <w:pPr>
        <w:pStyle w:val="ListParagraph"/>
        <w:numPr>
          <w:ilvl w:val="2"/>
          <w:numId w:val="4"/>
        </w:numPr>
        <w:tabs>
          <w:tab w:pos="1276" w:val="left" w:leader="none"/>
        </w:tabs>
        <w:spacing w:line="254" w:lineRule="auto" w:before="158" w:after="0"/>
        <w:ind w:left="720" w:right="137" w:firstLine="0"/>
        <w:jc w:val="left"/>
        <w:rPr>
          <w:rFonts w:ascii="Lucida Sans"/>
          <w:sz w:val="20"/>
        </w:rPr>
      </w:pPr>
      <w:r>
        <w:rPr/>
        <w:pict>
          <v:group style="position:absolute;margin-left:34.886398pt;margin-top:-161.150848pt;width:190pt;height:158pt;mso-position-horizontal-relative:page;mso-position-vertical-relative:paragraph;z-index:2032" coordorigin="698,-3223" coordsize="3800,3160">
            <v:rect style="position:absolute;left:708;top:-3218;width:3780;height:630" filled="true" fillcolor="#bad0ec" stroked="false">
              <v:fill type="solid"/>
            </v:rect>
            <v:rect style="position:absolute;left:708;top:-2588;width:3780;height:2520" filled="true" fillcolor="#eef2fa" stroked="false">
              <v:fill type="solid"/>
            </v:rect>
            <v:line style="position:absolute" from="703,-3218" to="4493,-3218" stroked="true" strokeweight=".5pt" strokecolor="#1c3e94">
              <v:stroke dashstyle="solid"/>
            </v:line>
            <v:line style="position:absolute" from="708,-2593" to="708,-3213" stroked="true" strokeweight=".5pt" strokecolor="#1c3e94">
              <v:stroke dashstyle="solid"/>
            </v:line>
            <v:line style="position:absolute" from="4488,-2593" to="4488,-3213" stroked="true" strokeweight=".5pt" strokecolor="#1c3e94">
              <v:stroke dashstyle="solid"/>
            </v:line>
            <v:line style="position:absolute" from="703,-2588" to="4493,-2588" stroked="true" strokeweight=".5pt" strokecolor="#1c3e94">
              <v:stroke dashstyle="solid"/>
            </v:line>
            <v:line style="position:absolute" from="708,-73" to="708,-2583" stroked="true" strokeweight=".5pt" strokecolor="#1c3e94">
              <v:stroke dashstyle="solid"/>
            </v:line>
            <v:line style="position:absolute" from="4488,-73" to="4488,-2583" stroked="true" strokeweight=".5pt" strokecolor="#1c3e94">
              <v:stroke dashstyle="solid"/>
            </v:line>
            <v:line style="position:absolute" from="703,-68" to="4493,-68" stroked="true" strokeweight=".5pt" strokecolor="#1c3e94">
              <v:stroke dashstyle="solid"/>
            </v:line>
            <v:line style="position:absolute" from="1766,-1430" to="2062,-1430" stroked="true" strokeweight=".431pt" strokecolor="#0079c1">
              <v:stroke dashstyle="solid"/>
            </v:line>
            <v:shape style="position:absolute;left:2043;top:-1451;width:70;height:42" coordorigin="2043,-1451" coordsize="70,42" path="m2043,-1451l2043,-1409,2047,-1411,2063,-1417,2091,-1426,2104,-1429,2113,-1430,2104,-1431,2091,-1434,2063,-1442,2054,-1446,2043,-1451xe" filled="true" fillcolor="#0079c1" stroked="false">
              <v:path arrowok="t"/>
              <v:fill type="solid"/>
            </v:shape>
            <v:shape style="position:absolute;left:2043;top:-1451;width:70;height:42" coordorigin="2043,-1451" coordsize="70,42" path="m2077,-1438l2063,-1442,2054,-1446,2043,-1451,2043,-1409,2047,-1411,2063,-1417,2077,-1421,2091,-1426,2104,-1429,2113,-1430,2104,-1431,2091,-1434,2077,-1438xe" filled="false" stroked="true" strokeweight=".431pt" strokecolor="#0079c1">
              <v:path arrowok="t"/>
              <v:stroke dashstyle="solid"/>
            </v:shape>
            <v:shape style="position:absolute;left:1986;top:-1199;width:339;height:365" type="#_x0000_t75" stroked="false">
              <v:imagedata r:id="rId12" o:title=""/>
            </v:shape>
            <v:shape style="position:absolute;left:2967;top:-1204;width:348;height:357" type="#_x0000_t75" stroked="false">
              <v:imagedata r:id="rId13" o:title=""/>
            </v:shape>
            <v:shape style="position:absolute;left:2917;top:-1994;width:382;height:320" type="#_x0000_t75" stroked="false">
              <v:imagedata r:id="rId14" o:title=""/>
            </v:shape>
            <v:shape style="position:absolute;left:2069;top:-2042;width:336;height:367" type="#_x0000_t75" stroked="false">
              <v:imagedata r:id="rId15" o:title=""/>
            </v:shape>
            <v:rect style="position:absolute;left:890;top:-1596;width:876;height:327" filled="false" stroked="true" strokeweight=".368pt" strokecolor="#0079c1">
              <v:stroke dashstyle="solid"/>
            </v:rect>
            <v:line style="position:absolute" from="3114,-1436" to="3410,-1436" stroked="true" strokeweight=".431pt" strokecolor="#0079c1">
              <v:stroke dashstyle="solid"/>
            </v:line>
            <v:shape style="position:absolute;left:3063;top:-1457;width:70;height:42" coordorigin="3063,-1457" coordsize="70,42" path="m3132,-1457l3072,-1437,3063,-1436,3072,-1435,3085,-1432,3113,-1423,3122,-1420,3133,-1415,3132,-1457xe" filled="true" fillcolor="#0079c1" stroked="false">
              <v:path arrowok="t"/>
              <v:fill type="solid"/>
            </v:shape>
            <v:shape style="position:absolute;left:3063;top:-1457;width:70;height:42" coordorigin="3063,-1457" coordsize="70,42" path="m3099,-1427l3113,-1423,3122,-1420,3133,-1415,3132,-1457,3129,-1455,3113,-1448,3099,-1444,3085,-1440,3072,-1437,3063,-1436,3072,-1435,3085,-1432,3099,-1427xe" filled="false" stroked="true" strokeweight=".431pt" strokecolor="#0079c1">
              <v:path arrowok="t"/>
              <v:stroke dashstyle="solid"/>
            </v:shape>
            <v:rect style="position:absolute;left:3410;top:-1596;width:876;height:327" filled="false" stroked="true" strokeweight=".368pt" strokecolor="#0079c1">
              <v:stroke dashstyle="solid"/>
            </v:rect>
            <v:shape style="position:absolute;left:708;top:-3218;width:3780;height:630" type="#_x0000_t202" filled="false" stroked="false">
              <v:textbox inset="0,0,0,0">
                <w:txbxContent>
                  <w:p>
                    <w:pPr>
                      <w:spacing w:line="252" w:lineRule="auto" w:before="104"/>
                      <w:ind w:left="959" w:right="167" w:hanging="880"/>
                      <w:jc w:val="left"/>
                      <w:rPr>
                        <w:rFonts w:ascii="Trebuchet MS"/>
                        <w:b/>
                        <w:sz w:val="18"/>
                      </w:rPr>
                    </w:pPr>
                    <w:r>
                      <w:rPr>
                        <w:rFonts w:ascii="Trebuchet MS"/>
                        <w:b/>
                        <w:color w:val="E36F1E"/>
                        <w:sz w:val="18"/>
                      </w:rPr>
                      <w:t>Figure</w:t>
                    </w:r>
                    <w:r>
                      <w:rPr>
                        <w:rFonts w:ascii="Trebuchet MS"/>
                        <w:b/>
                        <w:color w:val="E36F1E"/>
                        <w:spacing w:val="-33"/>
                        <w:sz w:val="18"/>
                      </w:rPr>
                      <w:t> </w:t>
                    </w:r>
                    <w:r>
                      <w:rPr>
                        <w:rFonts w:ascii="Trebuchet MS"/>
                        <w:b/>
                        <w:color w:val="E36F1E"/>
                        <w:sz w:val="18"/>
                      </w:rPr>
                      <w:t>2.1</w:t>
                    </w:r>
                    <w:r>
                      <w:rPr>
                        <w:rFonts w:ascii="Trebuchet MS"/>
                        <w:b/>
                        <w:color w:val="E36F1E"/>
                        <w:spacing w:val="-27"/>
                        <w:sz w:val="18"/>
                      </w:rPr>
                      <w:t> </w:t>
                    </w:r>
                    <w:r>
                      <w:rPr>
                        <w:rFonts w:ascii="Trebuchet MS"/>
                        <w:b/>
                        <w:color w:val="1C3E94"/>
                        <w:sz w:val="18"/>
                      </w:rPr>
                      <w:t>Sources</w:t>
                    </w:r>
                    <w:r>
                      <w:rPr>
                        <w:rFonts w:ascii="Trebuchet MS"/>
                        <w:b/>
                        <w:color w:val="1C3E94"/>
                        <w:spacing w:val="-33"/>
                        <w:sz w:val="18"/>
                      </w:rPr>
                      <w:t> </w:t>
                    </w:r>
                    <w:r>
                      <w:rPr>
                        <w:rFonts w:ascii="Trebuchet MS"/>
                        <w:b/>
                        <w:color w:val="1C3E94"/>
                        <w:sz w:val="18"/>
                      </w:rPr>
                      <w:t>of</w:t>
                    </w:r>
                    <w:r>
                      <w:rPr>
                        <w:rFonts w:ascii="Trebuchet MS"/>
                        <w:b/>
                        <w:color w:val="1C3E94"/>
                        <w:spacing w:val="-33"/>
                        <w:sz w:val="18"/>
                      </w:rPr>
                      <w:t> </w:t>
                    </w:r>
                    <w:r>
                      <w:rPr>
                        <w:rFonts w:ascii="Trebuchet MS"/>
                        <w:b/>
                        <w:color w:val="1C3E94"/>
                        <w:sz w:val="18"/>
                      </w:rPr>
                      <w:t>information</w:t>
                    </w:r>
                    <w:r>
                      <w:rPr>
                        <w:rFonts w:ascii="Trebuchet MS"/>
                        <w:b/>
                        <w:color w:val="1C3E94"/>
                        <w:spacing w:val="-33"/>
                        <w:sz w:val="18"/>
                      </w:rPr>
                      <w:t> </w:t>
                    </w:r>
                    <w:r>
                      <w:rPr>
                        <w:rFonts w:ascii="Trebuchet MS"/>
                        <w:b/>
                        <w:color w:val="1C3E94"/>
                        <w:sz w:val="18"/>
                      </w:rPr>
                      <w:t>for</w:t>
                    </w:r>
                    <w:r>
                      <w:rPr>
                        <w:rFonts w:ascii="Trebuchet MS"/>
                        <w:b/>
                        <w:color w:val="1C3E94"/>
                        <w:spacing w:val="-33"/>
                        <w:sz w:val="18"/>
                      </w:rPr>
                      <w:t> </w:t>
                    </w:r>
                    <w:r>
                      <w:rPr>
                        <w:rFonts w:ascii="Trebuchet MS"/>
                        <w:b/>
                        <w:color w:val="1C3E94"/>
                        <w:sz w:val="18"/>
                      </w:rPr>
                      <w:t>public </w:t>
                    </w:r>
                    <w:r>
                      <w:rPr>
                        <w:rFonts w:ascii="Trebuchet MS"/>
                        <w:b/>
                        <w:color w:val="1C3E94"/>
                        <w:w w:val="90"/>
                        <w:sz w:val="18"/>
                      </w:rPr>
                      <w:t>health</w:t>
                    </w:r>
                    <w:r>
                      <w:rPr>
                        <w:rFonts w:ascii="Trebuchet MS"/>
                        <w:b/>
                        <w:color w:val="1C3E94"/>
                        <w:spacing w:val="31"/>
                        <w:w w:val="90"/>
                        <w:sz w:val="18"/>
                      </w:rPr>
                      <w:t> </w:t>
                    </w:r>
                    <w:r>
                      <w:rPr>
                        <w:rFonts w:ascii="Trebuchet MS"/>
                        <w:b/>
                        <w:color w:val="1C3E94"/>
                        <w:w w:val="90"/>
                        <w:sz w:val="18"/>
                      </w:rPr>
                      <w:t>surveillance</w:t>
                    </w:r>
                  </w:p>
                </w:txbxContent>
              </v:textbox>
              <w10:wrap type="none"/>
            </v:shape>
            <v:shape style="position:absolute;left:3014;top:-2353;width:939;height:439" type="#_x0000_t202" filled="true" fillcolor="#cfe8d4" stroked="true" strokeweight=".441pt" strokecolor="#0079c1">
              <v:textbox inset="0,0,0,0">
                <w:txbxContent>
                  <w:p>
                    <w:pPr>
                      <w:spacing w:line="266" w:lineRule="auto" w:before="58"/>
                      <w:ind w:left="339" w:right="0" w:hanging="260"/>
                      <w:jc w:val="left"/>
                      <w:rPr>
                        <w:rFonts w:ascii="Arial"/>
                        <w:sz w:val="13"/>
                      </w:rPr>
                    </w:pPr>
                    <w:r>
                      <w:rPr>
                        <w:rFonts w:ascii="Arial"/>
                        <w:color w:val="231F20"/>
                        <w:w w:val="90"/>
                        <w:sz w:val="13"/>
                      </w:rPr>
                      <w:t>Environmental </w:t>
                    </w:r>
                    <w:r>
                      <w:rPr>
                        <w:rFonts w:ascii="Arial"/>
                        <w:color w:val="231F20"/>
                        <w:sz w:val="13"/>
                      </w:rPr>
                      <w:t>Data</w:t>
                    </w:r>
                  </w:p>
                </w:txbxContent>
              </v:textbox>
              <v:fill type="solid"/>
              <v:stroke dashstyle="solid"/>
              <w10:wrap type="none"/>
            </v:shape>
            <v:shape style="position:absolute;left:1442;top:-2294;width:777;height:439" type="#_x0000_t202" filled="true" fillcolor="#cfe8d4" stroked="true" strokeweight=".401pt" strokecolor="#0079c1">
              <v:textbox inset="0,0,0,0">
                <w:txbxContent>
                  <w:p>
                    <w:pPr>
                      <w:spacing w:line="266" w:lineRule="auto" w:before="49"/>
                      <w:ind w:left="40" w:right="14" w:firstLine="158"/>
                      <w:jc w:val="left"/>
                      <w:rPr>
                        <w:rFonts w:ascii="Arial"/>
                        <w:sz w:val="13"/>
                      </w:rPr>
                    </w:pPr>
                    <w:r>
                      <w:rPr>
                        <w:rFonts w:ascii="Arial"/>
                        <w:color w:val="231F20"/>
                        <w:sz w:val="13"/>
                      </w:rPr>
                      <w:t>Human </w:t>
                    </w:r>
                    <w:r>
                      <w:rPr>
                        <w:rFonts w:ascii="Arial"/>
                        <w:color w:val="231F20"/>
                        <w:w w:val="90"/>
                        <w:sz w:val="13"/>
                      </w:rPr>
                      <w:t>Disease Data</w:t>
                    </w:r>
                  </w:p>
                </w:txbxContent>
              </v:textbox>
              <v:fill type="solid"/>
              <v:stroke dashstyle="solid"/>
              <w10:wrap type="none"/>
            </v:shape>
            <v:shape style="position:absolute;left:2141;top:-1661;width:898;height:439" type="#_x0000_t202" filled="true" fillcolor="#cfe8d4" stroked="true" strokeweight=".431pt" strokecolor="#0079c1">
              <v:textbox inset="0,0,0,0">
                <w:txbxContent>
                  <w:p>
                    <w:pPr>
                      <w:spacing w:line="266" w:lineRule="auto" w:before="71"/>
                      <w:ind w:left="114" w:right="0" w:hanging="22"/>
                      <w:jc w:val="left"/>
                      <w:rPr>
                        <w:rFonts w:ascii="Arial"/>
                        <w:sz w:val="13"/>
                      </w:rPr>
                    </w:pPr>
                    <w:r>
                      <w:rPr>
                        <w:rFonts w:ascii="Arial"/>
                        <w:color w:val="231F20"/>
                        <w:w w:val="95"/>
                        <w:sz w:val="13"/>
                      </w:rPr>
                      <w:t>Public Health Surveillance</w:t>
                    </w:r>
                  </w:p>
                </w:txbxContent>
              </v:textbox>
              <v:fill type="solid"/>
              <v:stroke dashstyle="solid"/>
              <w10:wrap type="none"/>
            </v:shape>
            <v:shape style="position:absolute;left:890;top:-1596;width:877;height:327" type="#_x0000_t202" filled="true" fillcolor="#cfe8d4" stroked="false">
              <v:textbox inset="0,0,0,0">
                <w:txbxContent>
                  <w:p>
                    <w:pPr>
                      <w:spacing w:before="97"/>
                      <w:ind w:left="120" w:right="0" w:firstLine="0"/>
                      <w:jc w:val="left"/>
                      <w:rPr>
                        <w:rFonts w:ascii="Arial"/>
                        <w:sz w:val="13"/>
                      </w:rPr>
                    </w:pPr>
                    <w:r>
                      <w:rPr>
                        <w:rFonts w:ascii="Arial"/>
                        <w:color w:val="231F20"/>
                        <w:w w:val="90"/>
                        <w:sz w:val="13"/>
                      </w:rPr>
                      <w:t>Animal Data</w:t>
                    </w:r>
                  </w:p>
                </w:txbxContent>
              </v:textbox>
              <v:fill type="solid"/>
              <w10:wrap type="none"/>
            </v:shape>
            <v:shape style="position:absolute;left:3410;top:-1596;width:877;height:327" type="#_x0000_t202" filled="true" fillcolor="#cfe8d4" stroked="false">
              <v:textbox inset="0,0,0,0">
                <w:txbxContent>
                  <w:p>
                    <w:pPr>
                      <w:spacing w:before="97"/>
                      <w:ind w:left="163" w:right="0" w:firstLine="0"/>
                      <w:jc w:val="left"/>
                      <w:rPr>
                        <w:rFonts w:ascii="Arial"/>
                        <w:sz w:val="13"/>
                      </w:rPr>
                    </w:pPr>
                    <w:r>
                      <w:rPr>
                        <w:rFonts w:ascii="Arial"/>
                        <w:color w:val="231F20"/>
                        <w:w w:val="90"/>
                        <w:sz w:val="13"/>
                      </w:rPr>
                      <w:t>Food Data</w:t>
                    </w:r>
                  </w:p>
                </w:txbxContent>
              </v:textbox>
              <v:fill type="solid"/>
              <w10:wrap type="none"/>
            </v:shape>
            <v:shape style="position:absolute;left:3203;top:-912;width:941;height:379" type="#_x0000_t202" filled="true" fillcolor="#cfe8d4" stroked="true" strokeweight=".41pt" strokecolor="#0079c1">
              <v:textbox inset="0,0,0,0">
                <w:txbxContent>
                  <w:p>
                    <w:pPr>
                      <w:spacing w:line="266" w:lineRule="auto" w:before="29"/>
                      <w:ind w:left="74" w:right="0" w:firstLine="117"/>
                      <w:jc w:val="left"/>
                      <w:rPr>
                        <w:rFonts w:ascii="Arial"/>
                        <w:sz w:val="13"/>
                      </w:rPr>
                    </w:pPr>
                    <w:r>
                      <w:rPr>
                        <w:rFonts w:ascii="Arial"/>
                        <w:color w:val="231F20"/>
                        <w:sz w:val="13"/>
                      </w:rPr>
                      <w:t>Population </w:t>
                    </w:r>
                    <w:r>
                      <w:rPr>
                        <w:rFonts w:ascii="Arial"/>
                        <w:color w:val="231F20"/>
                        <w:w w:val="90"/>
                        <w:sz w:val="13"/>
                      </w:rPr>
                      <w:t>Characteristics</w:t>
                    </w:r>
                  </w:p>
                </w:txbxContent>
              </v:textbox>
              <v:fill type="solid"/>
              <v:stroke dashstyle="solid"/>
              <w10:wrap type="none"/>
            </v:shape>
            <v:shape style="position:absolute;left:1534;top:-856;width:877;height:613" type="#_x0000_t202" filled="true" fillcolor="#cfe8d4" stroked="true" strokeweight=".504pt" strokecolor="#0079c1">
              <v:textbox inset="0,0,0,0">
                <w:txbxContent>
                  <w:p>
                    <w:pPr>
                      <w:spacing w:line="266" w:lineRule="auto" w:before="78"/>
                      <w:ind w:left="63" w:right="27" w:firstLine="0"/>
                      <w:jc w:val="center"/>
                      <w:rPr>
                        <w:rFonts w:ascii="Arial"/>
                        <w:sz w:val="13"/>
                      </w:rPr>
                    </w:pPr>
                    <w:r>
                      <w:rPr>
                        <w:rFonts w:ascii="Arial"/>
                        <w:color w:val="231F20"/>
                        <w:w w:val="95"/>
                        <w:sz w:val="13"/>
                      </w:rPr>
                      <w:t>Use of Health </w:t>
                    </w:r>
                    <w:r>
                      <w:rPr>
                        <w:rFonts w:ascii="Arial"/>
                        <w:color w:val="231F20"/>
                        <w:w w:val="90"/>
                        <w:sz w:val="13"/>
                      </w:rPr>
                      <w:t>Care Services </w:t>
                    </w:r>
                    <w:r>
                      <w:rPr>
                        <w:rFonts w:ascii="Arial"/>
                        <w:color w:val="231F20"/>
                        <w:sz w:val="13"/>
                      </w:rPr>
                      <w:t>Data</w:t>
                    </w:r>
                  </w:p>
                </w:txbxContent>
              </v:textbox>
              <v:fill type="solid"/>
              <v:stroke dashstyle="solid"/>
              <w10:wrap type="none"/>
            </v:shape>
            <w10:wrap type="none"/>
          </v:group>
        </w:pict>
      </w:r>
      <w:r>
        <w:rPr>
          <w:rFonts w:ascii="Lucida Sans"/>
          <w:color w:val="1C3E94"/>
          <w:sz w:val="20"/>
        </w:rPr>
        <w:t>Selected</w:t>
      </w:r>
      <w:r>
        <w:rPr>
          <w:rFonts w:ascii="Lucida Sans"/>
          <w:color w:val="1C3E94"/>
          <w:spacing w:val="-42"/>
          <w:sz w:val="20"/>
        </w:rPr>
        <w:t> </w:t>
      </w:r>
      <w:r>
        <w:rPr>
          <w:rFonts w:ascii="Lucida Sans"/>
          <w:color w:val="1C3E94"/>
          <w:sz w:val="20"/>
        </w:rPr>
        <w:t>Surveillance</w:t>
      </w:r>
      <w:r>
        <w:rPr>
          <w:rFonts w:ascii="Lucida Sans"/>
          <w:color w:val="1C3E94"/>
          <w:spacing w:val="-42"/>
          <w:sz w:val="20"/>
        </w:rPr>
        <w:t> </w:t>
      </w:r>
      <w:r>
        <w:rPr>
          <w:rFonts w:ascii="Lucida Sans"/>
          <w:color w:val="1C3E94"/>
          <w:sz w:val="20"/>
        </w:rPr>
        <w:t>Systems</w:t>
      </w:r>
      <w:r>
        <w:rPr>
          <w:rFonts w:ascii="Lucida Sans"/>
          <w:color w:val="1C3E94"/>
          <w:spacing w:val="-42"/>
          <w:sz w:val="20"/>
        </w:rPr>
        <w:t> </w:t>
      </w:r>
      <w:r>
        <w:rPr>
          <w:rFonts w:ascii="Lucida Sans"/>
          <w:color w:val="1C3E94"/>
          <w:sz w:val="20"/>
        </w:rPr>
        <w:t>of </w:t>
      </w:r>
      <w:r>
        <w:rPr>
          <w:rFonts w:ascii="Lucida Sans"/>
          <w:color w:val="1C3E94"/>
          <w:w w:val="95"/>
          <w:sz w:val="20"/>
        </w:rPr>
        <w:t>Relevance to Foodborne</w:t>
      </w:r>
      <w:r>
        <w:rPr>
          <w:rFonts w:ascii="Lucida Sans"/>
          <w:color w:val="1C3E94"/>
          <w:spacing w:val="-27"/>
          <w:w w:val="95"/>
          <w:sz w:val="20"/>
        </w:rPr>
        <w:t> </w:t>
      </w:r>
      <w:r>
        <w:rPr>
          <w:rFonts w:ascii="Lucida Sans"/>
          <w:color w:val="1C3E94"/>
          <w:w w:val="95"/>
          <w:sz w:val="20"/>
        </w:rPr>
        <w:t>Diseases</w:t>
      </w:r>
    </w:p>
    <w:p>
      <w:pPr>
        <w:pStyle w:val="BodyText"/>
        <w:spacing w:before="1"/>
        <w:rPr>
          <w:rFonts w:ascii="Lucida Sans"/>
          <w:sz w:val="17"/>
        </w:rPr>
      </w:pPr>
    </w:p>
    <w:p>
      <w:pPr>
        <w:pStyle w:val="BodyText"/>
        <w:spacing w:line="266" w:lineRule="auto"/>
        <w:ind w:left="720" w:right="-10"/>
        <w:rPr>
          <w:sz w:val="11"/>
        </w:rPr>
      </w:pPr>
      <w:r>
        <w:rPr>
          <w:color w:val="231F20"/>
          <w:w w:val="105"/>
        </w:rPr>
        <w:t>Multiple types of surveillance systems related to foodborne disease are used in the United States. Some of them, including notifiable disease surveillance, complaints from consumers about potential illness, and reports of</w:t>
      </w:r>
      <w:r>
        <w:rPr>
          <w:color w:val="231F20"/>
          <w:spacing w:val="-2"/>
          <w:w w:val="105"/>
        </w:rPr>
        <w:t> </w:t>
      </w:r>
      <w:r>
        <w:rPr>
          <w:color w:val="231F20"/>
          <w:w w:val="105"/>
        </w:rPr>
        <w:t>outbreaks,</w:t>
      </w:r>
      <w:r>
        <w:rPr>
          <w:color w:val="231F20"/>
          <w:spacing w:val="-20"/>
          <w:w w:val="105"/>
        </w:rPr>
        <w:t> </w:t>
      </w:r>
      <w:r>
        <w:rPr>
          <w:color w:val="231F20"/>
          <w:w w:val="105"/>
        </w:rPr>
        <w:t>focus</w:t>
      </w:r>
      <w:r>
        <w:rPr>
          <w:color w:val="231F20"/>
          <w:spacing w:val="-20"/>
          <w:w w:val="105"/>
        </w:rPr>
        <w:t> </w:t>
      </w:r>
      <w:r>
        <w:rPr>
          <w:color w:val="231F20"/>
          <w:w w:val="105"/>
        </w:rPr>
        <w:t>on</w:t>
      </w:r>
      <w:r>
        <w:rPr>
          <w:color w:val="231F20"/>
          <w:spacing w:val="-20"/>
          <w:w w:val="105"/>
        </w:rPr>
        <w:t> </w:t>
      </w:r>
      <w:r>
        <w:rPr>
          <w:color w:val="231F20"/>
          <w:w w:val="105"/>
        </w:rPr>
        <w:t>the</w:t>
      </w:r>
      <w:r>
        <w:rPr>
          <w:color w:val="231F20"/>
          <w:spacing w:val="-20"/>
          <w:w w:val="105"/>
        </w:rPr>
        <w:t> </w:t>
      </w:r>
      <w:r>
        <w:rPr>
          <w:color w:val="231F20"/>
          <w:w w:val="105"/>
        </w:rPr>
        <w:t>detection</w:t>
      </w:r>
      <w:r>
        <w:rPr>
          <w:color w:val="231F20"/>
          <w:spacing w:val="-20"/>
          <w:w w:val="105"/>
        </w:rPr>
        <w:t> </w:t>
      </w:r>
      <w:r>
        <w:rPr>
          <w:color w:val="231F20"/>
          <w:w w:val="105"/>
        </w:rPr>
        <w:t>of</w:t>
      </w:r>
      <w:r>
        <w:rPr>
          <w:color w:val="231F20"/>
          <w:spacing w:val="-2"/>
          <w:w w:val="105"/>
        </w:rPr>
        <w:t> </w:t>
      </w:r>
      <w:r>
        <w:rPr>
          <w:color w:val="231F20"/>
          <w:w w:val="105"/>
        </w:rPr>
        <w:t>specific enteric</w:t>
      </w:r>
      <w:r>
        <w:rPr>
          <w:color w:val="231F20"/>
          <w:spacing w:val="-14"/>
          <w:w w:val="105"/>
        </w:rPr>
        <w:t> </w:t>
      </w:r>
      <w:r>
        <w:rPr>
          <w:color w:val="231F20"/>
          <w:w w:val="105"/>
        </w:rPr>
        <w:t>diseases</w:t>
      </w:r>
      <w:r>
        <w:rPr>
          <w:color w:val="231F20"/>
          <w:spacing w:val="-14"/>
          <w:w w:val="105"/>
        </w:rPr>
        <w:t> </w:t>
      </w:r>
      <w:r>
        <w:rPr>
          <w:color w:val="231F20"/>
          <w:w w:val="105"/>
        </w:rPr>
        <w:t>likely</w:t>
      </w:r>
      <w:r>
        <w:rPr>
          <w:color w:val="231F20"/>
          <w:spacing w:val="-14"/>
          <w:w w:val="105"/>
        </w:rPr>
        <w:t> </w:t>
      </w:r>
      <w:r>
        <w:rPr>
          <w:color w:val="231F20"/>
          <w:w w:val="105"/>
        </w:rPr>
        <w:t>to</w:t>
      </w:r>
      <w:r>
        <w:rPr>
          <w:color w:val="231F20"/>
          <w:spacing w:val="-14"/>
          <w:w w:val="105"/>
        </w:rPr>
        <w:t> </w:t>
      </w:r>
      <w:r>
        <w:rPr>
          <w:color w:val="231F20"/>
          <w:w w:val="105"/>
        </w:rPr>
        <w:t>be</w:t>
      </w:r>
      <w:r>
        <w:rPr>
          <w:color w:val="231F20"/>
          <w:spacing w:val="-13"/>
          <w:w w:val="105"/>
        </w:rPr>
        <w:t> </w:t>
      </w:r>
      <w:r>
        <w:rPr>
          <w:color w:val="231F20"/>
          <w:w w:val="105"/>
        </w:rPr>
        <w:t>transmitted</w:t>
      </w:r>
      <w:r>
        <w:rPr>
          <w:color w:val="231F20"/>
          <w:spacing w:val="-15"/>
          <w:w w:val="105"/>
        </w:rPr>
        <w:t> </w:t>
      </w:r>
      <w:r>
        <w:rPr>
          <w:color w:val="231F20"/>
          <w:spacing w:val="-4"/>
          <w:w w:val="105"/>
        </w:rPr>
        <w:t>by</w:t>
      </w:r>
      <w:r>
        <w:rPr>
          <w:color w:val="231F20"/>
          <w:spacing w:val="-14"/>
          <w:w w:val="105"/>
        </w:rPr>
        <w:t> </w:t>
      </w:r>
      <w:r>
        <w:rPr>
          <w:color w:val="231F20"/>
          <w:w w:val="105"/>
        </w:rPr>
        <w:t>food and </w:t>
      </w:r>
      <w:r>
        <w:rPr>
          <w:color w:val="231F20"/>
          <w:spacing w:val="-3"/>
          <w:w w:val="105"/>
        </w:rPr>
        <w:t>have </w:t>
      </w:r>
      <w:r>
        <w:rPr>
          <w:color w:val="231F20"/>
          <w:w w:val="105"/>
        </w:rPr>
        <w:t>been used extensively </w:t>
      </w:r>
      <w:r>
        <w:rPr>
          <w:color w:val="231F20"/>
          <w:spacing w:val="-3"/>
          <w:w w:val="105"/>
        </w:rPr>
        <w:t>by </w:t>
      </w:r>
      <w:r>
        <w:rPr>
          <w:color w:val="231F20"/>
          <w:w w:val="105"/>
        </w:rPr>
        <w:t>health- related agencies for decades. More </w:t>
      </w:r>
      <w:r>
        <w:rPr>
          <w:color w:val="231F20"/>
          <w:spacing w:val="-4"/>
          <w:w w:val="105"/>
        </w:rPr>
        <w:t>recently, </w:t>
      </w:r>
      <w:r>
        <w:rPr>
          <w:color w:val="231F20"/>
          <w:w w:val="105"/>
        </w:rPr>
        <w:t>new surveillance methods </w:t>
      </w:r>
      <w:r>
        <w:rPr>
          <w:color w:val="231F20"/>
          <w:spacing w:val="-3"/>
          <w:w w:val="105"/>
        </w:rPr>
        <w:t>have </w:t>
      </w:r>
      <w:r>
        <w:rPr>
          <w:color w:val="231F20"/>
          <w:w w:val="105"/>
        </w:rPr>
        <w:t>emerged including hazard surveillance, sentinel surveillance systems, and national laboratory networks for comparing pathogen subtypes, which are particularly applicable to foodborne disease.</w:t>
      </w:r>
      <w:r>
        <w:rPr>
          <w:color w:val="231F20"/>
          <w:w w:val="105"/>
          <w:position w:val="7"/>
          <w:sz w:val="11"/>
        </w:rPr>
        <w:t>49</w:t>
      </w:r>
    </w:p>
    <w:p>
      <w:pPr>
        <w:pStyle w:val="BodyText"/>
        <w:spacing w:line="266" w:lineRule="auto" w:before="180"/>
        <w:ind w:left="720" w:right="205"/>
      </w:pPr>
      <w:r>
        <w:rPr>
          <w:color w:val="231F20"/>
          <w:w w:val="105"/>
        </w:rPr>
        <w:t>Many surveillance systems play a critical role in detecting and preventing foodborne disease</w:t>
      </w:r>
      <w:r>
        <w:rPr>
          <w:color w:val="231F20"/>
          <w:spacing w:val="-12"/>
          <w:w w:val="105"/>
        </w:rPr>
        <w:t> </w:t>
      </w:r>
      <w:r>
        <w:rPr>
          <w:color w:val="231F20"/>
          <w:w w:val="105"/>
        </w:rPr>
        <w:t>and</w:t>
      </w:r>
      <w:r>
        <w:rPr>
          <w:color w:val="231F20"/>
          <w:spacing w:val="-13"/>
          <w:w w:val="105"/>
        </w:rPr>
        <w:t> </w:t>
      </w:r>
      <w:r>
        <w:rPr>
          <w:color w:val="231F20"/>
          <w:w w:val="105"/>
        </w:rPr>
        <w:t>possible</w:t>
      </w:r>
      <w:r>
        <w:rPr>
          <w:color w:val="231F20"/>
          <w:spacing w:val="-12"/>
          <w:w w:val="105"/>
        </w:rPr>
        <w:t> </w:t>
      </w:r>
      <w:r>
        <w:rPr>
          <w:color w:val="231F20"/>
          <w:w w:val="105"/>
        </w:rPr>
        <w:t>outbreaks</w:t>
      </w:r>
      <w:r>
        <w:rPr>
          <w:color w:val="231F20"/>
          <w:spacing w:val="-13"/>
          <w:w w:val="105"/>
        </w:rPr>
        <w:t> </w:t>
      </w:r>
      <w:r>
        <w:rPr>
          <w:color w:val="231F20"/>
          <w:w w:val="105"/>
        </w:rPr>
        <w:t>in</w:t>
      </w:r>
      <w:r>
        <w:rPr>
          <w:color w:val="231F20"/>
          <w:spacing w:val="-13"/>
          <w:w w:val="105"/>
        </w:rPr>
        <w:t> </w:t>
      </w:r>
      <w:r>
        <w:rPr>
          <w:color w:val="231F20"/>
          <w:w w:val="105"/>
        </w:rPr>
        <w:t>the</w:t>
      </w:r>
      <w:r>
        <w:rPr>
          <w:color w:val="231F20"/>
          <w:spacing w:val="-13"/>
          <w:w w:val="105"/>
        </w:rPr>
        <w:t> </w:t>
      </w:r>
      <w:r>
        <w:rPr>
          <w:color w:val="231F20"/>
          <w:w w:val="105"/>
        </w:rPr>
        <w:t>United States,</w:t>
      </w:r>
      <w:r>
        <w:rPr>
          <w:color w:val="231F20"/>
          <w:spacing w:val="-14"/>
          <w:w w:val="105"/>
        </w:rPr>
        <w:t> </w:t>
      </w:r>
      <w:r>
        <w:rPr>
          <w:color w:val="231F20"/>
          <w:w w:val="105"/>
        </w:rPr>
        <w:t>helping</w:t>
      </w:r>
      <w:r>
        <w:rPr>
          <w:color w:val="231F20"/>
          <w:spacing w:val="-14"/>
          <w:w w:val="105"/>
        </w:rPr>
        <w:t> </w:t>
      </w:r>
      <w:r>
        <w:rPr>
          <w:color w:val="231F20"/>
          <w:w w:val="105"/>
        </w:rPr>
        <w:t>to</w:t>
      </w:r>
      <w:r>
        <w:rPr>
          <w:color w:val="231F20"/>
          <w:spacing w:val="-15"/>
          <w:w w:val="105"/>
        </w:rPr>
        <w:t> </w:t>
      </w:r>
      <w:r>
        <w:rPr>
          <w:color w:val="231F20"/>
          <w:w w:val="105"/>
        </w:rPr>
        <w:t>ensure</w:t>
      </w:r>
      <w:r>
        <w:rPr>
          <w:color w:val="231F20"/>
          <w:spacing w:val="-14"/>
          <w:w w:val="105"/>
        </w:rPr>
        <w:t> </w:t>
      </w:r>
      <w:r>
        <w:rPr>
          <w:color w:val="231F20"/>
          <w:w w:val="105"/>
        </w:rPr>
        <w:t>food</w:t>
      </w:r>
      <w:r>
        <w:rPr>
          <w:color w:val="231F20"/>
          <w:spacing w:val="-14"/>
          <w:w w:val="105"/>
        </w:rPr>
        <w:t> </w:t>
      </w:r>
      <w:r>
        <w:rPr>
          <w:color w:val="231F20"/>
          <w:w w:val="105"/>
        </w:rPr>
        <w:t>is</w:t>
      </w:r>
      <w:r>
        <w:rPr>
          <w:color w:val="231F20"/>
          <w:spacing w:val="-15"/>
          <w:w w:val="105"/>
        </w:rPr>
        <w:t> </w:t>
      </w:r>
      <w:r>
        <w:rPr>
          <w:color w:val="231F20"/>
          <w:w w:val="105"/>
        </w:rPr>
        <w:t>safe</w:t>
      </w:r>
      <w:r>
        <w:rPr>
          <w:color w:val="231F20"/>
          <w:spacing w:val="-14"/>
          <w:w w:val="105"/>
        </w:rPr>
        <w:t> </w:t>
      </w:r>
      <w:r>
        <w:rPr>
          <w:color w:val="231F20"/>
          <w:w w:val="105"/>
        </w:rPr>
        <w:t>as</w:t>
      </w:r>
      <w:r>
        <w:rPr>
          <w:color w:val="231F20"/>
          <w:spacing w:val="-15"/>
          <w:w w:val="105"/>
        </w:rPr>
        <w:t> </w:t>
      </w:r>
      <w:r>
        <w:rPr>
          <w:color w:val="231F20"/>
          <w:w w:val="105"/>
        </w:rPr>
        <w:t>it</w:t>
      </w:r>
    </w:p>
    <w:p>
      <w:pPr>
        <w:pStyle w:val="BodyText"/>
        <w:spacing w:line="266" w:lineRule="auto"/>
        <w:ind w:left="720" w:right="-10"/>
      </w:pPr>
      <w:r>
        <w:rPr>
          <w:color w:val="231F20"/>
        </w:rPr>
        <w:t>moves through the food chain to the tables of consumers.</w:t>
      </w:r>
    </w:p>
    <w:p>
      <w:pPr>
        <w:pStyle w:val="ListParagraph"/>
        <w:numPr>
          <w:ilvl w:val="3"/>
          <w:numId w:val="4"/>
        </w:numPr>
        <w:tabs>
          <w:tab w:pos="1362" w:val="left" w:leader="none"/>
        </w:tabs>
        <w:spacing w:line="240" w:lineRule="auto" w:before="180" w:after="0"/>
        <w:ind w:left="1362" w:right="0" w:hanging="642"/>
        <w:jc w:val="left"/>
        <w:rPr>
          <w:i/>
          <w:sz w:val="20"/>
        </w:rPr>
      </w:pPr>
      <w:r>
        <w:rPr>
          <w:i/>
          <w:color w:val="E36F1E"/>
          <w:w w:val="105"/>
          <w:sz w:val="20"/>
        </w:rPr>
        <w:t>Notifiable</w:t>
      </w:r>
      <w:r>
        <w:rPr>
          <w:i/>
          <w:color w:val="E36F1E"/>
          <w:spacing w:val="-32"/>
          <w:w w:val="105"/>
          <w:sz w:val="20"/>
        </w:rPr>
        <w:t> </w:t>
      </w:r>
      <w:r>
        <w:rPr>
          <w:i/>
          <w:color w:val="E36F1E"/>
          <w:w w:val="105"/>
          <w:sz w:val="20"/>
        </w:rPr>
        <w:t>disease</w:t>
      </w:r>
      <w:r>
        <w:rPr>
          <w:i/>
          <w:color w:val="E36F1E"/>
          <w:spacing w:val="-32"/>
          <w:w w:val="105"/>
          <w:sz w:val="20"/>
        </w:rPr>
        <w:t> </w:t>
      </w:r>
      <w:r>
        <w:rPr>
          <w:i/>
          <w:color w:val="E36F1E"/>
          <w:w w:val="105"/>
          <w:sz w:val="20"/>
        </w:rPr>
        <w:t>surveillance</w:t>
      </w:r>
    </w:p>
    <w:p>
      <w:pPr>
        <w:pStyle w:val="BodyText"/>
        <w:spacing w:line="266" w:lineRule="auto" w:before="25"/>
        <w:ind w:left="720" w:right="245"/>
      </w:pPr>
      <w:r>
        <w:rPr>
          <w:color w:val="231F20"/>
          <w:w w:val="105"/>
        </w:rPr>
        <w:t>One</w:t>
      </w:r>
      <w:r>
        <w:rPr>
          <w:color w:val="231F20"/>
          <w:spacing w:val="-14"/>
          <w:w w:val="105"/>
        </w:rPr>
        <w:t> </w:t>
      </w:r>
      <w:r>
        <w:rPr>
          <w:color w:val="231F20"/>
          <w:w w:val="105"/>
        </w:rPr>
        <w:t>of</w:t>
      </w:r>
      <w:r>
        <w:rPr>
          <w:color w:val="231F20"/>
          <w:spacing w:val="10"/>
          <w:w w:val="105"/>
        </w:rPr>
        <w:t> </w:t>
      </w:r>
      <w:r>
        <w:rPr>
          <w:color w:val="231F20"/>
          <w:w w:val="105"/>
        </w:rPr>
        <w:t>the</w:t>
      </w:r>
      <w:r>
        <w:rPr>
          <w:color w:val="231F20"/>
          <w:spacing w:val="-14"/>
          <w:w w:val="105"/>
        </w:rPr>
        <w:t> </w:t>
      </w:r>
      <w:r>
        <w:rPr>
          <w:color w:val="231F20"/>
          <w:w w:val="105"/>
        </w:rPr>
        <w:t>oldest</w:t>
      </w:r>
      <w:r>
        <w:rPr>
          <w:color w:val="231F20"/>
          <w:spacing w:val="-13"/>
          <w:w w:val="105"/>
        </w:rPr>
        <w:t> </w:t>
      </w:r>
      <w:r>
        <w:rPr>
          <w:color w:val="231F20"/>
          <w:w w:val="105"/>
        </w:rPr>
        <w:t>public</w:t>
      </w:r>
      <w:r>
        <w:rPr>
          <w:color w:val="231F20"/>
          <w:spacing w:val="-14"/>
          <w:w w:val="105"/>
        </w:rPr>
        <w:t> </w:t>
      </w:r>
      <w:r>
        <w:rPr>
          <w:color w:val="231F20"/>
          <w:w w:val="105"/>
        </w:rPr>
        <w:t>health</w:t>
      </w:r>
      <w:r>
        <w:rPr>
          <w:color w:val="231F20"/>
          <w:spacing w:val="-13"/>
          <w:w w:val="105"/>
        </w:rPr>
        <w:t> </w:t>
      </w:r>
      <w:r>
        <w:rPr>
          <w:color w:val="231F20"/>
          <w:w w:val="105"/>
        </w:rPr>
        <w:t>surveillance systems in the country is notifiable disease surveillance. Notifiable disease surveillance begins</w:t>
      </w:r>
      <w:r>
        <w:rPr>
          <w:color w:val="231F20"/>
          <w:spacing w:val="-13"/>
          <w:w w:val="105"/>
        </w:rPr>
        <w:t> </w:t>
      </w:r>
      <w:r>
        <w:rPr>
          <w:color w:val="231F20"/>
          <w:w w:val="105"/>
        </w:rPr>
        <w:t>with</w:t>
      </w:r>
      <w:r>
        <w:rPr>
          <w:color w:val="231F20"/>
          <w:spacing w:val="-13"/>
          <w:w w:val="105"/>
        </w:rPr>
        <w:t> </w:t>
      </w:r>
      <w:r>
        <w:rPr>
          <w:color w:val="231F20"/>
          <w:w w:val="105"/>
        </w:rPr>
        <w:t>an</w:t>
      </w:r>
      <w:r>
        <w:rPr>
          <w:color w:val="231F20"/>
          <w:spacing w:val="-14"/>
          <w:w w:val="105"/>
        </w:rPr>
        <w:t> </w:t>
      </w:r>
      <w:r>
        <w:rPr>
          <w:color w:val="231F20"/>
          <w:w w:val="105"/>
        </w:rPr>
        <w:t>ill</w:t>
      </w:r>
      <w:r>
        <w:rPr>
          <w:color w:val="231F20"/>
          <w:spacing w:val="-13"/>
          <w:w w:val="105"/>
        </w:rPr>
        <w:t> </w:t>
      </w:r>
      <w:r>
        <w:rPr>
          <w:color w:val="231F20"/>
          <w:w w:val="105"/>
        </w:rPr>
        <w:t>person</w:t>
      </w:r>
      <w:r>
        <w:rPr>
          <w:color w:val="231F20"/>
          <w:spacing w:val="-13"/>
          <w:w w:val="105"/>
        </w:rPr>
        <w:t> </w:t>
      </w:r>
      <w:r>
        <w:rPr>
          <w:color w:val="231F20"/>
          <w:w w:val="105"/>
        </w:rPr>
        <w:t>who</w:t>
      </w:r>
      <w:r>
        <w:rPr>
          <w:color w:val="231F20"/>
          <w:spacing w:val="-13"/>
          <w:w w:val="105"/>
        </w:rPr>
        <w:t> </w:t>
      </w:r>
      <w:r>
        <w:rPr>
          <w:color w:val="231F20"/>
          <w:w w:val="105"/>
        </w:rPr>
        <w:t>seeks</w:t>
      </w:r>
      <w:r>
        <w:rPr>
          <w:color w:val="231F20"/>
          <w:spacing w:val="-13"/>
          <w:w w:val="105"/>
        </w:rPr>
        <w:t> </w:t>
      </w:r>
      <w:r>
        <w:rPr>
          <w:color w:val="231F20"/>
          <w:w w:val="105"/>
        </w:rPr>
        <w:t>medical attention. The health-care provider sends a specimen</w:t>
      </w:r>
      <w:r>
        <w:rPr>
          <w:color w:val="231F20"/>
          <w:spacing w:val="-26"/>
          <w:w w:val="105"/>
        </w:rPr>
        <w:t> </w:t>
      </w:r>
      <w:r>
        <w:rPr>
          <w:color w:val="231F20"/>
          <w:w w:val="105"/>
        </w:rPr>
        <w:t>(for</w:t>
      </w:r>
      <w:r>
        <w:rPr>
          <w:color w:val="231F20"/>
          <w:spacing w:val="-26"/>
          <w:w w:val="105"/>
        </w:rPr>
        <w:t> </w:t>
      </w:r>
      <w:r>
        <w:rPr>
          <w:color w:val="231F20"/>
          <w:w w:val="105"/>
        </w:rPr>
        <w:t>foodborne</w:t>
      </w:r>
      <w:r>
        <w:rPr>
          <w:color w:val="231F20"/>
          <w:spacing w:val="-26"/>
          <w:w w:val="105"/>
        </w:rPr>
        <w:t> </w:t>
      </w:r>
      <w:r>
        <w:rPr>
          <w:color w:val="231F20"/>
          <w:w w:val="105"/>
        </w:rPr>
        <w:t>illness,</w:t>
      </w:r>
      <w:r>
        <w:rPr>
          <w:color w:val="231F20"/>
          <w:spacing w:val="-26"/>
          <w:w w:val="105"/>
        </w:rPr>
        <w:t> </w:t>
      </w:r>
      <w:r>
        <w:rPr>
          <w:color w:val="231F20"/>
          <w:w w:val="105"/>
        </w:rPr>
        <w:t>this</w:t>
      </w:r>
      <w:r>
        <w:rPr>
          <w:color w:val="231F20"/>
          <w:spacing w:val="-27"/>
          <w:w w:val="105"/>
        </w:rPr>
        <w:t> </w:t>
      </w:r>
      <w:r>
        <w:rPr>
          <w:color w:val="231F20"/>
          <w:w w:val="105"/>
        </w:rPr>
        <w:t>usually</w:t>
      </w:r>
    </w:p>
    <w:p>
      <w:pPr>
        <w:pStyle w:val="BodyText"/>
        <w:spacing w:line="266" w:lineRule="auto" w:before="108"/>
        <w:ind w:left="348" w:right="1348"/>
      </w:pPr>
      <w:r>
        <w:rPr/>
        <w:br w:type="column"/>
      </w:r>
      <w:r>
        <w:rPr>
          <w:color w:val="231F20"/>
          <w:w w:val="105"/>
        </w:rPr>
        <w:t>is a stool specimen) to the laboratory for the appropriate tests, and the laboratory identifies the agent responsible for the patient’s illness so the patient can be treated. Next, the laboratory or health-care provider notifies local public health officials of the illness. Once the patient’s information goes to a public health agency, the illness is compared with other similar reports. Combining the information in these separate reports allows investigators to detect illness clusters that might be outbreaks caused by </w:t>
      </w:r>
      <w:r>
        <w:rPr>
          <w:color w:val="231F20"/>
        </w:rPr>
        <w:t>contaminated food.</w:t>
      </w:r>
    </w:p>
    <w:p>
      <w:pPr>
        <w:pStyle w:val="BodyText"/>
        <w:spacing w:line="266" w:lineRule="auto" w:before="180"/>
        <w:ind w:left="348" w:right="1503"/>
      </w:pPr>
      <w:r>
        <w:rPr/>
        <w:pict>
          <v:rect style="position:absolute;margin-left:459pt;margin-top:-128.098648pt;width:45pt;height:18pt;mso-position-horizontal-relative:page;mso-position-vertical-relative:paragraph;z-index:1792" filled="true" fillcolor="#0079c1" stroked="false">
            <v:fill type="solid"/>
            <w10:wrap type="none"/>
          </v:rect>
        </w:pict>
      </w:r>
      <w:r>
        <w:rPr/>
        <w:pict>
          <v:line style="position:absolute;mso-position-horizontal-relative:page;mso-position-vertical-relative:paragraph;z-index:1816" from="450.5pt,-128.099045pt" to="450.5pt,113.798955pt" stroked="true" strokeweight="1pt" strokecolor="#0079c1">
            <v:stroke dashstyle="solid"/>
            <w10:wrap type="none"/>
          </v:line>
        </w:pict>
      </w:r>
      <w:r>
        <w:rPr/>
        <w:pict>
          <v:shape style="position:absolute;margin-left:465.014313pt;margin-top:-106.102249pt;width:22.9pt;height:222.55pt;mso-position-horizontal-relative:page;mso-position-vertical-relative:paragraph;z-index:2056"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123.348045pt;width:15.85pt;height:8.5pt;mso-position-horizontal-relative:page;mso-position-vertical-relative:paragraph;z-index:208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All states and territories have legal requirements for the reporting of certain diseases and conditions, including enteric diseases likely to be foodborne, by health- care providers and laboratories to the local or state public health agency. In most states and</w:t>
      </w:r>
    </w:p>
    <w:p>
      <w:pPr>
        <w:pStyle w:val="BodyText"/>
        <w:spacing w:line="266" w:lineRule="auto"/>
        <w:ind w:left="348" w:right="1448"/>
      </w:pPr>
      <w:r>
        <w:rPr>
          <w:color w:val="231F20"/>
          <w:w w:val="105"/>
        </w:rPr>
        <w:t>territories, the law usually requires local public health agencies to report these diseases to the state or territorial public health agency. What to report and with what urgency vary by state and by disease. In the past, disease reports usually arrived by mail, telephone, or fax, but many agencies now have developed electronic laboratory reporting systems.</w:t>
      </w:r>
    </w:p>
    <w:p>
      <w:pPr>
        <w:pStyle w:val="BodyText"/>
        <w:spacing w:line="266" w:lineRule="auto" w:before="180"/>
        <w:ind w:left="348" w:right="1475"/>
      </w:pPr>
      <w:r>
        <w:rPr>
          <w:color w:val="231F20"/>
          <w:w w:val="105"/>
        </w:rPr>
        <w:t>States and territories (or sometimes local public health agencies) voluntarily share notifiable disease surveillance information with CDC through the National Notifiable Disease Surveillance System (NNDSS), which CDC oversees. No personal identifiers are forwarded, and only minimal information</w:t>
      </w:r>
    </w:p>
    <w:p>
      <w:pPr>
        <w:pStyle w:val="BodyText"/>
        <w:spacing w:line="266" w:lineRule="auto"/>
        <w:ind w:left="348" w:right="1578"/>
      </w:pPr>
      <w:r>
        <w:rPr>
          <w:color w:val="231F20"/>
          <w:w w:val="105"/>
        </w:rPr>
        <w:t>is available about cases </w:t>
      </w:r>
      <w:r>
        <w:rPr>
          <w:color w:val="231F20"/>
          <w:spacing w:val="-4"/>
          <w:w w:val="105"/>
        </w:rPr>
        <w:t>(e.g., </w:t>
      </w:r>
      <w:r>
        <w:rPr>
          <w:color w:val="231F20"/>
          <w:w w:val="105"/>
        </w:rPr>
        <w:t>date of onset and patient age, sex, race/ethnicity, county of residence). National data are used to monitor</w:t>
      </w:r>
      <w:r>
        <w:rPr>
          <w:color w:val="231F20"/>
          <w:spacing w:val="-12"/>
          <w:w w:val="105"/>
        </w:rPr>
        <w:t> </w:t>
      </w:r>
      <w:r>
        <w:rPr>
          <w:color w:val="231F20"/>
          <w:w w:val="105"/>
        </w:rPr>
        <w:t>disease</w:t>
      </w:r>
      <w:r>
        <w:rPr>
          <w:color w:val="231F20"/>
          <w:spacing w:val="-12"/>
          <w:w w:val="105"/>
        </w:rPr>
        <w:t> </w:t>
      </w:r>
      <w:r>
        <w:rPr>
          <w:color w:val="231F20"/>
          <w:w w:val="105"/>
        </w:rPr>
        <w:t>trends</w:t>
      </w:r>
      <w:r>
        <w:rPr>
          <w:color w:val="231F20"/>
          <w:spacing w:val="-12"/>
          <w:w w:val="105"/>
        </w:rPr>
        <w:t> </w:t>
      </w:r>
      <w:r>
        <w:rPr>
          <w:color w:val="231F20"/>
          <w:w w:val="105"/>
        </w:rPr>
        <w:t>and</w:t>
      </w:r>
      <w:r>
        <w:rPr>
          <w:color w:val="231F20"/>
          <w:spacing w:val="-12"/>
          <w:w w:val="105"/>
        </w:rPr>
        <w:t> </w:t>
      </w:r>
      <w:r>
        <w:rPr>
          <w:color w:val="231F20"/>
          <w:w w:val="105"/>
        </w:rPr>
        <w:t>to</w:t>
      </w:r>
      <w:r>
        <w:rPr>
          <w:color w:val="231F20"/>
          <w:spacing w:val="-12"/>
          <w:w w:val="105"/>
        </w:rPr>
        <w:t> </w:t>
      </w:r>
      <w:r>
        <w:rPr>
          <w:color w:val="231F20"/>
          <w:w w:val="105"/>
        </w:rPr>
        <w:t>target</w:t>
      </w:r>
      <w:r>
        <w:rPr>
          <w:color w:val="231F20"/>
          <w:spacing w:val="-12"/>
          <w:w w:val="105"/>
        </w:rPr>
        <w:t> </w:t>
      </w:r>
      <w:r>
        <w:rPr>
          <w:color w:val="231F20"/>
          <w:w w:val="105"/>
        </w:rPr>
        <w:t>research, prevention,</w:t>
      </w:r>
      <w:r>
        <w:rPr>
          <w:color w:val="231F20"/>
          <w:spacing w:val="-30"/>
          <w:w w:val="105"/>
        </w:rPr>
        <w:t> </w:t>
      </w:r>
      <w:r>
        <w:rPr>
          <w:color w:val="231F20"/>
          <w:w w:val="105"/>
        </w:rPr>
        <w:t>and</w:t>
      </w:r>
      <w:r>
        <w:rPr>
          <w:color w:val="231F20"/>
          <w:spacing w:val="-30"/>
          <w:w w:val="105"/>
        </w:rPr>
        <w:t> </w:t>
      </w:r>
      <w:r>
        <w:rPr>
          <w:color w:val="231F20"/>
          <w:w w:val="105"/>
        </w:rPr>
        <w:t>control</w:t>
      </w:r>
      <w:r>
        <w:rPr>
          <w:color w:val="231F20"/>
          <w:spacing w:val="-30"/>
          <w:w w:val="105"/>
        </w:rPr>
        <w:t> </w:t>
      </w:r>
      <w:r>
        <w:rPr>
          <w:color w:val="231F20"/>
          <w:w w:val="105"/>
        </w:rPr>
        <w:t>efforts.</w:t>
      </w:r>
    </w:p>
    <w:p>
      <w:pPr>
        <w:pStyle w:val="BodyText"/>
        <w:spacing w:line="266" w:lineRule="auto" w:before="180"/>
        <w:ind w:left="348" w:right="1348"/>
      </w:pPr>
      <w:r>
        <w:rPr>
          <w:color w:val="231F20"/>
          <w:w w:val="105"/>
        </w:rPr>
        <w:t>State public health laboratories also participate in national notifiable disease surveillance through programs such as PulseNet (see below)</w:t>
      </w:r>
      <w:r>
        <w:rPr>
          <w:color w:val="231F20"/>
          <w:w w:val="105"/>
          <w:position w:val="7"/>
          <w:sz w:val="11"/>
        </w:rPr>
        <w:t>50 </w:t>
      </w:r>
      <w:r>
        <w:rPr>
          <w:color w:val="231F20"/>
          <w:w w:val="105"/>
        </w:rPr>
        <w:t>and the Laboratory-based Enteric Diseases Surveillance (LEDS) system, an electronic reporting system for laboratory-</w:t>
      </w:r>
    </w:p>
    <w:p>
      <w:pPr>
        <w:spacing w:after="0" w:line="266" w:lineRule="auto"/>
        <w:sectPr>
          <w:type w:val="continuous"/>
          <w:pgSz w:w="10080" w:h="14400"/>
          <w:pgMar w:top="0" w:bottom="360" w:left="0" w:right="0"/>
          <w:cols w:num="2" w:equalWidth="0">
            <w:col w:w="4472" w:space="40"/>
            <w:col w:w="5568"/>
          </w:cols>
        </w:sectPr>
      </w:pPr>
    </w:p>
    <w:p>
      <w:pPr>
        <w:pStyle w:val="BodyText"/>
        <w:spacing w:before="8"/>
        <w:rPr>
          <w:sz w:val="10"/>
        </w:rPr>
      </w:pPr>
    </w:p>
    <w:p>
      <w:pPr>
        <w:pStyle w:val="Heading1"/>
        <w:ind w:left="1440"/>
      </w:pPr>
      <w:r>
        <w:rPr/>
        <w:pict>
          <v:line style="position:absolute;mso-position-horizontal-relative:page;mso-position-vertical-relative:paragraph;z-index:2104;mso-wrap-distance-left:0;mso-wrap-distance-right:0" from="72pt,23.995163pt" to="468pt,23.995163pt" stroked="true" strokeweight=".5pt" strokecolor="#00a94f">
            <v:stroke dashstyle="solid"/>
            <w10:wrap type="topAndBottom"/>
          </v:line>
        </w:pict>
      </w:r>
      <w:r>
        <w:rPr>
          <w:color w:val="00A94F"/>
          <w:w w:val="95"/>
        </w:rPr>
        <w:t>2.3. Trends in Surveillance</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spacing w:line="271" w:lineRule="auto" w:before="108"/>
        <w:ind w:left="1440" w:right="-13" w:firstLine="0"/>
        <w:jc w:val="left"/>
        <w:rPr>
          <w:sz w:val="11"/>
        </w:rPr>
      </w:pPr>
      <w:r>
        <w:rPr/>
        <w:pict>
          <v:rect style="position:absolute;margin-left:0pt;margin-top:27.299353pt;width:45pt;height:18pt;mso-position-horizontal-relative:page;mso-position-vertical-relative:paragraph;z-index:2128" filled="true" fillcolor="#0079c1" stroked="false">
            <v:fill type="solid"/>
            <w10:wrap type="none"/>
          </v:rect>
        </w:pict>
      </w:r>
      <w:r>
        <w:rPr/>
        <w:pict>
          <v:line style="position:absolute;mso-position-horizontal-relative:page;mso-position-vertical-relative:paragraph;z-index:2152" from="54.5pt,27.300953pt" to="54.5pt,269.198953pt" stroked="true" strokeweight="1pt" strokecolor="#0079c1">
            <v:stroke dashstyle="solid"/>
            <w10:wrap type="none"/>
          </v:line>
        </w:pict>
      </w:r>
      <w:r>
        <w:rPr/>
        <w:pict>
          <v:shape style="position:absolute;margin-left:18.197588pt;margin-top:32.095806pt;width:15.85pt;height:8.5pt;mso-position-horizontal-relative:page;mso-position-vertical-relative:paragraph;z-index:2200"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sz w:val="20"/>
        </w:rPr>
        <w:t>confirmed</w:t>
      </w:r>
      <w:r>
        <w:rPr>
          <w:color w:val="231F20"/>
          <w:spacing w:val="-18"/>
          <w:w w:val="105"/>
          <w:sz w:val="20"/>
        </w:rPr>
        <w:t> </w:t>
      </w:r>
      <w:r>
        <w:rPr>
          <w:color w:val="231F20"/>
          <w:w w:val="105"/>
          <w:sz w:val="20"/>
        </w:rPr>
        <w:t>isolates,</w:t>
      </w:r>
      <w:r>
        <w:rPr>
          <w:color w:val="231F20"/>
          <w:spacing w:val="-18"/>
          <w:w w:val="105"/>
          <w:sz w:val="20"/>
        </w:rPr>
        <w:t> </w:t>
      </w:r>
      <w:r>
        <w:rPr>
          <w:color w:val="231F20"/>
          <w:w w:val="105"/>
          <w:sz w:val="20"/>
        </w:rPr>
        <w:t>including</w:t>
      </w:r>
      <w:r>
        <w:rPr>
          <w:color w:val="231F20"/>
          <w:spacing w:val="-18"/>
          <w:w w:val="105"/>
          <w:sz w:val="20"/>
        </w:rPr>
        <w:t> </w:t>
      </w:r>
      <w:r>
        <w:rPr>
          <w:i/>
          <w:color w:val="231F20"/>
          <w:w w:val="105"/>
          <w:sz w:val="20"/>
        </w:rPr>
        <w:t>Salmonella</w:t>
      </w:r>
      <w:r>
        <w:rPr>
          <w:color w:val="231F20"/>
          <w:w w:val="105"/>
          <w:sz w:val="20"/>
        </w:rPr>
        <w:t>,</w:t>
      </w:r>
      <w:r>
        <w:rPr>
          <w:color w:val="231F20"/>
          <w:spacing w:val="-18"/>
          <w:w w:val="105"/>
          <w:sz w:val="20"/>
        </w:rPr>
        <w:t> </w:t>
      </w:r>
      <w:r>
        <w:rPr>
          <w:i/>
          <w:color w:val="231F20"/>
          <w:w w:val="105"/>
          <w:sz w:val="20"/>
        </w:rPr>
        <w:t>Shigella</w:t>
      </w:r>
      <w:r>
        <w:rPr>
          <w:color w:val="231F20"/>
          <w:w w:val="105"/>
          <w:sz w:val="20"/>
        </w:rPr>
        <w:t>, </w:t>
      </w:r>
      <w:r>
        <w:rPr>
          <w:color w:val="231F20"/>
          <w:w w:val="105"/>
          <w:position w:val="-6"/>
          <w:sz w:val="20"/>
        </w:rPr>
        <w:t>and  STEC</w:t>
      </w:r>
      <w:r>
        <w:rPr>
          <w:i/>
          <w:color w:val="231F20"/>
          <w:w w:val="105"/>
          <w:position w:val="-6"/>
          <w:sz w:val="20"/>
        </w:rPr>
        <w:t>.</w:t>
      </w:r>
      <w:r>
        <w:rPr>
          <w:color w:val="231F20"/>
          <w:w w:val="105"/>
          <w:sz w:val="11"/>
        </w:rPr>
        <w:t>51,,52,</w:t>
      </w:r>
      <w:r>
        <w:rPr>
          <w:color w:val="231F20"/>
          <w:spacing w:val="3"/>
          <w:w w:val="105"/>
          <w:sz w:val="11"/>
        </w:rPr>
        <w:t> </w:t>
      </w:r>
      <w:r>
        <w:rPr>
          <w:color w:val="231F20"/>
          <w:w w:val="105"/>
          <w:sz w:val="11"/>
        </w:rPr>
        <w:t>53</w:t>
      </w:r>
    </w:p>
    <w:p>
      <w:pPr>
        <w:pStyle w:val="ListParagraph"/>
        <w:numPr>
          <w:ilvl w:val="3"/>
          <w:numId w:val="6"/>
        </w:numPr>
        <w:tabs>
          <w:tab w:pos="2082" w:val="left" w:leader="none"/>
        </w:tabs>
        <w:spacing w:line="240" w:lineRule="auto" w:before="172" w:after="0"/>
        <w:ind w:left="319" w:right="0" w:firstLine="1121"/>
        <w:jc w:val="left"/>
        <w:rPr>
          <w:i/>
          <w:sz w:val="20"/>
        </w:rPr>
      </w:pPr>
      <w:r>
        <w:rPr/>
        <w:pict>
          <v:shape style="position:absolute;margin-left:16.131701pt;margin-top:18.047243pt;width:22.9pt;height:222.55pt;mso-position-horizontal-relative:page;mso-position-vertical-relative:paragraph;z-index:2176"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i/>
          <w:color w:val="E36F1E"/>
          <w:w w:val="105"/>
          <w:sz w:val="20"/>
        </w:rPr>
        <w:t>Foodborne</w:t>
      </w:r>
      <w:r>
        <w:rPr>
          <w:i/>
          <w:color w:val="E36F1E"/>
          <w:spacing w:val="-24"/>
          <w:w w:val="105"/>
          <w:sz w:val="20"/>
        </w:rPr>
        <w:t> </w:t>
      </w:r>
      <w:r>
        <w:rPr>
          <w:i/>
          <w:color w:val="E36F1E"/>
          <w:w w:val="105"/>
          <w:sz w:val="20"/>
        </w:rPr>
        <w:t>illness</w:t>
      </w:r>
      <w:r>
        <w:rPr>
          <w:i/>
          <w:color w:val="E36F1E"/>
          <w:spacing w:val="-25"/>
          <w:w w:val="105"/>
          <w:sz w:val="20"/>
        </w:rPr>
        <w:t> </w:t>
      </w:r>
      <w:r>
        <w:rPr>
          <w:i/>
          <w:color w:val="E36F1E"/>
          <w:w w:val="105"/>
          <w:sz w:val="20"/>
        </w:rPr>
        <w:t>complaints</w:t>
      </w:r>
    </w:p>
    <w:p>
      <w:pPr>
        <w:pStyle w:val="BodyText"/>
        <w:spacing w:line="266" w:lineRule="auto" w:before="24"/>
        <w:ind w:left="1440" w:right="7"/>
      </w:pPr>
      <w:r>
        <w:rPr>
          <w:color w:val="231F20"/>
          <w:w w:val="105"/>
        </w:rPr>
        <w:t>Receiving and responding to complaints of disease</w:t>
      </w:r>
      <w:r>
        <w:rPr>
          <w:color w:val="231F20"/>
          <w:spacing w:val="-14"/>
          <w:w w:val="105"/>
        </w:rPr>
        <w:t> </w:t>
      </w:r>
      <w:r>
        <w:rPr>
          <w:color w:val="231F20"/>
          <w:w w:val="105"/>
        </w:rPr>
        <w:t>from</w:t>
      </w:r>
      <w:r>
        <w:rPr>
          <w:color w:val="231F20"/>
          <w:spacing w:val="-15"/>
          <w:w w:val="105"/>
        </w:rPr>
        <w:t> </w:t>
      </w:r>
      <w:r>
        <w:rPr>
          <w:color w:val="231F20"/>
          <w:w w:val="105"/>
        </w:rPr>
        <w:t>the</w:t>
      </w:r>
      <w:r>
        <w:rPr>
          <w:color w:val="231F20"/>
          <w:spacing w:val="-15"/>
          <w:w w:val="105"/>
        </w:rPr>
        <w:t> </w:t>
      </w:r>
      <w:r>
        <w:rPr>
          <w:color w:val="231F20"/>
          <w:w w:val="105"/>
        </w:rPr>
        <w:t>public</w:t>
      </w:r>
      <w:r>
        <w:rPr>
          <w:color w:val="231F20"/>
          <w:spacing w:val="-15"/>
          <w:w w:val="105"/>
        </w:rPr>
        <w:t> </w:t>
      </w:r>
      <w:r>
        <w:rPr>
          <w:color w:val="231F20"/>
          <w:w w:val="105"/>
        </w:rPr>
        <w:t>is</w:t>
      </w:r>
      <w:r>
        <w:rPr>
          <w:color w:val="231F20"/>
          <w:spacing w:val="-15"/>
          <w:w w:val="105"/>
        </w:rPr>
        <w:t> </w:t>
      </w:r>
      <w:r>
        <w:rPr>
          <w:color w:val="231F20"/>
          <w:w w:val="105"/>
        </w:rPr>
        <w:t>a</w:t>
      </w:r>
      <w:r>
        <w:rPr>
          <w:color w:val="231F20"/>
          <w:spacing w:val="-14"/>
          <w:w w:val="105"/>
        </w:rPr>
        <w:t> </w:t>
      </w:r>
      <w:r>
        <w:rPr>
          <w:color w:val="231F20"/>
          <w:w w:val="105"/>
        </w:rPr>
        <w:t>basic</w:t>
      </w:r>
      <w:r>
        <w:rPr>
          <w:color w:val="231F20"/>
          <w:spacing w:val="-15"/>
          <w:w w:val="105"/>
        </w:rPr>
        <w:t> </w:t>
      </w:r>
      <w:r>
        <w:rPr>
          <w:color w:val="231F20"/>
          <w:w w:val="105"/>
        </w:rPr>
        <w:t>function</w:t>
      </w:r>
      <w:r>
        <w:rPr>
          <w:color w:val="231F20"/>
          <w:spacing w:val="-15"/>
          <w:w w:val="105"/>
        </w:rPr>
        <w:t> </w:t>
      </w:r>
      <w:r>
        <w:rPr>
          <w:color w:val="231F20"/>
          <w:w w:val="105"/>
        </w:rPr>
        <w:t>of many public health and other</w:t>
      </w:r>
      <w:r>
        <w:rPr>
          <w:color w:val="231F20"/>
          <w:spacing w:val="-24"/>
          <w:w w:val="105"/>
        </w:rPr>
        <w:t> </w:t>
      </w:r>
      <w:r>
        <w:rPr>
          <w:color w:val="231F20"/>
          <w:w w:val="105"/>
        </w:rPr>
        <w:t>health-related agencies and can lead to the</w:t>
      </w:r>
      <w:r>
        <w:rPr>
          <w:color w:val="231F20"/>
          <w:spacing w:val="-32"/>
          <w:w w:val="105"/>
        </w:rPr>
        <w:t> </w:t>
      </w:r>
      <w:r>
        <w:rPr>
          <w:color w:val="231F20"/>
          <w:w w:val="105"/>
        </w:rPr>
        <w:t>identification</w:t>
      </w:r>
    </w:p>
    <w:p>
      <w:pPr>
        <w:pStyle w:val="BodyText"/>
        <w:spacing w:line="266" w:lineRule="auto"/>
        <w:ind w:left="1440" w:right="199"/>
        <w:jc w:val="both"/>
      </w:pPr>
      <w:r>
        <w:rPr>
          <w:color w:val="231F20"/>
        </w:rPr>
        <w:t>of foodborne illnesses in the community and clusters of persons with suspected foodborne disease.</w:t>
      </w:r>
    </w:p>
    <w:p>
      <w:pPr>
        <w:pStyle w:val="BodyText"/>
        <w:spacing w:line="266" w:lineRule="auto" w:before="180"/>
        <w:ind w:left="1440" w:right="91"/>
      </w:pPr>
      <w:r>
        <w:rPr>
          <w:color w:val="231F20"/>
          <w:w w:val="105"/>
        </w:rPr>
        <w:t>With foodborne disease complaints, affected members of the community report illness they suspect to be foodborne to the health department. Sometimes the reports are made </w:t>
      </w:r>
      <w:r>
        <w:rPr>
          <w:color w:val="231F20"/>
          <w:spacing w:val="-3"/>
          <w:w w:val="105"/>
        </w:rPr>
        <w:t>by </w:t>
      </w:r>
      <w:r>
        <w:rPr>
          <w:color w:val="231F20"/>
          <w:w w:val="105"/>
        </w:rPr>
        <w:t>a third party who recognizes a pattern of illness</w:t>
      </w:r>
      <w:r>
        <w:rPr>
          <w:color w:val="231F20"/>
          <w:spacing w:val="-11"/>
          <w:w w:val="105"/>
        </w:rPr>
        <w:t> </w:t>
      </w:r>
      <w:r>
        <w:rPr>
          <w:color w:val="231F20"/>
          <w:w w:val="105"/>
        </w:rPr>
        <w:t>in</w:t>
      </w:r>
      <w:r>
        <w:rPr>
          <w:color w:val="231F20"/>
          <w:spacing w:val="-11"/>
          <w:w w:val="105"/>
        </w:rPr>
        <w:t> </w:t>
      </w:r>
      <w:r>
        <w:rPr>
          <w:color w:val="231F20"/>
          <w:w w:val="105"/>
        </w:rPr>
        <w:t>the</w:t>
      </w:r>
      <w:r>
        <w:rPr>
          <w:color w:val="231F20"/>
          <w:spacing w:val="-11"/>
          <w:w w:val="105"/>
        </w:rPr>
        <w:t> </w:t>
      </w:r>
      <w:r>
        <w:rPr>
          <w:color w:val="231F20"/>
          <w:w w:val="105"/>
        </w:rPr>
        <w:t>community</w:t>
      </w:r>
      <w:r>
        <w:rPr>
          <w:color w:val="231F20"/>
          <w:spacing w:val="-11"/>
          <w:w w:val="105"/>
        </w:rPr>
        <w:t> </w:t>
      </w:r>
      <w:r>
        <w:rPr>
          <w:color w:val="231F20"/>
          <w:spacing w:val="-4"/>
          <w:w w:val="105"/>
        </w:rPr>
        <w:t>(e.g.,</w:t>
      </w:r>
      <w:r>
        <w:rPr>
          <w:color w:val="231F20"/>
          <w:spacing w:val="-11"/>
          <w:w w:val="105"/>
        </w:rPr>
        <w:t> </w:t>
      </w:r>
      <w:r>
        <w:rPr>
          <w:color w:val="231F20"/>
          <w:w w:val="105"/>
        </w:rPr>
        <w:t>a</w:t>
      </w:r>
      <w:r>
        <w:rPr>
          <w:color w:val="231F20"/>
          <w:spacing w:val="-11"/>
          <w:w w:val="105"/>
        </w:rPr>
        <w:t> </w:t>
      </w:r>
      <w:r>
        <w:rPr>
          <w:color w:val="231F20"/>
          <w:w w:val="105"/>
        </w:rPr>
        <w:t>physician</w:t>
      </w:r>
      <w:r>
        <w:rPr>
          <w:color w:val="231F20"/>
          <w:spacing w:val="-11"/>
          <w:w w:val="105"/>
        </w:rPr>
        <w:t> </w:t>
      </w:r>
      <w:r>
        <w:rPr>
          <w:color w:val="231F20"/>
          <w:w w:val="105"/>
        </w:rPr>
        <w:t>who has seen multiple ill patients with a common exposure, a staff member from a nursing home reporting multiple diarrheal illnesses among residents, or a pharmacist who notes increased sales of antidiarrheal</w:t>
      </w:r>
      <w:r>
        <w:rPr>
          <w:color w:val="231F20"/>
          <w:spacing w:val="-22"/>
          <w:w w:val="105"/>
        </w:rPr>
        <w:t> </w:t>
      </w:r>
      <w:r>
        <w:rPr>
          <w:color w:val="231F20"/>
          <w:w w:val="105"/>
        </w:rPr>
        <w:t>medications).</w:t>
      </w:r>
    </w:p>
    <w:p>
      <w:pPr>
        <w:pStyle w:val="BodyText"/>
        <w:spacing w:line="266" w:lineRule="auto"/>
        <w:ind w:left="1440" w:right="65"/>
      </w:pPr>
      <w:r>
        <w:rPr>
          <w:color w:val="231F20"/>
          <w:w w:val="105"/>
        </w:rPr>
        <w:t>Other</w:t>
      </w:r>
      <w:r>
        <w:rPr>
          <w:color w:val="231F20"/>
          <w:spacing w:val="-18"/>
          <w:w w:val="105"/>
        </w:rPr>
        <w:t> </w:t>
      </w:r>
      <w:r>
        <w:rPr>
          <w:color w:val="231F20"/>
          <w:w w:val="105"/>
        </w:rPr>
        <w:t>agencies</w:t>
      </w:r>
      <w:r>
        <w:rPr>
          <w:color w:val="231F20"/>
          <w:spacing w:val="-18"/>
          <w:w w:val="105"/>
        </w:rPr>
        <w:t> </w:t>
      </w:r>
      <w:r>
        <w:rPr>
          <w:color w:val="231F20"/>
          <w:w w:val="105"/>
        </w:rPr>
        <w:t>sometime</w:t>
      </w:r>
      <w:r>
        <w:rPr>
          <w:color w:val="231F20"/>
          <w:spacing w:val="-17"/>
          <w:w w:val="105"/>
        </w:rPr>
        <w:t> </w:t>
      </w:r>
      <w:r>
        <w:rPr>
          <w:color w:val="231F20"/>
          <w:w w:val="105"/>
        </w:rPr>
        <w:t>receive</w:t>
      </w:r>
      <w:r>
        <w:rPr>
          <w:color w:val="231F20"/>
          <w:spacing w:val="-17"/>
          <w:w w:val="105"/>
        </w:rPr>
        <w:t> </w:t>
      </w:r>
      <w:r>
        <w:rPr>
          <w:color w:val="231F20"/>
          <w:w w:val="105"/>
        </w:rPr>
        <w:t>these</w:t>
      </w:r>
      <w:r>
        <w:rPr>
          <w:color w:val="231F20"/>
          <w:spacing w:val="-18"/>
          <w:w w:val="105"/>
        </w:rPr>
        <w:t> </w:t>
      </w:r>
      <w:r>
        <w:rPr>
          <w:color w:val="231F20"/>
          <w:w w:val="105"/>
        </w:rPr>
        <w:t>reports </w:t>
      </w:r>
      <w:r>
        <w:rPr>
          <w:color w:val="231F20"/>
          <w:spacing w:val="-4"/>
          <w:w w:val="105"/>
        </w:rPr>
        <w:t>(e.g.,</w:t>
      </w:r>
      <w:r>
        <w:rPr>
          <w:color w:val="231F20"/>
          <w:spacing w:val="-17"/>
          <w:w w:val="105"/>
        </w:rPr>
        <w:t> </w:t>
      </w:r>
      <w:r>
        <w:rPr>
          <w:color w:val="231F20"/>
          <w:w w:val="105"/>
        </w:rPr>
        <w:t>agriculture</w:t>
      </w:r>
      <w:r>
        <w:rPr>
          <w:color w:val="231F20"/>
          <w:spacing w:val="-17"/>
          <w:w w:val="105"/>
        </w:rPr>
        <w:t> </w:t>
      </w:r>
      <w:r>
        <w:rPr>
          <w:color w:val="231F20"/>
          <w:w w:val="105"/>
        </w:rPr>
        <w:t>food</w:t>
      </w:r>
      <w:r>
        <w:rPr>
          <w:color w:val="231F20"/>
          <w:spacing w:val="-17"/>
          <w:w w:val="105"/>
        </w:rPr>
        <w:t> </w:t>
      </w:r>
      <w:r>
        <w:rPr>
          <w:color w:val="231F20"/>
          <w:w w:val="105"/>
        </w:rPr>
        <w:t>safety</w:t>
      </w:r>
      <w:r>
        <w:rPr>
          <w:color w:val="231F20"/>
          <w:spacing w:val="-17"/>
          <w:w w:val="105"/>
        </w:rPr>
        <w:t> </w:t>
      </w:r>
      <w:r>
        <w:rPr>
          <w:color w:val="231F20"/>
          <w:w w:val="105"/>
        </w:rPr>
        <w:t>offices</w:t>
      </w:r>
      <w:r>
        <w:rPr>
          <w:color w:val="231F20"/>
          <w:spacing w:val="-17"/>
          <w:w w:val="105"/>
        </w:rPr>
        <w:t> </w:t>
      </w:r>
      <w:r>
        <w:rPr>
          <w:color w:val="231F20"/>
          <w:w w:val="105"/>
        </w:rPr>
        <w:t>and</w:t>
      </w:r>
      <w:r>
        <w:rPr>
          <w:color w:val="231F20"/>
          <w:spacing w:val="-17"/>
          <w:w w:val="105"/>
        </w:rPr>
        <w:t> </w:t>
      </w:r>
      <w:r>
        <w:rPr>
          <w:color w:val="231F20"/>
          <w:w w:val="105"/>
        </w:rPr>
        <w:t>poison control centers) and forward them to the health department.</w:t>
      </w:r>
    </w:p>
    <w:p>
      <w:pPr>
        <w:pStyle w:val="BodyText"/>
        <w:spacing w:line="266" w:lineRule="auto" w:before="180"/>
        <w:ind w:left="1440" w:right="-5"/>
      </w:pPr>
      <w:r>
        <w:rPr>
          <w:color w:val="231F20"/>
          <w:w w:val="105"/>
        </w:rPr>
        <w:t>The</w:t>
      </w:r>
      <w:r>
        <w:rPr>
          <w:color w:val="231F20"/>
          <w:spacing w:val="-24"/>
          <w:w w:val="105"/>
        </w:rPr>
        <w:t> </w:t>
      </w:r>
      <w:r>
        <w:rPr>
          <w:color w:val="231F20"/>
          <w:w w:val="105"/>
        </w:rPr>
        <w:t>processing</w:t>
      </w:r>
      <w:r>
        <w:rPr>
          <w:color w:val="231F20"/>
          <w:spacing w:val="-25"/>
          <w:w w:val="105"/>
        </w:rPr>
        <w:t> </w:t>
      </w:r>
      <w:r>
        <w:rPr>
          <w:color w:val="231F20"/>
          <w:w w:val="105"/>
        </w:rPr>
        <w:t>of</w:t>
      </w:r>
      <w:r>
        <w:rPr>
          <w:color w:val="231F20"/>
          <w:spacing w:val="-8"/>
          <w:w w:val="105"/>
        </w:rPr>
        <w:t> </w:t>
      </w:r>
      <w:r>
        <w:rPr>
          <w:color w:val="231F20"/>
          <w:w w:val="105"/>
        </w:rPr>
        <w:t>foodborne</w:t>
      </w:r>
      <w:r>
        <w:rPr>
          <w:color w:val="231F20"/>
          <w:spacing w:val="-24"/>
          <w:w w:val="105"/>
        </w:rPr>
        <w:t> </w:t>
      </w:r>
      <w:r>
        <w:rPr>
          <w:color w:val="231F20"/>
          <w:w w:val="105"/>
        </w:rPr>
        <w:t>illness</w:t>
      </w:r>
      <w:r>
        <w:rPr>
          <w:color w:val="231F20"/>
          <w:spacing w:val="-25"/>
          <w:w w:val="105"/>
        </w:rPr>
        <w:t> </w:t>
      </w:r>
      <w:r>
        <w:rPr>
          <w:color w:val="231F20"/>
          <w:w w:val="105"/>
        </w:rPr>
        <w:t>complaints varies </w:t>
      </w:r>
      <w:r>
        <w:rPr>
          <w:color w:val="231F20"/>
          <w:spacing w:val="-3"/>
          <w:w w:val="105"/>
        </w:rPr>
        <w:t>by </w:t>
      </w:r>
      <w:r>
        <w:rPr>
          <w:color w:val="231F20"/>
          <w:w w:val="105"/>
        </w:rPr>
        <w:t>agency on the basis of the suspected pathogen and agency resources. Some health departments are expected to investigate all commercial</w:t>
      </w:r>
      <w:r>
        <w:rPr>
          <w:color w:val="231F20"/>
          <w:spacing w:val="-29"/>
          <w:w w:val="105"/>
        </w:rPr>
        <w:t> </w:t>
      </w:r>
      <w:r>
        <w:rPr>
          <w:color w:val="231F20"/>
          <w:w w:val="105"/>
        </w:rPr>
        <w:t>food</w:t>
      </w:r>
      <w:r>
        <w:rPr>
          <w:color w:val="231F20"/>
          <w:spacing w:val="-29"/>
          <w:w w:val="105"/>
        </w:rPr>
        <w:t> </w:t>
      </w:r>
      <w:r>
        <w:rPr>
          <w:color w:val="231F20"/>
          <w:w w:val="105"/>
        </w:rPr>
        <w:t>establishments</w:t>
      </w:r>
      <w:r>
        <w:rPr>
          <w:color w:val="231F20"/>
          <w:spacing w:val="-30"/>
          <w:w w:val="105"/>
        </w:rPr>
        <w:t> </w:t>
      </w:r>
      <w:r>
        <w:rPr>
          <w:color w:val="231F20"/>
          <w:w w:val="105"/>
        </w:rPr>
        <w:t>named</w:t>
      </w:r>
    </w:p>
    <w:p>
      <w:pPr>
        <w:pStyle w:val="BodyText"/>
        <w:spacing w:line="266" w:lineRule="auto"/>
        <w:ind w:left="1440" w:right="270"/>
        <w:rPr>
          <w:sz w:val="11"/>
        </w:rPr>
      </w:pPr>
      <w:r>
        <w:rPr>
          <w:color w:val="231F20"/>
          <w:w w:val="105"/>
        </w:rPr>
        <w:t>by sick persons. Most health departments record complaints in a log book or on a standardized form. A growing number of health departments enter this information into an electronic database for easy review and analysis, a practice associated with the detection of more outbreaks per complaint reported.</w:t>
      </w:r>
      <w:r>
        <w:rPr>
          <w:color w:val="231F20"/>
          <w:w w:val="105"/>
          <w:position w:val="7"/>
          <w:sz w:val="11"/>
        </w:rPr>
        <w:t>54</w:t>
      </w:r>
    </w:p>
    <w:p>
      <w:pPr>
        <w:pStyle w:val="BodyText"/>
        <w:spacing w:line="266" w:lineRule="auto" w:before="180"/>
        <w:ind w:left="1440" w:right="-9"/>
      </w:pPr>
      <w:r>
        <w:rPr>
          <w:color w:val="231F20"/>
          <w:w w:val="105"/>
        </w:rPr>
        <w:t>Some complaint systems are more well publicized and involve community members more</w:t>
      </w:r>
      <w:r>
        <w:rPr>
          <w:color w:val="231F20"/>
          <w:spacing w:val="-10"/>
          <w:w w:val="105"/>
        </w:rPr>
        <w:t> </w:t>
      </w:r>
      <w:r>
        <w:rPr>
          <w:color w:val="231F20"/>
          <w:spacing w:val="-5"/>
          <w:w w:val="105"/>
        </w:rPr>
        <w:t>heavily.</w:t>
      </w:r>
      <w:r>
        <w:rPr>
          <w:color w:val="231F20"/>
          <w:spacing w:val="-10"/>
          <w:w w:val="105"/>
        </w:rPr>
        <w:t> </w:t>
      </w:r>
      <w:r>
        <w:rPr>
          <w:color w:val="231F20"/>
          <w:w w:val="105"/>
        </w:rPr>
        <w:t>A</w:t>
      </w:r>
      <w:r>
        <w:rPr>
          <w:color w:val="231F20"/>
          <w:spacing w:val="-10"/>
          <w:w w:val="105"/>
        </w:rPr>
        <w:t> </w:t>
      </w:r>
      <w:r>
        <w:rPr>
          <w:color w:val="231F20"/>
          <w:w w:val="105"/>
        </w:rPr>
        <w:t>Web-based</w:t>
      </w:r>
      <w:r>
        <w:rPr>
          <w:color w:val="231F20"/>
          <w:spacing w:val="-11"/>
          <w:w w:val="105"/>
        </w:rPr>
        <w:t> </w:t>
      </w:r>
      <w:r>
        <w:rPr>
          <w:color w:val="231F20"/>
          <w:w w:val="105"/>
        </w:rPr>
        <w:t>system</w:t>
      </w:r>
      <w:r>
        <w:rPr>
          <w:color w:val="231F20"/>
          <w:spacing w:val="-9"/>
          <w:w w:val="105"/>
        </w:rPr>
        <w:t> </w:t>
      </w:r>
      <w:r>
        <w:rPr>
          <w:color w:val="231F20"/>
          <w:w w:val="105"/>
        </w:rPr>
        <w:t>in</w:t>
      </w:r>
      <w:r>
        <w:rPr>
          <w:color w:val="231F20"/>
          <w:spacing w:val="-10"/>
          <w:w w:val="105"/>
        </w:rPr>
        <w:t> </w:t>
      </w:r>
      <w:r>
        <w:rPr>
          <w:color w:val="231F20"/>
          <w:w w:val="105"/>
        </w:rPr>
        <w:t>Michigan </w:t>
      </w:r>
      <w:r>
        <w:rPr>
          <w:color w:val="231F20"/>
          <w:spacing w:val="-3"/>
          <w:w w:val="105"/>
        </w:rPr>
        <w:t>(RUsick2) </w:t>
      </w:r>
      <w:r>
        <w:rPr>
          <w:color w:val="231F20"/>
          <w:w w:val="105"/>
        </w:rPr>
        <w:t>piloted in the early 2000s enabled ill persons</w:t>
      </w:r>
      <w:r>
        <w:rPr>
          <w:color w:val="231F20"/>
          <w:spacing w:val="-17"/>
          <w:w w:val="105"/>
        </w:rPr>
        <w:t> </w:t>
      </w:r>
      <w:r>
        <w:rPr>
          <w:color w:val="231F20"/>
          <w:w w:val="105"/>
        </w:rPr>
        <w:t>to</w:t>
      </w:r>
      <w:r>
        <w:rPr>
          <w:color w:val="231F20"/>
          <w:spacing w:val="-18"/>
          <w:w w:val="105"/>
        </w:rPr>
        <w:t> </w:t>
      </w:r>
      <w:r>
        <w:rPr>
          <w:color w:val="231F20"/>
          <w:w w:val="105"/>
        </w:rPr>
        <w:t>share</w:t>
      </w:r>
      <w:r>
        <w:rPr>
          <w:color w:val="231F20"/>
          <w:spacing w:val="-17"/>
          <w:w w:val="105"/>
        </w:rPr>
        <w:t> </w:t>
      </w:r>
      <w:r>
        <w:rPr>
          <w:color w:val="231F20"/>
          <w:w w:val="105"/>
        </w:rPr>
        <w:t>information</w:t>
      </w:r>
      <w:r>
        <w:rPr>
          <w:color w:val="231F20"/>
          <w:spacing w:val="-18"/>
          <w:w w:val="105"/>
        </w:rPr>
        <w:t> </w:t>
      </w:r>
      <w:r>
        <w:rPr>
          <w:color w:val="231F20"/>
          <w:w w:val="105"/>
        </w:rPr>
        <w:t>about</w:t>
      </w:r>
      <w:r>
        <w:rPr>
          <w:color w:val="231F20"/>
          <w:spacing w:val="-18"/>
          <w:w w:val="105"/>
        </w:rPr>
        <w:t> </w:t>
      </w:r>
      <w:r>
        <w:rPr>
          <w:color w:val="231F20"/>
          <w:w w:val="105"/>
        </w:rPr>
        <w:t>their</w:t>
      </w:r>
      <w:r>
        <w:rPr>
          <w:color w:val="231F20"/>
          <w:spacing w:val="-18"/>
          <w:w w:val="105"/>
        </w:rPr>
        <w:t> </w:t>
      </w:r>
      <w:r>
        <w:rPr>
          <w:color w:val="231F20"/>
          <w:w w:val="105"/>
        </w:rPr>
        <w:t>illness</w:t>
      </w:r>
    </w:p>
    <w:p>
      <w:pPr>
        <w:pStyle w:val="BodyText"/>
        <w:spacing w:line="266" w:lineRule="auto" w:before="108"/>
        <w:ind w:left="319" w:right="811"/>
        <w:rPr>
          <w:sz w:val="11"/>
        </w:rPr>
      </w:pPr>
      <w:r>
        <w:rPr/>
        <w:br w:type="column"/>
      </w:r>
      <w:r>
        <w:rPr>
          <w:color w:val="231F20"/>
        </w:rPr>
        <w:t>and recent exposures and helped the health department identify clusters of persons with unsuspected foodborne disease. During the pilot test, the system resulted in an estimated fourfold increase in the reporting of foodborne illness complaints. </w:t>
      </w:r>
      <w:r>
        <w:rPr>
          <w:color w:val="231F20"/>
          <w:spacing w:val="-7"/>
        </w:rPr>
        <w:t>Two </w:t>
      </w:r>
      <w:r>
        <w:rPr>
          <w:color w:val="231F20"/>
        </w:rPr>
        <w:t>foodborne disease outbreaks were identified that most likely  would not </w:t>
      </w:r>
      <w:r>
        <w:rPr>
          <w:color w:val="231F20"/>
          <w:spacing w:val="-3"/>
        </w:rPr>
        <w:t>have </w:t>
      </w:r>
      <w:r>
        <w:rPr>
          <w:color w:val="231F20"/>
        </w:rPr>
        <w:t>been identified through other means.</w:t>
      </w:r>
      <w:r>
        <w:rPr>
          <w:color w:val="231F20"/>
          <w:position w:val="7"/>
          <w:sz w:val="11"/>
        </w:rPr>
        <w:t>55</w:t>
      </w:r>
    </w:p>
    <w:p>
      <w:pPr>
        <w:pStyle w:val="BodyText"/>
        <w:spacing w:line="266" w:lineRule="auto" w:before="180"/>
        <w:ind w:left="319" w:right="1172"/>
      </w:pPr>
      <w:r>
        <w:rPr>
          <w:color w:val="231F20"/>
          <w:w w:val="105"/>
        </w:rPr>
        <w:t>Use of Web-based reporting systems has increased over time. In a 2010 survey of</w:t>
      </w:r>
    </w:p>
    <w:p>
      <w:pPr>
        <w:pStyle w:val="BodyText"/>
        <w:spacing w:line="266" w:lineRule="auto"/>
        <w:ind w:left="319" w:right="692"/>
        <w:rPr>
          <w:sz w:val="11"/>
        </w:rPr>
      </w:pPr>
      <w:r>
        <w:rPr>
          <w:color w:val="231F20"/>
          <w:w w:val="105"/>
        </w:rPr>
        <w:t>local health departments, 40% of responding agencies reported that they received illness complaints, at least in part, from Web-based reporting.</w:t>
      </w:r>
      <w:r>
        <w:rPr>
          <w:color w:val="231F20"/>
          <w:w w:val="105"/>
          <w:position w:val="7"/>
          <w:sz w:val="11"/>
        </w:rPr>
        <w:t>54</w:t>
      </w:r>
    </w:p>
    <w:p>
      <w:pPr>
        <w:pStyle w:val="BodyText"/>
        <w:spacing w:line="266" w:lineRule="auto" w:before="180"/>
        <w:ind w:left="319" w:right="668"/>
        <w:rPr>
          <w:sz w:val="11"/>
        </w:rPr>
      </w:pPr>
      <w:r>
        <w:rPr>
          <w:color w:val="231F20"/>
          <w:w w:val="105"/>
        </w:rPr>
        <w:t>The value of illness complaint systems was underscored in the 2010 survey of local health departments in which responding agencies reported that 69% of foodborne disease outbreaks in their jurisdiction were detected through complaint systems. Furthermore, agencies serving a population of one million or more reported that 85% of foodborne disease outbreaks were found through a consumer complaint surveillance system.</w:t>
      </w:r>
      <w:r>
        <w:rPr>
          <w:color w:val="231F20"/>
          <w:w w:val="105"/>
          <w:position w:val="7"/>
          <w:sz w:val="11"/>
        </w:rPr>
        <w:t>54</w:t>
      </w:r>
    </w:p>
    <w:p>
      <w:pPr>
        <w:pStyle w:val="BodyText"/>
        <w:spacing w:line="266" w:lineRule="auto" w:before="180"/>
        <w:ind w:left="319" w:right="650"/>
      </w:pPr>
      <w:r>
        <w:rPr>
          <w:color w:val="231F20"/>
          <w:w w:val="105"/>
        </w:rPr>
        <w:t>FDA and USDA-FSIS also maintain complaint systems and interact with local, state,</w:t>
      </w:r>
    </w:p>
    <w:p>
      <w:pPr>
        <w:pStyle w:val="BodyText"/>
        <w:spacing w:line="266" w:lineRule="auto"/>
        <w:ind w:left="319" w:right="859"/>
      </w:pPr>
      <w:r>
        <w:rPr>
          <w:color w:val="231F20"/>
          <w:w w:val="105"/>
        </w:rPr>
        <w:t>and federal public health agencies during </w:t>
      </w:r>
      <w:r>
        <w:rPr>
          <w:color w:val="231F20"/>
        </w:rPr>
        <w:t>complaint investigations.</w:t>
      </w:r>
    </w:p>
    <w:p>
      <w:pPr>
        <w:pStyle w:val="BodyText"/>
        <w:spacing w:line="266" w:lineRule="auto" w:before="180"/>
        <w:ind w:left="319" w:right="809"/>
      </w:pPr>
      <w:r>
        <w:rPr>
          <w:color w:val="231F20"/>
          <w:w w:val="105"/>
        </w:rPr>
        <w:t>More details on consumer complaint systems can be found in Chapter 4.</w:t>
      </w:r>
    </w:p>
    <w:p>
      <w:pPr>
        <w:pStyle w:val="ListParagraph"/>
        <w:numPr>
          <w:ilvl w:val="3"/>
          <w:numId w:val="6"/>
        </w:numPr>
        <w:tabs>
          <w:tab w:pos="962" w:val="left" w:leader="none"/>
        </w:tabs>
        <w:spacing w:line="266" w:lineRule="auto" w:before="180" w:after="0"/>
        <w:ind w:left="319" w:right="1294" w:firstLine="0"/>
        <w:jc w:val="left"/>
        <w:rPr>
          <w:i/>
          <w:sz w:val="20"/>
        </w:rPr>
      </w:pPr>
      <w:r>
        <w:rPr>
          <w:i/>
          <w:color w:val="E36F1E"/>
          <w:w w:val="105"/>
          <w:sz w:val="20"/>
        </w:rPr>
        <w:t>Contributing</w:t>
      </w:r>
      <w:r>
        <w:rPr>
          <w:i/>
          <w:color w:val="E36F1E"/>
          <w:spacing w:val="-32"/>
          <w:w w:val="105"/>
          <w:sz w:val="20"/>
        </w:rPr>
        <w:t> </w:t>
      </w:r>
      <w:r>
        <w:rPr>
          <w:i/>
          <w:color w:val="E36F1E"/>
          <w:w w:val="105"/>
          <w:sz w:val="20"/>
        </w:rPr>
        <w:t>factor</w:t>
      </w:r>
      <w:r>
        <w:rPr>
          <w:i/>
          <w:color w:val="E36F1E"/>
          <w:spacing w:val="-33"/>
          <w:w w:val="105"/>
          <w:sz w:val="20"/>
        </w:rPr>
        <w:t> </w:t>
      </w:r>
      <w:r>
        <w:rPr>
          <w:i/>
          <w:color w:val="E36F1E"/>
          <w:w w:val="105"/>
          <w:sz w:val="20"/>
        </w:rPr>
        <w:t>and</w:t>
      </w:r>
      <w:r>
        <w:rPr>
          <w:i/>
          <w:color w:val="E36F1E"/>
          <w:spacing w:val="-33"/>
          <w:w w:val="105"/>
          <w:sz w:val="20"/>
        </w:rPr>
        <w:t> </w:t>
      </w:r>
      <w:r>
        <w:rPr>
          <w:i/>
          <w:color w:val="E36F1E"/>
          <w:w w:val="105"/>
          <w:sz w:val="20"/>
        </w:rPr>
        <w:t>environmental </w:t>
      </w:r>
      <w:r>
        <w:rPr>
          <w:i/>
          <w:color w:val="E36F1E"/>
          <w:w w:val="105"/>
          <w:sz w:val="20"/>
        </w:rPr>
        <w:t>antecedent</w:t>
      </w:r>
      <w:r>
        <w:rPr>
          <w:i/>
          <w:color w:val="E36F1E"/>
          <w:spacing w:val="-28"/>
          <w:w w:val="105"/>
          <w:sz w:val="20"/>
        </w:rPr>
        <w:t> </w:t>
      </w:r>
      <w:r>
        <w:rPr>
          <w:i/>
          <w:color w:val="E36F1E"/>
          <w:w w:val="105"/>
          <w:sz w:val="20"/>
        </w:rPr>
        <w:t>surveillance</w:t>
      </w:r>
    </w:p>
    <w:p>
      <w:pPr>
        <w:pStyle w:val="BodyText"/>
        <w:spacing w:line="266" w:lineRule="auto"/>
        <w:ind w:left="319" w:right="763"/>
      </w:pPr>
      <w:r>
        <w:rPr>
          <w:color w:val="231F20"/>
          <w:w w:val="105"/>
        </w:rPr>
        <w:t>Contributing</w:t>
      </w:r>
      <w:r>
        <w:rPr>
          <w:color w:val="231F20"/>
          <w:spacing w:val="-18"/>
          <w:w w:val="105"/>
        </w:rPr>
        <w:t> </w:t>
      </w:r>
      <w:r>
        <w:rPr>
          <w:color w:val="231F20"/>
          <w:w w:val="105"/>
        </w:rPr>
        <w:t>factors</w:t>
      </w:r>
      <w:r>
        <w:rPr>
          <w:color w:val="231F20"/>
          <w:spacing w:val="-18"/>
          <w:w w:val="105"/>
        </w:rPr>
        <w:t> </w:t>
      </w:r>
      <w:r>
        <w:rPr>
          <w:color w:val="231F20"/>
          <w:w w:val="105"/>
        </w:rPr>
        <w:t>are</w:t>
      </w:r>
      <w:r>
        <w:rPr>
          <w:color w:val="231F20"/>
          <w:spacing w:val="-18"/>
          <w:w w:val="105"/>
        </w:rPr>
        <w:t> </w:t>
      </w:r>
      <w:r>
        <w:rPr>
          <w:color w:val="231F20"/>
          <w:w w:val="105"/>
        </w:rPr>
        <w:t>environmental</w:t>
      </w:r>
      <w:r>
        <w:rPr>
          <w:color w:val="231F20"/>
          <w:spacing w:val="-18"/>
          <w:w w:val="105"/>
        </w:rPr>
        <w:t> </w:t>
      </w:r>
      <w:r>
        <w:rPr>
          <w:color w:val="231F20"/>
          <w:w w:val="105"/>
        </w:rPr>
        <w:t>factors that increase the risk for foodborne diseases and repeatedly contribute to foodborne disease outbreaks. The list includes factors that lead to contamination of food with microorganisms</w:t>
      </w:r>
      <w:r>
        <w:rPr>
          <w:color w:val="231F20"/>
          <w:spacing w:val="-24"/>
          <w:w w:val="105"/>
        </w:rPr>
        <w:t> </w:t>
      </w:r>
      <w:r>
        <w:rPr>
          <w:color w:val="231F20"/>
          <w:w w:val="105"/>
        </w:rPr>
        <w:t>or</w:t>
      </w:r>
      <w:r>
        <w:rPr>
          <w:color w:val="231F20"/>
          <w:spacing w:val="-23"/>
          <w:w w:val="105"/>
        </w:rPr>
        <w:t> </w:t>
      </w:r>
      <w:r>
        <w:rPr>
          <w:color w:val="231F20"/>
          <w:w w:val="105"/>
        </w:rPr>
        <w:t>toxins,</w:t>
      </w:r>
      <w:r>
        <w:rPr>
          <w:color w:val="231F20"/>
          <w:spacing w:val="-23"/>
          <w:w w:val="105"/>
        </w:rPr>
        <w:t> </w:t>
      </w:r>
      <w:r>
        <w:rPr>
          <w:color w:val="231F20"/>
          <w:w w:val="105"/>
        </w:rPr>
        <w:t>allow</w:t>
      </w:r>
      <w:r>
        <w:rPr>
          <w:color w:val="231F20"/>
          <w:spacing w:val="-24"/>
          <w:w w:val="105"/>
        </w:rPr>
        <w:t> </w:t>
      </w:r>
      <w:r>
        <w:rPr>
          <w:color w:val="231F20"/>
          <w:w w:val="105"/>
        </w:rPr>
        <w:t>survival</w:t>
      </w:r>
    </w:p>
    <w:p>
      <w:pPr>
        <w:pStyle w:val="BodyText"/>
        <w:spacing w:line="266" w:lineRule="auto"/>
        <w:ind w:left="319" w:right="1132"/>
      </w:pPr>
      <w:r>
        <w:rPr>
          <w:color w:val="231F20"/>
          <w:w w:val="105"/>
        </w:rPr>
        <w:t>and growth of microorganisms in food, or prevent inactivation of toxins present in</w:t>
      </w:r>
      <w:r>
        <w:rPr>
          <w:color w:val="231F20"/>
          <w:spacing w:val="-13"/>
          <w:w w:val="105"/>
        </w:rPr>
        <w:t> </w:t>
      </w:r>
      <w:r>
        <w:rPr>
          <w:color w:val="231F20"/>
          <w:w w:val="105"/>
        </w:rPr>
        <w:t>food.</w:t>
      </w:r>
      <w:r>
        <w:rPr>
          <w:color w:val="231F20"/>
          <w:spacing w:val="-13"/>
          <w:w w:val="105"/>
        </w:rPr>
        <w:t> </w:t>
      </w:r>
      <w:r>
        <w:rPr>
          <w:color w:val="231F20"/>
          <w:w w:val="105"/>
        </w:rPr>
        <w:t>Contributing</w:t>
      </w:r>
      <w:r>
        <w:rPr>
          <w:color w:val="231F20"/>
          <w:spacing w:val="-13"/>
          <w:w w:val="105"/>
        </w:rPr>
        <w:t> </w:t>
      </w:r>
      <w:r>
        <w:rPr>
          <w:color w:val="231F20"/>
          <w:w w:val="105"/>
        </w:rPr>
        <w:t>factors</w:t>
      </w:r>
      <w:r>
        <w:rPr>
          <w:color w:val="231F20"/>
          <w:spacing w:val="-13"/>
          <w:w w:val="105"/>
        </w:rPr>
        <w:t> </w:t>
      </w:r>
      <w:r>
        <w:rPr>
          <w:color w:val="231F20"/>
          <w:w w:val="105"/>
        </w:rPr>
        <w:t>are</w:t>
      </w:r>
      <w:r>
        <w:rPr>
          <w:color w:val="231F20"/>
          <w:spacing w:val="-13"/>
          <w:w w:val="105"/>
        </w:rPr>
        <w:t> </w:t>
      </w:r>
      <w:r>
        <w:rPr>
          <w:color w:val="231F20"/>
          <w:w w:val="105"/>
        </w:rPr>
        <w:t>based</w:t>
      </w:r>
      <w:r>
        <w:rPr>
          <w:color w:val="231F20"/>
          <w:spacing w:val="-13"/>
          <w:w w:val="105"/>
        </w:rPr>
        <w:t> </w:t>
      </w:r>
      <w:r>
        <w:rPr>
          <w:color w:val="231F20"/>
          <w:w w:val="105"/>
        </w:rPr>
        <w:t>on</w:t>
      </w:r>
    </w:p>
    <w:p>
      <w:pPr>
        <w:spacing w:after="0" w:line="266" w:lineRule="auto"/>
        <w:sectPr>
          <w:type w:val="continuous"/>
          <w:pgSz w:w="10080" w:h="14400"/>
          <w:pgMar w:top="0" w:bottom="360" w:left="0" w:right="0"/>
          <w:cols w:num="2" w:equalWidth="0">
            <w:col w:w="5221" w:space="40"/>
            <w:col w:w="4819"/>
          </w:cols>
        </w:sectPr>
      </w:pPr>
    </w:p>
    <w:p>
      <w:pPr>
        <w:pStyle w:val="BodyText"/>
        <w:spacing w:before="8"/>
        <w:rPr>
          <w:sz w:val="26"/>
        </w:rPr>
      </w:pPr>
    </w:p>
    <w:p>
      <w:pPr>
        <w:pStyle w:val="Heading1"/>
        <w:ind w:left="720"/>
      </w:pPr>
      <w:r>
        <w:rPr/>
        <w:pict>
          <v:line style="position:absolute;mso-position-horizontal-relative:page;mso-position-vertical-relative:paragraph;z-index:2224;mso-wrap-distance-left:0;mso-wrap-distance-right:0" from="36pt,23.995163pt" to="432pt,23.995163pt" stroked="true" strokeweight=".5pt" strokecolor="#00a94f">
            <v:stroke dashstyle="solid"/>
            <w10:wrap type="topAndBottom"/>
          </v:line>
        </w:pict>
      </w:r>
      <w:r>
        <w:rPr>
          <w:color w:val="00A94F"/>
          <w:w w:val="95"/>
        </w:rPr>
        <w:t>2.3. Trends in Surveillance</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22"/>
      </w:pPr>
      <w:r>
        <w:rPr>
          <w:color w:val="231F20"/>
          <w:w w:val="105"/>
        </w:rPr>
        <w:t>known microbiological characteristics of and symptoms produced </w:t>
      </w:r>
      <w:r>
        <w:rPr>
          <w:color w:val="231F20"/>
          <w:spacing w:val="-3"/>
          <w:w w:val="105"/>
        </w:rPr>
        <w:t>by </w:t>
      </w:r>
      <w:r>
        <w:rPr>
          <w:color w:val="231F20"/>
          <w:w w:val="105"/>
        </w:rPr>
        <w:t>specific pathogens, toxins,</w:t>
      </w:r>
      <w:r>
        <w:rPr>
          <w:color w:val="231F20"/>
          <w:spacing w:val="-19"/>
          <w:w w:val="105"/>
        </w:rPr>
        <w:t> </w:t>
      </w:r>
      <w:r>
        <w:rPr>
          <w:color w:val="231F20"/>
          <w:w w:val="105"/>
        </w:rPr>
        <w:t>or</w:t>
      </w:r>
      <w:r>
        <w:rPr>
          <w:color w:val="231F20"/>
          <w:spacing w:val="-19"/>
          <w:w w:val="105"/>
        </w:rPr>
        <w:t> </w:t>
      </w:r>
      <w:r>
        <w:rPr>
          <w:color w:val="231F20"/>
          <w:w w:val="105"/>
        </w:rPr>
        <w:t>chemicals</w:t>
      </w:r>
      <w:r>
        <w:rPr>
          <w:color w:val="231F20"/>
          <w:spacing w:val="-19"/>
          <w:w w:val="105"/>
        </w:rPr>
        <w:t> </w:t>
      </w:r>
      <w:r>
        <w:rPr>
          <w:color w:val="231F20"/>
          <w:w w:val="105"/>
        </w:rPr>
        <w:t>and</w:t>
      </w:r>
      <w:r>
        <w:rPr>
          <w:color w:val="231F20"/>
          <w:spacing w:val="-19"/>
          <w:w w:val="105"/>
        </w:rPr>
        <w:t> </w:t>
      </w:r>
      <w:r>
        <w:rPr>
          <w:color w:val="231F20"/>
          <w:w w:val="105"/>
        </w:rPr>
        <w:t>historical</w:t>
      </w:r>
      <w:r>
        <w:rPr>
          <w:color w:val="231F20"/>
          <w:spacing w:val="-19"/>
          <w:w w:val="105"/>
        </w:rPr>
        <w:t> </w:t>
      </w:r>
      <w:r>
        <w:rPr>
          <w:color w:val="231F20"/>
          <w:w w:val="105"/>
        </w:rPr>
        <w:t>associations between</w:t>
      </w:r>
      <w:r>
        <w:rPr>
          <w:color w:val="231F20"/>
          <w:spacing w:val="-21"/>
          <w:w w:val="105"/>
        </w:rPr>
        <w:t> </w:t>
      </w:r>
      <w:r>
        <w:rPr>
          <w:color w:val="231F20"/>
          <w:w w:val="105"/>
        </w:rPr>
        <w:t>known</w:t>
      </w:r>
      <w:r>
        <w:rPr>
          <w:color w:val="231F20"/>
          <w:spacing w:val="-21"/>
          <w:w w:val="105"/>
        </w:rPr>
        <w:t> </w:t>
      </w:r>
      <w:r>
        <w:rPr>
          <w:color w:val="231F20"/>
          <w:w w:val="105"/>
        </w:rPr>
        <w:t>etiologic</w:t>
      </w:r>
      <w:r>
        <w:rPr>
          <w:color w:val="231F20"/>
          <w:spacing w:val="-21"/>
          <w:w w:val="105"/>
        </w:rPr>
        <w:t> </w:t>
      </w:r>
      <w:r>
        <w:rPr>
          <w:color w:val="231F20"/>
          <w:w w:val="105"/>
        </w:rPr>
        <w:t>agents,</w:t>
      </w:r>
      <w:r>
        <w:rPr>
          <w:color w:val="231F20"/>
          <w:spacing w:val="-21"/>
          <w:w w:val="105"/>
        </w:rPr>
        <w:t> </w:t>
      </w:r>
      <w:r>
        <w:rPr>
          <w:color w:val="231F20"/>
          <w:w w:val="105"/>
        </w:rPr>
        <w:t>specific</w:t>
      </w:r>
      <w:r>
        <w:rPr>
          <w:color w:val="231F20"/>
          <w:spacing w:val="-21"/>
          <w:w w:val="105"/>
        </w:rPr>
        <w:t> </w:t>
      </w:r>
      <w:r>
        <w:rPr>
          <w:color w:val="231F20"/>
          <w:w w:val="105"/>
        </w:rPr>
        <w:t>food vehicles,</w:t>
      </w:r>
      <w:r>
        <w:rPr>
          <w:color w:val="231F20"/>
          <w:spacing w:val="-17"/>
          <w:w w:val="105"/>
        </w:rPr>
        <w:t> </w:t>
      </w:r>
      <w:r>
        <w:rPr>
          <w:color w:val="231F20"/>
          <w:w w:val="105"/>
        </w:rPr>
        <w:t>and</w:t>
      </w:r>
      <w:r>
        <w:rPr>
          <w:color w:val="231F20"/>
          <w:spacing w:val="-18"/>
          <w:w w:val="105"/>
        </w:rPr>
        <w:t> </w:t>
      </w:r>
      <w:r>
        <w:rPr>
          <w:color w:val="231F20"/>
          <w:w w:val="105"/>
        </w:rPr>
        <w:t>the</w:t>
      </w:r>
      <w:r>
        <w:rPr>
          <w:color w:val="231F20"/>
          <w:spacing w:val="-18"/>
          <w:w w:val="105"/>
        </w:rPr>
        <w:t> </w:t>
      </w:r>
      <w:r>
        <w:rPr>
          <w:color w:val="231F20"/>
          <w:w w:val="105"/>
        </w:rPr>
        <w:t>setting</w:t>
      </w:r>
      <w:r>
        <w:rPr>
          <w:color w:val="231F20"/>
          <w:spacing w:val="-17"/>
          <w:w w:val="105"/>
        </w:rPr>
        <w:t> </w:t>
      </w:r>
      <w:r>
        <w:rPr>
          <w:color w:val="231F20"/>
          <w:w w:val="105"/>
        </w:rPr>
        <w:t>of</w:t>
      </w:r>
      <w:r>
        <w:rPr>
          <w:color w:val="231F20"/>
          <w:spacing w:val="3"/>
          <w:w w:val="105"/>
        </w:rPr>
        <w:t> </w:t>
      </w:r>
      <w:r>
        <w:rPr>
          <w:color w:val="231F20"/>
          <w:w w:val="105"/>
        </w:rPr>
        <w:t>production.</w:t>
      </w:r>
    </w:p>
    <w:p>
      <w:pPr>
        <w:pStyle w:val="BodyText"/>
        <w:spacing w:line="266" w:lineRule="auto" w:before="180"/>
        <w:ind w:left="720" w:right="22"/>
      </w:pPr>
      <w:r>
        <w:rPr>
          <w:color w:val="231F20"/>
        </w:rPr>
        <w:t>Environmental antecedents—root causes—are </w:t>
      </w:r>
      <w:r>
        <w:rPr>
          <w:color w:val="231F20"/>
          <w:w w:val="105"/>
        </w:rPr>
        <w:t>the underlying reasons for the contributing factors. Environmental antecedents must be identified and addressed for the contributing factors to be prevented.</w:t>
      </w:r>
    </w:p>
    <w:p>
      <w:pPr>
        <w:pStyle w:val="BodyText"/>
        <w:spacing w:line="266" w:lineRule="auto" w:before="180"/>
        <w:ind w:left="720" w:right="71"/>
      </w:pPr>
      <w:r>
        <w:rPr>
          <w:color w:val="231F20"/>
          <w:w w:val="105"/>
        </w:rPr>
        <w:t>Communicable disease control officials or foodborne disease outbreak surveillance officials from state and local health departments gather information about contributing factors and environmental antecedents</w:t>
      </w:r>
      <w:r>
        <w:rPr>
          <w:color w:val="231F20"/>
          <w:spacing w:val="-20"/>
          <w:w w:val="105"/>
        </w:rPr>
        <w:t> </w:t>
      </w:r>
      <w:r>
        <w:rPr>
          <w:color w:val="231F20"/>
          <w:w w:val="105"/>
        </w:rPr>
        <w:t>in</w:t>
      </w:r>
      <w:r>
        <w:rPr>
          <w:color w:val="231F20"/>
          <w:spacing w:val="-20"/>
          <w:w w:val="105"/>
        </w:rPr>
        <w:t> </w:t>
      </w:r>
      <w:r>
        <w:rPr>
          <w:color w:val="231F20"/>
          <w:w w:val="105"/>
        </w:rPr>
        <w:t>outbreaks</w:t>
      </w:r>
      <w:r>
        <w:rPr>
          <w:color w:val="231F20"/>
          <w:spacing w:val="-20"/>
          <w:w w:val="105"/>
        </w:rPr>
        <w:t> </w:t>
      </w:r>
      <w:r>
        <w:rPr>
          <w:color w:val="231F20"/>
          <w:w w:val="105"/>
        </w:rPr>
        <w:t>from</w:t>
      </w:r>
      <w:r>
        <w:rPr>
          <w:color w:val="231F20"/>
          <w:spacing w:val="-20"/>
          <w:w w:val="105"/>
        </w:rPr>
        <w:t> </w:t>
      </w:r>
      <w:r>
        <w:rPr>
          <w:color w:val="231F20"/>
          <w:w w:val="105"/>
        </w:rPr>
        <w:t>environmental health</w:t>
      </w:r>
      <w:r>
        <w:rPr>
          <w:color w:val="231F20"/>
          <w:spacing w:val="-32"/>
          <w:w w:val="105"/>
        </w:rPr>
        <w:t> </w:t>
      </w:r>
      <w:r>
        <w:rPr>
          <w:color w:val="231F20"/>
          <w:w w:val="105"/>
        </w:rPr>
        <w:t>assessments</w:t>
      </w:r>
      <w:r>
        <w:rPr>
          <w:color w:val="231F20"/>
          <w:spacing w:val="-33"/>
          <w:w w:val="105"/>
        </w:rPr>
        <w:t> </w:t>
      </w:r>
      <w:r>
        <w:rPr>
          <w:color w:val="231F20"/>
          <w:w w:val="105"/>
        </w:rPr>
        <w:t>conducted</w:t>
      </w:r>
      <w:r>
        <w:rPr>
          <w:color w:val="231F20"/>
          <w:spacing w:val="-32"/>
          <w:w w:val="105"/>
        </w:rPr>
        <w:t> </w:t>
      </w:r>
      <w:r>
        <w:rPr>
          <w:color w:val="231F20"/>
          <w:spacing w:val="-3"/>
          <w:w w:val="105"/>
        </w:rPr>
        <w:t>by</w:t>
      </w:r>
      <w:r>
        <w:rPr>
          <w:color w:val="231F20"/>
          <w:spacing w:val="-32"/>
          <w:w w:val="105"/>
        </w:rPr>
        <w:t> </w:t>
      </w:r>
      <w:r>
        <w:rPr>
          <w:color w:val="231F20"/>
          <w:w w:val="105"/>
        </w:rPr>
        <w:t>food-control officials</w:t>
      </w:r>
      <w:r>
        <w:rPr>
          <w:color w:val="231F20"/>
          <w:spacing w:val="-18"/>
          <w:w w:val="105"/>
        </w:rPr>
        <w:t> </w:t>
      </w:r>
      <w:r>
        <w:rPr>
          <w:color w:val="231F20"/>
          <w:w w:val="105"/>
        </w:rPr>
        <w:t>from</w:t>
      </w:r>
      <w:r>
        <w:rPr>
          <w:color w:val="231F20"/>
          <w:spacing w:val="-18"/>
          <w:w w:val="105"/>
        </w:rPr>
        <w:t> </w:t>
      </w:r>
      <w:r>
        <w:rPr>
          <w:color w:val="231F20"/>
          <w:w w:val="105"/>
        </w:rPr>
        <w:t>their</w:t>
      </w:r>
      <w:r>
        <w:rPr>
          <w:color w:val="231F20"/>
          <w:spacing w:val="-18"/>
          <w:w w:val="105"/>
        </w:rPr>
        <w:t> </w:t>
      </w:r>
      <w:r>
        <w:rPr>
          <w:color w:val="231F20"/>
          <w:w w:val="105"/>
        </w:rPr>
        <w:t>own</w:t>
      </w:r>
      <w:r>
        <w:rPr>
          <w:color w:val="231F20"/>
          <w:spacing w:val="-18"/>
          <w:w w:val="105"/>
        </w:rPr>
        <w:t> </w:t>
      </w:r>
      <w:r>
        <w:rPr>
          <w:color w:val="231F20"/>
          <w:w w:val="105"/>
        </w:rPr>
        <w:t>environmental</w:t>
      </w:r>
      <w:r>
        <w:rPr>
          <w:color w:val="231F20"/>
          <w:spacing w:val="-18"/>
          <w:w w:val="105"/>
        </w:rPr>
        <w:t> </w:t>
      </w:r>
      <w:r>
        <w:rPr>
          <w:color w:val="231F20"/>
          <w:w w:val="105"/>
        </w:rPr>
        <w:t>health assessments</w:t>
      </w:r>
      <w:r>
        <w:rPr>
          <w:color w:val="231F20"/>
          <w:spacing w:val="-30"/>
          <w:w w:val="105"/>
        </w:rPr>
        <w:t> </w:t>
      </w:r>
      <w:r>
        <w:rPr>
          <w:color w:val="231F20"/>
          <w:w w:val="105"/>
        </w:rPr>
        <w:t>or</w:t>
      </w:r>
      <w:r>
        <w:rPr>
          <w:color w:val="231F20"/>
          <w:spacing w:val="-29"/>
          <w:w w:val="105"/>
        </w:rPr>
        <w:t> </w:t>
      </w:r>
      <w:r>
        <w:rPr>
          <w:color w:val="231F20"/>
          <w:w w:val="105"/>
        </w:rPr>
        <w:t>through</w:t>
      </w:r>
      <w:r>
        <w:rPr>
          <w:color w:val="231F20"/>
          <w:spacing w:val="-29"/>
          <w:w w:val="105"/>
        </w:rPr>
        <w:t> </w:t>
      </w:r>
      <w:r>
        <w:rPr>
          <w:color w:val="231F20"/>
          <w:w w:val="105"/>
        </w:rPr>
        <w:t>some</w:t>
      </w:r>
      <w:r>
        <w:rPr>
          <w:color w:val="231F20"/>
          <w:spacing w:val="-29"/>
          <w:w w:val="105"/>
        </w:rPr>
        <w:t> </w:t>
      </w:r>
      <w:r>
        <w:rPr>
          <w:color w:val="231F20"/>
          <w:w w:val="105"/>
        </w:rPr>
        <w:t>combination</w:t>
      </w:r>
    </w:p>
    <w:p>
      <w:pPr>
        <w:pStyle w:val="BodyText"/>
        <w:spacing w:line="266" w:lineRule="auto"/>
        <w:ind w:left="720" w:right="26"/>
      </w:pPr>
      <w:r>
        <w:rPr>
          <w:color w:val="231F20"/>
        </w:rPr>
        <w:t>of the two and report it to CDC. Factors contributing to an outbreak and their environmental antecedents usually cannot be identified through a regulatory inspection of a food-service or food-production establishment as conducted day to day </w:t>
      </w:r>
      <w:r>
        <w:rPr>
          <w:color w:val="231F20"/>
          <w:spacing w:val="-3"/>
        </w:rPr>
        <w:t>by </w:t>
      </w:r>
      <w:r>
        <w:rPr>
          <w:color w:val="231F20"/>
        </w:rPr>
        <w:t>food-control authorities. The process of identifying contributing factors and environmental antecedents associated with an outbreak must be driven first </w:t>
      </w:r>
      <w:r>
        <w:rPr>
          <w:color w:val="231F20"/>
          <w:spacing w:val="-3"/>
        </w:rPr>
        <w:t>by </w:t>
      </w:r>
      <w:r>
        <w:rPr>
          <w:color w:val="231F20"/>
        </w:rPr>
        <w:t>describing what and how events probably unfolded, focusing on the etiologic agent and the implicated food that  was prepared or served during the outbreak, rather than on identification of regulation violations. Failures to implement regulatory requirements will come to light during the course of  this process but are not the</w:t>
      </w:r>
      <w:r>
        <w:rPr>
          <w:color w:val="231F20"/>
          <w:spacing w:val="-11"/>
        </w:rPr>
        <w:t> </w:t>
      </w:r>
      <w:r>
        <w:rPr>
          <w:color w:val="231F20"/>
        </w:rPr>
        <w:t>focus</w:t>
      </w:r>
    </w:p>
    <w:p>
      <w:pPr>
        <w:pStyle w:val="BodyText"/>
        <w:spacing w:line="266" w:lineRule="auto"/>
        <w:ind w:left="720" w:right="64"/>
      </w:pPr>
      <w:r>
        <w:rPr>
          <w:color w:val="231F20"/>
          <w:w w:val="105"/>
        </w:rPr>
        <w:t>of the environmental health assessment. </w:t>
      </w:r>
      <w:r>
        <w:rPr>
          <w:color w:val="231F20"/>
          <w:spacing w:val="-3"/>
          <w:w w:val="105"/>
        </w:rPr>
        <w:t>Unfortunately, </w:t>
      </w:r>
      <w:r>
        <w:rPr>
          <w:color w:val="231F20"/>
          <w:w w:val="105"/>
        </w:rPr>
        <w:t>many food-control authorities fail to adjust their day-to-day regulatory inspection process to adequately conduct an environmental health assessment during the investigation of an outbreak of foodborne illness; therefore, contributing factors and environmental antecedents often are not adequately assessed and reported.</w:t>
      </w:r>
    </w:p>
    <w:p>
      <w:pPr>
        <w:pStyle w:val="BodyText"/>
        <w:spacing w:line="266" w:lineRule="auto" w:before="108"/>
        <w:ind w:left="377" w:right="1438"/>
      </w:pPr>
      <w:r>
        <w:rPr/>
        <w:br w:type="column"/>
      </w:r>
      <w:r>
        <w:rPr>
          <w:color w:val="231F20"/>
        </w:rPr>
        <w:t>In 2000, CDC established the Environmental Health Specialists Network (EHS-Net) to better provide information about environmental  causes of  foodborne disease. Current participants include environmental health specialists and epidemiologists from eight state and local health departments and from </w:t>
      </w:r>
      <w:r>
        <w:rPr>
          <w:color w:val="231F20"/>
          <w:spacing w:val="-4"/>
        </w:rPr>
        <w:t>FDA, </w:t>
      </w:r>
      <w:r>
        <w:rPr>
          <w:color w:val="231F20"/>
          <w:spacing w:val="-3"/>
        </w:rPr>
        <w:t>USDA-FSIS, </w:t>
      </w:r>
      <w:r>
        <w:rPr>
          <w:color w:val="231F20"/>
          <w:spacing w:val="-9"/>
        </w:rPr>
        <w:t>USDA’s </w:t>
      </w:r>
      <w:r>
        <w:rPr>
          <w:color w:val="231F20"/>
          <w:spacing w:val="-5"/>
        </w:rPr>
        <w:t>Food </w:t>
      </w:r>
      <w:r>
        <w:rPr>
          <w:color w:val="231F20"/>
        </w:rPr>
        <w:t>and Nutrition  Service, and CDC. Improving environmental health assessments in foodborne outbreak investigations  and  reporting  contributing factors and antecedent data to CDC is one of EHS-Net’s  primary</w:t>
      </w:r>
      <w:r>
        <w:rPr>
          <w:color w:val="231F20"/>
          <w:spacing w:val="27"/>
        </w:rPr>
        <w:t> </w:t>
      </w:r>
      <w:r>
        <w:rPr>
          <w:color w:val="231F20"/>
        </w:rPr>
        <w:t>activities.</w:t>
      </w:r>
    </w:p>
    <w:p>
      <w:pPr>
        <w:pStyle w:val="BodyText"/>
        <w:spacing w:line="266" w:lineRule="auto" w:before="180"/>
        <w:ind w:left="377" w:right="1372"/>
        <w:rPr>
          <w:sz w:val="11"/>
        </w:rPr>
      </w:pPr>
      <w:r>
        <w:rPr/>
        <w:pict>
          <v:rect style="position:absolute;margin-left:459pt;margin-top:-140.598648pt;width:45pt;height:18pt;mso-position-horizontal-relative:page;mso-position-vertical-relative:paragraph;z-index:2248" filled="true" fillcolor="#0079c1" stroked="false">
            <v:fill type="solid"/>
            <w10:wrap type="none"/>
          </v:rect>
        </w:pict>
      </w:r>
      <w:r>
        <w:rPr/>
        <w:pict>
          <v:line style="position:absolute;mso-position-horizontal-relative:page;mso-position-vertical-relative:paragraph;z-index:2272" from="450.5pt,-140.599045pt" to="450.5pt,101.298955pt" stroked="true" strokeweight="1pt" strokecolor="#0079c1">
            <v:stroke dashstyle="solid"/>
            <w10:wrap type="none"/>
          </v:line>
        </w:pict>
      </w:r>
      <w:r>
        <w:rPr/>
        <w:pict>
          <v:shape style="position:absolute;margin-left:465.014313pt;margin-top:-118.602249pt;width:22.9pt;height:222.55pt;mso-position-horizontal-relative:page;mso-position-vertical-relative:paragraph;z-index:2296"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135.848053pt;width:15.85pt;height:8.5pt;mso-position-horizontal-relative:page;mso-position-vertical-relative:paragraph;z-index:232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Through EHS-Net, CDC has developed the National </w:t>
      </w:r>
      <w:r>
        <w:rPr>
          <w:color w:val="231F20"/>
          <w:spacing w:val="-3"/>
          <w:w w:val="105"/>
        </w:rPr>
        <w:t>Voluntary </w:t>
      </w:r>
      <w:r>
        <w:rPr>
          <w:color w:val="231F20"/>
          <w:w w:val="105"/>
        </w:rPr>
        <w:t>Environmental Assessment Information System (NVEAIS), a surveillance system that routinely and systematically monitors and evaluates environmental causes of foodborne disease outbreaks, including contributing factors and environmental antecedents. This system links with the existing surveillance system for reporting foodborne disease outbreaks to CDC (see below).</w:t>
      </w:r>
      <w:r>
        <w:rPr>
          <w:color w:val="231F20"/>
          <w:w w:val="105"/>
          <w:position w:val="7"/>
          <w:sz w:val="11"/>
        </w:rPr>
        <w:t>56</w:t>
      </w:r>
    </w:p>
    <w:p>
      <w:pPr>
        <w:pStyle w:val="BodyText"/>
        <w:spacing w:line="266" w:lineRule="auto" w:before="180"/>
        <w:ind w:left="377" w:right="1495"/>
      </w:pPr>
      <w:r>
        <w:rPr>
          <w:color w:val="231F20"/>
          <w:w w:val="105"/>
        </w:rPr>
        <w:t>The information collected through NVEAIS and similar surveillance systems can inform hypothesis generation regarding antecedents to</w:t>
      </w:r>
      <w:r>
        <w:rPr>
          <w:color w:val="231F20"/>
          <w:spacing w:val="-21"/>
          <w:w w:val="105"/>
        </w:rPr>
        <w:t> </w:t>
      </w:r>
      <w:r>
        <w:rPr>
          <w:color w:val="231F20"/>
          <w:w w:val="105"/>
        </w:rPr>
        <w:t>foodborne</w:t>
      </w:r>
      <w:r>
        <w:rPr>
          <w:color w:val="231F20"/>
          <w:spacing w:val="-20"/>
          <w:w w:val="105"/>
        </w:rPr>
        <w:t> </w:t>
      </w:r>
      <w:r>
        <w:rPr>
          <w:color w:val="231F20"/>
          <w:w w:val="105"/>
        </w:rPr>
        <w:t>disease</w:t>
      </w:r>
      <w:r>
        <w:rPr>
          <w:color w:val="231F20"/>
          <w:spacing w:val="-20"/>
          <w:w w:val="105"/>
        </w:rPr>
        <w:t> </w:t>
      </w:r>
      <w:r>
        <w:rPr>
          <w:color w:val="231F20"/>
          <w:w w:val="105"/>
        </w:rPr>
        <w:t>outbreaks</w:t>
      </w:r>
      <w:r>
        <w:rPr>
          <w:color w:val="231F20"/>
          <w:spacing w:val="-21"/>
          <w:w w:val="105"/>
        </w:rPr>
        <w:t> </w:t>
      </w:r>
      <w:r>
        <w:rPr>
          <w:color w:val="231F20"/>
          <w:w w:val="105"/>
        </w:rPr>
        <w:t>and</w:t>
      </w:r>
      <w:r>
        <w:rPr>
          <w:color w:val="231F20"/>
          <w:spacing w:val="-21"/>
          <w:w w:val="105"/>
        </w:rPr>
        <w:t> </w:t>
      </w:r>
      <w:r>
        <w:rPr>
          <w:color w:val="231F20"/>
          <w:w w:val="105"/>
        </w:rPr>
        <w:t>strengthen the ability of food-control authorities to formulate and evaluate the effectiveness of food-safety actions. </w:t>
      </w:r>
      <w:r>
        <w:rPr>
          <w:color w:val="231F20"/>
          <w:spacing w:val="-7"/>
          <w:w w:val="105"/>
        </w:rPr>
        <w:t>For </w:t>
      </w:r>
      <w:r>
        <w:rPr>
          <w:color w:val="231F20"/>
          <w:w w:val="105"/>
        </w:rPr>
        <w:t>example, Delea et al., in</w:t>
      </w:r>
      <w:r>
        <w:rPr>
          <w:color w:val="231F20"/>
          <w:spacing w:val="-16"/>
          <w:w w:val="105"/>
        </w:rPr>
        <w:t> </w:t>
      </w:r>
      <w:r>
        <w:rPr>
          <w:color w:val="231F20"/>
          <w:w w:val="105"/>
        </w:rPr>
        <w:t>an</w:t>
      </w:r>
      <w:r>
        <w:rPr>
          <w:color w:val="231F20"/>
          <w:spacing w:val="-16"/>
          <w:w w:val="105"/>
        </w:rPr>
        <w:t> </w:t>
      </w:r>
      <w:r>
        <w:rPr>
          <w:color w:val="231F20"/>
          <w:w w:val="105"/>
        </w:rPr>
        <w:t>analysis</w:t>
      </w:r>
      <w:r>
        <w:rPr>
          <w:color w:val="231F20"/>
          <w:spacing w:val="-16"/>
          <w:w w:val="105"/>
        </w:rPr>
        <w:t> </w:t>
      </w:r>
      <w:r>
        <w:rPr>
          <w:color w:val="231F20"/>
          <w:w w:val="105"/>
        </w:rPr>
        <w:t>of</w:t>
      </w:r>
      <w:r>
        <w:rPr>
          <w:color w:val="231F20"/>
          <w:spacing w:val="7"/>
          <w:w w:val="105"/>
        </w:rPr>
        <w:t> </w:t>
      </w:r>
      <w:r>
        <w:rPr>
          <w:color w:val="231F20"/>
          <w:w w:val="105"/>
        </w:rPr>
        <w:t>contributing</w:t>
      </w:r>
      <w:r>
        <w:rPr>
          <w:color w:val="231F20"/>
          <w:spacing w:val="-15"/>
          <w:w w:val="105"/>
        </w:rPr>
        <w:t> </w:t>
      </w:r>
      <w:r>
        <w:rPr>
          <w:color w:val="231F20"/>
          <w:w w:val="105"/>
        </w:rPr>
        <w:t>factors</w:t>
      </w:r>
      <w:r>
        <w:rPr>
          <w:color w:val="231F20"/>
          <w:spacing w:val="-16"/>
          <w:w w:val="105"/>
        </w:rPr>
        <w:t> </w:t>
      </w:r>
      <w:r>
        <w:rPr>
          <w:color w:val="231F20"/>
          <w:w w:val="105"/>
        </w:rPr>
        <w:t>from</w:t>
      </w:r>
    </w:p>
    <w:p>
      <w:pPr>
        <w:pStyle w:val="BodyText"/>
        <w:spacing w:line="266" w:lineRule="auto"/>
        <w:ind w:left="377" w:right="1600"/>
      </w:pPr>
      <w:r>
        <w:rPr>
          <w:color w:val="231F20"/>
          <w:w w:val="105"/>
        </w:rPr>
        <w:t>154</w:t>
      </w:r>
      <w:r>
        <w:rPr>
          <w:color w:val="231F20"/>
          <w:spacing w:val="-13"/>
          <w:w w:val="105"/>
        </w:rPr>
        <w:t> </w:t>
      </w:r>
      <w:r>
        <w:rPr>
          <w:color w:val="231F20"/>
          <w:w w:val="105"/>
        </w:rPr>
        <w:t>foodborne</w:t>
      </w:r>
      <w:r>
        <w:rPr>
          <w:color w:val="231F20"/>
          <w:spacing w:val="-13"/>
          <w:w w:val="105"/>
        </w:rPr>
        <w:t> </w:t>
      </w:r>
      <w:r>
        <w:rPr>
          <w:color w:val="231F20"/>
          <w:w w:val="105"/>
        </w:rPr>
        <w:t>disease</w:t>
      </w:r>
      <w:r>
        <w:rPr>
          <w:color w:val="231F20"/>
          <w:spacing w:val="-13"/>
          <w:w w:val="105"/>
        </w:rPr>
        <w:t> </w:t>
      </w:r>
      <w:r>
        <w:rPr>
          <w:color w:val="231F20"/>
          <w:w w:val="105"/>
        </w:rPr>
        <w:t>outbreaks</w:t>
      </w:r>
      <w:r>
        <w:rPr>
          <w:color w:val="231F20"/>
          <w:spacing w:val="-14"/>
          <w:w w:val="105"/>
        </w:rPr>
        <w:t> </w:t>
      </w:r>
      <w:r>
        <w:rPr>
          <w:color w:val="231F20"/>
          <w:w w:val="105"/>
        </w:rPr>
        <w:t>during</w:t>
      </w:r>
      <w:r>
        <w:rPr>
          <w:color w:val="231F20"/>
          <w:spacing w:val="-13"/>
          <w:w w:val="105"/>
        </w:rPr>
        <w:t> </w:t>
      </w:r>
      <w:r>
        <w:rPr>
          <w:color w:val="231F20"/>
          <w:spacing w:val="-4"/>
          <w:w w:val="105"/>
        </w:rPr>
        <w:t>June </w:t>
      </w:r>
      <w:r>
        <w:rPr>
          <w:color w:val="231F20"/>
          <w:w w:val="105"/>
        </w:rPr>
        <w:t>2006–September 2007, identified lack of paid sick </w:t>
      </w:r>
      <w:r>
        <w:rPr>
          <w:color w:val="231F20"/>
          <w:spacing w:val="-3"/>
          <w:w w:val="105"/>
        </w:rPr>
        <w:t>leave, </w:t>
      </w:r>
      <w:r>
        <w:rPr>
          <w:color w:val="231F20"/>
          <w:w w:val="105"/>
        </w:rPr>
        <w:t>language barriers between management and workers, and inadequate hand sink availability as</w:t>
      </w:r>
      <w:r>
        <w:rPr>
          <w:color w:val="231F20"/>
          <w:spacing w:val="-35"/>
          <w:w w:val="105"/>
        </w:rPr>
        <w:t> </w:t>
      </w:r>
      <w:r>
        <w:rPr>
          <w:color w:val="231F20"/>
          <w:w w:val="105"/>
        </w:rPr>
        <w:t>environmental</w:t>
      </w:r>
    </w:p>
    <w:p>
      <w:pPr>
        <w:pStyle w:val="BodyText"/>
        <w:spacing w:line="266" w:lineRule="auto"/>
        <w:ind w:left="377" w:right="1547"/>
        <w:rPr>
          <w:sz w:val="11"/>
        </w:rPr>
      </w:pPr>
      <w:r>
        <w:rPr>
          <w:color w:val="231F20"/>
          <w:w w:val="105"/>
        </w:rPr>
        <w:t>antecedents</w:t>
      </w:r>
      <w:r>
        <w:rPr>
          <w:color w:val="231F20"/>
          <w:spacing w:val="-23"/>
          <w:w w:val="105"/>
        </w:rPr>
        <w:t> </w:t>
      </w:r>
      <w:r>
        <w:rPr>
          <w:color w:val="231F20"/>
          <w:w w:val="105"/>
        </w:rPr>
        <w:t>for</w:t>
      </w:r>
      <w:r>
        <w:rPr>
          <w:color w:val="231F20"/>
          <w:spacing w:val="-23"/>
          <w:w w:val="105"/>
        </w:rPr>
        <w:t> </w:t>
      </w:r>
      <w:r>
        <w:rPr>
          <w:color w:val="231F20"/>
          <w:w w:val="105"/>
        </w:rPr>
        <w:t>food</w:t>
      </w:r>
      <w:r>
        <w:rPr>
          <w:color w:val="231F20"/>
          <w:spacing w:val="-23"/>
          <w:w w:val="105"/>
        </w:rPr>
        <w:t> </w:t>
      </w:r>
      <w:r>
        <w:rPr>
          <w:color w:val="231F20"/>
          <w:w w:val="105"/>
        </w:rPr>
        <w:t>workers</w:t>
      </w:r>
      <w:r>
        <w:rPr>
          <w:color w:val="231F20"/>
          <w:spacing w:val="-23"/>
          <w:w w:val="105"/>
        </w:rPr>
        <w:t> </w:t>
      </w:r>
      <w:r>
        <w:rPr>
          <w:color w:val="231F20"/>
          <w:w w:val="105"/>
        </w:rPr>
        <w:t>working</w:t>
      </w:r>
      <w:r>
        <w:rPr>
          <w:color w:val="231F20"/>
          <w:spacing w:val="-23"/>
          <w:w w:val="105"/>
        </w:rPr>
        <w:t> </w:t>
      </w:r>
      <w:r>
        <w:rPr>
          <w:color w:val="231F20"/>
          <w:w w:val="105"/>
        </w:rPr>
        <w:t>while</w:t>
      </w:r>
      <w:r>
        <w:rPr>
          <w:color w:val="231F20"/>
          <w:spacing w:val="-23"/>
          <w:w w:val="105"/>
        </w:rPr>
        <w:t> </w:t>
      </w:r>
      <w:r>
        <w:rPr>
          <w:color w:val="231F20"/>
          <w:w w:val="105"/>
        </w:rPr>
        <w:t>ill and poor hand-washing</w:t>
      </w:r>
      <w:r>
        <w:rPr>
          <w:color w:val="231F20"/>
          <w:spacing w:val="-28"/>
          <w:w w:val="105"/>
        </w:rPr>
        <w:t> </w:t>
      </w:r>
      <w:r>
        <w:rPr>
          <w:color w:val="231F20"/>
          <w:w w:val="105"/>
        </w:rPr>
        <w:t>practices.</w:t>
      </w:r>
      <w:r>
        <w:rPr>
          <w:color w:val="231F20"/>
          <w:w w:val="105"/>
          <w:position w:val="7"/>
          <w:sz w:val="11"/>
        </w:rPr>
        <w:t>57</w:t>
      </w:r>
    </w:p>
    <w:p>
      <w:pPr>
        <w:pStyle w:val="ListParagraph"/>
        <w:numPr>
          <w:ilvl w:val="3"/>
          <w:numId w:val="6"/>
        </w:numPr>
        <w:tabs>
          <w:tab w:pos="1020" w:val="left" w:leader="none"/>
        </w:tabs>
        <w:spacing w:line="266" w:lineRule="auto" w:before="180" w:after="0"/>
        <w:ind w:left="377" w:right="1440" w:firstLine="0"/>
        <w:jc w:val="left"/>
        <w:rPr>
          <w:sz w:val="20"/>
        </w:rPr>
      </w:pPr>
      <w:r>
        <w:rPr>
          <w:i/>
          <w:color w:val="E36F1E"/>
          <w:w w:val="105"/>
          <w:sz w:val="20"/>
        </w:rPr>
        <w:t>Hazard</w:t>
      </w:r>
      <w:r>
        <w:rPr>
          <w:i/>
          <w:color w:val="E36F1E"/>
          <w:spacing w:val="-21"/>
          <w:w w:val="105"/>
          <w:sz w:val="20"/>
        </w:rPr>
        <w:t> </w:t>
      </w:r>
      <w:r>
        <w:rPr>
          <w:i/>
          <w:color w:val="E36F1E"/>
          <w:w w:val="105"/>
          <w:sz w:val="20"/>
        </w:rPr>
        <w:t>surveillance</w:t>
      </w:r>
      <w:r>
        <w:rPr>
          <w:i/>
          <w:color w:val="E36F1E"/>
          <w:spacing w:val="-21"/>
          <w:w w:val="105"/>
          <w:sz w:val="20"/>
        </w:rPr>
        <w:t> </w:t>
      </w:r>
      <w:r>
        <w:rPr>
          <w:i/>
          <w:color w:val="E36F1E"/>
          <w:w w:val="105"/>
          <w:sz w:val="20"/>
        </w:rPr>
        <w:t>during</w:t>
      </w:r>
      <w:r>
        <w:rPr>
          <w:i/>
          <w:color w:val="E36F1E"/>
          <w:spacing w:val="-22"/>
          <w:w w:val="105"/>
          <w:sz w:val="20"/>
        </w:rPr>
        <w:t> </w:t>
      </w:r>
      <w:r>
        <w:rPr>
          <w:i/>
          <w:color w:val="E36F1E"/>
          <w:w w:val="105"/>
          <w:sz w:val="20"/>
        </w:rPr>
        <w:t>routine</w:t>
      </w:r>
      <w:r>
        <w:rPr>
          <w:i/>
          <w:color w:val="E36F1E"/>
          <w:spacing w:val="-22"/>
          <w:w w:val="105"/>
          <w:sz w:val="20"/>
        </w:rPr>
        <w:t> </w:t>
      </w:r>
      <w:r>
        <w:rPr>
          <w:i/>
          <w:color w:val="E36F1E"/>
          <w:w w:val="105"/>
          <w:sz w:val="20"/>
        </w:rPr>
        <w:t>inspections </w:t>
      </w:r>
      <w:r>
        <w:rPr>
          <w:color w:val="231F20"/>
          <w:w w:val="105"/>
          <w:sz w:val="20"/>
        </w:rPr>
        <w:t>Approximately 75 state and territorial agencies and approximately 3000 local agencies assume the primary responsibility for licensing and inspecting retail food-service establishments.</w:t>
      </w:r>
      <w:r>
        <w:rPr>
          <w:color w:val="231F20"/>
          <w:w w:val="105"/>
          <w:position w:val="7"/>
          <w:sz w:val="11"/>
        </w:rPr>
        <w:t>58 </w:t>
      </w:r>
      <w:r>
        <w:rPr>
          <w:color w:val="231F20"/>
          <w:w w:val="105"/>
          <w:sz w:val="20"/>
        </w:rPr>
        <w:t>Many</w:t>
      </w:r>
      <w:r>
        <w:rPr>
          <w:color w:val="231F20"/>
          <w:spacing w:val="-14"/>
          <w:w w:val="105"/>
          <w:sz w:val="20"/>
        </w:rPr>
        <w:t> </w:t>
      </w:r>
      <w:r>
        <w:rPr>
          <w:color w:val="231F20"/>
          <w:w w:val="105"/>
          <w:sz w:val="20"/>
        </w:rPr>
        <w:t>of</w:t>
      </w:r>
      <w:r>
        <w:rPr>
          <w:color w:val="231F20"/>
          <w:spacing w:val="9"/>
          <w:w w:val="105"/>
          <w:sz w:val="20"/>
        </w:rPr>
        <w:t> </w:t>
      </w:r>
      <w:r>
        <w:rPr>
          <w:color w:val="231F20"/>
          <w:w w:val="105"/>
          <w:sz w:val="20"/>
        </w:rPr>
        <w:t>these</w:t>
      </w:r>
      <w:r>
        <w:rPr>
          <w:color w:val="231F20"/>
          <w:spacing w:val="-14"/>
          <w:w w:val="105"/>
          <w:sz w:val="20"/>
        </w:rPr>
        <w:t> </w:t>
      </w:r>
      <w:r>
        <w:rPr>
          <w:color w:val="231F20"/>
          <w:w w:val="105"/>
          <w:sz w:val="20"/>
        </w:rPr>
        <w:t>same</w:t>
      </w:r>
      <w:r>
        <w:rPr>
          <w:color w:val="231F20"/>
          <w:spacing w:val="-13"/>
          <w:w w:val="105"/>
          <w:sz w:val="20"/>
        </w:rPr>
        <w:t> </w:t>
      </w:r>
      <w:r>
        <w:rPr>
          <w:color w:val="231F20"/>
          <w:w w:val="105"/>
          <w:sz w:val="20"/>
        </w:rPr>
        <w:t>agencies</w:t>
      </w:r>
      <w:r>
        <w:rPr>
          <w:color w:val="231F20"/>
          <w:spacing w:val="-14"/>
          <w:w w:val="105"/>
          <w:sz w:val="20"/>
        </w:rPr>
        <w:t> </w:t>
      </w:r>
      <w:r>
        <w:rPr>
          <w:color w:val="231F20"/>
          <w:w w:val="105"/>
          <w:sz w:val="20"/>
        </w:rPr>
        <w:t>oversee</w:t>
      </w:r>
      <w:r>
        <w:rPr>
          <w:color w:val="231F20"/>
          <w:spacing w:val="-13"/>
          <w:w w:val="105"/>
          <w:sz w:val="20"/>
        </w:rPr>
        <w:t> </w:t>
      </w:r>
      <w:r>
        <w:rPr>
          <w:color w:val="231F20"/>
          <w:w w:val="105"/>
          <w:sz w:val="20"/>
        </w:rPr>
        <w:t>other</w:t>
      </w:r>
    </w:p>
    <w:p>
      <w:pPr>
        <w:spacing w:after="0" w:line="266" w:lineRule="auto"/>
        <w:jc w:val="left"/>
        <w:rPr>
          <w:sz w:val="20"/>
        </w:rPr>
        <w:sectPr>
          <w:type w:val="continuous"/>
          <w:pgSz w:w="10080" w:h="14400"/>
          <w:pgMar w:top="0" w:bottom="360" w:left="0" w:right="0"/>
          <w:cols w:num="2" w:equalWidth="0">
            <w:col w:w="4443" w:space="40"/>
            <w:col w:w="5597"/>
          </w:cols>
        </w:sectPr>
      </w:pPr>
    </w:p>
    <w:p>
      <w:pPr>
        <w:pStyle w:val="BodyText"/>
        <w:spacing w:before="8"/>
        <w:rPr>
          <w:sz w:val="10"/>
        </w:rPr>
      </w:pPr>
    </w:p>
    <w:p>
      <w:pPr>
        <w:pStyle w:val="Heading1"/>
        <w:ind w:left="1440"/>
      </w:pPr>
      <w:r>
        <w:rPr/>
        <w:pict>
          <v:line style="position:absolute;mso-position-horizontal-relative:page;mso-position-vertical-relative:paragraph;z-index:2344;mso-wrap-distance-left:0;mso-wrap-distance-right:0" from="72pt,23.995163pt" to="468pt,23.995163pt" stroked="true" strokeweight=".5pt" strokecolor="#00a94f">
            <v:stroke dashstyle="solid"/>
            <w10:wrap type="topAndBottom"/>
          </v:line>
        </w:pict>
      </w:r>
      <w:r>
        <w:rPr>
          <w:color w:val="00A94F"/>
          <w:w w:val="95"/>
        </w:rPr>
        <w:t>2.3. Trends in Surveillance</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26"/>
        <w:rPr>
          <w:sz w:val="11"/>
        </w:rPr>
      </w:pPr>
      <w:r>
        <w:rPr/>
        <w:pict>
          <v:rect style="position:absolute;margin-left:0pt;margin-top:27.299353pt;width:45pt;height:18pt;mso-position-horizontal-relative:page;mso-position-vertical-relative:paragraph;z-index:2368" filled="true" fillcolor="#0079c1" stroked="false">
            <v:fill type="solid"/>
            <w10:wrap type="none"/>
          </v:rect>
        </w:pict>
      </w:r>
      <w:r>
        <w:rPr/>
        <w:pict>
          <v:line style="position:absolute;mso-position-horizontal-relative:page;mso-position-vertical-relative:paragraph;z-index:2392" from="54.5pt,27.300953pt" to="54.5pt,269.198953pt" stroked="true" strokeweight="1pt" strokecolor="#0079c1">
            <v:stroke dashstyle="solid"/>
            <w10:wrap type="none"/>
          </v:line>
        </w:pict>
      </w:r>
      <w:r>
        <w:rPr/>
        <w:pict>
          <v:shape style="position:absolute;margin-left:16.131701pt;margin-top:48.847244pt;width:22.9pt;height:222.55pt;mso-position-horizontal-relative:page;mso-position-vertical-relative:paragraph;z-index:2416"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32.095806pt;width:15.85pt;height:8.5pt;mso-position-horizontal-relative:page;mso-position-vertical-relative:paragraph;z-index:2440"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rPr>
        <w:t>aspects of the domestic food supply chain. The retail food -service industry alone consists of more than one million establishments and 16 million employees.</w:t>
      </w:r>
      <w:r>
        <w:rPr>
          <w:color w:val="231F20"/>
          <w:position w:val="7"/>
          <w:sz w:val="11"/>
        </w:rPr>
        <w:t>56</w:t>
      </w:r>
    </w:p>
    <w:p>
      <w:pPr>
        <w:pStyle w:val="BodyText"/>
        <w:spacing w:line="266" w:lineRule="auto" w:before="180"/>
        <w:ind w:left="1440" w:right="125"/>
      </w:pPr>
      <w:r>
        <w:rPr>
          <w:color w:val="231F20"/>
          <w:w w:val="105"/>
        </w:rPr>
        <w:t>Contributing factors are used to develop prevention and control measures at food production and food-service establishments before a foodborne disease outbreak occurs. Inspections of these facilities, often referred to as Hazard Analysis Critical Control Point (HACCP) inspections, are targeted at the implementation of these prevention and control</w:t>
      </w:r>
      <w:r>
        <w:rPr>
          <w:color w:val="231F20"/>
          <w:spacing w:val="-24"/>
          <w:w w:val="105"/>
        </w:rPr>
        <w:t> </w:t>
      </w:r>
      <w:r>
        <w:rPr>
          <w:color w:val="231F20"/>
          <w:w w:val="105"/>
        </w:rPr>
        <w:t>measures.</w:t>
      </w:r>
      <w:r>
        <w:rPr>
          <w:color w:val="231F20"/>
          <w:spacing w:val="-24"/>
          <w:w w:val="105"/>
        </w:rPr>
        <w:t> </w:t>
      </w:r>
      <w:r>
        <w:rPr>
          <w:color w:val="231F20"/>
          <w:w w:val="105"/>
        </w:rPr>
        <w:t>Results</w:t>
      </w:r>
      <w:r>
        <w:rPr>
          <w:color w:val="231F20"/>
          <w:spacing w:val="-25"/>
          <w:w w:val="105"/>
        </w:rPr>
        <w:t> </w:t>
      </w:r>
      <w:r>
        <w:rPr>
          <w:color w:val="231F20"/>
          <w:w w:val="105"/>
        </w:rPr>
        <w:t>of</w:t>
      </w:r>
      <w:r>
        <w:rPr>
          <w:color w:val="231F20"/>
          <w:spacing w:val="-8"/>
          <w:w w:val="105"/>
        </w:rPr>
        <w:t> </w:t>
      </w:r>
      <w:r>
        <w:rPr>
          <w:color w:val="231F20"/>
          <w:w w:val="105"/>
        </w:rPr>
        <w:t>these</w:t>
      </w:r>
      <w:r>
        <w:rPr>
          <w:color w:val="231F20"/>
          <w:spacing w:val="-25"/>
          <w:w w:val="105"/>
        </w:rPr>
        <w:t> </w:t>
      </w:r>
      <w:r>
        <w:rPr>
          <w:color w:val="231F20"/>
          <w:w w:val="105"/>
        </w:rPr>
        <w:t>inspections form</w:t>
      </w:r>
      <w:r>
        <w:rPr>
          <w:color w:val="231F20"/>
          <w:spacing w:val="-15"/>
          <w:w w:val="105"/>
        </w:rPr>
        <w:t> </w:t>
      </w:r>
      <w:r>
        <w:rPr>
          <w:color w:val="231F20"/>
          <w:w w:val="105"/>
        </w:rPr>
        <w:t>the</w:t>
      </w:r>
      <w:r>
        <w:rPr>
          <w:color w:val="231F20"/>
          <w:spacing w:val="-15"/>
          <w:w w:val="105"/>
        </w:rPr>
        <w:t> </w:t>
      </w:r>
      <w:r>
        <w:rPr>
          <w:color w:val="231F20"/>
          <w:w w:val="105"/>
        </w:rPr>
        <w:t>basis</w:t>
      </w:r>
      <w:r>
        <w:rPr>
          <w:color w:val="231F20"/>
          <w:spacing w:val="-15"/>
          <w:w w:val="105"/>
        </w:rPr>
        <w:t> </w:t>
      </w:r>
      <w:r>
        <w:rPr>
          <w:color w:val="231F20"/>
          <w:w w:val="105"/>
        </w:rPr>
        <w:t>for</w:t>
      </w:r>
      <w:r>
        <w:rPr>
          <w:color w:val="231F20"/>
          <w:spacing w:val="-15"/>
          <w:w w:val="105"/>
        </w:rPr>
        <w:t> </w:t>
      </w:r>
      <w:r>
        <w:rPr>
          <w:color w:val="231F20"/>
          <w:w w:val="105"/>
        </w:rPr>
        <w:t>hazard</w:t>
      </w:r>
      <w:r>
        <w:rPr>
          <w:color w:val="231F20"/>
          <w:spacing w:val="-15"/>
          <w:w w:val="105"/>
        </w:rPr>
        <w:t> </w:t>
      </w:r>
      <w:r>
        <w:rPr>
          <w:color w:val="231F20"/>
          <w:w w:val="105"/>
        </w:rPr>
        <w:t>surveillance.</w:t>
      </w:r>
    </w:p>
    <w:p>
      <w:pPr>
        <w:pStyle w:val="BodyText"/>
        <w:spacing w:line="266" w:lineRule="auto" w:before="180"/>
        <w:ind w:left="1440" w:right="26"/>
      </w:pPr>
      <w:r>
        <w:rPr>
          <w:color w:val="231F20"/>
          <w:w w:val="105"/>
        </w:rPr>
        <w:t>No national hazard surveillance system is available to food-control authorities, although work</w:t>
      </w:r>
      <w:r>
        <w:rPr>
          <w:color w:val="231F20"/>
          <w:spacing w:val="-18"/>
          <w:w w:val="105"/>
        </w:rPr>
        <w:t> </w:t>
      </w:r>
      <w:r>
        <w:rPr>
          <w:color w:val="231F20"/>
          <w:w w:val="105"/>
        </w:rPr>
        <w:t>being</w:t>
      </w:r>
      <w:r>
        <w:rPr>
          <w:color w:val="231F20"/>
          <w:spacing w:val="-18"/>
          <w:w w:val="105"/>
        </w:rPr>
        <w:t> </w:t>
      </w:r>
      <w:r>
        <w:rPr>
          <w:color w:val="231F20"/>
          <w:w w:val="105"/>
        </w:rPr>
        <w:t>conducted</w:t>
      </w:r>
      <w:r>
        <w:rPr>
          <w:color w:val="231F20"/>
          <w:spacing w:val="-18"/>
          <w:w w:val="105"/>
        </w:rPr>
        <w:t> </w:t>
      </w:r>
      <w:r>
        <w:rPr>
          <w:color w:val="231F20"/>
          <w:w w:val="105"/>
        </w:rPr>
        <w:t>through</w:t>
      </w:r>
      <w:r>
        <w:rPr>
          <w:color w:val="231F20"/>
          <w:spacing w:val="-18"/>
          <w:w w:val="105"/>
        </w:rPr>
        <w:t> </w:t>
      </w:r>
      <w:r>
        <w:rPr>
          <w:color w:val="231F20"/>
          <w:w w:val="105"/>
        </w:rPr>
        <w:t>the</w:t>
      </w:r>
      <w:r>
        <w:rPr>
          <w:color w:val="231F20"/>
          <w:spacing w:val="-18"/>
          <w:w w:val="105"/>
        </w:rPr>
        <w:t> </w:t>
      </w:r>
      <w:r>
        <w:rPr>
          <w:color w:val="231F20"/>
          <w:w w:val="105"/>
        </w:rPr>
        <w:t>Conference for</w:t>
      </w:r>
      <w:r>
        <w:rPr>
          <w:color w:val="231F20"/>
          <w:spacing w:val="-14"/>
          <w:w w:val="105"/>
        </w:rPr>
        <w:t> </w:t>
      </w:r>
      <w:r>
        <w:rPr>
          <w:color w:val="231F20"/>
          <w:spacing w:val="-5"/>
          <w:w w:val="105"/>
        </w:rPr>
        <w:t>Food</w:t>
      </w:r>
      <w:r>
        <w:rPr>
          <w:color w:val="231F20"/>
          <w:spacing w:val="-14"/>
          <w:w w:val="105"/>
        </w:rPr>
        <w:t> </w:t>
      </w:r>
      <w:r>
        <w:rPr>
          <w:color w:val="231F20"/>
          <w:w w:val="105"/>
        </w:rPr>
        <w:t>Protection</w:t>
      </w:r>
      <w:r>
        <w:rPr>
          <w:color w:val="231F20"/>
          <w:spacing w:val="-14"/>
          <w:w w:val="105"/>
        </w:rPr>
        <w:t> </w:t>
      </w:r>
      <w:r>
        <w:rPr>
          <w:color w:val="231F20"/>
          <w:w w:val="105"/>
        </w:rPr>
        <w:t>may</w:t>
      </w:r>
      <w:r>
        <w:rPr>
          <w:color w:val="231F20"/>
          <w:spacing w:val="-15"/>
          <w:w w:val="105"/>
        </w:rPr>
        <w:t> </w:t>
      </w:r>
      <w:r>
        <w:rPr>
          <w:color w:val="231F20"/>
          <w:w w:val="105"/>
        </w:rPr>
        <w:t>evolve</w:t>
      </w:r>
      <w:r>
        <w:rPr>
          <w:color w:val="231F20"/>
          <w:spacing w:val="-14"/>
          <w:w w:val="105"/>
        </w:rPr>
        <w:t> </w:t>
      </w:r>
      <w:r>
        <w:rPr>
          <w:color w:val="231F20"/>
          <w:w w:val="105"/>
        </w:rPr>
        <w:t>into</w:t>
      </w:r>
      <w:r>
        <w:rPr>
          <w:color w:val="231F20"/>
          <w:spacing w:val="-14"/>
          <w:w w:val="105"/>
        </w:rPr>
        <w:t> </w:t>
      </w:r>
      <w:r>
        <w:rPr>
          <w:color w:val="231F20"/>
          <w:w w:val="105"/>
        </w:rPr>
        <w:t>a</w:t>
      </w:r>
      <w:r>
        <w:rPr>
          <w:color w:val="231F20"/>
          <w:spacing w:val="-14"/>
          <w:w w:val="105"/>
        </w:rPr>
        <w:t> </w:t>
      </w:r>
      <w:r>
        <w:rPr>
          <w:color w:val="231F20"/>
          <w:w w:val="105"/>
        </w:rPr>
        <w:t>national system.</w:t>
      </w:r>
    </w:p>
    <w:p>
      <w:pPr>
        <w:pStyle w:val="ListParagraph"/>
        <w:numPr>
          <w:ilvl w:val="3"/>
          <w:numId w:val="7"/>
        </w:numPr>
        <w:tabs>
          <w:tab w:pos="2082" w:val="left" w:leader="none"/>
        </w:tabs>
        <w:spacing w:line="266" w:lineRule="auto" w:before="180" w:after="0"/>
        <w:ind w:left="1440" w:right="488" w:firstLine="0"/>
        <w:jc w:val="left"/>
        <w:rPr>
          <w:i/>
          <w:sz w:val="20"/>
        </w:rPr>
      </w:pPr>
      <w:r>
        <w:rPr>
          <w:i/>
          <w:color w:val="E36F1E"/>
          <w:sz w:val="20"/>
        </w:rPr>
        <w:t>Foodborne Diseases Active Surveillance </w:t>
      </w:r>
      <w:r>
        <w:rPr>
          <w:i/>
          <w:color w:val="E36F1E"/>
          <w:sz w:val="20"/>
        </w:rPr>
        <w:t>Network</w:t>
      </w:r>
    </w:p>
    <w:p>
      <w:pPr>
        <w:pStyle w:val="BodyText"/>
        <w:spacing w:line="266" w:lineRule="auto"/>
        <w:ind w:left="1440" w:right="110"/>
      </w:pPr>
      <w:r>
        <w:rPr>
          <w:color w:val="231F20"/>
          <w:w w:val="105"/>
        </w:rPr>
        <w:t>The Foodborne Diseases Active Surveillance Network (FoodNet) conducts active, population-based surveillance for laboratory- confirmed infections caused by nine pathogens and one syndrome commonly</w:t>
      </w:r>
    </w:p>
    <w:p>
      <w:pPr>
        <w:pStyle w:val="BodyText"/>
        <w:spacing w:line="266" w:lineRule="auto"/>
        <w:ind w:left="1440" w:right="-6"/>
      </w:pPr>
      <w:r>
        <w:rPr>
          <w:color w:val="231F20"/>
          <w:w w:val="105"/>
        </w:rPr>
        <w:t>transmitted</w:t>
      </w:r>
      <w:r>
        <w:rPr>
          <w:color w:val="231F20"/>
          <w:spacing w:val="-21"/>
          <w:w w:val="105"/>
        </w:rPr>
        <w:t> </w:t>
      </w:r>
      <w:r>
        <w:rPr>
          <w:color w:val="231F20"/>
          <w:w w:val="105"/>
        </w:rPr>
        <w:t>through</w:t>
      </w:r>
      <w:r>
        <w:rPr>
          <w:color w:val="231F20"/>
          <w:spacing w:val="-20"/>
          <w:w w:val="105"/>
        </w:rPr>
        <w:t> </w:t>
      </w:r>
      <w:r>
        <w:rPr>
          <w:color w:val="231F20"/>
          <w:w w:val="105"/>
        </w:rPr>
        <w:t>food.</w:t>
      </w:r>
      <w:r>
        <w:rPr>
          <w:color w:val="231F20"/>
          <w:spacing w:val="-20"/>
          <w:w w:val="105"/>
        </w:rPr>
        <w:t> </w:t>
      </w:r>
      <w:r>
        <w:rPr>
          <w:color w:val="231F20"/>
          <w:spacing w:val="-3"/>
          <w:w w:val="105"/>
        </w:rPr>
        <w:t>FoodNet</w:t>
      </w:r>
      <w:r>
        <w:rPr>
          <w:color w:val="231F20"/>
          <w:spacing w:val="-20"/>
          <w:w w:val="105"/>
        </w:rPr>
        <w:t> </w:t>
      </w:r>
      <w:r>
        <w:rPr>
          <w:color w:val="231F20"/>
          <w:w w:val="105"/>
        </w:rPr>
        <w:t>is</w:t>
      </w:r>
      <w:r>
        <w:rPr>
          <w:color w:val="231F20"/>
          <w:spacing w:val="-20"/>
          <w:w w:val="105"/>
        </w:rPr>
        <w:t> </w:t>
      </w:r>
      <w:r>
        <w:rPr>
          <w:color w:val="231F20"/>
          <w:w w:val="105"/>
        </w:rPr>
        <w:t>a</w:t>
      </w:r>
      <w:r>
        <w:rPr>
          <w:color w:val="231F20"/>
          <w:spacing w:val="-20"/>
          <w:w w:val="105"/>
        </w:rPr>
        <w:t> </w:t>
      </w:r>
      <w:r>
        <w:rPr>
          <w:color w:val="231F20"/>
          <w:w w:val="105"/>
        </w:rPr>
        <w:t>sentinel surveillance</w:t>
      </w:r>
      <w:r>
        <w:rPr>
          <w:color w:val="231F20"/>
          <w:spacing w:val="-18"/>
          <w:w w:val="105"/>
        </w:rPr>
        <w:t> </w:t>
      </w:r>
      <w:r>
        <w:rPr>
          <w:color w:val="231F20"/>
          <w:w w:val="105"/>
        </w:rPr>
        <w:t>system,</w:t>
      </w:r>
      <w:r>
        <w:rPr>
          <w:color w:val="231F20"/>
          <w:spacing w:val="-16"/>
          <w:w w:val="105"/>
        </w:rPr>
        <w:t> </w:t>
      </w:r>
      <w:r>
        <w:rPr>
          <w:color w:val="231F20"/>
          <w:w w:val="105"/>
        </w:rPr>
        <w:t>covering</w:t>
      </w:r>
      <w:r>
        <w:rPr>
          <w:color w:val="231F20"/>
          <w:spacing w:val="-18"/>
          <w:w w:val="105"/>
        </w:rPr>
        <w:t> </w:t>
      </w:r>
      <w:r>
        <w:rPr>
          <w:color w:val="231F20"/>
          <w:w w:val="105"/>
        </w:rPr>
        <w:t>15%</w:t>
      </w:r>
      <w:r>
        <w:rPr>
          <w:color w:val="231F20"/>
          <w:spacing w:val="-17"/>
          <w:w w:val="105"/>
        </w:rPr>
        <w:t> </w:t>
      </w:r>
      <w:r>
        <w:rPr>
          <w:color w:val="231F20"/>
          <w:w w:val="105"/>
        </w:rPr>
        <w:t>of</w:t>
      </w:r>
      <w:r>
        <w:rPr>
          <w:color w:val="231F20"/>
          <w:spacing w:val="3"/>
          <w:w w:val="105"/>
        </w:rPr>
        <w:t> </w:t>
      </w:r>
      <w:r>
        <w:rPr>
          <w:color w:val="231F20"/>
          <w:w w:val="105"/>
        </w:rPr>
        <w:t>the</w:t>
      </w:r>
    </w:p>
    <w:p>
      <w:pPr>
        <w:pStyle w:val="BodyText"/>
        <w:spacing w:line="266" w:lineRule="auto"/>
        <w:ind w:left="1440" w:right="101"/>
      </w:pPr>
      <w:r>
        <w:rPr>
          <w:color w:val="231F20"/>
          <w:spacing w:val="-8"/>
          <w:w w:val="105"/>
        </w:rPr>
        <w:t>U.S </w:t>
      </w:r>
      <w:r>
        <w:rPr>
          <w:color w:val="231F20"/>
          <w:w w:val="105"/>
        </w:rPr>
        <w:t>population (48 million in 2011) and is a collaboration of CDC, </w:t>
      </w:r>
      <w:r>
        <w:rPr>
          <w:color w:val="231F20"/>
          <w:spacing w:val="-3"/>
          <w:w w:val="105"/>
        </w:rPr>
        <w:t>USDA-FSIS, </w:t>
      </w:r>
      <w:r>
        <w:rPr>
          <w:color w:val="231F20"/>
          <w:spacing w:val="-4"/>
          <w:w w:val="105"/>
        </w:rPr>
        <w:t>FDA, </w:t>
      </w:r>
      <w:r>
        <w:rPr>
          <w:color w:val="231F20"/>
          <w:w w:val="105"/>
        </w:rPr>
        <w:t>and</w:t>
      </w:r>
      <w:r>
        <w:rPr>
          <w:color w:val="231F20"/>
          <w:spacing w:val="-14"/>
          <w:w w:val="105"/>
        </w:rPr>
        <w:t> </w:t>
      </w:r>
      <w:r>
        <w:rPr>
          <w:color w:val="231F20"/>
          <w:w w:val="105"/>
        </w:rPr>
        <w:t>10</w:t>
      </w:r>
      <w:r>
        <w:rPr>
          <w:color w:val="231F20"/>
          <w:spacing w:val="-13"/>
          <w:w w:val="105"/>
        </w:rPr>
        <w:t> </w:t>
      </w:r>
      <w:r>
        <w:rPr>
          <w:color w:val="231F20"/>
          <w:w w:val="105"/>
        </w:rPr>
        <w:t>state</w:t>
      </w:r>
      <w:r>
        <w:rPr>
          <w:color w:val="231F20"/>
          <w:spacing w:val="-13"/>
          <w:w w:val="105"/>
        </w:rPr>
        <w:t> </w:t>
      </w:r>
      <w:r>
        <w:rPr>
          <w:color w:val="231F20"/>
          <w:w w:val="105"/>
        </w:rPr>
        <w:t>health</w:t>
      </w:r>
      <w:r>
        <w:rPr>
          <w:color w:val="231F20"/>
          <w:spacing w:val="-13"/>
          <w:w w:val="105"/>
        </w:rPr>
        <w:t> </w:t>
      </w:r>
      <w:r>
        <w:rPr>
          <w:color w:val="231F20"/>
          <w:w w:val="105"/>
        </w:rPr>
        <w:t>departments.</w:t>
      </w:r>
      <w:r>
        <w:rPr>
          <w:color w:val="231F20"/>
          <w:spacing w:val="-13"/>
          <w:w w:val="105"/>
        </w:rPr>
        <w:t> </w:t>
      </w:r>
      <w:r>
        <w:rPr>
          <w:color w:val="231F20"/>
          <w:spacing w:val="-3"/>
          <w:w w:val="105"/>
        </w:rPr>
        <w:t>FoodNet</w:t>
      </w:r>
      <w:r>
        <w:rPr>
          <w:color w:val="231F20"/>
          <w:spacing w:val="-13"/>
          <w:w w:val="105"/>
        </w:rPr>
        <w:t> </w:t>
      </w:r>
      <w:r>
        <w:rPr>
          <w:color w:val="231F20"/>
          <w:w w:val="105"/>
        </w:rPr>
        <w:t>site</w:t>
      </w:r>
    </w:p>
    <w:p>
      <w:pPr>
        <w:pStyle w:val="BodyText"/>
        <w:spacing w:line="266" w:lineRule="auto"/>
        <w:ind w:left="1440" w:right="-4"/>
      </w:pPr>
      <w:r>
        <w:rPr>
          <w:color w:val="231F20"/>
          <w:w w:val="105"/>
        </w:rPr>
        <w:t>investigators</w:t>
      </w:r>
      <w:r>
        <w:rPr>
          <w:color w:val="231F20"/>
          <w:spacing w:val="-11"/>
          <w:w w:val="105"/>
        </w:rPr>
        <w:t> </w:t>
      </w:r>
      <w:r>
        <w:rPr>
          <w:color w:val="231F20"/>
          <w:w w:val="105"/>
        </w:rPr>
        <w:t>regularly</w:t>
      </w:r>
      <w:r>
        <w:rPr>
          <w:color w:val="231F20"/>
          <w:spacing w:val="-11"/>
          <w:w w:val="105"/>
        </w:rPr>
        <w:t> </w:t>
      </w:r>
      <w:r>
        <w:rPr>
          <w:color w:val="231F20"/>
          <w:w w:val="105"/>
        </w:rPr>
        <w:t>contact</w:t>
      </w:r>
      <w:r>
        <w:rPr>
          <w:color w:val="231F20"/>
          <w:spacing w:val="-10"/>
          <w:w w:val="105"/>
        </w:rPr>
        <w:t> </w:t>
      </w:r>
      <w:r>
        <w:rPr>
          <w:color w:val="231F20"/>
          <w:w w:val="105"/>
        </w:rPr>
        <w:t>area</w:t>
      </w:r>
      <w:r>
        <w:rPr>
          <w:color w:val="231F20"/>
          <w:spacing w:val="-11"/>
          <w:w w:val="105"/>
        </w:rPr>
        <w:t> </w:t>
      </w:r>
      <w:r>
        <w:rPr>
          <w:color w:val="231F20"/>
          <w:w w:val="105"/>
        </w:rPr>
        <w:t>laboratories to ascertain all infections with the pathogens under</w:t>
      </w:r>
      <w:r>
        <w:rPr>
          <w:color w:val="231F20"/>
          <w:spacing w:val="-14"/>
          <w:w w:val="105"/>
        </w:rPr>
        <w:t> </w:t>
      </w:r>
      <w:r>
        <w:rPr>
          <w:color w:val="231F20"/>
          <w:w w:val="105"/>
        </w:rPr>
        <w:t>surveillance</w:t>
      </w:r>
      <w:r>
        <w:rPr>
          <w:color w:val="231F20"/>
          <w:spacing w:val="-15"/>
          <w:w w:val="105"/>
        </w:rPr>
        <w:t> </w:t>
      </w:r>
      <w:r>
        <w:rPr>
          <w:color w:val="231F20"/>
          <w:w w:val="105"/>
        </w:rPr>
        <w:t>(i.e.,</w:t>
      </w:r>
      <w:r>
        <w:rPr>
          <w:color w:val="231F20"/>
          <w:spacing w:val="-14"/>
          <w:w w:val="105"/>
        </w:rPr>
        <w:t> </w:t>
      </w:r>
      <w:r>
        <w:rPr>
          <w:color w:val="231F20"/>
          <w:w w:val="105"/>
        </w:rPr>
        <w:t>active</w:t>
      </w:r>
      <w:r>
        <w:rPr>
          <w:color w:val="231F20"/>
          <w:spacing w:val="-14"/>
          <w:w w:val="105"/>
        </w:rPr>
        <w:t> </w:t>
      </w:r>
      <w:r>
        <w:rPr>
          <w:color w:val="231F20"/>
          <w:w w:val="105"/>
        </w:rPr>
        <w:t>surveillance).</w:t>
      </w:r>
    </w:p>
    <w:p>
      <w:pPr>
        <w:pStyle w:val="BodyText"/>
        <w:spacing w:line="266" w:lineRule="auto" w:before="180"/>
        <w:ind w:left="1440" w:right="324"/>
      </w:pPr>
      <w:r>
        <w:rPr>
          <w:color w:val="231F20"/>
        </w:rPr>
        <w:t>FoodNet sites also have conducted surveys of  the frequency of  enteric illness and food</w:t>
      </w:r>
    </w:p>
    <w:p>
      <w:pPr>
        <w:pStyle w:val="BodyText"/>
        <w:spacing w:line="266" w:lineRule="auto"/>
        <w:ind w:left="1440" w:right="63"/>
      </w:pPr>
      <w:r>
        <w:rPr>
          <w:color w:val="231F20"/>
          <w:w w:val="105"/>
        </w:rPr>
        <w:t>consumption</w:t>
      </w:r>
      <w:r>
        <w:rPr>
          <w:color w:val="231F20"/>
          <w:spacing w:val="-15"/>
          <w:w w:val="105"/>
        </w:rPr>
        <w:t> </w:t>
      </w:r>
      <w:r>
        <w:rPr>
          <w:color w:val="231F20"/>
          <w:w w:val="105"/>
        </w:rPr>
        <w:t>in</w:t>
      </w:r>
      <w:r>
        <w:rPr>
          <w:color w:val="231F20"/>
          <w:spacing w:val="-16"/>
          <w:w w:val="105"/>
        </w:rPr>
        <w:t> </w:t>
      </w:r>
      <w:r>
        <w:rPr>
          <w:color w:val="231F20"/>
          <w:w w:val="105"/>
        </w:rPr>
        <w:t>the</w:t>
      </w:r>
      <w:r>
        <w:rPr>
          <w:color w:val="231F20"/>
          <w:spacing w:val="-16"/>
          <w:w w:val="105"/>
        </w:rPr>
        <w:t> </w:t>
      </w:r>
      <w:r>
        <w:rPr>
          <w:color w:val="231F20"/>
          <w:w w:val="105"/>
        </w:rPr>
        <w:t>population.</w:t>
      </w:r>
      <w:r>
        <w:rPr>
          <w:color w:val="231F20"/>
          <w:spacing w:val="-16"/>
          <w:w w:val="105"/>
        </w:rPr>
        <w:t> </w:t>
      </w:r>
      <w:r>
        <w:rPr>
          <w:color w:val="231F20"/>
          <w:w w:val="105"/>
        </w:rPr>
        <w:t>The</w:t>
      </w:r>
      <w:r>
        <w:rPr>
          <w:color w:val="231F20"/>
          <w:spacing w:val="-15"/>
          <w:w w:val="105"/>
        </w:rPr>
        <w:t> </w:t>
      </w:r>
      <w:r>
        <w:rPr>
          <w:color w:val="231F20"/>
          <w:w w:val="105"/>
        </w:rPr>
        <w:t>results</w:t>
      </w:r>
      <w:r>
        <w:rPr>
          <w:color w:val="231F20"/>
          <w:spacing w:val="-16"/>
          <w:w w:val="105"/>
        </w:rPr>
        <w:t> </w:t>
      </w:r>
      <w:r>
        <w:rPr>
          <w:color w:val="231F20"/>
          <w:w w:val="105"/>
        </w:rPr>
        <w:t>of these</w:t>
      </w:r>
      <w:r>
        <w:rPr>
          <w:color w:val="231F20"/>
          <w:spacing w:val="-21"/>
          <w:w w:val="105"/>
        </w:rPr>
        <w:t> </w:t>
      </w:r>
      <w:r>
        <w:rPr>
          <w:color w:val="231F20"/>
          <w:w w:val="105"/>
        </w:rPr>
        <w:t>surveys,</w:t>
      </w:r>
      <w:r>
        <w:rPr>
          <w:color w:val="231F20"/>
          <w:spacing w:val="-21"/>
          <w:w w:val="105"/>
        </w:rPr>
        <w:t> </w:t>
      </w:r>
      <w:r>
        <w:rPr>
          <w:color w:val="231F20"/>
          <w:w w:val="105"/>
        </w:rPr>
        <w:t>distributed</w:t>
      </w:r>
      <w:r>
        <w:rPr>
          <w:color w:val="231F20"/>
          <w:spacing w:val="-21"/>
          <w:w w:val="105"/>
        </w:rPr>
        <w:t> </w:t>
      </w:r>
      <w:r>
        <w:rPr>
          <w:color w:val="231F20"/>
          <w:w w:val="105"/>
        </w:rPr>
        <w:t>as</w:t>
      </w:r>
      <w:r>
        <w:rPr>
          <w:color w:val="231F20"/>
          <w:spacing w:val="-21"/>
          <w:w w:val="105"/>
        </w:rPr>
        <w:t> </w:t>
      </w:r>
      <w:r>
        <w:rPr>
          <w:color w:val="231F20"/>
          <w:w w:val="105"/>
        </w:rPr>
        <w:t>the</w:t>
      </w:r>
      <w:r>
        <w:rPr>
          <w:color w:val="231F20"/>
          <w:spacing w:val="-21"/>
          <w:w w:val="105"/>
        </w:rPr>
        <w:t> </w:t>
      </w:r>
      <w:r>
        <w:rPr>
          <w:color w:val="231F20"/>
          <w:spacing w:val="-3"/>
          <w:w w:val="105"/>
        </w:rPr>
        <w:t>FoodNet</w:t>
      </w:r>
      <w:r>
        <w:rPr>
          <w:color w:val="231F20"/>
          <w:spacing w:val="-21"/>
          <w:w w:val="105"/>
        </w:rPr>
        <w:t> </w:t>
      </w:r>
      <w:r>
        <w:rPr>
          <w:color w:val="231F20"/>
          <w:w w:val="105"/>
        </w:rPr>
        <w:t>Atlas of Exposures, provide crude estimates of the background rate of consumption of a variety of</w:t>
      </w:r>
      <w:r>
        <w:rPr>
          <w:color w:val="231F20"/>
          <w:spacing w:val="9"/>
          <w:w w:val="105"/>
        </w:rPr>
        <w:t> </w:t>
      </w:r>
      <w:r>
        <w:rPr>
          <w:color w:val="231F20"/>
          <w:w w:val="105"/>
        </w:rPr>
        <w:t>food</w:t>
      </w:r>
      <w:r>
        <w:rPr>
          <w:color w:val="231F20"/>
          <w:spacing w:val="-13"/>
          <w:w w:val="105"/>
        </w:rPr>
        <w:t> </w:t>
      </w:r>
      <w:r>
        <w:rPr>
          <w:color w:val="231F20"/>
          <w:w w:val="105"/>
        </w:rPr>
        <w:t>items</w:t>
      </w:r>
      <w:r>
        <w:rPr>
          <w:color w:val="231F20"/>
          <w:spacing w:val="-13"/>
          <w:w w:val="105"/>
        </w:rPr>
        <w:t> </w:t>
      </w:r>
      <w:r>
        <w:rPr>
          <w:color w:val="231F20"/>
          <w:w w:val="105"/>
        </w:rPr>
        <w:t>in</w:t>
      </w:r>
      <w:r>
        <w:rPr>
          <w:color w:val="231F20"/>
          <w:spacing w:val="-14"/>
          <w:w w:val="105"/>
        </w:rPr>
        <w:t> </w:t>
      </w:r>
      <w:r>
        <w:rPr>
          <w:color w:val="231F20"/>
          <w:w w:val="105"/>
        </w:rPr>
        <w:t>the</w:t>
      </w:r>
      <w:r>
        <w:rPr>
          <w:color w:val="231F20"/>
          <w:spacing w:val="-14"/>
          <w:w w:val="105"/>
        </w:rPr>
        <w:t> </w:t>
      </w:r>
      <w:r>
        <w:rPr>
          <w:color w:val="231F20"/>
          <w:w w:val="105"/>
        </w:rPr>
        <w:t>community</w:t>
      </w:r>
      <w:r>
        <w:rPr>
          <w:color w:val="231F20"/>
          <w:spacing w:val="-14"/>
          <w:w w:val="105"/>
        </w:rPr>
        <w:t> </w:t>
      </w:r>
      <w:r>
        <w:rPr>
          <w:color w:val="231F20"/>
          <w:w w:val="105"/>
        </w:rPr>
        <w:t>and</w:t>
      </w:r>
      <w:r>
        <w:rPr>
          <w:color w:val="231F20"/>
          <w:spacing w:val="-14"/>
          <w:w w:val="105"/>
        </w:rPr>
        <w:t> </w:t>
      </w:r>
      <w:r>
        <w:rPr>
          <w:color w:val="231F20"/>
          <w:w w:val="105"/>
        </w:rPr>
        <w:t>are</w:t>
      </w:r>
      <w:r>
        <w:rPr>
          <w:color w:val="231F20"/>
          <w:spacing w:val="-13"/>
          <w:w w:val="105"/>
        </w:rPr>
        <w:t> </w:t>
      </w:r>
      <w:r>
        <w:rPr>
          <w:color w:val="231F20"/>
          <w:w w:val="105"/>
        </w:rPr>
        <w:t>useful in hypothesis generation during investigation of</w:t>
      </w:r>
      <w:r>
        <w:rPr>
          <w:color w:val="231F20"/>
          <w:spacing w:val="-3"/>
          <w:w w:val="105"/>
        </w:rPr>
        <w:t> </w:t>
      </w:r>
      <w:r>
        <w:rPr>
          <w:color w:val="231F20"/>
          <w:w w:val="105"/>
        </w:rPr>
        <w:t>a</w:t>
      </w:r>
      <w:r>
        <w:rPr>
          <w:color w:val="231F20"/>
          <w:spacing w:val="-21"/>
          <w:w w:val="105"/>
        </w:rPr>
        <w:t> </w:t>
      </w:r>
      <w:r>
        <w:rPr>
          <w:color w:val="231F20"/>
          <w:w w:val="105"/>
        </w:rPr>
        <w:t>foodborne</w:t>
      </w:r>
      <w:r>
        <w:rPr>
          <w:color w:val="231F20"/>
          <w:spacing w:val="-21"/>
          <w:w w:val="105"/>
        </w:rPr>
        <w:t> </w:t>
      </w:r>
      <w:r>
        <w:rPr>
          <w:color w:val="231F20"/>
          <w:w w:val="105"/>
        </w:rPr>
        <w:t>disease</w:t>
      </w:r>
      <w:r>
        <w:rPr>
          <w:color w:val="231F20"/>
          <w:spacing w:val="-21"/>
          <w:w w:val="105"/>
        </w:rPr>
        <w:t> </w:t>
      </w:r>
      <w:r>
        <w:rPr>
          <w:color w:val="231F20"/>
          <w:w w:val="105"/>
        </w:rPr>
        <w:t>outbreak.</w:t>
      </w:r>
      <w:r>
        <w:rPr>
          <w:color w:val="231F20"/>
          <w:w w:val="105"/>
          <w:position w:val="7"/>
          <w:sz w:val="11"/>
        </w:rPr>
        <w:t>59</w:t>
      </w:r>
      <w:r>
        <w:rPr>
          <w:color w:val="231F20"/>
          <w:spacing w:val="-11"/>
          <w:w w:val="105"/>
          <w:position w:val="7"/>
          <w:sz w:val="11"/>
        </w:rPr>
        <w:t> </w:t>
      </w:r>
      <w:r>
        <w:rPr>
          <w:color w:val="231F20"/>
          <w:spacing w:val="-3"/>
          <w:w w:val="105"/>
        </w:rPr>
        <w:t>FoodNet</w:t>
      </w:r>
    </w:p>
    <w:p>
      <w:pPr>
        <w:pStyle w:val="BodyText"/>
        <w:spacing w:line="266" w:lineRule="auto" w:before="108"/>
        <w:ind w:left="323" w:right="798"/>
        <w:rPr>
          <w:sz w:val="11"/>
        </w:rPr>
      </w:pPr>
      <w:r>
        <w:rPr/>
        <w:br w:type="column"/>
      </w:r>
      <w:r>
        <w:rPr>
          <w:color w:val="231F20"/>
          <w:w w:val="105"/>
        </w:rPr>
        <w:t>sites also </w:t>
      </w:r>
      <w:r>
        <w:rPr>
          <w:color w:val="231F20"/>
          <w:spacing w:val="-3"/>
          <w:w w:val="105"/>
        </w:rPr>
        <w:t>have </w:t>
      </w:r>
      <w:r>
        <w:rPr>
          <w:color w:val="231F20"/>
          <w:w w:val="105"/>
        </w:rPr>
        <w:t>conducted surveys of practices for diagnosing enteric infections in clinical laboratories.</w:t>
      </w:r>
      <w:r>
        <w:rPr>
          <w:color w:val="231F20"/>
          <w:w w:val="105"/>
          <w:position w:val="7"/>
          <w:sz w:val="11"/>
        </w:rPr>
        <w:t>60</w:t>
      </w:r>
    </w:p>
    <w:p>
      <w:pPr>
        <w:pStyle w:val="BodyText"/>
        <w:spacing w:line="266" w:lineRule="auto" w:before="180"/>
        <w:ind w:left="323" w:right="983"/>
        <w:rPr>
          <w:sz w:val="11"/>
        </w:rPr>
      </w:pPr>
      <w:r>
        <w:rPr>
          <w:color w:val="231F20"/>
          <w:w w:val="105"/>
        </w:rPr>
        <w:t>Surveillance and special studies undertaken by FoodNet sites provide valuable insight into the national incidence of, and trends in, foodborne and diarrheal diseases </w:t>
      </w:r>
      <w:r>
        <w:rPr>
          <w:color w:val="231F20"/>
          <w:w w:val="105"/>
          <w:position w:val="7"/>
          <w:sz w:val="11"/>
        </w:rPr>
        <w:t>61, 62,</w:t>
      </w:r>
    </w:p>
    <w:p>
      <w:pPr>
        <w:pStyle w:val="BodyText"/>
        <w:spacing w:line="266" w:lineRule="auto"/>
        <w:ind w:left="323" w:right="687"/>
        <w:rPr>
          <w:sz w:val="11"/>
        </w:rPr>
      </w:pPr>
      <w:r>
        <w:rPr>
          <w:color w:val="231F20"/>
          <w:w w:val="105"/>
          <w:position w:val="7"/>
          <w:sz w:val="11"/>
        </w:rPr>
        <w:t>63, 64, 65, 66, 67, 68 </w:t>
      </w:r>
      <w:r>
        <w:rPr>
          <w:color w:val="231F20"/>
          <w:w w:val="105"/>
        </w:rPr>
        <w:t>and have identified previously unrecognized sources of foodborne infection, such as chicken as a risk factor for infection with </w:t>
      </w:r>
      <w:r>
        <w:rPr>
          <w:i/>
          <w:color w:val="231F20"/>
          <w:w w:val="105"/>
        </w:rPr>
        <w:t>Salmonella </w:t>
      </w:r>
      <w:r>
        <w:rPr>
          <w:color w:val="231F20"/>
          <w:w w:val="105"/>
        </w:rPr>
        <w:t>Enteritidis,</w:t>
      </w:r>
      <w:r>
        <w:rPr>
          <w:color w:val="231F20"/>
          <w:w w:val="105"/>
          <w:position w:val="7"/>
          <w:sz w:val="11"/>
        </w:rPr>
        <w:t>67, 69 </w:t>
      </w:r>
      <w:r>
        <w:rPr>
          <w:color w:val="231F20"/>
          <w:w w:val="105"/>
        </w:rPr>
        <w:t>hummus and melon as risk factors for infection with </w:t>
      </w:r>
      <w:r>
        <w:rPr>
          <w:i/>
          <w:color w:val="231F20"/>
          <w:w w:val="105"/>
        </w:rPr>
        <w:t>Listeria </w:t>
      </w:r>
      <w:r>
        <w:rPr>
          <w:i/>
          <w:color w:val="231F20"/>
          <w:w w:val="105"/>
        </w:rPr>
        <w:t>monocytogenes,</w:t>
      </w:r>
      <w:r>
        <w:rPr>
          <w:i/>
          <w:color w:val="231F20"/>
          <w:w w:val="105"/>
          <w:position w:val="7"/>
          <w:sz w:val="11"/>
        </w:rPr>
        <w:t>70 </w:t>
      </w:r>
      <w:r>
        <w:rPr>
          <w:color w:val="231F20"/>
          <w:w w:val="105"/>
        </w:rPr>
        <w:t>and riding in a shopping cart next to raw meat or poultry as a risk factor for infection with </w:t>
      </w:r>
      <w:r>
        <w:rPr>
          <w:i/>
          <w:color w:val="231F20"/>
          <w:w w:val="105"/>
        </w:rPr>
        <w:t>Salmonella </w:t>
      </w:r>
      <w:r>
        <w:rPr>
          <w:color w:val="231F20"/>
          <w:w w:val="105"/>
        </w:rPr>
        <w:t>and </w:t>
      </w:r>
      <w:r>
        <w:rPr>
          <w:i/>
          <w:color w:val="231F20"/>
          <w:w w:val="105"/>
        </w:rPr>
        <w:t>Campylobacter </w:t>
      </w:r>
      <w:r>
        <w:rPr>
          <w:color w:val="231F20"/>
          <w:w w:val="105"/>
        </w:rPr>
        <w:t>in infants.</w:t>
      </w:r>
      <w:r>
        <w:rPr>
          <w:color w:val="231F20"/>
          <w:w w:val="105"/>
          <w:position w:val="7"/>
          <w:sz w:val="11"/>
        </w:rPr>
        <w:t>71, 72 </w:t>
      </w:r>
      <w:r>
        <w:rPr>
          <w:color w:val="231F20"/>
          <w:w w:val="105"/>
        </w:rPr>
        <w:t>FoodNet also provides information for evaluating new strategies for conducting epidemiologic investigations, including investigations of outbreaks.</w:t>
      </w:r>
      <w:r>
        <w:rPr>
          <w:color w:val="231F20"/>
          <w:w w:val="105"/>
          <w:position w:val="7"/>
          <w:sz w:val="11"/>
        </w:rPr>
        <w:t>73</w:t>
      </w:r>
    </w:p>
    <w:p>
      <w:pPr>
        <w:pStyle w:val="ListParagraph"/>
        <w:numPr>
          <w:ilvl w:val="3"/>
          <w:numId w:val="7"/>
        </w:numPr>
        <w:tabs>
          <w:tab w:pos="966" w:val="left" w:leader="none"/>
        </w:tabs>
        <w:spacing w:line="266" w:lineRule="auto" w:before="180" w:after="0"/>
        <w:ind w:left="324" w:right="913" w:firstLine="0"/>
        <w:jc w:val="left"/>
        <w:rPr>
          <w:sz w:val="20"/>
        </w:rPr>
      </w:pPr>
      <w:r>
        <w:rPr>
          <w:i/>
          <w:color w:val="E36F1E"/>
          <w:w w:val="105"/>
          <w:sz w:val="20"/>
        </w:rPr>
        <w:t>Behavioral</w:t>
      </w:r>
      <w:r>
        <w:rPr>
          <w:i/>
          <w:color w:val="E36F1E"/>
          <w:spacing w:val="-31"/>
          <w:w w:val="105"/>
          <w:sz w:val="20"/>
        </w:rPr>
        <w:t> </w:t>
      </w:r>
      <w:r>
        <w:rPr>
          <w:i/>
          <w:color w:val="E36F1E"/>
          <w:w w:val="105"/>
          <w:sz w:val="20"/>
        </w:rPr>
        <w:t>Risk</w:t>
      </w:r>
      <w:r>
        <w:rPr>
          <w:i/>
          <w:color w:val="E36F1E"/>
          <w:spacing w:val="-31"/>
          <w:w w:val="105"/>
          <w:sz w:val="20"/>
        </w:rPr>
        <w:t> </w:t>
      </w:r>
      <w:r>
        <w:rPr>
          <w:i/>
          <w:color w:val="E36F1E"/>
          <w:w w:val="105"/>
          <w:sz w:val="20"/>
        </w:rPr>
        <w:t>Factor</w:t>
      </w:r>
      <w:r>
        <w:rPr>
          <w:i/>
          <w:color w:val="E36F1E"/>
          <w:spacing w:val="-31"/>
          <w:w w:val="105"/>
          <w:sz w:val="20"/>
        </w:rPr>
        <w:t> </w:t>
      </w:r>
      <w:r>
        <w:rPr>
          <w:i/>
          <w:color w:val="E36F1E"/>
          <w:w w:val="105"/>
          <w:sz w:val="20"/>
        </w:rPr>
        <w:t>Surveillance</w:t>
      </w:r>
      <w:r>
        <w:rPr>
          <w:i/>
          <w:color w:val="E36F1E"/>
          <w:spacing w:val="-31"/>
          <w:w w:val="105"/>
          <w:sz w:val="20"/>
        </w:rPr>
        <w:t> </w:t>
      </w:r>
      <w:r>
        <w:rPr>
          <w:i/>
          <w:color w:val="E36F1E"/>
          <w:w w:val="105"/>
          <w:sz w:val="20"/>
        </w:rPr>
        <w:t>System </w:t>
      </w:r>
      <w:r>
        <w:rPr>
          <w:color w:val="231F20"/>
          <w:w w:val="105"/>
          <w:sz w:val="20"/>
        </w:rPr>
        <w:t>The Behavioral Risk Factor Surveillance System (BRFSS) is a state-based system of surveys established </w:t>
      </w:r>
      <w:r>
        <w:rPr>
          <w:color w:val="231F20"/>
          <w:spacing w:val="-3"/>
          <w:w w:val="105"/>
          <w:sz w:val="20"/>
        </w:rPr>
        <w:t>by </w:t>
      </w:r>
      <w:r>
        <w:rPr>
          <w:color w:val="231F20"/>
          <w:w w:val="105"/>
          <w:sz w:val="20"/>
        </w:rPr>
        <w:t>CDC in 1984 that provides information about the prevalence of</w:t>
      </w:r>
      <w:r>
        <w:rPr>
          <w:color w:val="231F20"/>
          <w:spacing w:val="1"/>
          <w:w w:val="105"/>
          <w:sz w:val="20"/>
        </w:rPr>
        <w:t> </w:t>
      </w:r>
      <w:r>
        <w:rPr>
          <w:color w:val="231F20"/>
          <w:w w:val="105"/>
          <w:sz w:val="20"/>
        </w:rPr>
        <w:t>health</w:t>
      </w:r>
      <w:r>
        <w:rPr>
          <w:color w:val="231F20"/>
          <w:spacing w:val="-18"/>
          <w:w w:val="105"/>
          <w:sz w:val="20"/>
        </w:rPr>
        <w:t> </w:t>
      </w:r>
      <w:r>
        <w:rPr>
          <w:color w:val="231F20"/>
          <w:w w:val="105"/>
          <w:sz w:val="20"/>
        </w:rPr>
        <w:t>risk</w:t>
      </w:r>
      <w:r>
        <w:rPr>
          <w:color w:val="231F20"/>
          <w:spacing w:val="-19"/>
          <w:w w:val="105"/>
          <w:sz w:val="20"/>
        </w:rPr>
        <w:t> </w:t>
      </w:r>
      <w:r>
        <w:rPr>
          <w:color w:val="231F20"/>
          <w:w w:val="105"/>
          <w:sz w:val="20"/>
        </w:rPr>
        <w:t>behaviors,</w:t>
      </w:r>
      <w:r>
        <w:rPr>
          <w:color w:val="231F20"/>
          <w:spacing w:val="-18"/>
          <w:w w:val="105"/>
          <w:sz w:val="20"/>
        </w:rPr>
        <w:t> </w:t>
      </w:r>
      <w:r>
        <w:rPr>
          <w:color w:val="231F20"/>
          <w:w w:val="105"/>
          <w:sz w:val="20"/>
        </w:rPr>
        <w:t>preventive</w:t>
      </w:r>
      <w:r>
        <w:rPr>
          <w:color w:val="231F20"/>
          <w:spacing w:val="-18"/>
          <w:w w:val="105"/>
          <w:sz w:val="20"/>
        </w:rPr>
        <w:t> </w:t>
      </w:r>
      <w:r>
        <w:rPr>
          <w:color w:val="231F20"/>
          <w:w w:val="105"/>
          <w:sz w:val="20"/>
        </w:rPr>
        <w:t>health</w:t>
      </w:r>
    </w:p>
    <w:p>
      <w:pPr>
        <w:pStyle w:val="BodyText"/>
        <w:spacing w:line="266" w:lineRule="auto"/>
        <w:ind w:left="323" w:right="719"/>
      </w:pPr>
      <w:r>
        <w:rPr>
          <w:color w:val="231F20"/>
          <w:w w:val="105"/>
        </w:rPr>
        <w:t>practices, and health-care access. BRFSS data are collected </w:t>
      </w:r>
      <w:r>
        <w:rPr>
          <w:color w:val="231F20"/>
          <w:spacing w:val="-3"/>
          <w:w w:val="105"/>
        </w:rPr>
        <w:t>by </w:t>
      </w:r>
      <w:r>
        <w:rPr>
          <w:color w:val="231F20"/>
          <w:w w:val="105"/>
        </w:rPr>
        <w:t>random-digit–dialed</w:t>
      </w:r>
      <w:r>
        <w:rPr>
          <w:color w:val="231F20"/>
          <w:spacing w:val="-33"/>
          <w:w w:val="105"/>
        </w:rPr>
        <w:t> </w:t>
      </w:r>
      <w:r>
        <w:rPr>
          <w:color w:val="231F20"/>
          <w:w w:val="105"/>
        </w:rPr>
        <w:t>telephone interviews in all 50 states, the District of Columbia, Puerto Rico, the </w:t>
      </w:r>
      <w:r>
        <w:rPr>
          <w:color w:val="231F20"/>
          <w:spacing w:val="-8"/>
          <w:w w:val="105"/>
        </w:rPr>
        <w:t>U.S. </w:t>
      </w:r>
      <w:r>
        <w:rPr>
          <w:color w:val="231F20"/>
          <w:w w:val="105"/>
        </w:rPr>
        <w:t>Virgin Islands,</w:t>
      </w:r>
      <w:r>
        <w:rPr>
          <w:color w:val="231F20"/>
          <w:spacing w:val="-14"/>
          <w:w w:val="105"/>
        </w:rPr>
        <w:t> </w:t>
      </w:r>
      <w:r>
        <w:rPr>
          <w:color w:val="231F20"/>
          <w:w w:val="105"/>
        </w:rPr>
        <w:t>and</w:t>
      </w:r>
      <w:r>
        <w:rPr>
          <w:color w:val="231F20"/>
          <w:spacing w:val="-15"/>
          <w:w w:val="105"/>
        </w:rPr>
        <w:t> </w:t>
      </w:r>
      <w:r>
        <w:rPr>
          <w:color w:val="231F20"/>
          <w:w w:val="105"/>
        </w:rPr>
        <w:t>Guam.</w:t>
      </w:r>
      <w:r>
        <w:rPr>
          <w:color w:val="231F20"/>
          <w:spacing w:val="-14"/>
          <w:w w:val="105"/>
        </w:rPr>
        <w:t> </w:t>
      </w:r>
      <w:r>
        <w:rPr>
          <w:color w:val="231F20"/>
          <w:w w:val="105"/>
        </w:rPr>
        <w:t>A</w:t>
      </w:r>
      <w:r>
        <w:rPr>
          <w:color w:val="231F20"/>
          <w:spacing w:val="-15"/>
          <w:w w:val="105"/>
        </w:rPr>
        <w:t> </w:t>
      </w:r>
      <w:r>
        <w:rPr>
          <w:color w:val="231F20"/>
          <w:w w:val="105"/>
        </w:rPr>
        <w:t>set</w:t>
      </w:r>
      <w:r>
        <w:rPr>
          <w:color w:val="231F20"/>
          <w:spacing w:val="-14"/>
          <w:w w:val="105"/>
        </w:rPr>
        <w:t> </w:t>
      </w:r>
      <w:r>
        <w:rPr>
          <w:color w:val="231F20"/>
          <w:w w:val="105"/>
        </w:rPr>
        <w:t>of</w:t>
      </w:r>
      <w:r>
        <w:rPr>
          <w:color w:val="231F20"/>
          <w:spacing w:val="8"/>
          <w:w w:val="105"/>
        </w:rPr>
        <w:t> </w:t>
      </w:r>
      <w:r>
        <w:rPr>
          <w:color w:val="231F20"/>
          <w:w w:val="105"/>
        </w:rPr>
        <w:t>core</w:t>
      </w:r>
      <w:r>
        <w:rPr>
          <w:color w:val="231F20"/>
          <w:spacing w:val="-14"/>
          <w:w w:val="105"/>
        </w:rPr>
        <w:t> </w:t>
      </w:r>
      <w:r>
        <w:rPr>
          <w:color w:val="231F20"/>
          <w:w w:val="105"/>
        </w:rPr>
        <w:t>questions</w:t>
      </w:r>
    </w:p>
    <w:p>
      <w:pPr>
        <w:pStyle w:val="BodyText"/>
        <w:spacing w:line="266" w:lineRule="auto"/>
        <w:ind w:left="323" w:right="687"/>
      </w:pPr>
      <w:r>
        <w:rPr>
          <w:color w:val="231F20"/>
        </w:rPr>
        <w:t>is asked of all BRFSS respondents across the country; other questions can be selected for use by individual state and local health agencies, including questions related to food  safety.</w:t>
      </w:r>
    </w:p>
    <w:p>
      <w:pPr>
        <w:pStyle w:val="BodyText"/>
        <w:spacing w:line="266" w:lineRule="auto" w:before="179"/>
        <w:ind w:left="323" w:right="761"/>
      </w:pPr>
      <w:r>
        <w:rPr>
          <w:color w:val="231F20"/>
          <w:w w:val="105"/>
        </w:rPr>
        <w:t>BRFSS is not appropriate for detecting foodborne</w:t>
      </w:r>
      <w:r>
        <w:rPr>
          <w:color w:val="231F20"/>
          <w:spacing w:val="-14"/>
          <w:w w:val="105"/>
        </w:rPr>
        <w:t> </w:t>
      </w:r>
      <w:r>
        <w:rPr>
          <w:color w:val="231F20"/>
          <w:w w:val="105"/>
        </w:rPr>
        <w:t>illness,</w:t>
      </w:r>
      <w:r>
        <w:rPr>
          <w:color w:val="231F20"/>
          <w:spacing w:val="-14"/>
          <w:w w:val="105"/>
        </w:rPr>
        <w:t> </w:t>
      </w:r>
      <w:r>
        <w:rPr>
          <w:color w:val="231F20"/>
          <w:w w:val="105"/>
        </w:rPr>
        <w:t>but</w:t>
      </w:r>
      <w:r>
        <w:rPr>
          <w:color w:val="231F20"/>
          <w:spacing w:val="-14"/>
          <w:w w:val="105"/>
        </w:rPr>
        <w:t> </w:t>
      </w:r>
      <w:r>
        <w:rPr>
          <w:color w:val="231F20"/>
          <w:w w:val="105"/>
        </w:rPr>
        <w:t>it</w:t>
      </w:r>
      <w:r>
        <w:rPr>
          <w:color w:val="231F20"/>
          <w:spacing w:val="-14"/>
          <w:w w:val="105"/>
        </w:rPr>
        <w:t> </w:t>
      </w:r>
      <w:r>
        <w:rPr>
          <w:color w:val="231F20"/>
          <w:w w:val="105"/>
        </w:rPr>
        <w:t>can</w:t>
      </w:r>
      <w:r>
        <w:rPr>
          <w:color w:val="231F20"/>
          <w:spacing w:val="-14"/>
          <w:w w:val="105"/>
        </w:rPr>
        <w:t> </w:t>
      </w:r>
      <w:r>
        <w:rPr>
          <w:color w:val="231F20"/>
          <w:w w:val="105"/>
        </w:rPr>
        <w:t>be</w:t>
      </w:r>
      <w:r>
        <w:rPr>
          <w:color w:val="231F20"/>
          <w:spacing w:val="-14"/>
          <w:w w:val="105"/>
        </w:rPr>
        <w:t> </w:t>
      </w:r>
      <w:r>
        <w:rPr>
          <w:color w:val="231F20"/>
          <w:w w:val="105"/>
        </w:rPr>
        <w:t>used</w:t>
      </w:r>
      <w:r>
        <w:rPr>
          <w:color w:val="231F20"/>
          <w:spacing w:val="-14"/>
          <w:w w:val="105"/>
        </w:rPr>
        <w:t> </w:t>
      </w:r>
      <w:r>
        <w:rPr>
          <w:color w:val="231F20"/>
          <w:w w:val="105"/>
        </w:rPr>
        <w:t>to</w:t>
      </w:r>
      <w:r>
        <w:rPr>
          <w:color w:val="231F20"/>
          <w:spacing w:val="-15"/>
          <w:w w:val="105"/>
        </w:rPr>
        <w:t> </w:t>
      </w:r>
      <w:r>
        <w:rPr>
          <w:color w:val="231F20"/>
          <w:w w:val="105"/>
        </w:rPr>
        <w:t>identify behaviors</w:t>
      </w:r>
      <w:r>
        <w:rPr>
          <w:color w:val="231F20"/>
          <w:spacing w:val="-22"/>
          <w:w w:val="105"/>
        </w:rPr>
        <w:t> </w:t>
      </w:r>
      <w:r>
        <w:rPr>
          <w:color w:val="231F20"/>
          <w:spacing w:val="-4"/>
          <w:w w:val="105"/>
        </w:rPr>
        <w:t>(e.g.,</w:t>
      </w:r>
      <w:r>
        <w:rPr>
          <w:color w:val="231F20"/>
          <w:spacing w:val="-22"/>
          <w:w w:val="105"/>
        </w:rPr>
        <w:t> </w:t>
      </w:r>
      <w:r>
        <w:rPr>
          <w:color w:val="231F20"/>
          <w:w w:val="105"/>
        </w:rPr>
        <w:t>food-preparation</w:t>
      </w:r>
      <w:r>
        <w:rPr>
          <w:color w:val="231F20"/>
          <w:spacing w:val="-22"/>
          <w:w w:val="105"/>
        </w:rPr>
        <w:t> </w:t>
      </w:r>
      <w:r>
        <w:rPr>
          <w:color w:val="231F20"/>
          <w:w w:val="105"/>
        </w:rPr>
        <w:t>practices</w:t>
      </w:r>
    </w:p>
    <w:p>
      <w:pPr>
        <w:pStyle w:val="BodyText"/>
        <w:spacing w:line="266" w:lineRule="auto"/>
        <w:ind w:left="323" w:right="731"/>
      </w:pPr>
      <w:r>
        <w:rPr>
          <w:color w:val="231F20"/>
          <w:w w:val="105"/>
        </w:rPr>
        <w:t>and eating meals away from home) that can inform</w:t>
      </w:r>
      <w:r>
        <w:rPr>
          <w:color w:val="231F20"/>
          <w:spacing w:val="-32"/>
          <w:w w:val="105"/>
        </w:rPr>
        <w:t> </w:t>
      </w:r>
      <w:r>
        <w:rPr>
          <w:color w:val="231F20"/>
          <w:w w:val="105"/>
        </w:rPr>
        <w:t>foodborne</w:t>
      </w:r>
      <w:r>
        <w:rPr>
          <w:color w:val="231F20"/>
          <w:spacing w:val="-32"/>
          <w:w w:val="105"/>
        </w:rPr>
        <w:t> </w:t>
      </w:r>
      <w:r>
        <w:rPr>
          <w:color w:val="231F20"/>
          <w:w w:val="105"/>
        </w:rPr>
        <w:t>illness</w:t>
      </w:r>
      <w:r>
        <w:rPr>
          <w:color w:val="231F20"/>
          <w:spacing w:val="-32"/>
          <w:w w:val="105"/>
        </w:rPr>
        <w:t> </w:t>
      </w:r>
      <w:r>
        <w:rPr>
          <w:color w:val="231F20"/>
          <w:w w:val="105"/>
        </w:rPr>
        <w:t>prevention</w:t>
      </w:r>
      <w:r>
        <w:rPr>
          <w:color w:val="231F20"/>
          <w:spacing w:val="-32"/>
          <w:w w:val="105"/>
        </w:rPr>
        <w:t> </w:t>
      </w:r>
      <w:r>
        <w:rPr>
          <w:color w:val="231F20"/>
          <w:w w:val="105"/>
        </w:rPr>
        <w:t>efforts.</w:t>
      </w:r>
      <w:r>
        <w:rPr>
          <w:color w:val="231F20"/>
          <w:spacing w:val="-32"/>
          <w:w w:val="105"/>
        </w:rPr>
        <w:t> </w:t>
      </w:r>
      <w:r>
        <w:rPr>
          <w:color w:val="231F20"/>
          <w:spacing w:val="-7"/>
          <w:w w:val="105"/>
        </w:rPr>
        <w:t>For </w:t>
      </w:r>
      <w:r>
        <w:rPr>
          <w:color w:val="231F20"/>
          <w:w w:val="105"/>
        </w:rPr>
        <w:t>example, in an analysis of 1995–1996 BRFSS food-safety questions from Colorado, Florida, Missouri, New </w:t>
      </w:r>
      <w:r>
        <w:rPr>
          <w:color w:val="231F20"/>
          <w:spacing w:val="-6"/>
          <w:w w:val="105"/>
        </w:rPr>
        <w:t>York, </w:t>
      </w:r>
      <w:r>
        <w:rPr>
          <w:color w:val="231F20"/>
          <w:spacing w:val="-3"/>
          <w:w w:val="105"/>
        </w:rPr>
        <w:t>Tennessee, </w:t>
      </w:r>
      <w:r>
        <w:rPr>
          <w:color w:val="231F20"/>
          <w:w w:val="105"/>
        </w:rPr>
        <w:t>Indiana, New </w:t>
      </w:r>
      <w:r>
        <w:rPr>
          <w:color w:val="231F20"/>
          <w:spacing w:val="-6"/>
          <w:w w:val="105"/>
        </w:rPr>
        <w:t>Jersey, </w:t>
      </w:r>
      <w:r>
        <w:rPr>
          <w:color w:val="231F20"/>
          <w:w w:val="105"/>
        </w:rPr>
        <w:t>and South Dakota, several high-risk food-handling,</w:t>
      </w:r>
      <w:r>
        <w:rPr>
          <w:color w:val="231F20"/>
          <w:spacing w:val="-23"/>
          <w:w w:val="105"/>
        </w:rPr>
        <w:t> </w:t>
      </w:r>
      <w:r>
        <w:rPr>
          <w:color w:val="231F20"/>
          <w:w w:val="105"/>
        </w:rPr>
        <w:t>preparation,</w:t>
      </w:r>
      <w:r>
        <w:rPr>
          <w:color w:val="231F20"/>
          <w:spacing w:val="-23"/>
          <w:w w:val="105"/>
        </w:rPr>
        <w:t> </w:t>
      </w:r>
      <w:r>
        <w:rPr>
          <w:color w:val="231F20"/>
          <w:w w:val="105"/>
        </w:rPr>
        <w:t>and</w:t>
      </w:r>
      <w:r>
        <w:rPr>
          <w:color w:val="231F20"/>
          <w:spacing w:val="-23"/>
          <w:w w:val="105"/>
        </w:rPr>
        <w:t> </w:t>
      </w:r>
      <w:r>
        <w:rPr>
          <w:color w:val="231F20"/>
          <w:w w:val="105"/>
        </w:rPr>
        <w:t>consumption</w:t>
      </w:r>
    </w:p>
    <w:p>
      <w:pPr>
        <w:spacing w:after="0" w:line="266" w:lineRule="auto"/>
        <w:sectPr>
          <w:type w:val="continuous"/>
          <w:pgSz w:w="10080" w:h="14400"/>
          <w:pgMar w:top="0" w:bottom="360" w:left="0" w:right="0"/>
          <w:cols w:num="2" w:equalWidth="0">
            <w:col w:w="5217" w:space="40"/>
            <w:col w:w="4823"/>
          </w:cols>
        </w:sectPr>
      </w:pPr>
    </w:p>
    <w:p>
      <w:pPr>
        <w:pStyle w:val="BodyText"/>
        <w:spacing w:before="8"/>
        <w:rPr>
          <w:sz w:val="26"/>
        </w:rPr>
      </w:pPr>
    </w:p>
    <w:p>
      <w:pPr>
        <w:pStyle w:val="Heading1"/>
        <w:ind w:left="720"/>
      </w:pPr>
      <w:r>
        <w:rPr/>
        <w:pict>
          <v:line style="position:absolute;mso-position-horizontal-relative:page;mso-position-vertical-relative:paragraph;z-index:2464;mso-wrap-distance-left:0;mso-wrap-distance-right:0" from="36pt,23.995163pt" to="432pt,23.995163pt" stroked="true" strokeweight=".5pt" strokecolor="#00a94f">
            <v:stroke dashstyle="solid"/>
            <w10:wrap type="topAndBottom"/>
          </v:line>
        </w:pict>
      </w:r>
      <w:r>
        <w:rPr>
          <w:color w:val="00A94F"/>
          <w:w w:val="95"/>
        </w:rPr>
        <w:t>2.3. Trends in Surveillance</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11"/>
        <w:rPr>
          <w:sz w:val="11"/>
        </w:rPr>
      </w:pPr>
      <w:r>
        <w:rPr>
          <w:color w:val="231F20"/>
          <w:w w:val="105"/>
        </w:rPr>
        <w:t>behaviors were common among respondents, and</w:t>
      </w:r>
      <w:r>
        <w:rPr>
          <w:color w:val="231F20"/>
          <w:spacing w:val="-14"/>
          <w:w w:val="105"/>
        </w:rPr>
        <w:t> </w:t>
      </w:r>
      <w:r>
        <w:rPr>
          <w:color w:val="231F20"/>
          <w:w w:val="105"/>
        </w:rPr>
        <w:t>some</w:t>
      </w:r>
      <w:r>
        <w:rPr>
          <w:color w:val="231F20"/>
          <w:spacing w:val="-14"/>
          <w:w w:val="105"/>
        </w:rPr>
        <w:t> </w:t>
      </w:r>
      <w:r>
        <w:rPr>
          <w:color w:val="231F20"/>
          <w:w w:val="105"/>
        </w:rPr>
        <w:t>were</w:t>
      </w:r>
      <w:r>
        <w:rPr>
          <w:color w:val="231F20"/>
          <w:spacing w:val="-14"/>
          <w:w w:val="105"/>
        </w:rPr>
        <w:t> </w:t>
      </w:r>
      <w:r>
        <w:rPr>
          <w:color w:val="231F20"/>
          <w:w w:val="105"/>
        </w:rPr>
        <w:t>particular</w:t>
      </w:r>
      <w:r>
        <w:rPr>
          <w:color w:val="231F20"/>
          <w:spacing w:val="-14"/>
          <w:w w:val="105"/>
        </w:rPr>
        <w:t> </w:t>
      </w:r>
      <w:r>
        <w:rPr>
          <w:color w:val="231F20"/>
          <w:w w:val="105"/>
        </w:rPr>
        <w:t>to</w:t>
      </w:r>
      <w:r>
        <w:rPr>
          <w:color w:val="231F20"/>
          <w:spacing w:val="-14"/>
          <w:w w:val="105"/>
        </w:rPr>
        <w:t> </w:t>
      </w:r>
      <w:r>
        <w:rPr>
          <w:color w:val="231F20"/>
          <w:w w:val="105"/>
        </w:rPr>
        <w:t>specific</w:t>
      </w:r>
      <w:r>
        <w:rPr>
          <w:color w:val="231F20"/>
          <w:spacing w:val="-14"/>
          <w:w w:val="105"/>
        </w:rPr>
        <w:t> </w:t>
      </w:r>
      <w:r>
        <w:rPr>
          <w:color w:val="231F20"/>
          <w:w w:val="105"/>
        </w:rPr>
        <w:t>population groups.</w:t>
      </w:r>
      <w:r>
        <w:rPr>
          <w:color w:val="231F20"/>
          <w:w w:val="105"/>
          <w:position w:val="7"/>
          <w:sz w:val="11"/>
        </w:rPr>
        <w:t>74</w:t>
      </w:r>
    </w:p>
    <w:p>
      <w:pPr>
        <w:spacing w:line="266" w:lineRule="auto" w:before="180"/>
        <w:ind w:left="720" w:right="208" w:firstLine="0"/>
        <w:jc w:val="left"/>
        <w:rPr>
          <w:i/>
          <w:sz w:val="20"/>
        </w:rPr>
      </w:pPr>
      <w:r>
        <w:rPr>
          <w:i/>
          <w:color w:val="E36F1E"/>
          <w:w w:val="105"/>
          <w:sz w:val="20"/>
        </w:rPr>
        <w:t>2.3.2.7.</w:t>
      </w:r>
      <w:r>
        <w:rPr>
          <w:i/>
          <w:color w:val="E36F1E"/>
          <w:spacing w:val="-28"/>
          <w:w w:val="105"/>
          <w:sz w:val="20"/>
        </w:rPr>
        <w:t> </w:t>
      </w:r>
      <w:r>
        <w:rPr>
          <w:i/>
          <w:color w:val="E36F1E"/>
          <w:w w:val="105"/>
          <w:sz w:val="20"/>
        </w:rPr>
        <w:t>National</w:t>
      </w:r>
      <w:r>
        <w:rPr>
          <w:i/>
          <w:color w:val="E36F1E"/>
          <w:spacing w:val="-28"/>
          <w:w w:val="105"/>
          <w:sz w:val="20"/>
        </w:rPr>
        <w:t> </w:t>
      </w:r>
      <w:r>
        <w:rPr>
          <w:i/>
          <w:color w:val="E36F1E"/>
          <w:w w:val="105"/>
          <w:sz w:val="20"/>
        </w:rPr>
        <w:t>Molecular</w:t>
      </w:r>
      <w:r>
        <w:rPr>
          <w:i/>
          <w:color w:val="E36F1E"/>
          <w:spacing w:val="-28"/>
          <w:w w:val="105"/>
          <w:sz w:val="20"/>
        </w:rPr>
        <w:t> </w:t>
      </w:r>
      <w:r>
        <w:rPr>
          <w:i/>
          <w:color w:val="E36F1E"/>
          <w:w w:val="105"/>
          <w:sz w:val="20"/>
        </w:rPr>
        <w:t>Subtyping</w:t>
      </w:r>
      <w:r>
        <w:rPr>
          <w:i/>
          <w:color w:val="E36F1E"/>
          <w:spacing w:val="-29"/>
          <w:w w:val="105"/>
          <w:sz w:val="20"/>
        </w:rPr>
        <w:t> </w:t>
      </w:r>
      <w:r>
        <w:rPr>
          <w:i/>
          <w:color w:val="E36F1E"/>
          <w:w w:val="105"/>
          <w:sz w:val="20"/>
        </w:rPr>
        <w:t>Network</w:t>
      </w:r>
      <w:r>
        <w:rPr>
          <w:i/>
          <w:color w:val="E36F1E"/>
          <w:spacing w:val="-29"/>
          <w:w w:val="105"/>
          <w:sz w:val="20"/>
        </w:rPr>
        <w:t> </w:t>
      </w:r>
      <w:r>
        <w:rPr>
          <w:i/>
          <w:color w:val="E36F1E"/>
          <w:w w:val="105"/>
          <w:sz w:val="20"/>
        </w:rPr>
        <w:t>for </w:t>
      </w:r>
      <w:r>
        <w:rPr>
          <w:i/>
          <w:color w:val="E36F1E"/>
          <w:sz w:val="20"/>
        </w:rPr>
        <w:t>Foodborne Disease</w:t>
      </w:r>
      <w:r>
        <w:rPr>
          <w:i/>
          <w:color w:val="E36F1E"/>
          <w:spacing w:val="20"/>
          <w:sz w:val="20"/>
        </w:rPr>
        <w:t> </w:t>
      </w:r>
      <w:r>
        <w:rPr>
          <w:i/>
          <w:color w:val="E36F1E"/>
          <w:sz w:val="20"/>
        </w:rPr>
        <w:t>Surveillance</w:t>
      </w:r>
    </w:p>
    <w:p>
      <w:pPr>
        <w:pStyle w:val="BodyText"/>
        <w:spacing w:line="266" w:lineRule="auto"/>
        <w:ind w:left="720" w:right="72"/>
      </w:pPr>
      <w:r>
        <w:rPr>
          <w:color w:val="231F20"/>
          <w:w w:val="105"/>
        </w:rPr>
        <w:t>National Molecular Subtyping Network for Foodborne</w:t>
      </w:r>
      <w:r>
        <w:rPr>
          <w:color w:val="231F20"/>
          <w:spacing w:val="-22"/>
          <w:w w:val="105"/>
        </w:rPr>
        <w:t> </w:t>
      </w:r>
      <w:r>
        <w:rPr>
          <w:color w:val="231F20"/>
          <w:w w:val="105"/>
        </w:rPr>
        <w:t>Disease</w:t>
      </w:r>
      <w:r>
        <w:rPr>
          <w:color w:val="231F20"/>
          <w:spacing w:val="-22"/>
          <w:w w:val="105"/>
        </w:rPr>
        <w:t> </w:t>
      </w:r>
      <w:r>
        <w:rPr>
          <w:color w:val="231F20"/>
          <w:w w:val="105"/>
        </w:rPr>
        <w:t>Surveillance</w:t>
      </w:r>
      <w:r>
        <w:rPr>
          <w:color w:val="231F20"/>
          <w:spacing w:val="-23"/>
          <w:w w:val="105"/>
        </w:rPr>
        <w:t> </w:t>
      </w:r>
      <w:r>
        <w:rPr>
          <w:color w:val="231F20"/>
          <w:w w:val="105"/>
        </w:rPr>
        <w:t>(PulseNet)</w:t>
      </w:r>
      <w:r>
        <w:rPr>
          <w:color w:val="231F20"/>
          <w:spacing w:val="-23"/>
          <w:w w:val="105"/>
        </w:rPr>
        <w:t> </w:t>
      </w:r>
      <w:r>
        <w:rPr>
          <w:color w:val="231F20"/>
          <w:w w:val="105"/>
        </w:rPr>
        <w:t>is a national network of local, state or</w:t>
      </w:r>
      <w:r>
        <w:rPr>
          <w:color w:val="231F20"/>
          <w:spacing w:val="-28"/>
          <w:w w:val="105"/>
        </w:rPr>
        <w:t> </w:t>
      </w:r>
      <w:r>
        <w:rPr>
          <w:color w:val="231F20"/>
          <w:w w:val="105"/>
        </w:rPr>
        <w:t>territorial, and federal laboratories coordinated</w:t>
      </w:r>
      <w:r>
        <w:rPr>
          <w:color w:val="231F20"/>
          <w:spacing w:val="-33"/>
          <w:w w:val="105"/>
        </w:rPr>
        <w:t> </w:t>
      </w:r>
      <w:r>
        <w:rPr>
          <w:color w:val="231F20"/>
          <w:spacing w:val="-3"/>
          <w:w w:val="105"/>
        </w:rPr>
        <w:t>by</w:t>
      </w:r>
    </w:p>
    <w:p>
      <w:pPr>
        <w:pStyle w:val="BodyText"/>
        <w:spacing w:line="266" w:lineRule="auto"/>
        <w:ind w:left="720" w:right="353"/>
      </w:pPr>
      <w:r>
        <w:rPr>
          <w:color w:val="231F20"/>
        </w:rPr>
        <w:t>CDC that enables comparison of subtypes of  pathogens isolated from humans, foods,</w:t>
      </w:r>
    </w:p>
    <w:p>
      <w:pPr>
        <w:pStyle w:val="BodyText"/>
        <w:spacing w:line="266" w:lineRule="auto"/>
        <w:ind w:left="720" w:right="153"/>
      </w:pPr>
      <w:r>
        <w:rPr>
          <w:color w:val="231F20"/>
          <w:w w:val="105"/>
        </w:rPr>
        <w:t>animals,</w:t>
      </w:r>
      <w:r>
        <w:rPr>
          <w:color w:val="231F20"/>
          <w:spacing w:val="-14"/>
          <w:w w:val="105"/>
        </w:rPr>
        <w:t> </w:t>
      </w:r>
      <w:r>
        <w:rPr>
          <w:color w:val="231F20"/>
          <w:w w:val="105"/>
        </w:rPr>
        <w:t>and</w:t>
      </w:r>
      <w:r>
        <w:rPr>
          <w:color w:val="231F20"/>
          <w:spacing w:val="-15"/>
          <w:w w:val="105"/>
        </w:rPr>
        <w:t> </w:t>
      </w:r>
      <w:r>
        <w:rPr>
          <w:color w:val="231F20"/>
          <w:w w:val="105"/>
        </w:rPr>
        <w:t>environments</w:t>
      </w:r>
      <w:r>
        <w:rPr>
          <w:color w:val="231F20"/>
          <w:spacing w:val="-15"/>
          <w:w w:val="105"/>
        </w:rPr>
        <w:t> </w:t>
      </w:r>
      <w:r>
        <w:rPr>
          <w:color w:val="231F20"/>
          <w:w w:val="105"/>
        </w:rPr>
        <w:t>across</w:t>
      </w:r>
      <w:r>
        <w:rPr>
          <w:color w:val="231F20"/>
          <w:spacing w:val="-15"/>
          <w:w w:val="105"/>
        </w:rPr>
        <w:t> </w:t>
      </w:r>
      <w:r>
        <w:rPr>
          <w:color w:val="231F20"/>
          <w:w w:val="105"/>
        </w:rPr>
        <w:t>local,</w:t>
      </w:r>
      <w:r>
        <w:rPr>
          <w:color w:val="231F20"/>
          <w:spacing w:val="-15"/>
          <w:w w:val="105"/>
        </w:rPr>
        <w:t> </w:t>
      </w:r>
      <w:r>
        <w:rPr>
          <w:color w:val="231F20"/>
          <w:w w:val="105"/>
        </w:rPr>
        <w:t>state, and national jurisdictions. The name derives from</w:t>
      </w:r>
      <w:r>
        <w:rPr>
          <w:color w:val="231F20"/>
          <w:spacing w:val="-33"/>
          <w:w w:val="105"/>
        </w:rPr>
        <w:t> </w:t>
      </w:r>
      <w:r>
        <w:rPr>
          <w:color w:val="231F20"/>
          <w:w w:val="105"/>
        </w:rPr>
        <w:t>pulsed-field</w:t>
      </w:r>
      <w:r>
        <w:rPr>
          <w:color w:val="231F20"/>
          <w:spacing w:val="-33"/>
          <w:w w:val="105"/>
        </w:rPr>
        <w:t> </w:t>
      </w:r>
      <w:r>
        <w:rPr>
          <w:color w:val="231F20"/>
          <w:w w:val="105"/>
        </w:rPr>
        <w:t>gel</w:t>
      </w:r>
      <w:r>
        <w:rPr>
          <w:color w:val="231F20"/>
          <w:spacing w:val="-33"/>
          <w:w w:val="105"/>
        </w:rPr>
        <w:t> </w:t>
      </w:r>
      <w:r>
        <w:rPr>
          <w:color w:val="231F20"/>
          <w:w w:val="105"/>
        </w:rPr>
        <w:t>electrophoresis</w:t>
      </w:r>
      <w:r>
        <w:rPr>
          <w:color w:val="231F20"/>
          <w:spacing w:val="-33"/>
          <w:w w:val="105"/>
        </w:rPr>
        <w:t> </w:t>
      </w:r>
      <w:r>
        <w:rPr>
          <w:color w:val="231F20"/>
          <w:w w:val="105"/>
        </w:rPr>
        <w:t>(PFGE), a laboratory method used to determine the molecular fingerprints of bacteria. This method, developed and refined during the 1980s</w:t>
      </w:r>
      <w:r>
        <w:rPr>
          <w:color w:val="231F20"/>
          <w:spacing w:val="-14"/>
          <w:w w:val="105"/>
        </w:rPr>
        <w:t> </w:t>
      </w:r>
      <w:r>
        <w:rPr>
          <w:color w:val="231F20"/>
          <w:w w:val="105"/>
        </w:rPr>
        <w:t>and</w:t>
      </w:r>
      <w:r>
        <w:rPr>
          <w:color w:val="231F20"/>
          <w:spacing w:val="-14"/>
          <w:w w:val="105"/>
        </w:rPr>
        <w:t> </w:t>
      </w:r>
      <w:r>
        <w:rPr>
          <w:color w:val="231F20"/>
          <w:w w:val="105"/>
        </w:rPr>
        <w:t>implemented</w:t>
      </w:r>
      <w:r>
        <w:rPr>
          <w:color w:val="231F20"/>
          <w:spacing w:val="-13"/>
          <w:w w:val="105"/>
        </w:rPr>
        <w:t> </w:t>
      </w:r>
      <w:r>
        <w:rPr>
          <w:color w:val="231F20"/>
          <w:w w:val="105"/>
        </w:rPr>
        <w:t>for</w:t>
      </w:r>
      <w:r>
        <w:rPr>
          <w:color w:val="231F20"/>
          <w:spacing w:val="-13"/>
          <w:w w:val="105"/>
        </w:rPr>
        <w:t> </w:t>
      </w:r>
      <w:r>
        <w:rPr>
          <w:color w:val="231F20"/>
          <w:w w:val="105"/>
        </w:rPr>
        <w:t>widespread</w:t>
      </w:r>
    </w:p>
    <w:p>
      <w:pPr>
        <w:pStyle w:val="BodyText"/>
        <w:spacing w:line="266" w:lineRule="auto"/>
        <w:ind w:left="720" w:right="-4"/>
      </w:pPr>
      <w:r>
        <w:rPr>
          <w:color w:val="231F20"/>
          <w:w w:val="105"/>
        </w:rPr>
        <w:t>use during the 1990s, revolutionized the investigation of foodborne disease outbreaks by identifying unique strains within a bacterial species. For example, each of the many strains of </w:t>
      </w:r>
      <w:r>
        <w:rPr>
          <w:i/>
          <w:color w:val="231F20"/>
          <w:w w:val="105"/>
        </w:rPr>
        <w:t>Salmonella </w:t>
      </w:r>
      <w:r>
        <w:rPr>
          <w:color w:val="231F20"/>
          <w:w w:val="105"/>
        </w:rPr>
        <w:t>has a unique PFGE pattern</w:t>
      </w:r>
    </w:p>
    <w:p>
      <w:pPr>
        <w:pStyle w:val="BodyText"/>
        <w:spacing w:line="266" w:lineRule="auto"/>
        <w:ind w:left="720" w:right="208"/>
      </w:pPr>
      <w:r>
        <w:rPr/>
        <w:pict>
          <v:group style="position:absolute;margin-left:35.75pt;margin-top:92.049355pt;width:397.5pt;height:189.5pt;mso-position-horizontal-relative:page;mso-position-vertical-relative:paragraph;z-index:2680" coordorigin="715,1841" coordsize="7950,3790">
            <v:rect style="position:absolute;left:725;top:1846;width:7929;height:540" filled="true" fillcolor="#bad0ec" stroked="false">
              <v:fill type="solid"/>
            </v:rect>
            <v:rect style="position:absolute;left:725;top:2386;width:7929;height:3240" filled="true" fillcolor="#eef2fa" stroked="false">
              <v:fill type="solid"/>
            </v:rect>
            <v:line style="position:absolute" from="720,1846" to="8659,1846" stroked="true" strokeweight=".5pt" strokecolor="#1c3e94">
              <v:stroke dashstyle="solid"/>
            </v:line>
            <v:line style="position:absolute" from="725,2381" to="725,1851" stroked="true" strokeweight=".5pt" strokecolor="#1c3e94">
              <v:stroke dashstyle="solid"/>
            </v:line>
            <v:line style="position:absolute" from="8654,2381" to="8654,1851" stroked="true" strokeweight=".5pt" strokecolor="#1c3e94">
              <v:stroke dashstyle="solid"/>
            </v:line>
            <v:line style="position:absolute" from="720,2386" to="8659,2386" stroked="true" strokeweight=".5pt" strokecolor="#1c3e94">
              <v:stroke dashstyle="solid"/>
            </v:line>
            <v:line style="position:absolute" from="725,5621" to="725,2391" stroked="true" strokeweight=".5pt" strokecolor="#1c3e94">
              <v:stroke dashstyle="solid"/>
            </v:line>
            <v:line style="position:absolute" from="8654,5621" to="8654,2391" stroked="true" strokeweight=".5pt" strokecolor="#1c3e94">
              <v:stroke dashstyle="solid"/>
            </v:line>
            <v:line style="position:absolute" from="720,5626" to="8659,5626" stroked="true" strokeweight=".5pt" strokecolor="#1c3e94">
              <v:stroke dashstyle="solid"/>
            </v:line>
            <v:line style="position:absolute" from="2598,4752" to="2930,4752" stroked="true" strokeweight="3.501pt" strokecolor="#7cacdc">
              <v:stroke dashstyle="solid"/>
            </v:line>
            <v:rect style="position:absolute;left:2598;top:4717;width:333;height:70" filled="false" stroked="true" strokeweight=".077pt" strokecolor="#0079c1">
              <v:stroke dashstyle="solid"/>
            </v:rect>
            <v:rect style="position:absolute;left:2933;top:4571;width:333;height:218" filled="true" fillcolor="#7cacdc" stroked="false">
              <v:fill type="solid"/>
            </v:rect>
            <v:rect style="position:absolute;left:2933;top:4571;width:333;height:218" filled="false" stroked="true" strokeweight=".141pt" strokecolor="#0079c1">
              <v:stroke dashstyle="solid"/>
            </v:rect>
            <v:rect style="position:absolute;left:3268;top:4542;width:333;height:247" filled="true" fillcolor="#7cacdc" stroked="false">
              <v:fill type="solid"/>
            </v:rect>
            <v:rect style="position:absolute;left:3268;top:4542;width:333;height:247" filled="false" stroked="true" strokeweight=".13pt" strokecolor="#0079c1">
              <v:stroke dashstyle="solid"/>
            </v:rect>
            <v:rect style="position:absolute;left:3602;top:4500;width:333;height:289" filled="true" fillcolor="#7cacdc" stroked="false">
              <v:fill type="solid"/>
            </v:rect>
            <v:rect style="position:absolute;left:3602;top:4500;width:333;height:289" filled="false" stroked="true" strokeweight=".11pt" strokecolor="#0079c1">
              <v:stroke dashstyle="solid"/>
            </v:rect>
            <v:rect style="position:absolute;left:3935;top:4207;width:333;height:582" filled="true" fillcolor="#7cacdc" stroked="false">
              <v:fill type="solid"/>
            </v:rect>
            <v:rect style="position:absolute;left:3935;top:4207;width:333;height:582" filled="false" stroked="true" strokeweight=".154pt" strokecolor="#0079c1">
              <v:stroke dashstyle="solid"/>
            </v:rect>
            <v:rect style="position:absolute;left:4270;top:3976;width:333;height:813" filled="true" fillcolor="#7cacdc" stroked="false">
              <v:fill type="solid"/>
            </v:rect>
            <v:rect style="position:absolute;left:4270;top:3976;width:333;height:813" filled="false" stroked="true" strokeweight=".178pt" strokecolor="#0079c1">
              <v:stroke dashstyle="solid"/>
            </v:rect>
            <v:rect style="position:absolute;left:4605;top:3731;width:333;height:1057" filled="true" fillcolor="#7cacdc" stroked="false">
              <v:fill type="solid"/>
            </v:rect>
            <v:rect style="position:absolute;left:4605;top:3731;width:333;height:1057" filled="false" stroked="true" strokeweight=".216pt" strokecolor="#0079c1">
              <v:stroke dashstyle="solid"/>
            </v:rect>
            <v:rect style="position:absolute;left:4942;top:3687;width:333;height:1102" filled="true" fillcolor="#7cacdc" stroked="false">
              <v:fill type="solid"/>
            </v:rect>
            <v:rect style="position:absolute;left:4942;top:3687;width:333;height:1102" filled="false" stroked="true" strokeweight=".214pt" strokecolor="#0079c1">
              <v:stroke dashstyle="solid"/>
            </v:rect>
            <v:rect style="position:absolute;left:5278;top:3518;width:333;height:1271" filled="true" fillcolor="#7cacdc" stroked="false">
              <v:fill type="solid"/>
            </v:rect>
            <v:rect style="position:absolute;left:5278;top:3518;width:333;height:1271" filled="false" stroked="true" strokeweight=".294pt" strokecolor="#0079c1">
              <v:stroke dashstyle="solid"/>
            </v:rect>
            <v:rect style="position:absolute;left:5612;top:3282;width:333;height:1507" filled="true" fillcolor="#7cacdc" stroked="false">
              <v:fill type="solid"/>
            </v:rect>
            <v:rect style="position:absolute;left:5612;top:3282;width:333;height:1507" filled="false" stroked="true" strokeweight=".252pt" strokecolor="#0079c1">
              <v:stroke dashstyle="solid"/>
            </v:rect>
            <v:rect style="position:absolute;left:5945;top:3154;width:333;height:1635" filled="true" fillcolor="#7cacdc" stroked="false">
              <v:fill type="solid"/>
            </v:rect>
            <v:rect style="position:absolute;left:5945;top:3154;width:333;height:1635" filled="false" stroked="true" strokeweight=".259pt" strokecolor="#0079c1">
              <v:stroke dashstyle="solid"/>
            </v:rect>
            <v:rect style="position:absolute;left:6275;top:3421;width:333;height:1368" filled="true" fillcolor="#7cacdc" stroked="false">
              <v:fill type="solid"/>
            </v:rect>
            <v:rect style="position:absolute;left:6275;top:3421;width:333;height:1368" filled="false" stroked="true" strokeweight=".231pt" strokecolor="#0079c1">
              <v:stroke dashstyle="solid"/>
            </v:rect>
            <v:rect style="position:absolute;left:6606;top:3031;width:333;height:1758" filled="true" fillcolor="#7cacdc" stroked="false">
              <v:fill type="solid"/>
            </v:rect>
            <v:rect style="position:absolute;left:6606;top:3031;width:333;height:1758" filled="false" stroked="true" strokeweight=".278pt" strokecolor="#0079c1">
              <v:stroke dashstyle="solid"/>
            </v:rect>
            <v:rect style="position:absolute;left:6938;top:3012;width:337;height:1777" filled="true" fillcolor="#7cacdc" stroked="false">
              <v:fill type="solid"/>
            </v:rect>
            <v:rect style="position:absolute;left:6938;top:3012;width:337;height:1777" filled="false" stroked="true" strokeweight=".273pt" strokecolor="#0079c1">
              <v:stroke dashstyle="solid"/>
            </v:rect>
            <v:shape style="position:absolute;left:0;top:4376;width:5395;height:2006" coordorigin="0,4376" coordsize="5395,2006" path="m1924,4789l7319,4789m2301,4789l2301,4819m2595,4789l2595,4819m2927,4789l2927,4819m3263,4789l3263,4819m3600,4789l3600,4819m3933,4789l3933,4819m4270,4792l4270,4822m4606,4792l4606,4822m4940,4792l4940,4822m5278,4792l5278,4822m5612,4789l5612,4819m5946,4789l5946,4819m6278,4789l6278,4819m6608,4789l6608,4819m6937,4789l6937,4819m7275,4819l7275,2817,7299,2817m1974,4819l1974,2817,1934,2817m7316,4596l7281,4596m7316,4395l7281,4395m7316,4001l7281,4001m7316,4198l7281,4198m7316,3804l7281,3804m7316,3607l7281,3607m7316,3407l7281,3407m7316,3213l7281,3213m7316,3010l7281,3010m1976,4465l1940,4465m1976,4132l1940,4132m1976,3804l1940,3804m1976,3468l1940,3468m1976,3136l1940,3136e" filled="false" stroked="true" strokeweight=".456pt" strokecolor="#231f20">
              <v:path arrowok="t"/>
              <v:stroke dashstyle="solid"/>
            </v:shape>
            <v:line style="position:absolute" from="2217,2920" to="2408,2920" stroked="true" strokeweight="2.358pt" strokecolor="#7cacdc">
              <v:stroke dashstyle="solid"/>
            </v:line>
            <v:rect style="position:absolute;left:2217;top:2896;width:191;height:47" filled="false" stroked="true" strokeweight=".032pt" strokecolor="#0079c1">
              <v:stroke dashstyle="solid"/>
            </v:rect>
            <v:line style="position:absolute" from="2278,3157" to="2331,3157" stroked="true" strokeweight="2.858pt" strokecolor="#d15f27">
              <v:stroke dashstyle="solid"/>
            </v:line>
            <v:line style="position:absolute" from="2205,3157" to="2213,3157" stroked="true" strokeweight=".383pt" strokecolor="#d15f27">
              <v:stroke dashstyle="solid"/>
            </v:line>
            <v:line style="position:absolute" from="2229,3157" to="2288,3157" stroked="true" strokeweight=".383pt" strokecolor="#d15f27">
              <v:stroke dashstyle="shortdot"/>
            </v:line>
            <v:line style="position:absolute" from="2296,3157" to="2388,3157" stroked="true" strokeweight=".383pt" strokecolor="#d15f27">
              <v:stroke dashstyle="shortdot"/>
            </v:line>
            <v:line style="position:absolute" from="2396,3157" to="2404,3157" stroked="true" strokeweight=".383pt" strokecolor="#d15f27">
              <v:stroke dashstyle="solid"/>
            </v:line>
            <v:line style="position:absolute" from="4742,4427" to="4758,4417" stroked="true" strokeweight=".912pt" strokecolor="#d15f27">
              <v:stroke dashstyle="solid"/>
            </v:line>
            <v:line style="position:absolute" from="4801,4389" to="4924,4308" stroked="true" strokeweight=".912pt" strokecolor="#d15f27">
              <v:stroke dashstyle="shortdot"/>
            </v:line>
            <v:shape style="position:absolute;left:4946;top:3225;width:1463;height:1069" coordorigin="4946,3225" coordsize="1463,1069" path="m4946,4294l5091,4198,5428,4216,5765,4207,6101,3916,6408,3225e" filled="false" stroked="true" strokeweight=".912pt" strokecolor="#d15f27">
              <v:path arrowok="t"/>
              <v:stroke dashstyle="shortdot"/>
            </v:shape>
            <v:shape style="position:absolute;left:6418;top:3185;width:26;height:17" coordorigin="6418,3185" coordsize="26,17" path="m6418,3201l6426,3185,6444,3187e" filled="false" stroked="true" strokeweight=".912pt" strokecolor="#d15f27">
              <v:path arrowok="t"/>
              <v:stroke dashstyle="solid"/>
            </v:shape>
            <v:line style="position:absolute" from="6492,3194" to="6628,3212" stroked="true" strokeweight=".912pt" strokecolor="#d15f27">
              <v:stroke dashstyle="shortdot"/>
            </v:line>
            <v:shape style="position:absolute;left:6652;top:3047;width:411;height:182" coordorigin="6652,3047" coordsize="411,182" path="m6652,3216l6750,3229,7062,3047e" filled="false" stroked="true" strokeweight=".912pt" strokecolor="#d15f27">
              <v:path arrowok="t"/>
              <v:stroke dashstyle="shortdot"/>
            </v:shape>
            <v:line style="position:absolute" from="7083,3035" to="7099,3026" stroked="true" strokeweight=".912pt" strokecolor="#d15f27">
              <v:stroke dashstyle="solid"/>
            </v:line>
            <v:shape style="position:absolute;left:4732;top:3190;width:2072;height:1225" coordorigin="4732,3190" coordsize="2072,1225" path="m4732,4415l4807,4415m5077,4189l5152,4189m5403,4202l5478,4202m5748,4198l5823,4198m6074,3917l6149,3917m6403,3190l6478,3190m6729,3229l6804,3229e" filled="false" stroked="true" strokeweight="2.858pt" strokecolor="#d15f27">
              <v:path arrowok="t"/>
              <v:stroke dashstyle="solid"/>
            </v:shape>
            <v:line style="position:absolute" from="7058,3020" to="7133,3020" stroked="true" strokeweight="2.859pt" strokecolor="#d15f27">
              <v:stroke dashstyle="solid"/>
            </v:line>
            <v:shape style="position:absolute;left:725;top:1846;width:7930;height:540" type="#_x0000_t202" filled="false" stroked="false">
              <v:textbox inset="0,0,0,0">
                <w:txbxContent>
                  <w:p>
                    <w:pPr>
                      <w:spacing w:line="252" w:lineRule="auto" w:before="59"/>
                      <w:ind w:left="995" w:right="495" w:hanging="916"/>
                      <w:jc w:val="left"/>
                      <w:rPr>
                        <w:rFonts w:ascii="Trebuchet MS" w:hAnsi="Trebuchet MS"/>
                        <w:b/>
                        <w:sz w:val="10"/>
                      </w:rPr>
                    </w:pPr>
                    <w:r>
                      <w:rPr>
                        <w:rFonts w:ascii="Trebuchet MS" w:hAnsi="Trebuchet MS"/>
                        <w:b/>
                        <w:color w:val="E36F1E"/>
                        <w:w w:val="95"/>
                        <w:sz w:val="18"/>
                      </w:rPr>
                      <w:t>Figure</w:t>
                    </w:r>
                    <w:r>
                      <w:rPr>
                        <w:rFonts w:ascii="Trebuchet MS" w:hAnsi="Trebuchet MS"/>
                        <w:b/>
                        <w:color w:val="E36F1E"/>
                        <w:spacing w:val="-12"/>
                        <w:w w:val="95"/>
                        <w:sz w:val="18"/>
                      </w:rPr>
                      <w:t> </w:t>
                    </w:r>
                    <w:r>
                      <w:rPr>
                        <w:rFonts w:ascii="Trebuchet MS" w:hAnsi="Trebuchet MS"/>
                        <w:b/>
                        <w:color w:val="E36F1E"/>
                        <w:w w:val="95"/>
                        <w:sz w:val="18"/>
                      </w:rPr>
                      <w:t>2.2</w:t>
                    </w:r>
                    <w:r>
                      <w:rPr>
                        <w:rFonts w:ascii="Trebuchet MS" w:hAnsi="Trebuchet MS"/>
                        <w:b/>
                        <w:color w:val="E36F1E"/>
                        <w:spacing w:val="29"/>
                        <w:w w:val="95"/>
                        <w:sz w:val="18"/>
                      </w:rPr>
                      <w:t> </w:t>
                    </w:r>
                    <w:r>
                      <w:rPr>
                        <w:rFonts w:ascii="Trebuchet MS" w:hAnsi="Trebuchet MS"/>
                        <w:b/>
                        <w:color w:val="1C3E94"/>
                        <w:w w:val="95"/>
                        <w:sz w:val="18"/>
                      </w:rPr>
                      <w:t>Bacterial</w:t>
                    </w:r>
                    <w:r>
                      <w:rPr>
                        <w:rFonts w:ascii="Trebuchet MS" w:hAnsi="Trebuchet MS"/>
                        <w:b/>
                        <w:color w:val="1C3E94"/>
                        <w:spacing w:val="-12"/>
                        <w:w w:val="95"/>
                        <w:sz w:val="18"/>
                      </w:rPr>
                      <w:t> </w:t>
                    </w:r>
                    <w:r>
                      <w:rPr>
                        <w:rFonts w:ascii="Trebuchet MS" w:hAnsi="Trebuchet MS"/>
                        <w:b/>
                        <w:color w:val="1C3E94"/>
                        <w:w w:val="95"/>
                        <w:sz w:val="18"/>
                      </w:rPr>
                      <w:t>isolates</w:t>
                    </w:r>
                    <w:r>
                      <w:rPr>
                        <w:rFonts w:ascii="Trebuchet MS" w:hAnsi="Trebuchet MS"/>
                        <w:b/>
                        <w:color w:val="1C3E94"/>
                        <w:spacing w:val="-12"/>
                        <w:w w:val="95"/>
                        <w:sz w:val="18"/>
                      </w:rPr>
                      <w:t> </w:t>
                    </w:r>
                    <w:r>
                      <w:rPr>
                        <w:rFonts w:ascii="Trebuchet MS" w:hAnsi="Trebuchet MS"/>
                        <w:b/>
                        <w:color w:val="1C3E94"/>
                        <w:w w:val="95"/>
                        <w:sz w:val="18"/>
                      </w:rPr>
                      <w:t>from</w:t>
                    </w:r>
                    <w:r>
                      <w:rPr>
                        <w:rFonts w:ascii="Trebuchet MS" w:hAnsi="Trebuchet MS"/>
                        <w:b/>
                        <w:color w:val="1C3E94"/>
                        <w:spacing w:val="-12"/>
                        <w:w w:val="95"/>
                        <w:sz w:val="18"/>
                      </w:rPr>
                      <w:t> </w:t>
                    </w:r>
                    <w:r>
                      <w:rPr>
                        <w:rFonts w:ascii="Trebuchet MS" w:hAnsi="Trebuchet MS"/>
                        <w:b/>
                        <w:color w:val="1C3E94"/>
                        <w:w w:val="95"/>
                        <w:sz w:val="18"/>
                      </w:rPr>
                      <w:t>humans</w:t>
                    </w:r>
                    <w:r>
                      <w:rPr>
                        <w:rFonts w:ascii="Trebuchet MS" w:hAnsi="Trebuchet MS"/>
                        <w:b/>
                        <w:color w:val="1C3E94"/>
                        <w:spacing w:val="-12"/>
                        <w:w w:val="95"/>
                        <w:sz w:val="18"/>
                      </w:rPr>
                      <w:t> </w:t>
                    </w:r>
                    <w:r>
                      <w:rPr>
                        <w:rFonts w:ascii="Trebuchet MS" w:hAnsi="Trebuchet MS"/>
                        <w:b/>
                        <w:color w:val="1C3E94"/>
                        <w:w w:val="95"/>
                        <w:sz w:val="18"/>
                      </w:rPr>
                      <w:t>uploaded</w:t>
                    </w:r>
                    <w:r>
                      <w:rPr>
                        <w:rFonts w:ascii="Trebuchet MS" w:hAnsi="Trebuchet MS"/>
                        <w:b/>
                        <w:color w:val="1C3E94"/>
                        <w:spacing w:val="-12"/>
                        <w:w w:val="95"/>
                        <w:sz w:val="18"/>
                      </w:rPr>
                      <w:t> </w:t>
                    </w:r>
                    <w:r>
                      <w:rPr>
                        <w:rFonts w:ascii="Trebuchet MS" w:hAnsi="Trebuchet MS"/>
                        <w:b/>
                        <w:color w:val="1C3E94"/>
                        <w:w w:val="95"/>
                        <w:sz w:val="18"/>
                      </w:rPr>
                      <w:t>to</w:t>
                    </w:r>
                    <w:r>
                      <w:rPr>
                        <w:rFonts w:ascii="Trebuchet MS" w:hAnsi="Trebuchet MS"/>
                        <w:b/>
                        <w:color w:val="1C3E94"/>
                        <w:spacing w:val="-12"/>
                        <w:w w:val="95"/>
                        <w:sz w:val="18"/>
                      </w:rPr>
                      <w:t> </w:t>
                    </w:r>
                    <w:r>
                      <w:rPr>
                        <w:rFonts w:ascii="Trebuchet MS" w:hAnsi="Trebuchet MS"/>
                        <w:b/>
                        <w:color w:val="1C3E94"/>
                        <w:w w:val="95"/>
                        <w:sz w:val="18"/>
                      </w:rPr>
                      <w:t>PulseNet</w:t>
                    </w:r>
                    <w:r>
                      <w:rPr>
                        <w:rFonts w:ascii="Trebuchet MS" w:hAnsi="Trebuchet MS"/>
                        <w:b/>
                        <w:color w:val="1C3E94"/>
                        <w:spacing w:val="-12"/>
                        <w:w w:val="95"/>
                        <w:sz w:val="18"/>
                      </w:rPr>
                      <w:t> </w:t>
                    </w:r>
                    <w:r>
                      <w:rPr>
                        <w:rFonts w:ascii="Trebuchet MS" w:hAnsi="Trebuchet MS"/>
                        <w:b/>
                        <w:color w:val="1C3E94"/>
                        <w:w w:val="95"/>
                        <w:sz w:val="18"/>
                      </w:rPr>
                      <w:t>USA,</w:t>
                    </w:r>
                    <w:r>
                      <w:rPr>
                        <w:rFonts w:ascii="Trebuchet MS" w:hAnsi="Trebuchet MS"/>
                        <w:b/>
                        <w:color w:val="1C3E94"/>
                        <w:spacing w:val="-12"/>
                        <w:w w:val="95"/>
                        <w:sz w:val="18"/>
                      </w:rPr>
                      <w:t> </w:t>
                    </w:r>
                    <w:r>
                      <w:rPr>
                        <w:rFonts w:ascii="Trebuchet MS" w:hAnsi="Trebuchet MS"/>
                        <w:b/>
                        <w:color w:val="1C3E94"/>
                        <w:w w:val="95"/>
                        <w:sz w:val="18"/>
                      </w:rPr>
                      <w:t>and</w:t>
                    </w:r>
                    <w:r>
                      <w:rPr>
                        <w:rFonts w:ascii="Trebuchet MS" w:hAnsi="Trebuchet MS"/>
                        <w:b/>
                        <w:color w:val="1C3E94"/>
                        <w:spacing w:val="-12"/>
                        <w:w w:val="95"/>
                        <w:sz w:val="18"/>
                      </w:rPr>
                      <w:t> </w:t>
                    </w:r>
                    <w:r>
                      <w:rPr>
                        <w:rFonts w:ascii="Trebuchet MS" w:hAnsi="Trebuchet MS"/>
                        <w:b/>
                        <w:color w:val="1C3E94"/>
                        <w:w w:val="95"/>
                        <w:sz w:val="18"/>
                      </w:rPr>
                      <w:t>identified</w:t>
                    </w:r>
                    <w:r>
                      <w:rPr>
                        <w:rFonts w:ascii="Trebuchet MS" w:hAnsi="Trebuchet MS"/>
                        <w:b/>
                        <w:color w:val="1C3E94"/>
                        <w:spacing w:val="-12"/>
                        <w:w w:val="95"/>
                        <w:sz w:val="18"/>
                      </w:rPr>
                      <w:t> </w:t>
                    </w:r>
                    <w:r>
                      <w:rPr>
                        <w:rFonts w:ascii="Trebuchet MS" w:hAnsi="Trebuchet MS"/>
                        <w:b/>
                        <w:color w:val="1C3E94"/>
                        <w:w w:val="95"/>
                        <w:sz w:val="18"/>
                      </w:rPr>
                      <w:t>clusters, </w:t>
                    </w:r>
                    <w:r>
                      <w:rPr>
                        <w:rFonts w:ascii="Trebuchet MS" w:hAnsi="Trebuchet MS"/>
                        <w:b/>
                        <w:color w:val="1C3E94"/>
                        <w:sz w:val="18"/>
                      </w:rPr>
                      <w:t>1996–2011</w:t>
                    </w:r>
                    <w:r>
                      <w:rPr>
                        <w:rFonts w:ascii="Trebuchet MS" w:hAnsi="Trebuchet MS"/>
                        <w:b/>
                        <w:color w:val="1C3E94"/>
                        <w:position w:val="6"/>
                        <w:sz w:val="10"/>
                      </w:rPr>
                      <w:t>†</w:t>
                    </w:r>
                  </w:p>
                </w:txbxContent>
              </v:textbox>
              <w10:wrap type="none"/>
            </v:shape>
            <v:shape style="position:absolute;left:1437;top:2722;width:390;height:498" type="#_x0000_t202" filled="false" stroked="false">
              <v:textbox inset="0,0,0,0">
                <w:txbxContent>
                  <w:p>
                    <w:pPr>
                      <w:spacing w:before="2"/>
                      <w:ind w:left="0" w:right="0" w:firstLine="0"/>
                      <w:jc w:val="left"/>
                      <w:rPr>
                        <w:rFonts w:ascii="Arial"/>
                        <w:sz w:val="14"/>
                      </w:rPr>
                    </w:pPr>
                    <w:r>
                      <w:rPr>
                        <w:rFonts w:ascii="Arial"/>
                        <w:color w:val="231F20"/>
                        <w:w w:val="85"/>
                        <w:sz w:val="14"/>
                      </w:rPr>
                      <w:t>60,000</w:t>
                    </w:r>
                  </w:p>
                  <w:p>
                    <w:pPr>
                      <w:spacing w:line="240" w:lineRule="auto" w:before="4"/>
                      <w:rPr>
                        <w:sz w:val="15"/>
                      </w:rPr>
                    </w:pPr>
                  </w:p>
                  <w:p>
                    <w:pPr>
                      <w:spacing w:before="0"/>
                      <w:ind w:left="0" w:right="0" w:firstLine="0"/>
                      <w:jc w:val="left"/>
                      <w:rPr>
                        <w:rFonts w:ascii="Arial"/>
                        <w:sz w:val="14"/>
                      </w:rPr>
                    </w:pPr>
                    <w:r>
                      <w:rPr>
                        <w:rFonts w:ascii="Arial"/>
                        <w:color w:val="231F20"/>
                        <w:w w:val="85"/>
                        <w:sz w:val="14"/>
                      </w:rPr>
                      <w:t>50,000</w:t>
                    </w:r>
                  </w:p>
                </w:txbxContent>
              </v:textbox>
              <w10:wrap type="none"/>
            </v:shape>
            <v:shape style="position:absolute;left:2510;top:2832;width:2808;height:420" type="#_x0000_t202" filled="false" stroked="false">
              <v:textbox inset="0,0,0,0">
                <w:txbxContent>
                  <w:p>
                    <w:pPr>
                      <w:spacing w:line="160" w:lineRule="exact" w:before="0"/>
                      <w:ind w:left="0" w:right="0" w:firstLine="0"/>
                      <w:jc w:val="left"/>
                      <w:rPr>
                        <w:rFonts w:ascii="Arial"/>
                        <w:sz w:val="14"/>
                      </w:rPr>
                    </w:pPr>
                    <w:r>
                      <w:rPr>
                        <w:rFonts w:ascii="Arial"/>
                        <w:color w:val="231F20"/>
                        <w:w w:val="85"/>
                        <w:sz w:val="14"/>
                      </w:rPr>
                      <w:t>Human specimens submitted to Pulse Net</w:t>
                    </w:r>
                  </w:p>
                  <w:p>
                    <w:pPr>
                      <w:spacing w:before="98"/>
                      <w:ind w:left="0" w:right="0" w:firstLine="0"/>
                      <w:jc w:val="left"/>
                      <w:rPr>
                        <w:rFonts w:ascii="Arial"/>
                        <w:sz w:val="14"/>
                      </w:rPr>
                    </w:pPr>
                    <w:r>
                      <w:rPr>
                        <w:rFonts w:ascii="Arial"/>
                        <w:color w:val="231F20"/>
                        <w:w w:val="85"/>
                        <w:sz w:val="14"/>
                      </w:rPr>
                      <w:t>Clusters</w:t>
                    </w:r>
                    <w:r>
                      <w:rPr>
                        <w:rFonts w:ascii="Arial"/>
                        <w:color w:val="231F20"/>
                        <w:spacing w:val="-7"/>
                        <w:w w:val="85"/>
                        <w:sz w:val="14"/>
                      </w:rPr>
                      <w:t> </w:t>
                    </w:r>
                    <w:r>
                      <w:rPr>
                        <w:rFonts w:ascii="Arial"/>
                        <w:color w:val="231F20"/>
                        <w:w w:val="85"/>
                        <w:sz w:val="14"/>
                      </w:rPr>
                      <w:t>where</w:t>
                    </w:r>
                    <w:r>
                      <w:rPr>
                        <w:rFonts w:ascii="Arial"/>
                        <w:color w:val="231F20"/>
                        <w:spacing w:val="-7"/>
                        <w:w w:val="85"/>
                        <w:sz w:val="14"/>
                      </w:rPr>
                      <w:t> </w:t>
                    </w:r>
                    <w:r>
                      <w:rPr>
                        <w:rFonts w:ascii="Arial"/>
                        <w:color w:val="231F20"/>
                        <w:w w:val="85"/>
                        <w:sz w:val="14"/>
                      </w:rPr>
                      <w:t>states</w:t>
                    </w:r>
                    <w:r>
                      <w:rPr>
                        <w:rFonts w:ascii="Arial"/>
                        <w:color w:val="231F20"/>
                        <w:spacing w:val="-7"/>
                        <w:w w:val="85"/>
                        <w:sz w:val="14"/>
                      </w:rPr>
                      <w:t> </w:t>
                    </w:r>
                    <w:r>
                      <w:rPr>
                        <w:rFonts w:ascii="Arial"/>
                        <w:color w:val="231F20"/>
                        <w:w w:val="85"/>
                        <w:sz w:val="14"/>
                      </w:rPr>
                      <w:t>engaged</w:t>
                    </w:r>
                    <w:r>
                      <w:rPr>
                        <w:rFonts w:ascii="Arial"/>
                        <w:color w:val="231F20"/>
                        <w:spacing w:val="-7"/>
                        <w:w w:val="85"/>
                        <w:sz w:val="14"/>
                      </w:rPr>
                      <w:t> </w:t>
                    </w:r>
                    <w:r>
                      <w:rPr>
                        <w:rFonts w:ascii="Arial"/>
                        <w:color w:val="231F20"/>
                        <w:w w:val="85"/>
                        <w:sz w:val="14"/>
                      </w:rPr>
                      <w:t>for</w:t>
                    </w:r>
                    <w:r>
                      <w:rPr>
                        <w:rFonts w:ascii="Arial"/>
                        <w:color w:val="231F20"/>
                        <w:spacing w:val="-7"/>
                        <w:w w:val="85"/>
                        <w:sz w:val="14"/>
                      </w:rPr>
                      <w:t> </w:t>
                    </w:r>
                    <w:r>
                      <w:rPr>
                        <w:rFonts w:ascii="Arial"/>
                        <w:color w:val="231F20"/>
                        <w:w w:val="85"/>
                        <w:sz w:val="14"/>
                      </w:rPr>
                      <w:t>intensive</w:t>
                    </w:r>
                    <w:r>
                      <w:rPr>
                        <w:rFonts w:ascii="Arial"/>
                        <w:color w:val="231F20"/>
                        <w:spacing w:val="-7"/>
                        <w:w w:val="85"/>
                        <w:sz w:val="14"/>
                      </w:rPr>
                      <w:t> </w:t>
                    </w:r>
                    <w:r>
                      <w:rPr>
                        <w:rFonts w:ascii="Arial"/>
                        <w:color w:val="231F20"/>
                        <w:w w:val="85"/>
                        <w:sz w:val="14"/>
                      </w:rPr>
                      <w:t>follow-up</w:t>
                    </w:r>
                  </w:p>
                </w:txbxContent>
              </v:textbox>
              <w10:wrap type="none"/>
            </v:shape>
            <v:shape style="position:absolute;left:1437;top:3384;width:397;height:1473" type="#_x0000_t202" filled="false" stroked="false">
              <v:textbox inset="0,0,0,0">
                <w:txbxContent>
                  <w:p>
                    <w:pPr>
                      <w:spacing w:before="2"/>
                      <w:ind w:left="0" w:right="0" w:firstLine="0"/>
                      <w:jc w:val="left"/>
                      <w:rPr>
                        <w:rFonts w:ascii="Arial"/>
                        <w:sz w:val="14"/>
                      </w:rPr>
                    </w:pPr>
                    <w:r>
                      <w:rPr>
                        <w:rFonts w:ascii="Arial"/>
                        <w:color w:val="231F20"/>
                        <w:w w:val="90"/>
                        <w:sz w:val="14"/>
                      </w:rPr>
                      <w:t>40,000</w:t>
                    </w:r>
                  </w:p>
                  <w:p>
                    <w:pPr>
                      <w:spacing w:line="240" w:lineRule="auto" w:before="9"/>
                      <w:rPr>
                        <w:sz w:val="14"/>
                      </w:rPr>
                    </w:pPr>
                  </w:p>
                  <w:p>
                    <w:pPr>
                      <w:spacing w:before="0"/>
                      <w:ind w:left="4" w:right="0" w:firstLine="0"/>
                      <w:jc w:val="left"/>
                      <w:rPr>
                        <w:rFonts w:ascii="Arial"/>
                        <w:sz w:val="14"/>
                      </w:rPr>
                    </w:pPr>
                    <w:r>
                      <w:rPr>
                        <w:rFonts w:ascii="Arial"/>
                        <w:color w:val="231F20"/>
                        <w:w w:val="85"/>
                        <w:sz w:val="14"/>
                      </w:rPr>
                      <w:t>30,000</w:t>
                    </w:r>
                  </w:p>
                  <w:p>
                    <w:pPr>
                      <w:spacing w:line="240" w:lineRule="auto" w:before="0"/>
                      <w:rPr>
                        <w:sz w:val="15"/>
                      </w:rPr>
                    </w:pPr>
                  </w:p>
                  <w:p>
                    <w:pPr>
                      <w:spacing w:before="0"/>
                      <w:ind w:left="7" w:right="0" w:firstLine="0"/>
                      <w:jc w:val="left"/>
                      <w:rPr>
                        <w:rFonts w:ascii="Arial"/>
                        <w:sz w:val="14"/>
                      </w:rPr>
                    </w:pPr>
                    <w:r>
                      <w:rPr>
                        <w:rFonts w:ascii="Arial"/>
                        <w:color w:val="231F20"/>
                        <w:w w:val="85"/>
                        <w:sz w:val="14"/>
                      </w:rPr>
                      <w:t>20,000</w:t>
                    </w:r>
                  </w:p>
                  <w:p>
                    <w:pPr>
                      <w:spacing w:line="240" w:lineRule="auto" w:before="10"/>
                      <w:rPr>
                        <w:sz w:val="14"/>
                      </w:rPr>
                    </w:pPr>
                  </w:p>
                  <w:p>
                    <w:pPr>
                      <w:spacing w:before="0"/>
                      <w:ind w:left="0" w:right="0" w:firstLine="0"/>
                      <w:jc w:val="left"/>
                      <w:rPr>
                        <w:rFonts w:ascii="Arial"/>
                        <w:sz w:val="14"/>
                      </w:rPr>
                    </w:pPr>
                    <w:r>
                      <w:rPr>
                        <w:rFonts w:ascii="Arial"/>
                        <w:color w:val="231F20"/>
                        <w:w w:val="90"/>
                        <w:sz w:val="14"/>
                      </w:rPr>
                      <w:t>10,000</w:t>
                    </w:r>
                  </w:p>
                  <w:p>
                    <w:pPr>
                      <w:spacing w:line="240" w:lineRule="auto" w:before="2"/>
                      <w:rPr>
                        <w:sz w:val="14"/>
                      </w:rPr>
                    </w:pPr>
                  </w:p>
                  <w:p>
                    <w:pPr>
                      <w:spacing w:before="1"/>
                      <w:ind w:left="0" w:right="19" w:firstLine="0"/>
                      <w:jc w:val="right"/>
                      <w:rPr>
                        <w:rFonts w:ascii="Arial"/>
                        <w:sz w:val="14"/>
                      </w:rPr>
                    </w:pPr>
                    <w:r>
                      <w:rPr>
                        <w:rFonts w:ascii="Arial"/>
                        <w:color w:val="231F20"/>
                        <w:w w:val="86"/>
                        <w:sz w:val="14"/>
                      </w:rPr>
                      <w:t>0</w:t>
                    </w:r>
                  </w:p>
                </w:txbxContent>
              </v:textbox>
              <w10:wrap type="none"/>
            </v:shape>
            <v:shape style="position:absolute;left:7417;top:2718;width:234;height:2155" type="#_x0000_t202" filled="false" stroked="false">
              <v:textbox inset="0,0,0,0">
                <w:txbxContent>
                  <w:p>
                    <w:pPr>
                      <w:spacing w:before="2"/>
                      <w:ind w:left="11" w:right="0" w:firstLine="0"/>
                      <w:jc w:val="left"/>
                      <w:rPr>
                        <w:rFonts w:ascii="Arial"/>
                        <w:sz w:val="14"/>
                      </w:rPr>
                    </w:pPr>
                    <w:r>
                      <w:rPr>
                        <w:rFonts w:ascii="Arial"/>
                        <w:color w:val="231F20"/>
                        <w:w w:val="90"/>
                        <w:sz w:val="14"/>
                      </w:rPr>
                      <w:t>200</w:t>
                    </w:r>
                  </w:p>
                  <w:p>
                    <w:pPr>
                      <w:spacing w:before="42"/>
                      <w:ind w:left="11" w:right="0" w:firstLine="0"/>
                      <w:jc w:val="left"/>
                      <w:rPr>
                        <w:rFonts w:ascii="Arial"/>
                        <w:sz w:val="14"/>
                      </w:rPr>
                    </w:pPr>
                    <w:r>
                      <w:rPr>
                        <w:rFonts w:ascii="Arial"/>
                        <w:color w:val="231F20"/>
                        <w:w w:val="90"/>
                        <w:sz w:val="14"/>
                      </w:rPr>
                      <w:t>180</w:t>
                    </w:r>
                  </w:p>
                  <w:p>
                    <w:pPr>
                      <w:spacing w:before="37"/>
                      <w:ind w:left="11" w:right="0" w:firstLine="0"/>
                      <w:jc w:val="left"/>
                      <w:rPr>
                        <w:rFonts w:ascii="Arial"/>
                        <w:sz w:val="14"/>
                      </w:rPr>
                    </w:pPr>
                    <w:r>
                      <w:rPr>
                        <w:rFonts w:ascii="Arial"/>
                        <w:color w:val="231F20"/>
                        <w:w w:val="90"/>
                        <w:sz w:val="14"/>
                      </w:rPr>
                      <w:t>160</w:t>
                    </w:r>
                  </w:p>
                  <w:p>
                    <w:pPr>
                      <w:spacing w:before="28"/>
                      <w:ind w:left="11" w:right="0" w:firstLine="0"/>
                      <w:jc w:val="left"/>
                      <w:rPr>
                        <w:rFonts w:ascii="Arial"/>
                        <w:sz w:val="14"/>
                      </w:rPr>
                    </w:pPr>
                    <w:r>
                      <w:rPr>
                        <w:rFonts w:ascii="Arial"/>
                        <w:color w:val="231F20"/>
                        <w:w w:val="90"/>
                        <w:sz w:val="14"/>
                      </w:rPr>
                      <w:t>140</w:t>
                    </w:r>
                  </w:p>
                  <w:p>
                    <w:pPr>
                      <w:spacing w:before="49"/>
                      <w:ind w:left="11" w:right="0" w:firstLine="0"/>
                      <w:jc w:val="left"/>
                      <w:rPr>
                        <w:rFonts w:ascii="Arial"/>
                        <w:sz w:val="14"/>
                      </w:rPr>
                    </w:pPr>
                    <w:r>
                      <w:rPr>
                        <w:rFonts w:ascii="Arial"/>
                        <w:color w:val="231F20"/>
                        <w:w w:val="90"/>
                        <w:sz w:val="14"/>
                      </w:rPr>
                      <w:t>120</w:t>
                    </w:r>
                  </w:p>
                  <w:p>
                    <w:pPr>
                      <w:spacing w:before="23"/>
                      <w:ind w:left="11" w:right="0" w:firstLine="0"/>
                      <w:jc w:val="left"/>
                      <w:rPr>
                        <w:rFonts w:ascii="Arial"/>
                        <w:sz w:val="14"/>
                      </w:rPr>
                    </w:pPr>
                    <w:r>
                      <w:rPr>
                        <w:rFonts w:ascii="Arial"/>
                        <w:color w:val="231F20"/>
                        <w:w w:val="90"/>
                        <w:sz w:val="14"/>
                      </w:rPr>
                      <w:t>100</w:t>
                    </w:r>
                  </w:p>
                  <w:p>
                    <w:pPr>
                      <w:spacing w:before="44"/>
                      <w:ind w:left="11" w:right="0" w:firstLine="0"/>
                      <w:jc w:val="left"/>
                      <w:rPr>
                        <w:rFonts w:ascii="Arial"/>
                        <w:sz w:val="14"/>
                      </w:rPr>
                    </w:pPr>
                    <w:r>
                      <w:rPr>
                        <w:rFonts w:ascii="Arial"/>
                        <w:color w:val="231F20"/>
                        <w:w w:val="95"/>
                        <w:sz w:val="14"/>
                      </w:rPr>
                      <w:t>80</w:t>
                    </w:r>
                  </w:p>
                  <w:p>
                    <w:pPr>
                      <w:spacing w:before="28"/>
                      <w:ind w:left="11" w:right="0" w:firstLine="0"/>
                      <w:jc w:val="left"/>
                      <w:rPr>
                        <w:rFonts w:ascii="Arial"/>
                        <w:sz w:val="14"/>
                      </w:rPr>
                    </w:pPr>
                    <w:r>
                      <w:rPr>
                        <w:rFonts w:ascii="Arial"/>
                        <w:color w:val="231F20"/>
                        <w:w w:val="95"/>
                        <w:sz w:val="14"/>
                      </w:rPr>
                      <w:t>60</w:t>
                    </w:r>
                  </w:p>
                  <w:p>
                    <w:pPr>
                      <w:spacing w:before="49"/>
                      <w:ind w:left="11" w:right="0" w:firstLine="0"/>
                      <w:jc w:val="left"/>
                      <w:rPr>
                        <w:rFonts w:ascii="Arial"/>
                        <w:sz w:val="14"/>
                      </w:rPr>
                    </w:pPr>
                    <w:r>
                      <w:rPr>
                        <w:rFonts w:ascii="Arial"/>
                        <w:color w:val="231F20"/>
                        <w:w w:val="95"/>
                        <w:sz w:val="14"/>
                      </w:rPr>
                      <w:t>40</w:t>
                    </w:r>
                  </w:p>
                  <w:p>
                    <w:pPr>
                      <w:spacing w:before="23"/>
                      <w:ind w:left="11" w:right="0" w:firstLine="0"/>
                      <w:jc w:val="left"/>
                      <w:rPr>
                        <w:rFonts w:ascii="Arial"/>
                        <w:sz w:val="14"/>
                      </w:rPr>
                    </w:pPr>
                    <w:r>
                      <w:rPr>
                        <w:rFonts w:ascii="Arial"/>
                        <w:color w:val="231F20"/>
                        <w:w w:val="95"/>
                        <w:sz w:val="14"/>
                      </w:rPr>
                      <w:t>20</w:t>
                    </w:r>
                  </w:p>
                  <w:p>
                    <w:pPr>
                      <w:spacing w:before="52"/>
                      <w:ind w:left="0" w:right="0" w:firstLine="0"/>
                      <w:jc w:val="left"/>
                      <w:rPr>
                        <w:rFonts w:ascii="Arial"/>
                        <w:sz w:val="14"/>
                      </w:rPr>
                    </w:pPr>
                    <w:r>
                      <w:rPr>
                        <w:rFonts w:ascii="Arial"/>
                        <w:color w:val="231F20"/>
                        <w:w w:val="86"/>
                        <w:sz w:val="14"/>
                      </w:rPr>
                      <w:t>0</w:t>
                    </w:r>
                  </w:p>
                </w:txbxContent>
              </v:textbox>
              <w10:wrap type="none"/>
            </v:shape>
            <v:shape style="position:absolute;left:1815;top:4858;width:5676;height:622" type="#_x0000_t202" filled="false" stroked="false">
              <v:textbox inset="0,0,0,0">
                <w:txbxContent>
                  <w:p>
                    <w:pPr>
                      <w:spacing w:line="137" w:lineRule="exact" w:before="0"/>
                      <w:ind w:left="196" w:right="288" w:firstLine="0"/>
                      <w:jc w:val="center"/>
                      <w:rPr>
                        <w:rFonts w:ascii="Arial"/>
                        <w:sz w:val="12"/>
                      </w:rPr>
                    </w:pPr>
                    <w:r>
                      <w:rPr>
                        <w:rFonts w:ascii="Arial"/>
                        <w:color w:val="231F20"/>
                        <w:w w:val="80"/>
                        <w:sz w:val="12"/>
                      </w:rPr>
                      <w:t>1996*   1997*   1998*   1999*   2000*    2001    2002    2003     2004    2005    2006    2007     2008    2009    2010    2011</w:t>
                    </w:r>
                  </w:p>
                  <w:p>
                    <w:pPr>
                      <w:spacing w:line="240" w:lineRule="auto" w:before="0"/>
                      <w:rPr>
                        <w:sz w:val="14"/>
                      </w:rPr>
                    </w:pPr>
                  </w:p>
                  <w:p>
                    <w:pPr>
                      <w:spacing w:line="240" w:lineRule="auto" w:before="5"/>
                      <w:rPr>
                        <w:sz w:val="14"/>
                      </w:rPr>
                    </w:pPr>
                  </w:p>
                  <w:p>
                    <w:pPr>
                      <w:spacing w:before="0"/>
                      <w:ind w:left="-1" w:right="18" w:firstLine="0"/>
                      <w:jc w:val="center"/>
                      <w:rPr>
                        <w:rFonts w:ascii="Arial" w:hAnsi="Arial"/>
                        <w:sz w:val="14"/>
                      </w:rPr>
                    </w:pPr>
                    <w:r>
                      <w:rPr>
                        <w:rFonts w:ascii="Arial" w:hAnsi="Arial"/>
                        <w:color w:val="231F20"/>
                        <w:spacing w:val="-3"/>
                        <w:sz w:val="14"/>
                      </w:rPr>
                      <w:t>*For</w:t>
                    </w:r>
                    <w:r>
                      <w:rPr>
                        <w:rFonts w:ascii="Arial" w:hAnsi="Arial"/>
                        <w:color w:val="231F20"/>
                        <w:spacing w:val="-26"/>
                        <w:sz w:val="14"/>
                      </w:rPr>
                      <w:t> </w:t>
                    </w:r>
                    <w:r>
                      <w:rPr>
                        <w:rFonts w:ascii="Arial" w:hAnsi="Arial"/>
                        <w:color w:val="231F20"/>
                        <w:spacing w:val="-3"/>
                        <w:sz w:val="14"/>
                      </w:rPr>
                      <w:t>1996–2000,</w:t>
                    </w:r>
                    <w:r>
                      <w:rPr>
                        <w:rFonts w:ascii="Arial" w:hAnsi="Arial"/>
                        <w:color w:val="231F20"/>
                        <w:spacing w:val="-26"/>
                        <w:sz w:val="14"/>
                      </w:rPr>
                      <w:t> </w:t>
                    </w:r>
                    <w:r>
                      <w:rPr>
                        <w:rFonts w:ascii="Arial" w:hAnsi="Arial"/>
                        <w:color w:val="231F20"/>
                        <w:spacing w:val="-3"/>
                        <w:sz w:val="14"/>
                      </w:rPr>
                      <w:t>data</w:t>
                    </w:r>
                    <w:r>
                      <w:rPr>
                        <w:rFonts w:ascii="Arial" w:hAnsi="Arial"/>
                        <w:color w:val="231F20"/>
                        <w:spacing w:val="-26"/>
                        <w:sz w:val="14"/>
                      </w:rPr>
                      <w:t> </w:t>
                    </w:r>
                    <w:r>
                      <w:rPr>
                        <w:rFonts w:ascii="Arial" w:hAnsi="Arial"/>
                        <w:color w:val="231F20"/>
                        <w:sz w:val="14"/>
                      </w:rPr>
                      <w:t>may</w:t>
                    </w:r>
                    <w:r>
                      <w:rPr>
                        <w:rFonts w:ascii="Arial" w:hAnsi="Arial"/>
                        <w:color w:val="231F20"/>
                        <w:spacing w:val="-26"/>
                        <w:sz w:val="14"/>
                      </w:rPr>
                      <w:t> </w:t>
                    </w:r>
                    <w:r>
                      <w:rPr>
                        <w:rFonts w:ascii="Arial" w:hAnsi="Arial"/>
                        <w:color w:val="231F20"/>
                        <w:sz w:val="14"/>
                      </w:rPr>
                      <w:t>not</w:t>
                    </w:r>
                    <w:r>
                      <w:rPr>
                        <w:rFonts w:ascii="Arial" w:hAnsi="Arial"/>
                        <w:color w:val="231F20"/>
                        <w:spacing w:val="-26"/>
                        <w:sz w:val="14"/>
                      </w:rPr>
                      <w:t> </w:t>
                    </w:r>
                    <w:r>
                      <w:rPr>
                        <w:rFonts w:ascii="Arial" w:hAnsi="Arial"/>
                        <w:color w:val="231F20"/>
                        <w:sz w:val="14"/>
                      </w:rPr>
                      <w:t>be</w:t>
                    </w:r>
                    <w:r>
                      <w:rPr>
                        <w:rFonts w:ascii="Arial" w:hAnsi="Arial"/>
                        <w:color w:val="231F20"/>
                        <w:spacing w:val="-26"/>
                        <w:sz w:val="14"/>
                      </w:rPr>
                      <w:t> </w:t>
                    </w:r>
                    <w:r>
                      <w:rPr>
                        <w:rFonts w:ascii="Arial" w:hAnsi="Arial"/>
                        <w:color w:val="231F20"/>
                        <w:spacing w:val="-3"/>
                        <w:sz w:val="14"/>
                      </w:rPr>
                      <w:t>complete. </w:t>
                    </w:r>
                    <w:r>
                      <w:rPr>
                        <w:rFonts w:ascii="Arial" w:hAnsi="Arial"/>
                        <w:color w:val="231F20"/>
                        <w:spacing w:val="-1"/>
                        <w:sz w:val="14"/>
                      </w:rPr>
                      <w:t> </w:t>
                    </w:r>
                    <w:r>
                      <w:rPr>
                        <w:rFonts w:ascii="Arial" w:hAnsi="Arial"/>
                        <w:color w:val="231F20"/>
                        <w:position w:val="5"/>
                        <w:sz w:val="8"/>
                      </w:rPr>
                      <w:t>†</w:t>
                    </w:r>
                    <w:r>
                      <w:rPr>
                        <w:rFonts w:ascii="Arial" w:hAnsi="Arial"/>
                        <w:color w:val="231F20"/>
                        <w:sz w:val="14"/>
                      </w:rPr>
                      <w:t>For</w:t>
                    </w:r>
                    <w:r>
                      <w:rPr>
                        <w:rFonts w:ascii="Arial" w:hAnsi="Arial"/>
                        <w:color w:val="231F20"/>
                        <w:spacing w:val="-26"/>
                        <w:sz w:val="14"/>
                      </w:rPr>
                      <w:t> </w:t>
                    </w:r>
                    <w:r>
                      <w:rPr>
                        <w:rFonts w:ascii="Arial" w:hAnsi="Arial"/>
                        <w:color w:val="231F20"/>
                        <w:spacing w:val="-3"/>
                        <w:sz w:val="14"/>
                      </w:rPr>
                      <w:t>2011,</w:t>
                    </w:r>
                    <w:r>
                      <w:rPr>
                        <w:rFonts w:ascii="Arial" w:hAnsi="Arial"/>
                        <w:color w:val="231F20"/>
                        <w:spacing w:val="-26"/>
                        <w:sz w:val="14"/>
                      </w:rPr>
                      <w:t> </w:t>
                    </w:r>
                    <w:r>
                      <w:rPr>
                        <w:rFonts w:ascii="Arial" w:hAnsi="Arial"/>
                        <w:color w:val="231F20"/>
                        <w:spacing w:val="-3"/>
                        <w:sz w:val="14"/>
                      </w:rPr>
                      <w:t>data</w:t>
                    </w:r>
                    <w:r>
                      <w:rPr>
                        <w:rFonts w:ascii="Arial" w:hAnsi="Arial"/>
                        <w:color w:val="231F20"/>
                        <w:spacing w:val="-26"/>
                        <w:sz w:val="14"/>
                      </w:rPr>
                      <w:t> </w:t>
                    </w:r>
                    <w:r>
                      <w:rPr>
                        <w:rFonts w:ascii="Arial" w:hAnsi="Arial"/>
                        <w:color w:val="231F20"/>
                        <w:spacing w:val="-3"/>
                        <w:sz w:val="14"/>
                      </w:rPr>
                      <w:t>are</w:t>
                    </w:r>
                    <w:r>
                      <w:rPr>
                        <w:rFonts w:ascii="Arial" w:hAnsi="Arial"/>
                        <w:color w:val="231F20"/>
                        <w:spacing w:val="-26"/>
                        <w:sz w:val="14"/>
                      </w:rPr>
                      <w:t> </w:t>
                    </w:r>
                    <w:r>
                      <w:rPr>
                        <w:rFonts w:ascii="Arial" w:hAnsi="Arial"/>
                        <w:color w:val="231F20"/>
                        <w:spacing w:val="-3"/>
                        <w:sz w:val="14"/>
                      </w:rPr>
                      <w:t>preliminary</w:t>
                    </w:r>
                    <w:r>
                      <w:rPr>
                        <w:rFonts w:ascii="Arial" w:hAnsi="Arial"/>
                        <w:color w:val="231F20"/>
                        <w:spacing w:val="-26"/>
                        <w:sz w:val="14"/>
                      </w:rPr>
                      <w:t> </w:t>
                    </w:r>
                    <w:r>
                      <w:rPr>
                        <w:rFonts w:ascii="Arial" w:hAnsi="Arial"/>
                        <w:color w:val="231F20"/>
                        <w:sz w:val="14"/>
                      </w:rPr>
                      <w:t>and</w:t>
                    </w:r>
                    <w:r>
                      <w:rPr>
                        <w:rFonts w:ascii="Arial" w:hAnsi="Arial"/>
                        <w:color w:val="231F20"/>
                        <w:spacing w:val="-26"/>
                        <w:sz w:val="14"/>
                      </w:rPr>
                      <w:t> </w:t>
                    </w:r>
                    <w:r>
                      <w:rPr>
                        <w:rFonts w:ascii="Arial" w:hAnsi="Arial"/>
                        <w:color w:val="231F20"/>
                        <w:spacing w:val="-3"/>
                        <w:sz w:val="14"/>
                      </w:rPr>
                      <w:t>subject</w:t>
                    </w:r>
                    <w:r>
                      <w:rPr>
                        <w:rFonts w:ascii="Arial" w:hAnsi="Arial"/>
                        <w:color w:val="231F20"/>
                        <w:spacing w:val="-26"/>
                        <w:sz w:val="14"/>
                      </w:rPr>
                      <w:t> </w:t>
                    </w:r>
                    <w:r>
                      <w:rPr>
                        <w:rFonts w:ascii="Arial" w:hAnsi="Arial"/>
                        <w:color w:val="231F20"/>
                        <w:sz w:val="14"/>
                      </w:rPr>
                      <w:t>to</w:t>
                    </w:r>
                    <w:r>
                      <w:rPr>
                        <w:rFonts w:ascii="Arial" w:hAnsi="Arial"/>
                        <w:color w:val="231F20"/>
                        <w:spacing w:val="-26"/>
                        <w:sz w:val="14"/>
                      </w:rPr>
                      <w:t> </w:t>
                    </w:r>
                    <w:r>
                      <w:rPr>
                        <w:rFonts w:ascii="Arial" w:hAnsi="Arial"/>
                        <w:color w:val="231F20"/>
                        <w:spacing w:val="-3"/>
                        <w:sz w:val="14"/>
                      </w:rPr>
                      <w:t>change.</w:t>
                    </w:r>
                  </w:p>
                </w:txbxContent>
              </v:textbox>
              <w10:wrap type="none"/>
            </v:shape>
            <w10:wrap type="none"/>
          </v:group>
        </w:pict>
      </w:r>
      <w:r>
        <w:rPr/>
        <w:pict>
          <v:shape style="position:absolute;margin-left:391.812012pt;margin-top:159.404648pt;width:12.55pt;height:68pt;mso-position-horizontal-relative:page;mso-position-vertical-relative:paragraph;z-index:2752" type="#_x0000_t202" filled="false" stroked="false">
            <v:textbox inset="0,0,0,0" style="layout-flow:vertical">
              <w:txbxContent>
                <w:p>
                  <w:pPr>
                    <w:spacing w:before="22"/>
                    <w:ind w:left="20" w:right="-339" w:firstLine="0"/>
                    <w:jc w:val="left"/>
                    <w:rPr>
                      <w:rFonts w:ascii="Arial"/>
                      <w:sz w:val="18"/>
                    </w:rPr>
                  </w:pPr>
                  <w:r>
                    <w:rPr>
                      <w:rFonts w:ascii="Arial"/>
                      <w:color w:val="1C3E94"/>
                      <w:w w:val="85"/>
                      <w:sz w:val="18"/>
                    </w:rPr>
                    <w:t>Number</w:t>
                  </w:r>
                  <w:r>
                    <w:rPr>
                      <w:rFonts w:ascii="Arial"/>
                      <w:color w:val="1C3E94"/>
                      <w:spacing w:val="-7"/>
                      <w:sz w:val="18"/>
                    </w:rPr>
                    <w:t> </w:t>
                  </w:r>
                  <w:r>
                    <w:rPr>
                      <w:rFonts w:ascii="Arial"/>
                      <w:color w:val="1C3E94"/>
                      <w:w w:val="88"/>
                      <w:sz w:val="18"/>
                    </w:rPr>
                    <w:t>of</w:t>
                  </w:r>
                  <w:r>
                    <w:rPr>
                      <w:rFonts w:ascii="Arial"/>
                      <w:color w:val="1C3E94"/>
                      <w:spacing w:val="-7"/>
                      <w:sz w:val="18"/>
                    </w:rPr>
                    <w:t> </w:t>
                  </w:r>
                  <w:r>
                    <w:rPr>
                      <w:rFonts w:ascii="Arial"/>
                      <w:color w:val="1C3E94"/>
                      <w:w w:val="88"/>
                      <w:sz w:val="18"/>
                    </w:rPr>
                    <w:t>clusters</w:t>
                  </w:r>
                </w:p>
              </w:txbxContent>
            </v:textbox>
            <w10:wrap type="none"/>
          </v:shape>
        </w:pict>
      </w:r>
      <w:r>
        <w:rPr/>
        <w:pict>
          <v:shape style="position:absolute;margin-left:52.053902pt;margin-top:154.495056pt;width:12.55pt;height:77.8pt;mso-position-horizontal-relative:page;mso-position-vertical-relative:paragraph;z-index:2776" type="#_x0000_t202" filled="false" stroked="false">
            <v:textbox inset="0,0,0,0" style="layout-flow:vertical;mso-layout-flow-alt:bottom-to-top">
              <w:txbxContent>
                <w:p>
                  <w:pPr>
                    <w:spacing w:before="22"/>
                    <w:ind w:left="20" w:right="0" w:firstLine="0"/>
                    <w:jc w:val="left"/>
                    <w:rPr>
                      <w:rFonts w:ascii="Arial"/>
                      <w:sz w:val="18"/>
                    </w:rPr>
                  </w:pPr>
                  <w:r>
                    <w:rPr>
                      <w:rFonts w:ascii="Arial"/>
                      <w:color w:val="1C3E94"/>
                      <w:w w:val="85"/>
                      <w:sz w:val="18"/>
                    </w:rPr>
                    <w:t>Number</w:t>
                  </w:r>
                  <w:r>
                    <w:rPr>
                      <w:rFonts w:ascii="Arial"/>
                      <w:color w:val="1C3E94"/>
                      <w:spacing w:val="-7"/>
                      <w:sz w:val="18"/>
                    </w:rPr>
                    <w:t> </w:t>
                  </w:r>
                  <w:r>
                    <w:rPr>
                      <w:rFonts w:ascii="Arial"/>
                      <w:color w:val="1C3E94"/>
                      <w:w w:val="88"/>
                      <w:sz w:val="18"/>
                    </w:rPr>
                    <w:t>of</w:t>
                  </w:r>
                  <w:r>
                    <w:rPr>
                      <w:rFonts w:ascii="Arial"/>
                      <w:color w:val="1C3E94"/>
                      <w:spacing w:val="-7"/>
                      <w:sz w:val="18"/>
                    </w:rPr>
                    <w:t> </w:t>
                  </w:r>
                  <w:r>
                    <w:rPr>
                      <w:rFonts w:ascii="Arial"/>
                      <w:color w:val="1C3E94"/>
                      <w:w w:val="86"/>
                      <w:sz w:val="18"/>
                    </w:rPr>
                    <w:t>specimens</w:t>
                  </w:r>
                </w:p>
              </w:txbxContent>
            </v:textbox>
            <w10:wrap type="none"/>
          </v:shape>
        </w:pict>
      </w:r>
      <w:r>
        <w:rPr>
          <w:color w:val="231F20"/>
        </w:rPr>
        <w:t>or fingerprint. Because foodborne disease outbreaks usually are caused by a single bacterial strain, investigators can identify illnesses in the subgroup of persons infected with the same strain of </w:t>
      </w:r>
      <w:r>
        <w:rPr>
          <w:i/>
          <w:color w:val="231F20"/>
        </w:rPr>
        <w:t>Salmonella </w:t>
      </w:r>
      <w:r>
        <w:rPr>
          <w:color w:val="231F20"/>
        </w:rPr>
        <w:t>as a cluster of possibly related cases, to be considered separately from persons infected with  other</w:t>
      </w:r>
    </w:p>
    <w:p>
      <w:pPr>
        <w:pStyle w:val="BodyText"/>
        <w:spacing w:line="266" w:lineRule="auto" w:before="108"/>
        <w:ind w:left="319" w:right="1444"/>
        <w:rPr>
          <w:sz w:val="11"/>
        </w:rPr>
      </w:pPr>
      <w:r>
        <w:rPr/>
        <w:br w:type="column"/>
      </w:r>
      <w:r>
        <w:rPr>
          <w:color w:val="231F20"/>
          <w:w w:val="105"/>
        </w:rPr>
        <w:t>strains of </w:t>
      </w:r>
      <w:r>
        <w:rPr>
          <w:i/>
          <w:color w:val="231F20"/>
          <w:w w:val="105"/>
        </w:rPr>
        <w:t>Salmonella</w:t>
      </w:r>
      <w:r>
        <w:rPr>
          <w:color w:val="231F20"/>
          <w:w w:val="105"/>
        </w:rPr>
        <w:t>. By focusing on the correct group of cases, investigators can more quickly determine whether a cluster of cases represents an outbreak and identify the source of the outbreak. PFGE also can be used to characterize bacterial strains in food or the environment to determine whether those strains match the pattern responsible for an </w:t>
      </w:r>
      <w:r>
        <w:rPr>
          <w:color w:val="231F20"/>
          <w:w w:val="105"/>
          <w:position w:val="-6"/>
        </w:rPr>
        <w:t>outbreak.</w:t>
      </w:r>
      <w:r>
        <w:rPr>
          <w:color w:val="231F20"/>
          <w:w w:val="105"/>
          <w:sz w:val="11"/>
        </w:rPr>
        <w:t>75, 76, 77, 78, 79,   80</w:t>
      </w:r>
    </w:p>
    <w:p>
      <w:pPr>
        <w:pStyle w:val="BodyText"/>
        <w:spacing w:line="266" w:lineRule="auto" w:before="177"/>
        <w:ind w:left="319" w:right="1425"/>
      </w:pPr>
      <w:r>
        <w:rPr/>
        <w:pict>
          <v:rect style="position:absolute;margin-left:459pt;margin-top:-90.74865pt;width:45pt;height:18pt;mso-position-horizontal-relative:page;mso-position-vertical-relative:paragraph;z-index:2488" filled="true" fillcolor="#0079c1" stroked="false">
            <v:fill type="solid"/>
            <w10:wrap type="none"/>
          </v:rect>
        </w:pict>
      </w:r>
      <w:r>
        <w:rPr/>
        <w:pict>
          <v:line style="position:absolute;mso-position-horizontal-relative:page;mso-position-vertical-relative:paragraph;z-index:2512" from="450.5pt,-90.749046pt" to="450.5pt,151.148954pt" stroked="true" strokeweight="1pt" strokecolor="#0079c1">
            <v:stroke dashstyle="solid"/>
            <w10:wrap type="none"/>
          </v:line>
        </w:pict>
      </w:r>
      <w:r>
        <w:rPr/>
        <w:pict>
          <v:shape style="position:absolute;margin-left:465.014313pt;margin-top:-68.752251pt;width:22.9pt;height:222.55pt;mso-position-horizontal-relative:page;mso-position-vertical-relative:paragraph;z-index:2704"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85.998047pt;width:15.85pt;height:8.5pt;mso-position-horizontal-relative:page;mso-position-vertical-relative:paragraph;z-index:272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PulseNet</w:t>
      </w:r>
      <w:r>
        <w:rPr>
          <w:color w:val="231F20"/>
          <w:spacing w:val="-20"/>
          <w:w w:val="105"/>
        </w:rPr>
        <w:t> </w:t>
      </w:r>
      <w:r>
        <w:rPr>
          <w:color w:val="231F20"/>
          <w:w w:val="105"/>
        </w:rPr>
        <w:t>has</w:t>
      </w:r>
      <w:r>
        <w:rPr>
          <w:color w:val="231F20"/>
          <w:spacing w:val="-18"/>
          <w:w w:val="105"/>
        </w:rPr>
        <w:t> </w:t>
      </w:r>
      <w:r>
        <w:rPr>
          <w:color w:val="231F20"/>
          <w:w w:val="105"/>
        </w:rPr>
        <w:t>standardized</w:t>
      </w:r>
      <w:r>
        <w:rPr>
          <w:color w:val="231F20"/>
          <w:spacing w:val="-19"/>
          <w:w w:val="105"/>
        </w:rPr>
        <w:t> </w:t>
      </w:r>
      <w:r>
        <w:rPr>
          <w:color w:val="231F20"/>
          <w:w w:val="105"/>
        </w:rPr>
        <w:t>the</w:t>
      </w:r>
      <w:r>
        <w:rPr>
          <w:color w:val="231F20"/>
          <w:spacing w:val="-19"/>
          <w:w w:val="105"/>
        </w:rPr>
        <w:t> </w:t>
      </w:r>
      <w:r>
        <w:rPr>
          <w:color w:val="231F20"/>
          <w:w w:val="105"/>
        </w:rPr>
        <w:t>PFGE</w:t>
      </w:r>
      <w:r>
        <w:rPr>
          <w:color w:val="231F20"/>
          <w:spacing w:val="-19"/>
          <w:w w:val="105"/>
        </w:rPr>
        <w:t> </w:t>
      </w:r>
      <w:r>
        <w:rPr>
          <w:color w:val="231F20"/>
          <w:w w:val="105"/>
        </w:rPr>
        <w:t>methods used</w:t>
      </w:r>
      <w:r>
        <w:rPr>
          <w:color w:val="231F20"/>
          <w:spacing w:val="-11"/>
          <w:w w:val="105"/>
        </w:rPr>
        <w:t> </w:t>
      </w:r>
      <w:r>
        <w:rPr>
          <w:color w:val="231F20"/>
          <w:spacing w:val="-3"/>
          <w:w w:val="105"/>
        </w:rPr>
        <w:t>by</w:t>
      </w:r>
      <w:r>
        <w:rPr>
          <w:color w:val="231F20"/>
          <w:spacing w:val="-11"/>
          <w:w w:val="105"/>
        </w:rPr>
        <w:t> </w:t>
      </w:r>
      <w:r>
        <w:rPr>
          <w:color w:val="231F20"/>
          <w:w w:val="105"/>
        </w:rPr>
        <w:t>participating</w:t>
      </w:r>
      <w:r>
        <w:rPr>
          <w:color w:val="231F20"/>
          <w:spacing w:val="-12"/>
          <w:w w:val="105"/>
        </w:rPr>
        <w:t> </w:t>
      </w:r>
      <w:r>
        <w:rPr>
          <w:color w:val="231F20"/>
          <w:w w:val="105"/>
        </w:rPr>
        <w:t>laboratories</w:t>
      </w:r>
      <w:r>
        <w:rPr>
          <w:color w:val="231F20"/>
          <w:spacing w:val="-11"/>
          <w:w w:val="105"/>
        </w:rPr>
        <w:t> </w:t>
      </w:r>
      <w:r>
        <w:rPr>
          <w:color w:val="231F20"/>
          <w:w w:val="105"/>
        </w:rPr>
        <w:t>to</w:t>
      </w:r>
      <w:r>
        <w:rPr>
          <w:color w:val="231F20"/>
          <w:spacing w:val="-11"/>
          <w:w w:val="105"/>
        </w:rPr>
        <w:t> </w:t>
      </w:r>
      <w:r>
        <w:rPr>
          <w:color w:val="231F20"/>
          <w:w w:val="105"/>
        </w:rPr>
        <w:t>distinguish strains of STEC, </w:t>
      </w:r>
      <w:r>
        <w:rPr>
          <w:i/>
          <w:color w:val="231F20"/>
          <w:w w:val="105"/>
        </w:rPr>
        <w:t>Salmonella</w:t>
      </w:r>
      <w:r>
        <w:rPr>
          <w:color w:val="231F20"/>
          <w:w w:val="105"/>
        </w:rPr>
        <w:t>, </w:t>
      </w:r>
      <w:r>
        <w:rPr>
          <w:i/>
          <w:color w:val="231F20"/>
          <w:w w:val="105"/>
        </w:rPr>
        <w:t>Shigella</w:t>
      </w:r>
      <w:r>
        <w:rPr>
          <w:color w:val="231F20"/>
          <w:w w:val="105"/>
        </w:rPr>
        <w:t>, </w:t>
      </w:r>
      <w:r>
        <w:rPr>
          <w:i/>
          <w:color w:val="231F20"/>
          <w:w w:val="105"/>
        </w:rPr>
        <w:t>Listeria</w:t>
      </w:r>
      <w:r>
        <w:rPr>
          <w:color w:val="231F20"/>
          <w:w w:val="105"/>
        </w:rPr>
        <w:t>, and </w:t>
      </w:r>
      <w:r>
        <w:rPr>
          <w:i/>
          <w:color w:val="231F20"/>
          <w:w w:val="105"/>
        </w:rPr>
        <w:t>Campylobacter</w:t>
      </w:r>
      <w:r>
        <w:rPr>
          <w:color w:val="231F20"/>
          <w:w w:val="105"/>
        </w:rPr>
        <w:t>. In addition, PulseNet maintains a centralized electronic</w:t>
      </w:r>
      <w:r>
        <w:rPr>
          <w:color w:val="231F20"/>
          <w:spacing w:val="-24"/>
          <w:w w:val="105"/>
        </w:rPr>
        <w:t> </w:t>
      </w:r>
      <w:r>
        <w:rPr>
          <w:color w:val="231F20"/>
          <w:w w:val="105"/>
        </w:rPr>
        <w:t>database</w:t>
      </w:r>
    </w:p>
    <w:p>
      <w:pPr>
        <w:pStyle w:val="BodyText"/>
        <w:spacing w:line="266" w:lineRule="auto"/>
        <w:ind w:left="319" w:right="1442"/>
      </w:pPr>
      <w:r>
        <w:rPr>
          <w:color w:val="231F20"/>
          <w:w w:val="105"/>
        </w:rPr>
        <w:t>of PFGE patterns at CDC. Participating laboratories</w:t>
      </w:r>
      <w:r>
        <w:rPr>
          <w:color w:val="231F20"/>
          <w:spacing w:val="-12"/>
          <w:w w:val="105"/>
        </w:rPr>
        <w:t> </w:t>
      </w:r>
      <w:r>
        <w:rPr>
          <w:color w:val="231F20"/>
          <w:w w:val="105"/>
        </w:rPr>
        <w:t>can</w:t>
      </w:r>
      <w:r>
        <w:rPr>
          <w:color w:val="231F20"/>
          <w:spacing w:val="-12"/>
          <w:w w:val="105"/>
        </w:rPr>
        <w:t> </w:t>
      </w:r>
      <w:r>
        <w:rPr>
          <w:color w:val="231F20"/>
          <w:w w:val="105"/>
        </w:rPr>
        <w:t>upload</w:t>
      </w:r>
      <w:r>
        <w:rPr>
          <w:color w:val="231F20"/>
          <w:spacing w:val="-12"/>
          <w:w w:val="105"/>
        </w:rPr>
        <w:t> </w:t>
      </w:r>
      <w:r>
        <w:rPr>
          <w:color w:val="231F20"/>
          <w:w w:val="105"/>
        </w:rPr>
        <w:t>their</w:t>
      </w:r>
      <w:r>
        <w:rPr>
          <w:color w:val="231F20"/>
          <w:spacing w:val="-12"/>
          <w:w w:val="105"/>
        </w:rPr>
        <w:t> </w:t>
      </w:r>
      <w:r>
        <w:rPr>
          <w:color w:val="231F20"/>
          <w:w w:val="105"/>
        </w:rPr>
        <w:t>pattern(s)</w:t>
      </w:r>
      <w:r>
        <w:rPr>
          <w:color w:val="231F20"/>
          <w:spacing w:val="-12"/>
          <w:w w:val="105"/>
        </w:rPr>
        <w:t> </w:t>
      </w:r>
      <w:r>
        <w:rPr>
          <w:color w:val="231F20"/>
          <w:w w:val="105"/>
        </w:rPr>
        <w:t>into</w:t>
      </w:r>
      <w:r>
        <w:rPr>
          <w:color w:val="231F20"/>
          <w:spacing w:val="-12"/>
          <w:w w:val="105"/>
        </w:rPr>
        <w:t> </w:t>
      </w:r>
      <w:r>
        <w:rPr>
          <w:color w:val="231F20"/>
          <w:w w:val="105"/>
        </w:rPr>
        <w:t>the national database and review their current and historical patterns. CDC compares uploaded PFGE patterns with patterns of bacterial strains circulating </w:t>
      </w:r>
      <w:r>
        <w:rPr>
          <w:color w:val="231F20"/>
          <w:spacing w:val="-3"/>
          <w:w w:val="105"/>
        </w:rPr>
        <w:t>nationally. </w:t>
      </w:r>
      <w:r>
        <w:rPr>
          <w:color w:val="231F20"/>
          <w:w w:val="105"/>
        </w:rPr>
        <w:t>This capability has improved investigators’ ability to rapidly detect even relatively small clusters of possibly related illnesses in a small geographic area or dispersed</w:t>
      </w:r>
      <w:r>
        <w:rPr>
          <w:color w:val="231F20"/>
          <w:spacing w:val="-14"/>
          <w:w w:val="105"/>
        </w:rPr>
        <w:t> </w:t>
      </w:r>
      <w:r>
        <w:rPr>
          <w:color w:val="231F20"/>
          <w:w w:val="105"/>
        </w:rPr>
        <w:t>across</w:t>
      </w:r>
      <w:r>
        <w:rPr>
          <w:color w:val="231F20"/>
          <w:spacing w:val="-15"/>
          <w:w w:val="105"/>
        </w:rPr>
        <w:t> </w:t>
      </w:r>
      <w:r>
        <w:rPr>
          <w:color w:val="231F20"/>
          <w:w w:val="105"/>
        </w:rPr>
        <w:t>the</w:t>
      </w:r>
      <w:r>
        <w:rPr>
          <w:color w:val="231F20"/>
          <w:spacing w:val="-15"/>
          <w:w w:val="105"/>
        </w:rPr>
        <w:t> </w:t>
      </w:r>
      <w:r>
        <w:rPr>
          <w:color w:val="231F20"/>
          <w:spacing w:val="-4"/>
          <w:w w:val="105"/>
        </w:rPr>
        <w:t>country.</w:t>
      </w:r>
      <w:r>
        <w:rPr>
          <w:color w:val="231F20"/>
          <w:spacing w:val="-14"/>
          <w:w w:val="105"/>
        </w:rPr>
        <w:t> </w:t>
      </w:r>
      <w:r>
        <w:rPr>
          <w:color w:val="231F20"/>
          <w:w w:val="105"/>
        </w:rPr>
        <w:t>As</w:t>
      </w:r>
      <w:r>
        <w:rPr>
          <w:color w:val="231F20"/>
          <w:spacing w:val="-15"/>
          <w:w w:val="105"/>
        </w:rPr>
        <w:t> </w:t>
      </w:r>
      <w:r>
        <w:rPr>
          <w:color w:val="231F20"/>
          <w:w w:val="105"/>
        </w:rPr>
        <w:t>the</w:t>
      </w:r>
      <w:r>
        <w:rPr>
          <w:color w:val="231F20"/>
          <w:spacing w:val="-15"/>
          <w:w w:val="105"/>
        </w:rPr>
        <w:t> </w:t>
      </w:r>
      <w:r>
        <w:rPr>
          <w:color w:val="231F20"/>
          <w:w w:val="105"/>
        </w:rPr>
        <w:t>number</w:t>
      </w:r>
    </w:p>
    <w:p>
      <w:pPr>
        <w:pStyle w:val="BodyText"/>
        <w:spacing w:line="266" w:lineRule="auto"/>
        <w:ind w:left="319" w:right="1459"/>
        <w:rPr>
          <w:sz w:val="11"/>
        </w:rPr>
      </w:pPr>
      <w:r>
        <w:rPr>
          <w:color w:val="231F20"/>
          <w:w w:val="105"/>
        </w:rPr>
        <w:t>of participating laboratories and popularity of PulseNet have grown, the number of patterns from human isolates uploaded to the system and clusters detected through the system have steadily increased over time (Figure 2.2).</w:t>
      </w:r>
      <w:r>
        <w:rPr>
          <w:color w:val="231F20"/>
          <w:w w:val="105"/>
          <w:position w:val="7"/>
          <w:sz w:val="11"/>
        </w:rPr>
        <w:t>81, 82</w:t>
      </w:r>
    </w:p>
    <w:p>
      <w:pPr>
        <w:spacing w:after="0" w:line="266" w:lineRule="auto"/>
        <w:rPr>
          <w:sz w:val="11"/>
        </w:rPr>
        <w:sectPr>
          <w:type w:val="continuous"/>
          <w:pgSz w:w="10080" w:h="14400"/>
          <w:pgMar w:top="0" w:bottom="360" w:left="0" w:right="0"/>
          <w:cols w:num="2" w:equalWidth="0">
            <w:col w:w="4501" w:space="40"/>
            <w:col w:w="5539"/>
          </w:cols>
        </w:sectPr>
      </w:pPr>
    </w:p>
    <w:p>
      <w:pPr>
        <w:spacing w:after="0" w:line="266" w:lineRule="auto"/>
        <w:rPr>
          <w:sz w:val="11"/>
        </w:rPr>
        <w:sectPr>
          <w:type w:val="continuous"/>
          <w:pgSz w:w="10080" w:h="14400"/>
          <w:pgMar w:top="0" w:bottom="360" w:left="0" w:right="0"/>
        </w:sectPr>
      </w:pPr>
    </w:p>
    <w:p>
      <w:pPr>
        <w:pStyle w:val="BodyText"/>
        <w:spacing w:before="8"/>
        <w:rPr>
          <w:sz w:val="10"/>
        </w:rPr>
      </w:pPr>
    </w:p>
    <w:p>
      <w:pPr>
        <w:pStyle w:val="Heading1"/>
        <w:ind w:left="1440"/>
      </w:pPr>
      <w:r>
        <w:rPr/>
        <w:pict>
          <v:line style="position:absolute;mso-position-horizontal-relative:page;mso-position-vertical-relative:paragraph;z-index:2800;mso-wrap-distance-left:0;mso-wrap-distance-right:0" from="72pt,23.995163pt" to="468pt,23.995163pt" stroked="true" strokeweight=".5pt" strokecolor="#00a94f">
            <v:stroke dashstyle="solid"/>
            <w10:wrap type="topAndBottom"/>
          </v:line>
        </w:pict>
      </w:r>
      <w:r>
        <w:rPr>
          <w:color w:val="00A94F"/>
          <w:w w:val="95"/>
        </w:rPr>
        <w:t>2.3. Trends in Surveillance</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ListParagraph"/>
        <w:numPr>
          <w:ilvl w:val="3"/>
          <w:numId w:val="8"/>
        </w:numPr>
        <w:tabs>
          <w:tab w:pos="2082" w:val="left" w:leader="none"/>
        </w:tabs>
        <w:spacing w:line="266" w:lineRule="auto" w:before="107" w:after="0"/>
        <w:ind w:left="1440" w:right="0" w:firstLine="0"/>
        <w:jc w:val="left"/>
        <w:rPr>
          <w:i/>
          <w:sz w:val="20"/>
        </w:rPr>
      </w:pPr>
      <w:r>
        <w:rPr/>
        <w:pict>
          <v:rect style="position:absolute;margin-left:0pt;margin-top:27.254236pt;width:45pt;height:18pt;mso-position-horizontal-relative:page;mso-position-vertical-relative:paragraph;z-index:2824" filled="true" fillcolor="#0079c1" stroked="false">
            <v:fill type="solid"/>
            <w10:wrap type="none"/>
          </v:rect>
        </w:pict>
      </w:r>
      <w:r>
        <w:rPr/>
        <w:pict>
          <v:line style="position:absolute;mso-position-horizontal-relative:page;mso-position-vertical-relative:paragraph;z-index:2848" from="54.5pt,27.255836pt" to="54.5pt,269.153836pt" stroked="true" strokeweight="1pt" strokecolor="#0079c1">
            <v:stroke dashstyle="solid"/>
            <w10:wrap type="none"/>
          </v:line>
        </w:pict>
      </w:r>
      <w:r>
        <w:rPr>
          <w:i/>
          <w:color w:val="E36F1E"/>
          <w:sz w:val="20"/>
        </w:rPr>
        <w:t>National Antimicrobial Resistance Monitoring </w:t>
      </w:r>
      <w:r>
        <w:rPr>
          <w:i/>
          <w:color w:val="E36F1E"/>
          <w:sz w:val="20"/>
        </w:rPr>
        <w:t>System—Enteric</w:t>
      </w:r>
      <w:r>
        <w:rPr>
          <w:i/>
          <w:color w:val="E36F1E"/>
          <w:spacing w:val="22"/>
          <w:sz w:val="20"/>
        </w:rPr>
        <w:t> </w:t>
      </w:r>
      <w:r>
        <w:rPr>
          <w:i/>
          <w:color w:val="E36F1E"/>
          <w:sz w:val="20"/>
        </w:rPr>
        <w:t>Bacteria</w:t>
      </w:r>
    </w:p>
    <w:p>
      <w:pPr>
        <w:pStyle w:val="BodyText"/>
        <w:spacing w:line="266" w:lineRule="auto"/>
        <w:ind w:left="1440" w:right="39"/>
      </w:pPr>
      <w:r>
        <w:rPr/>
        <w:pict>
          <v:shape style="position:absolute;margin-left:16.131701pt;margin-top:18.452126pt;width:22.9pt;height:222.55pt;mso-position-horizontal-relative:page;mso-position-vertical-relative:paragraph;z-index:2944"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1.700688pt;width:15.85pt;height:8.5pt;mso-position-horizontal-relative:page;mso-position-vertical-relative:paragraph;z-index:2968"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The National Antimicrobial Resistance Monitoring System—Enteric Bacteria (NARMS)</w:t>
      </w:r>
      <w:r>
        <w:rPr>
          <w:color w:val="231F20"/>
          <w:spacing w:val="-20"/>
          <w:w w:val="105"/>
        </w:rPr>
        <w:t> </w:t>
      </w:r>
      <w:r>
        <w:rPr>
          <w:color w:val="231F20"/>
          <w:w w:val="105"/>
        </w:rPr>
        <w:t>was</w:t>
      </w:r>
      <w:r>
        <w:rPr>
          <w:color w:val="231F20"/>
          <w:spacing w:val="-20"/>
          <w:w w:val="105"/>
        </w:rPr>
        <w:t> </w:t>
      </w:r>
      <w:r>
        <w:rPr>
          <w:color w:val="231F20"/>
          <w:w w:val="105"/>
        </w:rPr>
        <w:t>developed</w:t>
      </w:r>
      <w:r>
        <w:rPr>
          <w:color w:val="231F20"/>
          <w:spacing w:val="-21"/>
          <w:w w:val="105"/>
        </w:rPr>
        <w:t> </w:t>
      </w:r>
      <w:r>
        <w:rPr>
          <w:color w:val="231F20"/>
          <w:w w:val="105"/>
        </w:rPr>
        <w:t>to</w:t>
      </w:r>
      <w:r>
        <w:rPr>
          <w:color w:val="231F20"/>
          <w:spacing w:val="-21"/>
          <w:w w:val="105"/>
        </w:rPr>
        <w:t> </w:t>
      </w:r>
      <w:r>
        <w:rPr>
          <w:color w:val="231F20"/>
          <w:w w:val="105"/>
        </w:rPr>
        <w:t>monitor</w:t>
      </w:r>
      <w:r>
        <w:rPr>
          <w:color w:val="231F20"/>
          <w:spacing w:val="-20"/>
          <w:w w:val="105"/>
        </w:rPr>
        <w:t> </w:t>
      </w:r>
      <w:r>
        <w:rPr>
          <w:color w:val="231F20"/>
          <w:w w:val="105"/>
        </w:rPr>
        <w:t>antibiotic resistance patterns in selected enteric bacteria found in humans, animals, and meat and poultry products. Bacterial isolates are forwarded</w:t>
      </w:r>
      <w:r>
        <w:rPr>
          <w:color w:val="231F20"/>
          <w:spacing w:val="-10"/>
          <w:w w:val="105"/>
        </w:rPr>
        <w:t> </w:t>
      </w:r>
      <w:r>
        <w:rPr>
          <w:color w:val="231F20"/>
          <w:w w:val="105"/>
        </w:rPr>
        <w:t>to</w:t>
      </w:r>
      <w:r>
        <w:rPr>
          <w:color w:val="231F20"/>
          <w:spacing w:val="-11"/>
          <w:w w:val="105"/>
        </w:rPr>
        <w:t> </w:t>
      </w:r>
      <w:r>
        <w:rPr>
          <w:color w:val="231F20"/>
          <w:w w:val="105"/>
        </w:rPr>
        <w:t>reference</w:t>
      </w:r>
      <w:r>
        <w:rPr>
          <w:color w:val="231F20"/>
          <w:spacing w:val="-11"/>
          <w:w w:val="105"/>
        </w:rPr>
        <w:t> </w:t>
      </w:r>
      <w:r>
        <w:rPr>
          <w:color w:val="231F20"/>
          <w:w w:val="105"/>
        </w:rPr>
        <w:t>laboratories</w:t>
      </w:r>
      <w:r>
        <w:rPr>
          <w:color w:val="231F20"/>
          <w:spacing w:val="-11"/>
          <w:w w:val="105"/>
        </w:rPr>
        <w:t> </w:t>
      </w:r>
      <w:r>
        <w:rPr>
          <w:color w:val="231F20"/>
          <w:w w:val="105"/>
        </w:rPr>
        <w:t>at</w:t>
      </w:r>
      <w:r>
        <w:rPr>
          <w:color w:val="231F20"/>
          <w:spacing w:val="-10"/>
          <w:w w:val="105"/>
        </w:rPr>
        <w:t> </w:t>
      </w:r>
      <w:r>
        <w:rPr>
          <w:color w:val="231F20"/>
          <w:w w:val="105"/>
        </w:rPr>
        <w:t>CDC,</w:t>
      </w:r>
    </w:p>
    <w:p>
      <w:pPr>
        <w:pStyle w:val="BodyText"/>
        <w:spacing w:line="266" w:lineRule="auto"/>
        <w:ind w:left="1440" w:right="209"/>
      </w:pPr>
      <w:r>
        <w:rPr>
          <w:color w:val="231F20"/>
          <w:w w:val="105"/>
        </w:rPr>
        <w:t>USDA, or FDA and are tested against a panel of antimicrobial drugs important in human and animal medicine. Data collected by NARMS enable investigators to better</w:t>
      </w:r>
    </w:p>
    <w:p>
      <w:pPr>
        <w:pStyle w:val="BodyText"/>
        <w:spacing w:line="266" w:lineRule="auto"/>
        <w:ind w:left="1440" w:right="4"/>
        <w:jc w:val="both"/>
        <w:rPr>
          <w:sz w:val="11"/>
        </w:rPr>
      </w:pPr>
      <w:r>
        <w:rPr>
          <w:color w:val="231F20"/>
          <w:w w:val="105"/>
        </w:rPr>
        <w:t>understand</w:t>
      </w:r>
      <w:r>
        <w:rPr>
          <w:color w:val="231F20"/>
          <w:spacing w:val="-13"/>
          <w:w w:val="105"/>
        </w:rPr>
        <w:t> </w:t>
      </w:r>
      <w:r>
        <w:rPr>
          <w:color w:val="231F20"/>
          <w:w w:val="105"/>
        </w:rPr>
        <w:t>the</w:t>
      </w:r>
      <w:r>
        <w:rPr>
          <w:color w:val="231F20"/>
          <w:spacing w:val="-14"/>
          <w:w w:val="105"/>
        </w:rPr>
        <w:t> </w:t>
      </w:r>
      <w:r>
        <w:rPr>
          <w:color w:val="231F20"/>
          <w:w w:val="105"/>
        </w:rPr>
        <w:t>patterns</w:t>
      </w:r>
      <w:r>
        <w:rPr>
          <w:color w:val="231F20"/>
          <w:spacing w:val="-14"/>
          <w:w w:val="105"/>
        </w:rPr>
        <w:t> </w:t>
      </w:r>
      <w:r>
        <w:rPr>
          <w:color w:val="231F20"/>
          <w:w w:val="105"/>
        </w:rPr>
        <w:t>of</w:t>
      </w:r>
      <w:r>
        <w:rPr>
          <w:color w:val="231F20"/>
          <w:spacing w:val="9"/>
          <w:w w:val="105"/>
        </w:rPr>
        <w:t> </w:t>
      </w:r>
      <w:r>
        <w:rPr>
          <w:color w:val="231F20"/>
          <w:w w:val="105"/>
        </w:rPr>
        <w:t>antibiotic</w:t>
      </w:r>
      <w:r>
        <w:rPr>
          <w:color w:val="231F20"/>
          <w:spacing w:val="-14"/>
          <w:w w:val="105"/>
        </w:rPr>
        <w:t> </w:t>
      </w:r>
      <w:r>
        <w:rPr>
          <w:color w:val="231F20"/>
          <w:w w:val="105"/>
        </w:rPr>
        <w:t>resistance in</w:t>
      </w:r>
      <w:r>
        <w:rPr>
          <w:color w:val="231F20"/>
          <w:spacing w:val="-12"/>
          <w:w w:val="105"/>
        </w:rPr>
        <w:t> </w:t>
      </w:r>
      <w:r>
        <w:rPr>
          <w:color w:val="231F20"/>
          <w:w w:val="105"/>
        </w:rPr>
        <w:t>microbes</w:t>
      </w:r>
      <w:r>
        <w:rPr>
          <w:color w:val="231F20"/>
          <w:spacing w:val="-11"/>
          <w:w w:val="105"/>
        </w:rPr>
        <w:t> </w:t>
      </w:r>
      <w:r>
        <w:rPr>
          <w:color w:val="231F20"/>
          <w:w w:val="105"/>
        </w:rPr>
        <w:t>infecting</w:t>
      </w:r>
      <w:r>
        <w:rPr>
          <w:color w:val="231F20"/>
          <w:spacing w:val="-11"/>
          <w:w w:val="105"/>
        </w:rPr>
        <w:t> </w:t>
      </w:r>
      <w:r>
        <w:rPr>
          <w:color w:val="231F20"/>
          <w:w w:val="105"/>
        </w:rPr>
        <w:t>animals</w:t>
      </w:r>
      <w:r>
        <w:rPr>
          <w:color w:val="231F20"/>
          <w:spacing w:val="-12"/>
          <w:w w:val="105"/>
        </w:rPr>
        <w:t> </w:t>
      </w:r>
      <w:r>
        <w:rPr>
          <w:color w:val="231F20"/>
          <w:w w:val="105"/>
        </w:rPr>
        <w:t>and</w:t>
      </w:r>
      <w:r>
        <w:rPr>
          <w:color w:val="231F20"/>
          <w:spacing w:val="-12"/>
          <w:w w:val="105"/>
        </w:rPr>
        <w:t> </w:t>
      </w:r>
      <w:r>
        <w:rPr>
          <w:color w:val="231F20"/>
          <w:w w:val="105"/>
        </w:rPr>
        <w:t>humans</w:t>
      </w:r>
      <w:r>
        <w:rPr>
          <w:color w:val="231F20"/>
          <w:spacing w:val="-11"/>
          <w:w w:val="105"/>
        </w:rPr>
        <w:t> </w:t>
      </w:r>
      <w:r>
        <w:rPr>
          <w:color w:val="231F20"/>
          <w:w w:val="105"/>
        </w:rPr>
        <w:t>who ingest foods of  animal origin. </w:t>
      </w:r>
      <w:r>
        <w:rPr>
          <w:color w:val="231F20"/>
          <w:w w:val="105"/>
          <w:position w:val="7"/>
          <w:sz w:val="11"/>
        </w:rPr>
        <w:t>83, 84, 85, 86, 87, 88, 89,</w:t>
      </w:r>
      <w:r>
        <w:rPr>
          <w:color w:val="231F20"/>
          <w:spacing w:val="-5"/>
          <w:w w:val="105"/>
          <w:position w:val="7"/>
          <w:sz w:val="11"/>
        </w:rPr>
        <w:t> </w:t>
      </w:r>
      <w:r>
        <w:rPr>
          <w:color w:val="231F20"/>
          <w:w w:val="105"/>
          <w:position w:val="7"/>
          <w:sz w:val="11"/>
        </w:rPr>
        <w:t>90</w:t>
      </w:r>
    </w:p>
    <w:p>
      <w:pPr>
        <w:pStyle w:val="ListParagraph"/>
        <w:numPr>
          <w:ilvl w:val="3"/>
          <w:numId w:val="8"/>
        </w:numPr>
        <w:tabs>
          <w:tab w:pos="2076" w:val="left" w:leader="none"/>
        </w:tabs>
        <w:spacing w:line="266" w:lineRule="auto" w:before="180" w:after="0"/>
        <w:ind w:left="1440" w:right="19" w:firstLine="0"/>
        <w:jc w:val="left"/>
        <w:rPr>
          <w:sz w:val="20"/>
        </w:rPr>
      </w:pPr>
      <w:r>
        <w:rPr/>
        <w:pict>
          <v:group style="position:absolute;margin-left:71.75pt;margin-top:126.889565pt;width:397.5pt;height:248pt;mso-position-horizontal-relative:page;mso-position-vertical-relative:paragraph;z-index:2920" coordorigin="1435,2538" coordsize="7950,4960">
            <v:rect style="position:absolute;left:1445;top:2543;width:7929;height:540" filled="true" fillcolor="#bad0ec" stroked="false">
              <v:fill type="solid"/>
            </v:rect>
            <v:rect style="position:absolute;left:1445;top:3083;width:7929;height:4410" filled="true" fillcolor="#eef2fa" stroked="false">
              <v:fill type="solid"/>
            </v:rect>
            <v:line style="position:absolute" from="1440,2543" to="9379,2543" stroked="true" strokeweight=".5pt" strokecolor="#1c3e94">
              <v:stroke dashstyle="solid"/>
            </v:line>
            <v:line style="position:absolute" from="1445,3078" to="1445,2548" stroked="true" strokeweight=".5pt" strokecolor="#1c3e94">
              <v:stroke dashstyle="solid"/>
            </v:line>
            <v:line style="position:absolute" from="9374,3078" to="9374,2548" stroked="true" strokeweight=".5pt" strokecolor="#1c3e94">
              <v:stroke dashstyle="solid"/>
            </v:line>
            <v:line style="position:absolute" from="1440,3083" to="9379,3083" stroked="true" strokeweight=".5pt" strokecolor="#1c3e94">
              <v:stroke dashstyle="solid"/>
            </v:line>
            <v:line style="position:absolute" from="1445,7488" to="1445,3088" stroked="true" strokeweight=".5pt" strokecolor="#1c3e94">
              <v:stroke dashstyle="solid"/>
            </v:line>
            <v:line style="position:absolute" from="9374,7488" to="9374,3088" stroked="true" strokeweight=".5pt" strokecolor="#1c3e94">
              <v:stroke dashstyle="solid"/>
            </v:line>
            <v:line style="position:absolute" from="1440,7493" to="9379,7493" stroked="true" strokeweight=".5pt" strokecolor="#1c3e94">
              <v:stroke dashstyle="solid"/>
            </v:line>
            <v:rect style="position:absolute;left:2748;top:5622;width:154;height:347" filled="true" fillcolor="#7cacdc" stroked="false">
              <v:fill type="solid"/>
            </v:rect>
            <v:rect style="position:absolute;left:2748;top:5622;width:154;height:347" filled="false" stroked="true" strokeweight=".117pt" strokecolor="#0079c1">
              <v:stroke dashstyle="solid"/>
            </v:rect>
            <v:rect style="position:absolute;left:2903;top:5322;width:154;height:650" filled="true" fillcolor="#7cacdc" stroked="false">
              <v:fill type="solid"/>
            </v:rect>
            <v:rect style="position:absolute;left:2903;top:5322;width:154;height:650" filled="false" stroked="true" strokeweight=".166pt" strokecolor="#0079c1">
              <v:stroke dashstyle="solid"/>
            </v:rect>
            <v:rect style="position:absolute;left:3058;top:5243;width:154;height:729" filled="true" fillcolor="#7cacdc" stroked="false">
              <v:fill type="solid"/>
            </v:rect>
            <v:rect style="position:absolute;left:3058;top:5243;width:154;height:729" filled="false" stroked="true" strokeweight=".151pt" strokecolor="#0079c1">
              <v:stroke dashstyle="solid"/>
            </v:rect>
            <v:rect style="position:absolute;left:3212;top:5333;width:154;height:638" filled="true" fillcolor="#7cacdc" stroked="false">
              <v:fill type="solid"/>
            </v:rect>
            <v:rect style="position:absolute;left:3212;top:5333;width:154;height:638" filled="false" stroked="true" strokeweight=".111pt" strokecolor="#0079c1">
              <v:stroke dashstyle="solid"/>
            </v:rect>
            <v:rect style="position:absolute;left:3366;top:5333;width:154;height:639" filled="true" fillcolor="#7cacdc" stroked="false">
              <v:fill type="solid"/>
            </v:rect>
            <v:rect style="position:absolute;left:3366;top:5333;width:154;height:639" filled="false" stroked="true" strokeweight=".11pt" strokecolor="#0079c1">
              <v:stroke dashstyle="solid"/>
            </v:rect>
            <v:rect style="position:absolute;left:3521;top:5211;width:154;height:761" filled="true" fillcolor="#7cacdc" stroked="false">
              <v:fill type="solid"/>
            </v:rect>
            <v:rect style="position:absolute;left:3521;top:5211;width:154;height:761" filled="false" stroked="true" strokeweight=".117pt" strokecolor="#0079c1">
              <v:stroke dashstyle="solid"/>
            </v:rect>
            <v:rect style="position:absolute;left:3676;top:5196;width:154;height:776" filled="true" fillcolor="#7cacdc" stroked="false">
              <v:fill type="solid"/>
            </v:rect>
            <v:rect style="position:absolute;left:3676;top:5196;width:154;height:776" filled="false" stroked="true" strokeweight=".126pt" strokecolor="#0079c1">
              <v:stroke dashstyle="solid"/>
            </v:rect>
            <v:rect style="position:absolute;left:3832;top:5062;width:154;height:910" filled="true" fillcolor="#7cacdc" stroked="false">
              <v:fill type="solid"/>
            </v:rect>
            <v:rect style="position:absolute;left:3832;top:5062;width:154;height:910" filled="false" stroked="true" strokeweight=".132pt" strokecolor="#0079c1">
              <v:stroke dashstyle="solid"/>
            </v:rect>
            <v:rect style="position:absolute;left:3987;top:5098;width:154;height:874" filled="true" fillcolor="#7cacdc" stroked="false">
              <v:fill type="solid"/>
            </v:rect>
            <v:rect style="position:absolute;left:3987;top:5098;width:154;height:874" filled="false" stroked="true" strokeweight=".166pt" strokecolor="#0079c1">
              <v:stroke dashstyle="solid"/>
            </v:rect>
            <v:rect style="position:absolute;left:4141;top:4997;width:154;height:975" filled="true" fillcolor="#7cacdc" stroked="false">
              <v:fill type="solid"/>
            </v:rect>
            <v:rect style="position:absolute;left:4141;top:4997;width:154;height:975" filled="false" stroked="true" strokeweight=".138pt" strokecolor="#0079c1">
              <v:stroke dashstyle="solid"/>
            </v:rect>
            <v:rect style="position:absolute;left:4295;top:5228;width:154;height:743" filled="true" fillcolor="#7cacdc" stroked="false">
              <v:fill type="solid"/>
            </v:rect>
            <v:rect style="position:absolute;left:4295;top:5228;width:154;height:743" filled="false" stroked="true" strokeweight=".119pt" strokecolor="#0079c1">
              <v:stroke dashstyle="solid"/>
            </v:rect>
            <v:rect style="position:absolute;left:4448;top:5164;width:154;height:807" filled="true" fillcolor="#7cacdc" stroked="false">
              <v:fill type="solid"/>
            </v:rect>
            <v:rect style="position:absolute;left:4448;top:5164;width:154;height:807" filled="false" stroked="true" strokeweight=".12pt" strokecolor="#0079c1">
              <v:stroke dashstyle="solid"/>
            </v:rect>
            <v:rect style="position:absolute;left:4601;top:5250;width:154;height:722" filled="true" fillcolor="#7cacdc" stroked="false">
              <v:fill type="solid"/>
            </v:rect>
            <v:rect style="position:absolute;left:4601;top:5250;width:154;height:722" filled="false" stroked="true" strokeweight=".121pt" strokecolor="#0079c1">
              <v:stroke dashstyle="solid"/>
            </v:rect>
            <v:rect style="position:absolute;left:4754;top:5243;width:156;height:729" filled="true" fillcolor="#7cacdc" stroked="false">
              <v:fill type="solid"/>
            </v:rect>
            <v:rect style="position:absolute;left:4754;top:5243;width:156;height:729" filled="false" stroked="true" strokeweight=".119pt" strokecolor="#0079c1">
              <v:stroke dashstyle="solid"/>
            </v:rect>
            <v:rect style="position:absolute;left:4907;top:5338;width:154;height:631" filled="true" fillcolor="#7cacdc" stroked="false">
              <v:fill type="solid"/>
            </v:rect>
            <v:rect style="position:absolute;left:4907;top:5338;width:154;height:631" filled="false" stroked="true" strokeweight=".158pt" strokecolor="#0079c1">
              <v:stroke dashstyle="solid"/>
            </v:rect>
            <v:rect style="position:absolute;left:5061;top:5307;width:154;height:665" filled="true" fillcolor="#7cacdc" stroked="false">
              <v:fill type="solid"/>
            </v:rect>
            <v:rect style="position:absolute;left:5061;top:5307;width:154;height:665" filled="false" stroked="true" strokeweight=".167pt" strokecolor="#0079c1">
              <v:stroke dashstyle="solid"/>
            </v:rect>
            <v:rect style="position:absolute;left:5216;top:5220;width:154;height:751" filled="true" fillcolor="#7cacdc" stroked="false">
              <v:fill type="solid"/>
            </v:rect>
            <v:rect style="position:absolute;left:5216;top:5220;width:154;height:751" filled="false" stroked="true" strokeweight=".154pt" strokecolor="#0079c1">
              <v:stroke dashstyle="solid"/>
            </v:rect>
            <v:rect style="position:absolute;left:5371;top:5176;width:154;height:796" filled="true" fillcolor="#7cacdc" stroked="false">
              <v:fill type="solid"/>
            </v:rect>
            <v:rect style="position:absolute;left:5371;top:5176;width:154;height:796" filled="false" stroked="true" strokeweight=".124pt" strokecolor="#0079c1">
              <v:stroke dashstyle="solid"/>
            </v:rect>
            <v:rect style="position:absolute;left:5525;top:5187;width:154;height:785" filled="true" fillcolor="#7cacdc" stroked="false">
              <v:fill type="solid"/>
            </v:rect>
            <v:rect style="position:absolute;left:5525;top:5187;width:154;height:785" filled="false" stroked="true" strokeweight=".122pt" strokecolor="#0079c1">
              <v:stroke dashstyle="solid"/>
            </v:rect>
            <v:rect style="position:absolute;left:5680;top:5350;width:154;height:622" filled="true" fillcolor="#7cacdc" stroked="false">
              <v:fill type="solid"/>
            </v:rect>
            <v:rect style="position:absolute;left:5680;top:5350;width:154;height:622" filled="false" stroked="true" strokeweight=".106pt" strokecolor="#0079c1">
              <v:stroke dashstyle="solid"/>
            </v:rect>
            <v:rect style="position:absolute;left:5834;top:5196;width:154;height:776" filled="true" fillcolor="#7cacdc" stroked="false">
              <v:fill type="solid"/>
            </v:rect>
            <v:rect style="position:absolute;left:5834;top:5196;width:154;height:776" filled="false" stroked="true" strokeweight=".126pt" strokecolor="#0079c1">
              <v:stroke dashstyle="solid"/>
            </v:rect>
            <v:rect style="position:absolute;left:5990;top:4927;width:154;height:1044" filled="true" fillcolor="#7cacdc" stroked="false">
              <v:fill type="solid"/>
            </v:rect>
            <v:rect style="position:absolute;left:5990;top:4927;width:154;height:1044" filled="false" stroked="true" strokeweight=".141pt" strokecolor="#0079c1">
              <v:stroke dashstyle="solid"/>
            </v:rect>
            <v:rect style="position:absolute;left:6145;top:5000;width:154;height:971" filled="true" fillcolor="#7cacdc" stroked="false">
              <v:fill type="solid"/>
            </v:rect>
            <v:rect style="position:absolute;left:6145;top:5000;width:154;height:971" filled="false" stroked="true" strokeweight=".175pt" strokecolor="#0079c1">
              <v:stroke dashstyle="solid"/>
            </v:rect>
            <v:rect style="position:absolute;left:6300;top:5056;width:154;height:915" filled="true" fillcolor="#7cacdc" stroked="false">
              <v:fill type="solid"/>
            </v:rect>
            <v:rect style="position:absolute;left:6300;top:5056;width:154;height:915" filled="false" stroked="true" strokeweight=".133pt" strokecolor="#0079c1">
              <v:stroke dashstyle="solid"/>
            </v:rect>
            <v:rect style="position:absolute;left:6454;top:4757;width:154;height:1215" filled="true" fillcolor="#7cacdc" stroked="false">
              <v:fill type="solid"/>
            </v:rect>
            <v:rect style="position:absolute;left:6454;top:4757;width:154;height:1215" filled="false" stroked="true" strokeweight=".152pt" strokecolor="#0079c1">
              <v:stroke dashstyle="solid"/>
            </v:rect>
            <v:rect style="position:absolute;left:6606;top:3986;width:152;height:1985" filled="true" fillcolor="#bcbec0" stroked="false">
              <v:fill type="solid"/>
            </v:rect>
            <v:rect style="position:absolute;left:6606;top:3986;width:152;height:1985" filled="false" stroked="true" strokeweight=".188pt" strokecolor="#0079c1">
              <v:stroke dashstyle="solid"/>
            </v:rect>
            <v:rect style="position:absolute;left:6757;top:3956;width:152;height:2016" filled="true" fillcolor="#bcbec0" stroked="false">
              <v:fill type="solid"/>
            </v:rect>
            <v:rect style="position:absolute;left:6757;top:3956;width:152;height:2016" filled="false" stroked="true" strokeweight=".201pt" strokecolor="#0079c1">
              <v:stroke dashstyle="solid"/>
            </v:rect>
            <v:rect style="position:absolute;left:6909;top:3859;width:154;height:2112" filled="true" fillcolor="#bcbec0" stroked="false">
              <v:fill type="solid"/>
            </v:rect>
            <v:rect style="position:absolute;left:6909;top:3859;width:154;height:2112" filled="false" stroked="true" strokeweight=".201pt" strokecolor="#0079c1">
              <v:stroke dashstyle="solid"/>
            </v:rect>
            <v:rect style="position:absolute;left:7062;top:4088;width:152;height:1884" filled="true" fillcolor="#bcbec0" stroked="false">
              <v:fill type="solid"/>
            </v:rect>
            <v:rect style="position:absolute;left:7062;top:4088;width:152;height:1884" filled="false" stroked="true" strokeweight=".19pt" strokecolor="#0079c1">
              <v:stroke dashstyle="solid"/>
            </v:rect>
            <v:rect style="position:absolute;left:7214;top:3982;width:152;height:1989" filled="true" fillcolor="#bcbec0" stroked="false">
              <v:fill type="solid"/>
            </v:rect>
            <v:rect style="position:absolute;left:7214;top:3982;width:152;height:1989" filled="false" stroked="true" strokeweight=".193pt" strokecolor="#0079c1">
              <v:stroke dashstyle="solid"/>
            </v:rect>
            <v:rect style="position:absolute;left:7367;top:4328;width:152;height:1643" filled="true" fillcolor="#bcbec0" stroked="false">
              <v:fill type="solid"/>
            </v:rect>
            <v:rect style="position:absolute;left:7367;top:4328;width:152;height:1643" filled="false" stroked="true" strokeweight=".171pt" strokecolor="#0079c1">
              <v:stroke dashstyle="solid"/>
            </v:rect>
            <v:rect style="position:absolute;left:7520;top:3973;width:152;height:1999" filled="true" fillcolor="#bcbec0" stroked="false">
              <v:fill type="solid"/>
            </v:rect>
            <v:rect style="position:absolute;left:7520;top:3973;width:152;height:1999" filled="false" stroked="true" strokeweight=".2pt" strokecolor="#0079c1">
              <v:stroke dashstyle="solid"/>
            </v:rect>
            <v:rect style="position:absolute;left:7673;top:4516;width:152;height:1456" filled="true" fillcolor="#bcbec0" stroked="false">
              <v:fill type="solid"/>
            </v:rect>
            <v:rect style="position:absolute;left:7673;top:4516;width:152;height:1456" filled="false" stroked="true" strokeweight=".166pt" strokecolor="#0079c1">
              <v:stroke dashstyle="solid"/>
            </v:rect>
            <v:rect style="position:absolute;left:7827;top:4058;width:152;height:1914" filled="true" fillcolor="#bcbec0" stroked="false">
              <v:fill type="solid"/>
            </v:rect>
            <v:rect style="position:absolute;left:7827;top:4058;width:152;height:1914" filled="false" stroked="true" strokeweight=".244pt" strokecolor="#0079c1">
              <v:stroke dashstyle="solid"/>
            </v:rect>
            <v:rect style="position:absolute;left:7979;top:4316;width:152;height:1656" filled="true" fillcolor="#bcbec0" stroked="false">
              <v:fill type="solid"/>
            </v:rect>
            <v:rect style="position:absolute;left:7979;top:4316;width:152;height:1656" filled="false" stroked="true" strokeweight=".178pt" strokecolor="#0079c1">
              <v:stroke dashstyle="solid"/>
            </v:rect>
            <v:rect style="position:absolute;left:8131;top:4413;width:152;height:1559" filled="true" fillcolor="#bcbec0" stroked="false">
              <v:fill type="solid"/>
            </v:rect>
            <v:rect style="position:absolute;left:8131;top:4413;width:152;height:1559" filled="false" stroked="true" strokeweight=".171pt" strokecolor="#0079c1">
              <v:stroke dashstyle="solid"/>
            </v:rect>
            <v:rect style="position:absolute;left:8282;top:4955;width:152;height:1017" filled="true" fillcolor="#bcbec0" stroked="false">
              <v:fill type="solid"/>
            </v:rect>
            <v:rect style="position:absolute;left:8282;top:4955;width:152;height:1017" filled="false" stroked="true" strokeweight=".134pt" strokecolor="#0079c1">
              <v:stroke dashstyle="solid"/>
            </v:rect>
            <v:rect style="position:absolute;left:8432;top:4674;width:152;height:1298" filled="true" fillcolor="#bcbec0" stroked="false">
              <v:fill type="solid"/>
            </v:rect>
            <v:rect style="position:absolute;left:8432;top:4674;width:152;height:1298" filled="false" stroked="true" strokeweight=".161pt" strokecolor="#0079c1">
              <v:stroke dashstyle="solid"/>
            </v:rect>
            <v:shape style="position:absolute;left:-5891;top:5823;width:5891;height:2455" coordorigin="-5891,5823" coordsize="5891,2455" path="m8598,6016l8598,5972,2744,5972,2744,3561,2707,3561m3048,5972l3048,6012m3359,5972l3359,6012m3669,5972l3669,6012m3981,5972l3981,6012m4258,5972l4258,6012m4568,5972l4568,6012m4883,5972l4883,6012m5194,5972l5194,6012m5521,5972l5521,6012m5825,5972l5825,6012m6131,5972l6131,6012m6442,5972l6442,6012m6751,5972l6751,6012m7058,5972l7058,6012e" filled="false" stroked="true" strokeweight=".505pt" strokecolor="#231f20">
              <v:path arrowok="t"/>
              <v:stroke dashstyle="solid"/>
            </v:shape>
            <v:shape style="position:absolute;left:-33;top:7082;width:33;height:1197" coordorigin="-33,7082" coordsize="33,1197" path="m2745,5670l2712,5670m2745,5370l2712,5370m2745,5055l2712,5055m2745,4773l2712,4773m2745,4474l2712,4474e" filled="false" stroked="true" strokeweight=".445pt" strokecolor="#231f20">
              <v:path arrowok="t"/>
              <v:stroke dashstyle="solid"/>
            </v:shape>
            <v:shape style="position:absolute;left:-33;top:7979;width:33;height:299" coordorigin="-33,7979" coordsize="33,299" path="m2745,4164l2712,4164m2745,3865l2712,3865e" filled="false" stroked="true" strokeweight=".445pt" strokecolor="#231f20">
              <v:path arrowok="t"/>
              <v:stroke dashstyle="solid"/>
            </v:shape>
            <v:shape style="position:absolute;left:0;top:8278;width:924;height:40" coordorigin="0,8278" coordsize="924,40" path="m7371,5972l7371,6012m7680,5972l7680,6012m7988,5972l7988,6012m8295,5972l8295,6012e" filled="false" stroked="true" strokeweight=".505pt" strokecolor="#231f20">
              <v:path arrowok="t"/>
              <v:stroke dashstyle="solid"/>
            </v:shape>
            <v:shape style="position:absolute;left:1445;top:2543;width:7930;height:540" type="#_x0000_t202" filled="false" stroked="false">
              <v:textbox inset="0,0,0,0">
                <w:txbxContent>
                  <w:p>
                    <w:pPr>
                      <w:spacing w:before="169"/>
                      <w:ind w:left="80" w:right="0" w:firstLine="0"/>
                      <w:jc w:val="left"/>
                      <w:rPr>
                        <w:rFonts w:ascii="Trebuchet MS" w:hAnsi="Trebuchet MS"/>
                        <w:b/>
                        <w:sz w:val="18"/>
                      </w:rPr>
                    </w:pPr>
                    <w:r>
                      <w:rPr>
                        <w:rFonts w:ascii="Trebuchet MS" w:hAnsi="Trebuchet MS"/>
                        <w:b/>
                        <w:color w:val="E36F1E"/>
                        <w:w w:val="95"/>
                        <w:sz w:val="18"/>
                      </w:rPr>
                      <w:t>Figure 2.3 </w:t>
                    </w:r>
                    <w:r>
                      <w:rPr>
                        <w:rFonts w:ascii="Trebuchet MS" w:hAnsi="Trebuchet MS"/>
                        <w:b/>
                        <w:color w:val="1C3E94"/>
                        <w:w w:val="95"/>
                        <w:sz w:val="18"/>
                      </w:rPr>
                      <w:t>Number of reported foodborne disease outbreaks, United States, 1973–2010</w:t>
                    </w:r>
                  </w:p>
                </w:txbxContent>
              </v:textbox>
              <w10:wrap type="none"/>
            </v:shape>
            <v:shape style="position:absolute;left:1445;top:3083;width:7930;height:4410" type="#_x0000_t202" filled="false" stroked="false">
              <v:textbox inset="0,0,0,0">
                <w:txbxContent>
                  <w:p>
                    <w:pPr>
                      <w:spacing w:line="240" w:lineRule="auto" w:before="0"/>
                      <w:rPr>
                        <w:sz w:val="18"/>
                      </w:rPr>
                    </w:pPr>
                  </w:p>
                  <w:p>
                    <w:pPr>
                      <w:spacing w:line="240" w:lineRule="auto" w:before="1"/>
                      <w:rPr>
                        <w:sz w:val="16"/>
                      </w:rPr>
                    </w:pPr>
                  </w:p>
                  <w:p>
                    <w:pPr>
                      <w:spacing w:before="0"/>
                      <w:ind w:left="778" w:right="0" w:firstLine="0"/>
                      <w:jc w:val="left"/>
                      <w:rPr>
                        <w:rFonts w:ascii="Arial"/>
                        <w:sz w:val="16"/>
                      </w:rPr>
                    </w:pPr>
                    <w:r>
                      <w:rPr>
                        <w:rFonts w:ascii="Arial"/>
                        <w:color w:val="231F20"/>
                        <w:w w:val="95"/>
                        <w:sz w:val="16"/>
                      </w:rPr>
                      <w:t>1600</w:t>
                    </w:r>
                  </w:p>
                  <w:p>
                    <w:pPr>
                      <w:spacing w:before="106"/>
                      <w:ind w:left="778" w:right="0" w:firstLine="0"/>
                      <w:jc w:val="left"/>
                      <w:rPr>
                        <w:rFonts w:ascii="Arial"/>
                        <w:sz w:val="16"/>
                      </w:rPr>
                    </w:pPr>
                    <w:r>
                      <w:rPr>
                        <w:rFonts w:ascii="Arial"/>
                        <w:color w:val="231F20"/>
                        <w:w w:val="95"/>
                        <w:sz w:val="16"/>
                      </w:rPr>
                      <w:t>1400</w:t>
                    </w:r>
                  </w:p>
                  <w:p>
                    <w:pPr>
                      <w:spacing w:before="116"/>
                      <w:ind w:left="778" w:right="0" w:firstLine="0"/>
                      <w:jc w:val="left"/>
                      <w:rPr>
                        <w:rFonts w:ascii="Arial"/>
                        <w:sz w:val="16"/>
                      </w:rPr>
                    </w:pPr>
                    <w:r>
                      <w:rPr>
                        <w:rFonts w:ascii="Arial"/>
                        <w:color w:val="231F20"/>
                        <w:w w:val="95"/>
                        <w:sz w:val="16"/>
                      </w:rPr>
                      <w:t>1200</w:t>
                    </w:r>
                  </w:p>
                  <w:p>
                    <w:pPr>
                      <w:spacing w:before="112"/>
                      <w:ind w:left="778" w:right="0" w:firstLine="0"/>
                      <w:jc w:val="left"/>
                      <w:rPr>
                        <w:rFonts w:ascii="Arial"/>
                        <w:sz w:val="16"/>
                      </w:rPr>
                    </w:pPr>
                    <w:r>
                      <w:rPr>
                        <w:rFonts w:ascii="Arial"/>
                        <w:color w:val="231F20"/>
                        <w:w w:val="95"/>
                        <w:sz w:val="16"/>
                      </w:rPr>
                      <w:t>1000</w:t>
                    </w:r>
                  </w:p>
                  <w:p>
                    <w:pPr>
                      <w:spacing w:before="117"/>
                      <w:ind w:left="817" w:right="6800" w:firstLine="0"/>
                      <w:jc w:val="center"/>
                      <w:rPr>
                        <w:rFonts w:ascii="Arial"/>
                        <w:sz w:val="16"/>
                      </w:rPr>
                    </w:pPr>
                    <w:r>
                      <w:rPr>
                        <w:rFonts w:ascii="Arial"/>
                        <w:color w:val="231F20"/>
                        <w:w w:val="95"/>
                        <w:sz w:val="16"/>
                      </w:rPr>
                      <w:t>800</w:t>
                    </w:r>
                  </w:p>
                  <w:p>
                    <w:pPr>
                      <w:spacing w:before="104"/>
                      <w:ind w:left="826" w:right="6797" w:firstLine="0"/>
                      <w:jc w:val="center"/>
                      <w:rPr>
                        <w:rFonts w:ascii="Arial"/>
                        <w:sz w:val="16"/>
                      </w:rPr>
                    </w:pPr>
                    <w:r>
                      <w:rPr>
                        <w:rFonts w:ascii="Arial"/>
                        <w:color w:val="231F20"/>
                        <w:w w:val="95"/>
                        <w:sz w:val="16"/>
                      </w:rPr>
                      <w:t>600</w:t>
                    </w:r>
                  </w:p>
                  <w:p>
                    <w:pPr>
                      <w:spacing w:before="126"/>
                      <w:ind w:left="826" w:right="6790" w:firstLine="0"/>
                      <w:jc w:val="center"/>
                      <w:rPr>
                        <w:rFonts w:ascii="Arial"/>
                        <w:sz w:val="16"/>
                      </w:rPr>
                    </w:pPr>
                    <w:r>
                      <w:rPr>
                        <w:rFonts w:ascii="Arial"/>
                        <w:color w:val="231F20"/>
                        <w:w w:val="95"/>
                        <w:sz w:val="16"/>
                      </w:rPr>
                      <w:t>400</w:t>
                    </w:r>
                  </w:p>
                  <w:p>
                    <w:pPr>
                      <w:spacing w:before="128"/>
                      <w:ind w:left="817" w:right="6800" w:firstLine="0"/>
                      <w:jc w:val="center"/>
                      <w:rPr>
                        <w:rFonts w:ascii="Arial"/>
                        <w:sz w:val="16"/>
                      </w:rPr>
                    </w:pPr>
                    <w:r>
                      <w:rPr>
                        <w:rFonts w:ascii="Arial"/>
                        <w:color w:val="231F20"/>
                        <w:w w:val="95"/>
                        <w:sz w:val="16"/>
                      </w:rPr>
                      <w:t>200</w:t>
                    </w:r>
                  </w:p>
                  <w:p>
                    <w:pPr>
                      <w:spacing w:line="182" w:lineRule="exact" w:before="119"/>
                      <w:ind w:left="0" w:right="5814" w:firstLine="0"/>
                      <w:jc w:val="center"/>
                      <w:rPr>
                        <w:rFonts w:ascii="Arial"/>
                        <w:sz w:val="16"/>
                      </w:rPr>
                    </w:pPr>
                    <w:r>
                      <w:rPr>
                        <w:rFonts w:ascii="Arial"/>
                        <w:color w:val="231F20"/>
                        <w:w w:val="87"/>
                        <w:sz w:val="16"/>
                      </w:rPr>
                      <w:t>0</w:t>
                    </w:r>
                  </w:p>
                  <w:p>
                    <w:pPr>
                      <w:spacing w:line="136" w:lineRule="exact" w:before="0"/>
                      <w:ind w:left="1283" w:right="0" w:firstLine="0"/>
                      <w:jc w:val="left"/>
                      <w:rPr>
                        <w:rFonts w:ascii="Arial"/>
                        <w:sz w:val="12"/>
                      </w:rPr>
                    </w:pPr>
                    <w:r>
                      <w:rPr>
                        <w:rFonts w:ascii="Arial"/>
                        <w:color w:val="231F20"/>
                        <w:w w:val="85"/>
                        <w:sz w:val="12"/>
                      </w:rPr>
                      <w:t>1973  1975   1977   1979   1981  1983   1985   1987   1989   1991   1993   1995   1997   1999  2001   2003   2005  2007  2009</w:t>
                    </w:r>
                  </w:p>
                  <w:p>
                    <w:pPr>
                      <w:spacing w:before="93"/>
                      <w:ind w:left="826" w:right="1247" w:firstLine="0"/>
                      <w:jc w:val="center"/>
                      <w:rPr>
                        <w:rFonts w:ascii="Arial"/>
                        <w:sz w:val="20"/>
                      </w:rPr>
                    </w:pPr>
                    <w:r>
                      <w:rPr>
                        <w:rFonts w:ascii="Arial"/>
                        <w:color w:val="1C3E94"/>
                        <w:w w:val="95"/>
                        <w:sz w:val="20"/>
                      </w:rPr>
                      <w:t>Year</w:t>
                    </w:r>
                  </w:p>
                  <w:p>
                    <w:pPr>
                      <w:spacing w:line="249" w:lineRule="auto" w:before="81"/>
                      <w:ind w:left="441" w:right="495" w:firstLine="0"/>
                      <w:jc w:val="left"/>
                      <w:rPr>
                        <w:rFonts w:ascii="Arial"/>
                        <w:sz w:val="14"/>
                      </w:rPr>
                    </w:pPr>
                    <w:r>
                      <w:rPr>
                        <w:rFonts w:ascii="Arial"/>
                        <w:color w:val="231F20"/>
                        <w:spacing w:val="-3"/>
                        <w:sz w:val="14"/>
                      </w:rPr>
                      <w:t>Lighter</w:t>
                    </w:r>
                    <w:r>
                      <w:rPr>
                        <w:rFonts w:ascii="Arial"/>
                        <w:color w:val="231F20"/>
                        <w:spacing w:val="-23"/>
                        <w:sz w:val="14"/>
                      </w:rPr>
                      <w:t> </w:t>
                    </w:r>
                    <w:r>
                      <w:rPr>
                        <w:rFonts w:ascii="Arial"/>
                        <w:color w:val="231F20"/>
                        <w:spacing w:val="-3"/>
                        <w:sz w:val="14"/>
                      </w:rPr>
                      <w:t>gray</w:t>
                    </w:r>
                    <w:r>
                      <w:rPr>
                        <w:rFonts w:ascii="Arial"/>
                        <w:color w:val="231F20"/>
                        <w:spacing w:val="-23"/>
                        <w:sz w:val="14"/>
                      </w:rPr>
                      <w:t> </w:t>
                    </w:r>
                    <w:r>
                      <w:rPr>
                        <w:rFonts w:ascii="Arial"/>
                        <w:color w:val="231F20"/>
                        <w:spacing w:val="-3"/>
                        <w:sz w:val="14"/>
                      </w:rPr>
                      <w:t>bars</w:t>
                    </w:r>
                    <w:r>
                      <w:rPr>
                        <w:rFonts w:ascii="Arial"/>
                        <w:color w:val="231F20"/>
                        <w:spacing w:val="-23"/>
                        <w:sz w:val="14"/>
                      </w:rPr>
                      <w:t> </w:t>
                    </w:r>
                    <w:r>
                      <w:rPr>
                        <w:rFonts w:ascii="Arial"/>
                        <w:color w:val="231F20"/>
                        <w:spacing w:val="-3"/>
                        <w:sz w:val="14"/>
                      </w:rPr>
                      <w:t>starting</w:t>
                    </w:r>
                    <w:r>
                      <w:rPr>
                        <w:rFonts w:ascii="Arial"/>
                        <w:color w:val="231F20"/>
                        <w:spacing w:val="-23"/>
                        <w:sz w:val="14"/>
                      </w:rPr>
                      <w:t> </w:t>
                    </w:r>
                    <w:r>
                      <w:rPr>
                        <w:rFonts w:ascii="Arial"/>
                        <w:color w:val="231F20"/>
                        <w:sz w:val="14"/>
                      </w:rPr>
                      <w:t>in</w:t>
                    </w:r>
                    <w:r>
                      <w:rPr>
                        <w:rFonts w:ascii="Arial"/>
                        <w:color w:val="231F20"/>
                        <w:spacing w:val="-23"/>
                        <w:sz w:val="14"/>
                      </w:rPr>
                      <w:t> </w:t>
                    </w:r>
                    <w:r>
                      <w:rPr>
                        <w:rFonts w:ascii="Arial"/>
                        <w:color w:val="231F20"/>
                        <w:spacing w:val="-3"/>
                        <w:sz w:val="14"/>
                      </w:rPr>
                      <w:t>1998</w:t>
                    </w:r>
                    <w:r>
                      <w:rPr>
                        <w:rFonts w:ascii="Arial"/>
                        <w:color w:val="231F20"/>
                        <w:spacing w:val="-23"/>
                        <w:sz w:val="14"/>
                      </w:rPr>
                      <w:t> </w:t>
                    </w:r>
                    <w:r>
                      <w:rPr>
                        <w:rFonts w:ascii="Arial"/>
                        <w:color w:val="231F20"/>
                        <w:spacing w:val="-3"/>
                        <w:sz w:val="14"/>
                      </w:rPr>
                      <w:t>illustrate</w:t>
                    </w:r>
                    <w:r>
                      <w:rPr>
                        <w:rFonts w:ascii="Arial"/>
                        <w:color w:val="231F20"/>
                        <w:spacing w:val="-23"/>
                        <w:sz w:val="14"/>
                      </w:rPr>
                      <w:t> </w:t>
                    </w:r>
                    <w:r>
                      <w:rPr>
                        <w:rFonts w:ascii="Arial"/>
                        <w:color w:val="231F20"/>
                        <w:sz w:val="14"/>
                      </w:rPr>
                      <w:t>the</w:t>
                    </w:r>
                    <w:r>
                      <w:rPr>
                        <w:rFonts w:ascii="Arial"/>
                        <w:color w:val="231F20"/>
                        <w:spacing w:val="-23"/>
                        <w:sz w:val="14"/>
                      </w:rPr>
                      <w:t> </w:t>
                    </w:r>
                    <w:r>
                      <w:rPr>
                        <w:rFonts w:ascii="Arial"/>
                        <w:color w:val="231F20"/>
                        <w:spacing w:val="-3"/>
                        <w:sz w:val="14"/>
                      </w:rPr>
                      <w:t>change</w:t>
                    </w:r>
                    <w:r>
                      <w:rPr>
                        <w:rFonts w:ascii="Arial"/>
                        <w:color w:val="231F20"/>
                        <w:spacing w:val="-23"/>
                        <w:sz w:val="14"/>
                      </w:rPr>
                      <w:t> </w:t>
                    </w:r>
                    <w:r>
                      <w:rPr>
                        <w:rFonts w:ascii="Arial"/>
                        <w:color w:val="231F20"/>
                        <w:sz w:val="14"/>
                      </w:rPr>
                      <w:t>in</w:t>
                    </w:r>
                    <w:r>
                      <w:rPr>
                        <w:rFonts w:ascii="Arial"/>
                        <w:color w:val="231F20"/>
                        <w:spacing w:val="-23"/>
                        <w:sz w:val="14"/>
                      </w:rPr>
                      <w:t> </w:t>
                    </w:r>
                    <w:r>
                      <w:rPr>
                        <w:rFonts w:ascii="Arial"/>
                        <w:color w:val="231F20"/>
                        <w:spacing w:val="-3"/>
                        <w:sz w:val="14"/>
                      </w:rPr>
                      <w:t>number</w:t>
                    </w:r>
                    <w:r>
                      <w:rPr>
                        <w:rFonts w:ascii="Arial"/>
                        <w:color w:val="231F20"/>
                        <w:spacing w:val="-23"/>
                        <w:sz w:val="14"/>
                      </w:rPr>
                      <w:t> </w:t>
                    </w:r>
                    <w:r>
                      <w:rPr>
                        <w:rFonts w:ascii="Arial"/>
                        <w:color w:val="231F20"/>
                        <w:sz w:val="14"/>
                      </w:rPr>
                      <w:t>of</w:t>
                    </w:r>
                    <w:r>
                      <w:rPr>
                        <w:rFonts w:ascii="Arial"/>
                        <w:color w:val="231F20"/>
                        <w:spacing w:val="-23"/>
                        <w:sz w:val="14"/>
                      </w:rPr>
                      <w:t> </w:t>
                    </w:r>
                    <w:r>
                      <w:rPr>
                        <w:rFonts w:ascii="Arial"/>
                        <w:color w:val="231F20"/>
                        <w:spacing w:val="-3"/>
                        <w:sz w:val="14"/>
                      </w:rPr>
                      <w:t>outbreaks</w:t>
                    </w:r>
                    <w:r>
                      <w:rPr>
                        <w:rFonts w:ascii="Arial"/>
                        <w:color w:val="231F20"/>
                        <w:spacing w:val="-23"/>
                        <w:sz w:val="14"/>
                      </w:rPr>
                      <w:t> </w:t>
                    </w:r>
                    <w:r>
                      <w:rPr>
                        <w:rFonts w:ascii="Arial"/>
                        <w:color w:val="231F20"/>
                        <w:spacing w:val="-3"/>
                        <w:sz w:val="14"/>
                      </w:rPr>
                      <w:t>reported</w:t>
                    </w:r>
                    <w:r>
                      <w:rPr>
                        <w:rFonts w:ascii="Arial"/>
                        <w:color w:val="231F20"/>
                        <w:spacing w:val="-23"/>
                        <w:sz w:val="14"/>
                      </w:rPr>
                      <w:t> </w:t>
                    </w:r>
                    <w:r>
                      <w:rPr>
                        <w:rFonts w:ascii="Arial"/>
                        <w:color w:val="231F20"/>
                        <w:sz w:val="14"/>
                      </w:rPr>
                      <w:t>due</w:t>
                    </w:r>
                    <w:r>
                      <w:rPr>
                        <w:rFonts w:ascii="Arial"/>
                        <w:color w:val="231F20"/>
                        <w:spacing w:val="-23"/>
                        <w:sz w:val="14"/>
                      </w:rPr>
                      <w:t> </w:t>
                    </w:r>
                    <w:r>
                      <w:rPr>
                        <w:rFonts w:ascii="Arial"/>
                        <w:color w:val="231F20"/>
                        <w:sz w:val="14"/>
                      </w:rPr>
                      <w:t>to</w:t>
                    </w:r>
                    <w:r>
                      <w:rPr>
                        <w:rFonts w:ascii="Arial"/>
                        <w:color w:val="231F20"/>
                        <w:spacing w:val="-23"/>
                        <w:sz w:val="14"/>
                      </w:rPr>
                      <w:t> </w:t>
                    </w:r>
                    <w:r>
                      <w:rPr>
                        <w:rFonts w:ascii="Arial"/>
                        <w:color w:val="231F20"/>
                        <w:spacing w:val="-3"/>
                        <w:sz w:val="14"/>
                      </w:rPr>
                      <w:t>changes</w:t>
                    </w:r>
                    <w:r>
                      <w:rPr>
                        <w:rFonts w:ascii="Arial"/>
                        <w:color w:val="231F20"/>
                        <w:spacing w:val="-23"/>
                        <w:sz w:val="14"/>
                      </w:rPr>
                      <w:t> </w:t>
                    </w:r>
                    <w:r>
                      <w:rPr>
                        <w:rFonts w:ascii="Arial"/>
                        <w:color w:val="231F20"/>
                        <w:sz w:val="14"/>
                      </w:rPr>
                      <w:t>in</w:t>
                    </w:r>
                    <w:r>
                      <w:rPr>
                        <w:rFonts w:ascii="Arial"/>
                        <w:color w:val="231F20"/>
                        <w:spacing w:val="-23"/>
                        <w:sz w:val="14"/>
                      </w:rPr>
                      <w:t> </w:t>
                    </w:r>
                    <w:r>
                      <w:rPr>
                        <w:rFonts w:ascii="Arial"/>
                        <w:color w:val="231F20"/>
                        <w:sz w:val="14"/>
                      </w:rPr>
                      <w:t>the</w:t>
                    </w:r>
                    <w:r>
                      <w:rPr>
                        <w:rFonts w:ascii="Arial"/>
                        <w:color w:val="231F20"/>
                        <w:spacing w:val="-23"/>
                        <w:sz w:val="14"/>
                      </w:rPr>
                      <w:t> </w:t>
                    </w:r>
                    <w:r>
                      <w:rPr>
                        <w:rFonts w:ascii="Arial"/>
                        <w:color w:val="231F20"/>
                        <w:spacing w:val="-3"/>
                        <w:sz w:val="14"/>
                      </w:rPr>
                      <w:t>Foodborne </w:t>
                    </w:r>
                    <w:r>
                      <w:rPr>
                        <w:rFonts w:ascii="Arial"/>
                        <w:color w:val="231F20"/>
                        <w:spacing w:val="-3"/>
                        <w:w w:val="95"/>
                        <w:sz w:val="14"/>
                      </w:rPr>
                      <w:t>Disease</w:t>
                    </w:r>
                    <w:r>
                      <w:rPr>
                        <w:rFonts w:ascii="Arial"/>
                        <w:color w:val="231F20"/>
                        <w:spacing w:val="-22"/>
                        <w:w w:val="95"/>
                        <w:sz w:val="14"/>
                      </w:rPr>
                      <w:t> </w:t>
                    </w:r>
                    <w:r>
                      <w:rPr>
                        <w:rFonts w:ascii="Arial"/>
                        <w:color w:val="231F20"/>
                        <w:spacing w:val="-3"/>
                        <w:w w:val="95"/>
                        <w:sz w:val="14"/>
                      </w:rPr>
                      <w:t>Outbreak</w:t>
                    </w:r>
                    <w:r>
                      <w:rPr>
                        <w:rFonts w:ascii="Arial"/>
                        <w:color w:val="231F20"/>
                        <w:spacing w:val="-22"/>
                        <w:w w:val="95"/>
                        <w:sz w:val="14"/>
                      </w:rPr>
                      <w:t> </w:t>
                    </w:r>
                    <w:r>
                      <w:rPr>
                        <w:rFonts w:ascii="Arial"/>
                        <w:color w:val="231F20"/>
                        <w:spacing w:val="-3"/>
                        <w:w w:val="95"/>
                        <w:sz w:val="14"/>
                      </w:rPr>
                      <w:t>Surveillance</w:t>
                    </w:r>
                    <w:r>
                      <w:rPr>
                        <w:rFonts w:ascii="Arial"/>
                        <w:color w:val="231F20"/>
                        <w:spacing w:val="-22"/>
                        <w:w w:val="95"/>
                        <w:sz w:val="14"/>
                      </w:rPr>
                      <w:t> </w:t>
                    </w:r>
                    <w:r>
                      <w:rPr>
                        <w:rFonts w:ascii="Arial"/>
                        <w:color w:val="231F20"/>
                        <w:spacing w:val="-3"/>
                        <w:w w:val="95"/>
                        <w:sz w:val="14"/>
                      </w:rPr>
                      <w:t>System.</w:t>
                    </w:r>
                  </w:p>
                  <w:p>
                    <w:pPr>
                      <w:spacing w:line="240" w:lineRule="auto" w:before="10"/>
                      <w:rPr>
                        <w:sz w:val="14"/>
                      </w:rPr>
                    </w:pPr>
                  </w:p>
                  <w:p>
                    <w:pPr>
                      <w:spacing w:before="1"/>
                      <w:ind w:left="441" w:right="0" w:firstLine="0"/>
                      <w:jc w:val="left"/>
                      <w:rPr>
                        <w:rFonts w:ascii="Arial"/>
                        <w:sz w:val="14"/>
                      </w:rPr>
                    </w:pPr>
                    <w:r>
                      <w:rPr>
                        <w:rFonts w:ascii="Arial"/>
                        <w:color w:val="231F20"/>
                        <w:w w:val="95"/>
                        <w:sz w:val="14"/>
                      </w:rPr>
                      <w:t>Source: CDC Foodborne Disease Outbreak Surveillance System (2012).</w:t>
                    </w:r>
                  </w:p>
                </w:txbxContent>
              </v:textbox>
              <w10:wrap type="none"/>
            </v:shape>
            <w10:wrap type="none"/>
          </v:group>
        </w:pict>
      </w:r>
      <w:r>
        <w:rPr>
          <w:i/>
          <w:color w:val="E36F1E"/>
          <w:sz w:val="20"/>
        </w:rPr>
        <w:t>Foodborne</w:t>
      </w:r>
      <w:r>
        <w:rPr>
          <w:i/>
          <w:color w:val="E36F1E"/>
          <w:spacing w:val="-11"/>
          <w:sz w:val="20"/>
        </w:rPr>
        <w:t> </w:t>
      </w:r>
      <w:r>
        <w:rPr>
          <w:i/>
          <w:color w:val="E36F1E"/>
          <w:sz w:val="20"/>
        </w:rPr>
        <w:t>Disease</w:t>
      </w:r>
      <w:r>
        <w:rPr>
          <w:i/>
          <w:color w:val="E36F1E"/>
          <w:spacing w:val="-11"/>
          <w:sz w:val="20"/>
        </w:rPr>
        <w:t> </w:t>
      </w:r>
      <w:r>
        <w:rPr>
          <w:i/>
          <w:color w:val="E36F1E"/>
          <w:sz w:val="20"/>
        </w:rPr>
        <w:t>Outbreak</w:t>
      </w:r>
      <w:r>
        <w:rPr>
          <w:i/>
          <w:color w:val="E36F1E"/>
          <w:spacing w:val="-11"/>
          <w:sz w:val="20"/>
        </w:rPr>
        <w:t> </w:t>
      </w:r>
      <w:r>
        <w:rPr>
          <w:i/>
          <w:color w:val="E36F1E"/>
          <w:sz w:val="20"/>
        </w:rPr>
        <w:t>Reporting</w:t>
      </w:r>
      <w:r>
        <w:rPr>
          <w:i/>
          <w:color w:val="E36F1E"/>
          <w:spacing w:val="-11"/>
          <w:sz w:val="20"/>
        </w:rPr>
        <w:t> </w:t>
      </w:r>
      <w:r>
        <w:rPr>
          <w:i/>
          <w:color w:val="E36F1E"/>
          <w:sz w:val="20"/>
        </w:rPr>
        <w:t>System </w:t>
      </w:r>
      <w:r>
        <w:rPr>
          <w:color w:val="231F20"/>
          <w:sz w:val="20"/>
        </w:rPr>
        <w:t>The Foodborne Outbreak Reporting System was initiated </w:t>
      </w:r>
      <w:r>
        <w:rPr>
          <w:color w:val="231F20"/>
          <w:spacing w:val="-3"/>
          <w:sz w:val="20"/>
        </w:rPr>
        <w:t>by </w:t>
      </w:r>
      <w:r>
        <w:rPr>
          <w:color w:val="231F20"/>
          <w:sz w:val="20"/>
        </w:rPr>
        <w:t>CDC in the 1960s to collect voluntary reports from public health agencies summarizing the results of foodborne disease outbreak investigations. In 1973, the database for the system was computerized. In 1998, CDC increased communication with state, local,</w:t>
      </w:r>
      <w:r>
        <w:rPr>
          <w:color w:val="231F20"/>
          <w:spacing w:val="17"/>
          <w:sz w:val="20"/>
        </w:rPr>
        <w:t> </w:t>
      </w:r>
      <w:r>
        <w:rPr>
          <w:color w:val="231F20"/>
          <w:sz w:val="20"/>
        </w:rPr>
        <w:t>and</w:t>
      </w:r>
    </w:p>
    <w:p>
      <w:pPr>
        <w:pStyle w:val="BodyText"/>
        <w:spacing w:line="266" w:lineRule="auto" w:before="108"/>
        <w:ind w:left="319" w:right="851"/>
      </w:pPr>
      <w:r>
        <w:rPr/>
        <w:br w:type="column"/>
      </w:r>
      <w:r>
        <w:rPr>
          <w:color w:val="231F20"/>
        </w:rPr>
        <w:t>territorial health departments about foodborne disease outbreaks and formalized procedures to finalize reports from each state each</w:t>
      </w:r>
      <w:r>
        <w:rPr>
          <w:color w:val="231F20"/>
          <w:spacing w:val="-6"/>
        </w:rPr>
        <w:t> year.</w:t>
      </w:r>
    </w:p>
    <w:p>
      <w:pPr>
        <w:pStyle w:val="BodyText"/>
        <w:spacing w:line="266" w:lineRule="auto"/>
        <w:ind w:left="319" w:right="880"/>
        <w:rPr>
          <w:sz w:val="11"/>
        </w:rPr>
      </w:pPr>
      <w:r>
        <w:rPr>
          <w:color w:val="231F20"/>
        </w:rPr>
        <w:t>The system also became Web-based through the electronic Foodborne Disease Outbreak Reporting System (eFORS). These changes  led to a substantial increase in the number of outbreaks reported, resulting in a discontinuity in trends during 1997–1998 (Figure</w:t>
      </w:r>
      <w:r>
        <w:rPr>
          <w:color w:val="231F20"/>
          <w:spacing w:val="30"/>
        </w:rPr>
        <w:t> </w:t>
      </w:r>
      <w:r>
        <w:rPr>
          <w:color w:val="231F20"/>
        </w:rPr>
        <w:t>2.3).</w:t>
      </w:r>
      <w:r>
        <w:rPr>
          <w:color w:val="231F20"/>
          <w:position w:val="7"/>
          <w:sz w:val="11"/>
        </w:rPr>
        <w:t>91</w:t>
      </w:r>
    </w:p>
    <w:p>
      <w:pPr>
        <w:pStyle w:val="BodyText"/>
        <w:spacing w:line="266" w:lineRule="auto" w:before="180"/>
        <w:ind w:left="319" w:right="859"/>
      </w:pPr>
      <w:r>
        <w:rPr>
          <w:color w:val="231F20"/>
        </w:rPr>
        <w:t>In 2009, the system was expanded to include reporting of waterborne outbreaks and enteric disease outbreaks caused by person-to-person contact, direct contact with animals, and contact with contaminated environments.</w:t>
      </w:r>
    </w:p>
    <w:p>
      <w:pPr>
        <w:pStyle w:val="BodyText"/>
        <w:spacing w:line="266" w:lineRule="auto"/>
        <w:ind w:left="319" w:right="741"/>
      </w:pPr>
      <w:r>
        <w:rPr>
          <w:color w:val="231F20"/>
        </w:rPr>
        <w:t>The expanded system is called the National Outbreak Reporting System (NORS). CDC, USDA-FSIS, FDA, and other investigating agencies analyze these data to improve the understanding of the human health impact of foodborne disease outbreaks and the pathogens, foods, and settings involved in these outbreaks. Data are also available to the public online at </w:t>
      </w:r>
      <w:hyperlink r:id="rId16">
        <w:r>
          <w:rPr>
            <w:color w:val="0079C1"/>
          </w:rPr>
          <w:t>http://wwwn.cdc.gov/foodborneoutbreaks/.</w:t>
        </w:r>
      </w:hyperlink>
    </w:p>
    <w:p>
      <w:pPr>
        <w:spacing w:after="0" w:line="266" w:lineRule="auto"/>
        <w:sectPr>
          <w:type w:val="continuous"/>
          <w:pgSz w:w="10080" w:h="14400"/>
          <w:pgMar w:top="0" w:bottom="360" w:left="0" w:right="0"/>
          <w:cols w:num="2" w:equalWidth="0">
            <w:col w:w="5221" w:space="40"/>
            <w:col w:w="4819"/>
          </w:cols>
        </w:sectPr>
      </w:pPr>
    </w:p>
    <w:p>
      <w:pPr>
        <w:rPr>
          <w:sz w:val="2"/>
          <w:szCs w:val="2"/>
        </w:rPr>
      </w:pPr>
      <w:r>
        <w:rPr/>
        <w:pict>
          <v:shape style="position:absolute;margin-left:92.370399pt;margin-top:523.165588pt;width:13.8pt;height:41.7pt;mso-position-horizontal-relative:page;mso-position-vertical-relative:page;z-index:2992" type="#_x0000_t202" filled="false" stroked="false">
            <v:textbox inset="0,0,0,0" style="layout-flow:vertical;mso-layout-flow-alt:bottom-to-top">
              <w:txbxContent>
                <w:p>
                  <w:pPr>
                    <w:pStyle w:val="BodyText"/>
                    <w:spacing w:before="24"/>
                    <w:ind w:left="20"/>
                    <w:rPr>
                      <w:rFonts w:ascii="Arial"/>
                    </w:rPr>
                  </w:pPr>
                  <w:r>
                    <w:rPr>
                      <w:rFonts w:ascii="Arial"/>
                      <w:color w:val="1C3E94"/>
                      <w:w w:val="85"/>
                    </w:rPr>
                    <w:t>Outbreaks</w:t>
                  </w:r>
                </w:p>
              </w:txbxContent>
            </v:textbox>
            <w10:wrap type="none"/>
          </v:shape>
        </w:pict>
      </w:r>
    </w:p>
    <w:p>
      <w:pPr>
        <w:spacing w:after="0"/>
        <w:rPr>
          <w:sz w:val="2"/>
          <w:szCs w:val="2"/>
        </w:rPr>
        <w:sectPr>
          <w:type w:val="continuous"/>
          <w:pgSz w:w="10080" w:h="14400"/>
          <w:pgMar w:top="0" w:bottom="360" w:left="0" w:right="0"/>
        </w:sectPr>
      </w:pPr>
    </w:p>
    <w:p>
      <w:pPr>
        <w:pStyle w:val="BodyText"/>
        <w:spacing w:before="8"/>
        <w:rPr>
          <w:sz w:val="26"/>
        </w:rPr>
      </w:pPr>
    </w:p>
    <w:p>
      <w:pPr>
        <w:pStyle w:val="Heading1"/>
        <w:ind w:left="720"/>
      </w:pPr>
      <w:r>
        <w:rPr/>
        <w:pict>
          <v:line style="position:absolute;mso-position-horizontal-relative:page;mso-position-vertical-relative:paragraph;z-index:3016;mso-wrap-distance-left:0;mso-wrap-distance-right:0" from="36pt,23.995163pt" to="432pt,23.995163pt" stroked="true" strokeweight=".5pt" strokecolor="#00a94f">
            <v:stroke dashstyle="solid"/>
            <w10:wrap type="topAndBottom"/>
          </v:line>
        </w:pict>
      </w:r>
      <w:r>
        <w:rPr>
          <w:color w:val="00A94F"/>
          <w:w w:val="95"/>
        </w:rPr>
        <w:t>2.3. Trends in Surveillance</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ListParagraph"/>
        <w:numPr>
          <w:ilvl w:val="3"/>
          <w:numId w:val="9"/>
        </w:numPr>
        <w:tabs>
          <w:tab w:pos="1462" w:val="left" w:leader="none"/>
        </w:tabs>
        <w:spacing w:line="266" w:lineRule="auto" w:before="107" w:after="0"/>
        <w:ind w:left="720" w:right="278" w:firstLine="0"/>
        <w:jc w:val="left"/>
        <w:rPr>
          <w:i/>
          <w:sz w:val="20"/>
        </w:rPr>
      </w:pPr>
      <w:r>
        <w:rPr>
          <w:i/>
          <w:color w:val="E36F1E"/>
          <w:sz w:val="20"/>
        </w:rPr>
        <w:t>National</w:t>
      </w:r>
      <w:r>
        <w:rPr>
          <w:i/>
          <w:color w:val="E36F1E"/>
          <w:spacing w:val="-20"/>
          <w:sz w:val="20"/>
        </w:rPr>
        <w:t> </w:t>
      </w:r>
      <w:r>
        <w:rPr>
          <w:i/>
          <w:color w:val="E36F1E"/>
          <w:sz w:val="20"/>
        </w:rPr>
        <w:t>Electronic</w:t>
      </w:r>
      <w:r>
        <w:rPr>
          <w:i/>
          <w:color w:val="E36F1E"/>
          <w:spacing w:val="-20"/>
          <w:sz w:val="20"/>
        </w:rPr>
        <w:t> </w:t>
      </w:r>
      <w:r>
        <w:rPr>
          <w:i/>
          <w:color w:val="E36F1E"/>
          <w:sz w:val="20"/>
        </w:rPr>
        <w:t>Norovirus</w:t>
      </w:r>
      <w:r>
        <w:rPr>
          <w:i/>
          <w:color w:val="E36F1E"/>
          <w:spacing w:val="-20"/>
          <w:sz w:val="20"/>
        </w:rPr>
        <w:t> </w:t>
      </w:r>
      <w:r>
        <w:rPr>
          <w:i/>
          <w:color w:val="E36F1E"/>
          <w:sz w:val="20"/>
        </w:rPr>
        <w:t>Outbreak </w:t>
      </w:r>
      <w:r>
        <w:rPr>
          <w:i/>
          <w:color w:val="E36F1E"/>
          <w:sz w:val="20"/>
        </w:rPr>
        <w:t>Network</w:t>
      </w:r>
    </w:p>
    <w:p>
      <w:pPr>
        <w:pStyle w:val="BodyText"/>
        <w:spacing w:line="266" w:lineRule="auto"/>
        <w:ind w:left="720" w:right="-15"/>
        <w:rPr>
          <w:sz w:val="11"/>
        </w:rPr>
      </w:pPr>
      <w:r>
        <w:rPr>
          <w:color w:val="231F20"/>
          <w:w w:val="105"/>
        </w:rPr>
        <w:t>The National Electronic Norovirus Outbreak Network (CaliciNet) is a network of public health and food regulatory laboratories that submit norovirus sequences identified from outbreaks to a national database. CaliciNet participants perform molecular typing of norovirus strains </w:t>
      </w:r>
      <w:r>
        <w:rPr>
          <w:color w:val="231F20"/>
          <w:spacing w:val="-3"/>
          <w:w w:val="105"/>
        </w:rPr>
        <w:t>by </w:t>
      </w:r>
      <w:r>
        <w:rPr>
          <w:color w:val="231F20"/>
          <w:w w:val="105"/>
        </w:rPr>
        <w:t>using standardized laboratory protocols. The information is used to</w:t>
      </w:r>
      <w:r>
        <w:rPr>
          <w:color w:val="231F20"/>
          <w:spacing w:val="-15"/>
          <w:w w:val="105"/>
        </w:rPr>
        <w:t> </w:t>
      </w:r>
      <w:r>
        <w:rPr>
          <w:color w:val="231F20"/>
          <w:w w:val="105"/>
        </w:rPr>
        <w:t>link</w:t>
      </w:r>
      <w:r>
        <w:rPr>
          <w:color w:val="231F20"/>
          <w:spacing w:val="-15"/>
          <w:w w:val="105"/>
        </w:rPr>
        <w:t> </w:t>
      </w:r>
      <w:r>
        <w:rPr>
          <w:color w:val="231F20"/>
          <w:w w:val="105"/>
        </w:rPr>
        <w:t>norovirus</w:t>
      </w:r>
      <w:r>
        <w:rPr>
          <w:color w:val="231F20"/>
          <w:spacing w:val="-14"/>
          <w:w w:val="105"/>
        </w:rPr>
        <w:t> </w:t>
      </w:r>
      <w:r>
        <w:rPr>
          <w:color w:val="231F20"/>
          <w:w w:val="105"/>
        </w:rPr>
        <w:t>outbreaks</w:t>
      </w:r>
      <w:r>
        <w:rPr>
          <w:color w:val="231F20"/>
          <w:spacing w:val="-15"/>
          <w:w w:val="105"/>
        </w:rPr>
        <w:t> </w:t>
      </w:r>
      <w:r>
        <w:rPr>
          <w:color w:val="231F20"/>
          <w:w w:val="105"/>
        </w:rPr>
        <w:t>that</w:t>
      </w:r>
      <w:r>
        <w:rPr>
          <w:color w:val="231F20"/>
          <w:spacing w:val="-14"/>
          <w:w w:val="105"/>
        </w:rPr>
        <w:t> </w:t>
      </w:r>
      <w:r>
        <w:rPr>
          <w:color w:val="231F20"/>
          <w:w w:val="105"/>
        </w:rPr>
        <w:t>may</w:t>
      </w:r>
      <w:r>
        <w:rPr>
          <w:color w:val="231F20"/>
          <w:spacing w:val="-15"/>
          <w:w w:val="105"/>
        </w:rPr>
        <w:t> </w:t>
      </w:r>
      <w:r>
        <w:rPr>
          <w:color w:val="231F20"/>
          <w:w w:val="105"/>
        </w:rPr>
        <w:t>be</w:t>
      </w:r>
      <w:r>
        <w:rPr>
          <w:color w:val="231F20"/>
          <w:spacing w:val="-14"/>
          <w:w w:val="105"/>
        </w:rPr>
        <w:t> </w:t>
      </w:r>
      <w:r>
        <w:rPr>
          <w:color w:val="231F20"/>
          <w:w w:val="105"/>
        </w:rPr>
        <w:t>caused </w:t>
      </w:r>
      <w:r>
        <w:rPr>
          <w:color w:val="231F20"/>
          <w:spacing w:val="-3"/>
          <w:w w:val="105"/>
        </w:rPr>
        <w:t>by </w:t>
      </w:r>
      <w:r>
        <w:rPr>
          <w:color w:val="231F20"/>
          <w:w w:val="105"/>
        </w:rPr>
        <w:t>common sources (such as food), monitor trends, and identify emerging norovirus strains. As of February 2012, public health laboratories in 25 states </w:t>
      </w:r>
      <w:r>
        <w:rPr>
          <w:color w:val="231F20"/>
          <w:spacing w:val="-3"/>
          <w:w w:val="105"/>
        </w:rPr>
        <w:t>have </w:t>
      </w:r>
      <w:r>
        <w:rPr>
          <w:color w:val="231F20"/>
          <w:w w:val="105"/>
        </w:rPr>
        <w:t>been certified </w:t>
      </w:r>
      <w:r>
        <w:rPr>
          <w:color w:val="231F20"/>
          <w:spacing w:val="-4"/>
          <w:w w:val="105"/>
        </w:rPr>
        <w:t>by </w:t>
      </w:r>
      <w:r>
        <w:rPr>
          <w:color w:val="231F20"/>
          <w:w w:val="105"/>
        </w:rPr>
        <w:t>CDC to participate in</w:t>
      </w:r>
      <w:r>
        <w:rPr>
          <w:color w:val="231F20"/>
          <w:spacing w:val="12"/>
          <w:w w:val="105"/>
        </w:rPr>
        <w:t> </w:t>
      </w:r>
      <w:r>
        <w:rPr>
          <w:color w:val="231F20"/>
          <w:w w:val="105"/>
        </w:rPr>
        <w:t>CaliciNet.</w:t>
      </w:r>
      <w:r>
        <w:rPr>
          <w:color w:val="231F20"/>
          <w:w w:val="105"/>
          <w:position w:val="7"/>
          <w:sz w:val="11"/>
        </w:rPr>
        <w:t>92</w:t>
      </w:r>
    </w:p>
    <w:p>
      <w:pPr>
        <w:pStyle w:val="ListParagraph"/>
        <w:numPr>
          <w:ilvl w:val="3"/>
          <w:numId w:val="9"/>
        </w:numPr>
        <w:tabs>
          <w:tab w:pos="1462" w:val="left" w:leader="none"/>
        </w:tabs>
        <w:spacing w:line="266" w:lineRule="auto" w:before="180" w:after="0"/>
        <w:ind w:left="720" w:right="240" w:firstLine="0"/>
        <w:jc w:val="left"/>
        <w:rPr>
          <w:sz w:val="20"/>
        </w:rPr>
      </w:pPr>
      <w:r>
        <w:rPr>
          <w:i/>
          <w:color w:val="E36F1E"/>
          <w:w w:val="105"/>
          <w:sz w:val="20"/>
        </w:rPr>
        <w:t>Surveillance of  the </w:t>
      </w:r>
      <w:r>
        <w:rPr>
          <w:i/>
          <w:color w:val="E36F1E"/>
          <w:spacing w:val="-3"/>
          <w:w w:val="105"/>
          <w:sz w:val="20"/>
        </w:rPr>
        <w:t>Food </w:t>
      </w:r>
      <w:r>
        <w:rPr>
          <w:i/>
          <w:color w:val="E36F1E"/>
          <w:w w:val="105"/>
          <w:sz w:val="20"/>
        </w:rPr>
        <w:t>Supply </w:t>
      </w:r>
      <w:r>
        <w:rPr>
          <w:color w:val="231F20"/>
          <w:spacing w:val="-3"/>
          <w:w w:val="105"/>
          <w:sz w:val="20"/>
        </w:rPr>
        <w:t>Testing </w:t>
      </w:r>
      <w:r>
        <w:rPr>
          <w:color w:val="231F20"/>
          <w:w w:val="105"/>
          <w:sz w:val="20"/>
        </w:rPr>
        <w:t>of the food supply and associated environments is performed </w:t>
      </w:r>
      <w:r>
        <w:rPr>
          <w:color w:val="231F20"/>
          <w:spacing w:val="-3"/>
          <w:w w:val="105"/>
          <w:sz w:val="20"/>
        </w:rPr>
        <w:t>by </w:t>
      </w:r>
      <w:r>
        <w:rPr>
          <w:color w:val="231F20"/>
          <w:w w:val="105"/>
          <w:sz w:val="20"/>
        </w:rPr>
        <w:t>local, state, and</w:t>
      </w:r>
      <w:r>
        <w:rPr>
          <w:color w:val="231F20"/>
          <w:spacing w:val="-12"/>
          <w:w w:val="105"/>
          <w:sz w:val="20"/>
        </w:rPr>
        <w:t> </w:t>
      </w:r>
      <w:r>
        <w:rPr>
          <w:color w:val="231F20"/>
          <w:w w:val="105"/>
          <w:sz w:val="20"/>
        </w:rPr>
        <w:t>federal</w:t>
      </w:r>
      <w:r>
        <w:rPr>
          <w:color w:val="231F20"/>
          <w:spacing w:val="-12"/>
          <w:w w:val="105"/>
          <w:sz w:val="20"/>
        </w:rPr>
        <w:t> </w:t>
      </w:r>
      <w:r>
        <w:rPr>
          <w:color w:val="231F20"/>
          <w:w w:val="105"/>
          <w:sz w:val="20"/>
        </w:rPr>
        <w:t>regulatory</w:t>
      </w:r>
      <w:r>
        <w:rPr>
          <w:color w:val="231F20"/>
          <w:spacing w:val="-12"/>
          <w:w w:val="105"/>
          <w:sz w:val="20"/>
        </w:rPr>
        <w:t> </w:t>
      </w:r>
      <w:r>
        <w:rPr>
          <w:color w:val="231F20"/>
          <w:w w:val="105"/>
          <w:sz w:val="20"/>
        </w:rPr>
        <w:t>officials</w:t>
      </w:r>
      <w:r>
        <w:rPr>
          <w:color w:val="231F20"/>
          <w:spacing w:val="-12"/>
          <w:w w:val="105"/>
          <w:sz w:val="20"/>
        </w:rPr>
        <w:t> </w:t>
      </w:r>
      <w:r>
        <w:rPr>
          <w:color w:val="231F20"/>
          <w:w w:val="105"/>
          <w:sz w:val="20"/>
        </w:rPr>
        <w:t>and</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food</w:t>
      </w:r>
    </w:p>
    <w:p>
      <w:pPr>
        <w:pStyle w:val="BodyText"/>
        <w:spacing w:line="266" w:lineRule="auto"/>
        <w:ind w:left="720" w:right="57"/>
      </w:pPr>
      <w:r>
        <w:rPr>
          <w:color w:val="231F20"/>
          <w:spacing w:val="-3"/>
          <w:w w:val="105"/>
        </w:rPr>
        <w:t>industry.</w:t>
      </w:r>
      <w:r>
        <w:rPr>
          <w:color w:val="231F20"/>
          <w:spacing w:val="-11"/>
          <w:w w:val="105"/>
        </w:rPr>
        <w:t> </w:t>
      </w:r>
      <w:r>
        <w:rPr>
          <w:color w:val="231F20"/>
          <w:spacing w:val="-5"/>
          <w:w w:val="105"/>
        </w:rPr>
        <w:t>Food</w:t>
      </w:r>
      <w:r>
        <w:rPr>
          <w:color w:val="231F20"/>
          <w:spacing w:val="-11"/>
          <w:w w:val="105"/>
        </w:rPr>
        <w:t> </w:t>
      </w:r>
      <w:r>
        <w:rPr>
          <w:color w:val="231F20"/>
          <w:w w:val="105"/>
        </w:rPr>
        <w:t>testing</w:t>
      </w:r>
      <w:r>
        <w:rPr>
          <w:color w:val="231F20"/>
          <w:spacing w:val="-12"/>
          <w:w w:val="105"/>
        </w:rPr>
        <w:t> </w:t>
      </w:r>
      <w:r>
        <w:rPr>
          <w:color w:val="231F20"/>
          <w:w w:val="105"/>
        </w:rPr>
        <w:t>is</w:t>
      </w:r>
      <w:r>
        <w:rPr>
          <w:color w:val="231F20"/>
          <w:spacing w:val="-12"/>
          <w:w w:val="105"/>
        </w:rPr>
        <w:t> </w:t>
      </w:r>
      <w:r>
        <w:rPr>
          <w:color w:val="231F20"/>
          <w:w w:val="105"/>
        </w:rPr>
        <w:t>a</w:t>
      </w:r>
      <w:r>
        <w:rPr>
          <w:color w:val="231F20"/>
          <w:spacing w:val="-11"/>
          <w:w w:val="105"/>
        </w:rPr>
        <w:t> </w:t>
      </w:r>
      <w:r>
        <w:rPr>
          <w:color w:val="231F20"/>
          <w:w w:val="105"/>
        </w:rPr>
        <w:t>tool</w:t>
      </w:r>
      <w:r>
        <w:rPr>
          <w:color w:val="231F20"/>
          <w:spacing w:val="-12"/>
          <w:w w:val="105"/>
        </w:rPr>
        <w:t> </w:t>
      </w:r>
      <w:r>
        <w:rPr>
          <w:color w:val="231F20"/>
          <w:w w:val="105"/>
        </w:rPr>
        <w:t>used</w:t>
      </w:r>
      <w:r>
        <w:rPr>
          <w:color w:val="231F20"/>
          <w:spacing w:val="-11"/>
          <w:w w:val="105"/>
        </w:rPr>
        <w:t> </w:t>
      </w:r>
      <w:r>
        <w:rPr>
          <w:color w:val="231F20"/>
          <w:w w:val="105"/>
        </w:rPr>
        <w:t>to</w:t>
      </w:r>
      <w:r>
        <w:rPr>
          <w:color w:val="231F20"/>
          <w:spacing w:val="-12"/>
          <w:w w:val="105"/>
        </w:rPr>
        <w:t> </w:t>
      </w:r>
      <w:r>
        <w:rPr>
          <w:color w:val="231F20"/>
          <w:w w:val="105"/>
        </w:rPr>
        <w:t>validate that an establishment’s food safety system is functioning</w:t>
      </w:r>
      <w:r>
        <w:rPr>
          <w:color w:val="231F20"/>
          <w:spacing w:val="-12"/>
          <w:w w:val="105"/>
        </w:rPr>
        <w:t> </w:t>
      </w:r>
      <w:r>
        <w:rPr>
          <w:color w:val="231F20"/>
          <w:w w:val="105"/>
        </w:rPr>
        <w:t>adequately</w:t>
      </w:r>
      <w:r>
        <w:rPr>
          <w:color w:val="231F20"/>
          <w:spacing w:val="-12"/>
          <w:w w:val="105"/>
        </w:rPr>
        <w:t> </w:t>
      </w:r>
      <w:r>
        <w:rPr>
          <w:color w:val="231F20"/>
          <w:w w:val="105"/>
        </w:rPr>
        <w:t>to</w:t>
      </w:r>
      <w:r>
        <w:rPr>
          <w:color w:val="231F20"/>
          <w:spacing w:val="-12"/>
          <w:w w:val="105"/>
        </w:rPr>
        <w:t> </w:t>
      </w:r>
      <w:r>
        <w:rPr>
          <w:color w:val="231F20"/>
          <w:w w:val="105"/>
        </w:rPr>
        <w:t>address</w:t>
      </w:r>
      <w:r>
        <w:rPr>
          <w:color w:val="231F20"/>
          <w:spacing w:val="-12"/>
          <w:w w:val="105"/>
        </w:rPr>
        <w:t> </w:t>
      </w:r>
      <w:r>
        <w:rPr>
          <w:color w:val="231F20"/>
          <w:w w:val="105"/>
        </w:rPr>
        <w:t>hazards</w:t>
      </w:r>
    </w:p>
    <w:p>
      <w:pPr>
        <w:pStyle w:val="BodyText"/>
        <w:spacing w:line="266" w:lineRule="auto"/>
        <w:ind w:left="720" w:right="354"/>
      </w:pPr>
      <w:r>
        <w:rPr>
          <w:color w:val="231F20"/>
          <w:w w:val="105"/>
        </w:rPr>
        <w:t>in food production and manufacturing and</w:t>
      </w:r>
      <w:r>
        <w:rPr>
          <w:color w:val="231F20"/>
          <w:spacing w:val="-22"/>
          <w:w w:val="105"/>
        </w:rPr>
        <w:t> </w:t>
      </w:r>
      <w:r>
        <w:rPr>
          <w:color w:val="231F20"/>
          <w:w w:val="105"/>
        </w:rPr>
        <w:t>prevent</w:t>
      </w:r>
      <w:r>
        <w:rPr>
          <w:color w:val="231F20"/>
          <w:spacing w:val="-22"/>
          <w:w w:val="105"/>
        </w:rPr>
        <w:t> </w:t>
      </w:r>
      <w:r>
        <w:rPr>
          <w:color w:val="231F20"/>
          <w:w w:val="105"/>
        </w:rPr>
        <w:t>foodborne</w:t>
      </w:r>
      <w:r>
        <w:rPr>
          <w:color w:val="231F20"/>
          <w:spacing w:val="-21"/>
          <w:w w:val="105"/>
        </w:rPr>
        <w:t> </w:t>
      </w:r>
      <w:r>
        <w:rPr>
          <w:color w:val="231F20"/>
          <w:w w:val="105"/>
        </w:rPr>
        <w:t>illnesses.</w:t>
      </w:r>
      <w:r>
        <w:rPr>
          <w:color w:val="231F20"/>
          <w:spacing w:val="-21"/>
          <w:w w:val="105"/>
        </w:rPr>
        <w:t> </w:t>
      </w:r>
      <w:r>
        <w:rPr>
          <w:color w:val="231F20"/>
          <w:spacing w:val="-5"/>
          <w:w w:val="105"/>
        </w:rPr>
        <w:t>Food</w:t>
      </w:r>
      <w:r>
        <w:rPr>
          <w:color w:val="231F20"/>
          <w:spacing w:val="-21"/>
          <w:w w:val="105"/>
        </w:rPr>
        <w:t> </w:t>
      </w:r>
      <w:r>
        <w:rPr>
          <w:color w:val="231F20"/>
          <w:w w:val="105"/>
        </w:rPr>
        <w:t>and</w:t>
      </w:r>
    </w:p>
    <w:p>
      <w:pPr>
        <w:pStyle w:val="BodyText"/>
        <w:spacing w:line="266" w:lineRule="auto"/>
        <w:ind w:left="720" w:right="-19"/>
      </w:pPr>
      <w:r>
        <w:rPr>
          <w:color w:val="231F20"/>
          <w:w w:val="105"/>
        </w:rPr>
        <w:t>environmental testing data, including PFGE subtyping data, can be used to inform hypothesis generation during outbreaks. </w:t>
      </w:r>
      <w:r>
        <w:rPr>
          <w:color w:val="231F20"/>
          <w:spacing w:val="-5"/>
          <w:w w:val="105"/>
        </w:rPr>
        <w:t>Food </w:t>
      </w:r>
      <w:r>
        <w:rPr>
          <w:color w:val="231F20"/>
          <w:w w:val="105"/>
        </w:rPr>
        <w:t>testing data also can be used to estimate the fraction of selected foodborne illnesses that are caused </w:t>
      </w:r>
      <w:r>
        <w:rPr>
          <w:color w:val="231F20"/>
          <w:spacing w:val="-3"/>
          <w:w w:val="105"/>
        </w:rPr>
        <w:t>by </w:t>
      </w:r>
      <w:r>
        <w:rPr>
          <w:color w:val="231F20"/>
          <w:w w:val="105"/>
        </w:rPr>
        <w:t>specific food sources, to assess changes in food contamination </w:t>
      </w:r>
      <w:r>
        <w:rPr>
          <w:color w:val="231F20"/>
          <w:spacing w:val="-3"/>
          <w:w w:val="105"/>
        </w:rPr>
        <w:t>over </w:t>
      </w:r>
      <w:r>
        <w:rPr>
          <w:color w:val="231F20"/>
          <w:w w:val="105"/>
        </w:rPr>
        <w:t>time, and to assess the success of regulatory measures.</w:t>
      </w:r>
    </w:p>
    <w:p>
      <w:pPr>
        <w:pStyle w:val="BodyText"/>
        <w:spacing w:line="266" w:lineRule="auto" w:before="180"/>
        <w:ind w:left="720" w:right="301"/>
      </w:pPr>
      <w:r>
        <w:rPr>
          <w:color w:val="231F20"/>
          <w:w w:val="105"/>
        </w:rPr>
        <w:t>USDA-FSIS food laboratories maintain ISO 17025 accreditation, the international standard for laboratory quality systems.</w:t>
      </w:r>
    </w:p>
    <w:p>
      <w:pPr>
        <w:pStyle w:val="BodyText"/>
        <w:spacing w:line="266" w:lineRule="auto"/>
        <w:ind w:left="720" w:right="30"/>
      </w:pPr>
      <w:r>
        <w:rPr>
          <w:color w:val="231F20"/>
          <w:spacing w:val="-5"/>
          <w:w w:val="105"/>
        </w:rPr>
        <w:t>FDA </w:t>
      </w:r>
      <w:r>
        <w:rPr>
          <w:color w:val="231F20"/>
          <w:w w:val="105"/>
        </w:rPr>
        <w:t>is leading an effort to bring state manufactured</w:t>
      </w:r>
      <w:r>
        <w:rPr>
          <w:color w:val="231F20"/>
          <w:spacing w:val="-20"/>
          <w:w w:val="105"/>
        </w:rPr>
        <w:t> </w:t>
      </w:r>
      <w:r>
        <w:rPr>
          <w:color w:val="231F20"/>
          <w:w w:val="105"/>
        </w:rPr>
        <w:t>food</w:t>
      </w:r>
      <w:r>
        <w:rPr>
          <w:color w:val="231F20"/>
          <w:spacing w:val="-19"/>
          <w:w w:val="105"/>
        </w:rPr>
        <w:t> </w:t>
      </w:r>
      <w:r>
        <w:rPr>
          <w:color w:val="231F20"/>
          <w:w w:val="105"/>
        </w:rPr>
        <w:t>regulatory</w:t>
      </w:r>
      <w:r>
        <w:rPr>
          <w:color w:val="231F20"/>
          <w:spacing w:val="-20"/>
          <w:w w:val="105"/>
        </w:rPr>
        <w:t> </w:t>
      </w:r>
      <w:r>
        <w:rPr>
          <w:color w:val="231F20"/>
          <w:w w:val="105"/>
        </w:rPr>
        <w:t>microbiological and chemical food-testing laboratories under ISO</w:t>
      </w:r>
      <w:r>
        <w:rPr>
          <w:color w:val="231F20"/>
          <w:spacing w:val="-11"/>
          <w:w w:val="105"/>
        </w:rPr>
        <w:t> </w:t>
      </w:r>
      <w:r>
        <w:rPr>
          <w:color w:val="231F20"/>
          <w:w w:val="105"/>
        </w:rPr>
        <w:t>17025</w:t>
      </w:r>
      <w:r>
        <w:rPr>
          <w:color w:val="231F20"/>
          <w:spacing w:val="-11"/>
          <w:w w:val="105"/>
        </w:rPr>
        <w:t> </w:t>
      </w:r>
      <w:r>
        <w:rPr>
          <w:color w:val="231F20"/>
          <w:w w:val="105"/>
        </w:rPr>
        <w:t>accreditation</w:t>
      </w:r>
      <w:r>
        <w:rPr>
          <w:color w:val="231F20"/>
          <w:spacing w:val="-11"/>
          <w:w w:val="105"/>
        </w:rPr>
        <w:t> </w:t>
      </w:r>
      <w:r>
        <w:rPr>
          <w:color w:val="231F20"/>
          <w:w w:val="105"/>
        </w:rPr>
        <w:t>to</w:t>
      </w:r>
      <w:r>
        <w:rPr>
          <w:color w:val="231F20"/>
          <w:spacing w:val="-11"/>
          <w:w w:val="105"/>
        </w:rPr>
        <w:t> </w:t>
      </w:r>
      <w:r>
        <w:rPr>
          <w:color w:val="231F20"/>
          <w:w w:val="105"/>
        </w:rPr>
        <w:t>enhance</w:t>
      </w:r>
      <w:r>
        <w:rPr>
          <w:color w:val="231F20"/>
          <w:spacing w:val="-11"/>
          <w:w w:val="105"/>
        </w:rPr>
        <w:t> </w:t>
      </w:r>
      <w:r>
        <w:rPr>
          <w:color w:val="231F20"/>
          <w:w w:val="105"/>
        </w:rPr>
        <w:t>efforts</w:t>
      </w:r>
    </w:p>
    <w:p>
      <w:pPr>
        <w:pStyle w:val="BodyText"/>
        <w:spacing w:line="266" w:lineRule="auto"/>
        <w:ind w:left="720" w:right="-1"/>
      </w:pPr>
      <w:r>
        <w:rPr>
          <w:color w:val="231F20"/>
          <w:w w:val="105"/>
        </w:rPr>
        <w:t>to protect the food supply. Data generated by accredited laboratories will be made available for consideration during FDA enforcement actions as well as for surveillance purposes and during response to foodborne disease</w:t>
      </w:r>
    </w:p>
    <w:p>
      <w:pPr>
        <w:pStyle w:val="BodyText"/>
        <w:spacing w:line="266" w:lineRule="auto" w:before="108"/>
        <w:ind w:left="371" w:right="1374"/>
        <w:rPr>
          <w:sz w:val="11"/>
        </w:rPr>
      </w:pPr>
      <w:r>
        <w:rPr/>
        <w:br w:type="column"/>
      </w:r>
      <w:r>
        <w:rPr>
          <w:color w:val="231F20"/>
          <w:w w:val="105"/>
        </w:rPr>
        <w:t>outbreaks through the Electronic Laboratory Exchange Network (eLEXNET). Laboratory accreditation will also assist state manufactured food regulatory programs in achieving conformance with the Manufactured Food Regulatory Program Standards (MFRPS).</w:t>
      </w:r>
      <w:r>
        <w:rPr>
          <w:color w:val="231F20"/>
          <w:w w:val="105"/>
          <w:position w:val="7"/>
          <w:sz w:val="11"/>
        </w:rPr>
        <w:t>93</w:t>
      </w:r>
    </w:p>
    <w:p>
      <w:pPr>
        <w:pStyle w:val="ListParagraph"/>
        <w:numPr>
          <w:ilvl w:val="2"/>
          <w:numId w:val="10"/>
        </w:numPr>
        <w:tabs>
          <w:tab w:pos="928" w:val="left" w:leader="none"/>
        </w:tabs>
        <w:spacing w:line="254" w:lineRule="auto" w:before="159" w:after="0"/>
        <w:ind w:left="371" w:right="2379" w:firstLine="0"/>
        <w:jc w:val="left"/>
        <w:rPr>
          <w:rFonts w:ascii="Lucida Sans"/>
          <w:sz w:val="20"/>
        </w:rPr>
      </w:pPr>
      <w:r>
        <w:rPr/>
        <w:pict>
          <v:rect style="position:absolute;margin-left:459pt;margin-top:-53.098843pt;width:45pt;height:18pt;mso-position-horizontal-relative:page;mso-position-vertical-relative:paragraph;z-index:3040" filled="true" fillcolor="#0079c1" stroked="false">
            <v:fill type="solid"/>
            <w10:wrap type="none"/>
          </v:rect>
        </w:pict>
      </w:r>
      <w:r>
        <w:rPr/>
        <w:pict>
          <v:line style="position:absolute;mso-position-horizontal-relative:page;mso-position-vertical-relative:paragraph;z-index:3064" from="450.5pt,-53.099243pt" to="450.5pt,188.798757pt" stroked="true" strokeweight="1pt" strokecolor="#0079c1">
            <v:stroke dashstyle="solid"/>
            <w10:wrap type="none"/>
          </v:line>
        </w:pict>
      </w:r>
      <w:r>
        <w:rPr/>
        <w:pict>
          <v:shape style="position:absolute;margin-left:465.014313pt;margin-top:-31.102442pt;width:22.9pt;height:222.55pt;mso-position-horizontal-relative:page;mso-position-vertical-relative:paragraph;z-index:3088"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48.348244pt;width:15.85pt;height:8.5pt;mso-position-horizontal-relative:page;mso-position-vertical-relative:paragraph;z-index:3112"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rFonts w:ascii="Lucida Sans"/>
          <w:color w:val="1C3E94"/>
          <w:w w:val="95"/>
          <w:sz w:val="20"/>
        </w:rPr>
        <w:t>Quality</w:t>
      </w:r>
      <w:r>
        <w:rPr>
          <w:rFonts w:ascii="Lucida Sans"/>
          <w:color w:val="1C3E94"/>
          <w:spacing w:val="-24"/>
          <w:w w:val="95"/>
          <w:sz w:val="20"/>
        </w:rPr>
        <w:t> </w:t>
      </w:r>
      <w:r>
        <w:rPr>
          <w:rFonts w:ascii="Lucida Sans"/>
          <w:color w:val="1C3E94"/>
          <w:w w:val="95"/>
          <w:sz w:val="20"/>
        </w:rPr>
        <w:t>and</w:t>
      </w:r>
      <w:r>
        <w:rPr>
          <w:rFonts w:ascii="Lucida Sans"/>
          <w:color w:val="1C3E94"/>
          <w:spacing w:val="-24"/>
          <w:w w:val="95"/>
          <w:sz w:val="20"/>
        </w:rPr>
        <w:t> </w:t>
      </w:r>
      <w:r>
        <w:rPr>
          <w:rFonts w:ascii="Lucida Sans"/>
          <w:color w:val="1C3E94"/>
          <w:w w:val="95"/>
          <w:sz w:val="20"/>
        </w:rPr>
        <w:t>Usefulness</w:t>
      </w:r>
      <w:r>
        <w:rPr>
          <w:rFonts w:ascii="Lucida Sans"/>
          <w:color w:val="1C3E94"/>
          <w:spacing w:val="-24"/>
          <w:w w:val="95"/>
          <w:sz w:val="20"/>
        </w:rPr>
        <w:t> </w:t>
      </w:r>
      <w:r>
        <w:rPr>
          <w:rFonts w:ascii="Lucida Sans"/>
          <w:color w:val="1C3E94"/>
          <w:w w:val="95"/>
          <w:sz w:val="20"/>
        </w:rPr>
        <w:t>of Surveillance</w:t>
      </w:r>
      <w:r>
        <w:rPr>
          <w:rFonts w:ascii="Lucida Sans"/>
          <w:color w:val="1C3E94"/>
          <w:spacing w:val="-28"/>
          <w:w w:val="95"/>
          <w:sz w:val="20"/>
        </w:rPr>
        <w:t> </w:t>
      </w:r>
      <w:r>
        <w:rPr>
          <w:rFonts w:ascii="Lucida Sans"/>
          <w:color w:val="1C3E94"/>
          <w:w w:val="95"/>
          <w:sz w:val="20"/>
        </w:rPr>
        <w:t>Data</w:t>
      </w:r>
    </w:p>
    <w:p>
      <w:pPr>
        <w:pStyle w:val="BodyText"/>
        <w:spacing w:before="1"/>
        <w:rPr>
          <w:rFonts w:ascii="Lucida Sans"/>
          <w:sz w:val="17"/>
        </w:rPr>
      </w:pPr>
    </w:p>
    <w:p>
      <w:pPr>
        <w:pStyle w:val="BodyText"/>
        <w:spacing w:line="266" w:lineRule="auto"/>
        <w:ind w:left="371" w:right="1457"/>
      </w:pPr>
      <w:r>
        <w:rPr>
          <w:color w:val="231F20"/>
          <w:w w:val="105"/>
        </w:rPr>
        <w:t>Surveillance</w:t>
      </w:r>
      <w:r>
        <w:rPr>
          <w:color w:val="231F20"/>
          <w:spacing w:val="-18"/>
          <w:w w:val="105"/>
        </w:rPr>
        <w:t> </w:t>
      </w:r>
      <w:r>
        <w:rPr>
          <w:color w:val="231F20"/>
          <w:w w:val="105"/>
        </w:rPr>
        <w:t>plays</w:t>
      </w:r>
      <w:r>
        <w:rPr>
          <w:color w:val="231F20"/>
          <w:spacing w:val="-18"/>
          <w:w w:val="105"/>
        </w:rPr>
        <w:t> </w:t>
      </w:r>
      <w:r>
        <w:rPr>
          <w:color w:val="231F20"/>
          <w:w w:val="105"/>
        </w:rPr>
        <w:t>a</w:t>
      </w:r>
      <w:r>
        <w:rPr>
          <w:color w:val="231F20"/>
          <w:spacing w:val="-18"/>
          <w:w w:val="105"/>
        </w:rPr>
        <w:t> </w:t>
      </w:r>
      <w:r>
        <w:rPr>
          <w:color w:val="231F20"/>
          <w:w w:val="105"/>
        </w:rPr>
        <w:t>critical</w:t>
      </w:r>
      <w:r>
        <w:rPr>
          <w:color w:val="231F20"/>
          <w:spacing w:val="-18"/>
          <w:w w:val="105"/>
        </w:rPr>
        <w:t> </w:t>
      </w:r>
      <w:r>
        <w:rPr>
          <w:color w:val="231F20"/>
          <w:w w:val="105"/>
        </w:rPr>
        <w:t>role</w:t>
      </w:r>
      <w:r>
        <w:rPr>
          <w:color w:val="231F20"/>
          <w:spacing w:val="-18"/>
          <w:w w:val="105"/>
        </w:rPr>
        <w:t> </w:t>
      </w:r>
      <w:r>
        <w:rPr>
          <w:color w:val="231F20"/>
          <w:w w:val="105"/>
        </w:rPr>
        <w:t>in</w:t>
      </w:r>
      <w:r>
        <w:rPr>
          <w:color w:val="231F20"/>
          <w:spacing w:val="-18"/>
          <w:w w:val="105"/>
        </w:rPr>
        <w:t> </w:t>
      </w:r>
      <w:r>
        <w:rPr>
          <w:color w:val="231F20"/>
          <w:w w:val="105"/>
        </w:rPr>
        <w:t>detecting</w:t>
      </w:r>
      <w:r>
        <w:rPr>
          <w:color w:val="231F20"/>
          <w:spacing w:val="-18"/>
          <w:w w:val="105"/>
        </w:rPr>
        <w:t> </w:t>
      </w:r>
      <w:r>
        <w:rPr>
          <w:color w:val="231F20"/>
          <w:w w:val="105"/>
        </w:rPr>
        <w:t>and </w:t>
      </w:r>
      <w:r>
        <w:rPr>
          <w:color w:val="231F20"/>
        </w:rPr>
        <w:t>controlling foodborne diseases and</w:t>
      </w:r>
      <w:r>
        <w:rPr>
          <w:color w:val="231F20"/>
          <w:spacing w:val="-36"/>
        </w:rPr>
        <w:t> </w:t>
      </w:r>
      <w:r>
        <w:rPr>
          <w:color w:val="231F20"/>
        </w:rPr>
        <w:t>outbreaks.</w:t>
      </w:r>
    </w:p>
    <w:p>
      <w:pPr>
        <w:pStyle w:val="BodyText"/>
        <w:spacing w:line="266" w:lineRule="auto"/>
        <w:ind w:left="371" w:right="1701"/>
      </w:pPr>
      <w:r>
        <w:rPr>
          <w:color w:val="231F20"/>
        </w:rPr>
        <w:t>Surveillance data can be used to examine long-term patterns of specific foodborne diseases, to characterize groups at greatest risk for these diseases, and to identify sudden changes in disease occurrence that suggest an outbreak or environmental hazard that needs</w:t>
      </w:r>
    </w:p>
    <w:p>
      <w:pPr>
        <w:pStyle w:val="BodyText"/>
        <w:spacing w:line="266" w:lineRule="auto"/>
        <w:ind w:left="371" w:right="1546"/>
      </w:pPr>
      <w:r>
        <w:rPr>
          <w:color w:val="231F20"/>
        </w:rPr>
        <w:t>investigation. Surveillance data can provide the basis for an understanding of foodborne illness in the community and how best to use limited resources to address problems associated with foodborne illness. Surveillance data can help generate hypotheses about specific foodborne diseases and provide clues about the problem for exploration through in-depth studies.</w:t>
      </w:r>
    </w:p>
    <w:p>
      <w:pPr>
        <w:pStyle w:val="BodyText"/>
        <w:spacing w:line="266" w:lineRule="auto"/>
        <w:ind w:left="371" w:right="1736"/>
      </w:pPr>
      <w:r>
        <w:rPr>
          <w:color w:val="231F20"/>
        </w:rPr>
        <w:t>Surveillance data can identify contributing factors and environmental antecedents to foodborne disease outbreaks, which in turn can be used to develop preventive controls and thereby reduce the burden of foodborne disease. Surveillance data also can be used to</w:t>
      </w:r>
    </w:p>
    <w:p>
      <w:pPr>
        <w:pStyle w:val="BodyText"/>
        <w:spacing w:line="266" w:lineRule="auto"/>
        <w:ind w:left="371" w:right="1428"/>
      </w:pPr>
      <w:r>
        <w:rPr>
          <w:color w:val="231F20"/>
        </w:rPr>
        <w:t>evaluate the effectiveness of interventions by the food industry and public health and regulatory agencies. Although surveillance data are of great utility, they are far short of perfect, and their shortcomings often compromise their utility.</w:t>
      </w:r>
    </w:p>
    <w:p>
      <w:pPr>
        <w:pStyle w:val="ListParagraph"/>
        <w:numPr>
          <w:ilvl w:val="3"/>
          <w:numId w:val="10"/>
        </w:numPr>
        <w:tabs>
          <w:tab w:pos="1014" w:val="left" w:leader="none"/>
        </w:tabs>
        <w:spacing w:line="266" w:lineRule="auto" w:before="180" w:after="0"/>
        <w:ind w:left="371" w:right="1741" w:firstLine="0"/>
        <w:jc w:val="left"/>
        <w:rPr>
          <w:i/>
          <w:sz w:val="20"/>
        </w:rPr>
      </w:pPr>
      <w:r>
        <w:rPr>
          <w:i/>
          <w:color w:val="E36F1E"/>
          <w:w w:val="105"/>
          <w:sz w:val="20"/>
        </w:rPr>
        <w:t>Completeness of detection and reporting</w:t>
      </w:r>
      <w:r>
        <w:rPr>
          <w:i/>
          <w:color w:val="E36F1E"/>
          <w:spacing w:val="-39"/>
          <w:w w:val="105"/>
          <w:sz w:val="20"/>
        </w:rPr>
        <w:t> </w:t>
      </w:r>
      <w:r>
        <w:rPr>
          <w:i/>
          <w:color w:val="E36F1E"/>
          <w:w w:val="105"/>
          <w:sz w:val="20"/>
        </w:rPr>
        <w:t>of </w:t>
      </w:r>
      <w:r>
        <w:rPr>
          <w:i/>
          <w:color w:val="E36F1E"/>
          <w:w w:val="105"/>
          <w:sz w:val="20"/>
        </w:rPr>
        <w:t>foodborne</w:t>
      </w:r>
      <w:r>
        <w:rPr>
          <w:i/>
          <w:color w:val="E36F1E"/>
          <w:spacing w:val="-14"/>
          <w:w w:val="105"/>
          <w:sz w:val="20"/>
        </w:rPr>
        <w:t> </w:t>
      </w:r>
      <w:r>
        <w:rPr>
          <w:i/>
          <w:color w:val="E36F1E"/>
          <w:w w:val="105"/>
          <w:sz w:val="20"/>
        </w:rPr>
        <w:t>diseases</w:t>
      </w:r>
    </w:p>
    <w:p>
      <w:pPr>
        <w:pStyle w:val="BodyText"/>
        <w:spacing w:line="266" w:lineRule="auto"/>
        <w:ind w:left="371" w:right="1457"/>
      </w:pPr>
      <w:r>
        <w:rPr>
          <w:color w:val="231F20"/>
        </w:rPr>
        <w:t>Although national capacity for detection and surveillance of foodborne disease has improved considerably in the past 20 years,</w:t>
      </w:r>
      <w:r>
        <w:rPr>
          <w:color w:val="231F20"/>
          <w:position w:val="7"/>
          <w:sz w:val="11"/>
        </w:rPr>
        <w:t>94 </w:t>
      </w:r>
      <w:r>
        <w:rPr>
          <w:color w:val="231F20"/>
        </w:rPr>
        <w:t>for a number of reasons, surveillance statistics reflect only a fraction of cases: (a) some people do not seek medical attention for vomiting or diarrhea of limited duration or do not seek care because</w:t>
      </w:r>
    </w:p>
    <w:p>
      <w:pPr>
        <w:spacing w:after="0" w:line="266" w:lineRule="auto"/>
        <w:sectPr>
          <w:type w:val="continuous"/>
          <w:pgSz w:w="10080" w:h="14400"/>
          <w:pgMar w:top="0" w:bottom="360" w:left="0" w:right="0"/>
          <w:cols w:num="2" w:equalWidth="0">
            <w:col w:w="4449" w:space="40"/>
            <w:col w:w="5591"/>
          </w:cols>
        </w:sectPr>
      </w:pPr>
    </w:p>
    <w:p>
      <w:pPr>
        <w:pStyle w:val="BodyText"/>
        <w:spacing w:before="8"/>
        <w:rPr>
          <w:sz w:val="10"/>
        </w:rPr>
      </w:pPr>
    </w:p>
    <w:p>
      <w:pPr>
        <w:pStyle w:val="Heading1"/>
        <w:ind w:left="1440"/>
      </w:pPr>
      <w:r>
        <w:rPr/>
        <w:pict>
          <v:line style="position:absolute;mso-position-horizontal-relative:page;mso-position-vertical-relative:paragraph;z-index:3136;mso-wrap-distance-left:0;mso-wrap-distance-right:0" from="72pt,23.995163pt" to="468pt,23.995163pt" stroked="true" strokeweight=".5pt" strokecolor="#00a94f">
            <v:stroke dashstyle="solid"/>
            <w10:wrap type="topAndBottom"/>
          </v:line>
        </w:pict>
      </w:r>
      <w:r>
        <w:rPr>
          <w:color w:val="00A94F"/>
          <w:w w:val="95"/>
        </w:rPr>
        <w:t>2.3. Trends in Surveillance</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150"/>
      </w:pPr>
      <w:r>
        <w:rPr/>
        <w:pict>
          <v:rect style="position:absolute;margin-left:0pt;margin-top:27.299353pt;width:45pt;height:18pt;mso-position-horizontal-relative:page;mso-position-vertical-relative:paragraph;z-index:3160" filled="true" fillcolor="#0079c1" stroked="false">
            <v:fill type="solid"/>
            <w10:wrap type="none"/>
          </v:rect>
        </w:pict>
      </w:r>
      <w:r>
        <w:rPr/>
        <w:pict>
          <v:line style="position:absolute;mso-position-horizontal-relative:page;mso-position-vertical-relative:paragraph;z-index:3184" from="54.5pt,27.300953pt" to="54.5pt,269.198953pt" stroked="true" strokeweight="1pt" strokecolor="#0079c1">
            <v:stroke dashstyle="solid"/>
            <w10:wrap type="none"/>
          </v:line>
        </w:pict>
      </w:r>
      <w:r>
        <w:rPr/>
        <w:pict>
          <v:shape style="position:absolute;margin-left:16.131701pt;margin-top:48.847244pt;width:22.9pt;height:222.55pt;mso-position-horizontal-relative:page;mso-position-vertical-relative:paragraph;z-index:3280"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32.095806pt;width:15.85pt;height:8.5pt;mso-position-horizontal-relative:page;mso-position-vertical-relative:paragraph;z-index:3304"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rPr>
        <w:t>they lack health-care coverage; (b) health-care providers frequently do not obtain diagnostic tests</w:t>
      </w:r>
      <w:r>
        <w:rPr>
          <w:color w:val="231F20"/>
          <w:spacing w:val="-14"/>
        </w:rPr>
        <w:t> </w:t>
      </w:r>
      <w:r>
        <w:rPr>
          <w:color w:val="231F20"/>
        </w:rPr>
        <w:t>for</w:t>
      </w:r>
      <w:r>
        <w:rPr>
          <w:color w:val="231F20"/>
          <w:spacing w:val="-14"/>
        </w:rPr>
        <w:t> </w:t>
      </w:r>
      <w:r>
        <w:rPr>
          <w:color w:val="231F20"/>
        </w:rPr>
        <w:t>illnesses</w:t>
      </w:r>
      <w:r>
        <w:rPr>
          <w:color w:val="231F20"/>
          <w:spacing w:val="-14"/>
        </w:rPr>
        <w:t> </w:t>
      </w:r>
      <w:r>
        <w:rPr>
          <w:color w:val="231F20"/>
        </w:rPr>
        <w:t>likely</w:t>
      </w:r>
      <w:r>
        <w:rPr>
          <w:color w:val="231F20"/>
          <w:spacing w:val="-14"/>
        </w:rPr>
        <w:t> </w:t>
      </w:r>
      <w:r>
        <w:rPr>
          <w:color w:val="231F20"/>
        </w:rPr>
        <w:t>to</w:t>
      </w:r>
      <w:r>
        <w:rPr>
          <w:color w:val="231F20"/>
          <w:spacing w:val="-14"/>
        </w:rPr>
        <w:t> </w:t>
      </w:r>
      <w:r>
        <w:rPr>
          <w:color w:val="231F20"/>
        </w:rPr>
        <w:t>be</w:t>
      </w:r>
      <w:r>
        <w:rPr>
          <w:color w:val="231F20"/>
          <w:spacing w:val="-14"/>
        </w:rPr>
        <w:t> </w:t>
      </w:r>
      <w:r>
        <w:rPr>
          <w:color w:val="231F20"/>
        </w:rPr>
        <w:t>self-limited;</w:t>
      </w:r>
      <w:r>
        <w:rPr>
          <w:color w:val="231F20"/>
          <w:spacing w:val="-14"/>
        </w:rPr>
        <w:t> </w:t>
      </w:r>
      <w:r>
        <w:rPr>
          <w:color w:val="231F20"/>
        </w:rPr>
        <w:t>(c)</w:t>
      </w:r>
      <w:r>
        <w:rPr>
          <w:color w:val="231F20"/>
          <w:spacing w:val="-14"/>
        </w:rPr>
        <w:t> </w:t>
      </w:r>
      <w:r>
        <w:rPr>
          <w:color w:val="231F20"/>
        </w:rPr>
        <w:t>not all types of infections can be diagnosed with routine laboratory testing; and (d) laboratories and health-care providers may fail to report the illness to a public health </w:t>
      </w:r>
      <w:r>
        <w:rPr>
          <w:color w:val="231F20"/>
          <w:spacing w:val="-3"/>
        </w:rPr>
        <w:t>agency.</w:t>
      </w:r>
      <w:r>
        <w:rPr>
          <w:color w:val="231F20"/>
          <w:spacing w:val="-3"/>
          <w:position w:val="7"/>
          <w:sz w:val="11"/>
        </w:rPr>
        <w:t>95, </w:t>
      </w:r>
      <w:r>
        <w:rPr>
          <w:color w:val="231F20"/>
          <w:position w:val="7"/>
          <w:sz w:val="11"/>
        </w:rPr>
        <w:t>96, 97, 98   </w:t>
      </w:r>
      <w:r>
        <w:rPr>
          <w:color w:val="231F20"/>
          <w:spacing w:val="-6"/>
        </w:rPr>
        <w:t>For </w:t>
      </w:r>
      <w:r>
        <w:rPr>
          <w:color w:val="231F20"/>
        </w:rPr>
        <w:t>example, according to a</w:t>
      </w:r>
      <w:r>
        <w:rPr>
          <w:color w:val="231F20"/>
          <w:spacing w:val="16"/>
        </w:rPr>
        <w:t> </w:t>
      </w:r>
      <w:r>
        <w:rPr>
          <w:color w:val="231F20"/>
        </w:rPr>
        <w:t>population-based</w:t>
      </w:r>
    </w:p>
    <w:p>
      <w:pPr>
        <w:pStyle w:val="BodyText"/>
        <w:spacing w:line="266" w:lineRule="auto"/>
        <w:ind w:left="1440" w:right="50"/>
      </w:pPr>
      <w:r>
        <w:rPr>
          <w:color w:val="231F20"/>
        </w:rPr>
        <w:t>survey undertaken in 1996–97 in selected states, only 12% of  persons who had a diarrheal illness (14.6% of  those with bloody diarrhea and 11.6% of those with nonbloody diarrhea) sought</w:t>
      </w:r>
      <w:r>
        <w:rPr>
          <w:color w:val="231F20"/>
          <w:spacing w:val="-9"/>
        </w:rPr>
        <w:t> </w:t>
      </w:r>
      <w:r>
        <w:rPr>
          <w:color w:val="231F20"/>
        </w:rPr>
        <w:t>medical</w:t>
      </w:r>
      <w:r>
        <w:rPr>
          <w:color w:val="231F20"/>
          <w:spacing w:val="-9"/>
        </w:rPr>
        <w:t> </w:t>
      </w:r>
      <w:r>
        <w:rPr>
          <w:color w:val="231F20"/>
        </w:rPr>
        <w:t>care.</w:t>
      </w:r>
      <w:r>
        <w:rPr>
          <w:color w:val="231F20"/>
          <w:spacing w:val="-9"/>
        </w:rPr>
        <w:t> </w:t>
      </w:r>
      <w:r>
        <w:rPr>
          <w:color w:val="231F20"/>
        </w:rPr>
        <w:t>Among</w:t>
      </w:r>
      <w:r>
        <w:rPr>
          <w:color w:val="231F20"/>
          <w:spacing w:val="-9"/>
        </w:rPr>
        <w:t> </w:t>
      </w:r>
      <w:r>
        <w:rPr>
          <w:color w:val="231F20"/>
        </w:rPr>
        <w:t>those</w:t>
      </w:r>
      <w:r>
        <w:rPr>
          <w:color w:val="231F20"/>
          <w:spacing w:val="-9"/>
        </w:rPr>
        <w:t> </w:t>
      </w:r>
      <w:r>
        <w:rPr>
          <w:color w:val="231F20"/>
        </w:rPr>
        <w:t>who</w:t>
      </w:r>
      <w:r>
        <w:rPr>
          <w:color w:val="231F20"/>
          <w:spacing w:val="-9"/>
        </w:rPr>
        <w:t> </w:t>
      </w:r>
      <w:r>
        <w:rPr>
          <w:color w:val="231F20"/>
        </w:rPr>
        <w:t>sought</w:t>
      </w:r>
    </w:p>
    <w:p>
      <w:pPr>
        <w:pStyle w:val="BodyText"/>
        <w:spacing w:line="266" w:lineRule="auto"/>
        <w:ind w:left="1440" w:right="3"/>
        <w:jc w:val="both"/>
        <w:rPr>
          <w:sz w:val="11"/>
        </w:rPr>
      </w:pPr>
      <w:r>
        <w:rPr>
          <w:color w:val="231F20"/>
          <w:w w:val="105"/>
        </w:rPr>
        <w:t>medical</w:t>
      </w:r>
      <w:r>
        <w:rPr>
          <w:color w:val="231F20"/>
          <w:spacing w:val="-21"/>
          <w:w w:val="105"/>
        </w:rPr>
        <w:t> </w:t>
      </w:r>
      <w:r>
        <w:rPr>
          <w:color w:val="231F20"/>
          <w:w w:val="105"/>
        </w:rPr>
        <w:t>care,</w:t>
      </w:r>
      <w:r>
        <w:rPr>
          <w:color w:val="231F20"/>
          <w:spacing w:val="-21"/>
          <w:w w:val="105"/>
        </w:rPr>
        <w:t> </w:t>
      </w:r>
      <w:r>
        <w:rPr>
          <w:color w:val="231F20"/>
          <w:w w:val="105"/>
        </w:rPr>
        <w:t>21%</w:t>
      </w:r>
      <w:r>
        <w:rPr>
          <w:color w:val="231F20"/>
          <w:spacing w:val="-21"/>
          <w:w w:val="105"/>
        </w:rPr>
        <w:t> </w:t>
      </w:r>
      <w:r>
        <w:rPr>
          <w:color w:val="231F20"/>
          <w:w w:val="105"/>
        </w:rPr>
        <w:t>were</w:t>
      </w:r>
      <w:r>
        <w:rPr>
          <w:color w:val="231F20"/>
          <w:spacing w:val="-21"/>
          <w:w w:val="105"/>
        </w:rPr>
        <w:t> </w:t>
      </w:r>
      <w:r>
        <w:rPr>
          <w:color w:val="231F20"/>
          <w:w w:val="105"/>
        </w:rPr>
        <w:t>asked</w:t>
      </w:r>
      <w:r>
        <w:rPr>
          <w:color w:val="231F20"/>
          <w:spacing w:val="-21"/>
          <w:w w:val="105"/>
        </w:rPr>
        <w:t> </w:t>
      </w:r>
      <w:r>
        <w:rPr>
          <w:color w:val="231F20"/>
          <w:spacing w:val="-3"/>
          <w:w w:val="105"/>
        </w:rPr>
        <w:t>by</w:t>
      </w:r>
      <w:r>
        <w:rPr>
          <w:color w:val="231F20"/>
          <w:spacing w:val="-21"/>
          <w:w w:val="105"/>
        </w:rPr>
        <w:t> </w:t>
      </w:r>
      <w:r>
        <w:rPr>
          <w:color w:val="231F20"/>
          <w:w w:val="105"/>
        </w:rPr>
        <w:t>their</w:t>
      </w:r>
      <w:r>
        <w:rPr>
          <w:color w:val="231F20"/>
          <w:spacing w:val="-21"/>
          <w:w w:val="105"/>
        </w:rPr>
        <w:t> </w:t>
      </w:r>
      <w:r>
        <w:rPr>
          <w:color w:val="231F20"/>
          <w:w w:val="105"/>
        </w:rPr>
        <w:t>physician to</w:t>
      </w:r>
      <w:r>
        <w:rPr>
          <w:color w:val="231F20"/>
          <w:spacing w:val="-28"/>
          <w:w w:val="105"/>
        </w:rPr>
        <w:t> </w:t>
      </w:r>
      <w:r>
        <w:rPr>
          <w:color w:val="231F20"/>
          <w:w w:val="105"/>
        </w:rPr>
        <w:t>provide</w:t>
      </w:r>
      <w:r>
        <w:rPr>
          <w:color w:val="231F20"/>
          <w:spacing w:val="-28"/>
          <w:w w:val="105"/>
        </w:rPr>
        <w:t> </w:t>
      </w:r>
      <w:r>
        <w:rPr>
          <w:color w:val="231F20"/>
          <w:w w:val="105"/>
        </w:rPr>
        <w:t>a</w:t>
      </w:r>
      <w:r>
        <w:rPr>
          <w:color w:val="231F20"/>
          <w:spacing w:val="-28"/>
          <w:w w:val="105"/>
        </w:rPr>
        <w:t> </w:t>
      </w:r>
      <w:r>
        <w:rPr>
          <w:color w:val="231F20"/>
          <w:w w:val="105"/>
        </w:rPr>
        <w:t>stool</w:t>
      </w:r>
      <w:r>
        <w:rPr>
          <w:color w:val="231F20"/>
          <w:spacing w:val="-28"/>
          <w:w w:val="105"/>
        </w:rPr>
        <w:t> </w:t>
      </w:r>
      <w:r>
        <w:rPr>
          <w:color w:val="231F20"/>
          <w:w w:val="105"/>
        </w:rPr>
        <w:t>specimen</w:t>
      </w:r>
      <w:r>
        <w:rPr>
          <w:color w:val="231F20"/>
          <w:spacing w:val="-28"/>
          <w:w w:val="105"/>
        </w:rPr>
        <w:t> </w:t>
      </w:r>
      <w:r>
        <w:rPr>
          <w:color w:val="231F20"/>
          <w:w w:val="105"/>
        </w:rPr>
        <w:t>for</w:t>
      </w:r>
      <w:r>
        <w:rPr>
          <w:color w:val="231F20"/>
          <w:spacing w:val="-28"/>
          <w:w w:val="105"/>
        </w:rPr>
        <w:t> </w:t>
      </w:r>
      <w:r>
        <w:rPr>
          <w:color w:val="231F20"/>
          <w:w w:val="105"/>
        </w:rPr>
        <w:t>culture,</w:t>
      </w:r>
      <w:r>
        <w:rPr>
          <w:color w:val="231F20"/>
          <w:spacing w:val="-28"/>
          <w:w w:val="105"/>
        </w:rPr>
        <w:t> </w:t>
      </w:r>
      <w:r>
        <w:rPr>
          <w:color w:val="231F20"/>
          <w:w w:val="105"/>
        </w:rPr>
        <w:t>and</w:t>
      </w:r>
      <w:r>
        <w:rPr>
          <w:color w:val="231F20"/>
          <w:spacing w:val="-28"/>
          <w:w w:val="105"/>
        </w:rPr>
        <w:t> </w:t>
      </w:r>
      <w:r>
        <w:rPr>
          <w:color w:val="231F20"/>
          <w:w w:val="105"/>
        </w:rPr>
        <w:t>89% of</w:t>
      </w:r>
      <w:r>
        <w:rPr>
          <w:color w:val="231F20"/>
          <w:spacing w:val="-21"/>
          <w:w w:val="105"/>
        </w:rPr>
        <w:t> </w:t>
      </w:r>
      <w:r>
        <w:rPr>
          <w:color w:val="231F20"/>
          <w:w w:val="105"/>
        </w:rPr>
        <w:t>these</w:t>
      </w:r>
      <w:r>
        <w:rPr>
          <w:color w:val="231F20"/>
          <w:spacing w:val="-33"/>
          <w:w w:val="105"/>
        </w:rPr>
        <w:t> </w:t>
      </w:r>
      <w:r>
        <w:rPr>
          <w:color w:val="231F20"/>
          <w:w w:val="105"/>
        </w:rPr>
        <w:t>complied</w:t>
      </w:r>
      <w:r>
        <w:rPr>
          <w:color w:val="231F20"/>
          <w:spacing w:val="-33"/>
          <w:w w:val="105"/>
        </w:rPr>
        <w:t> </w:t>
      </w:r>
      <w:r>
        <w:rPr>
          <w:color w:val="231F20"/>
          <w:w w:val="105"/>
        </w:rPr>
        <w:t>with</w:t>
      </w:r>
      <w:r>
        <w:rPr>
          <w:color w:val="231F20"/>
          <w:spacing w:val="-33"/>
          <w:w w:val="105"/>
        </w:rPr>
        <w:t> </w:t>
      </w:r>
      <w:r>
        <w:rPr>
          <w:color w:val="231F20"/>
          <w:w w:val="105"/>
        </w:rPr>
        <w:t>this</w:t>
      </w:r>
      <w:r>
        <w:rPr>
          <w:color w:val="231F20"/>
          <w:spacing w:val="-33"/>
          <w:w w:val="105"/>
        </w:rPr>
        <w:t> </w:t>
      </w:r>
      <w:r>
        <w:rPr>
          <w:color w:val="231F20"/>
          <w:w w:val="105"/>
        </w:rPr>
        <w:t>request.</w:t>
      </w:r>
      <w:r>
        <w:rPr>
          <w:color w:val="231F20"/>
          <w:w w:val="105"/>
          <w:position w:val="7"/>
          <w:sz w:val="11"/>
        </w:rPr>
        <w:t>99</w:t>
      </w:r>
    </w:p>
    <w:p>
      <w:pPr>
        <w:pStyle w:val="BodyText"/>
        <w:spacing w:line="266" w:lineRule="auto" w:before="180"/>
        <w:ind w:left="1440" w:right="-6"/>
        <w:rPr>
          <w:sz w:val="11"/>
        </w:rPr>
      </w:pPr>
      <w:r>
        <w:rPr/>
        <w:pict>
          <v:group style="position:absolute;margin-left:71.75pt;margin-top:138.982651pt;width:190pt;height:239.35pt;mso-position-horizontal-relative:page;mso-position-vertical-relative:paragraph;z-index:3256" coordorigin="1435,2780" coordsize="3800,4787">
            <v:rect style="position:absolute;left:1445;top:2785;width:3780;height:1177" filled="true" fillcolor="#bad0ec" stroked="false">
              <v:fill type="solid"/>
            </v:rect>
            <v:rect style="position:absolute;left:1445;top:3961;width:3780;height:3600" filled="true" fillcolor="#eef2fa" stroked="false">
              <v:fill type="solid"/>
            </v:rect>
            <v:line style="position:absolute" from="1440,2785" to="5230,2785" stroked="true" strokeweight=".5pt" strokecolor="#1c3e94">
              <v:stroke dashstyle="solid"/>
            </v:line>
            <v:line style="position:absolute" from="1445,3956" to="1445,2790" stroked="true" strokeweight=".5pt" strokecolor="#1c3e94">
              <v:stroke dashstyle="solid"/>
            </v:line>
            <v:line style="position:absolute" from="5225,3956" to="5225,2790" stroked="true" strokeweight=".5pt" strokecolor="#1c3e94">
              <v:stroke dashstyle="solid"/>
            </v:line>
            <v:line style="position:absolute" from="1440,3961" to="5230,3961" stroked="true" strokeweight=".5pt" strokecolor="#1c3e94">
              <v:stroke dashstyle="solid"/>
            </v:line>
            <v:line style="position:absolute" from="1445,7556" to="1445,3966" stroked="true" strokeweight=".5pt" strokecolor="#1c3e94">
              <v:stroke dashstyle="solid"/>
            </v:line>
            <v:line style="position:absolute" from="5225,7556" to="5225,3966" stroked="true" strokeweight=".5pt" strokecolor="#1c3e94">
              <v:stroke dashstyle="solid"/>
            </v:line>
            <v:line style="position:absolute" from="1440,7561" to="5230,7561" stroked="true" strokeweight=".5pt" strokecolor="#1c3e94">
              <v:stroke dashstyle="solid"/>
            </v:line>
            <v:shape style="position:absolute;left:2833;top:4112;width:938;height:854" coordorigin="2833,4112" coordsize="938,854" path="m3300,4112l2833,4966,3770,4966,3300,4112xe" filled="true" fillcolor="#8acc9c" stroked="false">
              <v:path arrowok="t"/>
              <v:fill type="solid"/>
            </v:shape>
            <v:shape style="position:absolute;left:2833;top:4112;width:938;height:854" coordorigin="2833,4112" coordsize="938,854" path="m3300,4112l2833,4966,3770,4966,3300,4112xe" filled="false" stroked="true" strokeweight=".253pt" strokecolor="#1c3e94">
              <v:path arrowok="t"/>
              <v:stroke dashstyle="solid"/>
            </v:shape>
            <v:shape style="position:absolute;left:2398;top:5371;width:1827;height:404" coordorigin="2398,5371" coordsize="1827,404" path="m4001,5371l2618,5371,2398,5775,4224,5775,4001,5371xe" filled="true" fillcolor="#a2d5ae" stroked="false">
              <v:path arrowok="t"/>
              <v:fill type="solid"/>
            </v:shape>
            <v:shape style="position:absolute;left:2398;top:5371;width:1827;height:404" coordorigin="2398,5371" coordsize="1827,404" path="m4001,5371l2618,5371,2398,5775,4224,5775,4001,5371xe" filled="false" stroked="true" strokeweight=".253pt" strokecolor="#1c3e94">
              <v:path arrowok="t"/>
              <v:stroke dashstyle="solid"/>
            </v:shape>
            <v:shape style="position:absolute;left:2618;top:4969;width:1385;height:405" coordorigin="2618,4969" coordsize="1385,405" path="m3777,4969l2838,4969,2618,5373,4002,5374,3777,4969xe" filled="true" fillcolor="#95b9e2" stroked="false">
              <v:path arrowok="t"/>
              <v:fill type="solid"/>
            </v:shape>
            <v:shape style="position:absolute;left:2618;top:4969;width:1385;height:405" coordorigin="2618,4969" coordsize="1385,405" path="m3777,4969l2838,4969,2618,5373,4002,5374,3777,4969xe" filled="false" stroked="true" strokeweight=".253pt" strokecolor="#1c3e94">
              <v:path arrowok="t"/>
              <v:stroke dashstyle="solid"/>
            </v:shape>
            <v:shape style="position:absolute;left:2175;top:5775;width:2273;height:404" coordorigin="2175,5775" coordsize="2273,404" path="m4224,5775l2402,5775,2175,6178,4448,6178,4224,5775xe" filled="true" fillcolor="#adc8e9" stroked="false">
              <v:path arrowok="t"/>
              <v:fill type="solid"/>
            </v:shape>
            <v:shape style="position:absolute;left:2175;top:5775;width:2273;height:404" coordorigin="2175,5775" coordsize="2273,404" path="m4224,5775l2402,5775,2175,6178,4448,6178,4224,5775xe" filled="false" stroked="true" strokeweight=".253pt" strokecolor="#1c3e94">
              <v:path arrowok="t"/>
              <v:stroke dashstyle="solid"/>
            </v:shape>
            <v:shape style="position:absolute;left:1958;top:6178;width:2714;height:404" coordorigin="1958,6178" coordsize="2714,404" path="m2180,6178l1958,6581,4671,6581,4448,6178,2180,6178xe" filled="true" fillcolor="#b8dec0" stroked="false">
              <v:path arrowok="t"/>
              <v:fill type="solid"/>
            </v:shape>
            <v:shape style="position:absolute;left:1958;top:6178;width:2714;height:404" coordorigin="1958,6178" coordsize="2714,404" path="m4448,6178l2180,6178,1958,6581,4671,6581,4448,6178xe" filled="false" stroked="true" strokeweight=".253pt" strokecolor="#1c3e94">
              <v:path arrowok="t"/>
              <v:stroke dashstyle="solid"/>
            </v:shape>
            <v:shape style="position:absolute;left:1512;top:6984;width:3616;height:418" coordorigin="1512,6984" coordsize="3616,418" path="m4894,6984l1742,6984,1512,7401,5127,7402,4894,6984xe" filled="true" fillcolor="#cfe8d4" stroked="false">
              <v:path arrowok="t"/>
              <v:fill type="solid"/>
            </v:shape>
            <v:shape style="position:absolute;left:1512;top:6984;width:3616;height:418" coordorigin="1512,6984" coordsize="3616,418" path="m4894,6984l1742,6984,1512,7401,5127,7402,4894,6984xe" filled="false" stroked="true" strokeweight=".253pt" strokecolor="#1c3e94">
              <v:path arrowok="t"/>
              <v:stroke dashstyle="solid"/>
            </v:shape>
            <v:shape style="position:absolute;left:1739;top:6581;width:3155;height:404" coordorigin="1739,6581" coordsize="3155,404" path="m4671,6581l1958,6581,1739,6984,4894,6984,4671,6581xe" filled="true" fillcolor="#c7d8ef" stroked="false">
              <v:path arrowok="t"/>
              <v:fill type="solid"/>
            </v:shape>
            <v:shape style="position:absolute;left:1739;top:6581;width:3155;height:404" coordorigin="1739,6581" coordsize="3155,404" path="m4671,6581l1958,6581,1739,6984,4894,6984,4671,6581xe" filled="false" stroked="true" strokeweight=".253pt" strokecolor="#1c3e94">
              <v:path arrowok="t"/>
              <v:stroke dashstyle="solid"/>
            </v:shape>
            <v:shape style="position:absolute;left:1512;top:4109;width:3614;height:3293" coordorigin="1512,4109" coordsize="3614,3293" path="m1512,7401l5125,7401,3301,4109,1512,7401xe" filled="false" stroked="true" strokeweight=".506pt" strokecolor="#1c3e94">
              <v:path arrowok="t"/>
              <v:stroke dashstyle="solid"/>
            </v:shape>
            <v:shape style="position:absolute;left:3263;top:4970;width:110;height:2111" coordorigin="3263,4970" coordsize="110,2111" path="m3372,7080l3317,6985,3263,7080,3372,7080m3372,6677l3317,6582,3263,6677,3372,6677m3372,6274l3317,6179,3263,6274,3372,6274m3372,5870l3317,5776,3263,5870,3372,5870m3372,5467l3317,5373,3263,5467,3372,5467m3372,5064l3317,4970,3263,5064,3372,5064e" filled="true" fillcolor="#1c3e94" stroked="false">
              <v:path arrowok="t"/>
              <v:fill type="solid"/>
            </v:shape>
            <v:shape style="position:absolute;left:1445;top:2785;width:3780;height:1177" type="#_x0000_t202" filled="false" stroked="false">
              <v:textbox inset="0,0,0,0">
                <w:txbxContent>
                  <w:p>
                    <w:pPr>
                      <w:spacing w:before="47"/>
                      <w:ind w:left="43" w:right="0" w:firstLine="0"/>
                      <w:jc w:val="left"/>
                      <w:rPr>
                        <w:rFonts w:ascii="Trebuchet MS"/>
                        <w:b/>
                        <w:sz w:val="18"/>
                      </w:rPr>
                    </w:pPr>
                    <w:r>
                      <w:rPr>
                        <w:rFonts w:ascii="Trebuchet MS"/>
                        <w:b/>
                        <w:color w:val="E36F1E"/>
                        <w:sz w:val="18"/>
                      </w:rPr>
                      <w:t>Figure 2.4 </w:t>
                    </w:r>
                    <w:r>
                      <w:rPr>
                        <w:rFonts w:ascii="Trebuchet MS"/>
                        <w:b/>
                        <w:color w:val="1C3E94"/>
                        <w:sz w:val="18"/>
                      </w:rPr>
                      <w:t>Burden of illness pyramid</w:t>
                    </w:r>
                  </w:p>
                  <w:p>
                    <w:pPr>
                      <w:spacing w:line="252" w:lineRule="auto" w:before="10"/>
                      <w:ind w:left="958" w:right="19" w:firstLine="0"/>
                      <w:jc w:val="left"/>
                      <w:rPr>
                        <w:rFonts w:ascii="Trebuchet MS"/>
                        <w:b/>
                        <w:sz w:val="10"/>
                      </w:rPr>
                    </w:pPr>
                    <w:r>
                      <w:rPr>
                        <w:rFonts w:ascii="Trebuchet MS"/>
                        <w:b/>
                        <w:color w:val="1C3E94"/>
                        <w:sz w:val="18"/>
                      </w:rPr>
                      <w:t>reflecting the proportion of foodborne illnesses that make it through</w:t>
                    </w:r>
                    <w:r>
                      <w:rPr>
                        <w:rFonts w:ascii="Trebuchet MS"/>
                        <w:b/>
                        <w:color w:val="1C3E94"/>
                        <w:spacing w:val="-23"/>
                        <w:sz w:val="18"/>
                      </w:rPr>
                      <w:t> </w:t>
                    </w:r>
                    <w:r>
                      <w:rPr>
                        <w:rFonts w:ascii="Trebuchet MS"/>
                        <w:b/>
                        <w:color w:val="1C3E94"/>
                        <w:sz w:val="18"/>
                      </w:rPr>
                      <w:t>each</w:t>
                    </w:r>
                    <w:r>
                      <w:rPr>
                        <w:rFonts w:ascii="Trebuchet MS"/>
                        <w:b/>
                        <w:color w:val="1C3E94"/>
                        <w:spacing w:val="-23"/>
                        <w:sz w:val="18"/>
                      </w:rPr>
                      <w:t> </w:t>
                    </w:r>
                    <w:r>
                      <w:rPr>
                        <w:rFonts w:ascii="Trebuchet MS"/>
                        <w:b/>
                        <w:color w:val="1C3E94"/>
                        <w:sz w:val="18"/>
                      </w:rPr>
                      <w:t>step</w:t>
                    </w:r>
                    <w:r>
                      <w:rPr>
                        <w:rFonts w:ascii="Trebuchet MS"/>
                        <w:b/>
                        <w:color w:val="1C3E94"/>
                        <w:spacing w:val="-23"/>
                        <w:sz w:val="18"/>
                      </w:rPr>
                      <w:t> </w:t>
                    </w:r>
                    <w:r>
                      <w:rPr>
                        <w:rFonts w:ascii="Trebuchet MS"/>
                        <w:b/>
                        <w:color w:val="1C3E94"/>
                        <w:sz w:val="18"/>
                      </w:rPr>
                      <w:t>of</w:t>
                    </w:r>
                    <w:r>
                      <w:rPr>
                        <w:rFonts w:ascii="Trebuchet MS"/>
                        <w:b/>
                        <w:color w:val="1C3E94"/>
                        <w:spacing w:val="-23"/>
                        <w:sz w:val="18"/>
                      </w:rPr>
                      <w:t> </w:t>
                    </w:r>
                    <w:r>
                      <w:rPr>
                        <w:rFonts w:ascii="Trebuchet MS"/>
                        <w:b/>
                        <w:color w:val="1C3E94"/>
                        <w:sz w:val="18"/>
                      </w:rPr>
                      <w:t>the</w:t>
                    </w:r>
                    <w:r>
                      <w:rPr>
                        <w:rFonts w:ascii="Trebuchet MS"/>
                        <w:b/>
                        <w:color w:val="1C3E94"/>
                        <w:spacing w:val="-23"/>
                        <w:sz w:val="18"/>
                      </w:rPr>
                      <w:t> </w:t>
                    </w:r>
                    <w:r>
                      <w:rPr>
                        <w:rFonts w:ascii="Trebuchet MS"/>
                        <w:b/>
                        <w:color w:val="1C3E94"/>
                        <w:sz w:val="18"/>
                      </w:rPr>
                      <w:t>diagnosis </w:t>
                    </w:r>
                    <w:r>
                      <w:rPr>
                        <w:rFonts w:ascii="Trebuchet MS"/>
                        <w:b/>
                        <w:color w:val="1C3E94"/>
                        <w:w w:val="95"/>
                        <w:sz w:val="18"/>
                      </w:rPr>
                      <w:t>and reporting</w:t>
                    </w:r>
                    <w:r>
                      <w:rPr>
                        <w:rFonts w:ascii="Trebuchet MS"/>
                        <w:b/>
                        <w:color w:val="1C3E94"/>
                        <w:spacing w:val="14"/>
                        <w:w w:val="95"/>
                        <w:sz w:val="18"/>
                      </w:rPr>
                      <w:t> </w:t>
                    </w:r>
                    <w:r>
                      <w:rPr>
                        <w:rFonts w:ascii="Trebuchet MS"/>
                        <w:b/>
                        <w:color w:val="1C3E94"/>
                        <w:w w:val="95"/>
                        <w:sz w:val="18"/>
                      </w:rPr>
                      <w:t>process.</w:t>
                    </w:r>
                    <w:r>
                      <w:rPr>
                        <w:rFonts w:ascii="Trebuchet MS"/>
                        <w:b/>
                        <w:color w:val="1C3E94"/>
                        <w:w w:val="95"/>
                        <w:position w:val="6"/>
                        <w:sz w:val="10"/>
                      </w:rPr>
                      <w:t>100</w:t>
                    </w:r>
                  </w:p>
                </w:txbxContent>
              </v:textbox>
              <w10:wrap type="none"/>
            </v:shape>
            <v:shape style="position:absolute;left:1445;top:3961;width:3780;height:3600" type="#_x0000_t202" filled="false" stroked="false">
              <v:textbox inset="0,0,0,0">
                <w:txbxContent>
                  <w:p>
                    <w:pPr>
                      <w:spacing w:line="240" w:lineRule="auto" w:before="0"/>
                      <w:rPr>
                        <w:sz w:val="16"/>
                      </w:rPr>
                    </w:pPr>
                  </w:p>
                  <w:p>
                    <w:pPr>
                      <w:spacing w:line="240" w:lineRule="auto" w:before="0"/>
                      <w:rPr>
                        <w:sz w:val="16"/>
                      </w:rPr>
                    </w:pPr>
                  </w:p>
                  <w:p>
                    <w:pPr>
                      <w:spacing w:line="240" w:lineRule="auto" w:before="0"/>
                      <w:rPr>
                        <w:sz w:val="16"/>
                      </w:rPr>
                    </w:pPr>
                  </w:p>
                  <w:p>
                    <w:pPr>
                      <w:spacing w:line="240" w:lineRule="auto" w:before="0"/>
                      <w:rPr>
                        <w:sz w:val="16"/>
                      </w:rPr>
                    </w:pPr>
                  </w:p>
                  <w:p>
                    <w:pPr>
                      <w:spacing w:line="600" w:lineRule="auto" w:before="107"/>
                      <w:ind w:left="1250" w:right="1157" w:hanging="251"/>
                      <w:jc w:val="left"/>
                      <w:rPr>
                        <w:rFonts w:ascii="Arial"/>
                        <w:sz w:val="14"/>
                      </w:rPr>
                    </w:pPr>
                    <w:r>
                      <w:rPr>
                        <w:rFonts w:ascii="Arial"/>
                        <w:color w:val="231F20"/>
                        <w:w w:val="85"/>
                        <w:sz w:val="14"/>
                      </w:rPr>
                      <w:t>Reported to Health Dept/CDC </w:t>
                    </w:r>
                    <w:r>
                      <w:rPr>
                        <w:rFonts w:ascii="Arial"/>
                        <w:color w:val="231F20"/>
                        <w:w w:val="90"/>
                        <w:sz w:val="14"/>
                      </w:rPr>
                      <w:t>Culture-Confirmed Case Lab Tests for Organism</w:t>
                    </w:r>
                  </w:p>
                  <w:p>
                    <w:pPr>
                      <w:spacing w:line="604" w:lineRule="auto" w:before="10"/>
                      <w:ind w:left="1342" w:right="1384" w:firstLine="0"/>
                      <w:jc w:val="center"/>
                      <w:rPr>
                        <w:rFonts w:ascii="Arial"/>
                        <w:sz w:val="14"/>
                      </w:rPr>
                    </w:pPr>
                    <w:r>
                      <w:rPr>
                        <w:rFonts w:ascii="Arial"/>
                        <w:color w:val="231F20"/>
                        <w:w w:val="85"/>
                        <w:sz w:val="14"/>
                      </w:rPr>
                      <w:t>Specimen Obtained Person Seeks Care Person Becomes Ill</w:t>
                    </w:r>
                  </w:p>
                  <w:p>
                    <w:pPr>
                      <w:spacing w:line="158" w:lineRule="exact" w:before="0"/>
                      <w:ind w:left="1342" w:right="1384" w:firstLine="0"/>
                      <w:jc w:val="center"/>
                      <w:rPr>
                        <w:rFonts w:ascii="Arial"/>
                        <w:sz w:val="14"/>
                      </w:rPr>
                    </w:pPr>
                    <w:r>
                      <w:rPr>
                        <w:rFonts w:ascii="Arial"/>
                        <w:color w:val="231F20"/>
                        <w:w w:val="95"/>
                        <w:sz w:val="14"/>
                      </w:rPr>
                      <w:t>Population</w:t>
                    </w:r>
                  </w:p>
                </w:txbxContent>
              </v:textbox>
              <w10:wrap type="none"/>
            </v:shape>
            <w10:wrap type="none"/>
          </v:group>
        </w:pict>
      </w:r>
      <w:r>
        <w:rPr>
          <w:color w:val="231F20"/>
          <w:w w:val="105"/>
        </w:rPr>
        <w:t>As</w:t>
      </w:r>
      <w:r>
        <w:rPr>
          <w:color w:val="231F20"/>
          <w:spacing w:val="-19"/>
          <w:w w:val="105"/>
        </w:rPr>
        <w:t> </w:t>
      </w:r>
      <w:r>
        <w:rPr>
          <w:color w:val="231F20"/>
          <w:w w:val="105"/>
        </w:rPr>
        <w:t>a</w:t>
      </w:r>
      <w:r>
        <w:rPr>
          <w:color w:val="231F20"/>
          <w:spacing w:val="-19"/>
          <w:w w:val="105"/>
        </w:rPr>
        <w:t> </w:t>
      </w:r>
      <w:r>
        <w:rPr>
          <w:color w:val="231F20"/>
          <w:w w:val="105"/>
        </w:rPr>
        <w:t>result,</w:t>
      </w:r>
      <w:r>
        <w:rPr>
          <w:color w:val="231F20"/>
          <w:spacing w:val="-19"/>
          <w:w w:val="105"/>
        </w:rPr>
        <w:t> </w:t>
      </w:r>
      <w:r>
        <w:rPr>
          <w:color w:val="231F20"/>
          <w:w w:val="105"/>
        </w:rPr>
        <w:t>cases</w:t>
      </w:r>
      <w:r>
        <w:rPr>
          <w:color w:val="231F20"/>
          <w:spacing w:val="-19"/>
          <w:w w:val="105"/>
        </w:rPr>
        <w:t> </w:t>
      </w:r>
      <w:r>
        <w:rPr>
          <w:color w:val="231F20"/>
          <w:w w:val="105"/>
        </w:rPr>
        <w:t>of</w:t>
      </w:r>
      <w:r>
        <w:rPr>
          <w:color w:val="231F20"/>
          <w:spacing w:val="1"/>
          <w:w w:val="105"/>
        </w:rPr>
        <w:t> </w:t>
      </w:r>
      <w:r>
        <w:rPr>
          <w:color w:val="231F20"/>
          <w:w w:val="105"/>
        </w:rPr>
        <w:t>foodborne</w:t>
      </w:r>
      <w:r>
        <w:rPr>
          <w:color w:val="231F20"/>
          <w:spacing w:val="-19"/>
          <w:w w:val="105"/>
        </w:rPr>
        <w:t> </w:t>
      </w:r>
      <w:r>
        <w:rPr>
          <w:color w:val="231F20"/>
          <w:w w:val="105"/>
        </w:rPr>
        <w:t>illness</w:t>
      </w:r>
      <w:r>
        <w:rPr>
          <w:color w:val="231F20"/>
          <w:spacing w:val="-19"/>
          <w:w w:val="105"/>
        </w:rPr>
        <w:t> </w:t>
      </w:r>
      <w:r>
        <w:rPr>
          <w:color w:val="231F20"/>
          <w:w w:val="105"/>
        </w:rPr>
        <w:t>are</w:t>
      </w:r>
      <w:r>
        <w:rPr>
          <w:color w:val="231F20"/>
          <w:spacing w:val="-19"/>
          <w:w w:val="105"/>
        </w:rPr>
        <w:t> </w:t>
      </w:r>
      <w:r>
        <w:rPr>
          <w:color w:val="231F20"/>
          <w:w w:val="105"/>
        </w:rPr>
        <w:t>lost</w:t>
      </w:r>
      <w:r>
        <w:rPr>
          <w:color w:val="231F20"/>
          <w:spacing w:val="-19"/>
          <w:w w:val="105"/>
        </w:rPr>
        <w:t> </w:t>
      </w:r>
      <w:r>
        <w:rPr>
          <w:color w:val="231F20"/>
          <w:w w:val="105"/>
        </w:rPr>
        <w:t>at each</w:t>
      </w:r>
      <w:r>
        <w:rPr>
          <w:color w:val="231F20"/>
          <w:spacing w:val="-19"/>
          <w:w w:val="105"/>
        </w:rPr>
        <w:t> </w:t>
      </w:r>
      <w:r>
        <w:rPr>
          <w:color w:val="231F20"/>
          <w:w w:val="105"/>
        </w:rPr>
        <w:t>step</w:t>
      </w:r>
      <w:r>
        <w:rPr>
          <w:color w:val="231F20"/>
          <w:spacing w:val="-19"/>
          <w:w w:val="105"/>
        </w:rPr>
        <w:t> </w:t>
      </w:r>
      <w:r>
        <w:rPr>
          <w:color w:val="231F20"/>
          <w:w w:val="105"/>
        </w:rPr>
        <w:t>in</w:t>
      </w:r>
      <w:r>
        <w:rPr>
          <w:color w:val="231F20"/>
          <w:spacing w:val="-19"/>
          <w:w w:val="105"/>
        </w:rPr>
        <w:t> </w:t>
      </w:r>
      <w:r>
        <w:rPr>
          <w:color w:val="231F20"/>
          <w:w w:val="105"/>
        </w:rPr>
        <w:t>the</w:t>
      </w:r>
      <w:r>
        <w:rPr>
          <w:color w:val="231F20"/>
          <w:spacing w:val="-19"/>
          <w:w w:val="105"/>
        </w:rPr>
        <w:t> </w:t>
      </w:r>
      <w:r>
        <w:rPr>
          <w:color w:val="231F20"/>
          <w:w w:val="105"/>
        </w:rPr>
        <w:t>diagnosis</w:t>
      </w:r>
      <w:r>
        <w:rPr>
          <w:color w:val="231F20"/>
          <w:spacing w:val="-19"/>
          <w:w w:val="105"/>
        </w:rPr>
        <w:t> </w:t>
      </w:r>
      <w:r>
        <w:rPr>
          <w:color w:val="231F20"/>
          <w:w w:val="105"/>
        </w:rPr>
        <w:t>and</w:t>
      </w:r>
      <w:r>
        <w:rPr>
          <w:color w:val="231F20"/>
          <w:spacing w:val="-19"/>
          <w:w w:val="105"/>
        </w:rPr>
        <w:t> </w:t>
      </w:r>
      <w:r>
        <w:rPr>
          <w:color w:val="231F20"/>
          <w:w w:val="105"/>
        </w:rPr>
        <w:t>reporting</w:t>
      </w:r>
      <w:r>
        <w:rPr>
          <w:color w:val="231F20"/>
          <w:spacing w:val="-19"/>
          <w:w w:val="105"/>
        </w:rPr>
        <w:t> </w:t>
      </w:r>
      <w:r>
        <w:rPr>
          <w:color w:val="231F20"/>
          <w:w w:val="105"/>
        </w:rPr>
        <w:t>process and thus are not included in national statistics. As little as 5% of bacterial foodborne illness might be reported to CDC through notifiable disease surveillance.</w:t>
      </w:r>
      <w:r>
        <w:rPr>
          <w:color w:val="231F20"/>
          <w:w w:val="105"/>
          <w:position w:val="7"/>
          <w:sz w:val="11"/>
        </w:rPr>
        <w:t>100 </w:t>
      </w:r>
      <w:r>
        <w:rPr>
          <w:color w:val="231F20"/>
          <w:w w:val="105"/>
        </w:rPr>
        <w:t>Some investigators portray this disparity between the occurrence of</w:t>
      </w:r>
      <w:r>
        <w:rPr>
          <w:color w:val="231F20"/>
          <w:spacing w:val="1"/>
          <w:w w:val="105"/>
        </w:rPr>
        <w:t> </w:t>
      </w:r>
      <w:r>
        <w:rPr>
          <w:color w:val="231F20"/>
          <w:w w:val="105"/>
        </w:rPr>
        <w:t>foodborne</w:t>
      </w:r>
      <w:r>
        <w:rPr>
          <w:color w:val="231F20"/>
          <w:spacing w:val="-19"/>
          <w:w w:val="105"/>
        </w:rPr>
        <w:t> </w:t>
      </w:r>
      <w:r>
        <w:rPr>
          <w:color w:val="231F20"/>
          <w:w w:val="105"/>
        </w:rPr>
        <w:t>illness</w:t>
      </w:r>
      <w:r>
        <w:rPr>
          <w:color w:val="231F20"/>
          <w:spacing w:val="-19"/>
          <w:w w:val="105"/>
        </w:rPr>
        <w:t> </w:t>
      </w:r>
      <w:r>
        <w:rPr>
          <w:color w:val="231F20"/>
          <w:w w:val="105"/>
        </w:rPr>
        <w:t>and</w:t>
      </w:r>
      <w:r>
        <w:rPr>
          <w:color w:val="231F20"/>
          <w:spacing w:val="-19"/>
          <w:w w:val="105"/>
        </w:rPr>
        <w:t> </w:t>
      </w:r>
      <w:r>
        <w:rPr>
          <w:color w:val="231F20"/>
          <w:w w:val="105"/>
        </w:rPr>
        <w:t>the</w:t>
      </w:r>
      <w:r>
        <w:rPr>
          <w:color w:val="231F20"/>
          <w:spacing w:val="-19"/>
          <w:w w:val="105"/>
        </w:rPr>
        <w:t> </w:t>
      </w:r>
      <w:r>
        <w:rPr>
          <w:color w:val="231F20"/>
          <w:w w:val="105"/>
        </w:rPr>
        <w:t>reporting</w:t>
      </w:r>
      <w:r>
        <w:rPr>
          <w:color w:val="231F20"/>
          <w:spacing w:val="-19"/>
          <w:w w:val="105"/>
        </w:rPr>
        <w:t> </w:t>
      </w:r>
      <w:r>
        <w:rPr>
          <w:color w:val="231F20"/>
          <w:w w:val="105"/>
        </w:rPr>
        <w:t>of</w:t>
      </w:r>
      <w:r>
        <w:rPr>
          <w:color w:val="231F20"/>
          <w:spacing w:val="1"/>
          <w:w w:val="105"/>
        </w:rPr>
        <w:t> </w:t>
      </w:r>
      <w:r>
        <w:rPr>
          <w:color w:val="231F20"/>
          <w:w w:val="105"/>
        </w:rPr>
        <w:t>cases to the health department </w:t>
      </w:r>
      <w:r>
        <w:rPr>
          <w:color w:val="231F20"/>
          <w:spacing w:val="-3"/>
          <w:w w:val="105"/>
        </w:rPr>
        <w:t>by </w:t>
      </w:r>
      <w:r>
        <w:rPr>
          <w:color w:val="231F20"/>
          <w:w w:val="105"/>
        </w:rPr>
        <w:t>using a burden of illness</w:t>
      </w:r>
      <w:r>
        <w:rPr>
          <w:color w:val="231F20"/>
          <w:spacing w:val="-20"/>
          <w:w w:val="105"/>
        </w:rPr>
        <w:t> </w:t>
      </w:r>
      <w:r>
        <w:rPr>
          <w:color w:val="231F20"/>
          <w:w w:val="105"/>
        </w:rPr>
        <w:t>pyramid</w:t>
      </w:r>
      <w:r>
        <w:rPr>
          <w:color w:val="231F20"/>
          <w:spacing w:val="-19"/>
          <w:w w:val="105"/>
        </w:rPr>
        <w:t> </w:t>
      </w:r>
      <w:r>
        <w:rPr>
          <w:color w:val="231F20"/>
          <w:w w:val="105"/>
        </w:rPr>
        <w:t>(Figure</w:t>
      </w:r>
      <w:r>
        <w:rPr>
          <w:color w:val="231F20"/>
          <w:spacing w:val="-20"/>
          <w:w w:val="105"/>
        </w:rPr>
        <w:t> </w:t>
      </w:r>
      <w:r>
        <w:rPr>
          <w:color w:val="231F20"/>
          <w:w w:val="105"/>
        </w:rPr>
        <w:t>2.4).</w:t>
      </w:r>
      <w:r>
        <w:rPr>
          <w:color w:val="231F20"/>
          <w:w w:val="105"/>
          <w:position w:val="7"/>
          <w:sz w:val="11"/>
        </w:rPr>
        <w:t>100</w:t>
      </w:r>
    </w:p>
    <w:p>
      <w:pPr>
        <w:pStyle w:val="BodyText"/>
        <w:spacing w:line="266" w:lineRule="auto" w:before="108"/>
        <w:ind w:left="330" w:right="1242"/>
      </w:pPr>
      <w:r>
        <w:rPr/>
        <w:br w:type="column"/>
      </w:r>
      <w:r>
        <w:rPr>
          <w:color w:val="231F20"/>
        </w:rPr>
        <w:t>With dozens—or even hundreds—of possible etiologies for foodborne disease, and most of  them with similar or at  least</w:t>
      </w:r>
    </w:p>
    <w:p>
      <w:pPr>
        <w:pStyle w:val="BodyText"/>
        <w:spacing w:line="266" w:lineRule="auto"/>
        <w:ind w:left="330" w:right="681"/>
      </w:pPr>
      <w:r>
        <w:rPr>
          <w:color w:val="231F20"/>
          <w:w w:val="105"/>
        </w:rPr>
        <w:t>overlapping clinical manifestations, laboratory- confirmation of the agent is often essential</w:t>
      </w:r>
    </w:p>
    <w:p>
      <w:pPr>
        <w:pStyle w:val="BodyText"/>
        <w:spacing w:line="266" w:lineRule="auto"/>
        <w:ind w:left="330" w:right="724"/>
        <w:rPr>
          <w:sz w:val="11"/>
        </w:rPr>
      </w:pPr>
      <w:r>
        <w:rPr>
          <w:color w:val="231F20"/>
          <w:w w:val="105"/>
        </w:rPr>
        <w:t>for public health action. </w:t>
      </w:r>
      <w:r>
        <w:rPr>
          <w:color w:val="231F20"/>
          <w:spacing w:val="-5"/>
          <w:w w:val="105"/>
        </w:rPr>
        <w:t>However, </w:t>
      </w:r>
      <w:r>
        <w:rPr>
          <w:color w:val="231F20"/>
          <w:w w:val="105"/>
        </w:rPr>
        <w:t>because most diarrheal illnesses are self-limited and laboratory test results often are not used to guide the initial course of treatment for a patient, health-care providers often do not request stool cultures. Physicians are more likely to request a culture for persons with acquired immunodeficiency syndrome, history of</w:t>
      </w:r>
      <w:r>
        <w:rPr>
          <w:color w:val="231F20"/>
          <w:spacing w:val="3"/>
          <w:w w:val="105"/>
        </w:rPr>
        <w:t> </w:t>
      </w:r>
      <w:r>
        <w:rPr>
          <w:color w:val="231F20"/>
          <w:w w:val="105"/>
        </w:rPr>
        <w:t>travel</w:t>
      </w:r>
      <w:r>
        <w:rPr>
          <w:color w:val="231F20"/>
          <w:spacing w:val="-18"/>
          <w:w w:val="105"/>
        </w:rPr>
        <w:t> </w:t>
      </w:r>
      <w:r>
        <w:rPr>
          <w:color w:val="231F20"/>
          <w:w w:val="105"/>
        </w:rPr>
        <w:t>to</w:t>
      </w:r>
      <w:r>
        <w:rPr>
          <w:color w:val="231F20"/>
          <w:spacing w:val="-18"/>
          <w:w w:val="105"/>
        </w:rPr>
        <w:t> </w:t>
      </w:r>
      <w:r>
        <w:rPr>
          <w:color w:val="231F20"/>
          <w:w w:val="105"/>
        </w:rPr>
        <w:t>a</w:t>
      </w:r>
      <w:r>
        <w:rPr>
          <w:color w:val="231F20"/>
          <w:spacing w:val="-17"/>
          <w:w w:val="105"/>
        </w:rPr>
        <w:t> </w:t>
      </w:r>
      <w:r>
        <w:rPr>
          <w:color w:val="231F20"/>
          <w:w w:val="105"/>
        </w:rPr>
        <w:t>developing</w:t>
      </w:r>
      <w:r>
        <w:rPr>
          <w:color w:val="231F20"/>
          <w:spacing w:val="-19"/>
          <w:w w:val="105"/>
        </w:rPr>
        <w:t> </w:t>
      </w:r>
      <w:r>
        <w:rPr>
          <w:color w:val="231F20"/>
          <w:spacing w:val="-4"/>
          <w:w w:val="105"/>
        </w:rPr>
        <w:t>country,</w:t>
      </w:r>
      <w:r>
        <w:rPr>
          <w:color w:val="231F20"/>
          <w:spacing w:val="-17"/>
          <w:w w:val="105"/>
        </w:rPr>
        <w:t> </w:t>
      </w:r>
      <w:r>
        <w:rPr>
          <w:color w:val="231F20"/>
          <w:w w:val="105"/>
        </w:rPr>
        <w:t>bloody</w:t>
      </w:r>
      <w:r>
        <w:rPr>
          <w:color w:val="231F20"/>
          <w:spacing w:val="-18"/>
          <w:w w:val="105"/>
        </w:rPr>
        <w:t> </w:t>
      </w:r>
      <w:r>
        <w:rPr>
          <w:color w:val="231F20"/>
          <w:w w:val="105"/>
        </w:rPr>
        <w:t>stools, diarrhea of &gt;3 days’ duration, or </w:t>
      </w:r>
      <w:r>
        <w:rPr>
          <w:color w:val="231F20"/>
          <w:spacing w:val="-5"/>
          <w:w w:val="105"/>
        </w:rPr>
        <w:t>fever, </w:t>
      </w:r>
      <w:r>
        <w:rPr>
          <w:color w:val="231F20"/>
          <w:w w:val="105"/>
        </w:rPr>
        <w:t>or who require intravenous</w:t>
      </w:r>
      <w:r>
        <w:rPr>
          <w:color w:val="231F20"/>
          <w:spacing w:val="-15"/>
          <w:w w:val="105"/>
        </w:rPr>
        <w:t> </w:t>
      </w:r>
      <w:r>
        <w:rPr>
          <w:color w:val="231F20"/>
          <w:w w:val="105"/>
        </w:rPr>
        <w:t>rehydration.</w:t>
      </w:r>
      <w:r>
        <w:rPr>
          <w:color w:val="231F20"/>
          <w:w w:val="105"/>
          <w:position w:val="7"/>
          <w:sz w:val="11"/>
        </w:rPr>
        <w:t>101</w:t>
      </w:r>
    </w:p>
    <w:p>
      <w:pPr>
        <w:pStyle w:val="BodyText"/>
        <w:spacing w:line="266" w:lineRule="auto" w:before="180"/>
        <w:ind w:left="330" w:right="872"/>
      </w:pPr>
      <w:r>
        <w:rPr>
          <w:color w:val="231F20"/>
          <w:w w:val="105"/>
        </w:rPr>
        <w:t>Lack of laboratory confirmation can hinder appropriate management and treatment of an individual patient with acute diarrhea and inhibit surveillance and other public health actions.</w:t>
      </w:r>
      <w:r>
        <w:rPr>
          <w:color w:val="231F20"/>
          <w:w w:val="105"/>
          <w:position w:val="7"/>
          <w:sz w:val="11"/>
        </w:rPr>
        <w:t>101, 102 </w:t>
      </w:r>
      <w:r>
        <w:rPr>
          <w:color w:val="231F20"/>
          <w:w w:val="105"/>
        </w:rPr>
        <w:t>For the individual patient, identification of the specific agent can:</w:t>
      </w:r>
    </w:p>
    <w:p>
      <w:pPr>
        <w:pStyle w:val="ListParagraph"/>
        <w:numPr>
          <w:ilvl w:val="0"/>
          <w:numId w:val="11"/>
        </w:numPr>
        <w:tabs>
          <w:tab w:pos="501" w:val="left" w:leader="none"/>
        </w:tabs>
        <w:spacing w:line="266" w:lineRule="auto" w:before="180" w:after="0"/>
        <w:ind w:left="500" w:right="1140" w:hanging="170"/>
        <w:jc w:val="left"/>
        <w:rPr>
          <w:sz w:val="20"/>
        </w:rPr>
      </w:pPr>
      <w:r>
        <w:rPr>
          <w:color w:val="231F20"/>
          <w:w w:val="105"/>
          <w:sz w:val="20"/>
        </w:rPr>
        <w:t>Help with the appropriate selection of antimicrobial </w:t>
      </w:r>
      <w:r>
        <w:rPr>
          <w:color w:val="231F20"/>
          <w:spacing w:val="-5"/>
          <w:w w:val="105"/>
          <w:sz w:val="20"/>
        </w:rPr>
        <w:t>therapy, </w:t>
      </w:r>
      <w:r>
        <w:rPr>
          <w:color w:val="231F20"/>
          <w:w w:val="105"/>
          <w:sz w:val="20"/>
        </w:rPr>
        <w:t>shortening the patient’s illness and reducing</w:t>
      </w:r>
      <w:r>
        <w:rPr>
          <w:color w:val="231F20"/>
          <w:spacing w:val="-38"/>
          <w:w w:val="105"/>
          <w:sz w:val="20"/>
        </w:rPr>
        <w:t> </w:t>
      </w:r>
      <w:r>
        <w:rPr>
          <w:color w:val="231F20"/>
          <w:w w:val="105"/>
          <w:sz w:val="20"/>
        </w:rPr>
        <w:t>morbidity;</w:t>
      </w:r>
    </w:p>
    <w:p>
      <w:pPr>
        <w:pStyle w:val="ListParagraph"/>
        <w:numPr>
          <w:ilvl w:val="0"/>
          <w:numId w:val="11"/>
        </w:numPr>
        <w:tabs>
          <w:tab w:pos="501" w:val="left" w:leader="none"/>
        </w:tabs>
        <w:spacing w:line="266" w:lineRule="auto" w:before="90" w:after="0"/>
        <w:ind w:left="500" w:right="767" w:hanging="170"/>
        <w:jc w:val="left"/>
        <w:rPr>
          <w:sz w:val="20"/>
        </w:rPr>
      </w:pPr>
      <w:r>
        <w:rPr>
          <w:color w:val="231F20"/>
          <w:sz w:val="20"/>
        </w:rPr>
        <w:t>Support the decision not to treat, if  the patient would not benefit from antimicrobial therapy or  would  even be  harmed  </w:t>
      </w:r>
      <w:r>
        <w:rPr>
          <w:color w:val="231F20"/>
          <w:spacing w:val="-3"/>
          <w:sz w:val="20"/>
        </w:rPr>
        <w:t>by  </w:t>
      </w:r>
      <w:r>
        <w:rPr>
          <w:color w:val="231F20"/>
          <w:sz w:val="20"/>
        </w:rPr>
        <w:t>the use of antibiotics </w:t>
      </w:r>
      <w:r>
        <w:rPr>
          <w:color w:val="231F20"/>
          <w:spacing w:val="-4"/>
          <w:sz w:val="20"/>
        </w:rPr>
        <w:t>(e.g., </w:t>
      </w:r>
      <w:r>
        <w:rPr>
          <w:color w:val="231F20"/>
          <w:sz w:val="20"/>
        </w:rPr>
        <w:t>prolongation of the carrier state with salmonellosis); </w:t>
      </w:r>
      <w:r>
        <w:rPr>
          <w:color w:val="231F20"/>
          <w:spacing w:val="43"/>
          <w:sz w:val="20"/>
        </w:rPr>
        <w:t> </w:t>
      </w:r>
      <w:r>
        <w:rPr>
          <w:color w:val="231F20"/>
          <w:sz w:val="20"/>
        </w:rPr>
        <w:t>and</w:t>
      </w:r>
    </w:p>
    <w:p>
      <w:pPr>
        <w:pStyle w:val="ListParagraph"/>
        <w:numPr>
          <w:ilvl w:val="0"/>
          <w:numId w:val="11"/>
        </w:numPr>
        <w:tabs>
          <w:tab w:pos="501" w:val="left" w:leader="none"/>
        </w:tabs>
        <w:spacing w:line="266" w:lineRule="auto" w:before="90" w:after="0"/>
        <w:ind w:left="500" w:right="1119" w:hanging="170"/>
        <w:jc w:val="left"/>
        <w:rPr>
          <w:sz w:val="20"/>
        </w:rPr>
      </w:pPr>
      <w:r>
        <w:rPr>
          <w:color w:val="231F20"/>
          <w:sz w:val="20"/>
        </w:rPr>
        <w:t>Guide the use of invasive diagnostic techniques </w:t>
      </w:r>
      <w:r>
        <w:rPr>
          <w:color w:val="231F20"/>
          <w:spacing w:val="-4"/>
          <w:sz w:val="20"/>
        </w:rPr>
        <w:t>(e.g., </w:t>
      </w:r>
      <w:r>
        <w:rPr>
          <w:color w:val="231F20"/>
          <w:sz w:val="20"/>
        </w:rPr>
        <w:t>avoid colonoscopy if an infectious etiology is</w:t>
      </w:r>
      <w:r>
        <w:rPr>
          <w:color w:val="231F20"/>
          <w:spacing w:val="43"/>
          <w:sz w:val="20"/>
        </w:rPr>
        <w:t> </w:t>
      </w:r>
      <w:r>
        <w:rPr>
          <w:color w:val="231F20"/>
          <w:sz w:val="20"/>
        </w:rPr>
        <w:t>identified).</w:t>
      </w:r>
    </w:p>
    <w:p>
      <w:pPr>
        <w:pStyle w:val="BodyText"/>
        <w:spacing w:line="268" w:lineRule="auto" w:before="180"/>
        <w:ind w:left="330" w:right="753"/>
        <w:rPr>
          <w:sz w:val="11"/>
        </w:rPr>
      </w:pPr>
      <w:r>
        <w:rPr>
          <w:color w:val="231F20"/>
          <w:w w:val="105"/>
        </w:rPr>
        <w:t>From a public health perspective, a pathogen- specific diagnosis with subtyping and prompt notification of public health authorities </w:t>
      </w:r>
      <w:r>
        <w:rPr>
          <w:color w:val="231F20"/>
          <w:w w:val="105"/>
          <w:position w:val="-6"/>
        </w:rPr>
        <w:t>can:</w:t>
      </w:r>
      <w:r>
        <w:rPr>
          <w:color w:val="231F20"/>
          <w:w w:val="105"/>
          <w:sz w:val="11"/>
        </w:rPr>
        <w:t>100,101</w:t>
      </w:r>
    </w:p>
    <w:p>
      <w:pPr>
        <w:pStyle w:val="ListParagraph"/>
        <w:numPr>
          <w:ilvl w:val="0"/>
          <w:numId w:val="11"/>
        </w:numPr>
        <w:tabs>
          <w:tab w:pos="501" w:val="left" w:leader="none"/>
        </w:tabs>
        <w:spacing w:line="266" w:lineRule="auto" w:before="174" w:after="0"/>
        <w:ind w:left="500" w:right="1267" w:hanging="170"/>
        <w:jc w:val="left"/>
        <w:rPr>
          <w:sz w:val="20"/>
        </w:rPr>
      </w:pPr>
      <w:r>
        <w:rPr>
          <w:color w:val="231F20"/>
          <w:sz w:val="20"/>
        </w:rPr>
        <w:t>Enhance actions to prevent the spread of  infection to others through</w:t>
      </w:r>
      <w:r>
        <w:rPr>
          <w:color w:val="231F20"/>
          <w:spacing w:val="23"/>
          <w:sz w:val="20"/>
        </w:rPr>
        <w:t> </w:t>
      </w:r>
      <w:r>
        <w:rPr>
          <w:color w:val="231F20"/>
          <w:sz w:val="20"/>
        </w:rPr>
        <w:t>patient</w:t>
      </w:r>
    </w:p>
    <w:p>
      <w:pPr>
        <w:pStyle w:val="BodyText"/>
        <w:spacing w:line="266" w:lineRule="auto"/>
        <w:ind w:left="500" w:right="786"/>
      </w:pPr>
      <w:r>
        <w:rPr>
          <w:color w:val="231F20"/>
          <w:w w:val="105"/>
        </w:rPr>
        <w:t>education and exclusion of ill persons from food preparation or care of individuals</w:t>
      </w:r>
    </w:p>
    <w:p>
      <w:pPr>
        <w:pStyle w:val="BodyText"/>
        <w:spacing w:line="266" w:lineRule="auto"/>
        <w:ind w:left="500" w:right="681"/>
      </w:pPr>
      <w:r>
        <w:rPr>
          <w:color w:val="231F20"/>
        </w:rPr>
        <w:t>at increased risk for poor outcomes from foodborne diseases;</w:t>
      </w:r>
    </w:p>
    <w:p>
      <w:pPr>
        <w:spacing w:after="0" w:line="266" w:lineRule="auto"/>
        <w:sectPr>
          <w:type w:val="continuous"/>
          <w:pgSz w:w="10080" w:h="14400"/>
          <w:pgMar w:top="0" w:bottom="360" w:left="0" w:right="0"/>
          <w:cols w:num="2" w:equalWidth="0">
            <w:col w:w="5210" w:space="40"/>
            <w:col w:w="4830"/>
          </w:cols>
        </w:sectPr>
      </w:pPr>
    </w:p>
    <w:p>
      <w:pPr>
        <w:pStyle w:val="BodyText"/>
        <w:spacing w:before="8"/>
        <w:rPr>
          <w:sz w:val="26"/>
        </w:rPr>
      </w:pPr>
    </w:p>
    <w:p>
      <w:pPr>
        <w:pStyle w:val="Heading1"/>
        <w:ind w:left="720"/>
      </w:pPr>
      <w:r>
        <w:rPr/>
        <w:pict>
          <v:line style="position:absolute;mso-position-horizontal-relative:page;mso-position-vertical-relative:paragraph;z-index:3328;mso-wrap-distance-left:0;mso-wrap-distance-right:0" from="36pt,23.995163pt" to="432pt,23.995163pt" stroked="true" strokeweight=".5pt" strokecolor="#00a94f">
            <v:stroke dashstyle="solid"/>
            <w10:wrap type="topAndBottom"/>
          </v:line>
        </w:pict>
      </w:r>
      <w:r>
        <w:rPr>
          <w:color w:val="00A94F"/>
          <w:w w:val="95"/>
        </w:rPr>
        <w:t>2.3. Trends in Surveillance</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ListParagraph"/>
        <w:numPr>
          <w:ilvl w:val="1"/>
          <w:numId w:val="11"/>
        </w:numPr>
        <w:tabs>
          <w:tab w:pos="891" w:val="left" w:leader="none"/>
        </w:tabs>
        <w:spacing w:line="266" w:lineRule="auto" w:before="108" w:after="0"/>
        <w:ind w:left="890" w:right="575" w:hanging="170"/>
        <w:jc w:val="left"/>
        <w:rPr>
          <w:sz w:val="20"/>
        </w:rPr>
      </w:pPr>
      <w:r>
        <w:rPr>
          <w:color w:val="231F20"/>
          <w:w w:val="105"/>
          <w:sz w:val="20"/>
        </w:rPr>
        <w:t>Allow</w:t>
      </w:r>
      <w:r>
        <w:rPr>
          <w:color w:val="231F20"/>
          <w:spacing w:val="-20"/>
          <w:w w:val="105"/>
          <w:sz w:val="20"/>
        </w:rPr>
        <w:t> </w:t>
      </w:r>
      <w:r>
        <w:rPr>
          <w:color w:val="231F20"/>
          <w:w w:val="105"/>
          <w:sz w:val="20"/>
        </w:rPr>
        <w:t>tracking</w:t>
      </w:r>
      <w:r>
        <w:rPr>
          <w:color w:val="231F20"/>
          <w:spacing w:val="-21"/>
          <w:w w:val="105"/>
          <w:sz w:val="20"/>
        </w:rPr>
        <w:t> </w:t>
      </w:r>
      <w:r>
        <w:rPr>
          <w:color w:val="231F20"/>
          <w:w w:val="105"/>
          <w:sz w:val="20"/>
        </w:rPr>
        <w:t>of trends</w:t>
      </w:r>
      <w:r>
        <w:rPr>
          <w:color w:val="231F20"/>
          <w:spacing w:val="-20"/>
          <w:w w:val="105"/>
          <w:sz w:val="20"/>
        </w:rPr>
        <w:t> </w:t>
      </w:r>
      <w:r>
        <w:rPr>
          <w:color w:val="231F20"/>
          <w:w w:val="105"/>
          <w:sz w:val="20"/>
        </w:rPr>
        <w:t>in</w:t>
      </w:r>
      <w:r>
        <w:rPr>
          <w:color w:val="231F20"/>
          <w:spacing w:val="-20"/>
          <w:w w:val="105"/>
          <w:sz w:val="20"/>
        </w:rPr>
        <w:t> </w:t>
      </w:r>
      <w:r>
        <w:rPr>
          <w:color w:val="231F20"/>
          <w:w w:val="105"/>
          <w:sz w:val="20"/>
        </w:rPr>
        <w:t>foodborne diseases through</w:t>
      </w:r>
      <w:r>
        <w:rPr>
          <w:color w:val="231F20"/>
          <w:spacing w:val="-42"/>
          <w:w w:val="105"/>
          <w:sz w:val="20"/>
        </w:rPr>
        <w:t> </w:t>
      </w:r>
      <w:r>
        <w:rPr>
          <w:color w:val="231F20"/>
          <w:w w:val="105"/>
          <w:sz w:val="20"/>
        </w:rPr>
        <w:t>surveillance;</w:t>
      </w:r>
    </w:p>
    <w:p>
      <w:pPr>
        <w:pStyle w:val="ListParagraph"/>
        <w:numPr>
          <w:ilvl w:val="1"/>
          <w:numId w:val="11"/>
        </w:numPr>
        <w:tabs>
          <w:tab w:pos="891" w:val="left" w:leader="none"/>
        </w:tabs>
        <w:spacing w:line="266" w:lineRule="auto" w:before="90" w:after="0"/>
        <w:ind w:left="890" w:right="0" w:hanging="170"/>
        <w:jc w:val="left"/>
        <w:rPr>
          <w:sz w:val="20"/>
        </w:rPr>
      </w:pPr>
      <w:r>
        <w:rPr>
          <w:color w:val="231F20"/>
          <w:w w:val="105"/>
          <w:sz w:val="20"/>
        </w:rPr>
        <w:t>Enhance the detection and control of outbreaks, particularly outbreaks caused </w:t>
      </w:r>
      <w:r>
        <w:rPr>
          <w:color w:val="231F20"/>
          <w:spacing w:val="-3"/>
          <w:w w:val="105"/>
          <w:sz w:val="20"/>
        </w:rPr>
        <w:t>by </w:t>
      </w:r>
      <w:r>
        <w:rPr>
          <w:color w:val="231F20"/>
          <w:w w:val="105"/>
          <w:sz w:val="20"/>
        </w:rPr>
        <w:t>low-level</w:t>
      </w:r>
      <w:r>
        <w:rPr>
          <w:color w:val="231F20"/>
          <w:spacing w:val="-27"/>
          <w:w w:val="105"/>
          <w:sz w:val="20"/>
        </w:rPr>
        <w:t> </w:t>
      </w:r>
      <w:r>
        <w:rPr>
          <w:color w:val="231F20"/>
          <w:w w:val="105"/>
          <w:sz w:val="20"/>
        </w:rPr>
        <w:t>contamination</w:t>
      </w:r>
      <w:r>
        <w:rPr>
          <w:color w:val="231F20"/>
          <w:spacing w:val="-27"/>
          <w:w w:val="105"/>
          <w:sz w:val="20"/>
        </w:rPr>
        <w:t> </w:t>
      </w:r>
      <w:r>
        <w:rPr>
          <w:color w:val="231F20"/>
          <w:w w:val="105"/>
          <w:sz w:val="20"/>
        </w:rPr>
        <w:t>of</w:t>
      </w:r>
      <w:r>
        <w:rPr>
          <w:color w:val="231F20"/>
          <w:spacing w:val="-11"/>
          <w:w w:val="105"/>
          <w:sz w:val="20"/>
        </w:rPr>
        <w:t> </w:t>
      </w:r>
      <w:r>
        <w:rPr>
          <w:color w:val="231F20"/>
          <w:w w:val="105"/>
          <w:sz w:val="20"/>
        </w:rPr>
        <w:t>food</w:t>
      </w:r>
      <w:r>
        <w:rPr>
          <w:color w:val="231F20"/>
          <w:spacing w:val="-27"/>
          <w:w w:val="105"/>
          <w:sz w:val="20"/>
        </w:rPr>
        <w:t> </w:t>
      </w:r>
      <w:r>
        <w:rPr>
          <w:color w:val="231F20"/>
          <w:w w:val="105"/>
          <w:sz w:val="20"/>
        </w:rPr>
        <w:t>or</w:t>
      </w:r>
      <w:r>
        <w:rPr>
          <w:color w:val="231F20"/>
          <w:spacing w:val="-27"/>
          <w:w w:val="105"/>
          <w:sz w:val="20"/>
        </w:rPr>
        <w:t> </w:t>
      </w:r>
      <w:r>
        <w:rPr>
          <w:color w:val="231F20"/>
          <w:w w:val="105"/>
          <w:sz w:val="20"/>
        </w:rPr>
        <w:t>exposures </w:t>
      </w:r>
      <w:r>
        <w:rPr>
          <w:color w:val="231F20"/>
          <w:spacing w:val="-3"/>
          <w:w w:val="105"/>
          <w:sz w:val="20"/>
        </w:rPr>
        <w:t>over </w:t>
      </w:r>
      <w:r>
        <w:rPr>
          <w:color w:val="231F20"/>
          <w:w w:val="105"/>
          <w:sz w:val="20"/>
        </w:rPr>
        <w:t>a wide geographic</w:t>
      </w:r>
      <w:r>
        <w:rPr>
          <w:color w:val="231F20"/>
          <w:spacing w:val="13"/>
          <w:w w:val="105"/>
          <w:sz w:val="20"/>
        </w:rPr>
        <w:t> </w:t>
      </w:r>
      <w:r>
        <w:rPr>
          <w:color w:val="231F20"/>
          <w:w w:val="105"/>
          <w:sz w:val="20"/>
        </w:rPr>
        <w:t>area;</w:t>
      </w:r>
    </w:p>
    <w:p>
      <w:pPr>
        <w:pStyle w:val="ListParagraph"/>
        <w:numPr>
          <w:ilvl w:val="1"/>
          <w:numId w:val="11"/>
        </w:numPr>
        <w:tabs>
          <w:tab w:pos="891" w:val="left" w:leader="none"/>
        </w:tabs>
        <w:spacing w:line="266" w:lineRule="auto" w:before="90" w:after="0"/>
        <w:ind w:left="890" w:right="75" w:hanging="170"/>
        <w:jc w:val="left"/>
        <w:rPr>
          <w:sz w:val="20"/>
        </w:rPr>
      </w:pPr>
      <w:r>
        <w:rPr>
          <w:color w:val="231F20"/>
          <w:w w:val="105"/>
          <w:sz w:val="20"/>
        </w:rPr>
        <w:t>Provide</w:t>
      </w:r>
      <w:r>
        <w:rPr>
          <w:color w:val="231F20"/>
          <w:spacing w:val="-16"/>
          <w:w w:val="105"/>
          <w:sz w:val="20"/>
        </w:rPr>
        <w:t> </w:t>
      </w:r>
      <w:r>
        <w:rPr>
          <w:color w:val="231F20"/>
          <w:w w:val="105"/>
          <w:sz w:val="20"/>
        </w:rPr>
        <w:t>antimicrobial</w:t>
      </w:r>
      <w:r>
        <w:rPr>
          <w:color w:val="231F20"/>
          <w:spacing w:val="-16"/>
          <w:w w:val="105"/>
          <w:sz w:val="20"/>
        </w:rPr>
        <w:t> </w:t>
      </w:r>
      <w:r>
        <w:rPr>
          <w:color w:val="231F20"/>
          <w:w w:val="105"/>
          <w:sz w:val="20"/>
        </w:rPr>
        <w:t>sensitivity</w:t>
      </w:r>
      <w:r>
        <w:rPr>
          <w:color w:val="231F20"/>
          <w:spacing w:val="-16"/>
          <w:w w:val="105"/>
          <w:sz w:val="20"/>
        </w:rPr>
        <w:t> </w:t>
      </w:r>
      <w:r>
        <w:rPr>
          <w:color w:val="231F20"/>
          <w:w w:val="105"/>
          <w:sz w:val="20"/>
        </w:rPr>
        <w:t>data</w:t>
      </w:r>
      <w:r>
        <w:rPr>
          <w:color w:val="231F20"/>
          <w:spacing w:val="-17"/>
          <w:w w:val="105"/>
          <w:sz w:val="20"/>
        </w:rPr>
        <w:t> </w:t>
      </w:r>
      <w:r>
        <w:rPr>
          <w:color w:val="231F20"/>
          <w:w w:val="105"/>
          <w:sz w:val="20"/>
        </w:rPr>
        <w:t>for</w:t>
      </w:r>
      <w:r>
        <w:rPr>
          <w:color w:val="231F20"/>
          <w:spacing w:val="-16"/>
          <w:w w:val="105"/>
          <w:sz w:val="20"/>
        </w:rPr>
        <w:t> </w:t>
      </w:r>
      <w:r>
        <w:rPr>
          <w:color w:val="231F20"/>
          <w:w w:val="105"/>
          <w:sz w:val="20"/>
        </w:rPr>
        <w:t>the community;</w:t>
      </w:r>
    </w:p>
    <w:p>
      <w:pPr>
        <w:pStyle w:val="ListParagraph"/>
        <w:numPr>
          <w:ilvl w:val="1"/>
          <w:numId w:val="11"/>
        </w:numPr>
        <w:tabs>
          <w:tab w:pos="891" w:val="left" w:leader="none"/>
        </w:tabs>
        <w:spacing w:line="266" w:lineRule="auto" w:before="90" w:after="0"/>
        <w:ind w:left="890" w:right="296" w:hanging="170"/>
        <w:jc w:val="left"/>
        <w:rPr>
          <w:sz w:val="20"/>
        </w:rPr>
      </w:pPr>
      <w:r>
        <w:rPr>
          <w:color w:val="231F20"/>
          <w:w w:val="105"/>
          <w:sz w:val="20"/>
        </w:rPr>
        <w:t>Prevent</w:t>
      </w:r>
      <w:r>
        <w:rPr>
          <w:color w:val="231F20"/>
          <w:spacing w:val="-15"/>
          <w:w w:val="105"/>
          <w:sz w:val="20"/>
        </w:rPr>
        <w:t> </w:t>
      </w:r>
      <w:r>
        <w:rPr>
          <w:color w:val="231F20"/>
          <w:w w:val="105"/>
          <w:sz w:val="20"/>
        </w:rPr>
        <w:t>the</w:t>
      </w:r>
      <w:r>
        <w:rPr>
          <w:color w:val="231F20"/>
          <w:spacing w:val="-15"/>
          <w:w w:val="105"/>
          <w:sz w:val="20"/>
        </w:rPr>
        <w:t> </w:t>
      </w:r>
      <w:r>
        <w:rPr>
          <w:color w:val="231F20"/>
          <w:w w:val="105"/>
          <w:sz w:val="20"/>
        </w:rPr>
        <w:t>emergence</w:t>
      </w:r>
      <w:r>
        <w:rPr>
          <w:color w:val="231F20"/>
          <w:spacing w:val="-15"/>
          <w:w w:val="105"/>
          <w:sz w:val="20"/>
        </w:rPr>
        <w:t> </w:t>
      </w:r>
      <w:r>
        <w:rPr>
          <w:color w:val="231F20"/>
          <w:w w:val="105"/>
          <w:sz w:val="20"/>
        </w:rPr>
        <w:t>of</w:t>
      </w:r>
      <w:r>
        <w:rPr>
          <w:color w:val="231F20"/>
          <w:spacing w:val="8"/>
          <w:w w:val="105"/>
          <w:sz w:val="20"/>
        </w:rPr>
        <w:t> </w:t>
      </w:r>
      <w:r>
        <w:rPr>
          <w:color w:val="231F20"/>
          <w:w w:val="105"/>
          <w:sz w:val="20"/>
        </w:rPr>
        <w:t>drug</w:t>
      </w:r>
      <w:r>
        <w:rPr>
          <w:color w:val="231F20"/>
          <w:spacing w:val="-14"/>
          <w:w w:val="105"/>
          <w:sz w:val="20"/>
        </w:rPr>
        <w:t> </w:t>
      </w:r>
      <w:r>
        <w:rPr>
          <w:color w:val="231F20"/>
          <w:w w:val="105"/>
          <w:sz w:val="20"/>
        </w:rPr>
        <w:t>resistance through</w:t>
      </w:r>
      <w:r>
        <w:rPr>
          <w:color w:val="231F20"/>
          <w:spacing w:val="-16"/>
          <w:w w:val="105"/>
          <w:sz w:val="20"/>
        </w:rPr>
        <w:t> </w:t>
      </w:r>
      <w:r>
        <w:rPr>
          <w:color w:val="231F20"/>
          <w:w w:val="105"/>
          <w:sz w:val="20"/>
        </w:rPr>
        <w:t>the</w:t>
      </w:r>
      <w:r>
        <w:rPr>
          <w:color w:val="231F20"/>
          <w:spacing w:val="-17"/>
          <w:w w:val="105"/>
          <w:sz w:val="20"/>
        </w:rPr>
        <w:t> </w:t>
      </w:r>
      <w:r>
        <w:rPr>
          <w:color w:val="231F20"/>
          <w:w w:val="105"/>
          <w:sz w:val="20"/>
        </w:rPr>
        <w:t>more</w:t>
      </w:r>
      <w:r>
        <w:rPr>
          <w:color w:val="231F20"/>
          <w:spacing w:val="-16"/>
          <w:w w:val="105"/>
          <w:sz w:val="20"/>
        </w:rPr>
        <w:t> </w:t>
      </w:r>
      <w:r>
        <w:rPr>
          <w:color w:val="231F20"/>
          <w:w w:val="105"/>
          <w:sz w:val="20"/>
        </w:rPr>
        <w:t>judicious</w:t>
      </w:r>
      <w:r>
        <w:rPr>
          <w:color w:val="231F20"/>
          <w:spacing w:val="-17"/>
          <w:w w:val="105"/>
          <w:sz w:val="20"/>
        </w:rPr>
        <w:t> </w:t>
      </w:r>
      <w:r>
        <w:rPr>
          <w:color w:val="231F20"/>
          <w:w w:val="105"/>
          <w:sz w:val="20"/>
        </w:rPr>
        <w:t>use</w:t>
      </w:r>
      <w:r>
        <w:rPr>
          <w:color w:val="231F20"/>
          <w:spacing w:val="-16"/>
          <w:w w:val="105"/>
          <w:sz w:val="20"/>
        </w:rPr>
        <w:t> </w:t>
      </w:r>
      <w:r>
        <w:rPr>
          <w:color w:val="231F20"/>
          <w:w w:val="105"/>
          <w:sz w:val="20"/>
        </w:rPr>
        <w:t>of</w:t>
      </w:r>
    </w:p>
    <w:p>
      <w:pPr>
        <w:pStyle w:val="BodyText"/>
        <w:spacing w:line="266" w:lineRule="auto"/>
        <w:ind w:left="890" w:right="7"/>
      </w:pPr>
      <w:r>
        <w:rPr>
          <w:color w:val="231F20"/>
          <w:w w:val="105"/>
        </w:rPr>
        <w:t>antibiotics</w:t>
      </w:r>
      <w:r>
        <w:rPr>
          <w:color w:val="231F20"/>
          <w:spacing w:val="-16"/>
          <w:w w:val="105"/>
        </w:rPr>
        <w:t> </w:t>
      </w:r>
      <w:r>
        <w:rPr>
          <w:color w:val="231F20"/>
          <w:w w:val="105"/>
        </w:rPr>
        <w:t>and</w:t>
      </w:r>
      <w:r>
        <w:rPr>
          <w:color w:val="231F20"/>
          <w:spacing w:val="-16"/>
          <w:w w:val="105"/>
        </w:rPr>
        <w:t> </w:t>
      </w:r>
      <w:r>
        <w:rPr>
          <w:color w:val="231F20"/>
          <w:w w:val="105"/>
        </w:rPr>
        <w:t>avoidance</w:t>
      </w:r>
      <w:r>
        <w:rPr>
          <w:color w:val="231F20"/>
          <w:spacing w:val="-16"/>
          <w:w w:val="105"/>
        </w:rPr>
        <w:t> </w:t>
      </w:r>
      <w:r>
        <w:rPr>
          <w:color w:val="231F20"/>
          <w:w w:val="105"/>
        </w:rPr>
        <w:t>of</w:t>
      </w:r>
      <w:r>
        <w:rPr>
          <w:color w:val="231F20"/>
          <w:spacing w:val="5"/>
          <w:w w:val="105"/>
        </w:rPr>
        <w:t> </w:t>
      </w:r>
      <w:r>
        <w:rPr>
          <w:color w:val="231F20"/>
          <w:w w:val="105"/>
        </w:rPr>
        <w:t>broad-spectrum antibiotics;</w:t>
      </w:r>
      <w:r>
        <w:rPr>
          <w:color w:val="231F20"/>
          <w:spacing w:val="-7"/>
          <w:w w:val="105"/>
        </w:rPr>
        <w:t> </w:t>
      </w:r>
      <w:r>
        <w:rPr>
          <w:color w:val="231F20"/>
          <w:w w:val="105"/>
        </w:rPr>
        <w:t>and</w:t>
      </w:r>
    </w:p>
    <w:p>
      <w:pPr>
        <w:pStyle w:val="ListParagraph"/>
        <w:numPr>
          <w:ilvl w:val="1"/>
          <w:numId w:val="11"/>
        </w:numPr>
        <w:tabs>
          <w:tab w:pos="891" w:val="left" w:leader="none"/>
        </w:tabs>
        <w:spacing w:line="266" w:lineRule="auto" w:before="90" w:after="0"/>
        <w:ind w:left="890" w:right="121" w:hanging="170"/>
        <w:jc w:val="left"/>
        <w:rPr>
          <w:sz w:val="20"/>
        </w:rPr>
      </w:pPr>
      <w:r>
        <w:rPr>
          <w:color w:val="231F20"/>
          <w:sz w:val="20"/>
        </w:rPr>
        <w:t>Support studies of sporadic, non-outbreak– associated illnesses to describe changing epidemiology and identification of new risk factors.</w:t>
      </w:r>
    </w:p>
    <w:p>
      <w:pPr>
        <w:pStyle w:val="BodyText"/>
        <w:spacing w:line="266" w:lineRule="auto" w:before="180"/>
        <w:ind w:left="720" w:right="105"/>
        <w:jc w:val="both"/>
      </w:pPr>
      <w:r>
        <w:rPr>
          <w:color w:val="231F20"/>
        </w:rPr>
        <w:t>Improved disease detection and completeness of reporting would facilitate the above patient care and public health goals.  Nonetheless,</w:t>
      </w:r>
    </w:p>
    <w:p>
      <w:pPr>
        <w:pStyle w:val="BodyText"/>
        <w:spacing w:line="266" w:lineRule="auto"/>
        <w:ind w:left="720" w:right="88"/>
      </w:pPr>
      <w:r>
        <w:rPr>
          <w:color w:val="231F20"/>
          <w:w w:val="105"/>
        </w:rPr>
        <w:t>it should still be appreciated that even with the capture of only a fraction of foodborne illnesses through surveillance, these intensely investigated</w:t>
      </w:r>
      <w:r>
        <w:rPr>
          <w:color w:val="231F20"/>
          <w:spacing w:val="-24"/>
          <w:w w:val="105"/>
        </w:rPr>
        <w:t> </w:t>
      </w:r>
      <w:r>
        <w:rPr>
          <w:color w:val="231F20"/>
          <w:w w:val="105"/>
        </w:rPr>
        <w:t>events</w:t>
      </w:r>
      <w:r>
        <w:rPr>
          <w:color w:val="231F20"/>
          <w:spacing w:val="-24"/>
          <w:w w:val="105"/>
        </w:rPr>
        <w:t> </w:t>
      </w:r>
      <w:r>
        <w:rPr>
          <w:color w:val="231F20"/>
          <w:w w:val="105"/>
        </w:rPr>
        <w:t>shed</w:t>
      </w:r>
      <w:r>
        <w:rPr>
          <w:color w:val="231F20"/>
          <w:spacing w:val="-24"/>
          <w:w w:val="105"/>
        </w:rPr>
        <w:t> </w:t>
      </w:r>
      <w:r>
        <w:rPr>
          <w:color w:val="231F20"/>
          <w:w w:val="105"/>
        </w:rPr>
        <w:t>light</w:t>
      </w:r>
      <w:r>
        <w:rPr>
          <w:color w:val="231F20"/>
          <w:spacing w:val="-24"/>
          <w:w w:val="105"/>
        </w:rPr>
        <w:t> </w:t>
      </w:r>
      <w:r>
        <w:rPr>
          <w:color w:val="231F20"/>
          <w:w w:val="105"/>
        </w:rPr>
        <w:t>on</w:t>
      </w:r>
      <w:r>
        <w:rPr>
          <w:color w:val="231F20"/>
          <w:spacing w:val="-24"/>
          <w:w w:val="105"/>
        </w:rPr>
        <w:t> </w:t>
      </w:r>
      <w:r>
        <w:rPr>
          <w:color w:val="231F20"/>
          <w:w w:val="105"/>
        </w:rPr>
        <w:t>food</w:t>
      </w:r>
      <w:r>
        <w:rPr>
          <w:color w:val="231F20"/>
          <w:spacing w:val="-24"/>
          <w:w w:val="105"/>
        </w:rPr>
        <w:t> </w:t>
      </w:r>
      <w:r>
        <w:rPr>
          <w:color w:val="231F20"/>
          <w:w w:val="105"/>
        </w:rPr>
        <w:t>vehicles, settings,</w:t>
      </w:r>
      <w:r>
        <w:rPr>
          <w:color w:val="231F20"/>
          <w:spacing w:val="-35"/>
          <w:w w:val="105"/>
        </w:rPr>
        <w:t> </w:t>
      </w:r>
      <w:r>
        <w:rPr>
          <w:color w:val="231F20"/>
          <w:w w:val="105"/>
        </w:rPr>
        <w:t>pathogens,</w:t>
      </w:r>
      <w:r>
        <w:rPr>
          <w:color w:val="231F20"/>
          <w:spacing w:val="-35"/>
          <w:w w:val="105"/>
        </w:rPr>
        <w:t> </w:t>
      </w:r>
      <w:r>
        <w:rPr>
          <w:color w:val="231F20"/>
          <w:w w:val="105"/>
        </w:rPr>
        <w:t>contributing</w:t>
      </w:r>
      <w:r>
        <w:rPr>
          <w:color w:val="231F20"/>
          <w:spacing w:val="-35"/>
          <w:w w:val="105"/>
        </w:rPr>
        <w:t> </w:t>
      </w:r>
      <w:r>
        <w:rPr>
          <w:color w:val="231F20"/>
          <w:w w:val="105"/>
        </w:rPr>
        <w:t>factors,</w:t>
      </w:r>
    </w:p>
    <w:p>
      <w:pPr>
        <w:pStyle w:val="BodyText"/>
        <w:spacing w:line="266" w:lineRule="auto"/>
        <w:ind w:left="720" w:right="156"/>
      </w:pPr>
      <w:r>
        <w:rPr>
          <w:color w:val="231F20"/>
          <w:w w:val="105"/>
        </w:rPr>
        <w:t>and environmental antecedents, and provide extremely valuable information.</w:t>
      </w:r>
    </w:p>
    <w:p>
      <w:pPr>
        <w:pStyle w:val="ListParagraph"/>
        <w:numPr>
          <w:ilvl w:val="3"/>
          <w:numId w:val="12"/>
        </w:numPr>
        <w:tabs>
          <w:tab w:pos="1362" w:val="left" w:leader="none"/>
        </w:tabs>
        <w:spacing w:line="266" w:lineRule="auto" w:before="180" w:after="0"/>
        <w:ind w:left="720" w:right="222" w:firstLine="0"/>
        <w:jc w:val="left"/>
        <w:rPr>
          <w:sz w:val="20"/>
        </w:rPr>
      </w:pPr>
      <w:r>
        <w:rPr>
          <w:i/>
          <w:color w:val="E36F1E"/>
          <w:w w:val="105"/>
          <w:sz w:val="20"/>
        </w:rPr>
        <w:t>Culture-independent diagnostic tests </w:t>
      </w:r>
      <w:r>
        <w:rPr>
          <w:color w:val="231F20"/>
          <w:w w:val="105"/>
          <w:sz w:val="20"/>
        </w:rPr>
        <w:t>Culture-independent diagnostic tests are also threatening surveillance and outbreak detection efforts. These tests, largely based on enzyme immunoassays and similar procedures,</w:t>
      </w:r>
      <w:r>
        <w:rPr>
          <w:color w:val="231F20"/>
          <w:spacing w:val="-15"/>
          <w:w w:val="105"/>
          <w:sz w:val="20"/>
        </w:rPr>
        <w:t> </w:t>
      </w:r>
      <w:r>
        <w:rPr>
          <w:color w:val="231F20"/>
          <w:w w:val="105"/>
          <w:sz w:val="20"/>
        </w:rPr>
        <w:t>are</w:t>
      </w:r>
      <w:r>
        <w:rPr>
          <w:color w:val="231F20"/>
          <w:spacing w:val="-15"/>
          <w:w w:val="105"/>
          <w:sz w:val="20"/>
        </w:rPr>
        <w:t> </w:t>
      </w:r>
      <w:r>
        <w:rPr>
          <w:color w:val="231F20"/>
          <w:w w:val="105"/>
          <w:sz w:val="20"/>
        </w:rPr>
        <w:t>becoming</w:t>
      </w:r>
      <w:r>
        <w:rPr>
          <w:color w:val="231F20"/>
          <w:spacing w:val="-15"/>
          <w:w w:val="105"/>
          <w:sz w:val="20"/>
        </w:rPr>
        <w:t> </w:t>
      </w:r>
      <w:r>
        <w:rPr>
          <w:color w:val="231F20"/>
          <w:w w:val="105"/>
          <w:sz w:val="20"/>
        </w:rPr>
        <w:t>available</w:t>
      </w:r>
      <w:r>
        <w:rPr>
          <w:color w:val="231F20"/>
          <w:spacing w:val="-15"/>
          <w:w w:val="105"/>
          <w:sz w:val="20"/>
        </w:rPr>
        <w:t> </w:t>
      </w:r>
      <w:r>
        <w:rPr>
          <w:color w:val="231F20"/>
          <w:w w:val="105"/>
          <w:sz w:val="20"/>
        </w:rPr>
        <w:t>for</w:t>
      </w:r>
      <w:r>
        <w:rPr>
          <w:color w:val="231F20"/>
          <w:spacing w:val="-15"/>
          <w:w w:val="105"/>
          <w:sz w:val="20"/>
        </w:rPr>
        <w:t> </w:t>
      </w:r>
      <w:r>
        <w:rPr>
          <w:color w:val="231F20"/>
          <w:w w:val="105"/>
          <w:sz w:val="20"/>
        </w:rPr>
        <w:t>some foodborne illnesses. These methods allow for a quick identification of a pathogen and rapid initiation of treatment. </w:t>
      </w:r>
      <w:r>
        <w:rPr>
          <w:color w:val="231F20"/>
          <w:spacing w:val="-5"/>
          <w:w w:val="105"/>
          <w:sz w:val="20"/>
        </w:rPr>
        <w:t>However, </w:t>
      </w:r>
      <w:r>
        <w:rPr>
          <w:color w:val="231F20"/>
          <w:w w:val="105"/>
          <w:sz w:val="20"/>
        </w:rPr>
        <w:t>they usually</w:t>
      </w:r>
      <w:r>
        <w:rPr>
          <w:color w:val="231F20"/>
          <w:spacing w:val="-7"/>
          <w:w w:val="105"/>
          <w:sz w:val="20"/>
        </w:rPr>
        <w:t> </w:t>
      </w:r>
      <w:r>
        <w:rPr>
          <w:color w:val="231F20"/>
          <w:w w:val="105"/>
          <w:sz w:val="20"/>
        </w:rPr>
        <w:t>do</w:t>
      </w:r>
      <w:r>
        <w:rPr>
          <w:color w:val="231F20"/>
          <w:spacing w:val="-6"/>
          <w:w w:val="105"/>
          <w:sz w:val="20"/>
        </w:rPr>
        <w:t> </w:t>
      </w:r>
      <w:r>
        <w:rPr>
          <w:color w:val="231F20"/>
          <w:w w:val="105"/>
          <w:sz w:val="20"/>
        </w:rPr>
        <w:t>not</w:t>
      </w:r>
      <w:r>
        <w:rPr>
          <w:color w:val="231F20"/>
          <w:spacing w:val="-6"/>
          <w:w w:val="105"/>
          <w:sz w:val="20"/>
        </w:rPr>
        <w:t> </w:t>
      </w:r>
      <w:r>
        <w:rPr>
          <w:color w:val="231F20"/>
          <w:w w:val="105"/>
          <w:sz w:val="20"/>
        </w:rPr>
        <w:t>result</w:t>
      </w:r>
      <w:r>
        <w:rPr>
          <w:color w:val="231F20"/>
          <w:spacing w:val="-7"/>
          <w:w w:val="105"/>
          <w:sz w:val="20"/>
        </w:rPr>
        <w:t> </w:t>
      </w:r>
      <w:r>
        <w:rPr>
          <w:color w:val="231F20"/>
          <w:w w:val="105"/>
          <w:sz w:val="20"/>
        </w:rPr>
        <w:t>in</w:t>
      </w:r>
      <w:r>
        <w:rPr>
          <w:color w:val="231F20"/>
          <w:spacing w:val="-7"/>
          <w:w w:val="105"/>
          <w:sz w:val="20"/>
        </w:rPr>
        <w:t> </w:t>
      </w:r>
      <w:r>
        <w:rPr>
          <w:color w:val="231F20"/>
          <w:w w:val="105"/>
          <w:sz w:val="20"/>
        </w:rPr>
        <w:t>a</w:t>
      </w:r>
      <w:r>
        <w:rPr>
          <w:color w:val="231F20"/>
          <w:spacing w:val="-6"/>
          <w:w w:val="105"/>
          <w:sz w:val="20"/>
        </w:rPr>
        <w:t> </w:t>
      </w:r>
      <w:r>
        <w:rPr>
          <w:color w:val="231F20"/>
          <w:w w:val="105"/>
          <w:sz w:val="20"/>
        </w:rPr>
        <w:t>culture</w:t>
      </w:r>
      <w:r>
        <w:rPr>
          <w:color w:val="231F20"/>
          <w:spacing w:val="-6"/>
          <w:w w:val="105"/>
          <w:sz w:val="20"/>
        </w:rPr>
        <w:t> </w:t>
      </w:r>
      <w:r>
        <w:rPr>
          <w:color w:val="231F20"/>
          <w:w w:val="105"/>
          <w:sz w:val="20"/>
        </w:rPr>
        <w:t>that</w:t>
      </w:r>
      <w:r>
        <w:rPr>
          <w:color w:val="231F20"/>
          <w:spacing w:val="-6"/>
          <w:w w:val="105"/>
          <w:sz w:val="20"/>
        </w:rPr>
        <w:t> </w:t>
      </w:r>
      <w:r>
        <w:rPr>
          <w:color w:val="231F20"/>
          <w:w w:val="105"/>
          <w:sz w:val="20"/>
        </w:rPr>
        <w:t>can</w:t>
      </w:r>
      <w:r>
        <w:rPr>
          <w:color w:val="231F20"/>
          <w:spacing w:val="-6"/>
          <w:w w:val="105"/>
          <w:sz w:val="20"/>
        </w:rPr>
        <w:t> </w:t>
      </w:r>
      <w:r>
        <w:rPr>
          <w:color w:val="231F20"/>
          <w:w w:val="105"/>
          <w:sz w:val="20"/>
        </w:rPr>
        <w:t>be</w:t>
      </w:r>
    </w:p>
    <w:p>
      <w:pPr>
        <w:pStyle w:val="BodyText"/>
        <w:spacing w:line="266" w:lineRule="auto"/>
        <w:ind w:left="720" w:right="112"/>
      </w:pPr>
      <w:r>
        <w:rPr>
          <w:color w:val="231F20"/>
          <w:w w:val="105"/>
        </w:rPr>
        <w:t>forwarded to the public health laboratory for further characterization (e.g., subtyping and antimicrobial susceptibility testing), limiting the identification of clusters, and tracking of antimicrobial resistance. Furthermore, the accuracy of culture-independent diagnostic tests differs from that of cultures, making it</w:t>
      </w:r>
    </w:p>
    <w:p>
      <w:pPr>
        <w:pStyle w:val="BodyText"/>
        <w:spacing w:line="266" w:lineRule="auto" w:before="108"/>
        <w:ind w:left="319" w:right="1856"/>
        <w:jc w:val="both"/>
        <w:rPr>
          <w:sz w:val="11"/>
        </w:rPr>
      </w:pPr>
      <w:r>
        <w:rPr/>
        <w:br w:type="column"/>
      </w:r>
      <w:r>
        <w:rPr>
          <w:color w:val="231F20"/>
          <w:w w:val="105"/>
        </w:rPr>
        <w:t>difficult</w:t>
      </w:r>
      <w:r>
        <w:rPr>
          <w:color w:val="231F20"/>
          <w:spacing w:val="-18"/>
          <w:w w:val="105"/>
        </w:rPr>
        <w:t> </w:t>
      </w:r>
      <w:r>
        <w:rPr>
          <w:color w:val="231F20"/>
          <w:w w:val="105"/>
        </w:rPr>
        <w:t>to</w:t>
      </w:r>
      <w:r>
        <w:rPr>
          <w:color w:val="231F20"/>
          <w:spacing w:val="-18"/>
          <w:w w:val="105"/>
        </w:rPr>
        <w:t> </w:t>
      </w:r>
      <w:r>
        <w:rPr>
          <w:color w:val="231F20"/>
          <w:w w:val="105"/>
        </w:rPr>
        <w:t>include</w:t>
      </w:r>
      <w:r>
        <w:rPr>
          <w:color w:val="231F20"/>
          <w:spacing w:val="-18"/>
          <w:w w:val="105"/>
        </w:rPr>
        <w:t> </w:t>
      </w:r>
      <w:r>
        <w:rPr>
          <w:color w:val="231F20"/>
          <w:w w:val="105"/>
        </w:rPr>
        <w:t>the</w:t>
      </w:r>
      <w:r>
        <w:rPr>
          <w:color w:val="231F20"/>
          <w:spacing w:val="-18"/>
          <w:w w:val="105"/>
        </w:rPr>
        <w:t> </w:t>
      </w:r>
      <w:r>
        <w:rPr>
          <w:color w:val="231F20"/>
          <w:w w:val="105"/>
        </w:rPr>
        <w:t>results</w:t>
      </w:r>
      <w:r>
        <w:rPr>
          <w:color w:val="231F20"/>
          <w:spacing w:val="-18"/>
          <w:w w:val="105"/>
        </w:rPr>
        <w:t> </w:t>
      </w:r>
      <w:r>
        <w:rPr>
          <w:color w:val="231F20"/>
          <w:w w:val="105"/>
        </w:rPr>
        <w:t>of</w:t>
      </w:r>
      <w:r>
        <w:rPr>
          <w:color w:val="231F20"/>
          <w:spacing w:val="1"/>
          <w:w w:val="105"/>
        </w:rPr>
        <w:t> </w:t>
      </w:r>
      <w:r>
        <w:rPr>
          <w:color w:val="231F20"/>
          <w:w w:val="105"/>
        </w:rPr>
        <w:t>such</w:t>
      </w:r>
      <w:r>
        <w:rPr>
          <w:color w:val="231F20"/>
          <w:spacing w:val="-18"/>
          <w:w w:val="105"/>
        </w:rPr>
        <w:t> </w:t>
      </w:r>
      <w:r>
        <w:rPr>
          <w:color w:val="231F20"/>
          <w:w w:val="105"/>
        </w:rPr>
        <w:t>tests in</w:t>
      </w:r>
      <w:r>
        <w:rPr>
          <w:color w:val="231F20"/>
          <w:spacing w:val="-15"/>
          <w:w w:val="105"/>
        </w:rPr>
        <w:t> </w:t>
      </w:r>
      <w:r>
        <w:rPr>
          <w:color w:val="231F20"/>
          <w:w w:val="105"/>
        </w:rPr>
        <w:t>the</w:t>
      </w:r>
      <w:r>
        <w:rPr>
          <w:color w:val="231F20"/>
          <w:spacing w:val="-15"/>
          <w:w w:val="105"/>
        </w:rPr>
        <w:t> </w:t>
      </w:r>
      <w:r>
        <w:rPr>
          <w:color w:val="231F20"/>
          <w:w w:val="105"/>
        </w:rPr>
        <w:t>definitions</w:t>
      </w:r>
      <w:r>
        <w:rPr>
          <w:color w:val="231F20"/>
          <w:spacing w:val="-15"/>
          <w:w w:val="105"/>
        </w:rPr>
        <w:t> </w:t>
      </w:r>
      <w:r>
        <w:rPr>
          <w:color w:val="231F20"/>
          <w:w w:val="105"/>
        </w:rPr>
        <w:t>used</w:t>
      </w:r>
      <w:r>
        <w:rPr>
          <w:color w:val="231F20"/>
          <w:spacing w:val="-15"/>
          <w:w w:val="105"/>
        </w:rPr>
        <w:t> </w:t>
      </w:r>
      <w:r>
        <w:rPr>
          <w:color w:val="231F20"/>
          <w:w w:val="105"/>
        </w:rPr>
        <w:t>in</w:t>
      </w:r>
      <w:r>
        <w:rPr>
          <w:color w:val="231F20"/>
          <w:spacing w:val="-15"/>
          <w:w w:val="105"/>
        </w:rPr>
        <w:t> </w:t>
      </w:r>
      <w:r>
        <w:rPr>
          <w:color w:val="231F20"/>
          <w:w w:val="105"/>
        </w:rPr>
        <w:t>notifiable</w:t>
      </w:r>
      <w:r>
        <w:rPr>
          <w:color w:val="231F20"/>
          <w:spacing w:val="-15"/>
          <w:w w:val="105"/>
        </w:rPr>
        <w:t> </w:t>
      </w:r>
      <w:r>
        <w:rPr>
          <w:color w:val="231F20"/>
          <w:w w:val="105"/>
        </w:rPr>
        <w:t>disease</w:t>
      </w:r>
      <w:r>
        <w:rPr>
          <w:color w:val="231F20"/>
          <w:w w:val="103"/>
        </w:rPr>
        <w:t> </w:t>
      </w:r>
      <w:r>
        <w:rPr>
          <w:color w:val="231F20"/>
          <w:spacing w:val="-1"/>
          <w:w w:val="105"/>
        </w:rPr>
        <w:t>surveillance.</w:t>
      </w:r>
      <w:r>
        <w:rPr>
          <w:color w:val="231F20"/>
          <w:spacing w:val="-1"/>
          <w:w w:val="105"/>
          <w:position w:val="7"/>
          <w:sz w:val="11"/>
        </w:rPr>
        <w:t>103, </w:t>
      </w:r>
      <w:r>
        <w:rPr>
          <w:color w:val="231F20"/>
          <w:spacing w:val="2"/>
          <w:w w:val="105"/>
          <w:position w:val="7"/>
          <w:sz w:val="11"/>
        </w:rPr>
        <w:t> </w:t>
      </w:r>
      <w:r>
        <w:rPr>
          <w:color w:val="231F20"/>
          <w:w w:val="105"/>
          <w:position w:val="7"/>
          <w:sz w:val="11"/>
        </w:rPr>
        <w:t>104</w:t>
      </w:r>
    </w:p>
    <w:p>
      <w:pPr>
        <w:pStyle w:val="BodyText"/>
        <w:spacing w:line="266" w:lineRule="auto" w:before="180"/>
        <w:ind w:left="319" w:right="1533"/>
      </w:pPr>
      <w:r>
        <w:rPr/>
        <w:pict>
          <v:rect style="position:absolute;margin-left:459pt;margin-top:-15.601821pt;width:45pt;height:18pt;mso-position-horizontal-relative:page;mso-position-vertical-relative:paragraph;z-index:3352" filled="true" fillcolor="#0079c1" stroked="false">
            <v:fill type="solid"/>
            <w10:wrap type="none"/>
          </v:rect>
        </w:pict>
      </w:r>
      <w:r>
        <w:rPr/>
        <w:pict>
          <v:line style="position:absolute;mso-position-horizontal-relative:page;mso-position-vertical-relative:paragraph;z-index:3376" from="450.5pt,-15.602221pt" to="450.5pt,226.295779pt" stroked="true" strokeweight="1pt" strokecolor="#0079c1">
            <v:stroke dashstyle="solid"/>
            <w10:wrap type="none"/>
          </v:line>
        </w:pict>
      </w:r>
      <w:r>
        <w:rPr/>
        <w:pict>
          <v:shape style="position:absolute;margin-left:465.014313pt;margin-top:6.394579pt;width:22.9pt;height:222.55pt;mso-position-horizontal-relative:page;mso-position-vertical-relative:paragraph;z-index:3400"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10.851221pt;width:15.85pt;height:8.5pt;mso-position-horizontal-relative:page;mso-position-vertical-relative:paragraph;z-index:342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spacing w:val="-11"/>
          <w:w w:val="105"/>
        </w:rPr>
        <w:t>To </w:t>
      </w:r>
      <w:r>
        <w:rPr>
          <w:color w:val="231F20"/>
          <w:w w:val="105"/>
        </w:rPr>
        <w:t>address the impact of</w:t>
      </w:r>
      <w:r>
        <w:rPr>
          <w:color w:val="231F20"/>
          <w:spacing w:val="-23"/>
          <w:w w:val="105"/>
        </w:rPr>
        <w:t> </w:t>
      </w:r>
      <w:r>
        <w:rPr>
          <w:color w:val="231F20"/>
          <w:w w:val="105"/>
        </w:rPr>
        <w:t>culture-independent diagnostic tests on foodborne disease surveillance and outbreak detection in the short</w:t>
      </w:r>
      <w:r>
        <w:rPr>
          <w:color w:val="231F20"/>
          <w:spacing w:val="-10"/>
          <w:w w:val="105"/>
        </w:rPr>
        <w:t> </w:t>
      </w:r>
      <w:r>
        <w:rPr>
          <w:color w:val="231F20"/>
          <w:w w:val="105"/>
        </w:rPr>
        <w:t>term,</w:t>
      </w:r>
      <w:r>
        <w:rPr>
          <w:color w:val="231F20"/>
          <w:spacing w:val="-10"/>
          <w:w w:val="105"/>
        </w:rPr>
        <w:t> </w:t>
      </w:r>
      <w:r>
        <w:rPr>
          <w:color w:val="231F20"/>
          <w:w w:val="105"/>
        </w:rPr>
        <w:t>steps</w:t>
      </w:r>
      <w:r>
        <w:rPr>
          <w:color w:val="231F20"/>
          <w:spacing w:val="-11"/>
          <w:w w:val="105"/>
        </w:rPr>
        <w:t> </w:t>
      </w:r>
      <w:r>
        <w:rPr>
          <w:color w:val="231F20"/>
          <w:w w:val="105"/>
        </w:rPr>
        <w:t>need</w:t>
      </w:r>
      <w:r>
        <w:rPr>
          <w:color w:val="231F20"/>
          <w:spacing w:val="-10"/>
          <w:w w:val="105"/>
        </w:rPr>
        <w:t> </w:t>
      </w:r>
      <w:r>
        <w:rPr>
          <w:color w:val="231F20"/>
          <w:w w:val="105"/>
        </w:rPr>
        <w:t>to</w:t>
      </w:r>
      <w:r>
        <w:rPr>
          <w:color w:val="231F20"/>
          <w:spacing w:val="-11"/>
          <w:w w:val="105"/>
        </w:rPr>
        <w:t> </w:t>
      </w:r>
      <w:r>
        <w:rPr>
          <w:color w:val="231F20"/>
          <w:w w:val="105"/>
        </w:rPr>
        <w:t>be</w:t>
      </w:r>
      <w:r>
        <w:rPr>
          <w:color w:val="231F20"/>
          <w:spacing w:val="-10"/>
          <w:w w:val="105"/>
        </w:rPr>
        <w:t> </w:t>
      </w:r>
      <w:r>
        <w:rPr>
          <w:color w:val="231F20"/>
          <w:w w:val="105"/>
        </w:rPr>
        <w:t>taken</w:t>
      </w:r>
      <w:r>
        <w:rPr>
          <w:color w:val="231F20"/>
          <w:spacing w:val="-11"/>
          <w:w w:val="105"/>
        </w:rPr>
        <w:t> </w:t>
      </w:r>
      <w:r>
        <w:rPr>
          <w:color w:val="231F20"/>
          <w:w w:val="105"/>
        </w:rPr>
        <w:t>to</w:t>
      </w:r>
      <w:r>
        <w:rPr>
          <w:color w:val="231F20"/>
          <w:spacing w:val="-11"/>
          <w:w w:val="105"/>
        </w:rPr>
        <w:t> </w:t>
      </w:r>
      <w:r>
        <w:rPr>
          <w:color w:val="231F20"/>
          <w:w w:val="105"/>
        </w:rPr>
        <w:t>maintain pathogen isolates for characterization at public health laboratories. This includes working</w:t>
      </w:r>
      <w:r>
        <w:rPr>
          <w:color w:val="231F20"/>
          <w:spacing w:val="-9"/>
          <w:w w:val="105"/>
        </w:rPr>
        <w:t> </w:t>
      </w:r>
      <w:r>
        <w:rPr>
          <w:color w:val="231F20"/>
          <w:w w:val="105"/>
        </w:rPr>
        <w:t>with</w:t>
      </w:r>
      <w:r>
        <w:rPr>
          <w:color w:val="231F20"/>
          <w:spacing w:val="-9"/>
          <w:w w:val="105"/>
        </w:rPr>
        <w:t> </w:t>
      </w:r>
      <w:r>
        <w:rPr>
          <w:color w:val="231F20"/>
          <w:w w:val="105"/>
        </w:rPr>
        <w:t>the</w:t>
      </w:r>
      <w:r>
        <w:rPr>
          <w:color w:val="231F20"/>
          <w:spacing w:val="-10"/>
          <w:w w:val="105"/>
        </w:rPr>
        <w:t> </w:t>
      </w:r>
      <w:r>
        <w:rPr>
          <w:color w:val="231F20"/>
          <w:w w:val="105"/>
        </w:rPr>
        <w:t>medical</w:t>
      </w:r>
      <w:r>
        <w:rPr>
          <w:color w:val="231F20"/>
          <w:spacing w:val="-9"/>
          <w:w w:val="105"/>
        </w:rPr>
        <w:t> </w:t>
      </w:r>
      <w:r>
        <w:rPr>
          <w:color w:val="231F20"/>
          <w:w w:val="105"/>
        </w:rPr>
        <w:t>device</w:t>
      </w:r>
      <w:r>
        <w:rPr>
          <w:color w:val="231F20"/>
          <w:spacing w:val="-9"/>
          <w:w w:val="105"/>
        </w:rPr>
        <w:t> </w:t>
      </w:r>
      <w:r>
        <w:rPr>
          <w:color w:val="231F20"/>
          <w:w w:val="105"/>
        </w:rPr>
        <w:t>industry</w:t>
      </w:r>
      <w:r>
        <w:rPr>
          <w:color w:val="231F20"/>
          <w:spacing w:val="-10"/>
          <w:w w:val="105"/>
        </w:rPr>
        <w:t> </w:t>
      </w:r>
      <w:r>
        <w:rPr>
          <w:color w:val="231F20"/>
          <w:w w:val="105"/>
        </w:rPr>
        <w:t>and the </w:t>
      </w:r>
      <w:r>
        <w:rPr>
          <w:color w:val="231F20"/>
          <w:spacing w:val="-5"/>
          <w:w w:val="105"/>
        </w:rPr>
        <w:t>FDA </w:t>
      </w:r>
      <w:r>
        <w:rPr>
          <w:color w:val="231F20"/>
          <w:w w:val="105"/>
        </w:rPr>
        <w:t>to ensure that specimens collected for culture-independent diagnostic tests are adequate for subsequent culture and building capacity at public health laboratories</w:t>
      </w:r>
      <w:r>
        <w:rPr>
          <w:color w:val="231F20"/>
          <w:spacing w:val="-24"/>
          <w:w w:val="105"/>
        </w:rPr>
        <w:t> </w:t>
      </w:r>
      <w:r>
        <w:rPr>
          <w:color w:val="231F20"/>
          <w:w w:val="105"/>
        </w:rPr>
        <w:t>that</w:t>
      </w:r>
    </w:p>
    <w:p>
      <w:pPr>
        <w:pStyle w:val="BodyText"/>
        <w:spacing w:line="266" w:lineRule="auto"/>
        <w:ind w:left="319" w:right="1752"/>
      </w:pPr>
      <w:r>
        <w:rPr>
          <w:color w:val="231F20"/>
          <w:w w:val="105"/>
        </w:rPr>
        <w:t>will be increasingly charged with isolating foodborne</w:t>
      </w:r>
      <w:r>
        <w:rPr>
          <w:color w:val="231F20"/>
          <w:spacing w:val="-28"/>
          <w:w w:val="105"/>
        </w:rPr>
        <w:t> </w:t>
      </w:r>
      <w:r>
        <w:rPr>
          <w:color w:val="231F20"/>
          <w:w w:val="105"/>
        </w:rPr>
        <w:t>pathogens</w:t>
      </w:r>
      <w:r>
        <w:rPr>
          <w:color w:val="231F20"/>
          <w:spacing w:val="-29"/>
          <w:w w:val="105"/>
        </w:rPr>
        <w:t> </w:t>
      </w:r>
      <w:r>
        <w:rPr>
          <w:color w:val="231F20"/>
          <w:w w:val="105"/>
        </w:rPr>
        <w:t>from</w:t>
      </w:r>
      <w:r>
        <w:rPr>
          <w:color w:val="231F20"/>
          <w:spacing w:val="-29"/>
          <w:w w:val="105"/>
        </w:rPr>
        <w:t> </w:t>
      </w:r>
      <w:r>
        <w:rPr>
          <w:color w:val="231F20"/>
          <w:w w:val="105"/>
        </w:rPr>
        <w:t>patient</w:t>
      </w:r>
      <w:r>
        <w:rPr>
          <w:color w:val="231F20"/>
          <w:spacing w:val="-29"/>
          <w:w w:val="105"/>
        </w:rPr>
        <w:t> </w:t>
      </w:r>
      <w:r>
        <w:rPr>
          <w:color w:val="231F20"/>
          <w:w w:val="105"/>
        </w:rPr>
        <w:t>samples.</w:t>
      </w:r>
    </w:p>
    <w:p>
      <w:pPr>
        <w:pStyle w:val="BodyText"/>
        <w:spacing w:line="266" w:lineRule="auto"/>
        <w:ind w:left="319" w:right="975"/>
      </w:pPr>
      <w:r>
        <w:rPr>
          <w:color w:val="231F20"/>
          <w:w w:val="105"/>
        </w:rPr>
        <w:t>In the long term, new tests for determining pathogen subtype, virulence, and antimicrobial susceptibility need to be developed that are </w:t>
      </w:r>
      <w:r>
        <w:rPr>
          <w:color w:val="231F20"/>
        </w:rPr>
        <w:t>themselves  culture-independent.</w:t>
      </w:r>
    </w:p>
    <w:p>
      <w:pPr>
        <w:pStyle w:val="ListParagraph"/>
        <w:numPr>
          <w:ilvl w:val="3"/>
          <w:numId w:val="12"/>
        </w:numPr>
        <w:tabs>
          <w:tab w:pos="962" w:val="left" w:leader="none"/>
        </w:tabs>
        <w:spacing w:line="266" w:lineRule="auto" w:before="180" w:after="0"/>
        <w:ind w:left="319" w:right="1997" w:firstLine="0"/>
        <w:jc w:val="left"/>
        <w:rPr>
          <w:i/>
          <w:sz w:val="20"/>
        </w:rPr>
      </w:pPr>
      <w:r>
        <w:rPr>
          <w:i/>
          <w:color w:val="E36F1E"/>
          <w:w w:val="105"/>
          <w:sz w:val="20"/>
        </w:rPr>
        <w:t>Quality and usefulness</w:t>
      </w:r>
      <w:r>
        <w:rPr>
          <w:i/>
          <w:color w:val="E36F1E"/>
          <w:spacing w:val="-35"/>
          <w:w w:val="105"/>
          <w:sz w:val="20"/>
        </w:rPr>
        <w:t> </w:t>
      </w:r>
      <w:r>
        <w:rPr>
          <w:i/>
          <w:color w:val="E36F1E"/>
          <w:w w:val="105"/>
          <w:sz w:val="20"/>
        </w:rPr>
        <w:t>of information </w:t>
      </w:r>
      <w:r>
        <w:rPr>
          <w:i/>
          <w:color w:val="E36F1E"/>
          <w:w w:val="105"/>
          <w:sz w:val="20"/>
        </w:rPr>
        <w:t>collected</w:t>
      </w:r>
    </w:p>
    <w:p>
      <w:pPr>
        <w:pStyle w:val="BodyText"/>
        <w:spacing w:line="266" w:lineRule="auto"/>
        <w:ind w:left="319" w:right="1506"/>
      </w:pPr>
      <w:r>
        <w:rPr>
          <w:color w:val="231F20"/>
          <w:w w:val="105"/>
        </w:rPr>
        <w:t>Many</w:t>
      </w:r>
      <w:r>
        <w:rPr>
          <w:color w:val="231F20"/>
          <w:spacing w:val="-13"/>
          <w:w w:val="105"/>
        </w:rPr>
        <w:t> </w:t>
      </w:r>
      <w:r>
        <w:rPr>
          <w:color w:val="231F20"/>
          <w:w w:val="105"/>
        </w:rPr>
        <w:t>factors</w:t>
      </w:r>
      <w:r>
        <w:rPr>
          <w:color w:val="231F20"/>
          <w:spacing w:val="-13"/>
          <w:w w:val="105"/>
        </w:rPr>
        <w:t> </w:t>
      </w:r>
      <w:r>
        <w:rPr>
          <w:color w:val="231F20"/>
          <w:w w:val="105"/>
        </w:rPr>
        <w:t>influence</w:t>
      </w:r>
      <w:r>
        <w:rPr>
          <w:color w:val="231F20"/>
          <w:spacing w:val="-13"/>
          <w:w w:val="105"/>
        </w:rPr>
        <w:t> </w:t>
      </w:r>
      <w:r>
        <w:rPr>
          <w:color w:val="231F20"/>
          <w:w w:val="105"/>
        </w:rPr>
        <w:t>decisions</w:t>
      </w:r>
      <w:r>
        <w:rPr>
          <w:color w:val="231F20"/>
          <w:spacing w:val="-13"/>
          <w:w w:val="105"/>
        </w:rPr>
        <w:t> </w:t>
      </w:r>
      <w:r>
        <w:rPr>
          <w:color w:val="231F20"/>
          <w:w w:val="105"/>
        </w:rPr>
        <w:t>about</w:t>
      </w:r>
      <w:r>
        <w:rPr>
          <w:color w:val="231F20"/>
          <w:spacing w:val="-13"/>
          <w:w w:val="105"/>
        </w:rPr>
        <w:t> </w:t>
      </w:r>
      <w:r>
        <w:rPr>
          <w:color w:val="231F20"/>
          <w:w w:val="105"/>
        </w:rPr>
        <w:t>which surveillance data to collect and how to collect them, both of which affect the quality and usefulness of the data. The contributing factor category of data reported to CDC through the Foodborne Disease Outbreak Surveillance</w:t>
      </w:r>
      <w:r>
        <w:rPr>
          <w:color w:val="231F20"/>
          <w:spacing w:val="-11"/>
          <w:w w:val="105"/>
        </w:rPr>
        <w:t> </w:t>
      </w:r>
      <w:r>
        <w:rPr>
          <w:color w:val="231F20"/>
          <w:w w:val="105"/>
        </w:rPr>
        <w:t>System</w:t>
      </w:r>
      <w:r>
        <w:rPr>
          <w:color w:val="231F20"/>
          <w:spacing w:val="-10"/>
          <w:w w:val="105"/>
        </w:rPr>
        <w:t> </w:t>
      </w:r>
      <w:r>
        <w:rPr>
          <w:color w:val="231F20"/>
          <w:w w:val="105"/>
        </w:rPr>
        <w:t>is</w:t>
      </w:r>
      <w:r>
        <w:rPr>
          <w:color w:val="231F20"/>
          <w:spacing w:val="-10"/>
          <w:w w:val="105"/>
        </w:rPr>
        <w:t> </w:t>
      </w:r>
      <w:r>
        <w:rPr>
          <w:color w:val="231F20"/>
          <w:w w:val="105"/>
        </w:rPr>
        <w:t>a</w:t>
      </w:r>
      <w:r>
        <w:rPr>
          <w:color w:val="231F20"/>
          <w:spacing w:val="-9"/>
          <w:w w:val="105"/>
        </w:rPr>
        <w:t> </w:t>
      </w:r>
      <w:r>
        <w:rPr>
          <w:color w:val="231F20"/>
          <w:w w:val="105"/>
        </w:rPr>
        <w:t>good</w:t>
      </w:r>
      <w:r>
        <w:rPr>
          <w:color w:val="231F20"/>
          <w:spacing w:val="-10"/>
          <w:w w:val="105"/>
        </w:rPr>
        <w:t> </w:t>
      </w:r>
      <w:r>
        <w:rPr>
          <w:color w:val="231F20"/>
          <w:w w:val="105"/>
        </w:rPr>
        <w:t>example</w:t>
      </w:r>
      <w:r>
        <w:rPr>
          <w:color w:val="231F20"/>
          <w:spacing w:val="-9"/>
          <w:w w:val="105"/>
        </w:rPr>
        <w:t> </w:t>
      </w:r>
      <w:r>
        <w:rPr>
          <w:color w:val="231F20"/>
          <w:w w:val="105"/>
        </w:rPr>
        <w:t>of</w:t>
      </w:r>
      <w:r>
        <w:rPr>
          <w:color w:val="231F20"/>
          <w:spacing w:val="16"/>
          <w:w w:val="105"/>
        </w:rPr>
        <w:t> </w:t>
      </w:r>
      <w:r>
        <w:rPr>
          <w:color w:val="231F20"/>
          <w:w w:val="105"/>
        </w:rPr>
        <w:t>how these</w:t>
      </w:r>
      <w:r>
        <w:rPr>
          <w:color w:val="231F20"/>
          <w:spacing w:val="-12"/>
          <w:w w:val="105"/>
        </w:rPr>
        <w:t> </w:t>
      </w:r>
      <w:r>
        <w:rPr>
          <w:color w:val="231F20"/>
          <w:w w:val="105"/>
        </w:rPr>
        <w:t>decisions</w:t>
      </w:r>
      <w:r>
        <w:rPr>
          <w:color w:val="231F20"/>
          <w:spacing w:val="-12"/>
          <w:w w:val="105"/>
        </w:rPr>
        <w:t> </w:t>
      </w:r>
      <w:r>
        <w:rPr>
          <w:color w:val="231F20"/>
          <w:w w:val="105"/>
        </w:rPr>
        <w:t>are</w:t>
      </w:r>
      <w:r>
        <w:rPr>
          <w:color w:val="231F20"/>
          <w:spacing w:val="-11"/>
          <w:w w:val="105"/>
        </w:rPr>
        <w:t> </w:t>
      </w:r>
      <w:r>
        <w:rPr>
          <w:color w:val="231F20"/>
          <w:w w:val="105"/>
        </w:rPr>
        <w:t>made</w:t>
      </w:r>
      <w:r>
        <w:rPr>
          <w:color w:val="231F20"/>
          <w:spacing w:val="-11"/>
          <w:w w:val="105"/>
        </w:rPr>
        <w:t> </w:t>
      </w:r>
      <w:r>
        <w:rPr>
          <w:color w:val="231F20"/>
          <w:w w:val="105"/>
        </w:rPr>
        <w:t>and</w:t>
      </w:r>
      <w:r>
        <w:rPr>
          <w:color w:val="231F20"/>
          <w:spacing w:val="-12"/>
          <w:w w:val="105"/>
        </w:rPr>
        <w:t> </w:t>
      </w:r>
      <w:r>
        <w:rPr>
          <w:color w:val="231F20"/>
          <w:w w:val="105"/>
        </w:rPr>
        <w:t>how</w:t>
      </w:r>
      <w:r>
        <w:rPr>
          <w:color w:val="231F20"/>
          <w:spacing w:val="-12"/>
          <w:w w:val="105"/>
        </w:rPr>
        <w:t> </w:t>
      </w:r>
      <w:r>
        <w:rPr>
          <w:color w:val="231F20"/>
          <w:w w:val="105"/>
        </w:rPr>
        <w:t>surveillance</w:t>
      </w:r>
    </w:p>
    <w:p>
      <w:pPr>
        <w:pStyle w:val="BodyText"/>
        <w:spacing w:line="266" w:lineRule="auto"/>
        <w:ind w:left="319" w:right="1463"/>
      </w:pPr>
      <w:r>
        <w:rPr>
          <w:color w:val="231F20"/>
          <w:w w:val="105"/>
        </w:rPr>
        <w:t>systems</w:t>
      </w:r>
      <w:r>
        <w:rPr>
          <w:color w:val="231F20"/>
          <w:spacing w:val="-17"/>
          <w:w w:val="105"/>
        </w:rPr>
        <w:t> </w:t>
      </w:r>
      <w:r>
        <w:rPr>
          <w:color w:val="231F20"/>
          <w:w w:val="105"/>
        </w:rPr>
        <w:t>evolve</w:t>
      </w:r>
      <w:r>
        <w:rPr>
          <w:color w:val="231F20"/>
          <w:spacing w:val="-17"/>
          <w:w w:val="105"/>
        </w:rPr>
        <w:t> </w:t>
      </w:r>
      <w:r>
        <w:rPr>
          <w:color w:val="231F20"/>
          <w:spacing w:val="-3"/>
          <w:w w:val="105"/>
        </w:rPr>
        <w:t>over</w:t>
      </w:r>
      <w:r>
        <w:rPr>
          <w:color w:val="231F20"/>
          <w:spacing w:val="-17"/>
          <w:w w:val="105"/>
        </w:rPr>
        <w:t> </w:t>
      </w:r>
      <w:r>
        <w:rPr>
          <w:color w:val="231F20"/>
          <w:w w:val="105"/>
        </w:rPr>
        <w:t>time</w:t>
      </w:r>
      <w:r>
        <w:rPr>
          <w:color w:val="231F20"/>
          <w:spacing w:val="-17"/>
          <w:w w:val="105"/>
        </w:rPr>
        <w:t> </w:t>
      </w:r>
      <w:r>
        <w:rPr>
          <w:color w:val="231F20"/>
          <w:w w:val="105"/>
        </w:rPr>
        <w:t>to</w:t>
      </w:r>
      <w:r>
        <w:rPr>
          <w:color w:val="231F20"/>
          <w:spacing w:val="-17"/>
          <w:w w:val="105"/>
        </w:rPr>
        <w:t> </w:t>
      </w:r>
      <w:r>
        <w:rPr>
          <w:color w:val="231F20"/>
          <w:w w:val="105"/>
        </w:rPr>
        <w:t>balance</w:t>
      </w:r>
      <w:r>
        <w:rPr>
          <w:color w:val="231F20"/>
          <w:spacing w:val="-17"/>
          <w:w w:val="105"/>
        </w:rPr>
        <w:t> </w:t>
      </w:r>
      <w:r>
        <w:rPr>
          <w:color w:val="231F20"/>
          <w:w w:val="105"/>
        </w:rPr>
        <w:t>user</w:t>
      </w:r>
      <w:r>
        <w:rPr>
          <w:color w:val="231F20"/>
          <w:spacing w:val="-17"/>
          <w:w w:val="105"/>
        </w:rPr>
        <w:t> </w:t>
      </w:r>
      <w:r>
        <w:rPr>
          <w:color w:val="231F20"/>
          <w:w w:val="105"/>
        </w:rPr>
        <w:t>needs, identification of data to collect, willingness of officials to report, and accuracy of officials’ reports.</w:t>
      </w:r>
    </w:p>
    <w:p>
      <w:pPr>
        <w:pStyle w:val="BodyText"/>
        <w:spacing w:line="266" w:lineRule="auto" w:before="180"/>
        <w:ind w:left="319" w:right="1624"/>
      </w:pPr>
      <w:r>
        <w:rPr>
          <w:color w:val="231F20"/>
        </w:rPr>
        <w:t>Before October 1999, contributing factor  data were reported and summarized into five broad categories: improper storage or</w:t>
      </w:r>
      <w:r>
        <w:rPr>
          <w:color w:val="231F20"/>
          <w:spacing w:val="37"/>
        </w:rPr>
        <w:t> </w:t>
      </w:r>
      <w:r>
        <w:rPr>
          <w:color w:val="231F20"/>
        </w:rPr>
        <w:t>holding</w:t>
      </w:r>
    </w:p>
    <w:p>
      <w:pPr>
        <w:pStyle w:val="BodyText"/>
        <w:spacing w:line="266" w:lineRule="auto"/>
        <w:ind w:left="319" w:right="1444"/>
        <w:jc w:val="both"/>
      </w:pPr>
      <w:r>
        <w:rPr>
          <w:color w:val="231F20"/>
        </w:rPr>
        <w:t>temperature; inadequate cooking; contaminated equipment or working surfaces; food acquisition from unsafe source; poor personal hygiene</w:t>
      </w:r>
    </w:p>
    <w:p>
      <w:pPr>
        <w:pStyle w:val="BodyText"/>
        <w:spacing w:line="266" w:lineRule="auto"/>
        <w:ind w:left="319" w:right="1545"/>
      </w:pPr>
      <w:r>
        <w:rPr>
          <w:color w:val="231F20"/>
        </w:rPr>
        <w:t>of food handler; and </w:t>
      </w:r>
      <w:r>
        <w:rPr>
          <w:color w:val="231F20"/>
          <w:spacing w:val="-4"/>
        </w:rPr>
        <w:t>other. </w:t>
      </w:r>
      <w:r>
        <w:rPr>
          <w:color w:val="231F20"/>
        </w:rPr>
        <w:t>Food-control authorities used the information, but the broad categories were not detailed enough and did not fully meet their needs. Articles </w:t>
      </w:r>
      <w:r>
        <w:rPr>
          <w:color w:val="231F20"/>
          <w:spacing w:val="-3"/>
        </w:rPr>
        <w:t>by </w:t>
      </w:r>
      <w:r>
        <w:rPr>
          <w:color w:val="231F20"/>
        </w:rPr>
        <w:t>Bryan</w:t>
      </w:r>
      <w:r>
        <w:rPr>
          <w:color w:val="231F20"/>
          <w:spacing w:val="29"/>
        </w:rPr>
        <w:t> </w:t>
      </w:r>
      <w:r>
        <w:rPr>
          <w:color w:val="231F20"/>
        </w:rPr>
        <w:t>et</w:t>
      </w:r>
    </w:p>
    <w:p>
      <w:pPr>
        <w:spacing w:after="0" w:line="266" w:lineRule="auto"/>
        <w:sectPr>
          <w:type w:val="continuous"/>
          <w:pgSz w:w="10080" w:h="14400"/>
          <w:pgMar w:top="0" w:bottom="360" w:left="0" w:right="0"/>
          <w:cols w:num="2" w:equalWidth="0">
            <w:col w:w="4501" w:space="40"/>
            <w:col w:w="5539"/>
          </w:cols>
        </w:sectPr>
      </w:pPr>
    </w:p>
    <w:p>
      <w:pPr>
        <w:pStyle w:val="BodyText"/>
        <w:spacing w:before="8"/>
        <w:rPr>
          <w:sz w:val="10"/>
        </w:rPr>
      </w:pPr>
    </w:p>
    <w:p>
      <w:pPr>
        <w:pStyle w:val="Heading1"/>
        <w:numPr>
          <w:ilvl w:val="1"/>
          <w:numId w:val="13"/>
        </w:numPr>
        <w:tabs>
          <w:tab w:pos="1985" w:val="left" w:leader="none"/>
        </w:tabs>
        <w:spacing w:line="240" w:lineRule="auto" w:before="89" w:after="0"/>
        <w:ind w:left="1984" w:right="0" w:hanging="544"/>
        <w:jc w:val="left"/>
      </w:pPr>
      <w:r>
        <w:rPr/>
        <w:pict>
          <v:line style="position:absolute;mso-position-horizontal-relative:page;mso-position-vertical-relative:paragraph;z-index:3448;mso-wrap-distance-left:0;mso-wrap-distance-right:0" from="72pt,23.995163pt" to="468pt,23.995163pt" stroked="true" strokeweight=".5pt" strokecolor="#00a94f">
            <v:stroke dashstyle="solid"/>
            <w10:wrap type="topAndBottom"/>
          </v:line>
        </w:pict>
      </w:r>
      <w:r>
        <w:rPr>
          <w:color w:val="00A94F"/>
          <w:spacing w:val="-6"/>
          <w:w w:val="95"/>
        </w:rPr>
        <w:t>Trends</w:t>
      </w:r>
      <w:r>
        <w:rPr>
          <w:color w:val="00A94F"/>
          <w:spacing w:val="-48"/>
          <w:w w:val="95"/>
        </w:rPr>
        <w:t> </w:t>
      </w:r>
      <w:r>
        <w:rPr>
          <w:color w:val="00A94F"/>
          <w:w w:val="95"/>
        </w:rPr>
        <w:t>in</w:t>
      </w:r>
      <w:r>
        <w:rPr>
          <w:color w:val="00A94F"/>
          <w:spacing w:val="-48"/>
          <w:w w:val="95"/>
        </w:rPr>
        <w:t> </w:t>
      </w:r>
      <w:r>
        <w:rPr>
          <w:color w:val="00A94F"/>
          <w:w w:val="95"/>
        </w:rPr>
        <w:t>Surveillance</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28"/>
      </w:pPr>
      <w:r>
        <w:rPr/>
        <w:pict>
          <v:rect style="position:absolute;margin-left:0pt;margin-top:27.299353pt;width:45pt;height:18pt;mso-position-horizontal-relative:page;mso-position-vertical-relative:paragraph;z-index:3496" filled="true" fillcolor="#0079c1" stroked="false">
            <v:fill type="solid"/>
            <w10:wrap type="none"/>
          </v:rect>
        </w:pict>
      </w:r>
      <w:r>
        <w:rPr/>
        <w:pict>
          <v:line style="position:absolute;mso-position-horizontal-relative:page;mso-position-vertical-relative:paragraph;z-index:3520" from="54.5pt,27.300953pt" to="54.5pt,269.198953pt" stroked="true" strokeweight="1pt" strokecolor="#0079c1">
            <v:stroke dashstyle="solid"/>
            <w10:wrap type="none"/>
          </v:line>
        </w:pict>
      </w:r>
      <w:r>
        <w:rPr/>
        <w:pict>
          <v:shape style="position:absolute;margin-left:18.197588pt;margin-top:32.095806pt;width:15.85pt;height:8.5pt;mso-position-horizontal-relative:page;mso-position-vertical-relative:paragraph;z-index:3568"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al., Guzewich et al., and Todd et al. </w:t>
      </w:r>
      <w:r>
        <w:rPr>
          <w:color w:val="231F20"/>
          <w:w w:val="105"/>
          <w:position w:val="7"/>
          <w:sz w:val="11"/>
        </w:rPr>
        <w:t>105, 106, 107, 108 </w:t>
      </w:r>
      <w:r>
        <w:rPr>
          <w:color w:val="231F20"/>
          <w:w w:val="105"/>
        </w:rPr>
        <w:t>framed information gleaned from foodborne disease surveillance systems in terms of the</w:t>
      </w:r>
    </w:p>
    <w:p>
      <w:pPr>
        <w:pStyle w:val="BodyText"/>
        <w:spacing w:line="266" w:lineRule="auto"/>
        <w:ind w:left="1440" w:right="38"/>
      </w:pPr>
      <w:r>
        <w:rPr/>
        <w:pict>
          <v:shape style="position:absolute;margin-left:16.131701pt;margin-top:5.947243pt;width:22.9pt;height:222.55pt;mso-position-horizontal-relative:page;mso-position-vertical-relative:paragraph;z-index:3544"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color w:val="231F20"/>
        </w:rPr>
        <w:t>key end user of the data—those charged with foodborne disease prevention. Specifically, Bryan et al. described the value and limitations of existing food vehicle and contributing</w:t>
      </w:r>
    </w:p>
    <w:p>
      <w:pPr>
        <w:pStyle w:val="BodyText"/>
        <w:spacing w:line="266" w:lineRule="auto"/>
        <w:ind w:left="1440" w:right="-8"/>
        <w:rPr>
          <w:sz w:val="11"/>
        </w:rPr>
      </w:pPr>
      <w:r>
        <w:rPr>
          <w:color w:val="231F20"/>
        </w:rPr>
        <w:t>factor data and recommended a list of specific contributing factors to be reported.</w:t>
      </w:r>
      <w:r>
        <w:rPr>
          <w:color w:val="231F20"/>
          <w:position w:val="7"/>
          <w:sz w:val="11"/>
        </w:rPr>
        <w:t>108</w:t>
      </w:r>
    </w:p>
    <w:p>
      <w:pPr>
        <w:pStyle w:val="BodyText"/>
        <w:spacing w:line="266" w:lineRule="auto" w:before="180"/>
        <w:ind w:left="1440" w:right="-9"/>
      </w:pPr>
      <w:r>
        <w:rPr>
          <w:color w:val="231F20"/>
          <w:spacing w:val="-11"/>
          <w:w w:val="105"/>
        </w:rPr>
        <w:t>To </w:t>
      </w:r>
      <w:r>
        <w:rPr>
          <w:color w:val="231F20"/>
          <w:w w:val="105"/>
        </w:rPr>
        <w:t>meet the needs of data users, CDC incorporated</w:t>
      </w:r>
      <w:r>
        <w:rPr>
          <w:color w:val="231F20"/>
          <w:spacing w:val="-22"/>
          <w:w w:val="105"/>
        </w:rPr>
        <w:t> </w:t>
      </w:r>
      <w:r>
        <w:rPr>
          <w:color w:val="231F20"/>
          <w:w w:val="105"/>
        </w:rPr>
        <w:t>the</w:t>
      </w:r>
      <w:r>
        <w:rPr>
          <w:color w:val="231F20"/>
          <w:spacing w:val="-22"/>
          <w:w w:val="105"/>
        </w:rPr>
        <w:t> </w:t>
      </w:r>
      <w:r>
        <w:rPr>
          <w:color w:val="231F20"/>
          <w:w w:val="105"/>
        </w:rPr>
        <w:t>contributing</w:t>
      </w:r>
      <w:r>
        <w:rPr>
          <w:color w:val="231F20"/>
          <w:spacing w:val="-21"/>
          <w:w w:val="105"/>
        </w:rPr>
        <w:t> </w:t>
      </w:r>
      <w:r>
        <w:rPr>
          <w:color w:val="231F20"/>
          <w:w w:val="105"/>
        </w:rPr>
        <w:t>factors</w:t>
      </w:r>
      <w:r>
        <w:rPr>
          <w:color w:val="231F20"/>
          <w:spacing w:val="-22"/>
          <w:w w:val="105"/>
        </w:rPr>
        <w:t> </w:t>
      </w:r>
      <w:r>
        <w:rPr>
          <w:color w:val="231F20"/>
          <w:w w:val="105"/>
        </w:rPr>
        <w:t>suggested </w:t>
      </w:r>
      <w:r>
        <w:rPr>
          <w:color w:val="231F20"/>
          <w:spacing w:val="-3"/>
          <w:w w:val="105"/>
        </w:rPr>
        <w:t>by </w:t>
      </w:r>
      <w:r>
        <w:rPr>
          <w:color w:val="231F20"/>
          <w:w w:val="105"/>
        </w:rPr>
        <w:t>Bryan et al. into the new foodborne outbreak</w:t>
      </w:r>
      <w:r>
        <w:rPr>
          <w:color w:val="231F20"/>
          <w:spacing w:val="-10"/>
          <w:w w:val="105"/>
        </w:rPr>
        <w:t> </w:t>
      </w:r>
      <w:r>
        <w:rPr>
          <w:color w:val="231F20"/>
          <w:w w:val="105"/>
        </w:rPr>
        <w:t>reporting</w:t>
      </w:r>
      <w:r>
        <w:rPr>
          <w:color w:val="231F20"/>
          <w:spacing w:val="-9"/>
          <w:w w:val="105"/>
        </w:rPr>
        <w:t> </w:t>
      </w:r>
      <w:r>
        <w:rPr>
          <w:color w:val="231F20"/>
          <w:w w:val="105"/>
        </w:rPr>
        <w:t>form</w:t>
      </w:r>
      <w:r>
        <w:rPr>
          <w:color w:val="231F20"/>
          <w:spacing w:val="-10"/>
          <w:w w:val="105"/>
        </w:rPr>
        <w:t> </w:t>
      </w:r>
      <w:r>
        <w:rPr>
          <w:color w:val="231F20"/>
          <w:w w:val="105"/>
        </w:rPr>
        <w:t>in</w:t>
      </w:r>
      <w:r>
        <w:rPr>
          <w:color w:val="231F20"/>
          <w:spacing w:val="-10"/>
          <w:w w:val="105"/>
        </w:rPr>
        <w:t> </w:t>
      </w:r>
      <w:r>
        <w:rPr>
          <w:color w:val="231F20"/>
          <w:w w:val="105"/>
        </w:rPr>
        <w:t>October</w:t>
      </w:r>
      <w:r>
        <w:rPr>
          <w:color w:val="231F20"/>
          <w:spacing w:val="-10"/>
          <w:w w:val="105"/>
        </w:rPr>
        <w:t> </w:t>
      </w:r>
      <w:r>
        <w:rPr>
          <w:color w:val="231F20"/>
          <w:w w:val="105"/>
        </w:rPr>
        <w:t>1999.</w:t>
      </w:r>
    </w:p>
    <w:p>
      <w:pPr>
        <w:pStyle w:val="BodyText"/>
        <w:spacing w:line="266" w:lineRule="auto"/>
        <w:ind w:left="1440" w:right="252"/>
      </w:pPr>
      <w:r>
        <w:rPr>
          <w:color w:val="231F20"/>
          <w:w w:val="105"/>
        </w:rPr>
        <w:t>Another factor, glove-handed contact by handler/worker/preparer, was also added.</w:t>
      </w:r>
    </w:p>
    <w:p>
      <w:pPr>
        <w:pStyle w:val="BodyText"/>
        <w:spacing w:line="266" w:lineRule="auto" w:before="180"/>
        <w:ind w:left="1440" w:right="193"/>
      </w:pPr>
      <w:r>
        <w:rPr>
          <w:color w:val="231F20"/>
          <w:w w:val="105"/>
        </w:rPr>
        <w:t>The change, </w:t>
      </w:r>
      <w:r>
        <w:rPr>
          <w:color w:val="231F20"/>
          <w:spacing w:val="-4"/>
          <w:w w:val="105"/>
        </w:rPr>
        <w:t>however, </w:t>
      </w:r>
      <w:r>
        <w:rPr>
          <w:color w:val="231F20"/>
          <w:w w:val="105"/>
        </w:rPr>
        <w:t>is not without controversy among those who report and use</w:t>
      </w:r>
      <w:r>
        <w:rPr>
          <w:color w:val="231F20"/>
          <w:spacing w:val="-16"/>
          <w:w w:val="105"/>
        </w:rPr>
        <w:t> </w:t>
      </w:r>
      <w:r>
        <w:rPr>
          <w:color w:val="231F20"/>
          <w:w w:val="105"/>
        </w:rPr>
        <w:t>this</w:t>
      </w:r>
      <w:r>
        <w:rPr>
          <w:color w:val="231F20"/>
          <w:spacing w:val="-16"/>
          <w:w w:val="105"/>
        </w:rPr>
        <w:t> </w:t>
      </w:r>
      <w:r>
        <w:rPr>
          <w:color w:val="231F20"/>
          <w:w w:val="105"/>
        </w:rPr>
        <w:t>information.</w:t>
      </w:r>
      <w:r>
        <w:rPr>
          <w:color w:val="231F20"/>
          <w:spacing w:val="-16"/>
          <w:w w:val="105"/>
        </w:rPr>
        <w:t> </w:t>
      </w:r>
      <w:r>
        <w:rPr>
          <w:color w:val="231F20"/>
          <w:w w:val="105"/>
        </w:rPr>
        <w:t>Some</w:t>
      </w:r>
      <w:r>
        <w:rPr>
          <w:color w:val="231F20"/>
          <w:spacing w:val="-16"/>
          <w:w w:val="105"/>
        </w:rPr>
        <w:t> </w:t>
      </w:r>
      <w:r>
        <w:rPr>
          <w:color w:val="231F20"/>
          <w:w w:val="105"/>
        </w:rPr>
        <w:t>question</w:t>
      </w:r>
      <w:r>
        <w:rPr>
          <w:color w:val="231F20"/>
          <w:spacing w:val="-16"/>
          <w:w w:val="105"/>
        </w:rPr>
        <w:t> </w:t>
      </w:r>
      <w:r>
        <w:rPr>
          <w:color w:val="231F20"/>
          <w:w w:val="105"/>
        </w:rPr>
        <w:t>whether food-control</w:t>
      </w:r>
      <w:r>
        <w:rPr>
          <w:color w:val="231F20"/>
          <w:spacing w:val="-21"/>
          <w:w w:val="105"/>
        </w:rPr>
        <w:t> </w:t>
      </w:r>
      <w:r>
        <w:rPr>
          <w:color w:val="231F20"/>
          <w:w w:val="105"/>
        </w:rPr>
        <w:t>authorities</w:t>
      </w:r>
      <w:r>
        <w:rPr>
          <w:color w:val="231F20"/>
          <w:spacing w:val="-22"/>
          <w:w w:val="105"/>
        </w:rPr>
        <w:t> </w:t>
      </w:r>
      <w:r>
        <w:rPr>
          <w:color w:val="231F20"/>
          <w:spacing w:val="-3"/>
          <w:w w:val="105"/>
        </w:rPr>
        <w:t>have</w:t>
      </w:r>
      <w:r>
        <w:rPr>
          <w:color w:val="231F20"/>
          <w:spacing w:val="-21"/>
          <w:w w:val="105"/>
        </w:rPr>
        <w:t> </w:t>
      </w:r>
      <w:r>
        <w:rPr>
          <w:color w:val="231F20"/>
          <w:w w:val="105"/>
        </w:rPr>
        <w:t>the</w:t>
      </w:r>
      <w:r>
        <w:rPr>
          <w:color w:val="231F20"/>
          <w:spacing w:val="-22"/>
          <w:w w:val="105"/>
        </w:rPr>
        <w:t> </w:t>
      </w:r>
      <w:r>
        <w:rPr>
          <w:color w:val="231F20"/>
          <w:w w:val="105"/>
        </w:rPr>
        <w:t>expertise</w:t>
      </w:r>
      <w:r>
        <w:rPr>
          <w:color w:val="231F20"/>
          <w:spacing w:val="-21"/>
          <w:w w:val="105"/>
        </w:rPr>
        <w:t> </w:t>
      </w:r>
      <w:r>
        <w:rPr>
          <w:color w:val="231F20"/>
          <w:w w:val="105"/>
        </w:rPr>
        <w:t>to</w:t>
      </w:r>
    </w:p>
    <w:p>
      <w:pPr>
        <w:pStyle w:val="BodyText"/>
        <w:spacing w:line="266" w:lineRule="auto" w:before="108"/>
        <w:ind w:left="324" w:right="720"/>
      </w:pPr>
      <w:r>
        <w:rPr/>
        <w:br w:type="column"/>
      </w:r>
      <w:r>
        <w:rPr>
          <w:color w:val="231F20"/>
          <w:w w:val="105"/>
        </w:rPr>
        <w:t>accurately identify the most likely contributing factors from among the now complicated</w:t>
      </w:r>
    </w:p>
    <w:p>
      <w:pPr>
        <w:pStyle w:val="BodyText"/>
        <w:spacing w:line="266" w:lineRule="auto"/>
        <w:ind w:left="324" w:right="1147"/>
      </w:pPr>
      <w:r>
        <w:rPr>
          <w:color w:val="231F20"/>
          <w:w w:val="105"/>
        </w:rPr>
        <w:t>list</w:t>
      </w:r>
      <w:r>
        <w:rPr>
          <w:color w:val="231F20"/>
          <w:spacing w:val="-20"/>
          <w:w w:val="105"/>
        </w:rPr>
        <w:t> </w:t>
      </w:r>
      <w:r>
        <w:rPr>
          <w:color w:val="231F20"/>
          <w:w w:val="105"/>
        </w:rPr>
        <w:t>of</w:t>
      </w:r>
      <w:r>
        <w:rPr>
          <w:color w:val="231F20"/>
          <w:spacing w:val="-2"/>
          <w:w w:val="105"/>
        </w:rPr>
        <w:t> </w:t>
      </w:r>
      <w:r>
        <w:rPr>
          <w:color w:val="231F20"/>
          <w:w w:val="105"/>
        </w:rPr>
        <w:t>factors.</w:t>
      </w:r>
      <w:r>
        <w:rPr>
          <w:color w:val="231F20"/>
          <w:spacing w:val="-20"/>
          <w:w w:val="105"/>
        </w:rPr>
        <w:t> </w:t>
      </w:r>
      <w:r>
        <w:rPr>
          <w:color w:val="231F20"/>
          <w:w w:val="105"/>
        </w:rPr>
        <w:t>Consistent</w:t>
      </w:r>
      <w:r>
        <w:rPr>
          <w:color w:val="231F20"/>
          <w:spacing w:val="-20"/>
          <w:w w:val="105"/>
        </w:rPr>
        <w:t> </w:t>
      </w:r>
      <w:r>
        <w:rPr>
          <w:color w:val="231F20"/>
          <w:w w:val="105"/>
        </w:rPr>
        <w:t>identification</w:t>
      </w:r>
      <w:r>
        <w:rPr>
          <w:color w:val="231F20"/>
          <w:spacing w:val="-20"/>
          <w:w w:val="105"/>
        </w:rPr>
        <w:t> </w:t>
      </w:r>
      <w:r>
        <w:rPr>
          <w:color w:val="231F20"/>
          <w:w w:val="105"/>
        </w:rPr>
        <w:t>of these</w:t>
      </w:r>
      <w:r>
        <w:rPr>
          <w:color w:val="231F20"/>
          <w:spacing w:val="-15"/>
          <w:w w:val="105"/>
        </w:rPr>
        <w:t> </w:t>
      </w:r>
      <w:r>
        <w:rPr>
          <w:color w:val="231F20"/>
          <w:w w:val="105"/>
        </w:rPr>
        <w:t>factors</w:t>
      </w:r>
      <w:r>
        <w:rPr>
          <w:color w:val="231F20"/>
          <w:spacing w:val="-15"/>
          <w:w w:val="105"/>
        </w:rPr>
        <w:t> </w:t>
      </w:r>
      <w:r>
        <w:rPr>
          <w:color w:val="231F20"/>
          <w:w w:val="105"/>
        </w:rPr>
        <w:t>is</w:t>
      </w:r>
      <w:r>
        <w:rPr>
          <w:color w:val="231F20"/>
          <w:spacing w:val="-15"/>
          <w:w w:val="105"/>
        </w:rPr>
        <w:t> </w:t>
      </w:r>
      <w:r>
        <w:rPr>
          <w:color w:val="231F20"/>
          <w:w w:val="105"/>
        </w:rPr>
        <w:t>also</w:t>
      </w:r>
      <w:r>
        <w:rPr>
          <w:color w:val="231F20"/>
          <w:spacing w:val="-15"/>
          <w:w w:val="105"/>
        </w:rPr>
        <w:t> </w:t>
      </w:r>
      <w:r>
        <w:rPr>
          <w:color w:val="231F20"/>
          <w:w w:val="105"/>
        </w:rPr>
        <w:t>an</w:t>
      </w:r>
      <w:r>
        <w:rPr>
          <w:color w:val="231F20"/>
          <w:spacing w:val="-15"/>
          <w:w w:val="105"/>
        </w:rPr>
        <w:t> </w:t>
      </w:r>
      <w:r>
        <w:rPr>
          <w:color w:val="231F20"/>
          <w:w w:val="105"/>
        </w:rPr>
        <w:t>issue.</w:t>
      </w:r>
      <w:r>
        <w:rPr>
          <w:color w:val="231F20"/>
          <w:spacing w:val="-14"/>
          <w:w w:val="105"/>
        </w:rPr>
        <w:t> </w:t>
      </w:r>
      <w:r>
        <w:rPr>
          <w:color w:val="231F20"/>
          <w:w w:val="105"/>
        </w:rPr>
        <w:t>Some</w:t>
      </w:r>
      <w:r>
        <w:rPr>
          <w:color w:val="231F20"/>
          <w:spacing w:val="-15"/>
          <w:w w:val="105"/>
        </w:rPr>
        <w:t> </w:t>
      </w:r>
      <w:r>
        <w:rPr>
          <w:color w:val="231F20"/>
          <w:w w:val="105"/>
        </w:rPr>
        <w:t>believe the</w:t>
      </w:r>
      <w:r>
        <w:rPr>
          <w:color w:val="231F20"/>
          <w:spacing w:val="-17"/>
          <w:w w:val="105"/>
        </w:rPr>
        <w:t> </w:t>
      </w:r>
      <w:r>
        <w:rPr>
          <w:color w:val="231F20"/>
          <w:w w:val="105"/>
        </w:rPr>
        <w:t>contributing</w:t>
      </w:r>
      <w:r>
        <w:rPr>
          <w:color w:val="231F20"/>
          <w:spacing w:val="-16"/>
          <w:w w:val="105"/>
        </w:rPr>
        <w:t> </w:t>
      </w:r>
      <w:r>
        <w:rPr>
          <w:color w:val="231F20"/>
          <w:w w:val="105"/>
        </w:rPr>
        <w:t>factor</w:t>
      </w:r>
      <w:r>
        <w:rPr>
          <w:color w:val="231F20"/>
          <w:spacing w:val="-16"/>
          <w:w w:val="105"/>
        </w:rPr>
        <w:t> </w:t>
      </w:r>
      <w:r>
        <w:rPr>
          <w:color w:val="231F20"/>
          <w:w w:val="105"/>
        </w:rPr>
        <w:t>list</w:t>
      </w:r>
      <w:r>
        <w:rPr>
          <w:color w:val="231F20"/>
          <w:spacing w:val="-17"/>
          <w:w w:val="105"/>
        </w:rPr>
        <w:t> </w:t>
      </w:r>
      <w:r>
        <w:rPr>
          <w:color w:val="231F20"/>
          <w:w w:val="105"/>
        </w:rPr>
        <w:t>is</w:t>
      </w:r>
      <w:r>
        <w:rPr>
          <w:color w:val="231F20"/>
          <w:spacing w:val="-17"/>
          <w:w w:val="105"/>
        </w:rPr>
        <w:t> </w:t>
      </w:r>
      <w:r>
        <w:rPr>
          <w:color w:val="231F20"/>
          <w:w w:val="105"/>
        </w:rPr>
        <w:t>too</w:t>
      </w:r>
      <w:r>
        <w:rPr>
          <w:color w:val="231F20"/>
          <w:spacing w:val="-17"/>
          <w:w w:val="105"/>
        </w:rPr>
        <w:t> </w:t>
      </w:r>
      <w:r>
        <w:rPr>
          <w:color w:val="231F20"/>
          <w:w w:val="105"/>
        </w:rPr>
        <w:t>complex for</w:t>
      </w:r>
      <w:r>
        <w:rPr>
          <w:color w:val="231F20"/>
          <w:spacing w:val="-14"/>
          <w:w w:val="105"/>
        </w:rPr>
        <w:t> </w:t>
      </w:r>
      <w:r>
        <w:rPr>
          <w:color w:val="231F20"/>
          <w:w w:val="105"/>
        </w:rPr>
        <w:t>a</w:t>
      </w:r>
      <w:r>
        <w:rPr>
          <w:color w:val="231F20"/>
          <w:spacing w:val="-14"/>
          <w:w w:val="105"/>
        </w:rPr>
        <w:t> </w:t>
      </w:r>
      <w:r>
        <w:rPr>
          <w:color w:val="231F20"/>
          <w:w w:val="105"/>
        </w:rPr>
        <w:t>surveillance</w:t>
      </w:r>
      <w:r>
        <w:rPr>
          <w:color w:val="231F20"/>
          <w:spacing w:val="-16"/>
          <w:w w:val="105"/>
        </w:rPr>
        <w:t> </w:t>
      </w:r>
      <w:r>
        <w:rPr>
          <w:color w:val="231F20"/>
          <w:w w:val="105"/>
        </w:rPr>
        <w:t>system</w:t>
      </w:r>
      <w:r>
        <w:rPr>
          <w:color w:val="231F20"/>
          <w:spacing w:val="-14"/>
          <w:w w:val="105"/>
        </w:rPr>
        <w:t> </w:t>
      </w:r>
      <w:r>
        <w:rPr>
          <w:color w:val="231F20"/>
          <w:w w:val="105"/>
        </w:rPr>
        <w:t>and</w:t>
      </w:r>
      <w:r>
        <w:rPr>
          <w:color w:val="231F20"/>
          <w:spacing w:val="-15"/>
          <w:w w:val="105"/>
        </w:rPr>
        <w:t> </w:t>
      </w:r>
      <w:r>
        <w:rPr>
          <w:color w:val="231F20"/>
          <w:w w:val="105"/>
        </w:rPr>
        <w:t>should</w:t>
      </w:r>
      <w:r>
        <w:rPr>
          <w:color w:val="231F20"/>
          <w:spacing w:val="-14"/>
          <w:w w:val="105"/>
        </w:rPr>
        <w:t> </w:t>
      </w:r>
      <w:r>
        <w:rPr>
          <w:color w:val="231F20"/>
          <w:w w:val="105"/>
        </w:rPr>
        <w:t>be</w:t>
      </w:r>
    </w:p>
    <w:p>
      <w:pPr>
        <w:pStyle w:val="BodyText"/>
        <w:spacing w:line="266" w:lineRule="auto"/>
        <w:ind w:left="324" w:right="833"/>
      </w:pPr>
      <w:r>
        <w:rPr>
          <w:color w:val="231F20"/>
          <w:w w:val="105"/>
        </w:rPr>
        <w:t>removed entirely or returned to the pre-1999 abbreviated list. Still others believe without</w:t>
      </w:r>
    </w:p>
    <w:p>
      <w:pPr>
        <w:pStyle w:val="BodyText"/>
        <w:spacing w:line="266" w:lineRule="auto"/>
        <w:ind w:left="324" w:right="657"/>
      </w:pPr>
      <w:r>
        <w:rPr>
          <w:color w:val="231F20"/>
          <w:w w:val="105"/>
        </w:rPr>
        <w:t>a context for the factors reported—even the pre-1999 abbreviated list of factors has limited, if  any, value.</w:t>
      </w:r>
    </w:p>
    <w:p>
      <w:pPr>
        <w:pStyle w:val="BodyText"/>
        <w:spacing w:line="266" w:lineRule="auto" w:before="180"/>
        <w:ind w:left="324" w:right="641"/>
      </w:pPr>
      <w:r>
        <w:rPr>
          <w:color w:val="231F20"/>
          <w:w w:val="105"/>
        </w:rPr>
        <w:t>As new information becomes available about the value of specific data elements, the contributing factor surveillance system, like all surveillance systems, will continue to </w:t>
      </w:r>
      <w:r>
        <w:rPr>
          <w:color w:val="231F20"/>
          <w:spacing w:val="-3"/>
          <w:w w:val="105"/>
        </w:rPr>
        <w:t>evolve. </w:t>
      </w:r>
      <w:r>
        <w:rPr>
          <w:color w:val="231F20"/>
          <w:w w:val="105"/>
        </w:rPr>
        <w:t>CDC’s EHS-Net program has been addressing these problems through the National </w:t>
      </w:r>
      <w:r>
        <w:rPr>
          <w:color w:val="231F20"/>
          <w:spacing w:val="-3"/>
          <w:w w:val="105"/>
        </w:rPr>
        <w:t>Voluntary </w:t>
      </w:r>
      <w:r>
        <w:rPr>
          <w:color w:val="231F20"/>
          <w:w w:val="105"/>
        </w:rPr>
        <w:t>Environmental Assessment Information System </w:t>
      </w:r>
      <w:r>
        <w:rPr>
          <w:color w:val="231F20"/>
          <w:spacing w:val="-4"/>
          <w:w w:val="105"/>
        </w:rPr>
        <w:t>(NEVAIS) </w:t>
      </w:r>
      <w:r>
        <w:rPr>
          <w:color w:val="231F20"/>
          <w:w w:val="105"/>
        </w:rPr>
        <w:t>and related training programs (see above).</w:t>
      </w:r>
    </w:p>
    <w:p>
      <w:pPr>
        <w:spacing w:after="0" w:line="266" w:lineRule="auto"/>
        <w:sectPr>
          <w:type w:val="continuous"/>
          <w:pgSz w:w="10080" w:h="14400"/>
          <w:pgMar w:top="0" w:bottom="360" w:left="0" w:right="0"/>
          <w:cols w:num="2" w:equalWidth="0">
            <w:col w:w="5216" w:space="40"/>
            <w:col w:w="4824"/>
          </w:cols>
        </w:sectPr>
      </w:pPr>
    </w:p>
    <w:p>
      <w:pPr>
        <w:pStyle w:val="BodyText"/>
        <w:spacing w:before="10"/>
        <w:rPr>
          <w:sz w:val="17"/>
        </w:rPr>
      </w:pPr>
    </w:p>
    <w:p>
      <w:pPr>
        <w:pStyle w:val="Heading1"/>
        <w:numPr>
          <w:ilvl w:val="1"/>
          <w:numId w:val="13"/>
        </w:numPr>
        <w:tabs>
          <w:tab w:pos="1985" w:val="left" w:leader="none"/>
        </w:tabs>
        <w:spacing w:line="240" w:lineRule="auto" w:before="89" w:after="0"/>
        <w:ind w:left="1984" w:right="0" w:hanging="544"/>
        <w:jc w:val="left"/>
      </w:pPr>
      <w:r>
        <w:rPr/>
        <w:pict>
          <v:line style="position:absolute;mso-position-horizontal-relative:page;mso-position-vertical-relative:paragraph;z-index:3472;mso-wrap-distance-left:0;mso-wrap-distance-right:0" from="72pt,23.995163pt" to="468pt,23.995163pt" stroked="true" strokeweight=".5pt" strokecolor="#00a94f">
            <v:stroke dashstyle="solid"/>
            <w10:wrap type="topAndBottom"/>
          </v:line>
        </w:pict>
      </w:r>
      <w:r>
        <w:rPr>
          <w:color w:val="00A94F"/>
          <w:w w:val="95"/>
        </w:rPr>
        <w:t>Etiologic</w:t>
      </w:r>
      <w:r>
        <w:rPr>
          <w:color w:val="00A94F"/>
          <w:spacing w:val="-18"/>
          <w:w w:val="95"/>
        </w:rPr>
        <w:t> </w:t>
      </w:r>
      <w:r>
        <w:rPr>
          <w:color w:val="00A94F"/>
          <w:w w:val="95"/>
        </w:rPr>
        <w:t>Agents</w:t>
      </w:r>
      <w:r>
        <w:rPr>
          <w:color w:val="00A94F"/>
          <w:spacing w:val="-18"/>
          <w:w w:val="95"/>
        </w:rPr>
        <w:t> </w:t>
      </w:r>
      <w:r>
        <w:rPr>
          <w:color w:val="00A94F"/>
          <w:w w:val="95"/>
        </w:rPr>
        <w:t>Associated</w:t>
      </w:r>
      <w:r>
        <w:rPr>
          <w:color w:val="00A94F"/>
          <w:spacing w:val="-18"/>
          <w:w w:val="95"/>
        </w:rPr>
        <w:t> </w:t>
      </w:r>
      <w:r>
        <w:rPr>
          <w:color w:val="00A94F"/>
          <w:w w:val="95"/>
        </w:rPr>
        <w:t>with</w:t>
      </w:r>
      <w:r>
        <w:rPr>
          <w:color w:val="00A94F"/>
          <w:spacing w:val="-18"/>
          <w:w w:val="95"/>
        </w:rPr>
        <w:t> </w:t>
      </w:r>
      <w:r>
        <w:rPr>
          <w:color w:val="00A94F"/>
          <w:w w:val="95"/>
        </w:rPr>
        <w:t>Foodborne</w:t>
      </w:r>
      <w:r>
        <w:rPr>
          <w:color w:val="00A94F"/>
          <w:spacing w:val="-18"/>
          <w:w w:val="95"/>
        </w:rPr>
        <w:t> </w:t>
      </w:r>
      <w:r>
        <w:rPr>
          <w:color w:val="00A94F"/>
          <w:w w:val="95"/>
        </w:rPr>
        <w:t>Diseases</w:t>
      </w:r>
    </w:p>
    <w:p>
      <w:pPr>
        <w:pStyle w:val="BodyText"/>
        <w:spacing w:before="10"/>
        <w:rPr>
          <w:rFonts w:ascii="Lucida Sans"/>
          <w:sz w:val="14"/>
        </w:rPr>
      </w:pPr>
    </w:p>
    <w:p>
      <w:pPr>
        <w:spacing w:after="0"/>
        <w:rPr>
          <w:rFonts w:ascii="Lucida Sans"/>
          <w:sz w:val="14"/>
        </w:rPr>
        <w:sectPr>
          <w:type w:val="continuous"/>
          <w:pgSz w:w="10080" w:h="14400"/>
          <w:pgMar w:top="0" w:bottom="360" w:left="0" w:right="0"/>
        </w:sectPr>
      </w:pPr>
    </w:p>
    <w:p>
      <w:pPr>
        <w:pStyle w:val="ListParagraph"/>
        <w:numPr>
          <w:ilvl w:val="2"/>
          <w:numId w:val="13"/>
        </w:numPr>
        <w:tabs>
          <w:tab w:pos="1996" w:val="left" w:leader="none"/>
        </w:tabs>
        <w:spacing w:line="240" w:lineRule="auto" w:before="104" w:after="0"/>
        <w:ind w:left="1996" w:right="0" w:hanging="556"/>
        <w:jc w:val="left"/>
        <w:rPr>
          <w:rFonts w:ascii="Lucida Sans"/>
          <w:sz w:val="20"/>
        </w:rPr>
      </w:pPr>
      <w:r>
        <w:rPr>
          <w:rFonts w:ascii="Lucida Sans"/>
          <w:color w:val="1C3E94"/>
          <w:sz w:val="20"/>
        </w:rPr>
        <w:t>Overview</w:t>
      </w:r>
    </w:p>
    <w:p>
      <w:pPr>
        <w:pStyle w:val="BodyText"/>
        <w:spacing w:before="3"/>
        <w:rPr>
          <w:rFonts w:ascii="Lucida Sans"/>
          <w:sz w:val="18"/>
        </w:rPr>
      </w:pPr>
    </w:p>
    <w:p>
      <w:pPr>
        <w:pStyle w:val="BodyText"/>
        <w:spacing w:line="266" w:lineRule="auto"/>
        <w:ind w:left="1440" w:right="-2"/>
      </w:pPr>
      <w:r>
        <w:rPr>
          <w:color w:val="231F20"/>
        </w:rPr>
        <w:t>Foodborne illnesses have myriad causes, including microorganisms (e.g., bacteria, viruses, parasites, and marine algae) and their toxisns, mushroom toxins, fish toxins, heavy metals, pesticides, and other chemical contaminants (Table 2.1). These agents cause human disease through a number of  mechanisms and are</w:t>
      </w:r>
    </w:p>
    <w:p>
      <w:pPr>
        <w:pStyle w:val="BodyText"/>
        <w:spacing w:line="266" w:lineRule="auto"/>
        <w:ind w:left="1440" w:right="-9"/>
      </w:pPr>
      <w:r>
        <w:rPr>
          <w:color w:val="231F20"/>
        </w:rPr>
        <w:t>often categorized into those caused </w:t>
      </w:r>
      <w:r>
        <w:rPr>
          <w:color w:val="231F20"/>
          <w:spacing w:val="-3"/>
        </w:rPr>
        <w:t>by </w:t>
      </w:r>
      <w:r>
        <w:rPr>
          <w:color w:val="231F20"/>
        </w:rPr>
        <w:t>toxins present in food before it is ingested (preformed toxins) and those caused </w:t>
      </w:r>
      <w:r>
        <w:rPr>
          <w:color w:val="231F20"/>
          <w:spacing w:val="-3"/>
        </w:rPr>
        <w:t>by </w:t>
      </w:r>
      <w:r>
        <w:rPr>
          <w:color w:val="231F20"/>
        </w:rPr>
        <w:t>multiplication of</w:t>
      </w:r>
      <w:r>
        <w:rPr>
          <w:color w:val="231F20"/>
          <w:spacing w:val="-14"/>
        </w:rPr>
        <w:t> </w:t>
      </w:r>
      <w:r>
        <w:rPr>
          <w:color w:val="231F20"/>
        </w:rPr>
        <w:t>the pathogen in the host and damage resulting from toxins</w:t>
      </w:r>
      <w:r>
        <w:rPr>
          <w:color w:val="231F20"/>
          <w:spacing w:val="-14"/>
        </w:rPr>
        <w:t> </w:t>
      </w:r>
      <w:r>
        <w:rPr>
          <w:color w:val="231F20"/>
        </w:rPr>
        <w:t>produced</w:t>
      </w:r>
      <w:r>
        <w:rPr>
          <w:color w:val="231F20"/>
          <w:spacing w:val="-14"/>
        </w:rPr>
        <w:t> </w:t>
      </w:r>
      <w:r>
        <w:rPr>
          <w:color w:val="231F20"/>
        </w:rPr>
        <w:t>within</w:t>
      </w:r>
      <w:r>
        <w:rPr>
          <w:color w:val="231F20"/>
          <w:spacing w:val="-14"/>
        </w:rPr>
        <w:t> </w:t>
      </w:r>
      <w:r>
        <w:rPr>
          <w:color w:val="231F20"/>
        </w:rPr>
        <w:t>the</w:t>
      </w:r>
      <w:r>
        <w:rPr>
          <w:color w:val="231F20"/>
          <w:spacing w:val="-14"/>
        </w:rPr>
        <w:t> </w:t>
      </w:r>
      <w:r>
        <w:rPr>
          <w:color w:val="231F20"/>
        </w:rPr>
        <w:t>host</w:t>
      </w:r>
      <w:r>
        <w:rPr>
          <w:color w:val="231F20"/>
          <w:spacing w:val="-14"/>
        </w:rPr>
        <w:t> </w:t>
      </w:r>
      <w:r>
        <w:rPr>
          <w:color w:val="231F20"/>
        </w:rPr>
        <w:t>(enterotoxins)</w:t>
      </w:r>
      <w:r>
        <w:rPr>
          <w:color w:val="231F20"/>
          <w:spacing w:val="-14"/>
        </w:rPr>
        <w:t> </w:t>
      </w:r>
      <w:r>
        <w:rPr>
          <w:color w:val="231F20"/>
        </w:rPr>
        <w:t>or adherence</w:t>
      </w:r>
      <w:r>
        <w:rPr>
          <w:color w:val="231F20"/>
          <w:spacing w:val="-12"/>
        </w:rPr>
        <w:t> </w:t>
      </w:r>
      <w:r>
        <w:rPr>
          <w:color w:val="231F20"/>
        </w:rPr>
        <w:t>to</w:t>
      </w:r>
      <w:r>
        <w:rPr>
          <w:color w:val="231F20"/>
          <w:spacing w:val="-12"/>
        </w:rPr>
        <w:t> </w:t>
      </w:r>
      <w:r>
        <w:rPr>
          <w:color w:val="231F20"/>
        </w:rPr>
        <w:t>or</w:t>
      </w:r>
      <w:r>
        <w:rPr>
          <w:color w:val="231F20"/>
          <w:spacing w:val="-12"/>
        </w:rPr>
        <w:t> </w:t>
      </w:r>
      <w:r>
        <w:rPr>
          <w:color w:val="231F20"/>
        </w:rPr>
        <w:t>invasion</w:t>
      </w:r>
      <w:r>
        <w:rPr>
          <w:color w:val="231F20"/>
          <w:spacing w:val="-12"/>
        </w:rPr>
        <w:t> </w:t>
      </w:r>
      <w:r>
        <w:rPr>
          <w:color w:val="231F20"/>
        </w:rPr>
        <w:t>of</w:t>
      </w:r>
      <w:r>
        <w:rPr>
          <w:color w:val="231F20"/>
          <w:spacing w:val="10"/>
        </w:rPr>
        <w:t> </w:t>
      </w:r>
      <w:r>
        <w:rPr>
          <w:color w:val="231F20"/>
        </w:rPr>
        <w:t>host</w:t>
      </w:r>
      <w:r>
        <w:rPr>
          <w:color w:val="231F20"/>
          <w:spacing w:val="-12"/>
        </w:rPr>
        <w:t> </w:t>
      </w:r>
      <w:r>
        <w:rPr>
          <w:color w:val="231F20"/>
        </w:rPr>
        <w:t>cells</w:t>
      </w:r>
      <w:r>
        <w:rPr>
          <w:color w:val="231F20"/>
          <w:spacing w:val="-12"/>
        </w:rPr>
        <w:t> </w:t>
      </w:r>
      <w:r>
        <w:rPr>
          <w:color w:val="231F20"/>
        </w:rPr>
        <w:t>(infection).</w:t>
      </w:r>
    </w:p>
    <w:p>
      <w:pPr>
        <w:pStyle w:val="BodyText"/>
        <w:spacing w:line="266" w:lineRule="auto" w:before="180"/>
        <w:ind w:left="1440" w:right="297"/>
      </w:pPr>
      <w:r>
        <w:rPr>
          <w:color w:val="231F20"/>
          <w:w w:val="105"/>
        </w:rPr>
        <w:t>Details</w:t>
      </w:r>
      <w:r>
        <w:rPr>
          <w:color w:val="231F20"/>
          <w:spacing w:val="-24"/>
          <w:w w:val="105"/>
        </w:rPr>
        <w:t> </w:t>
      </w:r>
      <w:r>
        <w:rPr>
          <w:color w:val="231F20"/>
          <w:w w:val="105"/>
        </w:rPr>
        <w:t>about</w:t>
      </w:r>
      <w:r>
        <w:rPr>
          <w:color w:val="231F20"/>
          <w:spacing w:val="-24"/>
          <w:w w:val="105"/>
        </w:rPr>
        <w:t> </w:t>
      </w:r>
      <w:r>
        <w:rPr>
          <w:color w:val="231F20"/>
          <w:w w:val="105"/>
        </w:rPr>
        <w:t>the</w:t>
      </w:r>
      <w:r>
        <w:rPr>
          <w:color w:val="231F20"/>
          <w:spacing w:val="-24"/>
          <w:w w:val="105"/>
        </w:rPr>
        <w:t> </w:t>
      </w:r>
      <w:r>
        <w:rPr>
          <w:color w:val="231F20"/>
          <w:w w:val="105"/>
        </w:rPr>
        <w:t>most</w:t>
      </w:r>
      <w:r>
        <w:rPr>
          <w:color w:val="231F20"/>
          <w:spacing w:val="-24"/>
          <w:w w:val="105"/>
        </w:rPr>
        <w:t> </w:t>
      </w:r>
      <w:r>
        <w:rPr>
          <w:color w:val="231F20"/>
          <w:w w:val="105"/>
        </w:rPr>
        <w:t>common</w:t>
      </w:r>
      <w:r>
        <w:rPr>
          <w:color w:val="231F20"/>
          <w:spacing w:val="-24"/>
          <w:w w:val="105"/>
        </w:rPr>
        <w:t> </w:t>
      </w:r>
      <w:r>
        <w:rPr>
          <w:color w:val="231F20"/>
          <w:w w:val="105"/>
        </w:rPr>
        <w:t>foodborne disease–causing</w:t>
      </w:r>
      <w:r>
        <w:rPr>
          <w:color w:val="231F20"/>
          <w:spacing w:val="-13"/>
          <w:w w:val="105"/>
        </w:rPr>
        <w:t> </w:t>
      </w:r>
      <w:r>
        <w:rPr>
          <w:color w:val="231F20"/>
          <w:w w:val="105"/>
        </w:rPr>
        <w:t>agents,</w:t>
      </w:r>
      <w:r>
        <w:rPr>
          <w:color w:val="231F20"/>
          <w:spacing w:val="-12"/>
          <w:w w:val="105"/>
        </w:rPr>
        <w:t> </w:t>
      </w:r>
      <w:r>
        <w:rPr>
          <w:color w:val="231F20"/>
          <w:w w:val="105"/>
        </w:rPr>
        <w:t>including</w:t>
      </w:r>
      <w:r>
        <w:rPr>
          <w:color w:val="231F20"/>
          <w:spacing w:val="-13"/>
          <w:w w:val="105"/>
        </w:rPr>
        <w:t> </w:t>
      </w:r>
      <w:r>
        <w:rPr>
          <w:color w:val="231F20"/>
          <w:w w:val="105"/>
        </w:rPr>
        <w:t>signs</w:t>
      </w:r>
      <w:r>
        <w:rPr>
          <w:color w:val="231F20"/>
          <w:spacing w:val="-12"/>
          <w:w w:val="105"/>
        </w:rPr>
        <w:t> </w:t>
      </w:r>
      <w:r>
        <w:rPr>
          <w:color w:val="231F20"/>
          <w:w w:val="105"/>
        </w:rPr>
        <w:t>and symptoms, incubation periods, modes of transmission, common food vehicles, and control</w:t>
      </w:r>
      <w:r>
        <w:rPr>
          <w:color w:val="231F20"/>
          <w:spacing w:val="-15"/>
          <w:w w:val="105"/>
        </w:rPr>
        <w:t> </w:t>
      </w:r>
      <w:r>
        <w:rPr>
          <w:color w:val="231F20"/>
          <w:w w:val="105"/>
        </w:rPr>
        <w:t>measures,</w:t>
      </w:r>
      <w:r>
        <w:rPr>
          <w:color w:val="231F20"/>
          <w:spacing w:val="-15"/>
          <w:w w:val="105"/>
        </w:rPr>
        <w:t> </w:t>
      </w:r>
      <w:r>
        <w:rPr>
          <w:color w:val="231F20"/>
          <w:w w:val="105"/>
        </w:rPr>
        <w:t>can</w:t>
      </w:r>
      <w:r>
        <w:rPr>
          <w:color w:val="231F20"/>
          <w:spacing w:val="-15"/>
          <w:w w:val="105"/>
        </w:rPr>
        <w:t> </w:t>
      </w:r>
      <w:r>
        <w:rPr>
          <w:color w:val="231F20"/>
          <w:w w:val="105"/>
        </w:rPr>
        <w:t>be</w:t>
      </w:r>
      <w:r>
        <w:rPr>
          <w:color w:val="231F20"/>
          <w:spacing w:val="-15"/>
          <w:w w:val="105"/>
        </w:rPr>
        <w:t> </w:t>
      </w:r>
      <w:r>
        <w:rPr>
          <w:color w:val="231F20"/>
          <w:w w:val="105"/>
        </w:rPr>
        <w:t>found</w:t>
      </w:r>
      <w:r>
        <w:rPr>
          <w:color w:val="231F20"/>
          <w:spacing w:val="-15"/>
          <w:w w:val="105"/>
        </w:rPr>
        <w:t> </w:t>
      </w:r>
      <w:r>
        <w:rPr>
          <w:color w:val="231F20"/>
          <w:w w:val="105"/>
        </w:rPr>
        <w:t>in:</w:t>
      </w:r>
    </w:p>
    <w:p>
      <w:pPr>
        <w:pStyle w:val="ListParagraph"/>
        <w:numPr>
          <w:ilvl w:val="0"/>
          <w:numId w:val="11"/>
        </w:numPr>
        <w:tabs>
          <w:tab w:pos="512" w:val="left" w:leader="none"/>
        </w:tabs>
        <w:spacing w:line="266" w:lineRule="auto" w:before="107" w:after="0"/>
        <w:ind w:left="511" w:right="796" w:hanging="167"/>
        <w:jc w:val="left"/>
        <w:rPr>
          <w:sz w:val="20"/>
        </w:rPr>
      </w:pPr>
      <w:r>
        <w:rPr>
          <w:color w:val="231F20"/>
          <w:spacing w:val="-1"/>
          <w:w w:val="100"/>
          <w:sz w:val="20"/>
        </w:rPr>
        <w:br w:type="column"/>
      </w:r>
      <w:r>
        <w:rPr>
          <w:color w:val="231F20"/>
          <w:sz w:val="20"/>
        </w:rPr>
        <w:t>American Public Health Association. </w:t>
      </w:r>
      <w:r>
        <w:rPr>
          <w:i/>
          <w:color w:val="231F20"/>
          <w:sz w:val="20"/>
        </w:rPr>
        <w:t>Control </w:t>
      </w:r>
      <w:r>
        <w:rPr>
          <w:i/>
          <w:color w:val="231F20"/>
          <w:sz w:val="20"/>
        </w:rPr>
        <w:t>of Communicable Diseases Manual </w:t>
      </w:r>
      <w:r>
        <w:rPr>
          <w:color w:val="231F20"/>
          <w:sz w:val="20"/>
        </w:rPr>
        <w:t>(latest edition) Washington, DC:</w:t>
      </w:r>
      <w:r>
        <w:rPr>
          <w:color w:val="231F20"/>
          <w:spacing w:val="21"/>
          <w:sz w:val="20"/>
        </w:rPr>
        <w:t> </w:t>
      </w:r>
      <w:r>
        <w:rPr>
          <w:color w:val="231F20"/>
          <w:sz w:val="20"/>
        </w:rPr>
        <w:t>APHA;</w:t>
      </w:r>
    </w:p>
    <w:p>
      <w:pPr>
        <w:pStyle w:val="ListParagraph"/>
        <w:numPr>
          <w:ilvl w:val="0"/>
          <w:numId w:val="11"/>
        </w:numPr>
        <w:tabs>
          <w:tab w:pos="512" w:val="left" w:leader="none"/>
        </w:tabs>
        <w:spacing w:line="266" w:lineRule="auto" w:before="89" w:after="0"/>
        <w:ind w:left="511" w:right="830" w:hanging="167"/>
        <w:jc w:val="left"/>
        <w:rPr>
          <w:sz w:val="20"/>
        </w:rPr>
      </w:pPr>
      <w:r>
        <w:rPr>
          <w:color w:val="231F20"/>
          <w:w w:val="105"/>
          <w:sz w:val="20"/>
        </w:rPr>
        <w:t>CDC.</w:t>
      </w:r>
      <w:r>
        <w:rPr>
          <w:color w:val="231F20"/>
          <w:spacing w:val="-21"/>
          <w:w w:val="105"/>
          <w:sz w:val="20"/>
        </w:rPr>
        <w:t> </w:t>
      </w:r>
      <w:r>
        <w:rPr>
          <w:color w:val="231F20"/>
          <w:w w:val="105"/>
          <w:sz w:val="20"/>
        </w:rPr>
        <w:t>CDC</w:t>
      </w:r>
      <w:r>
        <w:rPr>
          <w:color w:val="231F20"/>
          <w:spacing w:val="-21"/>
          <w:w w:val="105"/>
          <w:sz w:val="20"/>
        </w:rPr>
        <w:t> </w:t>
      </w:r>
      <w:r>
        <w:rPr>
          <w:color w:val="231F20"/>
          <w:w w:val="105"/>
          <w:sz w:val="20"/>
        </w:rPr>
        <w:t>A–Z</w:t>
      </w:r>
      <w:r>
        <w:rPr>
          <w:color w:val="231F20"/>
          <w:spacing w:val="-20"/>
          <w:w w:val="105"/>
          <w:sz w:val="20"/>
        </w:rPr>
        <w:t> </w:t>
      </w:r>
      <w:r>
        <w:rPr>
          <w:color w:val="231F20"/>
          <w:w w:val="105"/>
          <w:sz w:val="20"/>
        </w:rPr>
        <w:t>Index.</w:t>
      </w:r>
      <w:r>
        <w:rPr>
          <w:color w:val="231F20"/>
          <w:spacing w:val="-20"/>
          <w:w w:val="105"/>
          <w:sz w:val="20"/>
        </w:rPr>
        <w:t> </w:t>
      </w:r>
      <w:hyperlink r:id="rId17">
        <w:r>
          <w:rPr>
            <w:color w:val="0079C1"/>
            <w:spacing w:val="-3"/>
            <w:w w:val="105"/>
            <w:sz w:val="20"/>
          </w:rPr>
          <w:t>www.cdc.gov/az/a.</w:t>
        </w:r>
      </w:hyperlink>
      <w:r>
        <w:rPr>
          <w:color w:val="0079C1"/>
          <w:spacing w:val="-3"/>
          <w:w w:val="105"/>
          <w:sz w:val="20"/>
        </w:rPr>
        <w:t> </w:t>
      </w:r>
      <w:r>
        <w:rPr>
          <w:color w:val="0079C1"/>
          <w:w w:val="105"/>
          <w:sz w:val="20"/>
        </w:rPr>
        <w:t>html;</w:t>
      </w:r>
    </w:p>
    <w:p>
      <w:pPr>
        <w:pStyle w:val="ListParagraph"/>
        <w:numPr>
          <w:ilvl w:val="0"/>
          <w:numId w:val="11"/>
        </w:numPr>
        <w:tabs>
          <w:tab w:pos="512" w:val="left" w:leader="none"/>
        </w:tabs>
        <w:spacing w:line="266" w:lineRule="auto" w:before="89" w:after="0"/>
        <w:ind w:left="511" w:right="1283" w:hanging="167"/>
        <w:jc w:val="left"/>
        <w:rPr>
          <w:sz w:val="20"/>
        </w:rPr>
      </w:pPr>
      <w:r>
        <w:rPr>
          <w:color w:val="231F20"/>
          <w:spacing w:val="-7"/>
          <w:sz w:val="20"/>
        </w:rPr>
        <w:t>U.S. </w:t>
      </w:r>
      <w:r>
        <w:rPr>
          <w:color w:val="231F20"/>
          <w:spacing w:val="-5"/>
          <w:sz w:val="20"/>
        </w:rPr>
        <w:t>Food </w:t>
      </w:r>
      <w:r>
        <w:rPr>
          <w:color w:val="231F20"/>
          <w:sz w:val="20"/>
        </w:rPr>
        <w:t>and Drug Administration. The Bad Bug Book, 2nd edition. </w:t>
      </w:r>
      <w:hyperlink r:id="rId18">
        <w:r>
          <w:rPr>
            <w:color w:val="0079C1"/>
            <w:spacing w:val="-7"/>
            <w:sz w:val="20"/>
          </w:rPr>
          <w:t>www.</w:t>
        </w:r>
      </w:hyperlink>
      <w:r>
        <w:rPr>
          <w:color w:val="0079C1"/>
          <w:spacing w:val="-7"/>
          <w:sz w:val="20"/>
        </w:rPr>
        <w:t> </w:t>
      </w:r>
      <w:r>
        <w:rPr>
          <w:color w:val="0079C1"/>
          <w:spacing w:val="-2"/>
          <w:w w:val="95"/>
          <w:sz w:val="20"/>
        </w:rPr>
        <w:t>fda.gov/downloads/Food/FoodSafety/</w:t>
      </w:r>
    </w:p>
    <w:p>
      <w:pPr>
        <w:pStyle w:val="BodyText"/>
        <w:spacing w:line="266" w:lineRule="auto"/>
        <w:ind w:left="511"/>
      </w:pPr>
      <w:r>
        <w:rPr>
          <w:color w:val="0079C1"/>
          <w:w w:val="95"/>
        </w:rPr>
        <w:t>FoodborneIllness/FoodborneIllnessFoodborne </w:t>
      </w:r>
      <w:r>
        <w:rPr>
          <w:color w:val="0079C1"/>
        </w:rPr>
        <w:t>PathogensNaturalToxins/BadBugBook/ UCM297627.pdf;</w:t>
      </w:r>
    </w:p>
    <w:p>
      <w:pPr>
        <w:pStyle w:val="ListParagraph"/>
        <w:numPr>
          <w:ilvl w:val="0"/>
          <w:numId w:val="11"/>
        </w:numPr>
        <w:tabs>
          <w:tab w:pos="512" w:val="left" w:leader="none"/>
        </w:tabs>
        <w:spacing w:line="266" w:lineRule="auto" w:before="90" w:after="0"/>
        <w:ind w:left="511" w:right="921" w:hanging="167"/>
        <w:jc w:val="left"/>
        <w:rPr>
          <w:sz w:val="20"/>
        </w:rPr>
      </w:pPr>
      <w:r>
        <w:rPr>
          <w:color w:val="231F20"/>
          <w:sz w:val="20"/>
        </w:rPr>
        <w:t>International Association of  Milk, </w:t>
      </w:r>
      <w:r>
        <w:rPr>
          <w:color w:val="231F20"/>
          <w:spacing w:val="-5"/>
          <w:sz w:val="20"/>
        </w:rPr>
        <w:t>Food </w:t>
      </w:r>
      <w:r>
        <w:rPr>
          <w:color w:val="231F20"/>
          <w:sz w:val="20"/>
        </w:rPr>
        <w:t>and Environmental Sanitarians. </w:t>
      </w:r>
      <w:r>
        <w:rPr>
          <w:i/>
          <w:color w:val="231F20"/>
          <w:sz w:val="20"/>
        </w:rPr>
        <w:t>Procedures to </w:t>
      </w:r>
      <w:r>
        <w:rPr>
          <w:i/>
          <w:color w:val="231F20"/>
          <w:sz w:val="20"/>
        </w:rPr>
        <w:t>Investigate Foodborne Illness</w:t>
      </w:r>
      <w:r>
        <w:rPr>
          <w:color w:val="231F20"/>
          <w:sz w:val="20"/>
        </w:rPr>
        <w:t>. 6th edition.</w:t>
      </w:r>
      <w:r>
        <w:rPr>
          <w:color w:val="231F20"/>
          <w:spacing w:val="9"/>
          <w:sz w:val="20"/>
        </w:rPr>
        <w:t> </w:t>
      </w:r>
      <w:r>
        <w:rPr>
          <w:color w:val="231F20"/>
          <w:sz w:val="20"/>
        </w:rPr>
        <w:t>Des</w:t>
      </w:r>
    </w:p>
    <w:p>
      <w:pPr>
        <w:pStyle w:val="BodyText"/>
        <w:ind w:left="511"/>
      </w:pPr>
      <w:r>
        <w:rPr>
          <w:color w:val="231F20"/>
        </w:rPr>
        <w:t>Moines, Iowa: IAMFES (reprinted 2007);  and</w:t>
      </w:r>
    </w:p>
    <w:p>
      <w:pPr>
        <w:pStyle w:val="ListParagraph"/>
        <w:numPr>
          <w:ilvl w:val="0"/>
          <w:numId w:val="11"/>
        </w:numPr>
        <w:tabs>
          <w:tab w:pos="512" w:val="left" w:leader="none"/>
        </w:tabs>
        <w:spacing w:line="266" w:lineRule="auto" w:before="115" w:after="0"/>
        <w:ind w:left="511" w:right="753" w:hanging="167"/>
        <w:jc w:val="left"/>
        <w:rPr>
          <w:sz w:val="20"/>
        </w:rPr>
      </w:pPr>
      <w:r>
        <w:rPr>
          <w:color w:val="231F20"/>
          <w:sz w:val="20"/>
        </w:rPr>
        <w:t>CDC. Diagnosis and management of foodborne illnesses: a primer for physicians and other health-care professionals. MMWR </w:t>
      </w:r>
      <w:r>
        <w:rPr>
          <w:color w:val="231F20"/>
          <w:spacing w:val="-2"/>
          <w:sz w:val="20"/>
        </w:rPr>
        <w:t>Recomm </w:t>
      </w:r>
      <w:r>
        <w:rPr>
          <w:color w:val="231F20"/>
          <w:spacing w:val="-3"/>
          <w:sz w:val="20"/>
        </w:rPr>
        <w:t>Rep </w:t>
      </w:r>
      <w:r>
        <w:rPr>
          <w:color w:val="231F20"/>
          <w:sz w:val="20"/>
        </w:rPr>
        <w:t>2004:53(RR-4). </w:t>
      </w:r>
      <w:r>
        <w:rPr>
          <w:color w:val="231F20"/>
          <w:spacing w:val="-3"/>
          <w:sz w:val="20"/>
        </w:rPr>
        <w:t>(</w:t>
      </w:r>
      <w:hyperlink r:id="rId19">
        <w:r>
          <w:rPr>
            <w:color w:val="0079C1"/>
            <w:spacing w:val="-3"/>
            <w:sz w:val="20"/>
          </w:rPr>
          <w:t>www.cdc.gov/</w:t>
        </w:r>
      </w:hyperlink>
      <w:r>
        <w:rPr>
          <w:color w:val="0079C1"/>
          <w:spacing w:val="-3"/>
          <w:sz w:val="20"/>
        </w:rPr>
        <w:t> </w:t>
      </w:r>
      <w:r>
        <w:rPr>
          <w:color w:val="0079C1"/>
          <w:sz w:val="20"/>
        </w:rPr>
        <w:t>mmwr/pdf/rr/rr5304.pdf</w:t>
      </w:r>
      <w:r>
        <w:rPr>
          <w:color w:val="231F20"/>
          <w:sz w:val="20"/>
        </w:rPr>
        <w:t>)</w:t>
      </w:r>
    </w:p>
    <w:p>
      <w:pPr>
        <w:spacing w:after="0" w:line="266" w:lineRule="auto"/>
        <w:jc w:val="left"/>
        <w:rPr>
          <w:sz w:val="20"/>
        </w:rPr>
        <w:sectPr>
          <w:type w:val="continuous"/>
          <w:pgSz w:w="10080" w:h="14400"/>
          <w:pgMar w:top="0" w:bottom="360" w:left="0" w:right="0"/>
          <w:cols w:num="2" w:equalWidth="0">
            <w:col w:w="5196" w:space="40"/>
            <w:col w:w="4844"/>
          </w:cols>
        </w:sectPr>
      </w:pPr>
    </w:p>
    <w:p>
      <w:pPr>
        <w:pStyle w:val="BodyText"/>
        <w:spacing w:before="8"/>
        <w:rPr>
          <w:sz w:val="26"/>
        </w:rPr>
      </w:pPr>
    </w:p>
    <w:p>
      <w:pPr>
        <w:pStyle w:val="Heading1"/>
        <w:ind w:left="720"/>
      </w:pPr>
      <w:r>
        <w:rPr/>
        <w:pict>
          <v:line style="position:absolute;mso-position-horizontal-relative:page;mso-position-vertical-relative:paragraph;z-index:3592;mso-wrap-distance-left:0;mso-wrap-distance-right:0" from="36pt,23.995163pt" to="432pt,23.995163pt" stroked="true" strokeweight=".5pt" strokecolor="#00a94f">
            <v:stroke dashstyle="solid"/>
            <w10:wrap type="topAndBottom"/>
          </v:line>
        </w:pict>
      </w:r>
      <w:r>
        <w:rPr/>
        <w:pict>
          <v:rect style="position:absolute;margin-left:459pt;margin-top:63.347263pt;width:45pt;height:18pt;mso-position-horizontal-relative:page;mso-position-vertical-relative:paragraph;z-index:3616" filled="true" fillcolor="#0079c1" stroked="false">
            <v:fill type="solid"/>
            <w10:wrap type="none"/>
          </v:rect>
        </w:pict>
      </w:r>
      <w:r>
        <w:rPr/>
        <w:pict>
          <v:line style="position:absolute;mso-position-horizontal-relative:page;mso-position-vertical-relative:paragraph;z-index:3640" from="450.5pt,63.346863pt" to="450.5pt,305.244863pt" stroked="true" strokeweight="1pt" strokecolor="#0079c1">
            <v:stroke dashstyle="solid"/>
            <w10:wrap type="none"/>
          </v:line>
        </w:pict>
      </w:r>
      <w:r>
        <w:rPr/>
        <w:pict>
          <v:shape style="position:absolute;margin-left:465.014313pt;margin-top:85.343666pt;width:22.9pt;height:222.55pt;mso-position-horizontal-relative:page;mso-position-vertical-relative:paragraph;z-index:3664"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68.097862pt;width:15.85pt;height:8.5pt;mso-position-horizontal-relative:page;mso-position-vertical-relative:paragraph;z-index:368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00A94F"/>
          <w:w w:val="95"/>
        </w:rPr>
        <w:t>2.4. Etiologic Agents Associated with Foodborne Diseases</w:t>
      </w:r>
    </w:p>
    <w:p>
      <w:pPr>
        <w:pStyle w:val="BodyText"/>
        <w:spacing w:before="11"/>
        <w:rPr>
          <w:rFonts w:ascii="Lucida Sans"/>
          <w:sz w:val="29"/>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170"/>
        <w:gridCol w:w="1620"/>
        <w:gridCol w:w="5130"/>
      </w:tblGrid>
      <w:tr>
        <w:trPr>
          <w:trHeight w:val="546" w:hRule="exact"/>
        </w:trPr>
        <w:tc>
          <w:tcPr>
            <w:tcW w:w="7920" w:type="dxa"/>
            <w:gridSpan w:val="3"/>
            <w:shd w:val="clear" w:color="auto" w:fill="C4E3CA"/>
          </w:tcPr>
          <w:p>
            <w:pPr>
              <w:pStyle w:val="TableParagraph"/>
              <w:spacing w:line="259" w:lineRule="auto" w:before="31"/>
              <w:ind w:left="967" w:right="295" w:hanging="901"/>
              <w:rPr>
                <w:rFonts w:ascii="Trebuchet MS"/>
                <w:b/>
                <w:sz w:val="20"/>
              </w:rPr>
            </w:pPr>
            <w:r>
              <w:rPr>
                <w:rFonts w:ascii="Trebuchet MS"/>
                <w:b/>
                <w:color w:val="E36F1E"/>
                <w:spacing w:val="-4"/>
                <w:sz w:val="20"/>
              </w:rPr>
              <w:t>Table</w:t>
            </w:r>
            <w:r>
              <w:rPr>
                <w:rFonts w:ascii="Trebuchet MS"/>
                <w:b/>
                <w:color w:val="E36F1E"/>
                <w:spacing w:val="-32"/>
                <w:sz w:val="20"/>
              </w:rPr>
              <w:t> </w:t>
            </w:r>
            <w:r>
              <w:rPr>
                <w:rFonts w:ascii="Trebuchet MS"/>
                <w:b/>
                <w:color w:val="E36F1E"/>
                <w:sz w:val="20"/>
              </w:rPr>
              <w:t>2.1.</w:t>
            </w:r>
            <w:r>
              <w:rPr>
                <w:rFonts w:ascii="Trebuchet MS"/>
                <w:b/>
                <w:color w:val="E36F1E"/>
                <w:spacing w:val="-43"/>
                <w:sz w:val="20"/>
              </w:rPr>
              <w:t> </w:t>
            </w:r>
            <w:r>
              <w:rPr>
                <w:rFonts w:ascii="Trebuchet MS"/>
                <w:b/>
                <w:color w:val="1C3E94"/>
                <w:sz w:val="20"/>
              </w:rPr>
              <w:t>Examples</w:t>
            </w:r>
            <w:r>
              <w:rPr>
                <w:rFonts w:ascii="Trebuchet MS"/>
                <w:b/>
                <w:color w:val="1C3E94"/>
                <w:spacing w:val="-32"/>
                <w:sz w:val="20"/>
              </w:rPr>
              <w:t> </w:t>
            </w:r>
            <w:r>
              <w:rPr>
                <w:rFonts w:ascii="Trebuchet MS"/>
                <w:b/>
                <w:color w:val="1C3E94"/>
                <w:sz w:val="20"/>
              </w:rPr>
              <w:t>of</w:t>
            </w:r>
            <w:r>
              <w:rPr>
                <w:rFonts w:ascii="Trebuchet MS"/>
                <w:b/>
                <w:color w:val="1C3E94"/>
                <w:spacing w:val="-32"/>
                <w:sz w:val="20"/>
              </w:rPr>
              <w:t> </w:t>
            </w:r>
            <w:r>
              <w:rPr>
                <w:rFonts w:ascii="Trebuchet MS"/>
                <w:b/>
                <w:color w:val="1C3E94"/>
                <w:sz w:val="20"/>
              </w:rPr>
              <w:t>agents</w:t>
            </w:r>
            <w:r>
              <w:rPr>
                <w:rFonts w:ascii="Trebuchet MS"/>
                <w:b/>
                <w:color w:val="1C3E94"/>
                <w:spacing w:val="-32"/>
                <w:sz w:val="20"/>
              </w:rPr>
              <w:t> </w:t>
            </w:r>
            <w:r>
              <w:rPr>
                <w:rFonts w:ascii="Trebuchet MS"/>
                <w:b/>
                <w:color w:val="1C3E94"/>
                <w:sz w:val="20"/>
              </w:rPr>
              <w:t>that</w:t>
            </w:r>
            <w:r>
              <w:rPr>
                <w:rFonts w:ascii="Trebuchet MS"/>
                <w:b/>
                <w:color w:val="1C3E94"/>
                <w:spacing w:val="-32"/>
                <w:sz w:val="20"/>
              </w:rPr>
              <w:t> </w:t>
            </w:r>
            <w:r>
              <w:rPr>
                <w:rFonts w:ascii="Trebuchet MS"/>
                <w:b/>
                <w:color w:val="1C3E94"/>
                <w:sz w:val="20"/>
              </w:rPr>
              <w:t>commonly</w:t>
            </w:r>
            <w:r>
              <w:rPr>
                <w:rFonts w:ascii="Trebuchet MS"/>
                <w:b/>
                <w:color w:val="1C3E94"/>
                <w:spacing w:val="-32"/>
                <w:sz w:val="20"/>
              </w:rPr>
              <w:t> </w:t>
            </w:r>
            <w:r>
              <w:rPr>
                <w:rFonts w:ascii="Trebuchet MS"/>
                <w:b/>
                <w:color w:val="1C3E94"/>
                <w:sz w:val="20"/>
              </w:rPr>
              <w:t>cause</w:t>
            </w:r>
            <w:r>
              <w:rPr>
                <w:rFonts w:ascii="Trebuchet MS"/>
                <w:b/>
                <w:color w:val="1C3E94"/>
                <w:spacing w:val="-32"/>
                <w:sz w:val="20"/>
              </w:rPr>
              <w:t> </w:t>
            </w:r>
            <w:r>
              <w:rPr>
                <w:rFonts w:ascii="Trebuchet MS"/>
                <w:b/>
                <w:color w:val="1C3E94"/>
                <w:sz w:val="20"/>
              </w:rPr>
              <w:t>foodborne</w:t>
            </w:r>
            <w:r>
              <w:rPr>
                <w:rFonts w:ascii="Trebuchet MS"/>
                <w:b/>
                <w:color w:val="1C3E94"/>
                <w:spacing w:val="-32"/>
                <w:sz w:val="20"/>
              </w:rPr>
              <w:t> </w:t>
            </w:r>
            <w:r>
              <w:rPr>
                <w:rFonts w:ascii="Trebuchet MS"/>
                <w:b/>
                <w:color w:val="1C3E94"/>
                <w:sz w:val="20"/>
              </w:rPr>
              <w:t>illness,</w:t>
            </w:r>
            <w:r>
              <w:rPr>
                <w:rFonts w:ascii="Trebuchet MS"/>
                <w:b/>
                <w:color w:val="1C3E94"/>
                <w:spacing w:val="-32"/>
                <w:sz w:val="20"/>
              </w:rPr>
              <w:t> </w:t>
            </w:r>
            <w:r>
              <w:rPr>
                <w:rFonts w:ascii="Trebuchet MS"/>
                <w:b/>
                <w:color w:val="1C3E94"/>
                <w:sz w:val="20"/>
              </w:rPr>
              <w:t>by</w:t>
            </w:r>
            <w:r>
              <w:rPr>
                <w:rFonts w:ascii="Trebuchet MS"/>
                <w:b/>
                <w:color w:val="1C3E94"/>
                <w:spacing w:val="-32"/>
                <w:sz w:val="20"/>
              </w:rPr>
              <w:t> </w:t>
            </w:r>
            <w:r>
              <w:rPr>
                <w:rFonts w:ascii="Trebuchet MS"/>
                <w:b/>
                <w:color w:val="1C3E94"/>
                <w:sz w:val="20"/>
              </w:rPr>
              <w:t>agent</w:t>
            </w:r>
            <w:r>
              <w:rPr>
                <w:rFonts w:ascii="Trebuchet MS"/>
                <w:b/>
                <w:color w:val="1C3E94"/>
                <w:spacing w:val="-32"/>
                <w:sz w:val="20"/>
              </w:rPr>
              <w:t> </w:t>
            </w:r>
            <w:r>
              <w:rPr>
                <w:rFonts w:ascii="Trebuchet MS"/>
                <w:b/>
                <w:color w:val="1C3E94"/>
                <w:sz w:val="20"/>
              </w:rPr>
              <w:t>type </w:t>
            </w:r>
            <w:r>
              <w:rPr>
                <w:rFonts w:ascii="Trebuchet MS"/>
                <w:b/>
                <w:color w:val="1C3E94"/>
                <w:w w:val="95"/>
                <w:sz w:val="20"/>
              </w:rPr>
              <w:t>and mechanism of</w:t>
            </w:r>
            <w:r>
              <w:rPr>
                <w:rFonts w:ascii="Trebuchet MS"/>
                <w:b/>
                <w:color w:val="1C3E94"/>
                <w:spacing w:val="-12"/>
                <w:w w:val="95"/>
                <w:sz w:val="20"/>
              </w:rPr>
              <w:t> </w:t>
            </w:r>
            <w:r>
              <w:rPr>
                <w:rFonts w:ascii="Trebuchet MS"/>
                <w:b/>
                <w:color w:val="1C3E94"/>
                <w:w w:val="95"/>
                <w:sz w:val="20"/>
              </w:rPr>
              <w:t>action</w:t>
            </w:r>
          </w:p>
        </w:tc>
      </w:tr>
      <w:tr>
        <w:trPr>
          <w:trHeight w:val="722" w:hRule="exact"/>
        </w:trPr>
        <w:tc>
          <w:tcPr>
            <w:tcW w:w="1170" w:type="dxa"/>
            <w:shd w:val="clear" w:color="auto" w:fill="00A94F"/>
          </w:tcPr>
          <w:p>
            <w:pPr>
              <w:pStyle w:val="TableParagraph"/>
              <w:spacing w:line="249" w:lineRule="auto" w:before="141"/>
              <w:ind w:left="67"/>
              <w:rPr>
                <w:rFonts w:ascii="Lucida Sans"/>
                <w:sz w:val="18"/>
              </w:rPr>
            </w:pPr>
            <w:r>
              <w:rPr>
                <w:rFonts w:ascii="Lucida Sans"/>
                <w:color w:val="FFFFFF"/>
                <w:w w:val="105"/>
                <w:sz w:val="18"/>
              </w:rPr>
              <w:t>TYPE OF AGENT</w:t>
            </w:r>
          </w:p>
        </w:tc>
        <w:tc>
          <w:tcPr>
            <w:tcW w:w="1620" w:type="dxa"/>
            <w:shd w:val="clear" w:color="auto" w:fill="00A94F"/>
          </w:tcPr>
          <w:p>
            <w:pPr>
              <w:pStyle w:val="TableParagraph"/>
              <w:spacing w:line="249" w:lineRule="auto" w:before="31"/>
              <w:ind w:right="245"/>
              <w:rPr>
                <w:rFonts w:ascii="Lucida Sans"/>
                <w:sz w:val="18"/>
              </w:rPr>
            </w:pPr>
            <w:r>
              <w:rPr>
                <w:rFonts w:ascii="Lucida Sans"/>
                <w:color w:val="FFFFFF"/>
                <w:w w:val="105"/>
                <w:sz w:val="18"/>
              </w:rPr>
              <w:t>GENERAL </w:t>
            </w:r>
            <w:r>
              <w:rPr>
                <w:rFonts w:ascii="Lucida Sans"/>
                <w:color w:val="FFFFFF"/>
                <w:sz w:val="18"/>
              </w:rPr>
              <w:t>MECHANISM </w:t>
            </w:r>
            <w:r>
              <w:rPr>
                <w:rFonts w:ascii="Lucida Sans"/>
                <w:color w:val="FFFFFF"/>
                <w:w w:val="105"/>
                <w:sz w:val="18"/>
              </w:rPr>
              <w:t>OF ACTION</w:t>
            </w:r>
          </w:p>
        </w:tc>
        <w:tc>
          <w:tcPr>
            <w:tcW w:w="5130" w:type="dxa"/>
            <w:shd w:val="clear" w:color="auto" w:fill="00A94F"/>
          </w:tcPr>
          <w:p>
            <w:pPr>
              <w:pStyle w:val="TableParagraph"/>
              <w:spacing w:before="3"/>
              <w:ind w:left="0"/>
              <w:rPr>
                <w:rFonts w:ascii="Lucida Sans"/>
                <w:sz w:val="21"/>
              </w:rPr>
            </w:pPr>
          </w:p>
          <w:p>
            <w:pPr>
              <w:pStyle w:val="TableParagraph"/>
              <w:spacing w:before="0"/>
              <w:rPr>
                <w:rFonts w:ascii="Lucida Sans"/>
                <w:sz w:val="18"/>
              </w:rPr>
            </w:pPr>
            <w:r>
              <w:rPr>
                <w:rFonts w:ascii="Lucida Sans"/>
                <w:color w:val="FFFFFF"/>
                <w:w w:val="105"/>
                <w:sz w:val="18"/>
              </w:rPr>
              <w:t>EXAMPLE</w:t>
            </w:r>
          </w:p>
        </w:tc>
      </w:tr>
      <w:tr>
        <w:trPr>
          <w:trHeight w:val="865" w:hRule="exact"/>
        </w:trPr>
        <w:tc>
          <w:tcPr>
            <w:tcW w:w="1170" w:type="dxa"/>
            <w:shd w:val="clear" w:color="auto" w:fill="D4E0F3"/>
          </w:tcPr>
          <w:p>
            <w:pPr>
              <w:pStyle w:val="TableParagraph"/>
              <w:ind w:left="67"/>
              <w:rPr>
                <w:sz w:val="18"/>
              </w:rPr>
            </w:pPr>
            <w:r>
              <w:rPr>
                <w:color w:val="231F20"/>
                <w:sz w:val="18"/>
              </w:rPr>
              <w:t>Bacteria</w:t>
            </w:r>
          </w:p>
        </w:tc>
        <w:tc>
          <w:tcPr>
            <w:tcW w:w="1620" w:type="dxa"/>
            <w:shd w:val="clear" w:color="auto" w:fill="D4E0F3"/>
          </w:tcPr>
          <w:p>
            <w:pPr>
              <w:pStyle w:val="TableParagraph"/>
              <w:rPr>
                <w:sz w:val="18"/>
              </w:rPr>
            </w:pPr>
            <w:r>
              <w:rPr>
                <w:color w:val="231F20"/>
                <w:w w:val="90"/>
                <w:sz w:val="18"/>
              </w:rPr>
              <w:t>Preformed toxin</w:t>
            </w:r>
          </w:p>
        </w:tc>
        <w:tc>
          <w:tcPr>
            <w:tcW w:w="5130" w:type="dxa"/>
            <w:shd w:val="clear" w:color="auto" w:fill="D4E0F3"/>
          </w:tcPr>
          <w:p>
            <w:pPr>
              <w:pStyle w:val="TableParagraph"/>
              <w:spacing w:line="254" w:lineRule="auto"/>
              <w:ind w:right="3108"/>
              <w:rPr>
                <w:i/>
                <w:sz w:val="18"/>
              </w:rPr>
            </w:pPr>
            <w:r>
              <w:rPr>
                <w:i/>
                <w:color w:val="231F20"/>
                <w:sz w:val="18"/>
              </w:rPr>
              <w:t>Bacillus cereus </w:t>
            </w:r>
            <w:r>
              <w:rPr>
                <w:i/>
                <w:color w:val="231F20"/>
                <w:w w:val="95"/>
                <w:sz w:val="18"/>
              </w:rPr>
              <w:t>Clostridium botulinum </w:t>
            </w:r>
            <w:r>
              <w:rPr>
                <w:i/>
                <w:color w:val="231F20"/>
                <w:w w:val="85"/>
                <w:sz w:val="18"/>
              </w:rPr>
              <w:t>Staphylococcus  aureus</w:t>
            </w:r>
          </w:p>
        </w:tc>
      </w:tr>
      <w:tr>
        <w:trPr>
          <w:trHeight w:val="1525" w:hRule="exact"/>
        </w:trPr>
        <w:tc>
          <w:tcPr>
            <w:tcW w:w="1170" w:type="dxa"/>
            <w:shd w:val="clear" w:color="auto" w:fill="DAEDDD"/>
          </w:tcPr>
          <w:p>
            <w:pPr/>
          </w:p>
        </w:tc>
        <w:tc>
          <w:tcPr>
            <w:tcW w:w="1620" w:type="dxa"/>
            <w:shd w:val="clear" w:color="auto" w:fill="DAEDDD"/>
          </w:tcPr>
          <w:p>
            <w:pPr>
              <w:pStyle w:val="TableParagraph"/>
              <w:spacing w:line="254" w:lineRule="auto"/>
              <w:ind w:right="560"/>
              <w:jc w:val="both"/>
              <w:rPr>
                <w:sz w:val="18"/>
              </w:rPr>
            </w:pPr>
            <w:r>
              <w:rPr>
                <w:color w:val="231F20"/>
                <w:w w:val="95"/>
                <w:sz w:val="18"/>
              </w:rPr>
              <w:t>Infection and production</w:t>
            </w:r>
            <w:r>
              <w:rPr>
                <w:color w:val="231F20"/>
                <w:spacing w:val="-8"/>
                <w:w w:val="95"/>
                <w:sz w:val="18"/>
              </w:rPr>
              <w:t> </w:t>
            </w:r>
            <w:r>
              <w:rPr>
                <w:color w:val="231F20"/>
                <w:w w:val="95"/>
                <w:sz w:val="18"/>
              </w:rPr>
              <w:t>of enterotoxins</w:t>
            </w:r>
          </w:p>
        </w:tc>
        <w:tc>
          <w:tcPr>
            <w:tcW w:w="5130" w:type="dxa"/>
            <w:shd w:val="clear" w:color="auto" w:fill="DAEDDD"/>
          </w:tcPr>
          <w:p>
            <w:pPr>
              <w:pStyle w:val="TableParagraph"/>
              <w:spacing w:line="254" w:lineRule="auto"/>
              <w:ind w:right="3108"/>
              <w:rPr>
                <w:i/>
                <w:sz w:val="18"/>
              </w:rPr>
            </w:pPr>
            <w:r>
              <w:rPr>
                <w:i/>
                <w:color w:val="231F20"/>
                <w:sz w:val="18"/>
              </w:rPr>
              <w:t>Bacillus cereus </w:t>
            </w:r>
            <w:r>
              <w:rPr>
                <w:i/>
                <w:color w:val="231F20"/>
                <w:w w:val="95"/>
                <w:sz w:val="18"/>
              </w:rPr>
              <w:t>Clostridium botulinum </w:t>
            </w:r>
            <w:r>
              <w:rPr>
                <w:i/>
                <w:color w:val="231F20"/>
                <w:w w:val="90"/>
                <w:sz w:val="18"/>
              </w:rPr>
              <w:t>Clostridium perfringens</w:t>
            </w:r>
          </w:p>
          <w:p>
            <w:pPr>
              <w:pStyle w:val="TableParagraph"/>
              <w:spacing w:line="252" w:lineRule="auto" w:before="0"/>
              <w:ind w:right="2221"/>
              <w:rPr>
                <w:i/>
                <w:sz w:val="18"/>
              </w:rPr>
            </w:pPr>
            <w:r>
              <w:rPr>
                <w:i/>
                <w:color w:val="231F20"/>
                <w:w w:val="90"/>
                <w:sz w:val="18"/>
              </w:rPr>
              <w:t>Enterohemorrhagic Escherichia coli </w:t>
            </w:r>
            <w:r>
              <w:rPr>
                <w:rFonts w:ascii="Lucida Sans"/>
                <w:color w:val="231F20"/>
                <w:w w:val="95"/>
                <w:sz w:val="18"/>
              </w:rPr>
              <w:t>Enterotoxigenic </w:t>
            </w:r>
            <w:r>
              <w:rPr>
                <w:i/>
                <w:color w:val="231F20"/>
                <w:w w:val="95"/>
                <w:sz w:val="18"/>
              </w:rPr>
              <w:t>E. coli (STEC) </w:t>
            </w:r>
            <w:r>
              <w:rPr>
                <w:i/>
                <w:color w:val="231F20"/>
                <w:w w:val="90"/>
                <w:sz w:val="18"/>
              </w:rPr>
              <w:t>Vibrio cholerae</w:t>
            </w:r>
          </w:p>
        </w:tc>
      </w:tr>
      <w:tr>
        <w:trPr>
          <w:trHeight w:val="2735" w:hRule="exact"/>
        </w:trPr>
        <w:tc>
          <w:tcPr>
            <w:tcW w:w="1170" w:type="dxa"/>
            <w:shd w:val="clear" w:color="auto" w:fill="D4E0F3"/>
          </w:tcPr>
          <w:p>
            <w:pPr/>
          </w:p>
        </w:tc>
        <w:tc>
          <w:tcPr>
            <w:tcW w:w="1620" w:type="dxa"/>
            <w:shd w:val="clear" w:color="auto" w:fill="D4E0F3"/>
          </w:tcPr>
          <w:p>
            <w:pPr>
              <w:pStyle w:val="TableParagraph"/>
              <w:rPr>
                <w:sz w:val="18"/>
              </w:rPr>
            </w:pPr>
            <w:r>
              <w:rPr>
                <w:color w:val="231F20"/>
                <w:sz w:val="18"/>
              </w:rPr>
              <w:t>Infection</w:t>
            </w:r>
          </w:p>
        </w:tc>
        <w:tc>
          <w:tcPr>
            <w:tcW w:w="5130" w:type="dxa"/>
            <w:shd w:val="clear" w:color="auto" w:fill="D4E0F3"/>
          </w:tcPr>
          <w:p>
            <w:pPr>
              <w:pStyle w:val="TableParagraph"/>
              <w:rPr>
                <w:i/>
                <w:sz w:val="18"/>
              </w:rPr>
            </w:pPr>
            <w:r>
              <w:rPr>
                <w:i/>
                <w:color w:val="231F20"/>
                <w:w w:val="85"/>
                <w:sz w:val="18"/>
              </w:rPr>
              <w:t>Bacillus anthracis</w:t>
            </w:r>
          </w:p>
          <w:p>
            <w:pPr>
              <w:pStyle w:val="TableParagraph"/>
              <w:spacing w:line="242" w:lineRule="auto" w:before="2"/>
              <w:ind w:right="1621"/>
              <w:rPr>
                <w:i/>
                <w:sz w:val="18"/>
              </w:rPr>
            </w:pPr>
            <w:r>
              <w:rPr>
                <w:i/>
                <w:color w:val="231F20"/>
                <w:w w:val="90"/>
                <w:sz w:val="18"/>
              </w:rPr>
              <w:t>Brucella spp. (B. melitensis, B. abortus, B. suis) </w:t>
            </w:r>
            <w:r>
              <w:rPr>
                <w:i/>
                <w:color w:val="231F20"/>
                <w:w w:val="90"/>
                <w:sz w:val="18"/>
              </w:rPr>
              <w:t>Campylobacter jejuni</w:t>
            </w:r>
          </w:p>
          <w:p>
            <w:pPr>
              <w:pStyle w:val="TableParagraph"/>
              <w:spacing w:line="242" w:lineRule="auto" w:before="0"/>
              <w:ind w:right="3108"/>
              <w:rPr>
                <w:i/>
                <w:sz w:val="18"/>
              </w:rPr>
            </w:pPr>
            <w:r>
              <w:rPr>
                <w:color w:val="231F20"/>
                <w:sz w:val="18"/>
              </w:rPr>
              <w:t>Enteroinvasive </w:t>
            </w:r>
            <w:r>
              <w:rPr>
                <w:i/>
                <w:color w:val="231F20"/>
                <w:sz w:val="18"/>
              </w:rPr>
              <w:t>E. coli </w:t>
            </w:r>
            <w:r>
              <w:rPr>
                <w:i/>
                <w:color w:val="231F20"/>
                <w:w w:val="95"/>
                <w:sz w:val="18"/>
              </w:rPr>
              <w:t>Listeria monocytogenes </w:t>
            </w:r>
            <w:r>
              <w:rPr>
                <w:i/>
                <w:color w:val="231F20"/>
                <w:w w:val="90"/>
                <w:sz w:val="18"/>
              </w:rPr>
              <w:t>Plesiomonas shigelloides Salmonella spp.</w:t>
            </w:r>
          </w:p>
          <w:p>
            <w:pPr>
              <w:pStyle w:val="TableParagraph"/>
              <w:spacing w:line="242" w:lineRule="auto" w:before="0"/>
              <w:ind w:right="3259"/>
              <w:rPr>
                <w:i/>
                <w:sz w:val="18"/>
              </w:rPr>
            </w:pPr>
            <w:r>
              <w:rPr>
                <w:i/>
                <w:color w:val="231F20"/>
                <w:sz w:val="18"/>
              </w:rPr>
              <w:t>Shigella spp. </w:t>
            </w:r>
            <w:r>
              <w:rPr>
                <w:i/>
                <w:color w:val="231F20"/>
                <w:w w:val="90"/>
                <w:sz w:val="18"/>
              </w:rPr>
              <w:t>Streptococcus pyogenes Vibrio parahaemolyticus</w:t>
            </w:r>
          </w:p>
          <w:p>
            <w:pPr>
              <w:pStyle w:val="TableParagraph"/>
              <w:spacing w:before="0"/>
              <w:rPr>
                <w:i/>
                <w:sz w:val="18"/>
              </w:rPr>
            </w:pPr>
            <w:r>
              <w:rPr>
                <w:i/>
                <w:color w:val="231F20"/>
                <w:w w:val="90"/>
                <w:sz w:val="18"/>
              </w:rPr>
              <w:t>V. vulnificus</w:t>
            </w:r>
          </w:p>
          <w:p>
            <w:pPr>
              <w:pStyle w:val="TableParagraph"/>
              <w:spacing w:before="2"/>
              <w:rPr>
                <w:i/>
                <w:sz w:val="18"/>
              </w:rPr>
            </w:pPr>
            <w:r>
              <w:rPr>
                <w:i/>
                <w:color w:val="231F20"/>
                <w:w w:val="90"/>
                <w:sz w:val="18"/>
              </w:rPr>
              <w:t>Yersinia enterocolytica and Y. pseudotuberculosis</w:t>
            </w:r>
          </w:p>
        </w:tc>
      </w:tr>
      <w:tr>
        <w:trPr>
          <w:trHeight w:val="1055" w:hRule="exact"/>
        </w:trPr>
        <w:tc>
          <w:tcPr>
            <w:tcW w:w="1170" w:type="dxa"/>
            <w:shd w:val="clear" w:color="auto" w:fill="DAEDDD"/>
          </w:tcPr>
          <w:p>
            <w:pPr>
              <w:pStyle w:val="TableParagraph"/>
              <w:ind w:left="67"/>
              <w:rPr>
                <w:sz w:val="18"/>
              </w:rPr>
            </w:pPr>
            <w:r>
              <w:rPr>
                <w:color w:val="231F20"/>
                <w:w w:val="95"/>
                <w:sz w:val="18"/>
              </w:rPr>
              <w:t>Virus</w:t>
            </w:r>
          </w:p>
        </w:tc>
        <w:tc>
          <w:tcPr>
            <w:tcW w:w="1620" w:type="dxa"/>
            <w:shd w:val="clear" w:color="auto" w:fill="DAEDDD"/>
          </w:tcPr>
          <w:p>
            <w:pPr>
              <w:pStyle w:val="TableParagraph"/>
              <w:rPr>
                <w:sz w:val="18"/>
              </w:rPr>
            </w:pPr>
            <w:r>
              <w:rPr>
                <w:color w:val="231F20"/>
                <w:sz w:val="18"/>
              </w:rPr>
              <w:t>Infection</w:t>
            </w:r>
          </w:p>
        </w:tc>
        <w:tc>
          <w:tcPr>
            <w:tcW w:w="5130" w:type="dxa"/>
            <w:shd w:val="clear" w:color="auto" w:fill="DAEDDD"/>
          </w:tcPr>
          <w:p>
            <w:pPr>
              <w:pStyle w:val="TableParagraph"/>
              <w:rPr>
                <w:sz w:val="18"/>
              </w:rPr>
            </w:pPr>
            <w:r>
              <w:rPr>
                <w:color w:val="231F20"/>
                <w:w w:val="95"/>
                <w:sz w:val="18"/>
              </w:rPr>
              <w:t>Hepatitis A virus</w:t>
            </w:r>
          </w:p>
          <w:p>
            <w:pPr>
              <w:pStyle w:val="TableParagraph"/>
              <w:spacing w:line="242" w:lineRule="auto" w:before="2"/>
              <w:ind w:right="2221"/>
              <w:rPr>
                <w:sz w:val="18"/>
              </w:rPr>
            </w:pPr>
            <w:r>
              <w:rPr>
                <w:color w:val="231F20"/>
                <w:w w:val="90"/>
                <w:sz w:val="18"/>
              </w:rPr>
              <w:t>Norovirus (and other caliciviruses) </w:t>
            </w:r>
            <w:r>
              <w:rPr>
                <w:color w:val="231F20"/>
                <w:sz w:val="18"/>
              </w:rPr>
              <w:t>Rotavirus</w:t>
            </w:r>
          </w:p>
          <w:p>
            <w:pPr>
              <w:pStyle w:val="TableParagraph"/>
              <w:spacing w:before="0"/>
              <w:rPr>
                <w:sz w:val="18"/>
              </w:rPr>
            </w:pPr>
            <w:r>
              <w:rPr>
                <w:color w:val="231F20"/>
                <w:w w:val="90"/>
                <w:sz w:val="18"/>
              </w:rPr>
              <w:t>Astroviruses, adenoviruses, parvoviruses</w:t>
            </w:r>
          </w:p>
        </w:tc>
      </w:tr>
      <w:tr>
        <w:trPr>
          <w:trHeight w:val="2105" w:hRule="exact"/>
        </w:trPr>
        <w:tc>
          <w:tcPr>
            <w:tcW w:w="1170" w:type="dxa"/>
            <w:shd w:val="clear" w:color="auto" w:fill="D4E0F3"/>
          </w:tcPr>
          <w:p>
            <w:pPr>
              <w:pStyle w:val="TableParagraph"/>
              <w:ind w:left="67"/>
              <w:rPr>
                <w:sz w:val="18"/>
              </w:rPr>
            </w:pPr>
            <w:r>
              <w:rPr>
                <w:color w:val="231F20"/>
                <w:w w:val="95"/>
                <w:sz w:val="18"/>
              </w:rPr>
              <w:t>Parasite</w:t>
            </w:r>
          </w:p>
        </w:tc>
        <w:tc>
          <w:tcPr>
            <w:tcW w:w="1620" w:type="dxa"/>
            <w:shd w:val="clear" w:color="auto" w:fill="D4E0F3"/>
          </w:tcPr>
          <w:p>
            <w:pPr>
              <w:pStyle w:val="TableParagraph"/>
              <w:rPr>
                <w:sz w:val="18"/>
              </w:rPr>
            </w:pPr>
            <w:r>
              <w:rPr>
                <w:color w:val="231F20"/>
                <w:sz w:val="18"/>
              </w:rPr>
              <w:t>Infection</w:t>
            </w:r>
          </w:p>
        </w:tc>
        <w:tc>
          <w:tcPr>
            <w:tcW w:w="5130" w:type="dxa"/>
            <w:shd w:val="clear" w:color="auto" w:fill="D4E0F3"/>
          </w:tcPr>
          <w:p>
            <w:pPr>
              <w:pStyle w:val="TableParagraph"/>
              <w:spacing w:line="242" w:lineRule="auto"/>
              <w:ind w:right="3108"/>
              <w:rPr>
                <w:i/>
                <w:sz w:val="18"/>
              </w:rPr>
            </w:pPr>
            <w:r>
              <w:rPr>
                <w:i/>
                <w:color w:val="231F20"/>
                <w:sz w:val="18"/>
              </w:rPr>
              <w:t>Cryptosporidium </w:t>
            </w:r>
            <w:r>
              <w:rPr>
                <w:i/>
                <w:color w:val="231F20"/>
                <w:w w:val="85"/>
                <w:sz w:val="18"/>
              </w:rPr>
              <w:t>Cyclospora cayetanensis </w:t>
            </w:r>
            <w:r>
              <w:rPr>
                <w:i/>
                <w:color w:val="231F20"/>
                <w:w w:val="95"/>
                <w:sz w:val="18"/>
              </w:rPr>
              <w:t>Diphyllobothrium latum Entamoeba histolytica </w:t>
            </w:r>
            <w:r>
              <w:rPr>
                <w:i/>
                <w:color w:val="231F20"/>
                <w:sz w:val="18"/>
              </w:rPr>
              <w:t>Giardia intestinalis </w:t>
            </w:r>
            <w:r>
              <w:rPr>
                <w:i/>
                <w:color w:val="231F20"/>
                <w:w w:val="90"/>
                <w:sz w:val="18"/>
              </w:rPr>
              <w:t>Taenia saginata</w:t>
            </w:r>
          </w:p>
          <w:p>
            <w:pPr>
              <w:pStyle w:val="TableParagraph"/>
              <w:spacing w:line="242" w:lineRule="auto" w:before="0"/>
              <w:ind w:right="3674"/>
              <w:rPr>
                <w:i/>
                <w:sz w:val="18"/>
              </w:rPr>
            </w:pPr>
            <w:r>
              <w:rPr>
                <w:i/>
                <w:color w:val="231F20"/>
                <w:sz w:val="18"/>
              </w:rPr>
              <w:t>Taenia solium </w:t>
            </w:r>
            <w:r>
              <w:rPr>
                <w:i/>
                <w:color w:val="231F20"/>
                <w:w w:val="90"/>
                <w:sz w:val="18"/>
              </w:rPr>
              <w:t>Toxoplasma gondii </w:t>
            </w:r>
            <w:r>
              <w:rPr>
                <w:i/>
                <w:color w:val="231F20"/>
                <w:w w:val="85"/>
                <w:sz w:val="18"/>
              </w:rPr>
              <w:t>Trichinella spiralis</w:t>
            </w:r>
          </w:p>
        </w:tc>
      </w:tr>
      <w:tr>
        <w:trPr>
          <w:trHeight w:val="1055" w:hRule="exact"/>
        </w:trPr>
        <w:tc>
          <w:tcPr>
            <w:tcW w:w="1170" w:type="dxa"/>
            <w:shd w:val="clear" w:color="auto" w:fill="DAEDDD"/>
          </w:tcPr>
          <w:p>
            <w:pPr>
              <w:pStyle w:val="TableParagraph"/>
              <w:spacing w:line="254" w:lineRule="auto"/>
              <w:ind w:left="67" w:right="136"/>
              <w:rPr>
                <w:sz w:val="18"/>
              </w:rPr>
            </w:pPr>
            <w:r>
              <w:rPr>
                <w:color w:val="231F20"/>
                <w:w w:val="90"/>
                <w:sz w:val="18"/>
              </w:rPr>
              <w:t>Marine algae </w:t>
            </w:r>
            <w:r>
              <w:rPr>
                <w:color w:val="231F20"/>
                <w:sz w:val="18"/>
              </w:rPr>
              <w:t>toxins</w:t>
            </w:r>
          </w:p>
        </w:tc>
        <w:tc>
          <w:tcPr>
            <w:tcW w:w="1620" w:type="dxa"/>
            <w:shd w:val="clear" w:color="auto" w:fill="DAEDDD"/>
          </w:tcPr>
          <w:p>
            <w:pPr>
              <w:pStyle w:val="TableParagraph"/>
              <w:rPr>
                <w:sz w:val="18"/>
              </w:rPr>
            </w:pPr>
            <w:r>
              <w:rPr>
                <w:color w:val="231F20"/>
                <w:w w:val="90"/>
                <w:sz w:val="18"/>
              </w:rPr>
              <w:t>Preformed toxin</w:t>
            </w:r>
          </w:p>
        </w:tc>
        <w:tc>
          <w:tcPr>
            <w:tcW w:w="5130" w:type="dxa"/>
            <w:shd w:val="clear" w:color="auto" w:fill="DAEDDD"/>
          </w:tcPr>
          <w:p>
            <w:pPr>
              <w:pStyle w:val="TableParagraph"/>
              <w:spacing w:line="242" w:lineRule="auto"/>
              <w:ind w:right="1999"/>
              <w:rPr>
                <w:sz w:val="18"/>
              </w:rPr>
            </w:pPr>
            <w:r>
              <w:rPr>
                <w:color w:val="231F20"/>
                <w:w w:val="90"/>
                <w:sz w:val="18"/>
              </w:rPr>
              <w:t>Brevetoxin (neurotoxic shellfish poisoning) Ciguatoxin (ciguatera)</w:t>
            </w:r>
          </w:p>
          <w:p>
            <w:pPr>
              <w:pStyle w:val="TableParagraph"/>
              <w:spacing w:line="242" w:lineRule="auto" w:before="0"/>
              <w:ind w:right="1972"/>
              <w:rPr>
                <w:sz w:val="18"/>
              </w:rPr>
            </w:pPr>
            <w:r>
              <w:rPr>
                <w:color w:val="231F20"/>
                <w:w w:val="90"/>
                <w:sz w:val="18"/>
              </w:rPr>
              <w:t>Domoic acid (amnestic shellfish poisoning) Saxitoxin (paralytic shellfish poisoning)</w:t>
            </w:r>
          </w:p>
        </w:tc>
      </w:tr>
      <w:tr>
        <w:trPr>
          <w:trHeight w:val="845" w:hRule="exact"/>
        </w:trPr>
        <w:tc>
          <w:tcPr>
            <w:tcW w:w="1170" w:type="dxa"/>
            <w:shd w:val="clear" w:color="auto" w:fill="D4E0F3"/>
          </w:tcPr>
          <w:p>
            <w:pPr>
              <w:pStyle w:val="TableParagraph"/>
              <w:ind w:left="67"/>
              <w:rPr>
                <w:sz w:val="18"/>
              </w:rPr>
            </w:pPr>
            <w:r>
              <w:rPr>
                <w:color w:val="231F20"/>
                <w:w w:val="90"/>
                <w:sz w:val="18"/>
              </w:rPr>
              <w:t>Fungal toxins</w:t>
            </w:r>
          </w:p>
        </w:tc>
        <w:tc>
          <w:tcPr>
            <w:tcW w:w="1620" w:type="dxa"/>
            <w:shd w:val="clear" w:color="auto" w:fill="D4E0F3"/>
          </w:tcPr>
          <w:p>
            <w:pPr>
              <w:pStyle w:val="TableParagraph"/>
              <w:rPr>
                <w:sz w:val="18"/>
              </w:rPr>
            </w:pPr>
            <w:r>
              <w:rPr>
                <w:color w:val="231F20"/>
                <w:w w:val="90"/>
                <w:sz w:val="18"/>
              </w:rPr>
              <w:t>Preformed toxin</w:t>
            </w:r>
          </w:p>
        </w:tc>
        <w:tc>
          <w:tcPr>
            <w:tcW w:w="5130" w:type="dxa"/>
            <w:shd w:val="clear" w:color="auto" w:fill="D4E0F3"/>
          </w:tcPr>
          <w:p>
            <w:pPr>
              <w:pStyle w:val="TableParagraph"/>
              <w:rPr>
                <w:sz w:val="18"/>
              </w:rPr>
            </w:pPr>
            <w:r>
              <w:rPr>
                <w:color w:val="231F20"/>
                <w:sz w:val="18"/>
              </w:rPr>
              <w:t>Aflatoxin</w:t>
            </w:r>
          </w:p>
          <w:p>
            <w:pPr>
              <w:pStyle w:val="TableParagraph"/>
              <w:spacing w:line="242" w:lineRule="auto" w:before="2"/>
              <w:rPr>
                <w:sz w:val="18"/>
              </w:rPr>
            </w:pPr>
            <w:r>
              <w:rPr>
                <w:color w:val="231F20"/>
                <w:w w:val="90"/>
                <w:sz w:val="18"/>
              </w:rPr>
              <w:t>Mushroom toxins (amanitin, ibotenic acid, museinol, muscarine, and </w:t>
            </w:r>
            <w:r>
              <w:rPr>
                <w:color w:val="231F20"/>
                <w:sz w:val="18"/>
              </w:rPr>
              <w:t>psilocybin)</w:t>
            </w:r>
          </w:p>
        </w:tc>
      </w:tr>
    </w:tbl>
    <w:p>
      <w:pPr>
        <w:spacing w:after="0" w:line="242" w:lineRule="auto"/>
        <w:rPr>
          <w:sz w:val="18"/>
        </w:rPr>
        <w:sectPr>
          <w:pgSz w:w="10080" w:h="14400"/>
          <w:pgMar w:header="0" w:footer="160" w:top="980" w:bottom="360" w:left="0" w:right="0"/>
        </w:sectPr>
      </w:pPr>
    </w:p>
    <w:p>
      <w:pPr>
        <w:pStyle w:val="BodyText"/>
        <w:spacing w:before="3"/>
        <w:rPr>
          <w:rFonts w:ascii="Lucida Sans"/>
          <w:sz w:val="10"/>
        </w:rPr>
      </w:pPr>
    </w:p>
    <w:p>
      <w:pPr>
        <w:pStyle w:val="Heading1"/>
        <w:numPr>
          <w:ilvl w:val="1"/>
          <w:numId w:val="14"/>
        </w:numPr>
        <w:tabs>
          <w:tab w:pos="1985" w:val="left" w:leader="none"/>
        </w:tabs>
        <w:spacing w:line="240" w:lineRule="auto" w:before="89" w:after="0"/>
        <w:ind w:left="1984" w:right="0" w:hanging="544"/>
        <w:jc w:val="left"/>
      </w:pPr>
      <w:r>
        <w:rPr/>
        <w:pict>
          <v:line style="position:absolute;mso-position-horizontal-relative:page;mso-position-vertical-relative:paragraph;z-index:3712;mso-wrap-distance-left:0;mso-wrap-distance-right:0" from="72pt,23.995163pt" to="468pt,23.995163pt" stroked="true" strokeweight=".5pt" strokecolor="#00a94f">
            <v:stroke dashstyle="solid"/>
            <w10:wrap type="topAndBottom"/>
          </v:line>
        </w:pict>
      </w:r>
      <w:r>
        <w:rPr/>
        <w:pict>
          <v:rect style="position:absolute;margin-left:0pt;margin-top:63.345264pt;width:45pt;height:18pt;mso-position-horizontal-relative:page;mso-position-vertical-relative:paragraph;z-index:3856" filled="true" fillcolor="#0079c1" stroked="false">
            <v:fill type="solid"/>
            <w10:wrap type="none"/>
          </v:rect>
        </w:pict>
      </w:r>
      <w:r>
        <w:rPr/>
        <w:pict>
          <v:shape style="position:absolute;margin-left:18.197588pt;margin-top:68.141716pt;width:15.85pt;height:8.5pt;mso-position-horizontal-relative:page;mso-position-vertical-relative:paragraph;z-index:3928"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00A94F"/>
          <w:w w:val="95"/>
        </w:rPr>
        <w:t>Etiologic</w:t>
      </w:r>
      <w:r>
        <w:rPr>
          <w:color w:val="00A94F"/>
          <w:spacing w:val="-18"/>
          <w:w w:val="95"/>
        </w:rPr>
        <w:t> </w:t>
      </w:r>
      <w:r>
        <w:rPr>
          <w:color w:val="00A94F"/>
          <w:w w:val="95"/>
        </w:rPr>
        <w:t>Agents</w:t>
      </w:r>
      <w:r>
        <w:rPr>
          <w:color w:val="00A94F"/>
          <w:spacing w:val="-18"/>
          <w:w w:val="95"/>
        </w:rPr>
        <w:t> </w:t>
      </w:r>
      <w:r>
        <w:rPr>
          <w:color w:val="00A94F"/>
          <w:w w:val="95"/>
        </w:rPr>
        <w:t>Associated</w:t>
      </w:r>
      <w:r>
        <w:rPr>
          <w:color w:val="00A94F"/>
          <w:spacing w:val="-18"/>
          <w:w w:val="95"/>
        </w:rPr>
        <w:t> </w:t>
      </w:r>
      <w:r>
        <w:rPr>
          <w:color w:val="00A94F"/>
          <w:w w:val="95"/>
        </w:rPr>
        <w:t>with</w:t>
      </w:r>
      <w:r>
        <w:rPr>
          <w:color w:val="00A94F"/>
          <w:spacing w:val="-18"/>
          <w:w w:val="95"/>
        </w:rPr>
        <w:t> </w:t>
      </w:r>
      <w:r>
        <w:rPr>
          <w:color w:val="00A94F"/>
          <w:w w:val="95"/>
        </w:rPr>
        <w:t>Foodborne</w:t>
      </w:r>
      <w:r>
        <w:rPr>
          <w:color w:val="00A94F"/>
          <w:spacing w:val="-18"/>
          <w:w w:val="95"/>
        </w:rPr>
        <w:t> </w:t>
      </w:r>
      <w:r>
        <w:rPr>
          <w:color w:val="00A94F"/>
          <w:w w:val="95"/>
        </w:rPr>
        <w:t>Diseases</w:t>
      </w:r>
    </w:p>
    <w:p>
      <w:pPr>
        <w:pStyle w:val="BodyText"/>
        <w:spacing w:before="11"/>
        <w:rPr>
          <w:rFonts w:ascii="Lucida Sans"/>
          <w:sz w:val="29"/>
        </w:rPr>
      </w:pPr>
    </w:p>
    <w:tbl>
      <w:tblPr>
        <w:tblW w:w="0" w:type="auto"/>
        <w:jc w:val="left"/>
        <w:tblInd w:w="144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1170"/>
        <w:gridCol w:w="1530"/>
        <w:gridCol w:w="5220"/>
      </w:tblGrid>
      <w:tr>
        <w:trPr>
          <w:trHeight w:val="546" w:hRule="exact"/>
        </w:trPr>
        <w:tc>
          <w:tcPr>
            <w:tcW w:w="7920" w:type="dxa"/>
            <w:gridSpan w:val="3"/>
            <w:shd w:val="clear" w:color="auto" w:fill="C4E3CA"/>
          </w:tcPr>
          <w:p>
            <w:pPr>
              <w:pStyle w:val="TableParagraph"/>
              <w:spacing w:before="25"/>
              <w:rPr>
                <w:rFonts w:ascii="Lucida Sans"/>
                <w:sz w:val="20"/>
              </w:rPr>
            </w:pPr>
            <w:r>
              <w:rPr>
                <w:rFonts w:ascii="Lucida Sans"/>
                <w:color w:val="E36F1E"/>
                <w:w w:val="90"/>
                <w:sz w:val="20"/>
              </w:rPr>
              <w:t>Table 2.1. </w:t>
            </w:r>
            <w:r>
              <w:rPr>
                <w:rFonts w:ascii="Lucida Sans"/>
                <w:color w:val="1C3E94"/>
                <w:w w:val="90"/>
                <w:sz w:val="20"/>
              </w:rPr>
              <w:t>Examples of agents that commonly cause foodborne illness, by agent type</w:t>
            </w:r>
          </w:p>
          <w:p>
            <w:pPr>
              <w:pStyle w:val="TableParagraph"/>
              <w:spacing w:before="14"/>
              <w:rPr>
                <w:rFonts w:ascii="Lucida Sans"/>
                <w:sz w:val="20"/>
              </w:rPr>
            </w:pPr>
            <w:r>
              <w:rPr>
                <w:i/>
                <w:color w:val="E36F1E"/>
                <w:w w:val="95"/>
                <w:sz w:val="18"/>
              </w:rPr>
              <w:t>Continued </w:t>
            </w:r>
            <w:r>
              <w:rPr>
                <w:rFonts w:ascii="Lucida Sans"/>
                <w:color w:val="1C3E94"/>
                <w:w w:val="95"/>
                <w:sz w:val="20"/>
              </w:rPr>
              <w:t>and mechanism of action</w:t>
            </w:r>
          </w:p>
        </w:tc>
      </w:tr>
      <w:tr>
        <w:trPr>
          <w:trHeight w:val="702" w:hRule="exact"/>
        </w:trPr>
        <w:tc>
          <w:tcPr>
            <w:tcW w:w="1170" w:type="dxa"/>
            <w:shd w:val="clear" w:color="auto" w:fill="00A94F"/>
          </w:tcPr>
          <w:p>
            <w:pPr>
              <w:pStyle w:val="TableParagraph"/>
              <w:spacing w:before="136"/>
              <w:ind w:left="85"/>
              <w:rPr>
                <w:rFonts w:ascii="Lucida Sans"/>
                <w:sz w:val="18"/>
              </w:rPr>
            </w:pPr>
            <w:r>
              <w:rPr>
                <w:rFonts w:ascii="Lucida Sans"/>
                <w:color w:val="FFFFFF"/>
                <w:w w:val="105"/>
                <w:sz w:val="18"/>
              </w:rPr>
              <w:t>TYPE OF AGENT</w:t>
            </w:r>
          </w:p>
        </w:tc>
        <w:tc>
          <w:tcPr>
            <w:tcW w:w="1530" w:type="dxa"/>
            <w:shd w:val="clear" w:color="auto" w:fill="00A94F"/>
          </w:tcPr>
          <w:p>
            <w:pPr>
              <w:pStyle w:val="TableParagraph"/>
              <w:spacing w:before="31"/>
              <w:ind w:left="85" w:right="136"/>
              <w:rPr>
                <w:rFonts w:ascii="Lucida Sans"/>
                <w:sz w:val="18"/>
              </w:rPr>
            </w:pPr>
            <w:r>
              <w:rPr>
                <w:rFonts w:ascii="Lucida Sans"/>
                <w:color w:val="FFFFFF"/>
                <w:w w:val="105"/>
                <w:sz w:val="18"/>
              </w:rPr>
              <w:t>GENERAL </w:t>
            </w:r>
            <w:r>
              <w:rPr>
                <w:rFonts w:ascii="Lucida Sans"/>
                <w:color w:val="FFFFFF"/>
                <w:sz w:val="18"/>
              </w:rPr>
              <w:t>MECHANISM </w:t>
            </w:r>
            <w:r>
              <w:rPr>
                <w:rFonts w:ascii="Lucida Sans"/>
                <w:color w:val="FFFFFF"/>
                <w:w w:val="105"/>
                <w:sz w:val="18"/>
              </w:rPr>
              <w:t>OF ACTION</w:t>
            </w:r>
          </w:p>
        </w:tc>
        <w:tc>
          <w:tcPr>
            <w:tcW w:w="5220" w:type="dxa"/>
            <w:shd w:val="clear" w:color="auto" w:fill="00A94F"/>
          </w:tcPr>
          <w:p>
            <w:pPr>
              <w:pStyle w:val="TableParagraph"/>
              <w:spacing w:before="5"/>
              <w:ind w:left="0"/>
              <w:rPr>
                <w:rFonts w:ascii="Lucida Sans"/>
                <w:sz w:val="20"/>
              </w:rPr>
            </w:pPr>
          </w:p>
          <w:p>
            <w:pPr>
              <w:pStyle w:val="TableParagraph"/>
              <w:spacing w:before="0"/>
              <w:ind w:left="85"/>
              <w:rPr>
                <w:rFonts w:ascii="Lucida Sans"/>
                <w:sz w:val="18"/>
              </w:rPr>
            </w:pPr>
            <w:r>
              <w:rPr>
                <w:rFonts w:ascii="Lucida Sans"/>
                <w:color w:val="FFFFFF"/>
                <w:w w:val="105"/>
                <w:sz w:val="18"/>
              </w:rPr>
              <w:t>EXAMPLE</w:t>
            </w:r>
          </w:p>
        </w:tc>
      </w:tr>
      <w:tr>
        <w:trPr>
          <w:trHeight w:val="687" w:hRule="exact"/>
        </w:trPr>
        <w:tc>
          <w:tcPr>
            <w:tcW w:w="1170" w:type="dxa"/>
            <w:shd w:val="clear" w:color="auto" w:fill="D4E0F3"/>
          </w:tcPr>
          <w:p>
            <w:pPr>
              <w:pStyle w:val="TableParagraph"/>
              <w:spacing w:before="28"/>
              <w:rPr>
                <w:sz w:val="18"/>
              </w:rPr>
            </w:pPr>
            <w:r>
              <w:rPr>
                <w:color w:val="231F20"/>
                <w:w w:val="90"/>
                <w:sz w:val="18"/>
              </w:rPr>
              <w:t>Fish toxins</w:t>
            </w:r>
          </w:p>
        </w:tc>
        <w:tc>
          <w:tcPr>
            <w:tcW w:w="1530" w:type="dxa"/>
            <w:shd w:val="clear" w:color="auto" w:fill="D4E0F3"/>
          </w:tcPr>
          <w:p>
            <w:pPr>
              <w:pStyle w:val="TableParagraph"/>
              <w:spacing w:before="28"/>
              <w:rPr>
                <w:sz w:val="18"/>
              </w:rPr>
            </w:pPr>
            <w:r>
              <w:rPr>
                <w:color w:val="231F20"/>
                <w:w w:val="90"/>
                <w:sz w:val="18"/>
              </w:rPr>
              <w:t>Preformed toxin</w:t>
            </w:r>
          </w:p>
        </w:tc>
        <w:tc>
          <w:tcPr>
            <w:tcW w:w="5220" w:type="dxa"/>
            <w:shd w:val="clear" w:color="auto" w:fill="D4E0F3"/>
          </w:tcPr>
          <w:p>
            <w:pPr>
              <w:pStyle w:val="TableParagraph"/>
              <w:spacing w:before="28"/>
              <w:rPr>
                <w:sz w:val="18"/>
              </w:rPr>
            </w:pPr>
            <w:r>
              <w:rPr>
                <w:color w:val="231F20"/>
                <w:w w:val="90"/>
                <w:sz w:val="18"/>
              </w:rPr>
              <w:t>Gempylotoxin (escolar)</w:t>
            </w:r>
          </w:p>
          <w:p>
            <w:pPr>
              <w:pStyle w:val="TableParagraph"/>
              <w:spacing w:line="242" w:lineRule="auto" w:before="3"/>
              <w:ind w:right="2251"/>
              <w:rPr>
                <w:sz w:val="18"/>
              </w:rPr>
            </w:pPr>
            <w:r>
              <w:rPr>
                <w:color w:val="231F20"/>
                <w:w w:val="90"/>
                <w:sz w:val="18"/>
              </w:rPr>
              <w:t>Scombrotoxin (histamine fish poisoning) Tetrodotoxin (puffer fish)</w:t>
            </w:r>
          </w:p>
        </w:tc>
      </w:tr>
      <w:tr>
        <w:trPr>
          <w:trHeight w:val="2577" w:hRule="exact"/>
        </w:trPr>
        <w:tc>
          <w:tcPr>
            <w:tcW w:w="1170" w:type="dxa"/>
            <w:shd w:val="clear" w:color="auto" w:fill="DAEDDD"/>
          </w:tcPr>
          <w:p>
            <w:pPr>
              <w:pStyle w:val="TableParagraph"/>
              <w:spacing w:before="28"/>
              <w:rPr>
                <w:sz w:val="18"/>
              </w:rPr>
            </w:pPr>
            <w:r>
              <w:rPr>
                <w:color w:val="231F20"/>
                <w:sz w:val="18"/>
              </w:rPr>
              <w:t>Chemicals</w:t>
            </w:r>
          </w:p>
        </w:tc>
        <w:tc>
          <w:tcPr>
            <w:tcW w:w="1530" w:type="dxa"/>
            <w:shd w:val="clear" w:color="auto" w:fill="DAEDDD"/>
          </w:tcPr>
          <w:p>
            <w:pPr>
              <w:pStyle w:val="TableParagraph"/>
              <w:spacing w:line="254" w:lineRule="auto" w:before="28"/>
              <w:ind w:right="136"/>
              <w:rPr>
                <w:sz w:val="18"/>
              </w:rPr>
            </w:pPr>
            <w:r>
              <w:rPr>
                <w:color w:val="231F20"/>
                <w:w w:val="90"/>
                <w:sz w:val="18"/>
              </w:rPr>
              <w:t>Preformed toxin </w:t>
            </w:r>
            <w:r>
              <w:rPr>
                <w:color w:val="231F20"/>
                <w:sz w:val="18"/>
              </w:rPr>
              <w:t>(hazardous at </w:t>
            </w:r>
            <w:r>
              <w:rPr>
                <w:color w:val="231F20"/>
                <w:w w:val="90"/>
                <w:sz w:val="18"/>
              </w:rPr>
              <w:t>certain levels)</w:t>
            </w:r>
          </w:p>
        </w:tc>
        <w:tc>
          <w:tcPr>
            <w:tcW w:w="5220" w:type="dxa"/>
            <w:shd w:val="clear" w:color="auto" w:fill="DAEDDD"/>
          </w:tcPr>
          <w:p>
            <w:pPr>
              <w:pStyle w:val="TableParagraph"/>
              <w:spacing w:line="242" w:lineRule="auto" w:before="28"/>
              <w:ind w:right="4430"/>
              <w:rPr>
                <w:sz w:val="18"/>
              </w:rPr>
            </w:pPr>
            <w:r>
              <w:rPr>
                <w:color w:val="231F20"/>
                <w:w w:val="90"/>
                <w:sz w:val="18"/>
              </w:rPr>
              <w:t>Antimony </w:t>
            </w:r>
            <w:r>
              <w:rPr>
                <w:color w:val="231F20"/>
                <w:sz w:val="18"/>
              </w:rPr>
              <w:t>Arsenic </w:t>
            </w:r>
            <w:r>
              <w:rPr>
                <w:color w:val="231F20"/>
                <w:w w:val="90"/>
                <w:sz w:val="18"/>
              </w:rPr>
              <w:t>Cadmium </w:t>
            </w:r>
            <w:r>
              <w:rPr>
                <w:color w:val="231F20"/>
                <w:sz w:val="18"/>
              </w:rPr>
              <w:t>Copper Fluoride Lead Mercury Nitrites</w:t>
            </w:r>
          </w:p>
          <w:p>
            <w:pPr>
              <w:pStyle w:val="TableParagraph"/>
              <w:spacing w:line="242" w:lineRule="auto" w:before="1"/>
              <w:ind w:right="1034"/>
              <w:rPr>
                <w:sz w:val="18"/>
              </w:rPr>
            </w:pPr>
            <w:r>
              <w:rPr>
                <w:color w:val="231F20"/>
                <w:w w:val="90"/>
                <w:sz w:val="18"/>
              </w:rPr>
              <w:t>Pesticides (e.g., organophosphates, carbamate) </w:t>
            </w:r>
            <w:r>
              <w:rPr>
                <w:color w:val="231F20"/>
                <w:sz w:val="18"/>
              </w:rPr>
              <w:t>Thallium</w:t>
            </w:r>
          </w:p>
          <w:p>
            <w:pPr>
              <w:pStyle w:val="TableParagraph"/>
              <w:spacing w:line="242" w:lineRule="auto" w:before="1"/>
              <w:ind w:right="4834"/>
              <w:rPr>
                <w:sz w:val="18"/>
              </w:rPr>
            </w:pPr>
            <w:r>
              <w:rPr>
                <w:color w:val="231F20"/>
                <w:sz w:val="18"/>
              </w:rPr>
              <w:t>Tin </w:t>
            </w:r>
            <w:r>
              <w:rPr>
                <w:color w:val="231F20"/>
                <w:w w:val="85"/>
                <w:sz w:val="18"/>
              </w:rPr>
              <w:t>Zinc</w:t>
            </w:r>
          </w:p>
        </w:tc>
      </w:tr>
    </w:tbl>
    <w:p>
      <w:pPr>
        <w:pStyle w:val="BodyText"/>
        <w:spacing w:before="9"/>
        <w:rPr>
          <w:rFonts w:ascii="Lucida Sans"/>
          <w:sz w:val="8"/>
        </w:rPr>
      </w:pPr>
    </w:p>
    <w:p>
      <w:pPr>
        <w:spacing w:after="0"/>
        <w:rPr>
          <w:rFonts w:ascii="Lucida Sans"/>
          <w:sz w:val="8"/>
        </w:rPr>
        <w:sectPr>
          <w:pgSz w:w="10080" w:h="14400"/>
          <w:pgMar w:header="0" w:footer="160" w:top="1160" w:bottom="360" w:left="0" w:right="0"/>
        </w:sectPr>
      </w:pPr>
    </w:p>
    <w:p>
      <w:pPr>
        <w:pStyle w:val="ListParagraph"/>
        <w:numPr>
          <w:ilvl w:val="2"/>
          <w:numId w:val="14"/>
        </w:numPr>
        <w:tabs>
          <w:tab w:pos="1996" w:val="left" w:leader="none"/>
        </w:tabs>
        <w:spacing w:line="254" w:lineRule="auto" w:before="104" w:after="0"/>
        <w:ind w:left="1440" w:right="514" w:firstLine="0"/>
        <w:jc w:val="left"/>
        <w:rPr>
          <w:rFonts w:ascii="Lucida Sans"/>
          <w:sz w:val="20"/>
        </w:rPr>
      </w:pPr>
      <w:r>
        <w:rPr/>
        <w:pict>
          <v:line style="position:absolute;mso-position-horizontal-relative:page;mso-position-vertical-relative:paragraph;z-index:3880" from="54.5pt,-211.230347pt" to="54.5pt,30.667653pt" stroked="true" strokeweight="1pt" strokecolor="#0079c1">
            <v:stroke dashstyle="solid"/>
            <w10:wrap type="none"/>
          </v:line>
        </w:pict>
      </w:r>
      <w:r>
        <w:rPr/>
        <w:pict>
          <v:shape style="position:absolute;margin-left:16.131701pt;margin-top:-189.684052pt;width:22.9pt;height:222.55pt;mso-position-horizontal-relative:page;mso-position-vertical-relative:paragraph;z-index:3904"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rFonts w:ascii="Lucida Sans"/>
          <w:color w:val="1C3E94"/>
          <w:sz w:val="20"/>
        </w:rPr>
        <w:t>Patterns in Etiologic Agents </w:t>
      </w:r>
      <w:r>
        <w:rPr>
          <w:rFonts w:ascii="Lucida Sans"/>
          <w:color w:val="1C3E94"/>
          <w:w w:val="95"/>
          <w:sz w:val="20"/>
        </w:rPr>
        <w:t>Associated with Foodborne</w:t>
      </w:r>
      <w:r>
        <w:rPr>
          <w:rFonts w:ascii="Lucida Sans"/>
          <w:color w:val="1C3E94"/>
          <w:spacing w:val="-43"/>
          <w:w w:val="95"/>
          <w:sz w:val="20"/>
        </w:rPr>
        <w:t> </w:t>
      </w:r>
      <w:r>
        <w:rPr>
          <w:rFonts w:ascii="Lucida Sans"/>
          <w:color w:val="1C3E94"/>
          <w:w w:val="95"/>
          <w:sz w:val="20"/>
        </w:rPr>
        <w:t>Disease </w:t>
      </w:r>
      <w:r>
        <w:rPr>
          <w:rFonts w:ascii="Lucida Sans"/>
          <w:color w:val="1C3E94"/>
          <w:sz w:val="20"/>
        </w:rPr>
        <w:t>Outbreaks</w:t>
      </w:r>
    </w:p>
    <w:p>
      <w:pPr>
        <w:pStyle w:val="BodyText"/>
        <w:spacing w:before="1"/>
        <w:rPr>
          <w:rFonts w:ascii="Lucida Sans"/>
          <w:sz w:val="17"/>
        </w:rPr>
      </w:pPr>
    </w:p>
    <w:p>
      <w:pPr>
        <w:pStyle w:val="BodyText"/>
        <w:spacing w:line="266" w:lineRule="auto"/>
        <w:ind w:left="1440" w:right="-5"/>
      </w:pPr>
      <w:r>
        <w:rPr>
          <w:color w:val="231F20"/>
          <w:w w:val="105"/>
        </w:rPr>
        <w:t>Patterns in the agents causing foodborne disease</w:t>
      </w:r>
      <w:r>
        <w:rPr>
          <w:color w:val="231F20"/>
          <w:spacing w:val="-14"/>
          <w:w w:val="105"/>
        </w:rPr>
        <w:t> </w:t>
      </w:r>
      <w:r>
        <w:rPr>
          <w:color w:val="231F20"/>
          <w:w w:val="105"/>
        </w:rPr>
        <w:t>outbreaks</w:t>
      </w:r>
      <w:r>
        <w:rPr>
          <w:color w:val="231F20"/>
          <w:spacing w:val="-14"/>
          <w:w w:val="105"/>
        </w:rPr>
        <w:t> </w:t>
      </w:r>
      <w:r>
        <w:rPr>
          <w:color w:val="231F20"/>
          <w:spacing w:val="-3"/>
          <w:w w:val="105"/>
        </w:rPr>
        <w:t>have</w:t>
      </w:r>
      <w:r>
        <w:rPr>
          <w:color w:val="231F20"/>
          <w:spacing w:val="-14"/>
          <w:w w:val="105"/>
        </w:rPr>
        <w:t> </w:t>
      </w:r>
      <w:r>
        <w:rPr>
          <w:color w:val="231F20"/>
          <w:w w:val="105"/>
        </w:rPr>
        <w:t>been</w:t>
      </w:r>
      <w:r>
        <w:rPr>
          <w:color w:val="231F20"/>
          <w:spacing w:val="-14"/>
          <w:w w:val="105"/>
        </w:rPr>
        <w:t> </w:t>
      </w:r>
      <w:r>
        <w:rPr>
          <w:color w:val="231F20"/>
          <w:w w:val="105"/>
        </w:rPr>
        <w:t>identified</w:t>
      </w:r>
      <w:r>
        <w:rPr>
          <w:color w:val="231F20"/>
          <w:spacing w:val="-14"/>
          <w:w w:val="105"/>
        </w:rPr>
        <w:t> </w:t>
      </w:r>
      <w:r>
        <w:rPr>
          <w:color w:val="231F20"/>
          <w:w w:val="105"/>
        </w:rPr>
        <w:t>through the voluntary reporting of outbreaks to CDC through the Foodborne Disease Outbreak Surveillance</w:t>
      </w:r>
      <w:r>
        <w:rPr>
          <w:color w:val="231F20"/>
          <w:spacing w:val="4"/>
          <w:w w:val="105"/>
        </w:rPr>
        <w:t> </w:t>
      </w:r>
      <w:r>
        <w:rPr>
          <w:color w:val="231F20"/>
          <w:w w:val="105"/>
        </w:rPr>
        <w:t>System.</w:t>
      </w:r>
    </w:p>
    <w:p>
      <w:pPr>
        <w:spacing w:line="266" w:lineRule="auto" w:before="180"/>
        <w:ind w:left="1440" w:right="-8" w:firstLine="0"/>
        <w:jc w:val="left"/>
        <w:rPr>
          <w:sz w:val="11"/>
        </w:rPr>
      </w:pPr>
      <w:r>
        <w:rPr>
          <w:color w:val="231F20"/>
          <w:w w:val="105"/>
          <w:sz w:val="20"/>
        </w:rPr>
        <w:t>In</w:t>
      </w:r>
      <w:r>
        <w:rPr>
          <w:color w:val="231F20"/>
          <w:spacing w:val="-10"/>
          <w:w w:val="105"/>
          <w:sz w:val="20"/>
        </w:rPr>
        <w:t> </w:t>
      </w:r>
      <w:r>
        <w:rPr>
          <w:color w:val="231F20"/>
          <w:w w:val="105"/>
          <w:sz w:val="20"/>
        </w:rPr>
        <w:t>the</w:t>
      </w:r>
      <w:r>
        <w:rPr>
          <w:color w:val="231F20"/>
          <w:spacing w:val="-10"/>
          <w:w w:val="105"/>
          <w:sz w:val="20"/>
        </w:rPr>
        <w:t> </w:t>
      </w:r>
      <w:r>
        <w:rPr>
          <w:color w:val="231F20"/>
          <w:w w:val="105"/>
          <w:sz w:val="20"/>
        </w:rPr>
        <w:t>most</w:t>
      </w:r>
      <w:r>
        <w:rPr>
          <w:color w:val="231F20"/>
          <w:spacing w:val="-9"/>
          <w:w w:val="105"/>
          <w:sz w:val="20"/>
        </w:rPr>
        <w:t> </w:t>
      </w:r>
      <w:r>
        <w:rPr>
          <w:color w:val="231F20"/>
          <w:w w:val="105"/>
          <w:sz w:val="20"/>
        </w:rPr>
        <w:t>recent</w:t>
      </w:r>
      <w:r>
        <w:rPr>
          <w:color w:val="231F20"/>
          <w:spacing w:val="-10"/>
          <w:w w:val="105"/>
          <w:sz w:val="20"/>
        </w:rPr>
        <w:t> </w:t>
      </w:r>
      <w:r>
        <w:rPr>
          <w:color w:val="231F20"/>
          <w:w w:val="105"/>
          <w:sz w:val="20"/>
        </w:rPr>
        <w:t>CDC</w:t>
      </w:r>
      <w:r>
        <w:rPr>
          <w:color w:val="231F20"/>
          <w:spacing w:val="-10"/>
          <w:w w:val="105"/>
          <w:sz w:val="20"/>
        </w:rPr>
        <w:t> </w:t>
      </w:r>
      <w:r>
        <w:rPr>
          <w:color w:val="231F20"/>
          <w:w w:val="105"/>
          <w:sz w:val="20"/>
        </w:rPr>
        <w:t>surveillance</w:t>
      </w:r>
      <w:r>
        <w:rPr>
          <w:color w:val="231F20"/>
          <w:spacing w:val="-11"/>
          <w:w w:val="105"/>
          <w:sz w:val="20"/>
        </w:rPr>
        <w:t> </w:t>
      </w:r>
      <w:r>
        <w:rPr>
          <w:color w:val="231F20"/>
          <w:w w:val="105"/>
          <w:sz w:val="20"/>
        </w:rPr>
        <w:t>summary of </w:t>
      </w:r>
      <w:r>
        <w:rPr>
          <w:color w:val="231F20"/>
          <w:spacing w:val="-8"/>
          <w:w w:val="105"/>
          <w:sz w:val="20"/>
        </w:rPr>
        <w:t>U.S. </w:t>
      </w:r>
      <w:r>
        <w:rPr>
          <w:color w:val="231F20"/>
          <w:w w:val="105"/>
          <w:sz w:val="20"/>
        </w:rPr>
        <w:t>foodborne disease outbreaks (covering 2009–2010), bacteria (including their toxins) accounted</w:t>
      </w:r>
      <w:r>
        <w:rPr>
          <w:color w:val="231F20"/>
          <w:spacing w:val="-13"/>
          <w:w w:val="105"/>
          <w:sz w:val="20"/>
        </w:rPr>
        <w:t> </w:t>
      </w:r>
      <w:r>
        <w:rPr>
          <w:color w:val="231F20"/>
          <w:w w:val="105"/>
          <w:sz w:val="20"/>
        </w:rPr>
        <w:t>for</w:t>
      </w:r>
      <w:r>
        <w:rPr>
          <w:color w:val="231F20"/>
          <w:spacing w:val="-12"/>
          <w:w w:val="105"/>
          <w:sz w:val="20"/>
        </w:rPr>
        <w:t> </w:t>
      </w:r>
      <w:r>
        <w:rPr>
          <w:color w:val="231F20"/>
          <w:w w:val="105"/>
          <w:sz w:val="20"/>
        </w:rPr>
        <w:t>46%</w:t>
      </w:r>
      <w:r>
        <w:rPr>
          <w:color w:val="231F20"/>
          <w:spacing w:val="-12"/>
          <w:w w:val="105"/>
          <w:sz w:val="20"/>
        </w:rPr>
        <w:t> </w:t>
      </w:r>
      <w:r>
        <w:rPr>
          <w:color w:val="231F20"/>
          <w:w w:val="105"/>
          <w:sz w:val="20"/>
        </w:rPr>
        <w:t>of</w:t>
      </w:r>
      <w:r>
        <w:rPr>
          <w:color w:val="231F20"/>
          <w:spacing w:val="10"/>
          <w:w w:val="105"/>
          <w:sz w:val="20"/>
        </w:rPr>
        <w:t> </w:t>
      </w:r>
      <w:r>
        <w:rPr>
          <w:color w:val="231F20"/>
          <w:w w:val="105"/>
          <w:sz w:val="20"/>
        </w:rPr>
        <w:t>reported</w:t>
      </w:r>
      <w:r>
        <w:rPr>
          <w:color w:val="231F20"/>
          <w:spacing w:val="-12"/>
          <w:w w:val="105"/>
          <w:sz w:val="20"/>
        </w:rPr>
        <w:t> </w:t>
      </w:r>
      <w:r>
        <w:rPr>
          <w:color w:val="231F20"/>
          <w:w w:val="105"/>
          <w:sz w:val="20"/>
        </w:rPr>
        <w:t>outbreaks</w:t>
      </w:r>
      <w:r>
        <w:rPr>
          <w:color w:val="231F20"/>
          <w:spacing w:val="-13"/>
          <w:w w:val="105"/>
          <w:sz w:val="20"/>
        </w:rPr>
        <w:t> </w:t>
      </w:r>
      <w:r>
        <w:rPr>
          <w:color w:val="231F20"/>
          <w:w w:val="105"/>
          <w:sz w:val="20"/>
        </w:rPr>
        <w:t>that had an identified cause (Figure 2.5). The most common bacteria implicated in outbreaks were </w:t>
      </w:r>
      <w:r>
        <w:rPr>
          <w:i/>
          <w:color w:val="231F20"/>
          <w:w w:val="105"/>
          <w:sz w:val="20"/>
        </w:rPr>
        <w:t>Salmonella</w:t>
      </w:r>
      <w:r>
        <w:rPr>
          <w:color w:val="231F20"/>
          <w:w w:val="105"/>
          <w:sz w:val="20"/>
        </w:rPr>
        <w:t>, STEC, </w:t>
      </w:r>
      <w:r>
        <w:rPr>
          <w:i/>
          <w:color w:val="231F20"/>
          <w:w w:val="105"/>
          <w:sz w:val="20"/>
        </w:rPr>
        <w:t>Clostridium perfringens, </w:t>
      </w:r>
      <w:r>
        <w:rPr>
          <w:i/>
          <w:color w:val="231F20"/>
          <w:w w:val="105"/>
          <w:sz w:val="20"/>
        </w:rPr>
        <w:t>Campylobacter,</w:t>
      </w:r>
      <w:r>
        <w:rPr>
          <w:i/>
          <w:color w:val="231F20"/>
          <w:spacing w:val="-17"/>
          <w:w w:val="105"/>
          <w:sz w:val="20"/>
        </w:rPr>
        <w:t> </w:t>
      </w:r>
      <w:r>
        <w:rPr>
          <w:i/>
          <w:color w:val="231F20"/>
          <w:w w:val="105"/>
          <w:sz w:val="20"/>
        </w:rPr>
        <w:t>Bacillus</w:t>
      </w:r>
      <w:r>
        <w:rPr>
          <w:i/>
          <w:color w:val="231F20"/>
          <w:spacing w:val="-18"/>
          <w:w w:val="105"/>
          <w:sz w:val="20"/>
        </w:rPr>
        <w:t> </w:t>
      </w:r>
      <w:r>
        <w:rPr>
          <w:i/>
          <w:color w:val="231F20"/>
          <w:w w:val="105"/>
          <w:sz w:val="20"/>
        </w:rPr>
        <w:t>cereus,</w:t>
      </w:r>
      <w:r>
        <w:rPr>
          <w:i/>
          <w:color w:val="231F20"/>
          <w:spacing w:val="-17"/>
          <w:w w:val="105"/>
          <w:sz w:val="20"/>
        </w:rPr>
        <w:t> </w:t>
      </w:r>
      <w:r>
        <w:rPr>
          <w:i/>
          <w:color w:val="231F20"/>
          <w:w w:val="105"/>
          <w:sz w:val="20"/>
        </w:rPr>
        <w:t>Staphylococcus</w:t>
      </w:r>
      <w:r>
        <w:rPr>
          <w:i/>
          <w:color w:val="231F20"/>
          <w:spacing w:val="-19"/>
          <w:w w:val="105"/>
          <w:sz w:val="20"/>
        </w:rPr>
        <w:t> </w:t>
      </w:r>
      <w:r>
        <w:rPr>
          <w:i/>
          <w:color w:val="231F20"/>
          <w:w w:val="105"/>
          <w:sz w:val="20"/>
        </w:rPr>
        <w:t>aureus, Shigella, Listeria monocytogenes, </w:t>
      </w:r>
      <w:r>
        <w:rPr>
          <w:color w:val="231F20"/>
          <w:w w:val="105"/>
          <w:sz w:val="20"/>
        </w:rPr>
        <w:t>and </w:t>
      </w:r>
      <w:r>
        <w:rPr>
          <w:i/>
          <w:color w:val="231F20"/>
          <w:w w:val="105"/>
          <w:sz w:val="20"/>
        </w:rPr>
        <w:t>Vibrio </w:t>
      </w:r>
      <w:r>
        <w:rPr>
          <w:color w:val="231F20"/>
          <w:spacing w:val="-3"/>
          <w:w w:val="105"/>
          <w:sz w:val="20"/>
        </w:rPr>
        <w:t>spp. </w:t>
      </w:r>
      <w:r>
        <w:rPr>
          <w:color w:val="231F20"/>
          <w:w w:val="105"/>
          <w:sz w:val="20"/>
        </w:rPr>
        <w:t>(Figure 2.6). Clostridium botulinum also was reported but was a less common bacterial cause of foodborne</w:t>
      </w:r>
      <w:r>
        <w:rPr>
          <w:color w:val="231F20"/>
          <w:spacing w:val="-41"/>
          <w:w w:val="105"/>
          <w:sz w:val="20"/>
        </w:rPr>
        <w:t> </w:t>
      </w:r>
      <w:r>
        <w:rPr>
          <w:color w:val="231F20"/>
          <w:w w:val="105"/>
          <w:sz w:val="20"/>
        </w:rPr>
        <w:t>disease.</w:t>
      </w:r>
      <w:r>
        <w:rPr>
          <w:color w:val="231F20"/>
          <w:w w:val="105"/>
          <w:position w:val="7"/>
          <w:sz w:val="11"/>
        </w:rPr>
        <w:t>109</w:t>
      </w:r>
    </w:p>
    <w:p>
      <w:pPr>
        <w:pStyle w:val="BodyText"/>
        <w:spacing w:line="266" w:lineRule="auto" w:before="180"/>
        <w:ind w:left="1440" w:right="118"/>
      </w:pPr>
      <w:r>
        <w:rPr>
          <w:color w:val="231F20"/>
          <w:w w:val="105"/>
        </w:rPr>
        <w:t>During the same surveillance period, viruses constituted 47% of identified causes of foodborne</w:t>
      </w:r>
      <w:r>
        <w:rPr>
          <w:color w:val="231F20"/>
          <w:spacing w:val="-25"/>
          <w:w w:val="105"/>
        </w:rPr>
        <w:t> </w:t>
      </w:r>
      <w:r>
        <w:rPr>
          <w:color w:val="231F20"/>
          <w:w w:val="105"/>
        </w:rPr>
        <w:t>disease</w:t>
      </w:r>
      <w:r>
        <w:rPr>
          <w:color w:val="231F20"/>
          <w:spacing w:val="-25"/>
          <w:w w:val="105"/>
        </w:rPr>
        <w:t> </w:t>
      </w:r>
      <w:r>
        <w:rPr>
          <w:color w:val="231F20"/>
          <w:w w:val="105"/>
        </w:rPr>
        <w:t>outbreaks,</w:t>
      </w:r>
      <w:r>
        <w:rPr>
          <w:color w:val="231F20"/>
          <w:spacing w:val="-25"/>
          <w:w w:val="105"/>
        </w:rPr>
        <w:t> </w:t>
      </w:r>
      <w:r>
        <w:rPr>
          <w:color w:val="231F20"/>
          <w:w w:val="105"/>
        </w:rPr>
        <w:t>increasing</w:t>
      </w:r>
      <w:r>
        <w:rPr>
          <w:color w:val="231F20"/>
          <w:spacing w:val="-25"/>
          <w:w w:val="105"/>
        </w:rPr>
        <w:t> </w:t>
      </w:r>
      <w:r>
        <w:rPr>
          <w:color w:val="231F20"/>
          <w:w w:val="105"/>
        </w:rPr>
        <w:t>from 16% in 1998. The increase in</w:t>
      </w:r>
      <w:r>
        <w:rPr>
          <w:color w:val="231F20"/>
          <w:spacing w:val="-19"/>
          <w:w w:val="105"/>
        </w:rPr>
        <w:t> </w:t>
      </w:r>
      <w:r>
        <w:rPr>
          <w:color w:val="231F20"/>
          <w:w w:val="105"/>
        </w:rPr>
        <w:t>proportion</w:t>
      </w:r>
    </w:p>
    <w:p>
      <w:pPr>
        <w:pStyle w:val="BodyText"/>
        <w:ind w:left="1440"/>
      </w:pPr>
      <w:r>
        <w:rPr>
          <w:color w:val="231F20"/>
        </w:rPr>
        <w:t>of  outbreaks from viral pathogens over time</w:t>
      </w:r>
    </w:p>
    <w:p>
      <w:pPr>
        <w:pStyle w:val="BodyText"/>
        <w:spacing w:line="266" w:lineRule="auto" w:before="107"/>
        <w:ind w:left="359" w:right="744"/>
        <w:jc w:val="both"/>
      </w:pPr>
      <w:r>
        <w:rPr/>
        <w:br w:type="column"/>
      </w:r>
      <w:r>
        <w:rPr>
          <w:color w:val="231F20"/>
        </w:rPr>
        <w:t>reflects the increased availability of methods to diagnose viral agents in recent years.</w:t>
      </w:r>
      <w:r>
        <w:rPr>
          <w:color w:val="231F20"/>
          <w:position w:val="7"/>
          <w:sz w:val="11"/>
        </w:rPr>
        <w:t>109 </w:t>
      </w:r>
      <w:r>
        <w:rPr>
          <w:color w:val="231F20"/>
        </w:rPr>
        <w:t>During 2009–2010, noroviruses accounted for 99%  of</w:t>
      </w:r>
    </w:p>
    <w:p>
      <w:pPr>
        <w:pStyle w:val="BodyText"/>
        <w:spacing w:before="7"/>
        <w:rPr>
          <w:sz w:val="28"/>
        </w:rPr>
      </w:pPr>
      <w:r>
        <w:rPr/>
        <w:pict>
          <v:group style="position:absolute;margin-left:278.75pt;margin-top:18.065943pt;width:190pt;height:284pt;mso-position-horizontal-relative:page;mso-position-vertical-relative:paragraph;z-index:3832;mso-wrap-distance-left:0;mso-wrap-distance-right:0" coordorigin="5575,361" coordsize="3800,5680">
            <v:rect style="position:absolute;left:5585;top:366;width:3780;height:810" filled="true" fillcolor="#bad0ec" stroked="false">
              <v:fill type="solid"/>
            </v:rect>
            <v:rect style="position:absolute;left:5585;top:1176;width:3780;height:4860" filled="true" fillcolor="#eef2fa" stroked="false">
              <v:fill type="solid"/>
            </v:rect>
            <v:line style="position:absolute" from="5580,366" to="9370,366" stroked="true" strokeweight=".5pt" strokecolor="#1c3e94">
              <v:stroke dashstyle="solid"/>
            </v:line>
            <v:line style="position:absolute" from="5585,1171" to="5585,371" stroked="true" strokeweight=".5pt" strokecolor="#1c3e94">
              <v:stroke dashstyle="solid"/>
            </v:line>
            <v:line style="position:absolute" from="9365,1171" to="9365,371" stroked="true" strokeweight=".5pt" strokecolor="#1c3e94">
              <v:stroke dashstyle="solid"/>
            </v:line>
            <v:line style="position:absolute" from="5580,1176" to="9370,1176" stroked="true" strokeweight=".5pt" strokecolor="#1c3e94">
              <v:stroke dashstyle="solid"/>
            </v:line>
            <v:line style="position:absolute" from="5585,6031" to="5585,1181" stroked="true" strokeweight=".5pt" strokecolor="#1c3e94">
              <v:stroke dashstyle="solid"/>
            </v:line>
            <v:line style="position:absolute" from="9365,6031" to="9365,1181" stroked="true" strokeweight=".5pt" strokecolor="#1c3e94">
              <v:stroke dashstyle="solid"/>
            </v:line>
            <v:line style="position:absolute" from="5580,6036" to="9370,6036" stroked="true" strokeweight=".5pt" strokecolor="#1c3e94">
              <v:stroke dashstyle="solid"/>
            </v:line>
            <v:shape style="position:absolute;left:7544;top:2827;width:399;height:1472" coordorigin="7544,2827" coordsize="399,1472" path="m7544,2827l7841,4299,7866,4293,7892,4287,7918,4281,7943,4274,7544,2827xe" filled="true" fillcolor="#0079c1" stroked="false">
              <v:path arrowok="t"/>
              <v:fill type="solid"/>
            </v:shape>
            <v:shape style="position:absolute;left:7544;top:2827;width:399;height:1472" coordorigin="7544,2827" coordsize="399,1472" path="m7544,2827l7943,4274,7918,4281,7892,4287,7866,4293,7841,4299,7544,2827xe" filled="false" stroked="true" strokeweight=".4pt" strokecolor="#1c3e94">
              <v:path arrowok="t"/>
              <v:stroke dashstyle="solid"/>
            </v:shape>
            <v:shape style="position:absolute;left:7544;top:2827;width:499;height:1448" coordorigin="7544,2827" coordsize="499,1448" path="m7544,2827l7943,4274,7967,4267,7993,4259,8018,4251,8043,4243,7544,2827xe" filled="true" fillcolor="#addab7" stroked="false">
              <v:path arrowok="t"/>
              <v:fill type="solid"/>
            </v:shape>
            <v:shape style="position:absolute;left:7544;top:2827;width:499;height:1448" coordorigin="7544,2827" coordsize="499,1448" path="m7544,2827l8043,4243,8018,4251,7993,4259,7967,4267,7943,4274,7544,2827xe" filled="false" stroked="true" strokeweight=".4pt" strokecolor="#1c3e94">
              <v:path arrowok="t"/>
              <v:stroke dashstyle="solid"/>
            </v:shape>
            <v:shape style="position:absolute;left:7544;top:2827;width:1236;height:1417" coordorigin="7544,2827" coordsize="1236,1417" path="m7544,2827l8043,4243,8119,4214,8193,4182,8263,4147,8331,4109,8396,4067,8458,4022,8518,3974,8575,3922,8629,3867,8682,3808,8732,3746,8780,3679,7544,2827xe" filled="true" fillcolor="#e98e4d" stroked="false">
              <v:path arrowok="t"/>
              <v:fill type="solid"/>
            </v:shape>
            <v:shape style="position:absolute;left:7544;top:2827;width:1236;height:1417" coordorigin="7544,2827" coordsize="1236,1417" path="m7544,2827l8780,3679,8732,3746,8682,3808,8629,3867,8575,3922,8518,3974,8458,4022,8396,4067,8331,4109,8263,4147,8193,4182,8119,4214,8043,4243,7544,2827xe" filled="false" stroked="true" strokeweight=".4pt" strokecolor="#231f20">
              <v:path arrowok="t"/>
              <v:stroke dashstyle="solid"/>
            </v:shape>
            <v:shape style="position:absolute;left:7544;top:1335;width:1502;height:2345" coordorigin="7544,1335" coordsize="1502,2345" path="m7717,1335l7544,2827,8780,3679,8827,3607,8870,3536,8907,3464,8939,3393,8966,3319,8989,3244,9008,3166,9024,3085,9036,2999,9042,2925,9046,2850,9045,2777,9041,2704,9033,2632,9022,2561,9008,2491,8991,2422,8970,2354,8946,2288,8919,2223,8889,2159,8857,2097,8821,2037,8783,1978,8742,1922,8699,1867,8653,1814,8605,1764,8554,1715,8501,1669,8446,1626,8389,1585,8330,1546,8268,1511,8205,1478,8140,1448,8074,1421,8005,1397,7935,1377,7864,1359,7791,1345,7717,1335xe" filled="true" fillcolor="#95b9e2" stroked="false">
              <v:path arrowok="t"/>
              <v:fill type="solid"/>
            </v:shape>
            <v:shape style="position:absolute;left:7544;top:1335;width:1502;height:2345" coordorigin="7544,1335" coordsize="1502,2345" path="m7544,2827l7717,1335,7791,1345,7864,1359,7935,1377,8005,1397,8074,1421,8140,1448,8205,1478,8268,1511,8330,1546,8389,1585,8446,1626,8501,1669,8554,1715,8605,1764,8653,1814,8699,1867,8742,1922,8783,1978,8821,2037,8857,2097,8889,2159,8919,2223,8946,2288,8970,2354,8991,2422,9008,2491,9022,2561,9033,2632,9041,2704,9045,2777,9046,2850,9042,2925,9036,2999,9024,3085,9008,3166,8989,3244,8966,3319,8939,3393,8907,3464,8870,3536,8827,3607,8780,3679,7544,2827xe" filled="false" stroked="true" strokeweight=".4pt" strokecolor="#1c3e94">
              <v:path arrowok="t"/>
              <v:stroke dashstyle="solid"/>
            </v:shape>
            <v:shape style="position:absolute;left:6042;top:1324;width:1799;height:3005" coordorigin="6042,1324" coordsize="1799,3005" path="m7558,1324l7481,1325,7405,1331,7327,1340,7247,1355,7174,1371,7103,1391,7033,1414,6965,1441,6899,1470,6835,1503,6773,1538,6712,1576,6654,1616,6598,1660,6545,1705,6494,1753,6445,1803,6398,1856,6354,1910,6313,1967,6274,2025,6238,2085,6205,2146,6175,2209,6148,2274,6123,2340,6102,2407,6084,2475,6069,2544,6057,2615,6049,2686,6044,2757,6042,2830,6044,2903,6050,2976,6059,3049,6072,3123,6089,3196,6109,3268,6132,3338,6158,3406,6188,3472,6220,3536,6255,3598,6293,3658,6334,3716,6377,3772,6423,3826,6471,3877,6521,3926,6573,3972,6628,4016,6684,4058,6742,4096,6802,4132,6864,4165,6927,4196,6991,4223,7057,4247,7124,4269,7193,4287,7262,4302,7332,4314,7403,4322,7475,4327,7547,4328,7620,4326,7693,4321,7767,4312,7841,4299,7544,2827,7717,1335,7636,1327,7558,1324xe" filled="true" fillcolor="#8acc9c" stroked="false">
              <v:path arrowok="t"/>
              <v:fill type="solid"/>
            </v:shape>
            <v:shape style="position:absolute;left:6042;top:1324;width:1799;height:3005" coordorigin="6042,1324" coordsize="1799,3005" path="m7544,2827l7841,4299,7767,4312,7693,4321,7620,4326,7547,4328,7475,4327,7403,4322,7332,4314,7262,4302,7193,4287,7124,4269,7057,4247,6991,4223,6927,4196,6864,4165,6802,4132,6742,4096,6684,4058,6628,4016,6573,3972,6521,3926,6471,3877,6423,3826,6377,3772,6334,3716,6293,3658,6255,3598,6220,3536,6188,3472,6158,3406,6132,3338,6109,3268,6089,3196,6072,3123,6059,3049,6050,2976,6044,2903,6042,2830,6044,2757,6049,2686,6057,2615,6069,2544,6084,2475,6102,2407,6123,2340,6148,2274,6175,2209,6205,2146,6238,2085,6274,2025,6313,1967,6354,1910,6398,1856,6445,1803,6494,1753,6545,1705,6598,1660,6654,1616,6712,1576,6773,1538,6835,1503,6899,1470,6965,1441,7033,1414,7103,1391,7174,1371,7247,1355,7327,1340,7405,1331,7481,1325,7558,1324,7636,1327,7717,1335,7544,2827xe" filled="false" stroked="true" strokeweight=".4pt" strokecolor="#1c3e94">
              <v:path arrowok="t"/>
              <v:stroke dashstyle="solid"/>
            </v:shape>
            <v:line style="position:absolute" from="7879,4233" to="7863,4415" stroked="true" strokeweight=".4pt" strokecolor="#1c3e94">
              <v:stroke dashstyle="solid"/>
            </v:line>
            <v:line style="position:absolute" from="7970,4212" to="8086,4324" stroked="true" strokeweight=".4pt" strokecolor="#1c3e94">
              <v:stroke dashstyle="solid"/>
            </v:line>
            <v:shape style="position:absolute;left:5585;top:366;width:3780;height:810" type="#_x0000_t202" filled="false" stroked="false">
              <v:textbox inset="0,0,0,0">
                <w:txbxContent>
                  <w:p>
                    <w:pPr>
                      <w:spacing w:line="252" w:lineRule="auto" w:before="84"/>
                      <w:ind w:left="995" w:right="392" w:hanging="916"/>
                      <w:jc w:val="both"/>
                      <w:rPr>
                        <w:rFonts w:ascii="Trebuchet MS"/>
                        <w:b/>
                        <w:sz w:val="18"/>
                      </w:rPr>
                    </w:pPr>
                    <w:r>
                      <w:rPr>
                        <w:rFonts w:ascii="Trebuchet MS"/>
                        <w:b/>
                        <w:color w:val="E36F1E"/>
                        <w:sz w:val="18"/>
                      </w:rPr>
                      <w:t>Figure</w:t>
                    </w:r>
                    <w:r>
                      <w:rPr>
                        <w:rFonts w:ascii="Trebuchet MS"/>
                        <w:b/>
                        <w:color w:val="E36F1E"/>
                        <w:spacing w:val="-29"/>
                        <w:sz w:val="18"/>
                      </w:rPr>
                      <w:t> </w:t>
                    </w:r>
                    <w:r>
                      <w:rPr>
                        <w:rFonts w:ascii="Trebuchet MS"/>
                        <w:b/>
                        <w:color w:val="E36F1E"/>
                        <w:sz w:val="18"/>
                      </w:rPr>
                      <w:t>2.5</w:t>
                    </w:r>
                    <w:r>
                      <w:rPr>
                        <w:rFonts w:ascii="Trebuchet MS"/>
                        <w:b/>
                        <w:color w:val="E36F1E"/>
                        <w:spacing w:val="-3"/>
                        <w:sz w:val="18"/>
                      </w:rPr>
                      <w:t> </w:t>
                    </w:r>
                    <w:r>
                      <w:rPr>
                        <w:rFonts w:ascii="Trebuchet MS"/>
                        <w:b/>
                        <w:color w:val="1C3E94"/>
                        <w:sz w:val="18"/>
                      </w:rPr>
                      <w:t>Foodborne</w:t>
                    </w:r>
                    <w:r>
                      <w:rPr>
                        <w:rFonts w:ascii="Trebuchet MS"/>
                        <w:b/>
                        <w:color w:val="1C3E94"/>
                        <w:spacing w:val="-29"/>
                        <w:sz w:val="18"/>
                      </w:rPr>
                      <w:t> </w:t>
                    </w:r>
                    <w:r>
                      <w:rPr>
                        <w:rFonts w:ascii="Trebuchet MS"/>
                        <w:b/>
                        <w:color w:val="1C3E94"/>
                        <w:sz w:val="18"/>
                      </w:rPr>
                      <w:t>disease</w:t>
                    </w:r>
                    <w:r>
                      <w:rPr>
                        <w:rFonts w:ascii="Trebuchet MS"/>
                        <w:b/>
                        <w:color w:val="1C3E94"/>
                        <w:spacing w:val="-29"/>
                        <w:sz w:val="18"/>
                      </w:rPr>
                      <w:t> </w:t>
                    </w:r>
                    <w:r>
                      <w:rPr>
                        <w:rFonts w:ascii="Trebuchet MS"/>
                        <w:b/>
                        <w:color w:val="1C3E94"/>
                        <w:sz w:val="18"/>
                      </w:rPr>
                      <w:t>outbreaks </w:t>
                    </w:r>
                    <w:r>
                      <w:rPr>
                        <w:rFonts w:ascii="Trebuchet MS"/>
                        <w:b/>
                        <w:color w:val="1C3E94"/>
                        <w:w w:val="95"/>
                        <w:sz w:val="18"/>
                      </w:rPr>
                      <w:t>by confirmed etiology,</w:t>
                    </w:r>
                    <w:r>
                      <w:rPr>
                        <w:rFonts w:ascii="Trebuchet MS"/>
                        <w:b/>
                        <w:color w:val="1C3E94"/>
                        <w:spacing w:val="-7"/>
                        <w:w w:val="95"/>
                        <w:sz w:val="18"/>
                      </w:rPr>
                      <w:t> </w:t>
                    </w:r>
                    <w:r>
                      <w:rPr>
                        <w:rFonts w:ascii="Trebuchet MS"/>
                        <w:b/>
                        <w:color w:val="1C3E94"/>
                        <w:w w:val="95"/>
                        <w:sz w:val="18"/>
                      </w:rPr>
                      <w:t>United States,</w:t>
                    </w:r>
                    <w:r>
                      <w:rPr>
                        <w:rFonts w:ascii="Trebuchet MS"/>
                        <w:b/>
                        <w:color w:val="1C3E94"/>
                        <w:spacing w:val="2"/>
                        <w:w w:val="95"/>
                        <w:sz w:val="18"/>
                      </w:rPr>
                      <w:t> </w:t>
                    </w:r>
                    <w:r>
                      <w:rPr>
                        <w:rFonts w:ascii="Trebuchet MS"/>
                        <w:b/>
                        <w:color w:val="1C3E94"/>
                        <w:w w:val="95"/>
                        <w:sz w:val="18"/>
                      </w:rPr>
                      <w:t>2009-2010*</w:t>
                    </w:r>
                  </w:p>
                </w:txbxContent>
              </v:textbox>
              <w10:wrap type="none"/>
            </v:shape>
            <v:shape style="position:absolute;left:8221;top:2374;width:213;height:266" type="#_x0000_t202" filled="false" stroked="false">
              <v:textbox inset="0,0,0,0">
                <w:txbxContent>
                  <w:p>
                    <w:pPr>
                      <w:spacing w:line="254" w:lineRule="auto" w:before="3"/>
                      <w:ind w:left="0" w:right="4" w:firstLine="1"/>
                      <w:jc w:val="left"/>
                      <w:rPr>
                        <w:rFonts w:ascii="Arial"/>
                        <w:sz w:val="11"/>
                      </w:rPr>
                    </w:pPr>
                    <w:r>
                      <w:rPr>
                        <w:rFonts w:ascii="Arial"/>
                        <w:color w:val="1C3E94"/>
                        <w:w w:val="85"/>
                        <w:sz w:val="11"/>
                      </w:rPr>
                      <w:t>Viral 47%</w:t>
                    </w:r>
                  </w:p>
                </w:txbxContent>
              </v:textbox>
              <w10:wrap type="none"/>
            </v:shape>
            <v:shape style="position:absolute;left:6612;top:2716;width:403;height:266" type="#_x0000_t202" filled="false" stroked="false">
              <v:textbox inset="0,0,0,0">
                <w:txbxContent>
                  <w:p>
                    <w:pPr>
                      <w:spacing w:line="254" w:lineRule="auto" w:before="3"/>
                      <w:ind w:left="94" w:right="0" w:hanging="95"/>
                      <w:jc w:val="left"/>
                      <w:rPr>
                        <w:rFonts w:ascii="Arial"/>
                        <w:sz w:val="11"/>
                      </w:rPr>
                    </w:pPr>
                    <w:r>
                      <w:rPr>
                        <w:rFonts w:ascii="Arial"/>
                        <w:color w:val="1C3E94"/>
                        <w:w w:val="85"/>
                        <w:sz w:val="11"/>
                      </w:rPr>
                      <w:t>Bacterial </w:t>
                    </w:r>
                    <w:r>
                      <w:rPr>
                        <w:rFonts w:ascii="Arial"/>
                        <w:color w:val="1C3E94"/>
                        <w:sz w:val="11"/>
                      </w:rPr>
                      <w:t>46%</w:t>
                    </w:r>
                  </w:p>
                </w:txbxContent>
              </v:textbox>
              <w10:wrap type="none"/>
            </v:shape>
            <v:shape style="position:absolute;left:5789;top:3640;width:3175;height:2179" type="#_x0000_t202" filled="false" stroked="false">
              <v:textbox inset="0,0,0,0">
                <w:txbxContent>
                  <w:p>
                    <w:pPr>
                      <w:spacing w:line="254" w:lineRule="auto" w:before="3"/>
                      <w:ind w:left="2145" w:right="372" w:firstLine="0"/>
                      <w:jc w:val="center"/>
                      <w:rPr>
                        <w:rFonts w:ascii="Arial"/>
                        <w:sz w:val="11"/>
                      </w:rPr>
                    </w:pPr>
                    <w:r>
                      <w:rPr>
                        <w:rFonts w:ascii="Arial"/>
                        <w:color w:val="1C3E94"/>
                        <w:w w:val="85"/>
                        <w:sz w:val="11"/>
                      </w:rPr>
                      <w:t>Chemical/Toxin </w:t>
                    </w:r>
                    <w:r>
                      <w:rPr>
                        <w:rFonts w:ascii="Arial"/>
                        <w:color w:val="1C3E94"/>
                        <w:w w:val="95"/>
                        <w:sz w:val="11"/>
                      </w:rPr>
                      <w:t>4%</w:t>
                    </w:r>
                  </w:p>
                  <w:p>
                    <w:pPr>
                      <w:spacing w:line="240" w:lineRule="auto" w:before="0"/>
                      <w:rPr>
                        <w:sz w:val="12"/>
                      </w:rPr>
                    </w:pPr>
                  </w:p>
                  <w:p>
                    <w:pPr>
                      <w:spacing w:line="240" w:lineRule="auto" w:before="0"/>
                      <w:rPr>
                        <w:sz w:val="12"/>
                      </w:rPr>
                    </w:pPr>
                  </w:p>
                  <w:p>
                    <w:pPr>
                      <w:spacing w:before="72"/>
                      <w:ind w:left="0" w:right="478" w:firstLine="0"/>
                      <w:jc w:val="right"/>
                      <w:rPr>
                        <w:rFonts w:ascii="Arial"/>
                        <w:sz w:val="11"/>
                      </w:rPr>
                    </w:pPr>
                    <w:r>
                      <w:rPr>
                        <w:rFonts w:ascii="Arial"/>
                        <w:color w:val="1C3E94"/>
                        <w:w w:val="90"/>
                        <w:sz w:val="11"/>
                      </w:rPr>
                      <w:t>Parasitic</w:t>
                    </w:r>
                  </w:p>
                  <w:p>
                    <w:pPr>
                      <w:tabs>
                        <w:tab w:pos="1089" w:val="left" w:leader="none"/>
                      </w:tabs>
                      <w:spacing w:before="12"/>
                      <w:ind w:left="0" w:right="562" w:firstLine="0"/>
                      <w:jc w:val="right"/>
                      <w:rPr>
                        <w:rFonts w:ascii="Arial"/>
                        <w:sz w:val="11"/>
                      </w:rPr>
                    </w:pPr>
                    <w:r>
                      <w:rPr>
                        <w:rFonts w:ascii="Arial"/>
                        <w:color w:val="1C3E94"/>
                        <w:w w:val="95"/>
                        <w:sz w:val="11"/>
                      </w:rPr>
                      <w:t>Multiple</w:t>
                    </w:r>
                    <w:r>
                      <w:rPr>
                        <w:rFonts w:ascii="Arial"/>
                        <w:color w:val="1C3E94"/>
                        <w:spacing w:val="-17"/>
                        <w:w w:val="95"/>
                        <w:sz w:val="11"/>
                      </w:rPr>
                      <w:t> </w:t>
                    </w:r>
                    <w:r>
                      <w:rPr>
                        <w:rFonts w:ascii="Arial"/>
                        <w:color w:val="1C3E94"/>
                        <w:w w:val="95"/>
                        <w:sz w:val="11"/>
                      </w:rPr>
                      <w:t>Etiologies</w:t>
                      <w:tab/>
                    </w:r>
                    <w:r>
                      <w:rPr>
                        <w:rFonts w:ascii="Arial"/>
                        <w:color w:val="1C3E94"/>
                        <w:w w:val="90"/>
                        <w:position w:val="1"/>
                        <w:sz w:val="11"/>
                      </w:rPr>
                      <w:t>&lt;1%</w:t>
                    </w:r>
                  </w:p>
                  <w:p>
                    <w:pPr>
                      <w:spacing w:before="8"/>
                      <w:ind w:left="617" w:right="372" w:firstLine="0"/>
                      <w:jc w:val="center"/>
                      <w:rPr>
                        <w:rFonts w:ascii="Arial"/>
                        <w:sz w:val="11"/>
                      </w:rPr>
                    </w:pPr>
                    <w:r>
                      <w:rPr>
                        <w:rFonts w:ascii="Arial"/>
                        <w:color w:val="1C3E94"/>
                        <w:w w:val="95"/>
                        <w:sz w:val="11"/>
                      </w:rPr>
                      <w:t>3%</w:t>
                    </w:r>
                  </w:p>
                  <w:p>
                    <w:pPr>
                      <w:spacing w:line="240" w:lineRule="auto" w:before="3"/>
                      <w:rPr>
                        <w:sz w:val="13"/>
                      </w:rPr>
                    </w:pPr>
                  </w:p>
                  <w:p>
                    <w:pPr>
                      <w:spacing w:line="249" w:lineRule="auto" w:before="1"/>
                      <w:ind w:left="88" w:right="54" w:hanging="89"/>
                      <w:jc w:val="left"/>
                      <w:rPr>
                        <w:rFonts w:ascii="Arial"/>
                        <w:sz w:val="14"/>
                      </w:rPr>
                    </w:pPr>
                    <w:r>
                      <w:rPr>
                        <w:rFonts w:ascii="Arial"/>
                        <w:color w:val="231F20"/>
                        <w:sz w:val="14"/>
                      </w:rPr>
                      <w:t>* </w:t>
                    </w:r>
                    <w:r>
                      <w:rPr>
                        <w:rFonts w:ascii="Arial"/>
                        <w:color w:val="231F20"/>
                        <w:spacing w:val="-3"/>
                        <w:sz w:val="14"/>
                      </w:rPr>
                      <w:t>Includes only outbreaks </w:t>
                    </w:r>
                    <w:r>
                      <w:rPr>
                        <w:rFonts w:ascii="Arial"/>
                        <w:color w:val="231F20"/>
                        <w:sz w:val="14"/>
                      </w:rPr>
                      <w:t>for </w:t>
                    </w:r>
                    <w:r>
                      <w:rPr>
                        <w:rFonts w:ascii="Arial"/>
                        <w:color w:val="231F20"/>
                        <w:spacing w:val="-3"/>
                        <w:sz w:val="14"/>
                      </w:rPr>
                      <w:t>which </w:t>
                    </w:r>
                    <w:r>
                      <w:rPr>
                        <w:rFonts w:ascii="Arial"/>
                        <w:color w:val="231F20"/>
                        <w:sz w:val="14"/>
                      </w:rPr>
                      <w:t>an </w:t>
                    </w:r>
                    <w:r>
                      <w:rPr>
                        <w:rFonts w:ascii="Arial"/>
                        <w:color w:val="231F20"/>
                        <w:spacing w:val="-3"/>
                        <w:sz w:val="14"/>
                      </w:rPr>
                      <w:t>etiology was determined.</w:t>
                    </w:r>
                    <w:r>
                      <w:rPr>
                        <w:rFonts w:ascii="Arial"/>
                        <w:color w:val="231F20"/>
                        <w:spacing w:val="-25"/>
                        <w:sz w:val="14"/>
                      </w:rPr>
                      <w:t> </w:t>
                    </w:r>
                    <w:r>
                      <w:rPr>
                        <w:rFonts w:ascii="Arial"/>
                        <w:color w:val="231F20"/>
                        <w:sz w:val="14"/>
                      </w:rPr>
                      <w:t>For</w:t>
                    </w:r>
                    <w:r>
                      <w:rPr>
                        <w:rFonts w:ascii="Arial"/>
                        <w:color w:val="231F20"/>
                        <w:spacing w:val="-25"/>
                        <w:sz w:val="14"/>
                      </w:rPr>
                      <w:t> </w:t>
                    </w:r>
                    <w:r>
                      <w:rPr>
                        <w:rFonts w:ascii="Arial"/>
                        <w:color w:val="231F20"/>
                        <w:sz w:val="14"/>
                      </w:rPr>
                      <w:t>31%</w:t>
                    </w:r>
                    <w:r>
                      <w:rPr>
                        <w:rFonts w:ascii="Arial"/>
                        <w:color w:val="231F20"/>
                        <w:spacing w:val="-25"/>
                        <w:sz w:val="14"/>
                      </w:rPr>
                      <w:t> </w:t>
                    </w:r>
                    <w:r>
                      <w:rPr>
                        <w:rFonts w:ascii="Arial"/>
                        <w:color w:val="231F20"/>
                        <w:sz w:val="14"/>
                      </w:rPr>
                      <w:t>of</w:t>
                    </w:r>
                    <w:r>
                      <w:rPr>
                        <w:rFonts w:ascii="Arial"/>
                        <w:color w:val="231F20"/>
                        <w:spacing w:val="-25"/>
                        <w:sz w:val="14"/>
                      </w:rPr>
                      <w:t> </w:t>
                    </w:r>
                    <w:r>
                      <w:rPr>
                        <w:rFonts w:ascii="Arial"/>
                        <w:color w:val="231F20"/>
                        <w:spacing w:val="-3"/>
                        <w:sz w:val="14"/>
                      </w:rPr>
                      <w:t>outbreaks,</w:t>
                    </w:r>
                    <w:r>
                      <w:rPr>
                        <w:rFonts w:ascii="Arial"/>
                        <w:color w:val="231F20"/>
                        <w:spacing w:val="-25"/>
                        <w:sz w:val="14"/>
                      </w:rPr>
                      <w:t> </w:t>
                    </w:r>
                    <w:r>
                      <w:rPr>
                        <w:rFonts w:ascii="Arial"/>
                        <w:color w:val="231F20"/>
                        <w:sz w:val="14"/>
                      </w:rPr>
                      <w:t>no</w:t>
                    </w:r>
                    <w:r>
                      <w:rPr>
                        <w:rFonts w:ascii="Arial"/>
                        <w:color w:val="231F20"/>
                        <w:spacing w:val="-25"/>
                        <w:sz w:val="14"/>
                      </w:rPr>
                      <w:t> </w:t>
                    </w:r>
                    <w:r>
                      <w:rPr>
                        <w:rFonts w:ascii="Arial"/>
                        <w:color w:val="231F20"/>
                        <w:spacing w:val="-3"/>
                        <w:sz w:val="14"/>
                      </w:rPr>
                      <w:t>etiologic</w:t>
                    </w:r>
                    <w:r>
                      <w:rPr>
                        <w:rFonts w:ascii="Arial"/>
                        <w:color w:val="231F20"/>
                        <w:spacing w:val="-25"/>
                        <w:sz w:val="14"/>
                      </w:rPr>
                      <w:t> </w:t>
                    </w:r>
                    <w:r>
                      <w:rPr>
                        <w:rFonts w:ascii="Arial"/>
                        <w:color w:val="231F20"/>
                        <w:spacing w:val="-3"/>
                        <w:sz w:val="14"/>
                      </w:rPr>
                      <w:t>agent </w:t>
                    </w:r>
                    <w:r>
                      <w:rPr>
                        <w:rFonts w:ascii="Arial"/>
                        <w:color w:val="231F20"/>
                        <w:w w:val="95"/>
                        <w:sz w:val="14"/>
                      </w:rPr>
                      <w:t>was</w:t>
                    </w:r>
                    <w:r>
                      <w:rPr>
                        <w:rFonts w:ascii="Arial"/>
                        <w:color w:val="231F20"/>
                        <w:spacing w:val="-3"/>
                        <w:w w:val="95"/>
                        <w:sz w:val="14"/>
                      </w:rPr>
                      <w:t> identified.</w:t>
                    </w:r>
                  </w:p>
                  <w:p>
                    <w:pPr>
                      <w:spacing w:line="240" w:lineRule="auto" w:before="0"/>
                      <w:rPr>
                        <w:sz w:val="15"/>
                      </w:rPr>
                    </w:pPr>
                  </w:p>
                  <w:p>
                    <w:pPr>
                      <w:spacing w:line="249" w:lineRule="auto" w:before="0"/>
                      <w:ind w:left="0" w:right="16" w:firstLine="0"/>
                      <w:jc w:val="left"/>
                      <w:rPr>
                        <w:rFonts w:ascii="Arial"/>
                        <w:sz w:val="14"/>
                      </w:rPr>
                    </w:pPr>
                    <w:r>
                      <w:rPr>
                        <w:rFonts w:ascii="Arial"/>
                        <w:color w:val="231F20"/>
                        <w:spacing w:val="-3"/>
                        <w:w w:val="95"/>
                        <w:sz w:val="14"/>
                      </w:rPr>
                      <w:t>Source:</w:t>
                    </w:r>
                    <w:r>
                      <w:rPr>
                        <w:rFonts w:ascii="Arial"/>
                        <w:color w:val="231F20"/>
                        <w:spacing w:val="-12"/>
                        <w:w w:val="95"/>
                        <w:sz w:val="14"/>
                      </w:rPr>
                      <w:t> </w:t>
                    </w:r>
                    <w:r>
                      <w:rPr>
                        <w:rFonts w:ascii="Arial"/>
                        <w:color w:val="231F20"/>
                        <w:w w:val="95"/>
                        <w:sz w:val="14"/>
                      </w:rPr>
                      <w:t>CDC</w:t>
                    </w:r>
                    <w:r>
                      <w:rPr>
                        <w:rFonts w:ascii="Arial"/>
                        <w:color w:val="231F20"/>
                        <w:spacing w:val="-12"/>
                        <w:w w:val="95"/>
                        <w:sz w:val="14"/>
                      </w:rPr>
                      <w:t> </w:t>
                    </w:r>
                    <w:r>
                      <w:rPr>
                        <w:rFonts w:ascii="Arial"/>
                        <w:color w:val="231F20"/>
                        <w:spacing w:val="-3"/>
                        <w:w w:val="95"/>
                        <w:sz w:val="14"/>
                      </w:rPr>
                      <w:t>Foodborne</w:t>
                    </w:r>
                    <w:r>
                      <w:rPr>
                        <w:rFonts w:ascii="Arial"/>
                        <w:color w:val="231F20"/>
                        <w:spacing w:val="-12"/>
                        <w:w w:val="95"/>
                        <w:sz w:val="14"/>
                      </w:rPr>
                      <w:t> </w:t>
                    </w:r>
                    <w:r>
                      <w:rPr>
                        <w:rFonts w:ascii="Arial"/>
                        <w:color w:val="231F20"/>
                        <w:spacing w:val="-3"/>
                        <w:w w:val="95"/>
                        <w:sz w:val="14"/>
                      </w:rPr>
                      <w:t>Disease</w:t>
                    </w:r>
                    <w:r>
                      <w:rPr>
                        <w:rFonts w:ascii="Arial"/>
                        <w:color w:val="231F20"/>
                        <w:spacing w:val="-12"/>
                        <w:w w:val="95"/>
                        <w:sz w:val="14"/>
                      </w:rPr>
                      <w:t> </w:t>
                    </w:r>
                    <w:r>
                      <w:rPr>
                        <w:rFonts w:ascii="Arial"/>
                        <w:color w:val="231F20"/>
                        <w:spacing w:val="-3"/>
                        <w:w w:val="95"/>
                        <w:sz w:val="14"/>
                      </w:rPr>
                      <w:t>Outbreak</w:t>
                    </w:r>
                    <w:r>
                      <w:rPr>
                        <w:rFonts w:ascii="Arial"/>
                        <w:color w:val="231F20"/>
                        <w:spacing w:val="-12"/>
                        <w:w w:val="95"/>
                        <w:sz w:val="14"/>
                      </w:rPr>
                      <w:t> </w:t>
                    </w:r>
                    <w:r>
                      <w:rPr>
                        <w:rFonts w:ascii="Arial"/>
                        <w:color w:val="231F20"/>
                        <w:spacing w:val="-3"/>
                        <w:w w:val="95"/>
                        <w:sz w:val="14"/>
                      </w:rPr>
                      <w:t>Surveillance </w:t>
                    </w:r>
                    <w:r>
                      <w:rPr>
                        <w:rFonts w:ascii="Arial"/>
                        <w:color w:val="231F20"/>
                        <w:spacing w:val="-3"/>
                        <w:w w:val="90"/>
                        <w:sz w:val="14"/>
                      </w:rPr>
                      <w:t>System</w:t>
                    </w:r>
                    <w:r>
                      <w:rPr>
                        <w:rFonts w:ascii="Arial"/>
                        <w:color w:val="231F20"/>
                        <w:spacing w:val="-18"/>
                        <w:w w:val="90"/>
                        <w:sz w:val="14"/>
                      </w:rPr>
                      <w:t> </w:t>
                    </w:r>
                    <w:r>
                      <w:rPr>
                        <w:rFonts w:ascii="Arial"/>
                        <w:color w:val="231F20"/>
                        <w:spacing w:val="-3"/>
                        <w:w w:val="90"/>
                        <w:sz w:val="14"/>
                      </w:rPr>
                      <w:t>(2012)</w:t>
                    </w:r>
                  </w:p>
                </w:txbxContent>
              </v:textbox>
              <w10:wrap type="none"/>
            </v:shape>
            <w10:wrap type="topAndBottom"/>
          </v:group>
        </w:pict>
      </w:r>
    </w:p>
    <w:p>
      <w:pPr>
        <w:spacing w:after="0"/>
        <w:rPr>
          <w:sz w:val="28"/>
        </w:rPr>
        <w:sectPr>
          <w:type w:val="continuous"/>
          <w:pgSz w:w="10080" w:h="14400"/>
          <w:pgMar w:top="0" w:bottom="360" w:left="0" w:right="0"/>
          <w:cols w:num="2" w:equalWidth="0">
            <w:col w:w="5181" w:space="40"/>
            <w:col w:w="4859"/>
          </w:cols>
        </w:sectPr>
      </w:pPr>
    </w:p>
    <w:p>
      <w:pPr>
        <w:pStyle w:val="BodyText"/>
        <w:spacing w:before="8"/>
        <w:rPr>
          <w:sz w:val="26"/>
        </w:rPr>
      </w:pPr>
    </w:p>
    <w:p>
      <w:pPr>
        <w:pStyle w:val="Heading1"/>
        <w:ind w:left="720"/>
      </w:pPr>
      <w:r>
        <w:rPr/>
        <w:pict>
          <v:line style="position:absolute;mso-position-horizontal-relative:page;mso-position-vertical-relative:paragraph;z-index:3952;mso-wrap-distance-left:0;mso-wrap-distance-right:0" from="36pt,23.995163pt" to="432pt,23.995163pt" stroked="true" strokeweight=".5pt" strokecolor="#00a94f">
            <v:stroke dashstyle="solid"/>
            <w10:wrap type="topAndBottom"/>
          </v:line>
        </w:pict>
      </w:r>
      <w:r>
        <w:rPr>
          <w:color w:val="00A94F"/>
          <w:w w:val="95"/>
        </w:rPr>
        <w:t>2.4. Etiologic Agents Associated with Foodborne Diseases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105"/>
      </w:pPr>
      <w:r>
        <w:rPr>
          <w:color w:val="231F20"/>
          <w:w w:val="105"/>
        </w:rPr>
        <w:t>viral outbreaks. Hepatitis A virus and rotaviruses played a minor role in foodborne disease outbreaks during these years.</w:t>
      </w:r>
    </w:p>
    <w:p>
      <w:pPr>
        <w:pStyle w:val="BodyText"/>
        <w:spacing w:before="180"/>
        <w:ind w:left="720"/>
      </w:pPr>
      <w:r>
        <w:rPr>
          <w:color w:val="231F20"/>
          <w:w w:val="105"/>
        </w:rPr>
        <w:t>During 2009–2010, parasites accounted for</w:t>
      </w:r>
    </w:p>
    <w:p>
      <w:pPr>
        <w:pStyle w:val="BodyText"/>
        <w:spacing w:line="266" w:lineRule="auto" w:before="24"/>
        <w:ind w:left="720" w:right="-14"/>
        <w:rPr>
          <w:sz w:val="11"/>
        </w:rPr>
      </w:pPr>
      <w:r>
        <w:rPr>
          <w:color w:val="231F20"/>
          <w:w w:val="105"/>
        </w:rPr>
        <w:t>&lt;1% of outbreaks with identified etiologies. Marine</w:t>
      </w:r>
      <w:r>
        <w:rPr>
          <w:color w:val="231F20"/>
          <w:spacing w:val="-19"/>
          <w:w w:val="105"/>
        </w:rPr>
        <w:t> </w:t>
      </w:r>
      <w:r>
        <w:rPr>
          <w:color w:val="231F20"/>
          <w:w w:val="105"/>
        </w:rPr>
        <w:t>algae</w:t>
      </w:r>
      <w:r>
        <w:rPr>
          <w:color w:val="231F20"/>
          <w:spacing w:val="-19"/>
          <w:w w:val="105"/>
        </w:rPr>
        <w:t> </w:t>
      </w:r>
      <w:r>
        <w:rPr>
          <w:color w:val="231F20"/>
          <w:w w:val="105"/>
        </w:rPr>
        <w:t>and</w:t>
      </w:r>
      <w:r>
        <w:rPr>
          <w:color w:val="231F20"/>
          <w:spacing w:val="-19"/>
          <w:w w:val="105"/>
        </w:rPr>
        <w:t> </w:t>
      </w:r>
      <w:r>
        <w:rPr>
          <w:color w:val="231F20"/>
          <w:w w:val="105"/>
        </w:rPr>
        <w:t>fish</w:t>
      </w:r>
      <w:r>
        <w:rPr>
          <w:color w:val="231F20"/>
          <w:spacing w:val="-19"/>
          <w:w w:val="105"/>
        </w:rPr>
        <w:t> </w:t>
      </w:r>
      <w:r>
        <w:rPr>
          <w:color w:val="231F20"/>
          <w:w w:val="105"/>
        </w:rPr>
        <w:t>toxins,</w:t>
      </w:r>
      <w:r>
        <w:rPr>
          <w:color w:val="231F20"/>
          <w:spacing w:val="-19"/>
          <w:w w:val="105"/>
        </w:rPr>
        <w:t> </w:t>
      </w:r>
      <w:r>
        <w:rPr>
          <w:color w:val="231F20"/>
          <w:w w:val="105"/>
        </w:rPr>
        <w:t>mushroom</w:t>
      </w:r>
      <w:r>
        <w:rPr>
          <w:color w:val="231F20"/>
          <w:spacing w:val="-19"/>
          <w:w w:val="105"/>
        </w:rPr>
        <w:t> </w:t>
      </w:r>
      <w:r>
        <w:rPr>
          <w:color w:val="231F20"/>
          <w:w w:val="105"/>
        </w:rPr>
        <w:t>toxins, and chemicals accounted for 4% of outbreaks with an identified cause. The most commonly reported chemical/toxin causes were scombrotoxin</w:t>
      </w:r>
      <w:r>
        <w:rPr>
          <w:color w:val="231F20"/>
          <w:spacing w:val="-33"/>
          <w:w w:val="105"/>
        </w:rPr>
        <w:t> </w:t>
      </w:r>
      <w:r>
        <w:rPr>
          <w:color w:val="231F20"/>
          <w:w w:val="105"/>
        </w:rPr>
        <w:t>(42%)</w:t>
      </w:r>
      <w:r>
        <w:rPr>
          <w:color w:val="231F20"/>
          <w:spacing w:val="-33"/>
          <w:w w:val="105"/>
        </w:rPr>
        <w:t> </w:t>
      </w:r>
      <w:r>
        <w:rPr>
          <w:color w:val="231F20"/>
          <w:w w:val="105"/>
        </w:rPr>
        <w:t>and</w:t>
      </w:r>
      <w:r>
        <w:rPr>
          <w:color w:val="231F20"/>
          <w:spacing w:val="-33"/>
          <w:w w:val="105"/>
        </w:rPr>
        <w:t> </w:t>
      </w:r>
      <w:r>
        <w:rPr>
          <w:color w:val="231F20"/>
          <w:w w:val="105"/>
        </w:rPr>
        <w:t>ciguatoxin</w:t>
      </w:r>
      <w:r>
        <w:rPr>
          <w:color w:val="231F20"/>
          <w:spacing w:val="-33"/>
          <w:w w:val="105"/>
        </w:rPr>
        <w:t> </w:t>
      </w:r>
      <w:r>
        <w:rPr>
          <w:color w:val="231F20"/>
          <w:w w:val="105"/>
        </w:rPr>
        <w:t>(35%).</w:t>
      </w:r>
      <w:r>
        <w:rPr>
          <w:color w:val="231F20"/>
          <w:w w:val="105"/>
          <w:position w:val="7"/>
          <w:sz w:val="11"/>
        </w:rPr>
        <w:t>109</w:t>
      </w:r>
    </w:p>
    <w:p>
      <w:pPr>
        <w:pStyle w:val="BodyText"/>
        <w:spacing w:line="266" w:lineRule="auto" w:before="179"/>
        <w:ind w:left="720" w:right="4"/>
      </w:pPr>
      <w:r>
        <w:rPr>
          <w:color w:val="231F20"/>
          <w:spacing w:val="-7"/>
          <w:w w:val="105"/>
        </w:rPr>
        <w:t>For </w:t>
      </w:r>
      <w:r>
        <w:rPr>
          <w:color w:val="231F20"/>
          <w:w w:val="105"/>
        </w:rPr>
        <w:t>a large proportion (31%) of outbreaks reported during 2009–2010, no etiologic</w:t>
      </w:r>
      <w:r>
        <w:rPr>
          <w:color w:val="231F20"/>
          <w:spacing w:val="-28"/>
          <w:w w:val="105"/>
        </w:rPr>
        <w:t> </w:t>
      </w:r>
      <w:r>
        <w:rPr>
          <w:color w:val="231F20"/>
          <w:w w:val="105"/>
        </w:rPr>
        <w:t>agent was identified. Reasons include inadequate collection of stool specimens, delay in outbreak detection and specimen collection, and inappropriate testing of specimens.</w:t>
      </w:r>
      <w:r>
        <w:rPr>
          <w:color w:val="231F20"/>
          <w:w w:val="105"/>
          <w:position w:val="7"/>
          <w:sz w:val="11"/>
        </w:rPr>
        <w:t>110,111 </w:t>
      </w:r>
      <w:r>
        <w:rPr>
          <w:color w:val="231F20"/>
          <w:w w:val="105"/>
        </w:rPr>
        <w:t>Because laboratory methods for confirming viral</w:t>
      </w:r>
      <w:r>
        <w:rPr>
          <w:color w:val="231F20"/>
          <w:spacing w:val="-10"/>
          <w:w w:val="105"/>
        </w:rPr>
        <w:t> </w:t>
      </w:r>
      <w:r>
        <w:rPr>
          <w:color w:val="231F20"/>
          <w:w w:val="105"/>
        </w:rPr>
        <w:t>diseases</w:t>
      </w:r>
      <w:r>
        <w:rPr>
          <w:color w:val="231F20"/>
          <w:spacing w:val="-11"/>
          <w:w w:val="105"/>
        </w:rPr>
        <w:t> </w:t>
      </w:r>
      <w:r>
        <w:rPr>
          <w:color w:val="231F20"/>
          <w:w w:val="105"/>
        </w:rPr>
        <w:t>are</w:t>
      </w:r>
      <w:r>
        <w:rPr>
          <w:color w:val="231F20"/>
          <w:spacing w:val="-10"/>
          <w:w w:val="105"/>
        </w:rPr>
        <w:t> </w:t>
      </w:r>
      <w:r>
        <w:rPr>
          <w:color w:val="231F20"/>
          <w:w w:val="105"/>
        </w:rPr>
        <w:t>less</w:t>
      </w:r>
      <w:r>
        <w:rPr>
          <w:color w:val="231F20"/>
          <w:spacing w:val="-11"/>
          <w:w w:val="105"/>
        </w:rPr>
        <w:t> </w:t>
      </w:r>
      <w:r>
        <w:rPr>
          <w:color w:val="231F20"/>
          <w:w w:val="105"/>
        </w:rPr>
        <w:t>available</w:t>
      </w:r>
      <w:r>
        <w:rPr>
          <w:color w:val="231F20"/>
          <w:spacing w:val="-10"/>
          <w:w w:val="105"/>
        </w:rPr>
        <w:t> </w:t>
      </w:r>
      <w:r>
        <w:rPr>
          <w:color w:val="231F20"/>
          <w:w w:val="105"/>
        </w:rPr>
        <w:t>than</w:t>
      </w:r>
      <w:r>
        <w:rPr>
          <w:color w:val="231F20"/>
          <w:spacing w:val="-11"/>
          <w:w w:val="105"/>
        </w:rPr>
        <w:t> </w:t>
      </w:r>
      <w:r>
        <w:rPr>
          <w:color w:val="231F20"/>
          <w:w w:val="105"/>
        </w:rPr>
        <w:t>tests</w:t>
      </w:r>
    </w:p>
    <w:p>
      <w:pPr>
        <w:pStyle w:val="BodyText"/>
        <w:spacing w:line="266" w:lineRule="auto"/>
        <w:ind w:left="720" w:right="12"/>
        <w:rPr>
          <w:sz w:val="11"/>
        </w:rPr>
      </w:pPr>
      <w:r>
        <w:rPr/>
        <w:pict>
          <v:group style="position:absolute;margin-left:35.75pt;margin-top:52.082554pt;width:190pt;height:282.350pt;mso-position-horizontal-relative:page;mso-position-vertical-relative:paragraph;z-index:4072" coordorigin="715,1042" coordsize="3800,5647">
            <v:rect style="position:absolute;left:725;top:1047;width:3780;height:957" filled="true" fillcolor="#bad0ec" stroked="false">
              <v:fill type="solid"/>
            </v:rect>
            <v:rect style="position:absolute;left:725;top:2003;width:3780;height:4680" filled="true" fillcolor="#eef2fa" stroked="false">
              <v:fill type="solid"/>
            </v:rect>
            <v:line style="position:absolute" from="720,1047" to="4510,1047" stroked="true" strokeweight=".5pt" strokecolor="#1c3e94">
              <v:stroke dashstyle="solid"/>
            </v:line>
            <v:line style="position:absolute" from="725,1998" to="725,1052" stroked="true" strokeweight=".5pt" strokecolor="#1c3e94">
              <v:stroke dashstyle="solid"/>
            </v:line>
            <v:line style="position:absolute" from="4505,1998" to="4505,1052" stroked="true" strokeweight=".5pt" strokecolor="#1c3e94">
              <v:stroke dashstyle="solid"/>
            </v:line>
            <v:line style="position:absolute" from="720,2003" to="4510,2003" stroked="true" strokeweight=".5pt" strokecolor="#1c3e94">
              <v:stroke dashstyle="solid"/>
            </v:line>
            <v:line style="position:absolute" from="725,6678" to="725,2008" stroked="true" strokeweight=".5pt" strokecolor="#1c3e94">
              <v:stroke dashstyle="solid"/>
            </v:line>
            <v:line style="position:absolute" from="4505,6678" to="4505,2008" stroked="true" strokeweight=".5pt" strokecolor="#1c3e94">
              <v:stroke dashstyle="solid"/>
            </v:line>
            <v:line style="position:absolute" from="720,6683" to="4510,6683" stroked="true" strokeweight=".5pt" strokecolor="#1c3e94">
              <v:stroke dashstyle="solid"/>
            </v:line>
            <v:shape style="position:absolute;left:1713;top:2202;width:413;height:3212" coordorigin="1713,2202" coordsize="413,3212" path="m2125,3093l1713,3093,1713,5413,2125,5413,2125,3093m2125,2779l1713,2779,1713,2963,2125,2963,2125,2779m2125,2482l1713,2482,1713,2649,2125,2649,2125,2482m2125,2202l1713,2202,1713,2351,2125,2351,2125,2202e" filled="true" fillcolor="#c7d8ef" stroked="false">
              <v:path arrowok="t"/>
              <v:fill type="solid"/>
            </v:shape>
            <v:rect style="position:absolute;left:1713;top:2202;width:412;height:3211" filled="false" stroked="true" strokeweight=".557pt" strokecolor="#7cacdc">
              <v:stroke dashstyle="solid"/>
            </v:rect>
            <v:shape style="position:absolute;left:2125;top:2202;width:413;height:3212" coordorigin="2125,2202" coordsize="413,3212" path="m2537,2482l2125,2482,2125,5413,2537,5413,2537,2482m2537,2202l2125,2202,2125,2351,2537,2351,2537,2202e" filled="true" fillcolor="#c7d8ef" stroked="false">
              <v:path arrowok="t"/>
              <v:fill type="solid"/>
            </v:shape>
            <v:rect style="position:absolute;left:2125;top:2202;width:412;height:3211" filled="false" stroked="true" strokeweight=".557pt" strokecolor="#7cacdc">
              <v:stroke dashstyle="solid"/>
            </v:rect>
            <v:shape style="position:absolute;left:2537;top:2202;width:412;height:3212" coordorigin="2537,2202" coordsize="412,3212" path="m2949,2482l2537,2482,2537,5413,2949,5413,2949,2482m2949,2202l2537,2202,2537,2351,2949,2351,2949,2202e" filled="true" fillcolor="#c7d8ef" stroked="false">
              <v:path arrowok="t"/>
              <v:fill type="solid"/>
            </v:shape>
            <v:rect style="position:absolute;left:2537;top:2202;width:412;height:3211" filled="false" stroked="true" strokeweight=".557pt" strokecolor="#7cacdc">
              <v:stroke dashstyle="solid"/>
            </v:rect>
            <v:shape style="position:absolute;left:2949;top:2202;width:413;height:3212" coordorigin="2949,2202" coordsize="413,3212" path="m3361,2482l2949,2482,2949,5413,3361,5413,3361,2482m3361,2202l2949,2202,2949,2351,3361,2351,3361,2202e" filled="true" fillcolor="#c7d8ef" stroked="false">
              <v:path arrowok="t"/>
              <v:fill type="solid"/>
            </v:shape>
            <v:rect style="position:absolute;left:2949;top:2202;width:412;height:3211" filled="false" stroked="true" strokeweight=".557pt" strokecolor="#7cacdc">
              <v:stroke dashstyle="solid"/>
            </v:rect>
            <v:shape style="position:absolute;left:3361;top:2202;width:413;height:3212" coordorigin="3361,2202" coordsize="413,3212" path="m3773,2482l3361,2482,3361,5413,3773,5413,3773,2482m3773,2202l3361,2202,3361,2351,3773,2351,3773,2202e" filled="true" fillcolor="#c7d8ef" stroked="false">
              <v:path arrowok="t"/>
              <v:fill type="solid"/>
            </v:shape>
            <v:rect style="position:absolute;left:3361;top:2202;width:412;height:3211" filled="false" stroked="true" strokeweight=".557pt" strokecolor="#7cacdc">
              <v:stroke dashstyle="solid"/>
            </v:rect>
            <v:rect style="position:absolute;left:3773;top:2202;width:412;height:3211" filled="true" fillcolor="#c7d8ef" stroked="false">
              <v:fill type="solid"/>
            </v:rect>
            <v:rect style="position:absolute;left:3773;top:2202;width:412;height:3211" filled="false" stroked="true" strokeweight=".557pt" strokecolor="#7cacdc">
              <v:stroke dashstyle="solid"/>
            </v:rect>
            <v:shape style="position:absolute;left:1714;top:2351;width:2100;height:1999" coordorigin="1714,2351" coordsize="2100,1999" path="m1820,4220l1714,4220,1714,4350,1820,4350,1820,4220m1894,3904l1714,3904,1714,4034,1894,4034,1894,3904m1913,3592l1714,3592,1714,3722,1913,3722,1913,3592m2092,3277l1714,3277,1714,3408,2092,3408,2092,3277m2212,2963l1714,2963,1714,3093,2212,3093,2212,2963m2226,2649l1714,2649,1714,2779,2226,2779,2226,2649m3814,2351l1714,2351,1714,2482,3814,2482,3814,2351e" filled="true" fillcolor="#e36f1e" stroked="false">
              <v:path arrowok="t"/>
              <v:fill type="solid"/>
            </v:shape>
            <v:line style="position:absolute" from="1766,4534" to="1766,4664" stroked="true" strokeweight="4.937pt" strokecolor="#e36f1e">
              <v:stroke dashstyle="solid"/>
            </v:line>
            <v:rect style="position:absolute;left:1714;top:4832;width:106;height:130" filled="true" fillcolor="#e36f1e" stroked="false">
              <v:fill type="solid"/>
            </v:rect>
            <v:line style="position:absolute" from="1740,5151" to="1740,5281" stroked="true" strokeweight="2.512pt" strokecolor="#e36f1e">
              <v:stroke dashstyle="solid"/>
            </v:line>
            <v:shape style="position:absolute;left:725;top:1047;width:3780;height:957" type="#_x0000_t202" filled="false" stroked="false">
              <v:textbox inset="0,0,0,0">
                <w:txbxContent>
                  <w:p>
                    <w:pPr>
                      <w:spacing w:before="47"/>
                      <w:ind w:left="80" w:right="0" w:firstLine="0"/>
                      <w:jc w:val="left"/>
                      <w:rPr>
                        <w:rFonts w:ascii="Trebuchet MS"/>
                        <w:b/>
                        <w:sz w:val="18"/>
                      </w:rPr>
                    </w:pPr>
                    <w:r>
                      <w:rPr>
                        <w:rFonts w:ascii="Trebuchet MS"/>
                        <w:b/>
                        <w:color w:val="E36F1E"/>
                        <w:sz w:val="18"/>
                      </w:rPr>
                      <w:t>Figure 2.6 </w:t>
                    </w:r>
                    <w:r>
                      <w:rPr>
                        <w:rFonts w:ascii="Trebuchet MS"/>
                        <w:b/>
                        <w:color w:val="1C3E94"/>
                        <w:sz w:val="18"/>
                      </w:rPr>
                      <w:t>Distribution of bacterial</w:t>
                    </w:r>
                  </w:p>
                  <w:p>
                    <w:pPr>
                      <w:spacing w:line="252" w:lineRule="auto" w:before="10"/>
                      <w:ind w:left="995" w:right="190" w:firstLine="0"/>
                      <w:jc w:val="left"/>
                      <w:rPr>
                        <w:rFonts w:ascii="Trebuchet MS"/>
                        <w:b/>
                        <w:sz w:val="18"/>
                      </w:rPr>
                    </w:pPr>
                    <w:r>
                      <w:rPr>
                        <w:rFonts w:ascii="Trebuchet MS"/>
                        <w:b/>
                        <w:color w:val="1C3E94"/>
                        <w:sz w:val="18"/>
                      </w:rPr>
                      <w:t>foodborne</w:t>
                    </w:r>
                    <w:r>
                      <w:rPr>
                        <w:rFonts w:ascii="Trebuchet MS"/>
                        <w:b/>
                        <w:color w:val="1C3E94"/>
                        <w:spacing w:val="-31"/>
                        <w:sz w:val="18"/>
                      </w:rPr>
                      <w:t> </w:t>
                    </w:r>
                    <w:r>
                      <w:rPr>
                        <w:rFonts w:ascii="Trebuchet MS"/>
                        <w:b/>
                        <w:color w:val="1C3E94"/>
                        <w:sz w:val="18"/>
                      </w:rPr>
                      <w:t>disease</w:t>
                    </w:r>
                    <w:r>
                      <w:rPr>
                        <w:rFonts w:ascii="Trebuchet MS"/>
                        <w:b/>
                        <w:color w:val="1C3E94"/>
                        <w:spacing w:val="-31"/>
                        <w:sz w:val="18"/>
                      </w:rPr>
                      <w:t> </w:t>
                    </w:r>
                    <w:r>
                      <w:rPr>
                        <w:rFonts w:ascii="Trebuchet MS"/>
                        <w:b/>
                        <w:color w:val="1C3E94"/>
                        <w:sz w:val="18"/>
                      </w:rPr>
                      <w:t>outbreaks</w:t>
                    </w:r>
                    <w:r>
                      <w:rPr>
                        <w:rFonts w:ascii="Trebuchet MS"/>
                        <w:b/>
                        <w:color w:val="1C3E94"/>
                        <w:spacing w:val="-31"/>
                        <w:sz w:val="18"/>
                      </w:rPr>
                      <w:t> </w:t>
                    </w:r>
                    <w:r>
                      <w:rPr>
                        <w:rFonts w:ascii="Trebuchet MS"/>
                        <w:b/>
                        <w:color w:val="1C3E94"/>
                        <w:sz w:val="18"/>
                      </w:rPr>
                      <w:t>by etiologic agent, United States, 2009-2010</w:t>
                    </w:r>
                  </w:p>
                </w:txbxContent>
              </v:textbox>
              <w10:wrap type="none"/>
            </v:shape>
            <v:shape style="position:absolute;left:725;top:2003;width:3780;height:4680" type="#_x0000_t202" filled="false" stroked="false">
              <v:textbox inset="0,0,0,0">
                <w:txbxContent>
                  <w:p>
                    <w:pPr>
                      <w:spacing w:line="240" w:lineRule="auto" w:before="0"/>
                      <w:rPr>
                        <w:sz w:val="14"/>
                      </w:rPr>
                    </w:pPr>
                  </w:p>
                  <w:p>
                    <w:pPr>
                      <w:spacing w:line="240" w:lineRule="auto" w:before="6"/>
                      <w:rPr>
                        <w:sz w:val="14"/>
                      </w:rPr>
                    </w:pPr>
                  </w:p>
                  <w:p>
                    <w:pPr>
                      <w:spacing w:before="0"/>
                      <w:ind w:left="0" w:right="2865" w:firstLine="0"/>
                      <w:jc w:val="right"/>
                      <w:rPr>
                        <w:rFonts w:ascii="Arial"/>
                        <w:i/>
                        <w:sz w:val="13"/>
                      </w:rPr>
                    </w:pPr>
                    <w:r>
                      <w:rPr>
                        <w:rFonts w:ascii="Arial"/>
                        <w:i/>
                        <w:color w:val="231F20"/>
                        <w:w w:val="85"/>
                        <w:sz w:val="13"/>
                      </w:rPr>
                      <w:t>Salmonella</w:t>
                    </w:r>
                  </w:p>
                  <w:p>
                    <w:pPr>
                      <w:spacing w:line="240" w:lineRule="auto" w:before="4"/>
                      <w:rPr>
                        <w:sz w:val="14"/>
                      </w:rPr>
                    </w:pPr>
                  </w:p>
                  <w:p>
                    <w:pPr>
                      <w:spacing w:before="0"/>
                      <w:ind w:left="0" w:right="2865" w:firstLine="0"/>
                      <w:jc w:val="right"/>
                      <w:rPr>
                        <w:rFonts w:ascii="Arial"/>
                        <w:i/>
                        <w:sz w:val="13"/>
                      </w:rPr>
                    </w:pPr>
                    <w:r>
                      <w:rPr>
                        <w:rFonts w:ascii="Arial"/>
                        <w:i/>
                        <w:color w:val="231F20"/>
                        <w:w w:val="90"/>
                        <w:sz w:val="13"/>
                      </w:rPr>
                      <w:t>E. coli</w:t>
                    </w:r>
                  </w:p>
                  <w:p>
                    <w:pPr>
                      <w:spacing w:line="240" w:lineRule="auto" w:before="4"/>
                      <w:rPr>
                        <w:sz w:val="14"/>
                      </w:rPr>
                    </w:pPr>
                  </w:p>
                  <w:p>
                    <w:pPr>
                      <w:spacing w:line="501" w:lineRule="auto" w:before="0"/>
                      <w:ind w:left="157" w:right="2864" w:firstLine="47"/>
                      <w:jc w:val="right"/>
                      <w:rPr>
                        <w:rFonts w:ascii="Arial"/>
                        <w:i/>
                        <w:sz w:val="13"/>
                      </w:rPr>
                    </w:pPr>
                    <w:r>
                      <w:rPr>
                        <w:rFonts w:ascii="Arial"/>
                        <w:i/>
                        <w:color w:val="231F20"/>
                        <w:w w:val="85"/>
                        <w:sz w:val="13"/>
                      </w:rPr>
                      <w:t>C. perfringens</w:t>
                    </w:r>
                    <w:r>
                      <w:rPr>
                        <w:rFonts w:ascii="Arial"/>
                        <w:i/>
                        <w:color w:val="231F20"/>
                        <w:w w:val="88"/>
                        <w:sz w:val="13"/>
                      </w:rPr>
                      <w:t> </w:t>
                    </w:r>
                    <w:r>
                      <w:rPr>
                        <w:rFonts w:ascii="Arial"/>
                        <w:i/>
                        <w:color w:val="231F20"/>
                        <w:w w:val="85"/>
                        <w:sz w:val="13"/>
                      </w:rPr>
                      <w:t>Campylobacter</w:t>
                    </w:r>
                  </w:p>
                  <w:p>
                    <w:pPr>
                      <w:spacing w:before="4"/>
                      <w:ind w:left="0" w:right="2865" w:firstLine="0"/>
                      <w:jc w:val="right"/>
                      <w:rPr>
                        <w:rFonts w:ascii="Arial"/>
                        <w:i/>
                        <w:sz w:val="13"/>
                      </w:rPr>
                    </w:pPr>
                    <w:r>
                      <w:rPr>
                        <w:rFonts w:ascii="Arial"/>
                        <w:i/>
                        <w:color w:val="231F20"/>
                        <w:w w:val="85"/>
                        <w:sz w:val="13"/>
                      </w:rPr>
                      <w:t>B. cereus</w:t>
                    </w:r>
                  </w:p>
                  <w:p>
                    <w:pPr>
                      <w:spacing w:line="240" w:lineRule="auto" w:before="5"/>
                      <w:rPr>
                        <w:sz w:val="14"/>
                      </w:rPr>
                    </w:pPr>
                  </w:p>
                  <w:p>
                    <w:pPr>
                      <w:spacing w:line="501" w:lineRule="auto" w:before="0"/>
                      <w:ind w:left="411" w:right="2864" w:hanging="35"/>
                      <w:jc w:val="right"/>
                      <w:rPr>
                        <w:rFonts w:ascii="Arial"/>
                        <w:sz w:val="13"/>
                      </w:rPr>
                    </w:pPr>
                    <w:r>
                      <w:rPr>
                        <w:rFonts w:ascii="Arial"/>
                        <w:i/>
                        <w:color w:val="231F20"/>
                        <w:w w:val="85"/>
                        <w:sz w:val="13"/>
                      </w:rPr>
                      <w:t>S. aureus</w:t>
                    </w:r>
                    <w:r>
                      <w:rPr>
                        <w:rFonts w:ascii="Arial"/>
                        <w:i/>
                        <w:color w:val="231F20"/>
                        <w:w w:val="86"/>
                        <w:sz w:val="13"/>
                      </w:rPr>
                      <w:t> </w:t>
                    </w:r>
                    <w:r>
                      <w:rPr>
                        <w:rFonts w:ascii="Arial"/>
                        <w:i/>
                        <w:color w:val="231F20"/>
                        <w:w w:val="85"/>
                        <w:sz w:val="13"/>
                      </w:rPr>
                      <w:t>Shigella Listeria </w:t>
                    </w:r>
                    <w:r>
                      <w:rPr>
                        <w:rFonts w:ascii="Arial"/>
                        <w:i/>
                        <w:color w:val="231F20"/>
                        <w:w w:val="90"/>
                        <w:sz w:val="13"/>
                      </w:rPr>
                      <w:t>Vibrio sp.</w:t>
                    </w:r>
                    <w:r>
                      <w:rPr>
                        <w:rFonts w:ascii="Arial"/>
                        <w:i/>
                        <w:color w:val="231F20"/>
                        <w:w w:val="87"/>
                        <w:sz w:val="13"/>
                      </w:rPr>
                      <w:t> </w:t>
                    </w:r>
                    <w:r>
                      <w:rPr>
                        <w:rFonts w:ascii="Arial"/>
                        <w:color w:val="231F20"/>
                        <w:w w:val="80"/>
                        <w:sz w:val="13"/>
                      </w:rPr>
                      <w:t>Other</w:t>
                    </w:r>
                  </w:p>
                  <w:p>
                    <w:pPr>
                      <w:tabs>
                        <w:tab w:pos="1328" w:val="left" w:leader="none"/>
                        <w:tab w:pos="1743" w:val="left" w:leader="none"/>
                        <w:tab w:pos="2158" w:val="left" w:leader="none"/>
                        <w:tab w:pos="2573" w:val="left" w:leader="none"/>
                        <w:tab w:pos="2987" w:val="left" w:leader="none"/>
                        <w:tab w:pos="3402" w:val="left" w:leader="none"/>
                      </w:tabs>
                      <w:spacing w:before="66"/>
                      <w:ind w:left="935" w:right="0" w:firstLine="0"/>
                      <w:jc w:val="left"/>
                      <w:rPr>
                        <w:rFonts w:ascii="Arial"/>
                        <w:sz w:val="13"/>
                      </w:rPr>
                    </w:pPr>
                    <w:r>
                      <w:rPr>
                        <w:rFonts w:ascii="Arial"/>
                        <w:color w:val="231F20"/>
                        <w:w w:val="95"/>
                        <w:sz w:val="13"/>
                      </w:rPr>
                      <w:t>0</w:t>
                      <w:tab/>
                      <w:t>10</w:t>
                      <w:tab/>
                      <w:t>20</w:t>
                      <w:tab/>
                      <w:t>30</w:t>
                      <w:tab/>
                      <w:t>40</w:t>
                      <w:tab/>
                      <w:t>50</w:t>
                      <w:tab/>
                      <w:t>60</w:t>
                    </w:r>
                  </w:p>
                  <w:p>
                    <w:pPr>
                      <w:spacing w:line="240" w:lineRule="auto" w:before="10"/>
                      <w:rPr>
                        <w:sz w:val="11"/>
                      </w:rPr>
                    </w:pPr>
                  </w:p>
                  <w:p>
                    <w:pPr>
                      <w:spacing w:before="1"/>
                      <w:ind w:left="1522" w:right="0" w:firstLine="0"/>
                      <w:jc w:val="left"/>
                      <w:rPr>
                        <w:rFonts w:ascii="Arial"/>
                        <w:sz w:val="14"/>
                      </w:rPr>
                    </w:pPr>
                    <w:r>
                      <w:rPr>
                        <w:rFonts w:ascii="Arial"/>
                        <w:color w:val="1C3E94"/>
                        <w:w w:val="95"/>
                        <w:sz w:val="14"/>
                      </w:rPr>
                      <w:t>% of bacterial outbreaks</w:t>
                    </w:r>
                  </w:p>
                  <w:p>
                    <w:pPr>
                      <w:spacing w:line="249" w:lineRule="auto" w:before="130"/>
                      <w:ind w:left="177" w:right="396" w:firstLine="0"/>
                      <w:jc w:val="left"/>
                      <w:rPr>
                        <w:rFonts w:ascii="Arial"/>
                        <w:sz w:val="14"/>
                      </w:rPr>
                    </w:pPr>
                    <w:r>
                      <w:rPr>
                        <w:rFonts w:ascii="Arial"/>
                        <w:color w:val="231F20"/>
                        <w:spacing w:val="-3"/>
                        <w:w w:val="95"/>
                        <w:sz w:val="14"/>
                      </w:rPr>
                      <w:t>Source: </w:t>
                    </w:r>
                    <w:r>
                      <w:rPr>
                        <w:rFonts w:ascii="Arial"/>
                        <w:color w:val="231F20"/>
                        <w:w w:val="95"/>
                        <w:sz w:val="14"/>
                      </w:rPr>
                      <w:t>CDC </w:t>
                    </w:r>
                    <w:r>
                      <w:rPr>
                        <w:rFonts w:ascii="Arial"/>
                        <w:color w:val="231F20"/>
                        <w:spacing w:val="-3"/>
                        <w:w w:val="95"/>
                        <w:sz w:val="14"/>
                      </w:rPr>
                      <w:t>Foodborne Disease Outbreak Surveillance </w:t>
                    </w:r>
                    <w:r>
                      <w:rPr>
                        <w:rFonts w:ascii="Arial"/>
                        <w:color w:val="231F20"/>
                        <w:spacing w:val="-3"/>
                        <w:w w:val="90"/>
                        <w:sz w:val="14"/>
                      </w:rPr>
                      <w:t>System (2012)</w:t>
                    </w:r>
                  </w:p>
                </w:txbxContent>
              </v:textbox>
              <w10:wrap type="none"/>
            </v:shape>
            <w10:wrap type="none"/>
          </v:group>
        </w:pict>
      </w:r>
      <w:r>
        <w:rPr>
          <w:color w:val="231F20"/>
        </w:rPr>
        <w:t>for bacterial diseases, many outbreaks of foodborne illness from viruses probably fall  into the “unknown etiologic agent”  </w:t>
      </w:r>
      <w:r>
        <w:rPr>
          <w:color w:val="231F20"/>
          <w:spacing w:val="35"/>
        </w:rPr>
        <w:t> </w:t>
      </w:r>
      <w:r>
        <w:rPr>
          <w:color w:val="231F20"/>
          <w:spacing w:val="-3"/>
        </w:rPr>
        <w:t>category.</w:t>
      </w:r>
      <w:r>
        <w:rPr>
          <w:color w:val="231F20"/>
          <w:spacing w:val="-3"/>
          <w:position w:val="7"/>
          <w:sz w:val="11"/>
        </w:rPr>
        <w:t>110</w:t>
      </w:r>
    </w:p>
    <w:p>
      <w:pPr>
        <w:pStyle w:val="BodyText"/>
        <w:spacing w:line="266" w:lineRule="auto" w:before="108"/>
        <w:ind w:left="342" w:right="1431"/>
      </w:pPr>
      <w:r>
        <w:rPr/>
        <w:br w:type="column"/>
      </w:r>
      <w:r>
        <w:rPr>
          <w:color w:val="231F20"/>
        </w:rPr>
        <w:t>In addition, not all outbreaks are detected, investigated, and reported to CDC. Outbreaks most likely to be brought to the attention</w:t>
      </w:r>
    </w:p>
    <w:p>
      <w:pPr>
        <w:pStyle w:val="BodyText"/>
        <w:spacing w:line="266" w:lineRule="auto"/>
        <w:ind w:left="342" w:right="1763"/>
      </w:pPr>
      <w:r>
        <w:rPr/>
        <w:pict>
          <v:rect style="position:absolute;margin-left:459pt;margin-top:-15.598647pt;width:45pt;height:18pt;mso-position-horizontal-relative:page;mso-position-vertical-relative:paragraph;z-index:3976" filled="true" fillcolor="#0079c1" stroked="false">
            <v:fill type="solid"/>
            <w10:wrap type="none"/>
          </v:rect>
        </w:pict>
      </w:r>
      <w:r>
        <w:rPr/>
        <w:pict>
          <v:line style="position:absolute;mso-position-horizontal-relative:page;mso-position-vertical-relative:paragraph;z-index:4000" from="450.5pt,-15.599047pt" to="450.5pt,226.298953pt" stroked="true" strokeweight="1pt" strokecolor="#0079c1">
            <v:stroke dashstyle="solid"/>
            <w10:wrap type="none"/>
          </v:line>
        </w:pict>
      </w:r>
      <w:r>
        <w:rPr/>
        <w:pict>
          <v:shape style="position:absolute;margin-left:465.014313pt;margin-top:6.397753pt;width:22.9pt;height:222.55pt;mso-position-horizontal-relative:page;mso-position-vertical-relative:paragraph;z-index:4096"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10.848047pt;width:15.85pt;height:8.5pt;mso-position-horizontal-relative:page;mso-position-vertical-relative:paragraph;z-index:412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rPr>
        <w:t>of  public health authorities are those that can cause serious illness, hospitalization, or death.</w:t>
      </w:r>
      <w:r>
        <w:rPr>
          <w:color w:val="231F20"/>
          <w:position w:val="7"/>
          <w:sz w:val="11"/>
        </w:rPr>
        <w:t>109 </w:t>
      </w:r>
      <w:r>
        <w:rPr>
          <w:color w:val="231F20"/>
        </w:rPr>
        <w:t>Furthermore, outbreaks of diseases characterized by short incubation periods, such as those caused by chemical agents or staphylococcal enterotoxin, might be more</w:t>
      </w:r>
    </w:p>
    <w:p>
      <w:pPr>
        <w:pStyle w:val="BodyText"/>
        <w:spacing w:line="266" w:lineRule="auto"/>
        <w:ind w:left="342" w:right="1431"/>
        <w:rPr>
          <w:sz w:val="11"/>
        </w:rPr>
      </w:pPr>
      <w:r>
        <w:rPr>
          <w:color w:val="231F20"/>
        </w:rPr>
        <w:t>likely to be recognized than diseases with longer incubation periods, such as hepatitis A.</w:t>
      </w:r>
      <w:r>
        <w:rPr>
          <w:color w:val="231F20"/>
          <w:position w:val="7"/>
          <w:sz w:val="11"/>
        </w:rPr>
        <w:t>110</w:t>
      </w:r>
    </w:p>
    <w:p>
      <w:pPr>
        <w:pStyle w:val="ListParagraph"/>
        <w:numPr>
          <w:ilvl w:val="2"/>
          <w:numId w:val="14"/>
        </w:numPr>
        <w:tabs>
          <w:tab w:pos="899" w:val="left" w:leader="none"/>
        </w:tabs>
        <w:spacing w:line="254" w:lineRule="auto" w:before="159" w:after="0"/>
        <w:ind w:left="342" w:right="1520" w:firstLine="0"/>
        <w:jc w:val="left"/>
        <w:rPr>
          <w:rFonts w:ascii="Lucida Sans"/>
          <w:sz w:val="20"/>
        </w:rPr>
      </w:pPr>
      <w:r>
        <w:rPr>
          <w:rFonts w:ascii="Lucida Sans"/>
          <w:color w:val="1C3E94"/>
          <w:w w:val="95"/>
          <w:sz w:val="20"/>
        </w:rPr>
        <w:t>Determining</w:t>
      </w:r>
      <w:r>
        <w:rPr>
          <w:rFonts w:ascii="Lucida Sans"/>
          <w:color w:val="1C3E94"/>
          <w:spacing w:val="-11"/>
          <w:w w:val="95"/>
          <w:sz w:val="20"/>
        </w:rPr>
        <w:t> </w:t>
      </w:r>
      <w:r>
        <w:rPr>
          <w:rFonts w:ascii="Lucida Sans"/>
          <w:color w:val="1C3E94"/>
          <w:w w:val="95"/>
          <w:sz w:val="20"/>
        </w:rPr>
        <w:t>the</w:t>
      </w:r>
      <w:r>
        <w:rPr>
          <w:rFonts w:ascii="Lucida Sans"/>
          <w:color w:val="1C3E94"/>
          <w:spacing w:val="-11"/>
          <w:w w:val="95"/>
          <w:sz w:val="20"/>
        </w:rPr>
        <w:t> </w:t>
      </w:r>
      <w:r>
        <w:rPr>
          <w:rFonts w:ascii="Lucida Sans"/>
          <w:color w:val="1C3E94"/>
          <w:w w:val="95"/>
          <w:sz w:val="20"/>
        </w:rPr>
        <w:t>Etiologic</w:t>
      </w:r>
      <w:r>
        <w:rPr>
          <w:rFonts w:ascii="Lucida Sans"/>
          <w:color w:val="1C3E94"/>
          <w:spacing w:val="-11"/>
          <w:w w:val="95"/>
          <w:sz w:val="20"/>
        </w:rPr>
        <w:t> </w:t>
      </w:r>
      <w:r>
        <w:rPr>
          <w:rFonts w:ascii="Lucida Sans"/>
          <w:color w:val="1C3E94"/>
          <w:w w:val="95"/>
          <w:sz w:val="20"/>
        </w:rPr>
        <w:t>Agent</w:t>
      </w:r>
      <w:r>
        <w:rPr>
          <w:rFonts w:ascii="Lucida Sans"/>
          <w:color w:val="1C3E94"/>
          <w:spacing w:val="-11"/>
          <w:w w:val="95"/>
          <w:sz w:val="20"/>
        </w:rPr>
        <w:t> </w:t>
      </w:r>
      <w:r>
        <w:rPr>
          <w:rFonts w:ascii="Lucida Sans"/>
          <w:color w:val="1C3E94"/>
          <w:w w:val="95"/>
          <w:sz w:val="20"/>
        </w:rPr>
        <w:t>in an</w:t>
      </w:r>
      <w:r>
        <w:rPr>
          <w:rFonts w:ascii="Lucida Sans"/>
          <w:color w:val="1C3E94"/>
          <w:spacing w:val="-17"/>
          <w:w w:val="95"/>
          <w:sz w:val="20"/>
        </w:rPr>
        <w:t> </w:t>
      </w:r>
      <w:r>
        <w:rPr>
          <w:rFonts w:ascii="Lucida Sans"/>
          <w:color w:val="1C3E94"/>
          <w:w w:val="95"/>
          <w:sz w:val="20"/>
        </w:rPr>
        <w:t>Outbreak</w:t>
      </w:r>
    </w:p>
    <w:p>
      <w:pPr>
        <w:pStyle w:val="BodyText"/>
        <w:spacing w:before="1"/>
        <w:rPr>
          <w:rFonts w:ascii="Lucida Sans"/>
          <w:sz w:val="17"/>
        </w:rPr>
      </w:pPr>
    </w:p>
    <w:p>
      <w:pPr>
        <w:pStyle w:val="ListParagraph"/>
        <w:numPr>
          <w:ilvl w:val="3"/>
          <w:numId w:val="14"/>
        </w:numPr>
        <w:tabs>
          <w:tab w:pos="985" w:val="left" w:leader="none"/>
        </w:tabs>
        <w:spacing w:line="266" w:lineRule="auto" w:before="0" w:after="0"/>
        <w:ind w:left="342" w:right="1438" w:firstLine="0"/>
        <w:jc w:val="left"/>
        <w:rPr>
          <w:sz w:val="20"/>
        </w:rPr>
      </w:pPr>
      <w:r>
        <w:rPr>
          <w:i/>
          <w:color w:val="E36F1E"/>
          <w:sz w:val="20"/>
        </w:rPr>
        <w:t>Laboratory confirmation of etiologic agent </w:t>
      </w:r>
      <w:r>
        <w:rPr>
          <w:color w:val="231F20"/>
          <w:sz w:val="20"/>
        </w:rPr>
        <w:t>Laboratory testing of  clinical specimens from  ill persons is critical in determining the etiology of  a suspected foodborne disease</w:t>
      </w:r>
      <w:r>
        <w:rPr>
          <w:color w:val="231F20"/>
          <w:spacing w:val="28"/>
          <w:sz w:val="20"/>
        </w:rPr>
        <w:t> </w:t>
      </w:r>
      <w:r>
        <w:rPr>
          <w:color w:val="231F20"/>
          <w:sz w:val="20"/>
        </w:rPr>
        <w:t>outbreak</w:t>
      </w:r>
    </w:p>
    <w:p>
      <w:pPr>
        <w:pStyle w:val="BodyText"/>
        <w:spacing w:line="266" w:lineRule="auto"/>
        <w:ind w:left="342" w:right="1563"/>
      </w:pPr>
      <w:r>
        <w:rPr>
          <w:color w:val="231F20"/>
          <w:w w:val="105"/>
        </w:rPr>
        <w:t>and implementing appropriate control measures.</w:t>
      </w:r>
      <w:r>
        <w:rPr>
          <w:color w:val="231F20"/>
          <w:spacing w:val="-24"/>
          <w:w w:val="105"/>
        </w:rPr>
        <w:t> </w:t>
      </w:r>
      <w:r>
        <w:rPr>
          <w:color w:val="231F20"/>
          <w:spacing w:val="-7"/>
          <w:w w:val="105"/>
        </w:rPr>
        <w:t>For</w:t>
      </w:r>
      <w:r>
        <w:rPr>
          <w:color w:val="231F20"/>
          <w:spacing w:val="-24"/>
          <w:w w:val="105"/>
        </w:rPr>
        <w:t> </w:t>
      </w:r>
      <w:r>
        <w:rPr>
          <w:color w:val="231F20"/>
          <w:w w:val="105"/>
        </w:rPr>
        <w:t>most</w:t>
      </w:r>
      <w:r>
        <w:rPr>
          <w:color w:val="231F20"/>
          <w:spacing w:val="-24"/>
          <w:w w:val="105"/>
        </w:rPr>
        <w:t> </w:t>
      </w:r>
      <w:r>
        <w:rPr>
          <w:color w:val="231F20"/>
          <w:w w:val="105"/>
        </w:rPr>
        <w:t>foodborne</w:t>
      </w:r>
      <w:r>
        <w:rPr>
          <w:color w:val="231F20"/>
          <w:spacing w:val="-24"/>
          <w:w w:val="105"/>
        </w:rPr>
        <w:t> </w:t>
      </w:r>
      <w:r>
        <w:rPr>
          <w:color w:val="231F20"/>
          <w:w w:val="105"/>
        </w:rPr>
        <w:t>diseases,</w:t>
      </w:r>
      <w:r>
        <w:rPr>
          <w:color w:val="231F20"/>
          <w:spacing w:val="-24"/>
          <w:w w:val="105"/>
        </w:rPr>
        <w:t> </w:t>
      </w:r>
      <w:r>
        <w:rPr>
          <w:color w:val="231F20"/>
          <w:w w:val="105"/>
        </w:rPr>
        <w:t>stool is the specimen of choice; </w:t>
      </w:r>
      <w:r>
        <w:rPr>
          <w:color w:val="231F20"/>
          <w:spacing w:val="-4"/>
          <w:w w:val="105"/>
        </w:rPr>
        <w:t>however, </w:t>
      </w:r>
      <w:r>
        <w:rPr>
          <w:color w:val="231F20"/>
          <w:w w:val="105"/>
        </w:rPr>
        <w:t>samples of blood, vomitus, or other tissues or body fluids are occasionally indicated. Specimens are</w:t>
      </w:r>
      <w:r>
        <w:rPr>
          <w:color w:val="231F20"/>
          <w:spacing w:val="-19"/>
          <w:w w:val="105"/>
        </w:rPr>
        <w:t> </w:t>
      </w:r>
      <w:r>
        <w:rPr>
          <w:color w:val="231F20"/>
          <w:w w:val="105"/>
        </w:rPr>
        <w:t>collected</w:t>
      </w:r>
      <w:r>
        <w:rPr>
          <w:color w:val="231F20"/>
          <w:spacing w:val="-18"/>
          <w:w w:val="105"/>
        </w:rPr>
        <w:t> </w:t>
      </w:r>
      <w:r>
        <w:rPr>
          <w:color w:val="231F20"/>
          <w:w w:val="105"/>
        </w:rPr>
        <w:t>as</w:t>
      </w:r>
      <w:r>
        <w:rPr>
          <w:color w:val="231F20"/>
          <w:spacing w:val="-19"/>
          <w:w w:val="105"/>
        </w:rPr>
        <w:t> </w:t>
      </w:r>
      <w:r>
        <w:rPr>
          <w:color w:val="231F20"/>
          <w:w w:val="105"/>
        </w:rPr>
        <w:t>soon</w:t>
      </w:r>
      <w:r>
        <w:rPr>
          <w:color w:val="231F20"/>
          <w:spacing w:val="-19"/>
          <w:w w:val="105"/>
        </w:rPr>
        <w:t> </w:t>
      </w:r>
      <w:r>
        <w:rPr>
          <w:color w:val="231F20"/>
          <w:w w:val="105"/>
        </w:rPr>
        <w:t>as</w:t>
      </w:r>
      <w:r>
        <w:rPr>
          <w:color w:val="231F20"/>
          <w:spacing w:val="-19"/>
          <w:w w:val="105"/>
        </w:rPr>
        <w:t> </w:t>
      </w:r>
      <w:r>
        <w:rPr>
          <w:color w:val="231F20"/>
          <w:w w:val="105"/>
        </w:rPr>
        <w:t>possible</w:t>
      </w:r>
      <w:r>
        <w:rPr>
          <w:color w:val="231F20"/>
          <w:spacing w:val="-19"/>
          <w:w w:val="105"/>
        </w:rPr>
        <w:t> </w:t>
      </w:r>
      <w:r>
        <w:rPr>
          <w:color w:val="231F20"/>
          <w:w w:val="105"/>
        </w:rPr>
        <w:t>after</w:t>
      </w:r>
      <w:r>
        <w:rPr>
          <w:color w:val="231F20"/>
          <w:spacing w:val="-19"/>
          <w:w w:val="105"/>
        </w:rPr>
        <w:t> </w:t>
      </w:r>
      <w:r>
        <w:rPr>
          <w:color w:val="231F20"/>
          <w:w w:val="105"/>
        </w:rPr>
        <w:t>onset</w:t>
      </w:r>
      <w:r>
        <w:rPr>
          <w:color w:val="231F20"/>
          <w:spacing w:val="-19"/>
          <w:w w:val="105"/>
        </w:rPr>
        <w:t> </w:t>
      </w:r>
      <w:r>
        <w:rPr>
          <w:color w:val="231F20"/>
          <w:w w:val="105"/>
        </w:rPr>
        <w:t>of</w:t>
      </w:r>
    </w:p>
    <w:p>
      <w:pPr>
        <w:pStyle w:val="BodyText"/>
        <w:spacing w:line="266" w:lineRule="auto"/>
        <w:ind w:left="342" w:right="1431"/>
      </w:pPr>
      <w:r>
        <w:rPr>
          <w:color w:val="231F20"/>
          <w:w w:val="105"/>
        </w:rPr>
        <w:t>illness</w:t>
      </w:r>
      <w:r>
        <w:rPr>
          <w:color w:val="231F20"/>
          <w:spacing w:val="-24"/>
          <w:w w:val="105"/>
        </w:rPr>
        <w:t> </w:t>
      </w:r>
      <w:r>
        <w:rPr>
          <w:color w:val="231F20"/>
          <w:w w:val="105"/>
        </w:rPr>
        <w:t>from</w:t>
      </w:r>
      <w:r>
        <w:rPr>
          <w:color w:val="231F20"/>
          <w:spacing w:val="-24"/>
          <w:w w:val="105"/>
        </w:rPr>
        <w:t> </w:t>
      </w:r>
      <w:r>
        <w:rPr>
          <w:color w:val="231F20"/>
          <w:w w:val="105"/>
        </w:rPr>
        <w:t>persons</w:t>
      </w:r>
      <w:r>
        <w:rPr>
          <w:color w:val="231F20"/>
          <w:spacing w:val="-24"/>
          <w:w w:val="105"/>
        </w:rPr>
        <w:t> </w:t>
      </w:r>
      <w:r>
        <w:rPr>
          <w:color w:val="231F20"/>
          <w:w w:val="105"/>
        </w:rPr>
        <w:t>who</w:t>
      </w:r>
      <w:r>
        <w:rPr>
          <w:color w:val="231F20"/>
          <w:spacing w:val="-24"/>
          <w:w w:val="105"/>
        </w:rPr>
        <w:t> </w:t>
      </w:r>
      <w:r>
        <w:rPr>
          <w:color w:val="231F20"/>
          <w:w w:val="105"/>
        </w:rPr>
        <w:t>manifest</w:t>
      </w:r>
      <w:r>
        <w:rPr>
          <w:color w:val="231F20"/>
          <w:spacing w:val="-24"/>
          <w:w w:val="105"/>
        </w:rPr>
        <w:t> </w:t>
      </w:r>
      <w:r>
        <w:rPr>
          <w:color w:val="231F20"/>
          <w:w w:val="105"/>
        </w:rPr>
        <w:t>illness</w:t>
      </w:r>
      <w:r>
        <w:rPr>
          <w:color w:val="231F20"/>
          <w:spacing w:val="-24"/>
          <w:w w:val="105"/>
        </w:rPr>
        <w:t> </w:t>
      </w:r>
      <w:r>
        <w:rPr>
          <w:color w:val="231F20"/>
          <w:w w:val="105"/>
        </w:rPr>
        <w:t>typical of the outbreak and who </w:t>
      </w:r>
      <w:r>
        <w:rPr>
          <w:color w:val="231F20"/>
          <w:spacing w:val="-3"/>
          <w:w w:val="105"/>
        </w:rPr>
        <w:t>have </w:t>
      </w:r>
      <w:r>
        <w:rPr>
          <w:color w:val="231F20"/>
          <w:w w:val="105"/>
        </w:rPr>
        <w:t>not undergone antibiotic treatment. The number</w:t>
      </w:r>
      <w:r>
        <w:rPr>
          <w:color w:val="231F20"/>
          <w:spacing w:val="-33"/>
          <w:w w:val="105"/>
        </w:rPr>
        <w:t> </w:t>
      </w:r>
      <w:r>
        <w:rPr>
          <w:color w:val="231F20"/>
          <w:w w:val="105"/>
        </w:rPr>
        <w:t>of</w:t>
      </w:r>
    </w:p>
    <w:p>
      <w:pPr>
        <w:pStyle w:val="BodyText"/>
        <w:spacing w:line="266" w:lineRule="auto"/>
        <w:ind w:left="342" w:right="1563"/>
      </w:pPr>
      <w:r>
        <w:rPr>
          <w:color w:val="231F20"/>
          <w:w w:val="105"/>
        </w:rPr>
        <w:t>specimens</w:t>
      </w:r>
      <w:r>
        <w:rPr>
          <w:color w:val="231F20"/>
          <w:spacing w:val="-24"/>
          <w:w w:val="105"/>
        </w:rPr>
        <w:t> </w:t>
      </w:r>
      <w:r>
        <w:rPr>
          <w:color w:val="231F20"/>
          <w:w w:val="105"/>
        </w:rPr>
        <w:t>collected</w:t>
      </w:r>
      <w:r>
        <w:rPr>
          <w:color w:val="231F20"/>
          <w:spacing w:val="-24"/>
          <w:w w:val="105"/>
        </w:rPr>
        <w:t> </w:t>
      </w:r>
      <w:r>
        <w:rPr>
          <w:color w:val="231F20"/>
          <w:w w:val="105"/>
        </w:rPr>
        <w:t>depends</w:t>
      </w:r>
      <w:r>
        <w:rPr>
          <w:color w:val="231F20"/>
          <w:spacing w:val="-25"/>
          <w:w w:val="105"/>
        </w:rPr>
        <w:t> </w:t>
      </w:r>
      <w:r>
        <w:rPr>
          <w:color w:val="231F20"/>
          <w:w w:val="105"/>
        </w:rPr>
        <w:t>on</w:t>
      </w:r>
      <w:r>
        <w:rPr>
          <w:color w:val="231F20"/>
          <w:spacing w:val="-25"/>
          <w:w w:val="105"/>
        </w:rPr>
        <w:t> </w:t>
      </w:r>
      <w:r>
        <w:rPr>
          <w:color w:val="231F20"/>
          <w:w w:val="105"/>
        </w:rPr>
        <w:t>the</w:t>
      </w:r>
      <w:r>
        <w:rPr>
          <w:color w:val="231F20"/>
          <w:spacing w:val="-25"/>
          <w:w w:val="105"/>
        </w:rPr>
        <w:t> </w:t>
      </w:r>
      <w:r>
        <w:rPr>
          <w:color w:val="231F20"/>
          <w:w w:val="105"/>
        </w:rPr>
        <w:t>suspected agent and capacity of the testing laboratory; </w:t>
      </w:r>
      <w:r>
        <w:rPr>
          <w:color w:val="231F20"/>
          <w:spacing w:val="-4"/>
          <w:w w:val="105"/>
        </w:rPr>
        <w:t>ideally, </w:t>
      </w:r>
      <w:r>
        <w:rPr>
          <w:color w:val="231F20"/>
          <w:w w:val="105"/>
        </w:rPr>
        <w:t>specimens from 5–10 persons are collected and tested. Methods for collection, storage,</w:t>
      </w:r>
      <w:r>
        <w:rPr>
          <w:color w:val="231F20"/>
          <w:spacing w:val="-8"/>
          <w:w w:val="105"/>
        </w:rPr>
        <w:t> </w:t>
      </w:r>
      <w:r>
        <w:rPr>
          <w:color w:val="231F20"/>
          <w:w w:val="105"/>
        </w:rPr>
        <w:t>and</w:t>
      </w:r>
      <w:r>
        <w:rPr>
          <w:color w:val="231F20"/>
          <w:spacing w:val="-9"/>
          <w:w w:val="105"/>
        </w:rPr>
        <w:t> </w:t>
      </w:r>
      <w:r>
        <w:rPr>
          <w:color w:val="231F20"/>
          <w:w w:val="105"/>
        </w:rPr>
        <w:t>transport</w:t>
      </w:r>
      <w:r>
        <w:rPr>
          <w:color w:val="231F20"/>
          <w:spacing w:val="-10"/>
          <w:w w:val="105"/>
        </w:rPr>
        <w:t> </w:t>
      </w:r>
      <w:r>
        <w:rPr>
          <w:color w:val="231F20"/>
          <w:w w:val="105"/>
        </w:rPr>
        <w:t>vary</w:t>
      </w:r>
      <w:r>
        <w:rPr>
          <w:color w:val="231F20"/>
          <w:spacing w:val="-9"/>
          <w:w w:val="105"/>
        </w:rPr>
        <w:t> </w:t>
      </w:r>
      <w:r>
        <w:rPr>
          <w:color w:val="231F20"/>
          <w:w w:val="105"/>
        </w:rPr>
        <w:t>depending</w:t>
      </w:r>
      <w:r>
        <w:rPr>
          <w:color w:val="231F20"/>
          <w:spacing w:val="-8"/>
          <w:w w:val="105"/>
        </w:rPr>
        <w:t> </w:t>
      </w:r>
      <w:r>
        <w:rPr>
          <w:color w:val="231F20"/>
          <w:w w:val="105"/>
        </w:rPr>
        <w:t>on</w:t>
      </w:r>
    </w:p>
    <w:p>
      <w:pPr>
        <w:pStyle w:val="BodyText"/>
        <w:spacing w:line="271" w:lineRule="auto"/>
        <w:ind w:left="342" w:right="1545"/>
        <w:rPr>
          <w:sz w:val="11"/>
        </w:rPr>
      </w:pPr>
      <w:r>
        <w:rPr>
          <w:color w:val="231F20"/>
          <w:w w:val="105"/>
        </w:rPr>
        <w:t>the suspected agent (e.g., bacterium, virus, or </w:t>
      </w:r>
      <w:r>
        <w:rPr>
          <w:color w:val="231F20"/>
          <w:w w:val="105"/>
          <w:position w:val="-6"/>
        </w:rPr>
        <w:t>parasite).</w:t>
      </w:r>
      <w:r>
        <w:rPr>
          <w:color w:val="231F20"/>
          <w:w w:val="105"/>
          <w:sz w:val="11"/>
        </w:rPr>
        <w:t>109,  112, 113</w:t>
      </w:r>
    </w:p>
    <w:p>
      <w:pPr>
        <w:pStyle w:val="BodyText"/>
        <w:spacing w:line="266" w:lineRule="auto" w:before="172"/>
        <w:ind w:left="342" w:right="1763"/>
      </w:pPr>
      <w:r>
        <w:rPr>
          <w:color w:val="231F20"/>
          <w:w w:val="105"/>
        </w:rPr>
        <w:t>Isolation of the causative agent from a suspected food item can provide some of the</w:t>
      </w:r>
      <w:r>
        <w:rPr>
          <w:color w:val="231F20"/>
          <w:spacing w:val="-21"/>
          <w:w w:val="105"/>
        </w:rPr>
        <w:t> </w:t>
      </w:r>
      <w:r>
        <w:rPr>
          <w:color w:val="231F20"/>
          <w:w w:val="105"/>
        </w:rPr>
        <w:t>most</w:t>
      </w:r>
      <w:r>
        <w:rPr>
          <w:color w:val="231F20"/>
          <w:spacing w:val="-20"/>
          <w:w w:val="105"/>
        </w:rPr>
        <w:t> </w:t>
      </w:r>
      <w:r>
        <w:rPr>
          <w:color w:val="231F20"/>
          <w:w w:val="105"/>
        </w:rPr>
        <w:t>convincing</w:t>
      </w:r>
      <w:r>
        <w:rPr>
          <w:color w:val="231F20"/>
          <w:spacing w:val="-20"/>
          <w:w w:val="105"/>
        </w:rPr>
        <w:t> </w:t>
      </w:r>
      <w:r>
        <w:rPr>
          <w:color w:val="231F20"/>
          <w:w w:val="105"/>
        </w:rPr>
        <w:t>evidence</w:t>
      </w:r>
      <w:r>
        <w:rPr>
          <w:color w:val="231F20"/>
          <w:spacing w:val="-20"/>
          <w:w w:val="105"/>
        </w:rPr>
        <w:t> </w:t>
      </w:r>
      <w:r>
        <w:rPr>
          <w:color w:val="231F20"/>
          <w:w w:val="105"/>
        </w:rPr>
        <w:t>of</w:t>
      </w:r>
      <w:r>
        <w:rPr>
          <w:color w:val="231F20"/>
          <w:spacing w:val="-2"/>
          <w:w w:val="105"/>
        </w:rPr>
        <w:t> </w:t>
      </w:r>
      <w:r>
        <w:rPr>
          <w:color w:val="231F20"/>
          <w:w w:val="105"/>
        </w:rPr>
        <w:t>the</w:t>
      </w:r>
      <w:r>
        <w:rPr>
          <w:color w:val="231F20"/>
          <w:spacing w:val="-21"/>
          <w:w w:val="105"/>
        </w:rPr>
        <w:t> </w:t>
      </w:r>
      <w:r>
        <w:rPr>
          <w:color w:val="231F20"/>
          <w:w w:val="105"/>
        </w:rPr>
        <w:t>source of a foodborne disease outbreak and can obviate</w:t>
      </w:r>
      <w:r>
        <w:rPr>
          <w:color w:val="231F20"/>
          <w:spacing w:val="-16"/>
          <w:w w:val="105"/>
        </w:rPr>
        <w:t> </w:t>
      </w:r>
      <w:r>
        <w:rPr>
          <w:color w:val="231F20"/>
          <w:w w:val="105"/>
        </w:rPr>
        <w:t>the</w:t>
      </w:r>
      <w:r>
        <w:rPr>
          <w:color w:val="231F20"/>
          <w:spacing w:val="-17"/>
          <w:w w:val="105"/>
        </w:rPr>
        <w:t> </w:t>
      </w:r>
      <w:r>
        <w:rPr>
          <w:color w:val="231F20"/>
          <w:w w:val="105"/>
        </w:rPr>
        <w:t>need</w:t>
      </w:r>
      <w:r>
        <w:rPr>
          <w:color w:val="231F20"/>
          <w:spacing w:val="-16"/>
          <w:w w:val="105"/>
        </w:rPr>
        <w:t> </w:t>
      </w:r>
      <w:r>
        <w:rPr>
          <w:color w:val="231F20"/>
          <w:w w:val="105"/>
        </w:rPr>
        <w:t>for</w:t>
      </w:r>
      <w:r>
        <w:rPr>
          <w:color w:val="231F20"/>
          <w:spacing w:val="-16"/>
          <w:w w:val="105"/>
        </w:rPr>
        <w:t> </w:t>
      </w:r>
      <w:r>
        <w:rPr>
          <w:color w:val="231F20"/>
          <w:w w:val="105"/>
        </w:rPr>
        <w:t>more</w:t>
      </w:r>
      <w:r>
        <w:rPr>
          <w:color w:val="231F20"/>
          <w:spacing w:val="-16"/>
          <w:w w:val="105"/>
        </w:rPr>
        <w:t> </w:t>
      </w:r>
      <w:r>
        <w:rPr>
          <w:color w:val="231F20"/>
          <w:w w:val="105"/>
        </w:rPr>
        <w:t>time-consuming analytic epidemiologic approaches. </w:t>
      </w:r>
      <w:r>
        <w:rPr>
          <w:color w:val="231F20"/>
          <w:spacing w:val="-5"/>
          <w:w w:val="105"/>
        </w:rPr>
        <w:t>Food </w:t>
      </w:r>
      <w:r>
        <w:rPr>
          <w:color w:val="231F20"/>
          <w:w w:val="105"/>
        </w:rPr>
        <w:t>testing,</w:t>
      </w:r>
      <w:r>
        <w:rPr>
          <w:color w:val="231F20"/>
          <w:spacing w:val="-16"/>
          <w:w w:val="105"/>
        </w:rPr>
        <w:t> </w:t>
      </w:r>
      <w:r>
        <w:rPr>
          <w:color w:val="231F20"/>
          <w:spacing w:val="-4"/>
          <w:w w:val="105"/>
        </w:rPr>
        <w:t>however,</w:t>
      </w:r>
      <w:r>
        <w:rPr>
          <w:color w:val="231F20"/>
          <w:spacing w:val="-16"/>
          <w:w w:val="105"/>
        </w:rPr>
        <w:t> </w:t>
      </w:r>
      <w:r>
        <w:rPr>
          <w:color w:val="231F20"/>
          <w:w w:val="105"/>
        </w:rPr>
        <w:t>has</w:t>
      </w:r>
      <w:r>
        <w:rPr>
          <w:color w:val="231F20"/>
          <w:spacing w:val="-16"/>
          <w:w w:val="105"/>
        </w:rPr>
        <w:t> </w:t>
      </w:r>
      <w:r>
        <w:rPr>
          <w:color w:val="231F20"/>
          <w:w w:val="105"/>
        </w:rPr>
        <w:t>inherent</w:t>
      </w:r>
      <w:r>
        <w:rPr>
          <w:color w:val="231F20"/>
          <w:spacing w:val="-17"/>
          <w:w w:val="105"/>
        </w:rPr>
        <w:t> </w:t>
      </w:r>
      <w:r>
        <w:rPr>
          <w:color w:val="231F20"/>
          <w:w w:val="105"/>
        </w:rPr>
        <w:t>limitations.</w:t>
      </w:r>
    </w:p>
    <w:p>
      <w:pPr>
        <w:pStyle w:val="BodyText"/>
        <w:spacing w:line="266" w:lineRule="auto"/>
        <w:ind w:left="342" w:right="1525"/>
      </w:pPr>
      <w:r>
        <w:rPr>
          <w:color w:val="231F20"/>
          <w:w w:val="105"/>
        </w:rPr>
        <w:t>Specific contaminants or foods might require special collection and testing techniques,</w:t>
      </w:r>
    </w:p>
    <w:p>
      <w:pPr>
        <w:pStyle w:val="BodyText"/>
        <w:spacing w:line="266" w:lineRule="auto"/>
        <w:ind w:left="342" w:right="1735"/>
      </w:pPr>
      <w:r>
        <w:rPr>
          <w:color w:val="231F20"/>
          <w:w w:val="105"/>
        </w:rPr>
        <w:t>and demonstration of an agent in food is not always possible. Because contaminants</w:t>
      </w:r>
    </w:p>
    <w:p>
      <w:pPr>
        <w:spacing w:after="0" w:line="266" w:lineRule="auto"/>
        <w:sectPr>
          <w:type w:val="continuous"/>
          <w:pgSz w:w="10080" w:h="14400"/>
          <w:pgMar w:top="0" w:bottom="360" w:left="0" w:right="0"/>
          <w:cols w:num="2" w:equalWidth="0">
            <w:col w:w="4478" w:space="40"/>
            <w:col w:w="5562"/>
          </w:cols>
        </w:sectPr>
      </w:pPr>
    </w:p>
    <w:p>
      <w:pPr>
        <w:pStyle w:val="BodyText"/>
        <w:spacing w:before="8"/>
        <w:rPr>
          <w:sz w:val="10"/>
        </w:rPr>
      </w:pPr>
    </w:p>
    <w:p>
      <w:pPr>
        <w:pStyle w:val="Heading1"/>
        <w:ind w:left="1440"/>
      </w:pPr>
      <w:r>
        <w:rPr/>
        <w:pict>
          <v:line style="position:absolute;mso-position-horizontal-relative:page;mso-position-vertical-relative:paragraph;z-index:4144;mso-wrap-distance-left:0;mso-wrap-distance-right:0" from="72pt,23.995163pt" to="468pt,23.995163pt" stroked="true" strokeweight=".5pt" strokecolor="#00a94f">
            <v:stroke dashstyle="solid"/>
            <w10:wrap type="topAndBottom"/>
          </v:line>
        </w:pict>
      </w:r>
      <w:r>
        <w:rPr>
          <w:color w:val="00A94F"/>
          <w:w w:val="95"/>
        </w:rPr>
        <w:t>2.4. Etiologic Agents Associated with Foodborne Diseases</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2"/>
      </w:pPr>
      <w:r>
        <w:rPr/>
        <w:pict>
          <v:rect style="position:absolute;margin-left:0pt;margin-top:27.299353pt;width:45pt;height:18pt;mso-position-horizontal-relative:page;mso-position-vertical-relative:paragraph;z-index:4168" filled="true" fillcolor="#0079c1" stroked="false">
            <v:fill type="solid"/>
            <w10:wrap type="none"/>
          </v:rect>
        </w:pict>
      </w:r>
      <w:r>
        <w:rPr/>
        <w:pict>
          <v:line style="position:absolute;mso-position-horizontal-relative:page;mso-position-vertical-relative:paragraph;z-index:4192" from="54.5pt,27.300953pt" to="54.5pt,269.198953pt" stroked="true" strokeweight="1pt" strokecolor="#0079c1">
            <v:stroke dashstyle="solid"/>
            <w10:wrap type="none"/>
          </v:line>
        </w:pict>
      </w:r>
      <w:r>
        <w:rPr/>
        <w:pict>
          <v:shape style="position:absolute;margin-left:16.131701pt;margin-top:48.847244pt;width:22.9pt;height:222.55pt;mso-position-horizontal-relative:page;mso-position-vertical-relative:paragraph;z-index:4216"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32.095806pt;width:15.85pt;height:8.5pt;mso-position-horizontal-relative:page;mso-position-vertical-relative:paragraph;z-index:4240"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in food change with time, samples collected during an investigation might not represent those ingested when the outbreak occurred. Subsequent handling or processing of food might result in the death of microorganisms, multiplication of microorganisms originally present at low levels, or introduction of new contaminants. If contamination of the food is not uniform, the sample collected or portion analyzed</w:t>
      </w:r>
      <w:r>
        <w:rPr>
          <w:color w:val="231F20"/>
          <w:spacing w:val="-12"/>
          <w:w w:val="105"/>
        </w:rPr>
        <w:t> </w:t>
      </w:r>
      <w:r>
        <w:rPr>
          <w:color w:val="231F20"/>
          <w:w w:val="105"/>
        </w:rPr>
        <w:t>might</w:t>
      </w:r>
      <w:r>
        <w:rPr>
          <w:color w:val="231F20"/>
          <w:spacing w:val="-11"/>
          <w:w w:val="105"/>
        </w:rPr>
        <w:t> </w:t>
      </w:r>
      <w:r>
        <w:rPr>
          <w:color w:val="231F20"/>
          <w:w w:val="105"/>
        </w:rPr>
        <w:t>miss</w:t>
      </w:r>
      <w:r>
        <w:rPr>
          <w:color w:val="231F20"/>
          <w:spacing w:val="-11"/>
          <w:w w:val="105"/>
        </w:rPr>
        <w:t> </w:t>
      </w:r>
      <w:r>
        <w:rPr>
          <w:color w:val="231F20"/>
          <w:w w:val="105"/>
        </w:rPr>
        <w:t>the</w:t>
      </w:r>
      <w:r>
        <w:rPr>
          <w:color w:val="231F20"/>
          <w:spacing w:val="-12"/>
          <w:w w:val="105"/>
        </w:rPr>
        <w:t> </w:t>
      </w:r>
      <w:r>
        <w:rPr>
          <w:color w:val="231F20"/>
          <w:w w:val="105"/>
        </w:rPr>
        <w:t>contaminated</w:t>
      </w:r>
      <w:r>
        <w:rPr>
          <w:color w:val="231F20"/>
          <w:spacing w:val="-12"/>
          <w:w w:val="105"/>
        </w:rPr>
        <w:t> </w:t>
      </w:r>
      <w:r>
        <w:rPr>
          <w:color w:val="231F20"/>
          <w:w w:val="105"/>
        </w:rPr>
        <w:t>portion. </w:t>
      </w:r>
      <w:r>
        <w:rPr>
          <w:color w:val="231F20"/>
          <w:spacing w:val="-4"/>
          <w:w w:val="105"/>
        </w:rPr>
        <w:t>Finally, </w:t>
      </w:r>
      <w:r>
        <w:rPr>
          <w:color w:val="231F20"/>
          <w:w w:val="105"/>
        </w:rPr>
        <w:t>because food is usually not sterile, microorganisms can be isolated from samples but not be responsible for the illness under investigation. False-negative results are more likely</w:t>
      </w:r>
      <w:r>
        <w:rPr>
          <w:color w:val="231F20"/>
          <w:spacing w:val="-13"/>
          <w:w w:val="105"/>
        </w:rPr>
        <w:t> </w:t>
      </w:r>
      <w:r>
        <w:rPr>
          <w:color w:val="231F20"/>
          <w:w w:val="105"/>
        </w:rPr>
        <w:t>than</w:t>
      </w:r>
      <w:r>
        <w:rPr>
          <w:color w:val="231F20"/>
          <w:spacing w:val="-13"/>
          <w:w w:val="105"/>
        </w:rPr>
        <w:t> </w:t>
      </w:r>
      <w:r>
        <w:rPr>
          <w:color w:val="231F20"/>
          <w:w w:val="105"/>
        </w:rPr>
        <w:t>false-positive</w:t>
      </w:r>
      <w:r>
        <w:rPr>
          <w:color w:val="231F20"/>
          <w:spacing w:val="-12"/>
          <w:w w:val="105"/>
        </w:rPr>
        <w:t> </w:t>
      </w:r>
      <w:r>
        <w:rPr>
          <w:color w:val="231F20"/>
          <w:w w:val="105"/>
        </w:rPr>
        <w:t>results</w:t>
      </w:r>
      <w:r>
        <w:rPr>
          <w:color w:val="231F20"/>
          <w:spacing w:val="-13"/>
          <w:w w:val="105"/>
        </w:rPr>
        <w:t> </w:t>
      </w:r>
      <w:r>
        <w:rPr>
          <w:color w:val="231F20"/>
          <w:w w:val="105"/>
        </w:rPr>
        <w:t>and</w:t>
      </w:r>
      <w:r>
        <w:rPr>
          <w:color w:val="231F20"/>
          <w:spacing w:val="-13"/>
          <w:w w:val="105"/>
        </w:rPr>
        <w:t> </w:t>
      </w:r>
      <w:r>
        <w:rPr>
          <w:color w:val="231F20"/>
          <w:w w:val="105"/>
        </w:rPr>
        <w:t>are</w:t>
      </w:r>
      <w:r>
        <w:rPr>
          <w:color w:val="231F20"/>
          <w:spacing w:val="-12"/>
          <w:w w:val="105"/>
        </w:rPr>
        <w:t> </w:t>
      </w:r>
      <w:r>
        <w:rPr>
          <w:color w:val="231F20"/>
          <w:w w:val="105"/>
        </w:rPr>
        <w:t>of</w:t>
      </w:r>
      <w:r>
        <w:rPr>
          <w:color w:val="231F20"/>
          <w:spacing w:val="10"/>
          <w:w w:val="105"/>
        </w:rPr>
        <w:t> </w:t>
      </w:r>
      <w:r>
        <w:rPr>
          <w:color w:val="231F20"/>
          <w:w w:val="105"/>
        </w:rPr>
        <w:t>little significance. In other words, a negative result does not rule out a food item as the source of an</w:t>
      </w:r>
      <w:r>
        <w:rPr>
          <w:color w:val="231F20"/>
          <w:spacing w:val="-1"/>
          <w:w w:val="105"/>
        </w:rPr>
        <w:t> </w:t>
      </w:r>
      <w:r>
        <w:rPr>
          <w:color w:val="231F20"/>
          <w:w w:val="105"/>
        </w:rPr>
        <w:t>outbreak.</w:t>
      </w:r>
    </w:p>
    <w:p>
      <w:pPr>
        <w:pStyle w:val="BodyText"/>
        <w:spacing w:line="266" w:lineRule="auto" w:before="180"/>
        <w:ind w:left="1440" w:right="62"/>
      </w:pPr>
      <w:r>
        <w:rPr>
          <w:color w:val="231F20"/>
          <w:spacing w:val="-5"/>
          <w:w w:val="105"/>
        </w:rPr>
        <w:t>Food </w:t>
      </w:r>
      <w:r>
        <w:rPr>
          <w:color w:val="231F20"/>
          <w:w w:val="105"/>
        </w:rPr>
        <w:t>testing can be an important adjunct to many investigations of commercial products, but testing without a specific focus can be prohibitively expensive. As a result, food testing</w:t>
      </w:r>
      <w:r>
        <w:rPr>
          <w:color w:val="231F20"/>
          <w:spacing w:val="-15"/>
          <w:w w:val="105"/>
        </w:rPr>
        <w:t> </w:t>
      </w:r>
      <w:r>
        <w:rPr>
          <w:color w:val="231F20"/>
          <w:w w:val="105"/>
        </w:rPr>
        <w:t>should</w:t>
      </w:r>
      <w:r>
        <w:rPr>
          <w:color w:val="231F20"/>
          <w:spacing w:val="-14"/>
          <w:w w:val="105"/>
        </w:rPr>
        <w:t> </w:t>
      </w:r>
      <w:r>
        <w:rPr>
          <w:color w:val="231F20"/>
          <w:w w:val="105"/>
        </w:rPr>
        <w:t>not</w:t>
      </w:r>
      <w:r>
        <w:rPr>
          <w:color w:val="231F20"/>
          <w:spacing w:val="-14"/>
          <w:w w:val="105"/>
        </w:rPr>
        <w:t> </w:t>
      </w:r>
      <w:r>
        <w:rPr>
          <w:color w:val="231F20"/>
          <w:w w:val="105"/>
        </w:rPr>
        <w:t>be</w:t>
      </w:r>
      <w:r>
        <w:rPr>
          <w:color w:val="231F20"/>
          <w:spacing w:val="-14"/>
          <w:w w:val="105"/>
        </w:rPr>
        <w:t> </w:t>
      </w:r>
      <w:r>
        <w:rPr>
          <w:color w:val="231F20"/>
          <w:w w:val="105"/>
        </w:rPr>
        <w:t>undertaken</w:t>
      </w:r>
      <w:r>
        <w:rPr>
          <w:color w:val="231F20"/>
          <w:spacing w:val="-14"/>
          <w:w w:val="105"/>
        </w:rPr>
        <w:t> </w:t>
      </w:r>
      <w:r>
        <w:rPr>
          <w:color w:val="231F20"/>
          <w:w w:val="105"/>
        </w:rPr>
        <w:t>routinely</w:t>
      </w:r>
      <w:r>
        <w:rPr>
          <w:color w:val="231F20"/>
          <w:spacing w:val="-14"/>
          <w:w w:val="105"/>
        </w:rPr>
        <w:t> </w:t>
      </w:r>
      <w:r>
        <w:rPr>
          <w:color w:val="231F20"/>
          <w:w w:val="105"/>
        </w:rPr>
        <w:t>but should be based on meaningful associations, such as reports of ill persons eating the same food product or an environmental health investigation</w:t>
      </w:r>
      <w:r>
        <w:rPr>
          <w:color w:val="231F20"/>
          <w:spacing w:val="-25"/>
          <w:w w:val="105"/>
        </w:rPr>
        <w:t> </w:t>
      </w:r>
      <w:r>
        <w:rPr>
          <w:color w:val="231F20"/>
          <w:w w:val="105"/>
        </w:rPr>
        <w:t>that</w:t>
      </w:r>
      <w:r>
        <w:rPr>
          <w:color w:val="231F20"/>
          <w:spacing w:val="-25"/>
          <w:w w:val="105"/>
        </w:rPr>
        <w:t> </w:t>
      </w:r>
      <w:r>
        <w:rPr>
          <w:color w:val="231F20"/>
          <w:w w:val="105"/>
        </w:rPr>
        <w:t>identifies</w:t>
      </w:r>
      <w:r>
        <w:rPr>
          <w:color w:val="231F20"/>
          <w:spacing w:val="-25"/>
          <w:w w:val="105"/>
        </w:rPr>
        <w:t> </w:t>
      </w:r>
      <w:r>
        <w:rPr>
          <w:color w:val="231F20"/>
          <w:w w:val="105"/>
        </w:rPr>
        <w:t>specific</w:t>
      </w:r>
      <w:r>
        <w:rPr>
          <w:color w:val="231F20"/>
          <w:spacing w:val="-25"/>
          <w:w w:val="105"/>
        </w:rPr>
        <w:t> </w:t>
      </w:r>
      <w:r>
        <w:rPr>
          <w:color w:val="231F20"/>
          <w:w w:val="105"/>
        </w:rPr>
        <w:t>food</w:t>
      </w:r>
      <w:r>
        <w:rPr>
          <w:color w:val="231F20"/>
          <w:spacing w:val="-25"/>
          <w:w w:val="105"/>
        </w:rPr>
        <w:t> </w:t>
      </w:r>
      <w:r>
        <w:rPr>
          <w:color w:val="231F20"/>
          <w:w w:val="105"/>
        </w:rPr>
        <w:t>safety problems.</w:t>
      </w:r>
    </w:p>
    <w:p>
      <w:pPr>
        <w:spacing w:before="179"/>
        <w:ind w:left="1440" w:right="0" w:firstLine="0"/>
        <w:jc w:val="left"/>
        <w:rPr>
          <w:i/>
          <w:sz w:val="20"/>
        </w:rPr>
      </w:pPr>
      <w:r>
        <w:rPr>
          <w:i/>
          <w:color w:val="E36F1E"/>
          <w:w w:val="105"/>
          <w:sz w:val="20"/>
        </w:rPr>
        <w:t>2.4.3.2. Other clues to the etiologic agent</w:t>
      </w:r>
    </w:p>
    <w:p>
      <w:pPr>
        <w:pStyle w:val="BodyText"/>
        <w:spacing w:line="266" w:lineRule="auto" w:before="24"/>
        <w:ind w:left="1440" w:right="40"/>
      </w:pPr>
      <w:r>
        <w:rPr>
          <w:color w:val="231F20"/>
          <w:w w:val="105"/>
        </w:rPr>
        <w:t>During the wait for laboratory confirmation, the</w:t>
      </w:r>
      <w:r>
        <w:rPr>
          <w:color w:val="231F20"/>
          <w:spacing w:val="-18"/>
          <w:w w:val="105"/>
        </w:rPr>
        <w:t> </w:t>
      </w:r>
      <w:r>
        <w:rPr>
          <w:color w:val="231F20"/>
          <w:w w:val="105"/>
        </w:rPr>
        <w:t>following</w:t>
      </w:r>
      <w:r>
        <w:rPr>
          <w:color w:val="231F20"/>
          <w:spacing w:val="-17"/>
          <w:w w:val="105"/>
        </w:rPr>
        <w:t> </w:t>
      </w:r>
      <w:r>
        <w:rPr>
          <w:color w:val="231F20"/>
          <w:w w:val="105"/>
        </w:rPr>
        <w:t>information</w:t>
      </w:r>
      <w:r>
        <w:rPr>
          <w:color w:val="231F20"/>
          <w:spacing w:val="-18"/>
          <w:w w:val="105"/>
        </w:rPr>
        <w:t> </w:t>
      </w:r>
      <w:r>
        <w:rPr>
          <w:color w:val="231F20"/>
          <w:w w:val="105"/>
        </w:rPr>
        <w:t>can</w:t>
      </w:r>
      <w:r>
        <w:rPr>
          <w:color w:val="231F20"/>
          <w:spacing w:val="-17"/>
          <w:w w:val="105"/>
        </w:rPr>
        <w:t> </w:t>
      </w:r>
      <w:r>
        <w:rPr>
          <w:color w:val="231F20"/>
          <w:w w:val="105"/>
        </w:rPr>
        <w:t>help</w:t>
      </w:r>
      <w:r>
        <w:rPr>
          <w:color w:val="231F20"/>
          <w:spacing w:val="-17"/>
          <w:w w:val="105"/>
        </w:rPr>
        <w:t> </w:t>
      </w:r>
      <w:r>
        <w:rPr>
          <w:color w:val="231F20"/>
          <w:w w:val="105"/>
        </w:rPr>
        <w:t>shorten</w:t>
      </w:r>
      <w:r>
        <w:rPr>
          <w:color w:val="231F20"/>
          <w:spacing w:val="-17"/>
          <w:w w:val="105"/>
        </w:rPr>
        <w:t> </w:t>
      </w:r>
      <w:r>
        <w:rPr>
          <w:color w:val="231F20"/>
          <w:w w:val="105"/>
        </w:rPr>
        <w:t>the list of likely agents causing an</w:t>
      </w:r>
      <w:r>
        <w:rPr>
          <w:color w:val="231F20"/>
          <w:spacing w:val="-34"/>
          <w:w w:val="105"/>
        </w:rPr>
        <w:t> </w:t>
      </w:r>
      <w:r>
        <w:rPr>
          <w:color w:val="231F20"/>
          <w:w w:val="105"/>
        </w:rPr>
        <w:t>outbreak:</w:t>
      </w:r>
    </w:p>
    <w:p>
      <w:pPr>
        <w:pStyle w:val="ListParagraph"/>
        <w:numPr>
          <w:ilvl w:val="4"/>
          <w:numId w:val="14"/>
        </w:numPr>
        <w:tabs>
          <w:tab w:pos="1611" w:val="left" w:leader="none"/>
        </w:tabs>
        <w:spacing w:line="266" w:lineRule="auto" w:before="180" w:after="0"/>
        <w:ind w:left="1610" w:right="98" w:hanging="170"/>
        <w:jc w:val="left"/>
        <w:rPr>
          <w:sz w:val="20"/>
        </w:rPr>
      </w:pPr>
      <w:r>
        <w:rPr>
          <w:color w:val="231F20"/>
          <w:w w:val="105"/>
          <w:sz w:val="20"/>
        </w:rPr>
        <w:t>Predominant</w:t>
      </w:r>
      <w:r>
        <w:rPr>
          <w:color w:val="231F20"/>
          <w:spacing w:val="-17"/>
          <w:w w:val="105"/>
          <w:sz w:val="20"/>
        </w:rPr>
        <w:t> </w:t>
      </w:r>
      <w:r>
        <w:rPr>
          <w:color w:val="231F20"/>
          <w:w w:val="105"/>
          <w:sz w:val="20"/>
        </w:rPr>
        <w:t>signs</w:t>
      </w:r>
      <w:r>
        <w:rPr>
          <w:color w:val="231F20"/>
          <w:spacing w:val="-15"/>
          <w:w w:val="105"/>
          <w:sz w:val="20"/>
        </w:rPr>
        <w:t> </w:t>
      </w:r>
      <w:r>
        <w:rPr>
          <w:color w:val="231F20"/>
          <w:w w:val="105"/>
          <w:sz w:val="20"/>
        </w:rPr>
        <w:t>and</w:t>
      </w:r>
      <w:r>
        <w:rPr>
          <w:color w:val="231F20"/>
          <w:spacing w:val="-16"/>
          <w:w w:val="105"/>
          <w:sz w:val="20"/>
        </w:rPr>
        <w:t> </w:t>
      </w:r>
      <w:r>
        <w:rPr>
          <w:color w:val="231F20"/>
          <w:w w:val="105"/>
          <w:sz w:val="20"/>
        </w:rPr>
        <w:t>symptoms</w:t>
      </w:r>
      <w:r>
        <w:rPr>
          <w:color w:val="231F20"/>
          <w:spacing w:val="-14"/>
          <w:w w:val="105"/>
          <w:sz w:val="20"/>
        </w:rPr>
        <w:t> </w:t>
      </w:r>
      <w:r>
        <w:rPr>
          <w:color w:val="231F20"/>
          <w:w w:val="105"/>
          <w:sz w:val="20"/>
        </w:rPr>
        <w:t>among</w:t>
      </w:r>
      <w:r>
        <w:rPr>
          <w:color w:val="231F20"/>
          <w:spacing w:val="-16"/>
          <w:w w:val="105"/>
          <w:sz w:val="20"/>
        </w:rPr>
        <w:t> </w:t>
      </w:r>
      <w:r>
        <w:rPr>
          <w:color w:val="231F20"/>
          <w:w w:val="105"/>
          <w:sz w:val="20"/>
        </w:rPr>
        <w:t>ill persons;</w:t>
      </w:r>
    </w:p>
    <w:p>
      <w:pPr>
        <w:pStyle w:val="ListParagraph"/>
        <w:numPr>
          <w:ilvl w:val="4"/>
          <w:numId w:val="14"/>
        </w:numPr>
        <w:tabs>
          <w:tab w:pos="1611" w:val="left" w:leader="none"/>
        </w:tabs>
        <w:spacing w:line="240" w:lineRule="auto" w:before="90" w:after="0"/>
        <w:ind w:left="1610" w:right="0" w:hanging="170"/>
        <w:jc w:val="left"/>
        <w:rPr>
          <w:sz w:val="20"/>
        </w:rPr>
      </w:pPr>
      <w:r>
        <w:rPr>
          <w:color w:val="231F20"/>
          <w:w w:val="105"/>
          <w:sz w:val="20"/>
        </w:rPr>
        <w:t>Incubation period, if</w:t>
      </w:r>
      <w:r>
        <w:rPr>
          <w:color w:val="231F20"/>
          <w:spacing w:val="-23"/>
          <w:w w:val="105"/>
          <w:sz w:val="20"/>
        </w:rPr>
        <w:t> </w:t>
      </w:r>
      <w:r>
        <w:rPr>
          <w:color w:val="231F20"/>
          <w:w w:val="105"/>
          <w:sz w:val="20"/>
        </w:rPr>
        <w:t>known;</w:t>
      </w:r>
    </w:p>
    <w:p>
      <w:pPr>
        <w:pStyle w:val="ListParagraph"/>
        <w:numPr>
          <w:ilvl w:val="4"/>
          <w:numId w:val="14"/>
        </w:numPr>
        <w:tabs>
          <w:tab w:pos="1611" w:val="left" w:leader="none"/>
        </w:tabs>
        <w:spacing w:line="240" w:lineRule="auto" w:before="114" w:after="0"/>
        <w:ind w:left="1610" w:right="0" w:hanging="170"/>
        <w:jc w:val="left"/>
        <w:rPr>
          <w:sz w:val="20"/>
        </w:rPr>
      </w:pPr>
      <w:r>
        <w:rPr>
          <w:color w:val="231F20"/>
          <w:w w:val="105"/>
          <w:sz w:val="20"/>
        </w:rPr>
        <w:t>Duration of illness;</w:t>
      </w:r>
      <w:r>
        <w:rPr>
          <w:color w:val="231F20"/>
          <w:spacing w:val="-17"/>
          <w:w w:val="105"/>
          <w:sz w:val="20"/>
        </w:rPr>
        <w:t> </w:t>
      </w:r>
      <w:r>
        <w:rPr>
          <w:color w:val="231F20"/>
          <w:w w:val="105"/>
          <w:sz w:val="20"/>
        </w:rPr>
        <w:t>and</w:t>
      </w:r>
    </w:p>
    <w:p>
      <w:pPr>
        <w:pStyle w:val="ListParagraph"/>
        <w:numPr>
          <w:ilvl w:val="4"/>
          <w:numId w:val="14"/>
        </w:numPr>
        <w:tabs>
          <w:tab w:pos="1611" w:val="left" w:leader="none"/>
        </w:tabs>
        <w:spacing w:line="266" w:lineRule="auto" w:before="114" w:after="0"/>
        <w:ind w:left="1610" w:right="333" w:hanging="170"/>
        <w:jc w:val="left"/>
        <w:rPr>
          <w:sz w:val="20"/>
        </w:rPr>
      </w:pPr>
      <w:r>
        <w:rPr>
          <w:color w:val="231F20"/>
          <w:spacing w:val="-5"/>
          <w:sz w:val="20"/>
        </w:rPr>
        <w:t>Food </w:t>
      </w:r>
      <w:r>
        <w:rPr>
          <w:color w:val="231F20"/>
          <w:sz w:val="20"/>
        </w:rPr>
        <w:t>history leading to suspected food, if known.</w:t>
      </w:r>
    </w:p>
    <w:p>
      <w:pPr>
        <w:pStyle w:val="BodyText"/>
        <w:spacing w:line="266" w:lineRule="auto" w:before="180"/>
        <w:ind w:left="1440" w:right="62"/>
      </w:pPr>
      <w:r>
        <w:rPr>
          <w:color w:val="231F20"/>
          <w:w w:val="105"/>
        </w:rPr>
        <w:t>An example of how predominant signs and symptoms and incubation period can be used to help determine the etiologic agent in an outbreak is provided in Appendix 2.</w:t>
      </w:r>
    </w:p>
    <w:p>
      <w:pPr>
        <w:pStyle w:val="BodyText"/>
        <w:spacing w:line="266" w:lineRule="auto" w:before="108"/>
        <w:ind w:left="332" w:right="949"/>
      </w:pPr>
      <w:r>
        <w:rPr/>
        <w:br w:type="column"/>
      </w:r>
      <w:r>
        <w:rPr>
          <w:color w:val="231F20"/>
          <w:w w:val="105"/>
        </w:rPr>
        <w:t>In</w:t>
      </w:r>
      <w:r>
        <w:rPr>
          <w:color w:val="231F20"/>
          <w:spacing w:val="-12"/>
          <w:w w:val="105"/>
        </w:rPr>
        <w:t> </w:t>
      </w:r>
      <w:r>
        <w:rPr>
          <w:color w:val="231F20"/>
          <w:w w:val="105"/>
        </w:rPr>
        <w:t>determining</w:t>
      </w:r>
      <w:r>
        <w:rPr>
          <w:color w:val="231F20"/>
          <w:spacing w:val="-11"/>
          <w:w w:val="105"/>
        </w:rPr>
        <w:t> </w:t>
      </w:r>
      <w:r>
        <w:rPr>
          <w:color w:val="231F20"/>
          <w:w w:val="105"/>
        </w:rPr>
        <w:t>the</w:t>
      </w:r>
      <w:r>
        <w:rPr>
          <w:color w:val="231F20"/>
          <w:spacing w:val="-12"/>
          <w:w w:val="105"/>
        </w:rPr>
        <w:t> </w:t>
      </w:r>
      <w:r>
        <w:rPr>
          <w:color w:val="231F20"/>
          <w:w w:val="105"/>
        </w:rPr>
        <w:t>clinical</w:t>
      </w:r>
      <w:r>
        <w:rPr>
          <w:color w:val="231F20"/>
          <w:spacing w:val="-11"/>
          <w:w w:val="105"/>
        </w:rPr>
        <w:t> </w:t>
      </w:r>
      <w:r>
        <w:rPr>
          <w:color w:val="231F20"/>
          <w:w w:val="105"/>
        </w:rPr>
        <w:t>characteristics</w:t>
      </w:r>
      <w:r>
        <w:rPr>
          <w:color w:val="231F20"/>
          <w:spacing w:val="-10"/>
          <w:w w:val="105"/>
        </w:rPr>
        <w:t> </w:t>
      </w:r>
      <w:r>
        <w:rPr>
          <w:color w:val="231F20"/>
          <w:w w:val="105"/>
        </w:rPr>
        <w:t>of ill</w:t>
      </w:r>
      <w:r>
        <w:rPr>
          <w:color w:val="231F20"/>
          <w:spacing w:val="-17"/>
          <w:w w:val="105"/>
        </w:rPr>
        <w:t> </w:t>
      </w:r>
      <w:r>
        <w:rPr>
          <w:color w:val="231F20"/>
          <w:w w:val="105"/>
        </w:rPr>
        <w:t>persons</w:t>
      </w:r>
      <w:r>
        <w:rPr>
          <w:color w:val="231F20"/>
          <w:spacing w:val="-17"/>
          <w:w w:val="105"/>
        </w:rPr>
        <w:t> </w:t>
      </w:r>
      <w:r>
        <w:rPr>
          <w:color w:val="231F20"/>
          <w:w w:val="105"/>
        </w:rPr>
        <w:t>in</w:t>
      </w:r>
      <w:r>
        <w:rPr>
          <w:color w:val="231F20"/>
          <w:spacing w:val="-17"/>
          <w:w w:val="105"/>
        </w:rPr>
        <w:t> </w:t>
      </w:r>
      <w:r>
        <w:rPr>
          <w:color w:val="231F20"/>
          <w:w w:val="105"/>
        </w:rPr>
        <w:t>an</w:t>
      </w:r>
      <w:r>
        <w:rPr>
          <w:color w:val="231F20"/>
          <w:spacing w:val="-17"/>
          <w:w w:val="105"/>
        </w:rPr>
        <w:t> </w:t>
      </w:r>
      <w:r>
        <w:rPr>
          <w:color w:val="231F20"/>
          <w:w w:val="105"/>
        </w:rPr>
        <w:t>outbreak,</w:t>
      </w:r>
      <w:r>
        <w:rPr>
          <w:color w:val="231F20"/>
          <w:spacing w:val="-17"/>
          <w:w w:val="105"/>
        </w:rPr>
        <w:t> </w:t>
      </w:r>
      <w:r>
        <w:rPr>
          <w:color w:val="231F20"/>
          <w:w w:val="105"/>
        </w:rPr>
        <w:t>most</w:t>
      </w:r>
      <w:r>
        <w:rPr>
          <w:color w:val="231F20"/>
          <w:spacing w:val="-17"/>
          <w:w w:val="105"/>
        </w:rPr>
        <w:t> </w:t>
      </w:r>
      <w:r>
        <w:rPr>
          <w:color w:val="231F20"/>
          <w:w w:val="105"/>
        </w:rPr>
        <w:t>investigators question ill persons specifically about the occurrence of a standard set of signs and symptoms often associated with foodborne diseases.</w:t>
      </w:r>
      <w:r>
        <w:rPr>
          <w:color w:val="231F20"/>
          <w:spacing w:val="-21"/>
          <w:w w:val="105"/>
        </w:rPr>
        <w:t> </w:t>
      </w:r>
      <w:r>
        <w:rPr>
          <w:color w:val="231F20"/>
          <w:w w:val="105"/>
        </w:rPr>
        <w:t>A</w:t>
      </w:r>
      <w:r>
        <w:rPr>
          <w:color w:val="231F20"/>
          <w:spacing w:val="-22"/>
          <w:w w:val="105"/>
        </w:rPr>
        <w:t> </w:t>
      </w:r>
      <w:r>
        <w:rPr>
          <w:color w:val="231F20"/>
          <w:w w:val="105"/>
        </w:rPr>
        <w:t>commonly</w:t>
      </w:r>
      <w:r>
        <w:rPr>
          <w:color w:val="231F20"/>
          <w:spacing w:val="-21"/>
          <w:w w:val="105"/>
        </w:rPr>
        <w:t> </w:t>
      </w:r>
      <w:r>
        <w:rPr>
          <w:color w:val="231F20"/>
          <w:w w:val="105"/>
        </w:rPr>
        <w:t>used</w:t>
      </w:r>
      <w:r>
        <w:rPr>
          <w:color w:val="231F20"/>
          <w:spacing w:val="-21"/>
          <w:w w:val="105"/>
        </w:rPr>
        <w:t> </w:t>
      </w:r>
      <w:r>
        <w:rPr>
          <w:color w:val="231F20"/>
          <w:w w:val="105"/>
        </w:rPr>
        <w:t>set</w:t>
      </w:r>
      <w:r>
        <w:rPr>
          <w:color w:val="231F20"/>
          <w:spacing w:val="-21"/>
          <w:w w:val="105"/>
        </w:rPr>
        <w:t> </w:t>
      </w:r>
      <w:r>
        <w:rPr>
          <w:color w:val="231F20"/>
          <w:w w:val="105"/>
        </w:rPr>
        <w:t>of</w:t>
      </w:r>
      <w:r>
        <w:rPr>
          <w:color w:val="231F20"/>
          <w:spacing w:val="-3"/>
          <w:w w:val="105"/>
        </w:rPr>
        <w:t> </w:t>
      </w:r>
      <w:r>
        <w:rPr>
          <w:color w:val="231F20"/>
          <w:w w:val="105"/>
        </w:rPr>
        <w:t>signs</w:t>
      </w:r>
    </w:p>
    <w:p>
      <w:pPr>
        <w:pStyle w:val="BodyText"/>
        <w:spacing w:line="266" w:lineRule="auto"/>
        <w:ind w:left="332" w:right="819"/>
      </w:pPr>
      <w:r>
        <w:rPr>
          <w:color w:val="231F20"/>
          <w:w w:val="105"/>
        </w:rPr>
        <w:t>and symptoms includes headache, nausea, vomiting, myalgia (muscle aches), abdominal (stomach, belly) cramps, unusual fatigue (feeling</w:t>
      </w:r>
      <w:r>
        <w:rPr>
          <w:color w:val="231F20"/>
          <w:spacing w:val="-19"/>
          <w:w w:val="105"/>
        </w:rPr>
        <w:t> </w:t>
      </w:r>
      <w:r>
        <w:rPr>
          <w:color w:val="231F20"/>
          <w:w w:val="105"/>
        </w:rPr>
        <w:t>tired),</w:t>
      </w:r>
      <w:r>
        <w:rPr>
          <w:color w:val="231F20"/>
          <w:spacing w:val="-19"/>
          <w:w w:val="105"/>
        </w:rPr>
        <w:t> </w:t>
      </w:r>
      <w:r>
        <w:rPr>
          <w:color w:val="231F20"/>
          <w:w w:val="105"/>
        </w:rPr>
        <w:t>fever</w:t>
      </w:r>
      <w:r>
        <w:rPr>
          <w:color w:val="231F20"/>
          <w:spacing w:val="-19"/>
          <w:w w:val="105"/>
        </w:rPr>
        <w:t> </w:t>
      </w:r>
      <w:r>
        <w:rPr>
          <w:color w:val="231F20"/>
          <w:w w:val="105"/>
        </w:rPr>
        <w:t>(and</w:t>
      </w:r>
      <w:r>
        <w:rPr>
          <w:color w:val="231F20"/>
          <w:spacing w:val="-19"/>
          <w:w w:val="105"/>
        </w:rPr>
        <w:t> </w:t>
      </w:r>
      <w:r>
        <w:rPr>
          <w:color w:val="231F20"/>
          <w:w w:val="105"/>
        </w:rPr>
        <w:t>whether</w:t>
      </w:r>
      <w:r>
        <w:rPr>
          <w:color w:val="231F20"/>
          <w:spacing w:val="-19"/>
          <w:w w:val="105"/>
        </w:rPr>
        <w:t> </w:t>
      </w:r>
      <w:r>
        <w:rPr>
          <w:color w:val="231F20"/>
          <w:w w:val="105"/>
        </w:rPr>
        <w:t>temperature was measured), chills, any diarrhea or loose stools,</w:t>
      </w:r>
      <w:r>
        <w:rPr>
          <w:color w:val="231F20"/>
          <w:spacing w:val="-21"/>
          <w:w w:val="105"/>
        </w:rPr>
        <w:t> </w:t>
      </w:r>
      <w:r>
        <w:rPr>
          <w:color w:val="231F20"/>
          <w:w w:val="105"/>
        </w:rPr>
        <w:t>three</w:t>
      </w:r>
      <w:r>
        <w:rPr>
          <w:color w:val="231F20"/>
          <w:spacing w:val="-21"/>
          <w:w w:val="105"/>
        </w:rPr>
        <w:t> </w:t>
      </w:r>
      <w:r>
        <w:rPr>
          <w:color w:val="231F20"/>
          <w:w w:val="105"/>
        </w:rPr>
        <w:t>or</w:t>
      </w:r>
      <w:r>
        <w:rPr>
          <w:color w:val="231F20"/>
          <w:spacing w:val="-21"/>
          <w:w w:val="105"/>
        </w:rPr>
        <w:t> </w:t>
      </w:r>
      <w:r>
        <w:rPr>
          <w:color w:val="231F20"/>
          <w:w w:val="105"/>
        </w:rPr>
        <w:t>more</w:t>
      </w:r>
      <w:r>
        <w:rPr>
          <w:color w:val="231F20"/>
          <w:spacing w:val="-21"/>
          <w:w w:val="105"/>
        </w:rPr>
        <w:t> </w:t>
      </w:r>
      <w:r>
        <w:rPr>
          <w:color w:val="231F20"/>
          <w:w w:val="105"/>
        </w:rPr>
        <w:t>loose</w:t>
      </w:r>
      <w:r>
        <w:rPr>
          <w:color w:val="231F20"/>
          <w:spacing w:val="-22"/>
          <w:w w:val="105"/>
        </w:rPr>
        <w:t> </w:t>
      </w:r>
      <w:r>
        <w:rPr>
          <w:color w:val="231F20"/>
          <w:w w:val="105"/>
        </w:rPr>
        <w:t>stools</w:t>
      </w:r>
      <w:r>
        <w:rPr>
          <w:color w:val="231F20"/>
          <w:spacing w:val="-21"/>
          <w:w w:val="105"/>
        </w:rPr>
        <w:t> </w:t>
      </w:r>
      <w:r>
        <w:rPr>
          <w:color w:val="231F20"/>
          <w:w w:val="105"/>
        </w:rPr>
        <w:t>within</w:t>
      </w:r>
      <w:r>
        <w:rPr>
          <w:color w:val="231F20"/>
          <w:spacing w:val="-21"/>
          <w:w w:val="105"/>
        </w:rPr>
        <w:t> </w:t>
      </w:r>
      <w:r>
        <w:rPr>
          <w:color w:val="231F20"/>
          <w:w w:val="105"/>
        </w:rPr>
        <w:t>a</w:t>
      </w:r>
    </w:p>
    <w:p>
      <w:pPr>
        <w:pStyle w:val="BodyText"/>
        <w:spacing w:line="266" w:lineRule="auto"/>
        <w:ind w:left="332" w:right="982"/>
      </w:pPr>
      <w:r>
        <w:rPr>
          <w:color w:val="231F20"/>
          <w:w w:val="105"/>
        </w:rPr>
        <w:t>24-hour period, and any blood in the stool. Negative findings can be as pertinent as positive findings and should be recorded.</w:t>
      </w:r>
    </w:p>
    <w:p>
      <w:pPr>
        <w:pStyle w:val="BodyText"/>
        <w:spacing w:line="266" w:lineRule="auto" w:before="180"/>
        <w:ind w:left="332" w:right="761"/>
      </w:pPr>
      <w:r>
        <w:rPr>
          <w:color w:val="231F20"/>
          <w:w w:val="105"/>
        </w:rPr>
        <w:t>The incubation period is the time from exposure</w:t>
      </w:r>
      <w:r>
        <w:rPr>
          <w:color w:val="231F20"/>
          <w:spacing w:val="-17"/>
          <w:w w:val="105"/>
        </w:rPr>
        <w:t> </w:t>
      </w:r>
      <w:r>
        <w:rPr>
          <w:color w:val="231F20"/>
          <w:w w:val="105"/>
        </w:rPr>
        <w:t>to</w:t>
      </w:r>
      <w:r>
        <w:rPr>
          <w:color w:val="231F20"/>
          <w:spacing w:val="-18"/>
          <w:w w:val="105"/>
        </w:rPr>
        <w:t> </w:t>
      </w:r>
      <w:r>
        <w:rPr>
          <w:color w:val="231F20"/>
          <w:w w:val="105"/>
        </w:rPr>
        <w:t>the</w:t>
      </w:r>
      <w:r>
        <w:rPr>
          <w:color w:val="231F20"/>
          <w:spacing w:val="-18"/>
          <w:w w:val="105"/>
        </w:rPr>
        <w:t> </w:t>
      </w:r>
      <w:r>
        <w:rPr>
          <w:color w:val="231F20"/>
          <w:w w:val="105"/>
        </w:rPr>
        <w:t>etiologic</w:t>
      </w:r>
      <w:r>
        <w:rPr>
          <w:color w:val="231F20"/>
          <w:spacing w:val="-18"/>
          <w:w w:val="105"/>
        </w:rPr>
        <w:t> </w:t>
      </w:r>
      <w:r>
        <w:rPr>
          <w:color w:val="231F20"/>
          <w:w w:val="105"/>
        </w:rPr>
        <w:t>agent</w:t>
      </w:r>
      <w:r>
        <w:rPr>
          <w:color w:val="231F20"/>
          <w:spacing w:val="-18"/>
          <w:w w:val="105"/>
        </w:rPr>
        <w:t> </w:t>
      </w:r>
      <w:r>
        <w:rPr>
          <w:color w:val="231F20"/>
          <w:w w:val="105"/>
        </w:rPr>
        <w:t>to</w:t>
      </w:r>
      <w:r>
        <w:rPr>
          <w:color w:val="231F20"/>
          <w:spacing w:val="-18"/>
          <w:w w:val="105"/>
        </w:rPr>
        <w:t> </w:t>
      </w:r>
      <w:r>
        <w:rPr>
          <w:color w:val="231F20"/>
          <w:w w:val="105"/>
        </w:rPr>
        <w:t>development of symptoms. Determining the incubation period for an illness is influenced </w:t>
      </w:r>
      <w:r>
        <w:rPr>
          <w:color w:val="231F20"/>
          <w:spacing w:val="-3"/>
          <w:w w:val="105"/>
        </w:rPr>
        <w:t>by </w:t>
      </w:r>
      <w:r>
        <w:rPr>
          <w:color w:val="231F20"/>
          <w:w w:val="105"/>
        </w:rPr>
        <w:t>whether the calculation is based on onset of the prodromal symptoms </w:t>
      </w:r>
      <w:r>
        <w:rPr>
          <w:color w:val="231F20"/>
          <w:spacing w:val="-4"/>
          <w:w w:val="105"/>
        </w:rPr>
        <w:t>(e.g., </w:t>
      </w:r>
      <w:r>
        <w:rPr>
          <w:color w:val="231F20"/>
          <w:w w:val="105"/>
        </w:rPr>
        <w:t>general feeling of being unwell) or specific signs and symptoms of enteric disease </w:t>
      </w:r>
      <w:r>
        <w:rPr>
          <w:color w:val="231F20"/>
          <w:spacing w:val="-4"/>
          <w:w w:val="105"/>
        </w:rPr>
        <w:t>(e.g., </w:t>
      </w:r>
      <w:r>
        <w:rPr>
          <w:color w:val="231F20"/>
          <w:w w:val="105"/>
        </w:rPr>
        <w:t>vomiting or diarrhea) that may occur </w:t>
      </w:r>
      <w:r>
        <w:rPr>
          <w:color w:val="231F20"/>
          <w:spacing w:val="-4"/>
          <w:w w:val="105"/>
        </w:rPr>
        <w:t>later. </w:t>
      </w:r>
      <w:r>
        <w:rPr>
          <w:color w:val="231F20"/>
          <w:w w:val="105"/>
        </w:rPr>
        <w:t>Because ill persons typically recall onset of the latter</w:t>
      </w:r>
      <w:r>
        <w:rPr>
          <w:color w:val="231F20"/>
          <w:spacing w:val="-28"/>
          <w:w w:val="105"/>
        </w:rPr>
        <w:t> </w:t>
      </w:r>
      <w:r>
        <w:rPr>
          <w:color w:val="231F20"/>
          <w:w w:val="105"/>
        </w:rPr>
        <w:t>more</w:t>
      </w:r>
    </w:p>
    <w:p>
      <w:pPr>
        <w:pStyle w:val="BodyText"/>
        <w:spacing w:line="266" w:lineRule="auto"/>
        <w:ind w:left="332" w:right="894"/>
      </w:pPr>
      <w:r>
        <w:rPr>
          <w:color w:val="231F20"/>
          <w:spacing w:val="-5"/>
          <w:w w:val="105"/>
        </w:rPr>
        <w:t>clearly, </w:t>
      </w:r>
      <w:r>
        <w:rPr>
          <w:color w:val="231F20"/>
          <w:w w:val="105"/>
        </w:rPr>
        <w:t>some investigators consistently use onset</w:t>
      </w:r>
      <w:r>
        <w:rPr>
          <w:color w:val="231F20"/>
          <w:spacing w:val="-15"/>
          <w:w w:val="105"/>
        </w:rPr>
        <w:t> </w:t>
      </w:r>
      <w:r>
        <w:rPr>
          <w:color w:val="231F20"/>
          <w:w w:val="105"/>
        </w:rPr>
        <w:t>of</w:t>
      </w:r>
      <w:r>
        <w:rPr>
          <w:color w:val="231F20"/>
          <w:spacing w:val="6"/>
          <w:w w:val="105"/>
        </w:rPr>
        <w:t> </w:t>
      </w:r>
      <w:r>
        <w:rPr>
          <w:color w:val="231F20"/>
          <w:w w:val="105"/>
        </w:rPr>
        <w:t>these</w:t>
      </w:r>
      <w:r>
        <w:rPr>
          <w:color w:val="231F20"/>
          <w:spacing w:val="-16"/>
          <w:w w:val="105"/>
        </w:rPr>
        <w:t> </w:t>
      </w:r>
      <w:r>
        <w:rPr>
          <w:color w:val="231F20"/>
          <w:w w:val="105"/>
        </w:rPr>
        <w:t>“hard”</w:t>
      </w:r>
      <w:r>
        <w:rPr>
          <w:color w:val="231F20"/>
          <w:spacing w:val="-16"/>
          <w:w w:val="105"/>
        </w:rPr>
        <w:t> </w:t>
      </w:r>
      <w:r>
        <w:rPr>
          <w:color w:val="231F20"/>
          <w:w w:val="105"/>
        </w:rPr>
        <w:t>symptoms</w:t>
      </w:r>
      <w:r>
        <w:rPr>
          <w:color w:val="231F20"/>
          <w:spacing w:val="-15"/>
          <w:w w:val="105"/>
        </w:rPr>
        <w:t> </w:t>
      </w:r>
      <w:r>
        <w:rPr>
          <w:color w:val="231F20"/>
          <w:w w:val="105"/>
        </w:rPr>
        <w:t>to</w:t>
      </w:r>
      <w:r>
        <w:rPr>
          <w:color w:val="231F20"/>
          <w:spacing w:val="-16"/>
          <w:w w:val="105"/>
        </w:rPr>
        <w:t> </w:t>
      </w:r>
      <w:r>
        <w:rPr>
          <w:color w:val="231F20"/>
          <w:w w:val="105"/>
        </w:rPr>
        <w:t>calculate the incubation period. Many investigators, </w:t>
      </w:r>
      <w:r>
        <w:rPr>
          <w:color w:val="231F20"/>
          <w:spacing w:val="-4"/>
          <w:w w:val="105"/>
        </w:rPr>
        <w:t>however,</w:t>
      </w:r>
      <w:r>
        <w:rPr>
          <w:color w:val="231F20"/>
          <w:spacing w:val="-22"/>
          <w:w w:val="105"/>
        </w:rPr>
        <w:t> </w:t>
      </w:r>
      <w:r>
        <w:rPr>
          <w:color w:val="231F20"/>
          <w:w w:val="105"/>
        </w:rPr>
        <w:t>collect</w:t>
      </w:r>
      <w:r>
        <w:rPr>
          <w:color w:val="231F20"/>
          <w:spacing w:val="-22"/>
          <w:w w:val="105"/>
        </w:rPr>
        <w:t> </w:t>
      </w:r>
      <w:r>
        <w:rPr>
          <w:color w:val="231F20"/>
          <w:w w:val="105"/>
        </w:rPr>
        <w:t>information</w:t>
      </w:r>
      <w:r>
        <w:rPr>
          <w:color w:val="231F20"/>
          <w:spacing w:val="-23"/>
          <w:w w:val="105"/>
        </w:rPr>
        <w:t> </w:t>
      </w:r>
      <w:r>
        <w:rPr>
          <w:color w:val="231F20"/>
          <w:w w:val="105"/>
        </w:rPr>
        <w:t>from</w:t>
      </w:r>
      <w:r>
        <w:rPr>
          <w:color w:val="231F20"/>
          <w:spacing w:val="-23"/>
          <w:w w:val="105"/>
        </w:rPr>
        <w:t> </w:t>
      </w:r>
      <w:r>
        <w:rPr>
          <w:color w:val="231F20"/>
          <w:w w:val="105"/>
        </w:rPr>
        <w:t>both</w:t>
      </w:r>
      <w:r>
        <w:rPr>
          <w:color w:val="231F20"/>
          <w:spacing w:val="-22"/>
          <w:w w:val="105"/>
        </w:rPr>
        <w:t> </w:t>
      </w:r>
      <w:r>
        <w:rPr>
          <w:color w:val="231F20"/>
          <w:w w:val="105"/>
        </w:rPr>
        <w:t>times (where</w:t>
      </w:r>
      <w:r>
        <w:rPr>
          <w:color w:val="231F20"/>
          <w:spacing w:val="-13"/>
          <w:w w:val="105"/>
        </w:rPr>
        <w:t> </w:t>
      </w:r>
      <w:r>
        <w:rPr>
          <w:color w:val="231F20"/>
          <w:w w:val="105"/>
        </w:rPr>
        <w:t>applicable),</w:t>
      </w:r>
      <w:r>
        <w:rPr>
          <w:color w:val="231F20"/>
          <w:spacing w:val="-14"/>
          <w:w w:val="105"/>
        </w:rPr>
        <w:t> </w:t>
      </w:r>
      <w:r>
        <w:rPr>
          <w:color w:val="231F20"/>
          <w:w w:val="105"/>
        </w:rPr>
        <w:t>generally</w:t>
      </w:r>
      <w:r>
        <w:rPr>
          <w:color w:val="231F20"/>
          <w:spacing w:val="-14"/>
          <w:w w:val="105"/>
        </w:rPr>
        <w:t> </w:t>
      </w:r>
      <w:r>
        <w:rPr>
          <w:color w:val="231F20"/>
          <w:w w:val="105"/>
        </w:rPr>
        <w:t>using</w:t>
      </w:r>
      <w:r>
        <w:rPr>
          <w:color w:val="231F20"/>
          <w:spacing w:val="-14"/>
          <w:w w:val="105"/>
        </w:rPr>
        <w:t> </w:t>
      </w:r>
      <w:r>
        <w:rPr>
          <w:color w:val="231F20"/>
          <w:w w:val="105"/>
        </w:rPr>
        <w:t>onset</w:t>
      </w:r>
    </w:p>
    <w:p>
      <w:pPr>
        <w:pStyle w:val="BodyText"/>
        <w:spacing w:line="266" w:lineRule="auto"/>
        <w:ind w:left="332" w:right="901"/>
      </w:pPr>
      <w:r>
        <w:rPr>
          <w:color w:val="231F20"/>
        </w:rPr>
        <w:t>of hard symptoms as the default. For most etiologies it is important to collect both the date and the specific time of  symptom  onset.</w:t>
      </w:r>
    </w:p>
    <w:p>
      <w:pPr>
        <w:pStyle w:val="ListParagraph"/>
        <w:numPr>
          <w:ilvl w:val="4"/>
          <w:numId w:val="15"/>
        </w:numPr>
        <w:tabs>
          <w:tab w:pos="1123" w:val="left" w:leader="none"/>
        </w:tabs>
        <w:spacing w:line="266" w:lineRule="auto" w:before="180" w:after="0"/>
        <w:ind w:left="332" w:right="998" w:firstLine="0"/>
        <w:jc w:val="left"/>
        <w:rPr>
          <w:i/>
          <w:sz w:val="20"/>
        </w:rPr>
      </w:pPr>
      <w:r>
        <w:rPr>
          <w:i/>
          <w:color w:val="0079C1"/>
          <w:w w:val="105"/>
          <w:sz w:val="20"/>
        </w:rPr>
        <w:t>Signs,</w:t>
      </w:r>
      <w:r>
        <w:rPr>
          <w:i/>
          <w:color w:val="0079C1"/>
          <w:spacing w:val="-20"/>
          <w:w w:val="105"/>
          <w:sz w:val="20"/>
        </w:rPr>
        <w:t> </w:t>
      </w:r>
      <w:r>
        <w:rPr>
          <w:i/>
          <w:color w:val="0079C1"/>
          <w:w w:val="105"/>
          <w:sz w:val="20"/>
        </w:rPr>
        <w:t>symptoms,</w:t>
      </w:r>
      <w:r>
        <w:rPr>
          <w:i/>
          <w:color w:val="0079C1"/>
          <w:spacing w:val="-20"/>
          <w:w w:val="105"/>
          <w:sz w:val="20"/>
        </w:rPr>
        <w:t> </w:t>
      </w:r>
      <w:r>
        <w:rPr>
          <w:i/>
          <w:color w:val="0079C1"/>
          <w:w w:val="105"/>
          <w:sz w:val="20"/>
        </w:rPr>
        <w:t>incubation</w:t>
      </w:r>
      <w:r>
        <w:rPr>
          <w:i/>
          <w:color w:val="0079C1"/>
          <w:spacing w:val="-20"/>
          <w:w w:val="105"/>
          <w:sz w:val="20"/>
        </w:rPr>
        <w:t> </w:t>
      </w:r>
      <w:r>
        <w:rPr>
          <w:i/>
          <w:color w:val="0079C1"/>
          <w:w w:val="105"/>
          <w:sz w:val="20"/>
        </w:rPr>
        <w:t>period,</w:t>
      </w:r>
      <w:r>
        <w:rPr>
          <w:i/>
          <w:color w:val="0079C1"/>
          <w:spacing w:val="-20"/>
          <w:w w:val="105"/>
          <w:sz w:val="20"/>
        </w:rPr>
        <w:t> </w:t>
      </w:r>
      <w:r>
        <w:rPr>
          <w:i/>
          <w:color w:val="0079C1"/>
          <w:w w:val="105"/>
          <w:sz w:val="20"/>
        </w:rPr>
        <w:t>and </w:t>
      </w:r>
      <w:r>
        <w:rPr>
          <w:i/>
          <w:color w:val="0079C1"/>
          <w:w w:val="105"/>
          <w:sz w:val="20"/>
        </w:rPr>
        <w:t>duration of</w:t>
      </w:r>
      <w:r>
        <w:rPr>
          <w:i/>
          <w:color w:val="0079C1"/>
          <w:spacing w:val="6"/>
          <w:w w:val="105"/>
          <w:sz w:val="20"/>
        </w:rPr>
        <w:t> </w:t>
      </w:r>
      <w:r>
        <w:rPr>
          <w:i/>
          <w:color w:val="0079C1"/>
          <w:w w:val="105"/>
          <w:sz w:val="20"/>
        </w:rPr>
        <w:t>illness</w:t>
      </w:r>
    </w:p>
    <w:p>
      <w:pPr>
        <w:pStyle w:val="BodyText"/>
        <w:spacing w:line="266" w:lineRule="auto"/>
        <w:ind w:left="332" w:right="926"/>
      </w:pPr>
      <w:r>
        <w:rPr>
          <w:color w:val="231F20"/>
          <w:w w:val="105"/>
        </w:rPr>
        <w:t>In</w:t>
      </w:r>
      <w:r>
        <w:rPr>
          <w:color w:val="231F20"/>
          <w:spacing w:val="-7"/>
          <w:w w:val="105"/>
        </w:rPr>
        <w:t> </w:t>
      </w:r>
      <w:r>
        <w:rPr>
          <w:color w:val="231F20"/>
          <w:w w:val="105"/>
        </w:rPr>
        <w:t>identifying</w:t>
      </w:r>
      <w:r>
        <w:rPr>
          <w:color w:val="231F20"/>
          <w:spacing w:val="-6"/>
          <w:w w:val="105"/>
        </w:rPr>
        <w:t> </w:t>
      </w:r>
      <w:r>
        <w:rPr>
          <w:color w:val="231F20"/>
          <w:w w:val="105"/>
        </w:rPr>
        <w:t>the</w:t>
      </w:r>
      <w:r>
        <w:rPr>
          <w:color w:val="231F20"/>
          <w:spacing w:val="-7"/>
          <w:w w:val="105"/>
        </w:rPr>
        <w:t> </w:t>
      </w:r>
      <w:r>
        <w:rPr>
          <w:color w:val="231F20"/>
          <w:w w:val="105"/>
        </w:rPr>
        <w:t>likely</w:t>
      </w:r>
      <w:r>
        <w:rPr>
          <w:color w:val="231F20"/>
          <w:spacing w:val="-7"/>
          <w:w w:val="105"/>
        </w:rPr>
        <w:t> </w:t>
      </w:r>
      <w:r>
        <w:rPr>
          <w:color w:val="231F20"/>
          <w:w w:val="105"/>
        </w:rPr>
        <w:t>etiologic</w:t>
      </w:r>
      <w:r>
        <w:rPr>
          <w:color w:val="231F20"/>
          <w:spacing w:val="-8"/>
          <w:w w:val="105"/>
        </w:rPr>
        <w:t> </w:t>
      </w:r>
      <w:r>
        <w:rPr>
          <w:color w:val="231F20"/>
          <w:w w:val="105"/>
        </w:rPr>
        <w:t>agent</w:t>
      </w:r>
      <w:r>
        <w:rPr>
          <w:color w:val="231F20"/>
          <w:spacing w:val="-7"/>
          <w:w w:val="105"/>
        </w:rPr>
        <w:t> </w:t>
      </w:r>
      <w:r>
        <w:rPr>
          <w:color w:val="231F20"/>
          <w:w w:val="105"/>
        </w:rPr>
        <w:t>in</w:t>
      </w:r>
      <w:r>
        <w:rPr>
          <w:color w:val="231F20"/>
          <w:spacing w:val="-7"/>
          <w:w w:val="105"/>
        </w:rPr>
        <w:t> </w:t>
      </w:r>
      <w:r>
        <w:rPr>
          <w:color w:val="231F20"/>
          <w:w w:val="105"/>
        </w:rPr>
        <w:t>an outbreak on the basis of signs, symptoms, incubation period, and duration of illness, it is</w:t>
      </w:r>
      <w:r>
        <w:rPr>
          <w:color w:val="231F20"/>
          <w:spacing w:val="-18"/>
          <w:w w:val="105"/>
        </w:rPr>
        <w:t> </w:t>
      </w:r>
      <w:r>
        <w:rPr>
          <w:color w:val="231F20"/>
          <w:w w:val="105"/>
        </w:rPr>
        <w:t>often</w:t>
      </w:r>
      <w:r>
        <w:rPr>
          <w:color w:val="231F20"/>
          <w:spacing w:val="-18"/>
          <w:w w:val="105"/>
        </w:rPr>
        <w:t> </w:t>
      </w:r>
      <w:r>
        <w:rPr>
          <w:color w:val="231F20"/>
          <w:w w:val="105"/>
        </w:rPr>
        <w:t>helpful</w:t>
      </w:r>
      <w:r>
        <w:rPr>
          <w:color w:val="231F20"/>
          <w:spacing w:val="-18"/>
          <w:w w:val="105"/>
        </w:rPr>
        <w:t> </w:t>
      </w:r>
      <w:r>
        <w:rPr>
          <w:color w:val="231F20"/>
          <w:w w:val="105"/>
        </w:rPr>
        <w:t>to</w:t>
      </w:r>
      <w:r>
        <w:rPr>
          <w:color w:val="231F20"/>
          <w:spacing w:val="-18"/>
          <w:w w:val="105"/>
        </w:rPr>
        <w:t> </w:t>
      </w:r>
      <w:r>
        <w:rPr>
          <w:color w:val="231F20"/>
          <w:w w:val="105"/>
        </w:rPr>
        <w:t>first</w:t>
      </w:r>
      <w:r>
        <w:rPr>
          <w:color w:val="231F20"/>
          <w:spacing w:val="-18"/>
          <w:w w:val="105"/>
        </w:rPr>
        <w:t> </w:t>
      </w:r>
      <w:r>
        <w:rPr>
          <w:color w:val="231F20"/>
          <w:w w:val="105"/>
        </w:rPr>
        <w:t>categorize</w:t>
      </w:r>
      <w:r>
        <w:rPr>
          <w:color w:val="231F20"/>
          <w:spacing w:val="-18"/>
          <w:w w:val="105"/>
        </w:rPr>
        <w:t> </w:t>
      </w:r>
      <w:r>
        <w:rPr>
          <w:color w:val="231F20"/>
          <w:w w:val="105"/>
        </w:rPr>
        <w:t>a</w:t>
      </w:r>
      <w:r>
        <w:rPr>
          <w:color w:val="231F20"/>
          <w:spacing w:val="-18"/>
          <w:w w:val="105"/>
        </w:rPr>
        <w:t> </w:t>
      </w:r>
      <w:r>
        <w:rPr>
          <w:color w:val="231F20"/>
          <w:w w:val="105"/>
        </w:rPr>
        <w:t>suspected</w:t>
      </w:r>
    </w:p>
    <w:p>
      <w:pPr>
        <w:pStyle w:val="BodyText"/>
        <w:spacing w:line="266" w:lineRule="auto"/>
        <w:ind w:left="332" w:right="712"/>
      </w:pPr>
      <w:r>
        <w:rPr>
          <w:color w:val="231F20"/>
          <w:w w:val="105"/>
        </w:rPr>
        <w:t>foodborne</w:t>
      </w:r>
      <w:r>
        <w:rPr>
          <w:color w:val="231F20"/>
          <w:spacing w:val="-19"/>
          <w:w w:val="105"/>
        </w:rPr>
        <w:t> </w:t>
      </w:r>
      <w:r>
        <w:rPr>
          <w:color w:val="231F20"/>
          <w:w w:val="105"/>
        </w:rPr>
        <w:t>illness</w:t>
      </w:r>
      <w:r>
        <w:rPr>
          <w:color w:val="231F20"/>
          <w:spacing w:val="-20"/>
          <w:w w:val="105"/>
        </w:rPr>
        <w:t> </w:t>
      </w:r>
      <w:r>
        <w:rPr>
          <w:color w:val="231F20"/>
          <w:w w:val="105"/>
        </w:rPr>
        <w:t>as</w:t>
      </w:r>
      <w:r>
        <w:rPr>
          <w:color w:val="231F20"/>
          <w:spacing w:val="-20"/>
          <w:w w:val="105"/>
        </w:rPr>
        <w:t> </w:t>
      </w:r>
      <w:r>
        <w:rPr>
          <w:color w:val="231F20"/>
          <w:w w:val="105"/>
        </w:rPr>
        <w:t>resulting</w:t>
      </w:r>
      <w:r>
        <w:rPr>
          <w:color w:val="231F20"/>
          <w:spacing w:val="-21"/>
          <w:w w:val="105"/>
        </w:rPr>
        <w:t> </w:t>
      </w:r>
      <w:r>
        <w:rPr>
          <w:color w:val="231F20"/>
          <w:w w:val="105"/>
        </w:rPr>
        <w:t>from</w:t>
      </w:r>
      <w:r>
        <w:rPr>
          <w:color w:val="231F20"/>
          <w:spacing w:val="-20"/>
          <w:w w:val="105"/>
        </w:rPr>
        <w:t> </w:t>
      </w:r>
      <w:r>
        <w:rPr>
          <w:color w:val="231F20"/>
          <w:w w:val="105"/>
        </w:rPr>
        <w:t>a</w:t>
      </w:r>
      <w:r>
        <w:rPr>
          <w:color w:val="231F20"/>
          <w:spacing w:val="-19"/>
          <w:w w:val="105"/>
        </w:rPr>
        <w:t> </w:t>
      </w:r>
      <w:r>
        <w:rPr>
          <w:color w:val="231F20"/>
          <w:w w:val="105"/>
        </w:rPr>
        <w:t>preformed toxin,</w:t>
      </w:r>
      <w:r>
        <w:rPr>
          <w:color w:val="231F20"/>
          <w:spacing w:val="-22"/>
          <w:w w:val="105"/>
        </w:rPr>
        <w:t> </w:t>
      </w:r>
      <w:r>
        <w:rPr>
          <w:color w:val="231F20"/>
          <w:w w:val="105"/>
        </w:rPr>
        <w:t>enterotoxin,</w:t>
      </w:r>
      <w:r>
        <w:rPr>
          <w:color w:val="231F20"/>
          <w:spacing w:val="-22"/>
          <w:w w:val="105"/>
        </w:rPr>
        <w:t> </w:t>
      </w:r>
      <w:r>
        <w:rPr>
          <w:color w:val="231F20"/>
          <w:w w:val="105"/>
        </w:rPr>
        <w:t>or</w:t>
      </w:r>
      <w:r>
        <w:rPr>
          <w:color w:val="231F20"/>
          <w:spacing w:val="-22"/>
          <w:w w:val="105"/>
        </w:rPr>
        <w:t> </w:t>
      </w:r>
      <w:r>
        <w:rPr>
          <w:color w:val="231F20"/>
          <w:w w:val="105"/>
        </w:rPr>
        <w:t>infection.</w:t>
      </w:r>
    </w:p>
    <w:p>
      <w:pPr>
        <w:pStyle w:val="BodyText"/>
        <w:spacing w:line="266" w:lineRule="auto" w:before="180"/>
        <w:ind w:left="332" w:right="805"/>
      </w:pPr>
      <w:r>
        <w:rPr>
          <w:color w:val="231F20"/>
          <w:w w:val="105"/>
        </w:rPr>
        <w:t>Illnesses from preformed toxins are caused by ingestion of food already contaminated by toxins. Sources of preformed toxin include</w:t>
      </w:r>
    </w:p>
    <w:p>
      <w:pPr>
        <w:spacing w:after="0" w:line="266" w:lineRule="auto"/>
        <w:sectPr>
          <w:type w:val="continuous"/>
          <w:pgSz w:w="10080" w:h="14400"/>
          <w:pgMar w:top="0" w:bottom="360" w:left="0" w:right="0"/>
          <w:cols w:num="2" w:equalWidth="0">
            <w:col w:w="5208" w:space="40"/>
            <w:col w:w="4832"/>
          </w:cols>
        </w:sectPr>
      </w:pPr>
    </w:p>
    <w:p>
      <w:pPr>
        <w:pStyle w:val="BodyText"/>
        <w:spacing w:before="8"/>
        <w:rPr>
          <w:sz w:val="26"/>
        </w:rPr>
      </w:pPr>
    </w:p>
    <w:p>
      <w:pPr>
        <w:pStyle w:val="Heading1"/>
        <w:ind w:left="720"/>
      </w:pPr>
      <w:r>
        <w:rPr/>
        <w:pict>
          <v:line style="position:absolute;mso-position-horizontal-relative:page;mso-position-vertical-relative:paragraph;z-index:4264;mso-wrap-distance-left:0;mso-wrap-distance-right:0" from="36pt,23.995163pt" to="432pt,23.995163pt" stroked="true" strokeweight=".5pt" strokecolor="#00a94f">
            <v:stroke dashstyle="solid"/>
            <w10:wrap type="topAndBottom"/>
          </v:line>
        </w:pict>
      </w:r>
      <w:r>
        <w:rPr>
          <w:color w:val="00A94F"/>
          <w:w w:val="95"/>
        </w:rPr>
        <w:t>2.4. Etiologic Agents Associated with Foodborne Diseases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right="-13"/>
      </w:pPr>
      <w:r>
        <w:rPr>
          <w:color w:val="231F20"/>
          <w:w w:val="105"/>
        </w:rPr>
        <w:t>certain bacteria, poisonous chemicals, heavy metals, and toxins found naturally in animals, plants, or fungi. Preformed toxins most often result from bacteria, such as </w:t>
      </w:r>
      <w:r>
        <w:rPr>
          <w:i/>
          <w:color w:val="231F20"/>
          <w:w w:val="105"/>
        </w:rPr>
        <w:t>Staphylococcus </w:t>
      </w:r>
      <w:r>
        <w:rPr>
          <w:i/>
          <w:color w:val="231F20"/>
          <w:w w:val="105"/>
        </w:rPr>
        <w:t>aureus</w:t>
      </w:r>
      <w:r>
        <w:rPr>
          <w:color w:val="231F20"/>
          <w:w w:val="105"/>
        </w:rPr>
        <w:t>, </w:t>
      </w:r>
      <w:r>
        <w:rPr>
          <w:i/>
          <w:color w:val="231F20"/>
          <w:w w:val="105"/>
        </w:rPr>
        <w:t>Bacillus cereus</w:t>
      </w:r>
      <w:r>
        <w:rPr>
          <w:color w:val="231F20"/>
          <w:w w:val="105"/>
        </w:rPr>
        <w:t>, and </w:t>
      </w:r>
      <w:r>
        <w:rPr>
          <w:i/>
          <w:color w:val="231F20"/>
          <w:w w:val="105"/>
        </w:rPr>
        <w:t>Clostridium botulinum</w:t>
      </w:r>
      <w:r>
        <w:rPr>
          <w:color w:val="231F20"/>
          <w:w w:val="105"/>
        </w:rPr>
        <w:t>, that release toxins into food during growth in the</w:t>
      </w:r>
      <w:r>
        <w:rPr>
          <w:color w:val="231F20"/>
          <w:spacing w:val="-14"/>
          <w:w w:val="105"/>
        </w:rPr>
        <w:t> </w:t>
      </w:r>
      <w:r>
        <w:rPr>
          <w:color w:val="231F20"/>
          <w:w w:val="105"/>
        </w:rPr>
        <w:t>food.</w:t>
      </w:r>
      <w:r>
        <w:rPr>
          <w:color w:val="231F20"/>
          <w:spacing w:val="-14"/>
          <w:w w:val="105"/>
        </w:rPr>
        <w:t> </w:t>
      </w:r>
      <w:r>
        <w:rPr>
          <w:color w:val="231F20"/>
          <w:w w:val="105"/>
        </w:rPr>
        <w:t>The</w:t>
      </w:r>
      <w:r>
        <w:rPr>
          <w:color w:val="231F20"/>
          <w:spacing w:val="-14"/>
          <w:w w:val="105"/>
        </w:rPr>
        <w:t> </w:t>
      </w:r>
      <w:r>
        <w:rPr>
          <w:color w:val="231F20"/>
          <w:w w:val="105"/>
        </w:rPr>
        <w:t>preformed</w:t>
      </w:r>
      <w:r>
        <w:rPr>
          <w:color w:val="231F20"/>
          <w:spacing w:val="-14"/>
          <w:w w:val="105"/>
        </w:rPr>
        <w:t> </w:t>
      </w:r>
      <w:r>
        <w:rPr>
          <w:color w:val="231F20"/>
          <w:w w:val="105"/>
        </w:rPr>
        <w:t>toxin</w:t>
      </w:r>
      <w:r>
        <w:rPr>
          <w:color w:val="231F20"/>
          <w:spacing w:val="-14"/>
          <w:w w:val="105"/>
        </w:rPr>
        <w:t> </w:t>
      </w:r>
      <w:r>
        <w:rPr>
          <w:color w:val="231F20"/>
          <w:w w:val="105"/>
        </w:rPr>
        <w:t>is</w:t>
      </w:r>
      <w:r>
        <w:rPr>
          <w:color w:val="231F20"/>
          <w:spacing w:val="-14"/>
          <w:w w:val="105"/>
        </w:rPr>
        <w:t> </w:t>
      </w:r>
      <w:r>
        <w:rPr>
          <w:color w:val="231F20"/>
          <w:w w:val="105"/>
        </w:rPr>
        <w:t>ingested;</w:t>
      </w:r>
      <w:r>
        <w:rPr>
          <w:color w:val="231F20"/>
          <w:spacing w:val="-14"/>
          <w:w w:val="105"/>
        </w:rPr>
        <w:t> </w:t>
      </w:r>
      <w:r>
        <w:rPr>
          <w:color w:val="231F20"/>
          <w:w w:val="105"/>
        </w:rPr>
        <w:t>thus live bacteria do not need to be consumed to cause</w:t>
      </w:r>
      <w:r>
        <w:rPr>
          <w:color w:val="231F20"/>
          <w:spacing w:val="-28"/>
          <w:w w:val="105"/>
        </w:rPr>
        <w:t> </w:t>
      </w:r>
      <w:r>
        <w:rPr>
          <w:color w:val="231F20"/>
          <w:w w:val="105"/>
        </w:rPr>
        <w:t>illness.</w:t>
      </w:r>
    </w:p>
    <w:p>
      <w:pPr>
        <w:pStyle w:val="BodyText"/>
        <w:spacing w:line="266" w:lineRule="auto" w:before="144"/>
        <w:ind w:left="720" w:right="128"/>
      </w:pPr>
      <w:r>
        <w:rPr>
          <w:color w:val="231F20"/>
        </w:rPr>
        <w:t>Illness from a preformed toxin manifests more rapidly than does illness from an enterotoxin or infection because time for growth and invasion of the intestinal lining or production of enterotoxin is not required. The incubation period for illnesses from a preformed toxin is often minutes or hours.</w:t>
      </w:r>
    </w:p>
    <w:p>
      <w:pPr>
        <w:pStyle w:val="BodyText"/>
        <w:spacing w:line="266" w:lineRule="auto" w:before="143"/>
        <w:ind w:left="720"/>
      </w:pPr>
      <w:r>
        <w:rPr>
          <w:color w:val="231F20"/>
        </w:rPr>
        <w:t>Signs and symptoms depend on the toxin ingested  but  commonly  include  vomiting. Other symptoms can range from nausea and diarrhea to interference with sensory and motor functions, such as double vision, weakness, respiratory failure, numbness, tingling of the face, and disorientation. Fever is rarely  present.</w:t>
      </w:r>
    </w:p>
    <w:p>
      <w:pPr>
        <w:pStyle w:val="BodyText"/>
        <w:spacing w:line="266" w:lineRule="auto" w:before="143"/>
        <w:ind w:left="720" w:right="382"/>
        <w:jc w:val="both"/>
      </w:pPr>
      <w:r>
        <w:rPr>
          <w:color w:val="231F20"/>
        </w:rPr>
        <w:t>Infections result from growth of a</w:t>
      </w:r>
      <w:r>
        <w:rPr>
          <w:color w:val="231F20"/>
          <w:spacing w:val="-22"/>
        </w:rPr>
        <w:t> </w:t>
      </w:r>
      <w:r>
        <w:rPr>
          <w:color w:val="231F20"/>
        </w:rPr>
        <w:t>microor- ganism in the </w:t>
      </w:r>
      <w:r>
        <w:rPr>
          <w:color w:val="231F20"/>
          <w:spacing w:val="-6"/>
        </w:rPr>
        <w:t>body. </w:t>
      </w:r>
      <w:r>
        <w:rPr>
          <w:color w:val="231F20"/>
        </w:rPr>
        <w:t>Illness results from two mechanisms:</w:t>
      </w:r>
    </w:p>
    <w:p>
      <w:pPr>
        <w:pStyle w:val="ListParagraph"/>
        <w:numPr>
          <w:ilvl w:val="5"/>
          <w:numId w:val="15"/>
        </w:numPr>
        <w:tabs>
          <w:tab w:pos="891" w:val="left" w:leader="none"/>
        </w:tabs>
        <w:spacing w:line="266" w:lineRule="auto" w:before="143" w:after="0"/>
        <w:ind w:left="890" w:right="187" w:hanging="170"/>
        <w:jc w:val="left"/>
        <w:rPr>
          <w:sz w:val="20"/>
        </w:rPr>
      </w:pPr>
      <w:r>
        <w:rPr>
          <w:color w:val="231F20"/>
          <w:w w:val="105"/>
          <w:sz w:val="20"/>
        </w:rPr>
        <w:t>Viruses, bacteria, or parasites invade the intestinal mucosa and/or other tissues, </w:t>
      </w:r>
      <w:r>
        <w:rPr>
          <w:color w:val="231F20"/>
          <w:spacing w:val="-4"/>
          <w:w w:val="105"/>
          <w:sz w:val="20"/>
        </w:rPr>
        <w:t>multiply, </w:t>
      </w:r>
      <w:r>
        <w:rPr>
          <w:color w:val="231F20"/>
          <w:w w:val="105"/>
          <w:sz w:val="20"/>
        </w:rPr>
        <w:t>and directly damage surrounding tissues;</w:t>
      </w:r>
      <w:r>
        <w:rPr>
          <w:color w:val="231F20"/>
          <w:spacing w:val="-33"/>
          <w:w w:val="105"/>
          <w:sz w:val="20"/>
        </w:rPr>
        <w:t> </w:t>
      </w:r>
      <w:r>
        <w:rPr>
          <w:color w:val="231F20"/>
          <w:w w:val="105"/>
          <w:sz w:val="20"/>
        </w:rPr>
        <w:t>or</w:t>
      </w:r>
    </w:p>
    <w:p>
      <w:pPr>
        <w:pStyle w:val="ListParagraph"/>
        <w:numPr>
          <w:ilvl w:val="0"/>
          <w:numId w:val="11"/>
        </w:numPr>
        <w:tabs>
          <w:tab w:pos="513" w:val="left" w:leader="none"/>
        </w:tabs>
        <w:spacing w:line="266" w:lineRule="auto" w:before="108" w:after="0"/>
        <w:ind w:left="512" w:right="1820" w:hanging="171"/>
        <w:jc w:val="left"/>
        <w:rPr>
          <w:sz w:val="20"/>
        </w:rPr>
      </w:pPr>
      <w:r>
        <w:rPr>
          <w:color w:val="231F20"/>
          <w:w w:val="106"/>
          <w:sz w:val="20"/>
        </w:rPr>
        <w:br w:type="column"/>
      </w:r>
      <w:r>
        <w:rPr>
          <w:color w:val="231F20"/>
          <w:w w:val="105"/>
          <w:sz w:val="20"/>
        </w:rPr>
        <w:t>Bacteria and certain viruses invade and multiply in the intestinal tract and then release toxins that damage surrounding tissues</w:t>
      </w:r>
      <w:r>
        <w:rPr>
          <w:color w:val="231F20"/>
          <w:spacing w:val="-13"/>
          <w:w w:val="105"/>
          <w:sz w:val="20"/>
        </w:rPr>
        <w:t> </w:t>
      </w:r>
      <w:r>
        <w:rPr>
          <w:color w:val="231F20"/>
          <w:w w:val="105"/>
          <w:sz w:val="20"/>
        </w:rPr>
        <w:t>or</w:t>
      </w:r>
      <w:r>
        <w:rPr>
          <w:color w:val="231F20"/>
          <w:spacing w:val="-11"/>
          <w:w w:val="105"/>
          <w:sz w:val="20"/>
        </w:rPr>
        <w:t> </w:t>
      </w:r>
      <w:r>
        <w:rPr>
          <w:color w:val="231F20"/>
          <w:w w:val="105"/>
          <w:sz w:val="20"/>
        </w:rPr>
        <w:t>interfere</w:t>
      </w:r>
      <w:r>
        <w:rPr>
          <w:color w:val="231F20"/>
          <w:spacing w:val="-11"/>
          <w:w w:val="105"/>
          <w:sz w:val="20"/>
        </w:rPr>
        <w:t> </w:t>
      </w:r>
      <w:r>
        <w:rPr>
          <w:color w:val="231F20"/>
          <w:w w:val="105"/>
          <w:sz w:val="20"/>
        </w:rPr>
        <w:t>with</w:t>
      </w:r>
      <w:r>
        <w:rPr>
          <w:color w:val="231F20"/>
          <w:spacing w:val="-11"/>
          <w:w w:val="105"/>
          <w:sz w:val="20"/>
        </w:rPr>
        <w:t> </w:t>
      </w:r>
      <w:r>
        <w:rPr>
          <w:color w:val="231F20"/>
          <w:w w:val="105"/>
          <w:sz w:val="20"/>
        </w:rPr>
        <w:t>normal</w:t>
      </w:r>
      <w:r>
        <w:rPr>
          <w:color w:val="231F20"/>
          <w:spacing w:val="-11"/>
          <w:w w:val="105"/>
          <w:sz w:val="20"/>
        </w:rPr>
        <w:t> </w:t>
      </w:r>
      <w:r>
        <w:rPr>
          <w:color w:val="231F20"/>
          <w:w w:val="105"/>
          <w:sz w:val="20"/>
        </w:rPr>
        <w:t>organ</w:t>
      </w:r>
      <w:r>
        <w:rPr>
          <w:color w:val="231F20"/>
          <w:spacing w:val="-12"/>
          <w:w w:val="105"/>
          <w:sz w:val="20"/>
        </w:rPr>
        <w:t> </w:t>
      </w:r>
      <w:r>
        <w:rPr>
          <w:color w:val="231F20"/>
          <w:w w:val="105"/>
          <w:sz w:val="20"/>
        </w:rPr>
        <w:t>or </w:t>
      </w:r>
      <w:r>
        <w:rPr>
          <w:color w:val="231F20"/>
          <w:sz w:val="20"/>
        </w:rPr>
        <w:t>tissue function</w:t>
      </w:r>
      <w:r>
        <w:rPr>
          <w:color w:val="231F20"/>
          <w:spacing w:val="6"/>
          <w:sz w:val="20"/>
        </w:rPr>
        <w:t> </w:t>
      </w:r>
      <w:r>
        <w:rPr>
          <w:color w:val="231F20"/>
          <w:sz w:val="20"/>
        </w:rPr>
        <w:t>(enterotoxins).</w:t>
      </w:r>
    </w:p>
    <w:p>
      <w:pPr>
        <w:pStyle w:val="BodyText"/>
        <w:spacing w:line="266" w:lineRule="auto" w:before="144"/>
        <w:ind w:left="341" w:right="1442"/>
      </w:pPr>
      <w:r>
        <w:rPr/>
        <w:pict>
          <v:rect style="position:absolute;margin-left:459pt;margin-top:-40.598660pt;width:45pt;height:18pt;mso-position-horizontal-relative:page;mso-position-vertical-relative:paragraph;z-index:4288" filled="true" fillcolor="#0079c1" stroked="false">
            <v:fill type="solid"/>
            <w10:wrap type="none"/>
          </v:rect>
        </w:pict>
      </w:r>
      <w:r>
        <w:rPr/>
        <w:pict>
          <v:line style="position:absolute;mso-position-horizontal-relative:page;mso-position-vertical-relative:paragraph;z-index:4312" from="450.5pt,-40.59906pt" to="450.5pt,201.29894pt" stroked="true" strokeweight="1pt" strokecolor="#0079c1">
            <v:stroke dashstyle="solid"/>
            <w10:wrap type="none"/>
          </v:line>
        </w:pict>
      </w:r>
      <w:r>
        <w:rPr/>
        <w:pict>
          <v:shape style="position:absolute;margin-left:465.014313pt;margin-top:-18.602259pt;width:22.9pt;height:222.55pt;mso-position-horizontal-relative:page;mso-position-vertical-relative:paragraph;z-index:4336"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35.848061pt;width:15.85pt;height:8.5pt;mso-position-horizontal-relative:page;mso-position-vertical-relative:paragraph;z-index:436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w w:val="105"/>
        </w:rPr>
        <w:t>The necessary growth of the microorganism, damage of tissues, and production and release of toxins takes time. Thus, the incubation periods for infections are relatively long, often days, compared with minutes or hours as with </w:t>
      </w:r>
      <w:r>
        <w:rPr>
          <w:color w:val="231F20"/>
        </w:rPr>
        <w:t>preformed toxins.</w:t>
      </w:r>
    </w:p>
    <w:p>
      <w:pPr>
        <w:pStyle w:val="BodyText"/>
        <w:spacing w:line="266" w:lineRule="auto" w:before="143"/>
        <w:ind w:left="341" w:right="1519"/>
      </w:pPr>
      <w:r>
        <w:rPr>
          <w:color w:val="231F20"/>
        </w:rPr>
        <w:t>Symptoms of infection usually include diarrhea, nausea, vomiting, and abdominal cramps. </w:t>
      </w:r>
      <w:r>
        <w:rPr>
          <w:color w:val="231F20"/>
          <w:spacing w:val="-5"/>
        </w:rPr>
        <w:t>Fever </w:t>
      </w:r>
      <w:r>
        <w:rPr>
          <w:color w:val="231F20"/>
        </w:rPr>
        <w:t>and an elevated white blood cell count can also </w:t>
      </w:r>
      <w:r>
        <w:rPr>
          <w:color w:val="231F20"/>
          <w:spacing w:val="-4"/>
        </w:rPr>
        <w:t>occur. </w:t>
      </w:r>
      <w:r>
        <w:rPr>
          <w:color w:val="231F20"/>
        </w:rPr>
        <w:t>If an infectious agent spreads from the gut to the bloodstream, other organs </w:t>
      </w:r>
      <w:r>
        <w:rPr>
          <w:color w:val="231F20"/>
          <w:spacing w:val="-4"/>
        </w:rPr>
        <w:t>(e.g., liver, </w:t>
      </w:r>
      <w:r>
        <w:rPr>
          <w:color w:val="231F20"/>
        </w:rPr>
        <w:t>spleen,</w:t>
      </w:r>
      <w:r>
        <w:rPr>
          <w:color w:val="231F20"/>
          <w:spacing w:val="-15"/>
        </w:rPr>
        <w:t> </w:t>
      </w:r>
      <w:r>
        <w:rPr>
          <w:color w:val="231F20"/>
        </w:rPr>
        <w:t>gallbladder,</w:t>
      </w:r>
      <w:r>
        <w:rPr>
          <w:color w:val="231F20"/>
          <w:spacing w:val="-15"/>
        </w:rPr>
        <w:t> </w:t>
      </w:r>
      <w:r>
        <w:rPr>
          <w:color w:val="231F20"/>
        </w:rPr>
        <w:t>bones,</w:t>
      </w:r>
      <w:r>
        <w:rPr>
          <w:color w:val="231F20"/>
          <w:spacing w:val="-15"/>
        </w:rPr>
        <w:t> </w:t>
      </w:r>
      <w:r>
        <w:rPr>
          <w:color w:val="231F20"/>
        </w:rPr>
        <w:t>and</w:t>
      </w:r>
      <w:r>
        <w:rPr>
          <w:color w:val="231F20"/>
          <w:spacing w:val="-15"/>
        </w:rPr>
        <w:t> </w:t>
      </w:r>
      <w:r>
        <w:rPr>
          <w:color w:val="231F20"/>
        </w:rPr>
        <w:t>meninges)</w:t>
      </w:r>
      <w:r>
        <w:rPr>
          <w:color w:val="231F20"/>
          <w:spacing w:val="-15"/>
        </w:rPr>
        <w:t> </w:t>
      </w:r>
      <w:r>
        <w:rPr>
          <w:color w:val="231F20"/>
        </w:rPr>
        <w:t>can</w:t>
      </w:r>
      <w:r>
        <w:rPr>
          <w:color w:val="231F20"/>
          <w:spacing w:val="-15"/>
        </w:rPr>
        <w:t> </w:t>
      </w:r>
      <w:r>
        <w:rPr>
          <w:color w:val="231F20"/>
        </w:rPr>
        <w:t>be</w:t>
      </w:r>
    </w:p>
    <w:p>
      <w:pPr>
        <w:pStyle w:val="BodyText"/>
        <w:spacing w:line="266" w:lineRule="auto"/>
        <w:ind w:left="341" w:right="1371"/>
      </w:pPr>
      <w:r>
        <w:rPr>
          <w:color w:val="231F20"/>
        </w:rPr>
        <w:t>affected, resulting in an illness of longer duration, increased severity, and signs and symptoms associated with the particular organ affected.</w:t>
      </w:r>
    </w:p>
    <w:p>
      <w:pPr>
        <w:pStyle w:val="ListParagraph"/>
        <w:numPr>
          <w:ilvl w:val="4"/>
          <w:numId w:val="15"/>
        </w:numPr>
        <w:tabs>
          <w:tab w:pos="1132" w:val="left" w:leader="none"/>
        </w:tabs>
        <w:spacing w:line="240" w:lineRule="auto" w:before="144" w:after="0"/>
        <w:ind w:left="1131" w:right="0" w:hanging="790"/>
        <w:jc w:val="left"/>
        <w:rPr>
          <w:i/>
          <w:sz w:val="20"/>
        </w:rPr>
      </w:pPr>
      <w:r>
        <w:rPr>
          <w:i/>
          <w:color w:val="0079C1"/>
          <w:w w:val="105"/>
          <w:sz w:val="20"/>
        </w:rPr>
        <w:t>Suspected</w:t>
      </w:r>
      <w:r>
        <w:rPr>
          <w:i/>
          <w:color w:val="0079C1"/>
          <w:spacing w:val="-24"/>
          <w:w w:val="105"/>
          <w:sz w:val="20"/>
        </w:rPr>
        <w:t> </w:t>
      </w:r>
      <w:r>
        <w:rPr>
          <w:i/>
          <w:color w:val="0079C1"/>
          <w:w w:val="105"/>
          <w:sz w:val="20"/>
        </w:rPr>
        <w:t>food</w:t>
      </w:r>
    </w:p>
    <w:p>
      <w:pPr>
        <w:pStyle w:val="BodyText"/>
        <w:spacing w:line="266" w:lineRule="auto" w:before="24"/>
        <w:ind w:left="341" w:right="1378"/>
      </w:pPr>
      <w:r>
        <w:rPr>
          <w:color w:val="231F20"/>
          <w:w w:val="105"/>
        </w:rPr>
        <w:t>Certain microorganisms are associated with certain food items because the food derives from an animal reservoir of the microorganism or the food provides conditions necessary for the survival and growth of the organism. As a result, the food item suspected in an outbreak, if known, can occasionally provide insight</w:t>
      </w:r>
    </w:p>
    <w:p>
      <w:pPr>
        <w:pStyle w:val="BodyText"/>
        <w:spacing w:line="266" w:lineRule="auto"/>
        <w:ind w:left="341" w:right="1442"/>
      </w:pPr>
      <w:r>
        <w:rPr>
          <w:color w:val="231F20"/>
          <w:w w:val="105"/>
        </w:rPr>
        <w:t>into the etiologic agent </w:t>
      </w:r>
      <w:r>
        <w:rPr>
          <w:color w:val="231F20"/>
          <w:spacing w:val="-4"/>
          <w:w w:val="105"/>
        </w:rPr>
        <w:t>(Table </w:t>
      </w:r>
      <w:r>
        <w:rPr>
          <w:color w:val="231F20"/>
          <w:w w:val="105"/>
        </w:rPr>
        <w:t>2.2). </w:t>
      </w:r>
      <w:r>
        <w:rPr>
          <w:color w:val="231F20"/>
          <w:spacing w:val="-5"/>
          <w:w w:val="105"/>
        </w:rPr>
        <w:t>However, </w:t>
      </w:r>
      <w:r>
        <w:rPr>
          <w:color w:val="231F20"/>
          <w:w w:val="105"/>
        </w:rPr>
        <w:t>most foods can be associated with a variety</w:t>
      </w:r>
    </w:p>
    <w:p>
      <w:pPr>
        <w:spacing w:after="0" w:line="266" w:lineRule="auto"/>
        <w:sectPr>
          <w:type w:val="continuous"/>
          <w:pgSz w:w="10080" w:h="14400"/>
          <w:pgMar w:top="0" w:bottom="360" w:left="0" w:right="0"/>
          <w:cols w:num="2" w:equalWidth="0">
            <w:col w:w="4479" w:space="40"/>
            <w:col w:w="5561"/>
          </w:cols>
        </w:sectPr>
      </w:pPr>
    </w:p>
    <w:p>
      <w:pPr>
        <w:pStyle w:val="BodyText"/>
        <w:spacing w:before="2"/>
        <w:rPr>
          <w:sz w:val="7"/>
        </w:rPr>
      </w:pPr>
    </w:p>
    <w:tbl>
      <w:tblPr>
        <w:tblW w:w="0" w:type="auto"/>
        <w:jc w:val="left"/>
        <w:tblInd w:w="720"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top w:w="0" w:type="dxa"/>
          <w:left w:w="0" w:type="dxa"/>
          <w:bottom w:w="0" w:type="dxa"/>
          <w:right w:w="0" w:type="dxa"/>
        </w:tblCellMar>
        <w:tblLook w:val="01E0"/>
      </w:tblPr>
      <w:tblGrid>
        <w:gridCol w:w="2610"/>
        <w:gridCol w:w="5310"/>
      </w:tblGrid>
      <w:tr>
        <w:trPr>
          <w:trHeight w:val="450" w:hRule="exact"/>
        </w:trPr>
        <w:tc>
          <w:tcPr>
            <w:tcW w:w="7920" w:type="dxa"/>
            <w:gridSpan w:val="2"/>
            <w:shd w:val="clear" w:color="auto" w:fill="C4E3CA"/>
          </w:tcPr>
          <w:p>
            <w:pPr>
              <w:pStyle w:val="TableParagraph"/>
              <w:spacing w:line="212" w:lineRule="exact" w:before="18"/>
              <w:ind w:left="102"/>
              <w:rPr>
                <w:rFonts w:ascii="Trebuchet MS"/>
                <w:b/>
                <w:sz w:val="20"/>
              </w:rPr>
            </w:pPr>
            <w:r>
              <w:rPr>
                <w:rFonts w:ascii="Trebuchet MS"/>
                <w:b/>
                <w:color w:val="E36F1E"/>
                <w:sz w:val="20"/>
              </w:rPr>
              <w:t>Table 2.2.  </w:t>
            </w:r>
            <w:r>
              <w:rPr>
                <w:rFonts w:ascii="Trebuchet MS"/>
                <w:b/>
                <w:color w:val="1C3E94"/>
                <w:sz w:val="20"/>
              </w:rPr>
              <w:t>Examples of food items and commonly associated microorganisms</w:t>
            </w:r>
          </w:p>
          <w:p>
            <w:pPr>
              <w:pStyle w:val="TableParagraph"/>
              <w:spacing w:line="186" w:lineRule="exact" w:before="0"/>
              <w:ind w:left="1130"/>
              <w:rPr>
                <w:rFonts w:ascii="Lucida Sans"/>
                <w:sz w:val="11"/>
              </w:rPr>
            </w:pPr>
            <w:r>
              <w:rPr>
                <w:i/>
                <w:color w:val="1C3E94"/>
                <w:sz w:val="14"/>
              </w:rPr>
              <w:t>(based on Chamberlain 2008)</w:t>
            </w:r>
            <w:r>
              <w:rPr>
                <w:rFonts w:ascii="Lucida Sans"/>
                <w:color w:val="1C3E94"/>
                <w:position w:val="7"/>
                <w:sz w:val="11"/>
              </w:rPr>
              <w:t>116</w:t>
            </w:r>
          </w:p>
        </w:tc>
      </w:tr>
      <w:tr>
        <w:trPr>
          <w:trHeight w:val="360" w:hRule="exact"/>
        </w:trPr>
        <w:tc>
          <w:tcPr>
            <w:tcW w:w="2610" w:type="dxa"/>
            <w:shd w:val="clear" w:color="auto" w:fill="00A94F"/>
          </w:tcPr>
          <w:p>
            <w:pPr>
              <w:pStyle w:val="TableParagraph"/>
              <w:spacing w:before="70"/>
              <w:ind w:left="102"/>
              <w:rPr>
                <w:rFonts w:ascii="Lucida Sans"/>
                <w:sz w:val="18"/>
              </w:rPr>
            </w:pPr>
            <w:r>
              <w:rPr>
                <w:rFonts w:ascii="Lucida Sans"/>
                <w:color w:val="FFFFFF"/>
                <w:sz w:val="18"/>
              </w:rPr>
              <w:t>ITEM</w:t>
            </w:r>
          </w:p>
        </w:tc>
        <w:tc>
          <w:tcPr>
            <w:tcW w:w="5310" w:type="dxa"/>
            <w:shd w:val="clear" w:color="auto" w:fill="00A94F"/>
          </w:tcPr>
          <w:p>
            <w:pPr>
              <w:pStyle w:val="TableParagraph"/>
              <w:spacing w:before="70"/>
              <w:ind w:left="103"/>
              <w:rPr>
                <w:rFonts w:ascii="Lucida Sans"/>
                <w:sz w:val="18"/>
              </w:rPr>
            </w:pPr>
            <w:r>
              <w:rPr>
                <w:rFonts w:ascii="Lucida Sans"/>
                <w:color w:val="FFFFFF"/>
                <w:sz w:val="18"/>
              </w:rPr>
              <w:t>COMMONLY  ASSOCIATED MICROORGANISM</w:t>
            </w:r>
          </w:p>
        </w:tc>
      </w:tr>
      <w:tr>
        <w:trPr>
          <w:trHeight w:val="360" w:hRule="exact"/>
        </w:trPr>
        <w:tc>
          <w:tcPr>
            <w:tcW w:w="2610" w:type="dxa"/>
            <w:shd w:val="clear" w:color="auto" w:fill="DAEDDD"/>
          </w:tcPr>
          <w:p>
            <w:pPr>
              <w:pStyle w:val="TableParagraph"/>
              <w:spacing w:before="74"/>
              <w:ind w:left="67"/>
              <w:rPr>
                <w:sz w:val="18"/>
              </w:rPr>
            </w:pPr>
            <w:r>
              <w:rPr>
                <w:color w:val="231F20"/>
                <w:w w:val="90"/>
                <w:sz w:val="18"/>
              </w:rPr>
              <w:t>Raw seafood</w:t>
            </w:r>
          </w:p>
        </w:tc>
        <w:tc>
          <w:tcPr>
            <w:tcW w:w="5310" w:type="dxa"/>
            <w:shd w:val="clear" w:color="auto" w:fill="DAEDDD"/>
          </w:tcPr>
          <w:p>
            <w:pPr>
              <w:pStyle w:val="TableParagraph"/>
              <w:spacing w:before="74"/>
              <w:rPr>
                <w:sz w:val="18"/>
              </w:rPr>
            </w:pPr>
            <w:r>
              <w:rPr>
                <w:i/>
                <w:color w:val="231F20"/>
                <w:w w:val="95"/>
                <w:sz w:val="18"/>
              </w:rPr>
              <w:t>Vibrio </w:t>
            </w:r>
            <w:r>
              <w:rPr>
                <w:color w:val="231F20"/>
                <w:w w:val="95"/>
                <w:sz w:val="18"/>
              </w:rPr>
              <w:t>spp., hepatitis A virus, noroviruses</w:t>
            </w:r>
          </w:p>
        </w:tc>
      </w:tr>
      <w:tr>
        <w:trPr>
          <w:trHeight w:val="360" w:hRule="exact"/>
        </w:trPr>
        <w:tc>
          <w:tcPr>
            <w:tcW w:w="2610" w:type="dxa"/>
            <w:shd w:val="clear" w:color="auto" w:fill="D4E0F3"/>
          </w:tcPr>
          <w:p>
            <w:pPr>
              <w:pStyle w:val="TableParagraph"/>
              <w:spacing w:before="74"/>
              <w:ind w:left="67"/>
              <w:rPr>
                <w:sz w:val="18"/>
              </w:rPr>
            </w:pPr>
            <w:r>
              <w:rPr>
                <w:color w:val="231F20"/>
                <w:w w:val="90"/>
                <w:sz w:val="18"/>
              </w:rPr>
              <w:t>Raw eggs</w:t>
            </w:r>
          </w:p>
        </w:tc>
        <w:tc>
          <w:tcPr>
            <w:tcW w:w="5310" w:type="dxa"/>
            <w:shd w:val="clear" w:color="auto" w:fill="D4E0F3"/>
          </w:tcPr>
          <w:p>
            <w:pPr>
              <w:pStyle w:val="TableParagraph"/>
              <w:spacing w:before="74"/>
              <w:rPr>
                <w:sz w:val="18"/>
              </w:rPr>
            </w:pPr>
            <w:r>
              <w:rPr>
                <w:i/>
                <w:color w:val="231F20"/>
                <w:w w:val="90"/>
                <w:sz w:val="18"/>
              </w:rPr>
              <w:t>Salmonella </w:t>
            </w:r>
            <w:r>
              <w:rPr>
                <w:color w:val="231F20"/>
                <w:w w:val="90"/>
                <w:sz w:val="18"/>
              </w:rPr>
              <w:t>(particurlarly serotype Enteritidis)</w:t>
            </w:r>
          </w:p>
        </w:tc>
      </w:tr>
      <w:tr>
        <w:trPr>
          <w:trHeight w:val="443" w:hRule="exact"/>
        </w:trPr>
        <w:tc>
          <w:tcPr>
            <w:tcW w:w="2610" w:type="dxa"/>
            <w:shd w:val="clear" w:color="auto" w:fill="DAEDDD"/>
          </w:tcPr>
          <w:p>
            <w:pPr>
              <w:pStyle w:val="TableParagraph"/>
              <w:spacing w:before="116"/>
              <w:ind w:left="67"/>
              <w:rPr>
                <w:sz w:val="18"/>
              </w:rPr>
            </w:pPr>
            <w:r>
              <w:rPr>
                <w:color w:val="231F20"/>
                <w:w w:val="95"/>
                <w:sz w:val="18"/>
              </w:rPr>
              <w:t>Undercooked meat or poultry</w:t>
            </w:r>
          </w:p>
        </w:tc>
        <w:tc>
          <w:tcPr>
            <w:tcW w:w="5310" w:type="dxa"/>
            <w:shd w:val="clear" w:color="auto" w:fill="DAEDDD"/>
          </w:tcPr>
          <w:p>
            <w:pPr>
              <w:pStyle w:val="TableParagraph"/>
              <w:spacing w:line="254" w:lineRule="auto" w:before="6"/>
              <w:ind w:right="72"/>
              <w:rPr>
                <w:i/>
                <w:sz w:val="18"/>
              </w:rPr>
            </w:pPr>
            <w:r>
              <w:rPr>
                <w:i/>
                <w:color w:val="231F20"/>
                <w:w w:val="90"/>
                <w:sz w:val="18"/>
              </w:rPr>
              <w:t>Salmonella </w:t>
            </w:r>
            <w:r>
              <w:rPr>
                <w:color w:val="231F20"/>
                <w:w w:val="90"/>
                <w:sz w:val="18"/>
              </w:rPr>
              <w:t>and </w:t>
            </w:r>
            <w:r>
              <w:rPr>
                <w:i/>
                <w:color w:val="231F20"/>
                <w:w w:val="90"/>
                <w:sz w:val="18"/>
              </w:rPr>
              <w:t>Campylobacter </w:t>
            </w:r>
            <w:r>
              <w:rPr>
                <w:color w:val="231F20"/>
                <w:w w:val="90"/>
                <w:sz w:val="18"/>
              </w:rPr>
              <w:t>spp., Shiga toxin-producing </w:t>
            </w:r>
            <w:r>
              <w:rPr>
                <w:i/>
                <w:color w:val="231F20"/>
                <w:w w:val="90"/>
                <w:sz w:val="18"/>
              </w:rPr>
              <w:t>Escherichia </w:t>
            </w:r>
            <w:r>
              <w:rPr>
                <w:i/>
                <w:color w:val="231F20"/>
                <w:w w:val="90"/>
                <w:sz w:val="18"/>
              </w:rPr>
              <w:t>coli </w:t>
            </w:r>
            <w:r>
              <w:rPr>
                <w:color w:val="231F20"/>
                <w:w w:val="90"/>
                <w:sz w:val="18"/>
              </w:rPr>
              <w:t>(STEC), </w:t>
            </w:r>
            <w:r>
              <w:rPr>
                <w:i/>
                <w:color w:val="231F20"/>
                <w:w w:val="90"/>
                <w:sz w:val="18"/>
              </w:rPr>
              <w:t>Clostridium perfringens</w:t>
            </w:r>
          </w:p>
        </w:tc>
      </w:tr>
      <w:tr>
        <w:trPr>
          <w:trHeight w:val="360" w:hRule="exact"/>
        </w:trPr>
        <w:tc>
          <w:tcPr>
            <w:tcW w:w="2610" w:type="dxa"/>
            <w:shd w:val="clear" w:color="auto" w:fill="D4E0F3"/>
          </w:tcPr>
          <w:p>
            <w:pPr>
              <w:pStyle w:val="TableParagraph"/>
              <w:spacing w:before="74"/>
              <w:ind w:left="67"/>
              <w:rPr>
                <w:sz w:val="18"/>
              </w:rPr>
            </w:pPr>
            <w:r>
              <w:rPr>
                <w:color w:val="231F20"/>
                <w:w w:val="90"/>
                <w:sz w:val="18"/>
              </w:rPr>
              <w:t>Unpasteurized milk or juice</w:t>
            </w:r>
          </w:p>
        </w:tc>
        <w:tc>
          <w:tcPr>
            <w:tcW w:w="5310" w:type="dxa"/>
            <w:shd w:val="clear" w:color="auto" w:fill="D4E0F3"/>
          </w:tcPr>
          <w:p>
            <w:pPr>
              <w:pStyle w:val="TableParagraph"/>
              <w:spacing w:before="74"/>
              <w:rPr>
                <w:sz w:val="18"/>
              </w:rPr>
            </w:pPr>
            <w:r>
              <w:rPr>
                <w:i/>
                <w:color w:val="231F20"/>
                <w:w w:val="90"/>
                <w:sz w:val="18"/>
              </w:rPr>
              <w:t>Salmonella, Campylobacter, </w:t>
            </w:r>
            <w:r>
              <w:rPr>
                <w:color w:val="231F20"/>
                <w:w w:val="90"/>
                <w:sz w:val="18"/>
              </w:rPr>
              <w:t>and </w:t>
            </w:r>
            <w:r>
              <w:rPr>
                <w:i/>
                <w:color w:val="231F20"/>
                <w:w w:val="90"/>
                <w:sz w:val="18"/>
              </w:rPr>
              <w:t>Yersinia </w:t>
            </w:r>
            <w:r>
              <w:rPr>
                <w:color w:val="231F20"/>
                <w:w w:val="90"/>
                <w:sz w:val="18"/>
              </w:rPr>
              <w:t>spp., STEC</w:t>
            </w:r>
          </w:p>
        </w:tc>
      </w:tr>
      <w:tr>
        <w:trPr>
          <w:trHeight w:val="360" w:hRule="exact"/>
        </w:trPr>
        <w:tc>
          <w:tcPr>
            <w:tcW w:w="2610" w:type="dxa"/>
            <w:shd w:val="clear" w:color="auto" w:fill="DAEDDD"/>
          </w:tcPr>
          <w:p>
            <w:pPr>
              <w:pStyle w:val="TableParagraph"/>
              <w:spacing w:before="74"/>
              <w:ind w:left="67"/>
              <w:rPr>
                <w:sz w:val="18"/>
              </w:rPr>
            </w:pPr>
            <w:r>
              <w:rPr>
                <w:color w:val="231F20"/>
                <w:w w:val="90"/>
                <w:sz w:val="18"/>
              </w:rPr>
              <w:t>Unpasteurized soft cheeses</w:t>
            </w:r>
          </w:p>
        </w:tc>
        <w:tc>
          <w:tcPr>
            <w:tcW w:w="5310" w:type="dxa"/>
            <w:shd w:val="clear" w:color="auto" w:fill="DAEDDD"/>
          </w:tcPr>
          <w:p>
            <w:pPr>
              <w:pStyle w:val="TableParagraph"/>
              <w:spacing w:before="74"/>
              <w:rPr>
                <w:sz w:val="18"/>
              </w:rPr>
            </w:pPr>
            <w:r>
              <w:rPr>
                <w:i/>
                <w:color w:val="231F20"/>
                <w:w w:val="90"/>
                <w:sz w:val="18"/>
              </w:rPr>
              <w:t>Salmonella, Campylobacter, Yersinia Listeria monocytogenes</w:t>
            </w:r>
            <w:r>
              <w:rPr>
                <w:color w:val="231F20"/>
                <w:w w:val="90"/>
                <w:sz w:val="18"/>
              </w:rPr>
              <w:t>, STEC</w:t>
            </w:r>
          </w:p>
        </w:tc>
      </w:tr>
      <w:tr>
        <w:trPr>
          <w:trHeight w:val="360" w:hRule="exact"/>
        </w:trPr>
        <w:tc>
          <w:tcPr>
            <w:tcW w:w="2610" w:type="dxa"/>
            <w:shd w:val="clear" w:color="auto" w:fill="D4E0F3"/>
          </w:tcPr>
          <w:p>
            <w:pPr>
              <w:pStyle w:val="TableParagraph"/>
              <w:spacing w:before="74"/>
              <w:ind w:left="67"/>
              <w:rPr>
                <w:sz w:val="18"/>
              </w:rPr>
            </w:pPr>
            <w:r>
              <w:rPr>
                <w:color w:val="231F20"/>
                <w:w w:val="90"/>
                <w:sz w:val="18"/>
              </w:rPr>
              <w:t>Home-made canned goods</w:t>
            </w:r>
          </w:p>
        </w:tc>
        <w:tc>
          <w:tcPr>
            <w:tcW w:w="5310" w:type="dxa"/>
            <w:shd w:val="clear" w:color="auto" w:fill="D4E0F3"/>
          </w:tcPr>
          <w:p>
            <w:pPr>
              <w:pStyle w:val="TableParagraph"/>
              <w:spacing w:before="74"/>
              <w:ind w:left="67"/>
              <w:rPr>
                <w:i/>
                <w:sz w:val="18"/>
              </w:rPr>
            </w:pPr>
            <w:r>
              <w:rPr>
                <w:i/>
                <w:color w:val="231F20"/>
                <w:w w:val="90"/>
                <w:sz w:val="18"/>
              </w:rPr>
              <w:t>Clostridium  botulinum</w:t>
            </w:r>
          </w:p>
        </w:tc>
      </w:tr>
      <w:tr>
        <w:trPr>
          <w:trHeight w:val="360" w:hRule="exact"/>
        </w:trPr>
        <w:tc>
          <w:tcPr>
            <w:tcW w:w="2610" w:type="dxa"/>
            <w:shd w:val="clear" w:color="auto" w:fill="DAEDDD"/>
          </w:tcPr>
          <w:p>
            <w:pPr>
              <w:pStyle w:val="TableParagraph"/>
              <w:spacing w:before="74"/>
              <w:ind w:left="67"/>
              <w:rPr>
                <w:sz w:val="18"/>
              </w:rPr>
            </w:pPr>
            <w:r>
              <w:rPr>
                <w:color w:val="231F20"/>
                <w:w w:val="95"/>
                <w:sz w:val="18"/>
              </w:rPr>
              <w:t>Raw hot dogs, deli meat</w:t>
            </w:r>
          </w:p>
        </w:tc>
        <w:tc>
          <w:tcPr>
            <w:tcW w:w="5310" w:type="dxa"/>
            <w:shd w:val="clear" w:color="auto" w:fill="DAEDDD"/>
          </w:tcPr>
          <w:p>
            <w:pPr>
              <w:pStyle w:val="TableParagraph"/>
              <w:spacing w:before="74"/>
              <w:ind w:left="67"/>
              <w:rPr>
                <w:sz w:val="18"/>
              </w:rPr>
            </w:pPr>
            <w:r>
              <w:rPr>
                <w:i/>
                <w:color w:val="231F20"/>
                <w:w w:val="90"/>
                <w:sz w:val="18"/>
              </w:rPr>
              <w:t>Listeria </w:t>
            </w:r>
            <w:r>
              <w:rPr>
                <w:color w:val="231F20"/>
                <w:w w:val="90"/>
                <w:sz w:val="18"/>
              </w:rPr>
              <w:t>monocytogenes.</w:t>
            </w:r>
          </w:p>
        </w:tc>
      </w:tr>
    </w:tbl>
    <w:p>
      <w:pPr>
        <w:spacing w:after="0"/>
        <w:rPr>
          <w:sz w:val="18"/>
        </w:rPr>
        <w:sectPr>
          <w:type w:val="continuous"/>
          <w:pgSz w:w="10080" w:h="14400"/>
          <w:pgMar w:top="0" w:bottom="360" w:left="0" w:right="0"/>
        </w:sectPr>
      </w:pPr>
    </w:p>
    <w:p>
      <w:pPr>
        <w:pStyle w:val="BodyText"/>
        <w:spacing w:before="8"/>
        <w:rPr>
          <w:sz w:val="10"/>
        </w:rPr>
      </w:pPr>
    </w:p>
    <w:p>
      <w:pPr>
        <w:pStyle w:val="Heading1"/>
        <w:numPr>
          <w:ilvl w:val="1"/>
          <w:numId w:val="16"/>
        </w:numPr>
        <w:tabs>
          <w:tab w:pos="1985" w:val="left" w:leader="none"/>
        </w:tabs>
        <w:spacing w:line="240" w:lineRule="auto" w:before="89" w:after="0"/>
        <w:ind w:left="1984" w:right="0" w:hanging="544"/>
        <w:jc w:val="left"/>
      </w:pPr>
      <w:r>
        <w:rPr/>
        <w:pict>
          <v:line style="position:absolute;mso-position-horizontal-relative:page;mso-position-vertical-relative:paragraph;z-index:4384;mso-wrap-distance-left:0;mso-wrap-distance-right:0" from="72pt,23.995163pt" to="468pt,23.995163pt" stroked="true" strokeweight=".5pt" strokecolor="#00a94f">
            <v:stroke dashstyle="solid"/>
            <w10:wrap type="topAndBottom"/>
          </v:line>
        </w:pict>
      </w:r>
      <w:r>
        <w:rPr>
          <w:color w:val="00A94F"/>
          <w:w w:val="95"/>
        </w:rPr>
        <w:t>Etiologic</w:t>
      </w:r>
      <w:r>
        <w:rPr>
          <w:color w:val="00A94F"/>
          <w:spacing w:val="-18"/>
          <w:w w:val="95"/>
        </w:rPr>
        <w:t> </w:t>
      </w:r>
      <w:r>
        <w:rPr>
          <w:color w:val="00A94F"/>
          <w:w w:val="95"/>
        </w:rPr>
        <w:t>Agents</w:t>
      </w:r>
      <w:r>
        <w:rPr>
          <w:color w:val="00A94F"/>
          <w:spacing w:val="-18"/>
          <w:w w:val="95"/>
        </w:rPr>
        <w:t> </w:t>
      </w:r>
      <w:r>
        <w:rPr>
          <w:color w:val="00A94F"/>
          <w:w w:val="95"/>
        </w:rPr>
        <w:t>Associated</w:t>
      </w:r>
      <w:r>
        <w:rPr>
          <w:color w:val="00A94F"/>
          <w:spacing w:val="-18"/>
          <w:w w:val="95"/>
        </w:rPr>
        <w:t> </w:t>
      </w:r>
      <w:r>
        <w:rPr>
          <w:color w:val="00A94F"/>
          <w:w w:val="95"/>
        </w:rPr>
        <w:t>with</w:t>
      </w:r>
      <w:r>
        <w:rPr>
          <w:color w:val="00A94F"/>
          <w:spacing w:val="-18"/>
          <w:w w:val="95"/>
        </w:rPr>
        <w:t> </w:t>
      </w:r>
      <w:r>
        <w:rPr>
          <w:color w:val="00A94F"/>
          <w:w w:val="95"/>
        </w:rPr>
        <w:t>Foodborne</w:t>
      </w:r>
      <w:r>
        <w:rPr>
          <w:color w:val="00A94F"/>
          <w:spacing w:val="-18"/>
          <w:w w:val="95"/>
        </w:rPr>
        <w:t> </w:t>
      </w:r>
      <w:r>
        <w:rPr>
          <w:color w:val="00A94F"/>
          <w:w w:val="95"/>
        </w:rPr>
        <w:t>Diseases</w:t>
      </w:r>
    </w:p>
    <w:p>
      <w:pPr>
        <w:pStyle w:val="BodyText"/>
        <w:spacing w:before="7"/>
        <w:rPr>
          <w:rFonts w:ascii="Lucida Sans"/>
          <w:sz w:val="17"/>
        </w:rPr>
      </w:pPr>
    </w:p>
    <w:p>
      <w:pPr>
        <w:spacing w:after="0"/>
        <w:rPr>
          <w:rFonts w:ascii="Lucida Sans"/>
          <w:sz w:val="17"/>
        </w:rPr>
        <w:sectPr>
          <w:pgSz w:w="10080" w:h="14400"/>
          <w:pgMar w:header="0" w:footer="160" w:top="1160" w:bottom="360" w:left="0" w:right="0"/>
        </w:sectPr>
      </w:pPr>
    </w:p>
    <w:p>
      <w:pPr>
        <w:pStyle w:val="BodyText"/>
        <w:spacing w:line="266" w:lineRule="auto" w:before="108"/>
        <w:ind w:left="1440" w:right="7"/>
      </w:pPr>
      <w:r>
        <w:rPr/>
        <w:pict>
          <v:rect style="position:absolute;margin-left:0pt;margin-top:27.299353pt;width:45pt;height:18pt;mso-position-horizontal-relative:page;mso-position-vertical-relative:paragraph;z-index:4408" filled="true" fillcolor="#0079c1" stroked="false">
            <v:fill type="solid"/>
            <w10:wrap type="none"/>
          </v:rect>
        </w:pict>
      </w:r>
      <w:r>
        <w:rPr/>
        <w:pict>
          <v:line style="position:absolute;mso-position-horizontal-relative:page;mso-position-vertical-relative:paragraph;z-index:4432" from="54.5pt,27.300953pt" to="54.5pt,269.198953pt" stroked="true" strokeweight="1pt" strokecolor="#0079c1">
            <v:stroke dashstyle="solid"/>
            <w10:wrap type="none"/>
          </v:line>
        </w:pict>
      </w:r>
      <w:r>
        <w:rPr/>
        <w:pict>
          <v:shape style="position:absolute;margin-left:16.131701pt;margin-top:48.847244pt;width:22.9pt;height:222.55pt;mso-position-horizontal-relative:page;mso-position-vertical-relative:paragraph;z-index:4456"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32.095806pt;width:15.85pt;height:8.5pt;mso-position-horizontal-relative:page;mso-position-vertical-relative:paragraph;z-index:4480"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rPr>
        <w:t>of etiologic agents, and new vehicles for transmission emerge each year. Therefore, care must be taken in inferring the etiologic agent from the suspected food item.</w:t>
      </w:r>
    </w:p>
    <w:p>
      <w:pPr>
        <w:pStyle w:val="ListParagraph"/>
        <w:numPr>
          <w:ilvl w:val="2"/>
          <w:numId w:val="16"/>
        </w:numPr>
        <w:tabs>
          <w:tab w:pos="1996" w:val="left" w:leader="none"/>
        </w:tabs>
        <w:spacing w:line="240" w:lineRule="auto" w:before="159" w:after="0"/>
        <w:ind w:left="1996" w:right="0" w:hanging="556"/>
        <w:jc w:val="left"/>
        <w:rPr>
          <w:rFonts w:ascii="Lucida Sans"/>
          <w:sz w:val="20"/>
        </w:rPr>
      </w:pPr>
      <w:r>
        <w:rPr>
          <w:rFonts w:ascii="Lucida Sans"/>
          <w:color w:val="1C3E94"/>
          <w:w w:val="90"/>
          <w:sz w:val="20"/>
        </w:rPr>
        <w:t>Mode of</w:t>
      </w:r>
      <w:r>
        <w:rPr>
          <w:rFonts w:ascii="Lucida Sans"/>
          <w:color w:val="1C3E94"/>
          <w:spacing w:val="21"/>
          <w:w w:val="90"/>
          <w:sz w:val="20"/>
        </w:rPr>
        <w:t> </w:t>
      </w:r>
      <w:r>
        <w:rPr>
          <w:rFonts w:ascii="Lucida Sans"/>
          <w:color w:val="1C3E94"/>
          <w:w w:val="90"/>
          <w:sz w:val="20"/>
        </w:rPr>
        <w:t>Transmission</w:t>
      </w:r>
    </w:p>
    <w:p>
      <w:pPr>
        <w:pStyle w:val="BodyText"/>
        <w:spacing w:before="3"/>
        <w:rPr>
          <w:rFonts w:ascii="Lucida Sans"/>
          <w:sz w:val="18"/>
        </w:rPr>
      </w:pPr>
    </w:p>
    <w:p>
      <w:pPr>
        <w:pStyle w:val="BodyText"/>
        <w:spacing w:line="266" w:lineRule="auto"/>
        <w:ind w:left="1440" w:right="7"/>
      </w:pPr>
      <w:r>
        <w:rPr>
          <w:color w:val="231F20"/>
          <w:w w:val="105"/>
        </w:rPr>
        <w:t>Many agents responsible for foodborne illness also</w:t>
      </w:r>
      <w:r>
        <w:rPr>
          <w:color w:val="231F20"/>
          <w:spacing w:val="-11"/>
          <w:w w:val="105"/>
        </w:rPr>
        <w:t> </w:t>
      </w:r>
      <w:r>
        <w:rPr>
          <w:color w:val="231F20"/>
          <w:w w:val="105"/>
        </w:rPr>
        <w:t>can</w:t>
      </w:r>
      <w:r>
        <w:rPr>
          <w:color w:val="231F20"/>
          <w:spacing w:val="-10"/>
          <w:w w:val="105"/>
        </w:rPr>
        <w:t> </w:t>
      </w:r>
      <w:r>
        <w:rPr>
          <w:color w:val="231F20"/>
          <w:w w:val="105"/>
        </w:rPr>
        <w:t>be</w:t>
      </w:r>
      <w:r>
        <w:rPr>
          <w:color w:val="231F20"/>
          <w:spacing w:val="-10"/>
          <w:w w:val="105"/>
        </w:rPr>
        <w:t> </w:t>
      </w:r>
      <w:r>
        <w:rPr>
          <w:color w:val="231F20"/>
          <w:w w:val="105"/>
        </w:rPr>
        <w:t>transmitted</w:t>
      </w:r>
      <w:r>
        <w:rPr>
          <w:color w:val="231F20"/>
          <w:spacing w:val="-12"/>
          <w:w w:val="105"/>
        </w:rPr>
        <w:t> </w:t>
      </w:r>
      <w:r>
        <w:rPr>
          <w:color w:val="231F20"/>
          <w:spacing w:val="-3"/>
          <w:w w:val="105"/>
        </w:rPr>
        <w:t>by</w:t>
      </w:r>
      <w:r>
        <w:rPr>
          <w:color w:val="231F20"/>
          <w:spacing w:val="-11"/>
          <w:w w:val="105"/>
        </w:rPr>
        <w:t> </w:t>
      </w:r>
      <w:r>
        <w:rPr>
          <w:color w:val="231F20"/>
          <w:w w:val="105"/>
        </w:rPr>
        <w:t>other</w:t>
      </w:r>
      <w:r>
        <w:rPr>
          <w:color w:val="231F20"/>
          <w:spacing w:val="-10"/>
          <w:w w:val="105"/>
        </w:rPr>
        <w:t> </w:t>
      </w:r>
      <w:r>
        <w:rPr>
          <w:color w:val="231F20"/>
          <w:w w:val="105"/>
        </w:rPr>
        <w:t>routes,</w:t>
      </w:r>
      <w:r>
        <w:rPr>
          <w:color w:val="231F20"/>
          <w:spacing w:val="-10"/>
          <w:w w:val="105"/>
        </w:rPr>
        <w:t> </w:t>
      </w:r>
      <w:r>
        <w:rPr>
          <w:color w:val="231F20"/>
          <w:w w:val="105"/>
        </w:rPr>
        <w:t>such</w:t>
      </w:r>
      <w:r>
        <w:rPr>
          <w:color w:val="231F20"/>
          <w:spacing w:val="-11"/>
          <w:w w:val="105"/>
        </w:rPr>
        <w:t> </w:t>
      </w:r>
      <w:r>
        <w:rPr>
          <w:color w:val="231F20"/>
          <w:w w:val="105"/>
        </w:rPr>
        <w:t>as drinking </w:t>
      </w:r>
      <w:r>
        <w:rPr>
          <w:color w:val="231F20"/>
          <w:spacing w:val="-4"/>
          <w:w w:val="105"/>
        </w:rPr>
        <w:t>water, </w:t>
      </w:r>
      <w:r>
        <w:rPr>
          <w:color w:val="231F20"/>
          <w:w w:val="105"/>
        </w:rPr>
        <w:t>recreational </w:t>
      </w:r>
      <w:r>
        <w:rPr>
          <w:color w:val="231F20"/>
          <w:spacing w:val="-5"/>
          <w:w w:val="105"/>
        </w:rPr>
        <w:t>water, </w:t>
      </w:r>
      <w:r>
        <w:rPr>
          <w:color w:val="231F20"/>
          <w:w w:val="105"/>
        </w:rPr>
        <w:t>and person- to-person and animal-to-person transmission. </w:t>
      </w:r>
      <w:r>
        <w:rPr>
          <w:color w:val="231F20"/>
          <w:spacing w:val="-7"/>
          <w:w w:val="105"/>
        </w:rPr>
        <w:t>For </w:t>
      </w:r>
      <w:r>
        <w:rPr>
          <w:color w:val="231F20"/>
          <w:w w:val="105"/>
        </w:rPr>
        <w:t>example, only an estimated 31% of shigellosis</w:t>
      </w:r>
      <w:r>
        <w:rPr>
          <w:color w:val="231F20"/>
          <w:spacing w:val="-24"/>
          <w:w w:val="105"/>
        </w:rPr>
        <w:t> </w:t>
      </w:r>
      <w:r>
        <w:rPr>
          <w:color w:val="231F20"/>
          <w:w w:val="105"/>
        </w:rPr>
        <w:t>cases,</w:t>
      </w:r>
      <w:r>
        <w:rPr>
          <w:color w:val="231F20"/>
          <w:spacing w:val="-25"/>
          <w:w w:val="105"/>
        </w:rPr>
        <w:t> </w:t>
      </w:r>
      <w:r>
        <w:rPr>
          <w:color w:val="231F20"/>
          <w:w w:val="105"/>
        </w:rPr>
        <w:t>8%</w:t>
      </w:r>
      <w:r>
        <w:rPr>
          <w:color w:val="231F20"/>
          <w:spacing w:val="-25"/>
          <w:w w:val="105"/>
        </w:rPr>
        <w:t> </w:t>
      </w:r>
      <w:r>
        <w:rPr>
          <w:color w:val="231F20"/>
          <w:w w:val="105"/>
        </w:rPr>
        <w:t>of</w:t>
      </w:r>
      <w:r>
        <w:rPr>
          <w:color w:val="231F20"/>
          <w:spacing w:val="-9"/>
          <w:w w:val="105"/>
        </w:rPr>
        <w:t> </w:t>
      </w:r>
      <w:r>
        <w:rPr>
          <w:color w:val="231F20"/>
          <w:w w:val="105"/>
        </w:rPr>
        <w:t>cryptosporidiosis</w:t>
      </w:r>
      <w:r>
        <w:rPr>
          <w:color w:val="231F20"/>
          <w:spacing w:val="-24"/>
          <w:w w:val="105"/>
        </w:rPr>
        <w:t> </w:t>
      </w:r>
      <w:r>
        <w:rPr>
          <w:color w:val="231F20"/>
          <w:w w:val="105"/>
        </w:rPr>
        <w:t>cases, and 26% of norovirus infections result from foodborne transmission.</w:t>
      </w:r>
      <w:r>
        <w:rPr>
          <w:color w:val="231F20"/>
          <w:w w:val="105"/>
          <w:position w:val="7"/>
          <w:sz w:val="11"/>
        </w:rPr>
        <w:t>114 </w:t>
      </w:r>
      <w:r>
        <w:rPr>
          <w:color w:val="231F20"/>
          <w:spacing w:val="-3"/>
          <w:w w:val="105"/>
        </w:rPr>
        <w:t>Consequently, </w:t>
      </w:r>
      <w:r>
        <w:rPr>
          <w:color w:val="231F20"/>
          <w:w w:val="105"/>
        </w:rPr>
        <w:t>early in the investigation of a possible foodborne disease</w:t>
      </w:r>
      <w:r>
        <w:rPr>
          <w:color w:val="231F20"/>
          <w:spacing w:val="-20"/>
          <w:w w:val="105"/>
        </w:rPr>
        <w:t> </w:t>
      </w:r>
      <w:r>
        <w:rPr>
          <w:color w:val="231F20"/>
          <w:w w:val="105"/>
        </w:rPr>
        <w:t>outbreak,</w:t>
      </w:r>
      <w:r>
        <w:rPr>
          <w:color w:val="231F20"/>
          <w:spacing w:val="-21"/>
          <w:w w:val="105"/>
        </w:rPr>
        <w:t> </w:t>
      </w:r>
      <w:r>
        <w:rPr>
          <w:color w:val="231F20"/>
          <w:w w:val="105"/>
        </w:rPr>
        <w:t>investigators</w:t>
      </w:r>
      <w:r>
        <w:rPr>
          <w:color w:val="231F20"/>
          <w:spacing w:val="-21"/>
          <w:w w:val="105"/>
        </w:rPr>
        <w:t> </w:t>
      </w:r>
      <w:r>
        <w:rPr>
          <w:color w:val="231F20"/>
          <w:w w:val="105"/>
        </w:rPr>
        <w:t>should</w:t>
      </w:r>
      <w:r>
        <w:rPr>
          <w:color w:val="231F20"/>
          <w:spacing w:val="-20"/>
          <w:w w:val="105"/>
        </w:rPr>
        <w:t> </w:t>
      </w:r>
      <w:r>
        <w:rPr>
          <w:color w:val="231F20"/>
          <w:w w:val="105"/>
        </w:rPr>
        <w:t>consider all</w:t>
      </w:r>
      <w:r>
        <w:rPr>
          <w:color w:val="231F20"/>
          <w:spacing w:val="-22"/>
          <w:w w:val="105"/>
        </w:rPr>
        <w:t> </w:t>
      </w:r>
      <w:r>
        <w:rPr>
          <w:color w:val="231F20"/>
          <w:w w:val="105"/>
        </w:rPr>
        <w:t>possible</w:t>
      </w:r>
      <w:r>
        <w:rPr>
          <w:color w:val="231F20"/>
          <w:spacing w:val="-21"/>
          <w:w w:val="105"/>
        </w:rPr>
        <w:t> </w:t>
      </w:r>
      <w:r>
        <w:rPr>
          <w:color w:val="231F20"/>
          <w:w w:val="105"/>
        </w:rPr>
        <w:t>sources</w:t>
      </w:r>
      <w:r>
        <w:rPr>
          <w:color w:val="231F20"/>
          <w:spacing w:val="-21"/>
          <w:w w:val="105"/>
        </w:rPr>
        <w:t> </w:t>
      </w:r>
      <w:r>
        <w:rPr>
          <w:color w:val="231F20"/>
          <w:w w:val="105"/>
        </w:rPr>
        <w:t>of</w:t>
      </w:r>
      <w:r>
        <w:rPr>
          <w:color w:val="231F20"/>
          <w:spacing w:val="-4"/>
          <w:w w:val="105"/>
        </w:rPr>
        <w:t> </w:t>
      </w:r>
      <w:r>
        <w:rPr>
          <w:color w:val="231F20"/>
          <w:w w:val="105"/>
        </w:rPr>
        <w:t>transmission</w:t>
      </w:r>
      <w:r>
        <w:rPr>
          <w:color w:val="231F20"/>
          <w:spacing w:val="-23"/>
          <w:w w:val="105"/>
        </w:rPr>
        <w:t> </w:t>
      </w:r>
      <w:r>
        <w:rPr>
          <w:color w:val="231F20"/>
          <w:w w:val="105"/>
        </w:rPr>
        <w:t>and</w:t>
      </w:r>
    </w:p>
    <w:p>
      <w:pPr>
        <w:pStyle w:val="BodyText"/>
        <w:spacing w:line="266" w:lineRule="auto"/>
        <w:ind w:left="1440" w:right="129"/>
      </w:pPr>
      <w:r>
        <w:rPr>
          <w:color w:val="231F20"/>
          <w:w w:val="105"/>
        </w:rPr>
        <w:t>collect information from ill persons about sources of drinking </w:t>
      </w:r>
      <w:r>
        <w:rPr>
          <w:color w:val="231F20"/>
          <w:spacing w:val="-4"/>
          <w:w w:val="105"/>
        </w:rPr>
        <w:t>water, </w:t>
      </w:r>
      <w:r>
        <w:rPr>
          <w:color w:val="231F20"/>
          <w:w w:val="105"/>
        </w:rPr>
        <w:t>exposure to other ill</w:t>
      </w:r>
      <w:r>
        <w:rPr>
          <w:color w:val="231F20"/>
          <w:spacing w:val="-14"/>
          <w:w w:val="105"/>
        </w:rPr>
        <w:t> </w:t>
      </w:r>
      <w:r>
        <w:rPr>
          <w:color w:val="231F20"/>
          <w:w w:val="105"/>
        </w:rPr>
        <w:t>persons</w:t>
      </w:r>
      <w:r>
        <w:rPr>
          <w:color w:val="231F20"/>
          <w:spacing w:val="-14"/>
          <w:w w:val="105"/>
        </w:rPr>
        <w:t> </w:t>
      </w:r>
      <w:r>
        <w:rPr>
          <w:color w:val="231F20"/>
          <w:w w:val="105"/>
        </w:rPr>
        <w:t>and</w:t>
      </w:r>
      <w:r>
        <w:rPr>
          <w:color w:val="231F20"/>
          <w:spacing w:val="-15"/>
          <w:w w:val="105"/>
        </w:rPr>
        <w:t> </w:t>
      </w:r>
      <w:r>
        <w:rPr>
          <w:color w:val="231F20"/>
          <w:w w:val="105"/>
        </w:rPr>
        <w:t>child</w:t>
      </w:r>
      <w:r>
        <w:rPr>
          <w:color w:val="231F20"/>
          <w:spacing w:val="-14"/>
          <w:w w:val="105"/>
        </w:rPr>
        <w:t> </w:t>
      </w:r>
      <w:r>
        <w:rPr>
          <w:color w:val="231F20"/>
          <w:w w:val="105"/>
        </w:rPr>
        <w:t>care</w:t>
      </w:r>
      <w:r>
        <w:rPr>
          <w:color w:val="231F20"/>
          <w:spacing w:val="-14"/>
          <w:w w:val="105"/>
        </w:rPr>
        <w:t> </w:t>
      </w:r>
      <w:r>
        <w:rPr>
          <w:color w:val="231F20"/>
          <w:w w:val="105"/>
        </w:rPr>
        <w:t>settings,</w:t>
      </w:r>
      <w:r>
        <w:rPr>
          <w:color w:val="231F20"/>
          <w:spacing w:val="-14"/>
          <w:w w:val="105"/>
        </w:rPr>
        <w:t> </w:t>
      </w:r>
      <w:r>
        <w:rPr>
          <w:color w:val="231F20"/>
          <w:w w:val="105"/>
        </w:rPr>
        <w:t>exposure</w:t>
      </w:r>
      <w:r>
        <w:rPr>
          <w:color w:val="231F20"/>
          <w:spacing w:val="-14"/>
          <w:w w:val="105"/>
        </w:rPr>
        <w:t> </w:t>
      </w:r>
      <w:r>
        <w:rPr>
          <w:color w:val="231F20"/>
          <w:w w:val="105"/>
        </w:rPr>
        <w:t>to recreational </w:t>
      </w:r>
      <w:r>
        <w:rPr>
          <w:color w:val="231F20"/>
          <w:spacing w:val="-5"/>
          <w:w w:val="105"/>
        </w:rPr>
        <w:t>water, </w:t>
      </w:r>
      <w:r>
        <w:rPr>
          <w:color w:val="231F20"/>
          <w:w w:val="105"/>
        </w:rPr>
        <w:t>and contact with animals and</w:t>
      </w:r>
      <w:r>
        <w:rPr>
          <w:color w:val="231F20"/>
          <w:spacing w:val="-13"/>
          <w:w w:val="105"/>
        </w:rPr>
        <w:t> </w:t>
      </w:r>
      <w:r>
        <w:rPr>
          <w:color w:val="231F20"/>
          <w:w w:val="105"/>
        </w:rPr>
        <w:t>their</w:t>
      </w:r>
      <w:r>
        <w:rPr>
          <w:color w:val="231F20"/>
          <w:spacing w:val="-13"/>
          <w:w w:val="105"/>
        </w:rPr>
        <w:t> </w:t>
      </w:r>
      <w:r>
        <w:rPr>
          <w:color w:val="231F20"/>
          <w:w w:val="105"/>
        </w:rPr>
        <w:t>environments,</w:t>
      </w:r>
      <w:r>
        <w:rPr>
          <w:color w:val="231F20"/>
          <w:spacing w:val="-13"/>
          <w:w w:val="105"/>
        </w:rPr>
        <w:t> </w:t>
      </w:r>
      <w:r>
        <w:rPr>
          <w:color w:val="231F20"/>
          <w:w w:val="105"/>
        </w:rPr>
        <w:t>as</w:t>
      </w:r>
      <w:r>
        <w:rPr>
          <w:color w:val="231F20"/>
          <w:spacing w:val="-13"/>
          <w:w w:val="105"/>
        </w:rPr>
        <w:t> </w:t>
      </w:r>
      <w:r>
        <w:rPr>
          <w:color w:val="231F20"/>
          <w:w w:val="105"/>
        </w:rPr>
        <w:t>well</w:t>
      </w:r>
      <w:r>
        <w:rPr>
          <w:color w:val="231F20"/>
          <w:spacing w:val="-13"/>
          <w:w w:val="105"/>
        </w:rPr>
        <w:t> </w:t>
      </w:r>
      <w:r>
        <w:rPr>
          <w:color w:val="231F20"/>
          <w:w w:val="105"/>
        </w:rPr>
        <w:t>as</w:t>
      </w:r>
      <w:r>
        <w:rPr>
          <w:color w:val="231F20"/>
          <w:spacing w:val="-13"/>
          <w:w w:val="105"/>
        </w:rPr>
        <w:t> </w:t>
      </w:r>
      <w:r>
        <w:rPr>
          <w:color w:val="231F20"/>
          <w:w w:val="105"/>
        </w:rPr>
        <w:t>about</w:t>
      </w:r>
      <w:r>
        <w:rPr>
          <w:color w:val="231F20"/>
          <w:spacing w:val="-13"/>
          <w:w w:val="105"/>
        </w:rPr>
        <w:t> </w:t>
      </w:r>
      <w:r>
        <w:rPr>
          <w:color w:val="231F20"/>
          <w:w w:val="105"/>
        </w:rPr>
        <w:t>food and</w:t>
      </w:r>
      <w:r>
        <w:rPr>
          <w:color w:val="231F20"/>
          <w:spacing w:val="-21"/>
          <w:w w:val="105"/>
        </w:rPr>
        <w:t> </w:t>
      </w:r>
      <w:r>
        <w:rPr>
          <w:color w:val="231F20"/>
          <w:w w:val="105"/>
        </w:rPr>
        <w:t>other</w:t>
      </w:r>
      <w:r>
        <w:rPr>
          <w:color w:val="231F20"/>
          <w:spacing w:val="-20"/>
          <w:w w:val="105"/>
        </w:rPr>
        <w:t> </w:t>
      </w:r>
      <w:r>
        <w:rPr>
          <w:color w:val="231F20"/>
          <w:w w:val="105"/>
        </w:rPr>
        <w:t>environmental</w:t>
      </w:r>
      <w:r>
        <w:rPr>
          <w:color w:val="231F20"/>
          <w:spacing w:val="-20"/>
          <w:w w:val="105"/>
        </w:rPr>
        <w:t> </w:t>
      </w:r>
      <w:r>
        <w:rPr>
          <w:color w:val="231F20"/>
          <w:w w:val="105"/>
        </w:rPr>
        <w:t>exposures.</w:t>
      </w:r>
    </w:p>
    <w:p>
      <w:pPr>
        <w:pStyle w:val="BodyText"/>
        <w:spacing w:line="266" w:lineRule="auto" w:before="180"/>
        <w:ind w:left="1440" w:right="317"/>
      </w:pPr>
      <w:r>
        <w:rPr>
          <w:color w:val="231F20"/>
        </w:rPr>
        <w:t>Although in-depth interviews of persons with suspected cases and epidemiologic,</w:t>
      </w:r>
    </w:p>
    <w:p>
      <w:pPr>
        <w:pStyle w:val="BodyText"/>
        <w:spacing w:line="266" w:lineRule="auto"/>
        <w:ind w:left="1440" w:right="-9"/>
      </w:pPr>
      <w:r>
        <w:rPr>
          <w:color w:val="231F20"/>
        </w:rPr>
        <w:t>environmental health, and laboratory studies are necessary to confirm suspicions about the mode of transmission in an outbreak, characteristics among cases or timing of illness onset might provide clues that suggest one mode of transmission </w:t>
      </w:r>
      <w:r>
        <w:rPr>
          <w:color w:val="231F20"/>
          <w:spacing w:val="-3"/>
        </w:rPr>
        <w:t>over </w:t>
      </w:r>
      <w:r>
        <w:rPr>
          <w:color w:val="231F20"/>
        </w:rPr>
        <w:t>others and enable</w:t>
      </w:r>
      <w:r>
        <w:rPr>
          <w:color w:val="231F20"/>
          <w:spacing w:val="-29"/>
        </w:rPr>
        <w:t> </w:t>
      </w:r>
      <w:r>
        <w:rPr>
          <w:color w:val="231F20"/>
        </w:rPr>
        <w:t>investigators to</w:t>
      </w:r>
      <w:r>
        <w:rPr>
          <w:color w:val="231F20"/>
          <w:spacing w:val="-12"/>
        </w:rPr>
        <w:t> </w:t>
      </w:r>
      <w:r>
        <w:rPr>
          <w:color w:val="231F20"/>
        </w:rPr>
        <w:t>focus</w:t>
      </w:r>
      <w:r>
        <w:rPr>
          <w:color w:val="231F20"/>
          <w:spacing w:val="-12"/>
        </w:rPr>
        <w:t> </w:t>
      </w:r>
      <w:r>
        <w:rPr>
          <w:color w:val="231F20"/>
        </w:rPr>
        <w:t>on</w:t>
      </w:r>
      <w:r>
        <w:rPr>
          <w:color w:val="231F20"/>
          <w:spacing w:val="-12"/>
        </w:rPr>
        <w:t> </w:t>
      </w:r>
      <w:r>
        <w:rPr>
          <w:color w:val="231F20"/>
        </w:rPr>
        <w:t>investigating</w:t>
      </w:r>
      <w:r>
        <w:rPr>
          <w:color w:val="231F20"/>
          <w:spacing w:val="-12"/>
        </w:rPr>
        <w:t> </w:t>
      </w:r>
      <w:r>
        <w:rPr>
          <w:color w:val="231F20"/>
        </w:rPr>
        <w:t>that</w:t>
      </w:r>
      <w:r>
        <w:rPr>
          <w:color w:val="231F20"/>
          <w:spacing w:val="-12"/>
        </w:rPr>
        <w:t> </w:t>
      </w:r>
      <w:r>
        <w:rPr>
          <w:color w:val="231F20"/>
        </w:rPr>
        <w:t>source.</w:t>
      </w:r>
    </w:p>
    <w:p>
      <w:pPr>
        <w:pStyle w:val="ListParagraph"/>
        <w:numPr>
          <w:ilvl w:val="3"/>
          <w:numId w:val="16"/>
        </w:numPr>
        <w:tabs>
          <w:tab w:pos="2082" w:val="left" w:leader="none"/>
        </w:tabs>
        <w:spacing w:line="240" w:lineRule="auto" w:before="180" w:after="0"/>
        <w:ind w:left="320" w:right="0" w:firstLine="1120"/>
        <w:jc w:val="left"/>
        <w:rPr>
          <w:i/>
          <w:sz w:val="20"/>
        </w:rPr>
      </w:pPr>
      <w:r>
        <w:rPr>
          <w:i/>
          <w:color w:val="E36F1E"/>
          <w:w w:val="105"/>
          <w:sz w:val="20"/>
        </w:rPr>
        <w:t>Transmission</w:t>
      </w:r>
      <w:r>
        <w:rPr>
          <w:i/>
          <w:color w:val="E36F1E"/>
          <w:spacing w:val="-42"/>
          <w:w w:val="105"/>
          <w:sz w:val="20"/>
        </w:rPr>
        <w:t> </w:t>
      </w:r>
      <w:r>
        <w:rPr>
          <w:i/>
          <w:color w:val="E36F1E"/>
          <w:w w:val="105"/>
          <w:sz w:val="20"/>
        </w:rPr>
        <w:t>by food</w:t>
      </w:r>
    </w:p>
    <w:p>
      <w:pPr>
        <w:pStyle w:val="BodyText"/>
        <w:spacing w:line="266" w:lineRule="auto" w:before="25"/>
        <w:ind w:left="1440" w:right="248"/>
      </w:pPr>
      <w:r>
        <w:rPr>
          <w:color w:val="231F20"/>
          <w:w w:val="105"/>
        </w:rPr>
        <w:t>Illness among persons with the following characteristics</w:t>
      </w:r>
      <w:r>
        <w:rPr>
          <w:color w:val="231F20"/>
          <w:spacing w:val="-25"/>
          <w:w w:val="105"/>
        </w:rPr>
        <w:t> </w:t>
      </w:r>
      <w:r>
        <w:rPr>
          <w:color w:val="231F20"/>
          <w:w w:val="105"/>
        </w:rPr>
        <w:t>might</w:t>
      </w:r>
      <w:r>
        <w:rPr>
          <w:color w:val="231F20"/>
          <w:spacing w:val="-26"/>
          <w:w w:val="105"/>
        </w:rPr>
        <w:t> </w:t>
      </w:r>
      <w:r>
        <w:rPr>
          <w:color w:val="231F20"/>
          <w:w w:val="105"/>
        </w:rPr>
        <w:t>suggest</w:t>
      </w:r>
      <w:r>
        <w:rPr>
          <w:color w:val="231F20"/>
          <w:spacing w:val="-26"/>
          <w:w w:val="105"/>
        </w:rPr>
        <w:t> </w:t>
      </w:r>
      <w:r>
        <w:rPr>
          <w:color w:val="231F20"/>
          <w:w w:val="105"/>
        </w:rPr>
        <w:t>transmission</w:t>
      </w:r>
      <w:r>
        <w:rPr>
          <w:color w:val="231F20"/>
          <w:spacing w:val="-27"/>
          <w:w w:val="105"/>
        </w:rPr>
        <w:t> </w:t>
      </w:r>
      <w:r>
        <w:rPr>
          <w:color w:val="231F20"/>
          <w:w w:val="105"/>
        </w:rPr>
        <w:t>of an agent </w:t>
      </w:r>
      <w:r>
        <w:rPr>
          <w:color w:val="231F20"/>
          <w:spacing w:val="-3"/>
          <w:w w:val="105"/>
        </w:rPr>
        <w:t>by</w:t>
      </w:r>
      <w:r>
        <w:rPr>
          <w:color w:val="231F20"/>
          <w:spacing w:val="-24"/>
          <w:w w:val="105"/>
        </w:rPr>
        <w:t> </w:t>
      </w:r>
      <w:r>
        <w:rPr>
          <w:color w:val="231F20"/>
          <w:w w:val="105"/>
        </w:rPr>
        <w:t>food:</w:t>
      </w:r>
    </w:p>
    <w:p>
      <w:pPr>
        <w:pStyle w:val="ListParagraph"/>
        <w:numPr>
          <w:ilvl w:val="5"/>
          <w:numId w:val="15"/>
        </w:numPr>
        <w:tabs>
          <w:tab w:pos="1610" w:val="left" w:leader="none"/>
        </w:tabs>
        <w:spacing w:line="266" w:lineRule="auto" w:before="180" w:after="0"/>
        <w:ind w:left="1609" w:right="1" w:hanging="169"/>
        <w:jc w:val="left"/>
        <w:rPr>
          <w:sz w:val="20"/>
        </w:rPr>
      </w:pPr>
      <w:r>
        <w:rPr>
          <w:color w:val="231F20"/>
          <w:sz w:val="20"/>
        </w:rPr>
        <w:t>Persons who </w:t>
      </w:r>
      <w:r>
        <w:rPr>
          <w:color w:val="231F20"/>
          <w:spacing w:val="-3"/>
          <w:sz w:val="20"/>
        </w:rPr>
        <w:t>have </w:t>
      </w:r>
      <w:r>
        <w:rPr>
          <w:color w:val="231F20"/>
          <w:sz w:val="20"/>
        </w:rPr>
        <w:t>shared a common meal or food, and onset of illness is consistent with when the shared meal or food was  consumed;</w:t>
      </w:r>
    </w:p>
    <w:p>
      <w:pPr>
        <w:pStyle w:val="ListParagraph"/>
        <w:numPr>
          <w:ilvl w:val="5"/>
          <w:numId w:val="15"/>
        </w:numPr>
        <w:tabs>
          <w:tab w:pos="1611" w:val="left" w:leader="none"/>
        </w:tabs>
        <w:spacing w:line="266" w:lineRule="auto" w:before="90" w:after="0"/>
        <w:ind w:left="1610" w:right="501" w:hanging="170"/>
        <w:jc w:val="left"/>
        <w:rPr>
          <w:sz w:val="20"/>
        </w:rPr>
      </w:pPr>
      <w:r>
        <w:rPr>
          <w:color w:val="231F20"/>
          <w:w w:val="105"/>
          <w:sz w:val="20"/>
        </w:rPr>
        <w:t>Persons with distinctive demographic characteristics</w:t>
      </w:r>
      <w:r>
        <w:rPr>
          <w:color w:val="231F20"/>
          <w:spacing w:val="-8"/>
          <w:w w:val="105"/>
          <w:sz w:val="20"/>
        </w:rPr>
        <w:t> </w:t>
      </w:r>
      <w:r>
        <w:rPr>
          <w:color w:val="231F20"/>
          <w:w w:val="105"/>
          <w:sz w:val="20"/>
        </w:rPr>
        <w:t>(i.e.,</w:t>
      </w:r>
      <w:r>
        <w:rPr>
          <w:color w:val="231F20"/>
          <w:spacing w:val="-9"/>
          <w:w w:val="105"/>
          <w:sz w:val="20"/>
        </w:rPr>
        <w:t> </w:t>
      </w:r>
      <w:r>
        <w:rPr>
          <w:color w:val="231F20"/>
          <w:w w:val="105"/>
          <w:sz w:val="20"/>
        </w:rPr>
        <w:t>age</w:t>
      </w:r>
      <w:r>
        <w:rPr>
          <w:color w:val="231F20"/>
          <w:spacing w:val="-9"/>
          <w:w w:val="105"/>
          <w:sz w:val="20"/>
        </w:rPr>
        <w:t> </w:t>
      </w:r>
      <w:r>
        <w:rPr>
          <w:color w:val="231F20"/>
          <w:w w:val="105"/>
          <w:sz w:val="20"/>
        </w:rPr>
        <w:t>group,</w:t>
      </w:r>
      <w:r>
        <w:rPr>
          <w:color w:val="231F20"/>
          <w:spacing w:val="-9"/>
          <w:w w:val="105"/>
          <w:sz w:val="20"/>
        </w:rPr>
        <w:t> </w:t>
      </w:r>
      <w:r>
        <w:rPr>
          <w:color w:val="231F20"/>
          <w:w w:val="105"/>
          <w:sz w:val="20"/>
        </w:rPr>
        <w:t>sex,</w:t>
      </w:r>
      <w:r>
        <w:rPr>
          <w:color w:val="231F20"/>
          <w:spacing w:val="-9"/>
          <w:w w:val="105"/>
          <w:sz w:val="20"/>
        </w:rPr>
        <w:t> </w:t>
      </w:r>
      <w:r>
        <w:rPr>
          <w:color w:val="231F20"/>
          <w:w w:val="105"/>
          <w:sz w:val="20"/>
        </w:rPr>
        <w:t>and ethnicity) and possibly unique food preferences;</w:t>
      </w:r>
      <w:r>
        <w:rPr>
          <w:color w:val="231F20"/>
          <w:spacing w:val="-31"/>
          <w:w w:val="105"/>
          <w:sz w:val="20"/>
        </w:rPr>
        <w:t> </w:t>
      </w:r>
      <w:r>
        <w:rPr>
          <w:color w:val="231F20"/>
          <w:w w:val="105"/>
          <w:sz w:val="20"/>
        </w:rPr>
        <w:t>or</w:t>
      </w:r>
    </w:p>
    <w:p>
      <w:pPr>
        <w:pStyle w:val="ListParagraph"/>
        <w:numPr>
          <w:ilvl w:val="0"/>
          <w:numId w:val="11"/>
        </w:numPr>
        <w:tabs>
          <w:tab w:pos="491" w:val="left" w:leader="none"/>
        </w:tabs>
        <w:spacing w:line="266" w:lineRule="auto" w:before="108" w:after="0"/>
        <w:ind w:left="490" w:right="723" w:hanging="170"/>
        <w:jc w:val="left"/>
        <w:rPr>
          <w:sz w:val="20"/>
        </w:rPr>
      </w:pPr>
      <w:r>
        <w:rPr>
          <w:color w:val="231F20"/>
          <w:spacing w:val="-10"/>
          <w:w w:val="99"/>
          <w:sz w:val="20"/>
        </w:rPr>
        <w:br w:type="column"/>
      </w:r>
      <w:r>
        <w:rPr>
          <w:color w:val="231F20"/>
          <w:w w:val="105"/>
          <w:sz w:val="20"/>
        </w:rPr>
        <w:t>Persons with a geographic distribution similar</w:t>
      </w:r>
      <w:r>
        <w:rPr>
          <w:color w:val="231F20"/>
          <w:spacing w:val="-15"/>
          <w:w w:val="105"/>
          <w:sz w:val="20"/>
        </w:rPr>
        <w:t> </w:t>
      </w:r>
      <w:r>
        <w:rPr>
          <w:color w:val="231F20"/>
          <w:w w:val="105"/>
          <w:sz w:val="20"/>
        </w:rPr>
        <w:t>to</w:t>
      </w:r>
      <w:r>
        <w:rPr>
          <w:color w:val="231F20"/>
          <w:spacing w:val="-16"/>
          <w:w w:val="105"/>
          <w:sz w:val="20"/>
        </w:rPr>
        <w:t> </w:t>
      </w:r>
      <w:r>
        <w:rPr>
          <w:color w:val="231F20"/>
          <w:w w:val="105"/>
          <w:sz w:val="20"/>
        </w:rPr>
        <w:t>the</w:t>
      </w:r>
      <w:r>
        <w:rPr>
          <w:color w:val="231F20"/>
          <w:spacing w:val="-16"/>
          <w:w w:val="105"/>
          <w:sz w:val="20"/>
        </w:rPr>
        <w:t> </w:t>
      </w:r>
      <w:r>
        <w:rPr>
          <w:color w:val="231F20"/>
          <w:w w:val="105"/>
          <w:sz w:val="20"/>
        </w:rPr>
        <w:t>geographic</w:t>
      </w:r>
      <w:r>
        <w:rPr>
          <w:color w:val="231F20"/>
          <w:spacing w:val="-16"/>
          <w:w w:val="105"/>
          <w:sz w:val="20"/>
        </w:rPr>
        <w:t> </w:t>
      </w:r>
      <w:r>
        <w:rPr>
          <w:color w:val="231F20"/>
          <w:w w:val="105"/>
          <w:sz w:val="20"/>
        </w:rPr>
        <w:t>distribution</w:t>
      </w:r>
      <w:r>
        <w:rPr>
          <w:color w:val="231F20"/>
          <w:spacing w:val="-16"/>
          <w:w w:val="105"/>
          <w:sz w:val="20"/>
        </w:rPr>
        <w:t> </w:t>
      </w:r>
      <w:r>
        <w:rPr>
          <w:color w:val="231F20"/>
          <w:w w:val="105"/>
          <w:sz w:val="20"/>
        </w:rPr>
        <w:t>of</w:t>
      </w:r>
      <w:r>
        <w:rPr>
          <w:color w:val="231F20"/>
          <w:spacing w:val="5"/>
          <w:w w:val="105"/>
          <w:sz w:val="20"/>
        </w:rPr>
        <w:t> </w:t>
      </w:r>
      <w:r>
        <w:rPr>
          <w:color w:val="231F20"/>
          <w:w w:val="105"/>
          <w:sz w:val="20"/>
        </w:rPr>
        <w:t>food products.</w:t>
      </w:r>
    </w:p>
    <w:p>
      <w:pPr>
        <w:pStyle w:val="ListParagraph"/>
        <w:numPr>
          <w:ilvl w:val="3"/>
          <w:numId w:val="16"/>
        </w:numPr>
        <w:tabs>
          <w:tab w:pos="963" w:val="left" w:leader="none"/>
        </w:tabs>
        <w:spacing w:line="240" w:lineRule="auto" w:before="180" w:after="0"/>
        <w:ind w:left="962" w:right="0" w:hanging="642"/>
        <w:jc w:val="left"/>
        <w:rPr>
          <w:i/>
          <w:sz w:val="20"/>
        </w:rPr>
      </w:pPr>
      <w:r>
        <w:rPr>
          <w:i/>
          <w:color w:val="E36F1E"/>
          <w:w w:val="105"/>
          <w:sz w:val="20"/>
        </w:rPr>
        <w:t>Transmission by</w:t>
      </w:r>
      <w:r>
        <w:rPr>
          <w:i/>
          <w:color w:val="E36F1E"/>
          <w:spacing w:val="-39"/>
          <w:w w:val="105"/>
          <w:sz w:val="20"/>
        </w:rPr>
        <w:t> </w:t>
      </w:r>
      <w:r>
        <w:rPr>
          <w:i/>
          <w:color w:val="E36F1E"/>
          <w:w w:val="105"/>
          <w:sz w:val="20"/>
        </w:rPr>
        <w:t>water</w:t>
      </w:r>
    </w:p>
    <w:p>
      <w:pPr>
        <w:pStyle w:val="BodyText"/>
        <w:spacing w:line="266" w:lineRule="auto" w:before="24"/>
        <w:ind w:left="320" w:right="742"/>
      </w:pPr>
      <w:r>
        <w:rPr>
          <w:color w:val="231F20"/>
          <w:w w:val="105"/>
        </w:rPr>
        <w:t>The</w:t>
      </w:r>
      <w:r>
        <w:rPr>
          <w:color w:val="231F20"/>
          <w:spacing w:val="-22"/>
          <w:w w:val="105"/>
        </w:rPr>
        <w:t> </w:t>
      </w:r>
      <w:r>
        <w:rPr>
          <w:color w:val="231F20"/>
          <w:w w:val="105"/>
        </w:rPr>
        <w:t>following</w:t>
      </w:r>
      <w:r>
        <w:rPr>
          <w:color w:val="231F20"/>
          <w:spacing w:val="-22"/>
          <w:w w:val="105"/>
        </w:rPr>
        <w:t> </w:t>
      </w:r>
      <w:r>
        <w:rPr>
          <w:color w:val="231F20"/>
          <w:w w:val="105"/>
        </w:rPr>
        <w:t>clues</w:t>
      </w:r>
      <w:r>
        <w:rPr>
          <w:color w:val="231F20"/>
          <w:spacing w:val="-22"/>
          <w:w w:val="105"/>
        </w:rPr>
        <w:t> </w:t>
      </w:r>
      <w:r>
        <w:rPr>
          <w:color w:val="231F20"/>
          <w:w w:val="105"/>
        </w:rPr>
        <w:t>might</w:t>
      </w:r>
      <w:r>
        <w:rPr>
          <w:color w:val="231F20"/>
          <w:spacing w:val="-22"/>
          <w:w w:val="105"/>
        </w:rPr>
        <w:t> </w:t>
      </w:r>
      <w:r>
        <w:rPr>
          <w:color w:val="231F20"/>
          <w:w w:val="105"/>
        </w:rPr>
        <w:t>suggest</w:t>
      </w:r>
      <w:r>
        <w:rPr>
          <w:color w:val="231F20"/>
          <w:spacing w:val="-22"/>
          <w:w w:val="105"/>
        </w:rPr>
        <w:t> </w:t>
      </w:r>
      <w:r>
        <w:rPr>
          <w:color w:val="231F20"/>
          <w:w w:val="105"/>
        </w:rPr>
        <w:t>transmission of an agent </w:t>
      </w:r>
      <w:r>
        <w:rPr>
          <w:color w:val="231F20"/>
          <w:spacing w:val="-3"/>
          <w:w w:val="105"/>
        </w:rPr>
        <w:t>by </w:t>
      </w:r>
      <w:r>
        <w:rPr>
          <w:color w:val="231F20"/>
          <w:w w:val="105"/>
        </w:rPr>
        <w:t>drinking</w:t>
      </w:r>
      <w:r>
        <w:rPr>
          <w:color w:val="231F20"/>
          <w:spacing w:val="9"/>
          <w:w w:val="105"/>
        </w:rPr>
        <w:t> </w:t>
      </w:r>
      <w:r>
        <w:rPr>
          <w:color w:val="231F20"/>
          <w:w w:val="105"/>
        </w:rPr>
        <w:t>water:</w:t>
      </w:r>
    </w:p>
    <w:p>
      <w:pPr>
        <w:pStyle w:val="ListParagraph"/>
        <w:numPr>
          <w:ilvl w:val="0"/>
          <w:numId w:val="11"/>
        </w:numPr>
        <w:tabs>
          <w:tab w:pos="491" w:val="left" w:leader="none"/>
        </w:tabs>
        <w:spacing w:line="266" w:lineRule="auto" w:before="179" w:after="0"/>
        <w:ind w:left="490" w:right="811" w:hanging="170"/>
        <w:jc w:val="left"/>
        <w:rPr>
          <w:sz w:val="20"/>
        </w:rPr>
      </w:pPr>
      <w:r>
        <w:rPr>
          <w:color w:val="231F20"/>
          <w:w w:val="105"/>
          <w:sz w:val="20"/>
        </w:rPr>
        <w:t>Widespread</w:t>
      </w:r>
      <w:r>
        <w:rPr>
          <w:color w:val="231F20"/>
          <w:spacing w:val="-22"/>
          <w:w w:val="105"/>
          <w:sz w:val="20"/>
        </w:rPr>
        <w:t> </w:t>
      </w:r>
      <w:r>
        <w:rPr>
          <w:color w:val="231F20"/>
          <w:w w:val="105"/>
          <w:sz w:val="20"/>
        </w:rPr>
        <w:t>illness</w:t>
      </w:r>
      <w:r>
        <w:rPr>
          <w:color w:val="231F20"/>
          <w:spacing w:val="-22"/>
          <w:w w:val="105"/>
          <w:sz w:val="20"/>
        </w:rPr>
        <w:t> </w:t>
      </w:r>
      <w:r>
        <w:rPr>
          <w:color w:val="231F20"/>
          <w:w w:val="105"/>
          <w:sz w:val="20"/>
        </w:rPr>
        <w:t>affecting</w:t>
      </w:r>
      <w:r>
        <w:rPr>
          <w:color w:val="231F20"/>
          <w:spacing w:val="-22"/>
          <w:w w:val="105"/>
          <w:sz w:val="20"/>
        </w:rPr>
        <w:t> </w:t>
      </w:r>
      <w:r>
        <w:rPr>
          <w:color w:val="231F20"/>
          <w:w w:val="105"/>
          <w:sz w:val="20"/>
        </w:rPr>
        <w:t>persons</w:t>
      </w:r>
      <w:r>
        <w:rPr>
          <w:color w:val="231F20"/>
          <w:spacing w:val="-22"/>
          <w:w w:val="105"/>
          <w:sz w:val="20"/>
        </w:rPr>
        <w:t> </w:t>
      </w:r>
      <w:r>
        <w:rPr>
          <w:color w:val="231F20"/>
          <w:w w:val="105"/>
          <w:sz w:val="20"/>
        </w:rPr>
        <w:t>of</w:t>
      </w:r>
      <w:r>
        <w:rPr>
          <w:color w:val="231F20"/>
          <w:spacing w:val="-5"/>
          <w:w w:val="105"/>
          <w:sz w:val="20"/>
        </w:rPr>
        <w:t> </w:t>
      </w:r>
      <w:r>
        <w:rPr>
          <w:color w:val="231F20"/>
          <w:w w:val="105"/>
          <w:sz w:val="20"/>
        </w:rPr>
        <w:t>both sexes and all age</w:t>
      </w:r>
      <w:r>
        <w:rPr>
          <w:color w:val="231F20"/>
          <w:spacing w:val="-24"/>
          <w:w w:val="105"/>
          <w:sz w:val="20"/>
        </w:rPr>
        <w:t> </w:t>
      </w:r>
      <w:r>
        <w:rPr>
          <w:color w:val="231F20"/>
          <w:w w:val="105"/>
          <w:sz w:val="20"/>
        </w:rPr>
        <w:t>groups;</w:t>
      </w:r>
    </w:p>
    <w:p>
      <w:pPr>
        <w:pStyle w:val="ListParagraph"/>
        <w:numPr>
          <w:ilvl w:val="0"/>
          <w:numId w:val="11"/>
        </w:numPr>
        <w:tabs>
          <w:tab w:pos="491" w:val="left" w:leader="none"/>
        </w:tabs>
        <w:spacing w:line="266" w:lineRule="auto" w:before="89" w:after="0"/>
        <w:ind w:left="490" w:right="823" w:hanging="170"/>
        <w:jc w:val="left"/>
        <w:rPr>
          <w:sz w:val="20"/>
        </w:rPr>
      </w:pPr>
      <w:r>
        <w:rPr>
          <w:color w:val="231F20"/>
          <w:w w:val="105"/>
          <w:sz w:val="20"/>
        </w:rPr>
        <w:t>Geographic</w:t>
      </w:r>
      <w:r>
        <w:rPr>
          <w:color w:val="231F20"/>
          <w:spacing w:val="-21"/>
          <w:w w:val="105"/>
          <w:sz w:val="20"/>
        </w:rPr>
        <w:t> </w:t>
      </w:r>
      <w:r>
        <w:rPr>
          <w:color w:val="231F20"/>
          <w:w w:val="105"/>
          <w:sz w:val="20"/>
        </w:rPr>
        <w:t>distribution</w:t>
      </w:r>
      <w:r>
        <w:rPr>
          <w:color w:val="231F20"/>
          <w:spacing w:val="-21"/>
          <w:w w:val="105"/>
          <w:sz w:val="20"/>
        </w:rPr>
        <w:t> </w:t>
      </w:r>
      <w:r>
        <w:rPr>
          <w:color w:val="231F20"/>
          <w:w w:val="105"/>
          <w:sz w:val="20"/>
        </w:rPr>
        <w:t>of</w:t>
      </w:r>
      <w:r>
        <w:rPr>
          <w:color w:val="231F20"/>
          <w:spacing w:val="-2"/>
          <w:w w:val="105"/>
          <w:sz w:val="20"/>
        </w:rPr>
        <w:t> </w:t>
      </w:r>
      <w:r>
        <w:rPr>
          <w:color w:val="231F20"/>
          <w:w w:val="105"/>
          <w:sz w:val="20"/>
        </w:rPr>
        <w:t>cases</w:t>
      </w:r>
      <w:r>
        <w:rPr>
          <w:color w:val="231F20"/>
          <w:spacing w:val="-21"/>
          <w:w w:val="105"/>
          <w:sz w:val="20"/>
        </w:rPr>
        <w:t> </w:t>
      </w:r>
      <w:r>
        <w:rPr>
          <w:color w:val="231F20"/>
          <w:w w:val="105"/>
          <w:sz w:val="20"/>
        </w:rPr>
        <w:t>consistent with public water distribution but not food distribution</w:t>
      </w:r>
      <w:r>
        <w:rPr>
          <w:color w:val="231F20"/>
          <w:spacing w:val="-16"/>
          <w:w w:val="105"/>
          <w:sz w:val="20"/>
        </w:rPr>
        <w:t> </w:t>
      </w:r>
      <w:r>
        <w:rPr>
          <w:color w:val="231F20"/>
          <w:w w:val="105"/>
          <w:sz w:val="20"/>
        </w:rPr>
        <w:t>patterns</w:t>
      </w:r>
      <w:r>
        <w:rPr>
          <w:color w:val="231F20"/>
          <w:spacing w:val="-17"/>
          <w:w w:val="105"/>
          <w:sz w:val="20"/>
        </w:rPr>
        <w:t> </w:t>
      </w:r>
      <w:r>
        <w:rPr>
          <w:color w:val="231F20"/>
          <w:spacing w:val="-4"/>
          <w:w w:val="105"/>
          <w:sz w:val="20"/>
        </w:rPr>
        <w:t>(e.g.,</w:t>
      </w:r>
      <w:r>
        <w:rPr>
          <w:color w:val="231F20"/>
          <w:spacing w:val="-16"/>
          <w:w w:val="105"/>
          <w:sz w:val="20"/>
        </w:rPr>
        <w:t> </w:t>
      </w:r>
      <w:r>
        <w:rPr>
          <w:color w:val="231F20"/>
          <w:w w:val="105"/>
          <w:sz w:val="20"/>
        </w:rPr>
        <w:t>limited</w:t>
      </w:r>
      <w:r>
        <w:rPr>
          <w:color w:val="231F20"/>
          <w:spacing w:val="-17"/>
          <w:w w:val="105"/>
          <w:sz w:val="20"/>
        </w:rPr>
        <w:t> </w:t>
      </w:r>
      <w:r>
        <w:rPr>
          <w:color w:val="231F20"/>
          <w:w w:val="105"/>
          <w:sz w:val="20"/>
        </w:rPr>
        <w:t>to</w:t>
      </w:r>
      <w:r>
        <w:rPr>
          <w:color w:val="231F20"/>
          <w:spacing w:val="-17"/>
          <w:w w:val="105"/>
          <w:sz w:val="20"/>
        </w:rPr>
        <w:t> </w:t>
      </w:r>
      <w:r>
        <w:rPr>
          <w:color w:val="231F20"/>
          <w:w w:val="105"/>
          <w:sz w:val="20"/>
        </w:rPr>
        <w:t>persons residing within city limits or a clustering of cases adjacent to cattle ranches or farms served </w:t>
      </w:r>
      <w:r>
        <w:rPr>
          <w:color w:val="231F20"/>
          <w:spacing w:val="-3"/>
          <w:w w:val="105"/>
          <w:sz w:val="20"/>
        </w:rPr>
        <w:t>by </w:t>
      </w:r>
      <w:r>
        <w:rPr>
          <w:color w:val="231F20"/>
          <w:w w:val="105"/>
          <w:sz w:val="20"/>
        </w:rPr>
        <w:t>well</w:t>
      </w:r>
      <w:r>
        <w:rPr>
          <w:color w:val="231F20"/>
          <w:spacing w:val="-37"/>
          <w:w w:val="105"/>
          <w:sz w:val="20"/>
        </w:rPr>
        <w:t> </w:t>
      </w:r>
      <w:r>
        <w:rPr>
          <w:color w:val="231F20"/>
          <w:w w:val="105"/>
          <w:sz w:val="20"/>
        </w:rPr>
        <w:t>water);</w:t>
      </w:r>
    </w:p>
    <w:p>
      <w:pPr>
        <w:pStyle w:val="ListParagraph"/>
        <w:numPr>
          <w:ilvl w:val="0"/>
          <w:numId w:val="11"/>
        </w:numPr>
        <w:tabs>
          <w:tab w:pos="491" w:val="left" w:leader="none"/>
        </w:tabs>
        <w:spacing w:line="266" w:lineRule="auto" w:before="89" w:after="0"/>
        <w:ind w:left="490" w:right="907" w:hanging="170"/>
        <w:jc w:val="left"/>
        <w:rPr>
          <w:sz w:val="20"/>
        </w:rPr>
      </w:pPr>
      <w:r>
        <w:rPr>
          <w:color w:val="231F20"/>
          <w:sz w:val="20"/>
        </w:rPr>
        <w:t>Absence of cases among breast-fed babies or persons who drink only bottled water or beverages from boiled </w:t>
      </w:r>
      <w:r>
        <w:rPr>
          <w:color w:val="231F20"/>
          <w:spacing w:val="11"/>
          <w:sz w:val="20"/>
        </w:rPr>
        <w:t> </w:t>
      </w:r>
      <w:r>
        <w:rPr>
          <w:color w:val="231F20"/>
          <w:sz w:val="20"/>
        </w:rPr>
        <w:t>water;</w:t>
      </w:r>
    </w:p>
    <w:p>
      <w:pPr>
        <w:pStyle w:val="ListParagraph"/>
        <w:numPr>
          <w:ilvl w:val="0"/>
          <w:numId w:val="11"/>
        </w:numPr>
        <w:tabs>
          <w:tab w:pos="491" w:val="left" w:leader="none"/>
        </w:tabs>
        <w:spacing w:line="266" w:lineRule="auto" w:before="89" w:after="0"/>
        <w:ind w:left="490" w:right="950" w:hanging="170"/>
        <w:jc w:val="left"/>
        <w:rPr>
          <w:sz w:val="20"/>
        </w:rPr>
      </w:pPr>
      <w:r>
        <w:rPr>
          <w:color w:val="231F20"/>
          <w:w w:val="105"/>
          <w:sz w:val="20"/>
        </w:rPr>
        <w:t>Dose-response</w:t>
      </w:r>
      <w:r>
        <w:rPr>
          <w:color w:val="231F20"/>
          <w:spacing w:val="-23"/>
          <w:w w:val="105"/>
          <w:sz w:val="20"/>
        </w:rPr>
        <w:t> </w:t>
      </w:r>
      <w:r>
        <w:rPr>
          <w:color w:val="231F20"/>
          <w:w w:val="105"/>
          <w:sz w:val="20"/>
        </w:rPr>
        <w:t>with</w:t>
      </w:r>
      <w:r>
        <w:rPr>
          <w:color w:val="231F20"/>
          <w:spacing w:val="-22"/>
          <w:w w:val="105"/>
          <w:sz w:val="20"/>
        </w:rPr>
        <w:t> </w:t>
      </w:r>
      <w:r>
        <w:rPr>
          <w:color w:val="231F20"/>
          <w:w w:val="105"/>
          <w:sz w:val="20"/>
        </w:rPr>
        <w:t>increasing</w:t>
      </w:r>
      <w:r>
        <w:rPr>
          <w:color w:val="231F20"/>
          <w:spacing w:val="-22"/>
          <w:w w:val="105"/>
          <w:sz w:val="20"/>
        </w:rPr>
        <w:t> </w:t>
      </w:r>
      <w:r>
        <w:rPr>
          <w:color w:val="231F20"/>
          <w:w w:val="105"/>
          <w:sz w:val="20"/>
        </w:rPr>
        <w:t>attack</w:t>
      </w:r>
      <w:r>
        <w:rPr>
          <w:color w:val="231F20"/>
          <w:spacing w:val="-22"/>
          <w:w w:val="105"/>
          <w:sz w:val="20"/>
        </w:rPr>
        <w:t> </w:t>
      </w:r>
      <w:r>
        <w:rPr>
          <w:color w:val="231F20"/>
          <w:w w:val="105"/>
          <w:sz w:val="20"/>
        </w:rPr>
        <w:t>rates among</w:t>
      </w:r>
      <w:r>
        <w:rPr>
          <w:color w:val="231F20"/>
          <w:spacing w:val="-11"/>
          <w:w w:val="105"/>
          <w:sz w:val="20"/>
        </w:rPr>
        <w:t> </w:t>
      </w:r>
      <w:r>
        <w:rPr>
          <w:color w:val="231F20"/>
          <w:w w:val="105"/>
          <w:sz w:val="20"/>
        </w:rPr>
        <w:t>persons</w:t>
      </w:r>
      <w:r>
        <w:rPr>
          <w:color w:val="231F20"/>
          <w:spacing w:val="-11"/>
          <w:w w:val="105"/>
          <w:sz w:val="20"/>
        </w:rPr>
        <w:t> </w:t>
      </w:r>
      <w:r>
        <w:rPr>
          <w:color w:val="231F20"/>
          <w:w w:val="105"/>
          <w:sz w:val="20"/>
        </w:rPr>
        <w:t>drinking</w:t>
      </w:r>
      <w:r>
        <w:rPr>
          <w:color w:val="231F20"/>
          <w:spacing w:val="-11"/>
          <w:w w:val="105"/>
          <w:sz w:val="20"/>
        </w:rPr>
        <w:t> </w:t>
      </w:r>
      <w:r>
        <w:rPr>
          <w:color w:val="231F20"/>
          <w:w w:val="105"/>
          <w:sz w:val="20"/>
        </w:rPr>
        <w:t>more</w:t>
      </w:r>
      <w:r>
        <w:rPr>
          <w:color w:val="231F20"/>
          <w:spacing w:val="-11"/>
          <w:w w:val="105"/>
          <w:sz w:val="20"/>
        </w:rPr>
        <w:t> </w:t>
      </w:r>
      <w:r>
        <w:rPr>
          <w:color w:val="231F20"/>
          <w:w w:val="105"/>
          <w:sz w:val="20"/>
        </w:rPr>
        <w:t>water;</w:t>
      </w:r>
    </w:p>
    <w:p>
      <w:pPr>
        <w:pStyle w:val="ListParagraph"/>
        <w:numPr>
          <w:ilvl w:val="0"/>
          <w:numId w:val="11"/>
        </w:numPr>
        <w:tabs>
          <w:tab w:pos="491" w:val="left" w:leader="none"/>
        </w:tabs>
        <w:spacing w:line="266" w:lineRule="auto" w:before="89" w:after="0"/>
        <w:ind w:left="490" w:right="859" w:hanging="170"/>
        <w:jc w:val="left"/>
        <w:rPr>
          <w:sz w:val="20"/>
        </w:rPr>
      </w:pPr>
      <w:r>
        <w:rPr>
          <w:color w:val="231F20"/>
          <w:w w:val="105"/>
          <w:sz w:val="20"/>
        </w:rPr>
        <w:t>Concurrent complaints about water</w:t>
      </w:r>
      <w:r>
        <w:rPr>
          <w:color w:val="231F20"/>
          <w:spacing w:val="-25"/>
          <w:w w:val="105"/>
          <w:sz w:val="20"/>
        </w:rPr>
        <w:t> </w:t>
      </w:r>
      <w:r>
        <w:rPr>
          <w:color w:val="231F20"/>
          <w:w w:val="105"/>
          <w:sz w:val="20"/>
        </w:rPr>
        <w:t>quality in</w:t>
      </w:r>
      <w:r>
        <w:rPr>
          <w:color w:val="231F20"/>
          <w:spacing w:val="-13"/>
          <w:w w:val="105"/>
          <w:sz w:val="20"/>
        </w:rPr>
        <w:t> </w:t>
      </w:r>
      <w:r>
        <w:rPr>
          <w:color w:val="231F20"/>
          <w:w w:val="105"/>
          <w:sz w:val="20"/>
        </w:rPr>
        <w:t>the</w:t>
      </w:r>
      <w:r>
        <w:rPr>
          <w:color w:val="231F20"/>
          <w:spacing w:val="-13"/>
          <w:w w:val="105"/>
          <w:sz w:val="20"/>
        </w:rPr>
        <w:t> </w:t>
      </w:r>
      <w:r>
        <w:rPr>
          <w:color w:val="231F20"/>
          <w:w w:val="105"/>
          <w:sz w:val="20"/>
        </w:rPr>
        <w:t>affected</w:t>
      </w:r>
      <w:r>
        <w:rPr>
          <w:color w:val="231F20"/>
          <w:spacing w:val="-13"/>
          <w:w w:val="105"/>
          <w:sz w:val="20"/>
        </w:rPr>
        <w:t> </w:t>
      </w:r>
      <w:r>
        <w:rPr>
          <w:color w:val="231F20"/>
          <w:w w:val="105"/>
          <w:sz w:val="20"/>
        </w:rPr>
        <w:t>community;</w:t>
      </w:r>
      <w:r>
        <w:rPr>
          <w:color w:val="231F20"/>
          <w:spacing w:val="-13"/>
          <w:w w:val="105"/>
          <w:sz w:val="20"/>
        </w:rPr>
        <w:t> </w:t>
      </w:r>
      <w:r>
        <w:rPr>
          <w:color w:val="231F20"/>
          <w:w w:val="105"/>
          <w:sz w:val="20"/>
        </w:rPr>
        <w:t>or</w:t>
      </w:r>
    </w:p>
    <w:p>
      <w:pPr>
        <w:pStyle w:val="ListParagraph"/>
        <w:numPr>
          <w:ilvl w:val="0"/>
          <w:numId w:val="11"/>
        </w:numPr>
        <w:tabs>
          <w:tab w:pos="491" w:val="left" w:leader="none"/>
        </w:tabs>
        <w:spacing w:line="240" w:lineRule="auto" w:before="89" w:after="0"/>
        <w:ind w:left="490" w:right="0" w:hanging="170"/>
        <w:jc w:val="left"/>
        <w:rPr>
          <w:sz w:val="20"/>
        </w:rPr>
      </w:pPr>
      <w:r>
        <w:rPr>
          <w:color w:val="231F20"/>
          <w:sz w:val="20"/>
        </w:rPr>
        <w:t>Involvement of  multiple</w:t>
      </w:r>
      <w:r>
        <w:rPr>
          <w:color w:val="231F20"/>
          <w:spacing w:val="14"/>
          <w:sz w:val="20"/>
        </w:rPr>
        <w:t> </w:t>
      </w:r>
      <w:r>
        <w:rPr>
          <w:color w:val="231F20"/>
          <w:sz w:val="20"/>
        </w:rPr>
        <w:t>pathogens.</w:t>
      </w:r>
    </w:p>
    <w:p>
      <w:pPr>
        <w:pStyle w:val="BodyText"/>
        <w:spacing w:before="1"/>
        <w:rPr>
          <w:sz w:val="18"/>
        </w:rPr>
      </w:pPr>
    </w:p>
    <w:p>
      <w:pPr>
        <w:pStyle w:val="BodyText"/>
        <w:spacing w:line="266" w:lineRule="auto" w:before="1"/>
        <w:ind w:left="320" w:right="779"/>
      </w:pPr>
      <w:r>
        <w:rPr>
          <w:color w:val="231F20"/>
          <w:w w:val="105"/>
        </w:rPr>
        <w:t>A clustering of cases among children, particularly children who have shared a common recreational water exposure, such as a water park, community pool, or lake, might suggest transmission by recreational water.</w:t>
      </w:r>
    </w:p>
    <w:p>
      <w:pPr>
        <w:pStyle w:val="ListParagraph"/>
        <w:numPr>
          <w:ilvl w:val="3"/>
          <w:numId w:val="16"/>
        </w:numPr>
        <w:tabs>
          <w:tab w:pos="963" w:val="left" w:leader="none"/>
        </w:tabs>
        <w:spacing w:line="266" w:lineRule="auto" w:before="180" w:after="0"/>
        <w:ind w:left="320" w:right="1267" w:firstLine="0"/>
        <w:jc w:val="left"/>
        <w:rPr>
          <w:sz w:val="20"/>
        </w:rPr>
      </w:pPr>
      <w:r>
        <w:rPr>
          <w:i/>
          <w:color w:val="E36F1E"/>
          <w:w w:val="105"/>
          <w:sz w:val="20"/>
        </w:rPr>
        <w:t>Transmission from person-to-person </w:t>
      </w:r>
      <w:r>
        <w:rPr>
          <w:color w:val="231F20"/>
          <w:sz w:val="20"/>
        </w:rPr>
        <w:t>Person-to-person transmission should be suspected</w:t>
      </w:r>
      <w:r>
        <w:rPr>
          <w:color w:val="231F20"/>
          <w:spacing w:val="13"/>
          <w:sz w:val="20"/>
        </w:rPr>
        <w:t> </w:t>
      </w:r>
      <w:r>
        <w:rPr>
          <w:color w:val="231F20"/>
          <w:sz w:val="20"/>
        </w:rPr>
        <w:t>when</w:t>
      </w:r>
    </w:p>
    <w:p>
      <w:pPr>
        <w:pStyle w:val="ListParagraph"/>
        <w:numPr>
          <w:ilvl w:val="0"/>
          <w:numId w:val="11"/>
        </w:numPr>
        <w:tabs>
          <w:tab w:pos="491" w:val="left" w:leader="none"/>
        </w:tabs>
        <w:spacing w:line="266" w:lineRule="auto" w:before="180" w:after="0"/>
        <w:ind w:left="490" w:right="808" w:hanging="170"/>
        <w:jc w:val="left"/>
        <w:rPr>
          <w:sz w:val="20"/>
        </w:rPr>
      </w:pPr>
      <w:r>
        <w:rPr>
          <w:color w:val="231F20"/>
          <w:w w:val="105"/>
          <w:sz w:val="20"/>
        </w:rPr>
        <w:t>Cases are clustered in social units such as families,</w:t>
      </w:r>
      <w:r>
        <w:rPr>
          <w:color w:val="231F20"/>
          <w:spacing w:val="-32"/>
          <w:w w:val="105"/>
          <w:sz w:val="20"/>
        </w:rPr>
        <w:t> </w:t>
      </w:r>
      <w:r>
        <w:rPr>
          <w:color w:val="231F20"/>
          <w:w w:val="105"/>
          <w:sz w:val="20"/>
        </w:rPr>
        <w:t>schools</w:t>
      </w:r>
      <w:r>
        <w:rPr>
          <w:color w:val="231F20"/>
          <w:spacing w:val="-32"/>
          <w:w w:val="105"/>
          <w:sz w:val="20"/>
        </w:rPr>
        <w:t> </w:t>
      </w:r>
      <w:r>
        <w:rPr>
          <w:color w:val="231F20"/>
          <w:w w:val="105"/>
          <w:sz w:val="20"/>
        </w:rPr>
        <w:t>(and</w:t>
      </w:r>
      <w:r>
        <w:rPr>
          <w:color w:val="231F20"/>
          <w:spacing w:val="-32"/>
          <w:w w:val="105"/>
          <w:sz w:val="20"/>
        </w:rPr>
        <w:t> </w:t>
      </w:r>
      <w:r>
        <w:rPr>
          <w:color w:val="231F20"/>
          <w:w w:val="105"/>
          <w:sz w:val="20"/>
        </w:rPr>
        <w:t>classes</w:t>
      </w:r>
      <w:r>
        <w:rPr>
          <w:color w:val="231F20"/>
          <w:spacing w:val="-32"/>
          <w:w w:val="105"/>
          <w:sz w:val="20"/>
        </w:rPr>
        <w:t> </w:t>
      </w:r>
      <w:r>
        <w:rPr>
          <w:color w:val="231F20"/>
          <w:w w:val="105"/>
          <w:sz w:val="20"/>
        </w:rPr>
        <w:t>within</w:t>
      </w:r>
      <w:r>
        <w:rPr>
          <w:color w:val="231F20"/>
          <w:spacing w:val="-32"/>
          <w:w w:val="105"/>
          <w:sz w:val="20"/>
        </w:rPr>
        <w:t> </w:t>
      </w:r>
      <w:r>
        <w:rPr>
          <w:color w:val="231F20"/>
          <w:w w:val="105"/>
          <w:sz w:val="20"/>
        </w:rPr>
        <w:t>schools), nursing homes, dorms or dorm rooms, and sororities/fraternities;</w:t>
      </w:r>
      <w:r>
        <w:rPr>
          <w:color w:val="231F20"/>
          <w:spacing w:val="-34"/>
          <w:w w:val="105"/>
          <w:sz w:val="20"/>
        </w:rPr>
        <w:t> </w:t>
      </w:r>
      <w:r>
        <w:rPr>
          <w:color w:val="231F20"/>
          <w:w w:val="105"/>
          <w:sz w:val="20"/>
        </w:rPr>
        <w:t>and</w:t>
      </w:r>
    </w:p>
    <w:p>
      <w:pPr>
        <w:pStyle w:val="ListParagraph"/>
        <w:numPr>
          <w:ilvl w:val="0"/>
          <w:numId w:val="11"/>
        </w:numPr>
        <w:tabs>
          <w:tab w:pos="491" w:val="left" w:leader="none"/>
        </w:tabs>
        <w:spacing w:line="266" w:lineRule="auto" w:before="90" w:after="0"/>
        <w:ind w:left="490" w:right="821" w:hanging="170"/>
        <w:jc w:val="left"/>
        <w:rPr>
          <w:sz w:val="20"/>
        </w:rPr>
      </w:pPr>
      <w:r>
        <w:rPr>
          <w:color w:val="231F20"/>
          <w:w w:val="105"/>
          <w:sz w:val="20"/>
        </w:rPr>
        <w:t>Cases occur in </w:t>
      </w:r>
      <w:r>
        <w:rPr>
          <w:color w:val="231F20"/>
          <w:spacing w:val="-3"/>
          <w:w w:val="105"/>
          <w:sz w:val="20"/>
        </w:rPr>
        <w:t>waves </w:t>
      </w:r>
      <w:r>
        <w:rPr>
          <w:color w:val="231F20"/>
          <w:w w:val="105"/>
          <w:sz w:val="20"/>
        </w:rPr>
        <w:t>separated </w:t>
      </w:r>
      <w:r>
        <w:rPr>
          <w:color w:val="231F20"/>
          <w:spacing w:val="-3"/>
          <w:w w:val="105"/>
          <w:sz w:val="20"/>
        </w:rPr>
        <w:t>by </w:t>
      </w:r>
      <w:r>
        <w:rPr>
          <w:color w:val="231F20"/>
          <w:w w:val="105"/>
          <w:sz w:val="20"/>
        </w:rPr>
        <w:t>approximately one incubation period</w:t>
      </w:r>
      <w:r>
        <w:rPr>
          <w:color w:val="231F20"/>
          <w:spacing w:val="-33"/>
          <w:w w:val="105"/>
          <w:sz w:val="20"/>
        </w:rPr>
        <w:t> </w:t>
      </w:r>
      <w:r>
        <w:rPr>
          <w:color w:val="231F20"/>
          <w:w w:val="105"/>
          <w:sz w:val="20"/>
        </w:rPr>
        <w:t>of the etiologic</w:t>
      </w:r>
      <w:r>
        <w:rPr>
          <w:color w:val="231F20"/>
          <w:spacing w:val="-12"/>
          <w:w w:val="105"/>
          <w:sz w:val="20"/>
        </w:rPr>
        <w:t> </w:t>
      </w:r>
      <w:r>
        <w:rPr>
          <w:color w:val="231F20"/>
          <w:w w:val="105"/>
          <w:sz w:val="20"/>
        </w:rPr>
        <w:t>agent.</w:t>
      </w:r>
    </w:p>
    <w:p>
      <w:pPr>
        <w:pStyle w:val="ListParagraph"/>
        <w:numPr>
          <w:ilvl w:val="3"/>
          <w:numId w:val="16"/>
        </w:numPr>
        <w:tabs>
          <w:tab w:pos="963" w:val="left" w:leader="none"/>
        </w:tabs>
        <w:spacing w:line="240" w:lineRule="auto" w:before="180" w:after="0"/>
        <w:ind w:left="962" w:right="0" w:hanging="642"/>
        <w:jc w:val="left"/>
        <w:rPr>
          <w:i/>
          <w:sz w:val="20"/>
        </w:rPr>
      </w:pPr>
      <w:r>
        <w:rPr>
          <w:i/>
          <w:color w:val="E36F1E"/>
          <w:w w:val="105"/>
          <w:sz w:val="20"/>
        </w:rPr>
        <w:t>Transmission</w:t>
      </w:r>
      <w:r>
        <w:rPr>
          <w:i/>
          <w:color w:val="E36F1E"/>
          <w:spacing w:val="-28"/>
          <w:w w:val="105"/>
          <w:sz w:val="20"/>
        </w:rPr>
        <w:t> </w:t>
      </w:r>
      <w:r>
        <w:rPr>
          <w:i/>
          <w:color w:val="E36F1E"/>
          <w:w w:val="105"/>
          <w:sz w:val="20"/>
        </w:rPr>
        <w:t>from</w:t>
      </w:r>
      <w:r>
        <w:rPr>
          <w:i/>
          <w:color w:val="E36F1E"/>
          <w:spacing w:val="-28"/>
          <w:w w:val="105"/>
          <w:sz w:val="20"/>
        </w:rPr>
        <w:t> </w:t>
      </w:r>
      <w:r>
        <w:rPr>
          <w:i/>
          <w:color w:val="E36F1E"/>
          <w:w w:val="105"/>
          <w:sz w:val="20"/>
        </w:rPr>
        <w:t>fomites</w:t>
      </w:r>
    </w:p>
    <w:p>
      <w:pPr>
        <w:pStyle w:val="BodyText"/>
        <w:spacing w:line="266" w:lineRule="auto" w:before="25"/>
        <w:ind w:left="320" w:right="742"/>
      </w:pPr>
      <w:r>
        <w:rPr>
          <w:color w:val="231F20"/>
        </w:rPr>
        <w:t>The importance of nonfood environmental sources in transmission is poorly understood,</w:t>
      </w:r>
    </w:p>
    <w:p>
      <w:pPr>
        <w:spacing w:after="0" w:line="266" w:lineRule="auto"/>
        <w:sectPr>
          <w:type w:val="continuous"/>
          <w:pgSz w:w="10080" w:h="14400"/>
          <w:pgMar w:top="0" w:bottom="360" w:left="0" w:right="0"/>
          <w:cols w:num="2" w:equalWidth="0">
            <w:col w:w="5220" w:space="40"/>
            <w:col w:w="4820"/>
          </w:cols>
        </w:sectPr>
      </w:pPr>
    </w:p>
    <w:p>
      <w:pPr>
        <w:pStyle w:val="BodyText"/>
        <w:spacing w:before="8"/>
        <w:rPr>
          <w:sz w:val="26"/>
        </w:rPr>
      </w:pPr>
    </w:p>
    <w:p>
      <w:pPr>
        <w:pStyle w:val="Heading1"/>
        <w:numPr>
          <w:ilvl w:val="1"/>
          <w:numId w:val="17"/>
        </w:numPr>
        <w:tabs>
          <w:tab w:pos="1265" w:val="left" w:leader="none"/>
        </w:tabs>
        <w:spacing w:line="240" w:lineRule="auto" w:before="89" w:after="0"/>
        <w:ind w:left="1264" w:right="0" w:hanging="544"/>
        <w:jc w:val="left"/>
      </w:pPr>
      <w:r>
        <w:rPr/>
        <w:pict>
          <v:line style="position:absolute;mso-position-horizontal-relative:page;mso-position-vertical-relative:paragraph;z-index:4504;mso-wrap-distance-left:0;mso-wrap-distance-right:0" from="36pt,23.995163pt" to="432pt,23.995163pt" stroked="true" strokeweight=".5pt" strokecolor="#00a94f">
            <v:stroke dashstyle="solid"/>
            <w10:wrap type="topAndBottom"/>
          </v:line>
        </w:pict>
      </w:r>
      <w:r>
        <w:rPr/>
        <w:pict>
          <v:rect style="position:absolute;margin-left:459pt;margin-top:63.347263pt;width:45pt;height:18pt;mso-position-horizontal-relative:page;mso-position-vertical-relative:paragraph;z-index:4552" filled="true" fillcolor="#0079c1" stroked="false">
            <v:fill type="solid"/>
            <w10:wrap type="none"/>
          </v:rect>
        </w:pict>
      </w:r>
      <w:r>
        <w:rPr/>
        <w:pict>
          <v:line style="position:absolute;mso-position-horizontal-relative:page;mso-position-vertical-relative:paragraph;z-index:4576" from="450.5pt,63.346863pt" to="450.5pt,305.244863pt" stroked="true" strokeweight="1pt" strokecolor="#0079c1">
            <v:stroke dashstyle="solid"/>
            <w10:wrap type="none"/>
          </v:line>
        </w:pict>
      </w:r>
      <w:r>
        <w:rPr/>
        <w:pict>
          <v:shape style="position:absolute;margin-left:465.014313pt;margin-top:85.343666pt;width:22.9pt;height:222.55pt;mso-position-horizontal-relative:page;mso-position-vertical-relative:paragraph;z-index:4600"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68.097862pt;width:15.85pt;height:8.5pt;mso-position-horizontal-relative:page;mso-position-vertical-relative:paragraph;z-index:462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00A94F"/>
          <w:w w:val="95"/>
        </w:rPr>
        <w:t>Etiologic</w:t>
      </w:r>
      <w:r>
        <w:rPr>
          <w:color w:val="00A94F"/>
          <w:spacing w:val="-18"/>
          <w:w w:val="95"/>
        </w:rPr>
        <w:t> </w:t>
      </w:r>
      <w:r>
        <w:rPr>
          <w:color w:val="00A94F"/>
          <w:w w:val="95"/>
        </w:rPr>
        <w:t>Agents</w:t>
      </w:r>
      <w:r>
        <w:rPr>
          <w:color w:val="00A94F"/>
          <w:spacing w:val="-18"/>
          <w:w w:val="95"/>
        </w:rPr>
        <w:t> </w:t>
      </w:r>
      <w:r>
        <w:rPr>
          <w:color w:val="00A94F"/>
          <w:w w:val="95"/>
        </w:rPr>
        <w:t>Associated</w:t>
      </w:r>
      <w:r>
        <w:rPr>
          <w:color w:val="00A94F"/>
          <w:spacing w:val="-18"/>
          <w:w w:val="95"/>
        </w:rPr>
        <w:t> </w:t>
      </w:r>
      <w:r>
        <w:rPr>
          <w:color w:val="00A94F"/>
          <w:w w:val="95"/>
        </w:rPr>
        <w:t>with</w:t>
      </w:r>
      <w:r>
        <w:rPr>
          <w:color w:val="00A94F"/>
          <w:spacing w:val="-18"/>
          <w:w w:val="95"/>
        </w:rPr>
        <w:t> </w:t>
      </w:r>
      <w:r>
        <w:rPr>
          <w:color w:val="00A94F"/>
          <w:w w:val="95"/>
        </w:rPr>
        <w:t>Foodborne</w:t>
      </w:r>
      <w:r>
        <w:rPr>
          <w:color w:val="00A94F"/>
          <w:spacing w:val="-18"/>
          <w:w w:val="95"/>
        </w:rPr>
        <w:t> </w:t>
      </w:r>
      <w:r>
        <w:rPr>
          <w:color w:val="00A94F"/>
          <w:w w:val="95"/>
        </w:rPr>
        <w:t>Diseases</w:t>
      </w:r>
    </w:p>
    <w:p>
      <w:pPr>
        <w:pStyle w:val="BodyText"/>
        <w:spacing w:before="7"/>
        <w:rPr>
          <w:rFonts w:ascii="Lucida Sans"/>
          <w:sz w:val="17"/>
        </w:rPr>
      </w:pPr>
    </w:p>
    <w:p>
      <w:pPr>
        <w:spacing w:after="0"/>
        <w:rPr>
          <w:rFonts w:ascii="Lucida Sans"/>
          <w:sz w:val="17"/>
        </w:rPr>
        <w:sectPr>
          <w:pgSz w:w="10080" w:h="14400"/>
          <w:pgMar w:header="0" w:footer="160" w:top="980" w:bottom="360" w:left="0" w:right="0"/>
        </w:sectPr>
      </w:pPr>
    </w:p>
    <w:p>
      <w:pPr>
        <w:pStyle w:val="BodyText"/>
        <w:spacing w:line="266" w:lineRule="auto" w:before="108"/>
        <w:ind w:left="720"/>
      </w:pPr>
      <w:r>
        <w:rPr>
          <w:color w:val="231F20"/>
          <w:w w:val="105"/>
        </w:rPr>
        <w:t>but outbreaks that initially appear to be foodborne are occasionally linked to other sources. </w:t>
      </w:r>
      <w:r>
        <w:rPr>
          <w:color w:val="231F20"/>
          <w:spacing w:val="-7"/>
          <w:w w:val="105"/>
        </w:rPr>
        <w:t>For </w:t>
      </w:r>
      <w:r>
        <w:rPr>
          <w:color w:val="231F20"/>
          <w:w w:val="105"/>
        </w:rPr>
        <w:t>example, a norovirus outbreak after a business luncheon was eventually linked</w:t>
      </w:r>
      <w:r>
        <w:rPr>
          <w:color w:val="231F20"/>
          <w:spacing w:val="-20"/>
          <w:w w:val="105"/>
        </w:rPr>
        <w:t> </w:t>
      </w:r>
      <w:r>
        <w:rPr>
          <w:color w:val="231F20"/>
          <w:w w:val="105"/>
        </w:rPr>
        <w:t>to</w:t>
      </w:r>
      <w:r>
        <w:rPr>
          <w:color w:val="231F20"/>
          <w:spacing w:val="-20"/>
          <w:w w:val="105"/>
        </w:rPr>
        <w:t> </w:t>
      </w:r>
      <w:r>
        <w:rPr>
          <w:color w:val="231F20"/>
          <w:w w:val="105"/>
        </w:rPr>
        <w:t>environmental</w:t>
      </w:r>
      <w:r>
        <w:rPr>
          <w:color w:val="231F20"/>
          <w:spacing w:val="-19"/>
          <w:w w:val="105"/>
        </w:rPr>
        <w:t> </w:t>
      </w:r>
      <w:r>
        <w:rPr>
          <w:color w:val="231F20"/>
          <w:w w:val="105"/>
        </w:rPr>
        <w:t>contamination</w:t>
      </w:r>
      <w:r>
        <w:rPr>
          <w:color w:val="231F20"/>
          <w:spacing w:val="-20"/>
          <w:w w:val="105"/>
        </w:rPr>
        <w:t> </w:t>
      </w:r>
      <w:r>
        <w:rPr>
          <w:color w:val="231F20"/>
          <w:w w:val="105"/>
        </w:rPr>
        <w:t>from a child with diarrhea.</w:t>
      </w:r>
      <w:r>
        <w:rPr>
          <w:color w:val="231F20"/>
          <w:w w:val="105"/>
          <w:position w:val="7"/>
          <w:sz w:val="11"/>
        </w:rPr>
        <w:t>115  </w:t>
      </w:r>
      <w:r>
        <w:rPr>
          <w:color w:val="231F20"/>
          <w:w w:val="105"/>
        </w:rPr>
        <w:t>In another</w:t>
      </w:r>
      <w:r>
        <w:rPr>
          <w:color w:val="231F20"/>
          <w:spacing w:val="-9"/>
          <w:w w:val="105"/>
        </w:rPr>
        <w:t> </w:t>
      </w:r>
      <w:r>
        <w:rPr>
          <w:color w:val="231F20"/>
          <w:w w:val="105"/>
        </w:rPr>
        <w:t>instance,</w:t>
      </w:r>
    </w:p>
    <w:p>
      <w:pPr>
        <w:pStyle w:val="BodyText"/>
        <w:spacing w:line="266" w:lineRule="auto" w:before="108"/>
        <w:ind w:left="526" w:right="1364"/>
      </w:pPr>
      <w:r>
        <w:rPr/>
        <w:br w:type="column"/>
      </w:r>
      <w:r>
        <w:rPr>
          <w:color w:val="231F20"/>
          <w:w w:val="105"/>
        </w:rPr>
        <w:t>a protracted outbreak of salmonellosis was originally linked to consumption of pasteurized milk, but the vehicle was ultimately shown to be externally contaminated milk cartons (i.e., not the milk itself). [</w:t>
      </w:r>
      <w:r>
        <w:rPr>
          <w:i/>
          <w:color w:val="231F20"/>
          <w:w w:val="105"/>
        </w:rPr>
        <w:t>Salmonella </w:t>
      </w:r>
      <w:r>
        <w:rPr>
          <w:color w:val="231F20"/>
          <w:w w:val="105"/>
        </w:rPr>
        <w:t>Braenderup in Oregon, B. Keene, unpublished data, 2013].</w:t>
      </w:r>
    </w:p>
    <w:p>
      <w:pPr>
        <w:spacing w:after="0" w:line="266" w:lineRule="auto"/>
        <w:sectPr>
          <w:type w:val="continuous"/>
          <w:pgSz w:w="10080" w:h="14400"/>
          <w:pgMar w:top="0" w:bottom="360" w:left="0" w:right="0"/>
          <w:cols w:num="2" w:equalWidth="0">
            <w:col w:w="4294" w:space="40"/>
            <w:col w:w="5746"/>
          </w:cols>
        </w:sectPr>
      </w:pPr>
    </w:p>
    <w:p>
      <w:pPr>
        <w:pStyle w:val="BodyText"/>
      </w:pPr>
    </w:p>
    <w:p>
      <w:pPr>
        <w:pStyle w:val="BodyText"/>
      </w:pPr>
    </w:p>
    <w:p>
      <w:pPr>
        <w:pStyle w:val="BodyText"/>
      </w:pPr>
    </w:p>
    <w:p>
      <w:pPr>
        <w:pStyle w:val="Heading1"/>
        <w:numPr>
          <w:ilvl w:val="1"/>
          <w:numId w:val="17"/>
        </w:numPr>
        <w:tabs>
          <w:tab w:pos="1265" w:val="left" w:leader="none"/>
        </w:tabs>
        <w:spacing w:line="240" w:lineRule="auto" w:before="89" w:after="0"/>
        <w:ind w:left="1264" w:right="0" w:hanging="544"/>
        <w:jc w:val="left"/>
      </w:pPr>
      <w:r>
        <w:rPr/>
        <w:pict>
          <v:line style="position:absolute;mso-position-horizontal-relative:page;mso-position-vertical-relative:paragraph;z-index:4528;mso-wrap-distance-left:0;mso-wrap-distance-right:0" from="36pt,23.995148pt" to="432pt,23.995148pt" stroked="true" strokeweight=".5pt" strokecolor="#00a94f">
            <v:stroke dashstyle="solid"/>
            <w10:wrap type="topAndBottom"/>
          </v:line>
        </w:pict>
      </w:r>
      <w:r>
        <w:rPr>
          <w:color w:val="00A94F"/>
        </w:rPr>
        <w:t>References</w:t>
      </w:r>
    </w:p>
    <w:p>
      <w:pPr>
        <w:pStyle w:val="BodyText"/>
        <w:spacing w:before="5"/>
        <w:rPr>
          <w:rFonts w:ascii="Lucida Sans"/>
          <w:sz w:val="8"/>
        </w:rPr>
      </w:pPr>
    </w:p>
    <w:p>
      <w:pPr>
        <w:spacing w:after="0"/>
        <w:rPr>
          <w:rFonts w:ascii="Lucida Sans"/>
          <w:sz w:val="8"/>
        </w:rPr>
        <w:sectPr>
          <w:type w:val="continuous"/>
          <w:pgSz w:w="10080" w:h="14400"/>
          <w:pgMar w:top="0" w:bottom="360" w:left="0" w:right="0"/>
        </w:sectPr>
      </w:pPr>
    </w:p>
    <w:p>
      <w:pPr>
        <w:spacing w:line="264" w:lineRule="auto" w:before="111"/>
        <w:ind w:left="882" w:right="112" w:hanging="163"/>
        <w:jc w:val="left"/>
        <w:rPr>
          <w:sz w:val="17"/>
        </w:rPr>
      </w:pPr>
      <w:r>
        <w:rPr>
          <w:color w:val="231F20"/>
          <w:sz w:val="17"/>
        </w:rPr>
        <w:t>1 </w:t>
      </w:r>
      <w:r>
        <w:rPr>
          <w:color w:val="231F20"/>
          <w:spacing w:val="-6"/>
          <w:sz w:val="17"/>
        </w:rPr>
        <w:t>U.S. </w:t>
      </w:r>
      <w:r>
        <w:rPr>
          <w:color w:val="231F20"/>
          <w:sz w:val="17"/>
        </w:rPr>
        <w:t>Department of Agriculture and </w:t>
      </w:r>
      <w:r>
        <w:rPr>
          <w:color w:val="231F20"/>
          <w:spacing w:val="-6"/>
          <w:sz w:val="17"/>
        </w:rPr>
        <w:t>U.S. </w:t>
      </w:r>
      <w:r>
        <w:rPr>
          <w:color w:val="231F20"/>
          <w:sz w:val="17"/>
        </w:rPr>
        <w:t>Department  of  Health and Human Services. Dietary guidelines   for Americans, 2010. 7th ed, Washington,</w:t>
      </w:r>
      <w:r>
        <w:rPr>
          <w:color w:val="231F20"/>
          <w:spacing w:val="29"/>
          <w:sz w:val="17"/>
        </w:rPr>
        <w:t> </w:t>
      </w:r>
      <w:r>
        <w:rPr>
          <w:color w:val="231F20"/>
          <w:sz w:val="17"/>
        </w:rPr>
        <w:t>DC:</w:t>
      </w:r>
    </w:p>
    <w:p>
      <w:pPr>
        <w:spacing w:line="264" w:lineRule="auto" w:before="0"/>
        <w:ind w:left="882" w:right="208" w:firstLine="0"/>
        <w:jc w:val="left"/>
        <w:rPr>
          <w:sz w:val="17"/>
        </w:rPr>
      </w:pPr>
      <w:r>
        <w:rPr>
          <w:color w:val="231F20"/>
          <w:sz w:val="17"/>
        </w:rPr>
        <w:t>U.S. Department of Agriculture/U.S. Department of Health and Human Services, December 2010. Available at </w:t>
      </w:r>
      <w:hyperlink r:id="rId20">
        <w:r>
          <w:rPr>
            <w:color w:val="0079C1"/>
            <w:sz w:val="17"/>
          </w:rPr>
          <w:t>www.health.gov/dietaryguidelines/</w:t>
        </w:r>
      </w:hyperlink>
      <w:r>
        <w:rPr>
          <w:color w:val="0079C1"/>
          <w:sz w:val="17"/>
        </w:rPr>
        <w:t> dga2010/dietaryguidelines2010.pdf</w:t>
      </w:r>
    </w:p>
    <w:p>
      <w:pPr>
        <w:spacing w:line="191" w:lineRule="exact" w:before="0"/>
        <w:ind w:left="882" w:right="0" w:firstLine="0"/>
        <w:jc w:val="left"/>
        <w:rPr>
          <w:sz w:val="17"/>
        </w:rPr>
      </w:pPr>
      <w:r>
        <w:rPr>
          <w:color w:val="231F20"/>
          <w:w w:val="105"/>
          <w:sz w:val="17"/>
        </w:rPr>
        <w:t>(accessed April 6, 2013).</w:t>
      </w:r>
    </w:p>
    <w:p>
      <w:pPr>
        <w:pStyle w:val="ListParagraph"/>
        <w:numPr>
          <w:ilvl w:val="0"/>
          <w:numId w:val="18"/>
        </w:numPr>
        <w:tabs>
          <w:tab w:pos="883" w:val="left" w:leader="none"/>
        </w:tabs>
        <w:spacing w:line="264" w:lineRule="auto" w:before="104" w:after="0"/>
        <w:ind w:left="882" w:right="0" w:hanging="162"/>
        <w:jc w:val="left"/>
        <w:rPr>
          <w:sz w:val="17"/>
        </w:rPr>
      </w:pPr>
      <w:r>
        <w:rPr>
          <w:color w:val="231F20"/>
          <w:sz w:val="17"/>
        </w:rPr>
        <w:t>Huang </w:t>
      </w:r>
      <w:r>
        <w:rPr>
          <w:color w:val="231F20"/>
          <w:spacing w:val="-3"/>
          <w:sz w:val="17"/>
        </w:rPr>
        <w:t>S, </w:t>
      </w:r>
      <w:r>
        <w:rPr>
          <w:color w:val="231F20"/>
          <w:sz w:val="17"/>
        </w:rPr>
        <w:t>Huang K. Increased </w:t>
      </w:r>
      <w:r>
        <w:rPr>
          <w:color w:val="231F20"/>
          <w:spacing w:val="-6"/>
          <w:sz w:val="17"/>
        </w:rPr>
        <w:t>U.S. </w:t>
      </w:r>
      <w:r>
        <w:rPr>
          <w:color w:val="231F20"/>
          <w:sz w:val="17"/>
        </w:rPr>
        <w:t>import of  fresh fruit and vegetables—a report from the Economic Research Service, </w:t>
      </w:r>
      <w:r>
        <w:rPr>
          <w:color w:val="231F20"/>
          <w:spacing w:val="-6"/>
          <w:sz w:val="17"/>
        </w:rPr>
        <w:t>U.S. </w:t>
      </w:r>
      <w:r>
        <w:rPr>
          <w:color w:val="231F20"/>
          <w:sz w:val="17"/>
        </w:rPr>
        <w:t>Department of Agriculture. FTS-328-01. September 2007. Available at </w:t>
      </w:r>
      <w:r>
        <w:rPr>
          <w:color w:val="0079C1"/>
          <w:spacing w:val="-4"/>
          <w:sz w:val="17"/>
        </w:rPr>
        <w:t>www.ers. </w:t>
      </w:r>
      <w:r>
        <w:rPr>
          <w:color w:val="0079C1"/>
          <w:spacing w:val="-1"/>
          <w:sz w:val="17"/>
        </w:rPr>
        <w:t>usda.gov/publications/fts-fruit-and-tree-nuts-outlook/ </w:t>
      </w:r>
      <w:r>
        <w:rPr>
          <w:color w:val="0079C1"/>
          <w:sz w:val="17"/>
        </w:rPr>
        <w:t>fts-32801</w:t>
      </w:r>
      <w:r>
        <w:rPr>
          <w:color w:val="231F20"/>
          <w:sz w:val="17"/>
        </w:rPr>
        <w:t>.aspx#.UmK6VSQYLR0</w:t>
      </w:r>
    </w:p>
    <w:p>
      <w:pPr>
        <w:spacing w:line="191" w:lineRule="exact" w:before="0"/>
        <w:ind w:left="882" w:right="0" w:firstLine="0"/>
        <w:jc w:val="left"/>
        <w:rPr>
          <w:sz w:val="17"/>
        </w:rPr>
      </w:pPr>
      <w:r>
        <w:rPr>
          <w:color w:val="231F20"/>
          <w:w w:val="105"/>
          <w:sz w:val="17"/>
        </w:rPr>
        <w:t>(accessed February 21, 2008).</w:t>
      </w:r>
    </w:p>
    <w:p>
      <w:pPr>
        <w:pStyle w:val="ListParagraph"/>
        <w:numPr>
          <w:ilvl w:val="0"/>
          <w:numId w:val="18"/>
        </w:numPr>
        <w:tabs>
          <w:tab w:pos="883" w:val="left" w:leader="none"/>
        </w:tabs>
        <w:spacing w:line="264" w:lineRule="auto" w:before="106" w:after="0"/>
        <w:ind w:left="882" w:right="146" w:hanging="162"/>
        <w:jc w:val="left"/>
        <w:rPr>
          <w:sz w:val="17"/>
        </w:rPr>
      </w:pPr>
      <w:r>
        <w:rPr>
          <w:color w:val="231F20"/>
          <w:spacing w:val="-7"/>
          <w:sz w:val="17"/>
        </w:rPr>
        <w:t>U.S </w:t>
      </w:r>
      <w:r>
        <w:rPr>
          <w:color w:val="231F20"/>
          <w:sz w:val="17"/>
        </w:rPr>
        <w:t>Census. </w:t>
      </w:r>
      <w:r>
        <w:rPr>
          <w:color w:val="231F20"/>
          <w:spacing w:val="-3"/>
          <w:sz w:val="17"/>
        </w:rPr>
        <w:t>Per </w:t>
      </w:r>
      <w:r>
        <w:rPr>
          <w:color w:val="231F20"/>
          <w:sz w:val="17"/>
        </w:rPr>
        <w:t>capita consumption of major food commodities:</w:t>
      </w:r>
      <w:r>
        <w:rPr>
          <w:color w:val="231F20"/>
          <w:spacing w:val="-8"/>
          <w:sz w:val="17"/>
        </w:rPr>
        <w:t> </w:t>
      </w:r>
      <w:r>
        <w:rPr>
          <w:color w:val="231F20"/>
          <w:sz w:val="17"/>
        </w:rPr>
        <w:t>1980</w:t>
      </w:r>
      <w:r>
        <w:rPr>
          <w:color w:val="231F20"/>
          <w:spacing w:val="-8"/>
          <w:sz w:val="17"/>
        </w:rPr>
        <w:t> </w:t>
      </w:r>
      <w:r>
        <w:rPr>
          <w:color w:val="231F20"/>
          <w:sz w:val="17"/>
        </w:rPr>
        <w:t>to</w:t>
      </w:r>
      <w:r>
        <w:rPr>
          <w:color w:val="231F20"/>
          <w:spacing w:val="-8"/>
          <w:sz w:val="17"/>
        </w:rPr>
        <w:t> </w:t>
      </w:r>
      <w:r>
        <w:rPr>
          <w:color w:val="231F20"/>
          <w:sz w:val="17"/>
        </w:rPr>
        <w:t>2009.</w:t>
      </w:r>
      <w:r>
        <w:rPr>
          <w:color w:val="231F20"/>
          <w:spacing w:val="-8"/>
          <w:sz w:val="17"/>
        </w:rPr>
        <w:t> </w:t>
      </w:r>
      <w:r>
        <w:rPr>
          <w:color w:val="231F20"/>
          <w:sz w:val="17"/>
        </w:rPr>
        <w:t>Available</w:t>
      </w:r>
      <w:r>
        <w:rPr>
          <w:color w:val="231F20"/>
          <w:spacing w:val="-8"/>
          <w:sz w:val="17"/>
        </w:rPr>
        <w:t> </w:t>
      </w:r>
      <w:r>
        <w:rPr>
          <w:color w:val="231F20"/>
          <w:sz w:val="17"/>
        </w:rPr>
        <w:t>at</w:t>
      </w:r>
      <w:r>
        <w:rPr>
          <w:color w:val="231F20"/>
          <w:spacing w:val="-8"/>
          <w:sz w:val="17"/>
        </w:rPr>
        <w:t> </w:t>
      </w:r>
      <w:r>
        <w:rPr>
          <w:color w:val="0079C1"/>
          <w:spacing w:val="-3"/>
          <w:sz w:val="17"/>
        </w:rPr>
        <w:t>www.census. </w:t>
      </w:r>
      <w:r>
        <w:rPr>
          <w:color w:val="0079C1"/>
          <w:sz w:val="17"/>
        </w:rPr>
        <w:t>gov/compendia/statab/2012/tables/12s0217.pdf </w:t>
      </w:r>
      <w:r>
        <w:rPr>
          <w:color w:val="231F20"/>
          <w:sz w:val="17"/>
        </w:rPr>
        <w:t>(accessed October 30,</w:t>
      </w:r>
      <w:r>
        <w:rPr>
          <w:color w:val="231F20"/>
          <w:spacing w:val="-31"/>
          <w:sz w:val="17"/>
        </w:rPr>
        <w:t> </w:t>
      </w:r>
      <w:r>
        <w:rPr>
          <w:color w:val="231F20"/>
          <w:sz w:val="17"/>
        </w:rPr>
        <w:t>2012).</w:t>
      </w:r>
    </w:p>
    <w:p>
      <w:pPr>
        <w:pStyle w:val="ListParagraph"/>
        <w:numPr>
          <w:ilvl w:val="0"/>
          <w:numId w:val="18"/>
        </w:numPr>
        <w:tabs>
          <w:tab w:pos="883" w:val="left" w:leader="none"/>
        </w:tabs>
        <w:spacing w:line="264" w:lineRule="auto" w:before="86" w:after="0"/>
        <w:ind w:left="882" w:right="370" w:hanging="162"/>
        <w:jc w:val="left"/>
        <w:rPr>
          <w:sz w:val="17"/>
        </w:rPr>
      </w:pPr>
      <w:r>
        <w:rPr>
          <w:color w:val="231F20"/>
          <w:sz w:val="17"/>
        </w:rPr>
        <w:t>National Oceanographic and Atmospheric Administration.Per</w:t>
      </w:r>
      <w:r>
        <w:rPr>
          <w:color w:val="231F20"/>
          <w:spacing w:val="-16"/>
          <w:sz w:val="17"/>
        </w:rPr>
        <w:t> </w:t>
      </w:r>
      <w:r>
        <w:rPr>
          <w:color w:val="231F20"/>
          <w:sz w:val="17"/>
        </w:rPr>
        <w:t>capita</w:t>
      </w:r>
      <w:r>
        <w:rPr>
          <w:color w:val="231F20"/>
          <w:spacing w:val="-16"/>
          <w:sz w:val="17"/>
        </w:rPr>
        <w:t> </w:t>
      </w:r>
      <w:r>
        <w:rPr>
          <w:color w:val="231F20"/>
          <w:sz w:val="17"/>
        </w:rPr>
        <w:t>consumption.</w:t>
      </w:r>
      <w:r>
        <w:rPr>
          <w:color w:val="231F20"/>
          <w:spacing w:val="-16"/>
          <w:sz w:val="17"/>
        </w:rPr>
        <w:t> </w:t>
      </w:r>
      <w:r>
        <w:rPr>
          <w:color w:val="231F20"/>
          <w:sz w:val="17"/>
        </w:rPr>
        <w:t>Available at </w:t>
      </w:r>
      <w:hyperlink r:id="rId21">
        <w:r>
          <w:rPr>
            <w:color w:val="0079C1"/>
            <w:sz w:val="17"/>
          </w:rPr>
          <w:t>www.st.nmfs.noaa.gov/st1/fus/fus11/08_</w:t>
        </w:r>
      </w:hyperlink>
      <w:r>
        <w:rPr>
          <w:color w:val="0079C1"/>
          <w:sz w:val="17"/>
        </w:rPr>
        <w:t> percapita2011.pdf </w:t>
      </w:r>
      <w:r>
        <w:rPr>
          <w:color w:val="231F20"/>
          <w:sz w:val="17"/>
        </w:rPr>
        <w:t>(accessed October 30,</w:t>
      </w:r>
      <w:r>
        <w:rPr>
          <w:color w:val="231F20"/>
          <w:spacing w:val="-9"/>
          <w:sz w:val="17"/>
        </w:rPr>
        <w:t> </w:t>
      </w:r>
      <w:r>
        <w:rPr>
          <w:color w:val="231F20"/>
          <w:sz w:val="17"/>
        </w:rPr>
        <w:t>2012).</w:t>
      </w:r>
    </w:p>
    <w:p>
      <w:pPr>
        <w:pStyle w:val="ListParagraph"/>
        <w:numPr>
          <w:ilvl w:val="0"/>
          <w:numId w:val="18"/>
        </w:numPr>
        <w:tabs>
          <w:tab w:pos="883" w:val="left" w:leader="none"/>
        </w:tabs>
        <w:spacing w:line="264" w:lineRule="auto" w:before="86" w:after="0"/>
        <w:ind w:left="882" w:right="44" w:hanging="162"/>
        <w:jc w:val="left"/>
        <w:rPr>
          <w:sz w:val="17"/>
        </w:rPr>
      </w:pPr>
      <w:r>
        <w:rPr>
          <w:color w:val="231F20"/>
          <w:spacing w:val="-6"/>
          <w:sz w:val="17"/>
        </w:rPr>
        <w:t>U.S. </w:t>
      </w:r>
      <w:r>
        <w:rPr>
          <w:color w:val="231F20"/>
          <w:sz w:val="17"/>
        </w:rPr>
        <w:t>Department of Agriculture. </w:t>
      </w:r>
      <w:r>
        <w:rPr>
          <w:color w:val="231F20"/>
          <w:spacing w:val="-6"/>
          <w:sz w:val="17"/>
        </w:rPr>
        <w:t>U.S. </w:t>
      </w:r>
      <w:r>
        <w:rPr>
          <w:color w:val="231F20"/>
          <w:sz w:val="17"/>
        </w:rPr>
        <w:t>food imports: summary data on food import values for 14 food categories, annual data since 1999. Available at </w:t>
      </w:r>
      <w:hyperlink r:id="rId22">
        <w:r>
          <w:rPr>
            <w:color w:val="0079C1"/>
            <w:spacing w:val="-1"/>
            <w:w w:val="95"/>
            <w:sz w:val="17"/>
          </w:rPr>
          <w:t>www.ers.usda.gov/data-products/us-food-imports.aspx</w:t>
        </w:r>
      </w:hyperlink>
      <w:r>
        <w:rPr>
          <w:color w:val="0079C1"/>
          <w:spacing w:val="-1"/>
          <w:w w:val="95"/>
          <w:sz w:val="17"/>
        </w:rPr>
        <w:t> </w:t>
      </w:r>
      <w:r>
        <w:rPr>
          <w:color w:val="231F20"/>
          <w:sz w:val="17"/>
        </w:rPr>
        <w:t>(accessed October 30,</w:t>
      </w:r>
      <w:r>
        <w:rPr>
          <w:color w:val="231F20"/>
          <w:spacing w:val="-31"/>
          <w:sz w:val="17"/>
        </w:rPr>
        <w:t> </w:t>
      </w:r>
      <w:r>
        <w:rPr>
          <w:color w:val="231F20"/>
          <w:sz w:val="17"/>
        </w:rPr>
        <w:t>2012).</w:t>
      </w:r>
    </w:p>
    <w:p>
      <w:pPr>
        <w:pStyle w:val="ListParagraph"/>
        <w:numPr>
          <w:ilvl w:val="0"/>
          <w:numId w:val="18"/>
        </w:numPr>
        <w:tabs>
          <w:tab w:pos="883" w:val="left" w:leader="none"/>
        </w:tabs>
        <w:spacing w:line="264" w:lineRule="auto" w:before="86" w:after="0"/>
        <w:ind w:left="882" w:right="27" w:hanging="162"/>
        <w:jc w:val="left"/>
        <w:rPr>
          <w:sz w:val="17"/>
        </w:rPr>
      </w:pPr>
      <w:r>
        <w:rPr>
          <w:color w:val="231F20"/>
          <w:sz w:val="17"/>
        </w:rPr>
        <w:t>Hamburg M, Import safety: status of </w:t>
      </w:r>
      <w:r>
        <w:rPr>
          <w:color w:val="231F20"/>
          <w:spacing w:val="-9"/>
          <w:sz w:val="17"/>
        </w:rPr>
        <w:t>FDA’s </w:t>
      </w:r>
      <w:r>
        <w:rPr>
          <w:color w:val="231F20"/>
          <w:sz w:val="17"/>
        </w:rPr>
        <w:t>screening efforts at the </w:t>
      </w:r>
      <w:r>
        <w:rPr>
          <w:color w:val="231F20"/>
          <w:spacing w:val="-3"/>
          <w:sz w:val="17"/>
        </w:rPr>
        <w:t>border. Testimony </w:t>
      </w:r>
      <w:r>
        <w:rPr>
          <w:color w:val="231F20"/>
          <w:sz w:val="17"/>
        </w:rPr>
        <w:t>before Subcommittee on Oversight and Investigations Committee on Energy and Commerce </w:t>
      </w:r>
      <w:r>
        <w:rPr>
          <w:color w:val="231F20"/>
          <w:spacing w:val="-6"/>
          <w:sz w:val="17"/>
        </w:rPr>
        <w:t>U.S. </w:t>
      </w:r>
      <w:r>
        <w:rPr>
          <w:color w:val="231F20"/>
          <w:sz w:val="17"/>
        </w:rPr>
        <w:t>House of Representatives on April 13, 2011. Available at </w:t>
      </w:r>
      <w:hyperlink r:id="rId23">
        <w:r>
          <w:rPr>
            <w:color w:val="0079C1"/>
            <w:spacing w:val="-3"/>
            <w:sz w:val="17"/>
          </w:rPr>
          <w:t>www.fda.gov/</w:t>
        </w:r>
      </w:hyperlink>
      <w:r>
        <w:rPr>
          <w:color w:val="0079C1"/>
          <w:spacing w:val="-3"/>
          <w:sz w:val="17"/>
        </w:rPr>
        <w:t> </w:t>
      </w:r>
      <w:r>
        <w:rPr>
          <w:color w:val="0079C1"/>
          <w:sz w:val="17"/>
        </w:rPr>
        <w:t>NewsEvents/Testimony/ucm250710.htm</w:t>
      </w:r>
    </w:p>
    <w:p>
      <w:pPr>
        <w:spacing w:line="191" w:lineRule="exact" w:before="0"/>
        <w:ind w:left="882" w:right="0" w:firstLine="0"/>
        <w:jc w:val="left"/>
        <w:rPr>
          <w:sz w:val="17"/>
        </w:rPr>
      </w:pPr>
      <w:r>
        <w:rPr>
          <w:color w:val="231F20"/>
          <w:sz w:val="17"/>
        </w:rPr>
        <w:t>(accessed October 30, 2012).</w:t>
      </w:r>
    </w:p>
    <w:p>
      <w:pPr>
        <w:pStyle w:val="ListParagraph"/>
        <w:numPr>
          <w:ilvl w:val="0"/>
          <w:numId w:val="18"/>
        </w:numPr>
        <w:tabs>
          <w:tab w:pos="883" w:val="left" w:leader="none"/>
        </w:tabs>
        <w:spacing w:line="264" w:lineRule="auto" w:before="105" w:after="0"/>
        <w:ind w:left="882" w:right="315" w:hanging="162"/>
        <w:jc w:val="left"/>
        <w:rPr>
          <w:sz w:val="17"/>
        </w:rPr>
      </w:pPr>
      <w:r>
        <w:rPr>
          <w:color w:val="231F20"/>
          <w:sz w:val="17"/>
        </w:rPr>
        <w:t>Gould LH, Morse </w:t>
      </w:r>
      <w:r>
        <w:rPr>
          <w:color w:val="231F20"/>
          <w:spacing w:val="-7"/>
          <w:sz w:val="17"/>
        </w:rPr>
        <w:t>D, </w:t>
      </w:r>
      <w:r>
        <w:rPr>
          <w:color w:val="231F20"/>
          <w:spacing w:val="-4"/>
          <w:sz w:val="17"/>
        </w:rPr>
        <w:t>Tauxe </w:t>
      </w:r>
      <w:r>
        <w:rPr>
          <w:color w:val="231F20"/>
          <w:spacing w:val="-18"/>
          <w:sz w:val="17"/>
        </w:rPr>
        <w:t>RV. </w:t>
      </w:r>
      <w:r>
        <w:rPr>
          <w:color w:val="231F20"/>
          <w:sz w:val="17"/>
        </w:rPr>
        <w:t>Foodborne</w:t>
      </w:r>
      <w:r>
        <w:rPr>
          <w:color w:val="231F20"/>
          <w:spacing w:val="-31"/>
          <w:sz w:val="17"/>
        </w:rPr>
        <w:t> </w:t>
      </w:r>
      <w:r>
        <w:rPr>
          <w:color w:val="231F20"/>
          <w:sz w:val="17"/>
        </w:rPr>
        <w:t>disease outbreaks associated with food imported into the United States, 2005–2010 [abstract]. International Conference</w:t>
      </w:r>
      <w:r>
        <w:rPr>
          <w:color w:val="231F20"/>
          <w:spacing w:val="-24"/>
          <w:sz w:val="17"/>
        </w:rPr>
        <w:t> </w:t>
      </w:r>
      <w:r>
        <w:rPr>
          <w:color w:val="231F20"/>
          <w:sz w:val="17"/>
        </w:rPr>
        <w:t>on</w:t>
      </w:r>
      <w:r>
        <w:rPr>
          <w:color w:val="231F20"/>
          <w:spacing w:val="-24"/>
          <w:sz w:val="17"/>
        </w:rPr>
        <w:t> </w:t>
      </w:r>
      <w:r>
        <w:rPr>
          <w:color w:val="231F20"/>
          <w:sz w:val="17"/>
        </w:rPr>
        <w:t>Emerging</w:t>
      </w:r>
      <w:r>
        <w:rPr>
          <w:color w:val="231F20"/>
          <w:spacing w:val="-24"/>
          <w:sz w:val="17"/>
        </w:rPr>
        <w:t> </w:t>
      </w:r>
      <w:r>
        <w:rPr>
          <w:color w:val="231F20"/>
          <w:sz w:val="17"/>
        </w:rPr>
        <w:t>Infectious</w:t>
      </w:r>
      <w:r>
        <w:rPr>
          <w:color w:val="231F20"/>
          <w:spacing w:val="-24"/>
          <w:sz w:val="17"/>
        </w:rPr>
        <w:t> </w:t>
      </w:r>
      <w:r>
        <w:rPr>
          <w:color w:val="231F20"/>
          <w:sz w:val="17"/>
        </w:rPr>
        <w:t>Diseases</w:t>
      </w:r>
      <w:r>
        <w:rPr>
          <w:color w:val="231F20"/>
          <w:spacing w:val="-24"/>
          <w:sz w:val="17"/>
        </w:rPr>
        <w:t> </w:t>
      </w:r>
      <w:r>
        <w:rPr>
          <w:color w:val="231F20"/>
          <w:sz w:val="17"/>
        </w:rPr>
        <w:t>2012:</w:t>
      </w:r>
    </w:p>
    <w:p>
      <w:pPr>
        <w:spacing w:line="264" w:lineRule="auto" w:before="111"/>
        <w:ind w:left="481" w:right="1463" w:firstLine="0"/>
        <w:jc w:val="left"/>
        <w:rPr>
          <w:sz w:val="17"/>
        </w:rPr>
      </w:pPr>
      <w:r>
        <w:rPr/>
        <w:br w:type="column"/>
      </w:r>
      <w:r>
        <w:rPr>
          <w:color w:val="231F20"/>
          <w:sz w:val="17"/>
        </w:rPr>
        <w:t>poster</w:t>
      </w:r>
      <w:r>
        <w:rPr>
          <w:color w:val="231F20"/>
          <w:spacing w:val="-18"/>
          <w:sz w:val="17"/>
        </w:rPr>
        <w:t> </w:t>
      </w:r>
      <w:r>
        <w:rPr>
          <w:color w:val="231F20"/>
          <w:sz w:val="17"/>
        </w:rPr>
        <w:t>and</w:t>
      </w:r>
      <w:r>
        <w:rPr>
          <w:color w:val="231F20"/>
          <w:spacing w:val="-18"/>
          <w:sz w:val="17"/>
        </w:rPr>
        <w:t> </w:t>
      </w:r>
      <w:r>
        <w:rPr>
          <w:color w:val="231F20"/>
          <w:sz w:val="17"/>
        </w:rPr>
        <w:t>oral</w:t>
      </w:r>
      <w:r>
        <w:rPr>
          <w:color w:val="231F20"/>
          <w:spacing w:val="-18"/>
          <w:sz w:val="17"/>
        </w:rPr>
        <w:t> </w:t>
      </w:r>
      <w:r>
        <w:rPr>
          <w:color w:val="231F20"/>
          <w:sz w:val="17"/>
        </w:rPr>
        <w:t>presentation</w:t>
      </w:r>
      <w:r>
        <w:rPr>
          <w:color w:val="231F20"/>
          <w:spacing w:val="-18"/>
          <w:sz w:val="17"/>
        </w:rPr>
        <w:t> </w:t>
      </w:r>
      <w:r>
        <w:rPr>
          <w:color w:val="231F20"/>
          <w:sz w:val="17"/>
        </w:rPr>
        <w:t>abstracts.</w:t>
      </w:r>
      <w:r>
        <w:rPr>
          <w:color w:val="231F20"/>
          <w:spacing w:val="-18"/>
          <w:sz w:val="17"/>
        </w:rPr>
        <w:t> </w:t>
      </w:r>
      <w:r>
        <w:rPr>
          <w:color w:val="231F20"/>
          <w:sz w:val="17"/>
        </w:rPr>
        <w:t>Emerg</w:t>
      </w:r>
      <w:r>
        <w:rPr>
          <w:color w:val="231F20"/>
          <w:spacing w:val="-18"/>
          <w:sz w:val="17"/>
        </w:rPr>
        <w:t> </w:t>
      </w:r>
      <w:r>
        <w:rPr>
          <w:color w:val="231F20"/>
          <w:sz w:val="17"/>
        </w:rPr>
        <w:t>Infect</w:t>
      </w:r>
      <w:r>
        <w:rPr>
          <w:color w:val="231F20"/>
          <w:spacing w:val="-18"/>
          <w:sz w:val="17"/>
        </w:rPr>
        <w:t> </w:t>
      </w:r>
      <w:r>
        <w:rPr>
          <w:color w:val="231F20"/>
          <w:sz w:val="17"/>
        </w:rPr>
        <w:t>Dis 2012 </w:t>
      </w:r>
      <w:r>
        <w:rPr>
          <w:color w:val="231F20"/>
          <w:spacing w:val="-5"/>
          <w:sz w:val="17"/>
        </w:rPr>
        <w:t>Mar. </w:t>
      </w:r>
      <w:r>
        <w:rPr>
          <w:color w:val="231F20"/>
          <w:sz w:val="17"/>
        </w:rPr>
        <w:t>Available at </w:t>
      </w:r>
      <w:hyperlink r:id="rId24">
        <w:r>
          <w:rPr>
            <w:color w:val="0079C1"/>
            <w:sz w:val="17"/>
          </w:rPr>
          <w:t>http://wwwnc.cdc.gov/eid/</w:t>
        </w:r>
      </w:hyperlink>
      <w:r>
        <w:rPr>
          <w:color w:val="0079C1"/>
          <w:sz w:val="17"/>
        </w:rPr>
        <w:t> pdfs/ICEID2012.pdf</w:t>
      </w:r>
      <w:r>
        <w:rPr>
          <w:color w:val="0079C1"/>
          <w:spacing w:val="-21"/>
          <w:sz w:val="17"/>
        </w:rPr>
        <w:t> </w:t>
      </w:r>
      <w:r>
        <w:rPr>
          <w:color w:val="231F20"/>
          <w:sz w:val="17"/>
        </w:rPr>
        <w:t>(accessed</w:t>
      </w:r>
      <w:r>
        <w:rPr>
          <w:color w:val="231F20"/>
          <w:spacing w:val="-29"/>
          <w:sz w:val="17"/>
        </w:rPr>
        <w:t> </w:t>
      </w:r>
      <w:r>
        <w:rPr>
          <w:color w:val="231F20"/>
          <w:sz w:val="17"/>
        </w:rPr>
        <w:t>November</w:t>
      </w:r>
      <w:r>
        <w:rPr>
          <w:color w:val="231F20"/>
          <w:spacing w:val="-29"/>
          <w:sz w:val="17"/>
        </w:rPr>
        <w:t> </w:t>
      </w:r>
      <w:r>
        <w:rPr>
          <w:color w:val="231F20"/>
          <w:sz w:val="17"/>
        </w:rPr>
        <w:t>18,</w:t>
      </w:r>
      <w:r>
        <w:rPr>
          <w:color w:val="231F20"/>
          <w:spacing w:val="-29"/>
          <w:sz w:val="17"/>
        </w:rPr>
        <w:t> </w:t>
      </w:r>
      <w:r>
        <w:rPr>
          <w:color w:val="231F20"/>
          <w:sz w:val="17"/>
        </w:rPr>
        <w:t>2013).</w:t>
      </w:r>
    </w:p>
    <w:p>
      <w:pPr>
        <w:pStyle w:val="ListParagraph"/>
        <w:numPr>
          <w:ilvl w:val="0"/>
          <w:numId w:val="18"/>
        </w:numPr>
        <w:tabs>
          <w:tab w:pos="482" w:val="left" w:leader="none"/>
        </w:tabs>
        <w:spacing w:line="264" w:lineRule="auto" w:before="86" w:after="0"/>
        <w:ind w:left="481" w:right="1536" w:hanging="162"/>
        <w:jc w:val="left"/>
        <w:rPr>
          <w:sz w:val="17"/>
        </w:rPr>
      </w:pPr>
      <w:r>
        <w:rPr>
          <w:color w:val="231F20"/>
          <w:sz w:val="17"/>
        </w:rPr>
        <w:t>Mazurek </w:t>
      </w:r>
      <w:r>
        <w:rPr>
          <w:color w:val="231F20"/>
          <w:spacing w:val="-6"/>
          <w:sz w:val="17"/>
        </w:rPr>
        <w:t>J, </w:t>
      </w:r>
      <w:r>
        <w:rPr>
          <w:color w:val="231F20"/>
          <w:sz w:val="17"/>
        </w:rPr>
        <w:t>Salehi E, Propes </w:t>
      </w:r>
      <w:r>
        <w:rPr>
          <w:color w:val="231F20"/>
          <w:spacing w:val="-7"/>
          <w:sz w:val="17"/>
        </w:rPr>
        <w:t>D, </w:t>
      </w:r>
      <w:r>
        <w:rPr>
          <w:color w:val="231F20"/>
          <w:sz w:val="17"/>
        </w:rPr>
        <w:t>et al. A multistate outbreak of </w:t>
      </w:r>
      <w:r>
        <w:rPr>
          <w:i/>
          <w:color w:val="231F20"/>
          <w:sz w:val="17"/>
        </w:rPr>
        <w:t>Salmonella </w:t>
      </w:r>
      <w:r>
        <w:rPr>
          <w:color w:val="231F20"/>
          <w:sz w:val="17"/>
        </w:rPr>
        <w:t>enterica serotype</w:t>
      </w:r>
      <w:r>
        <w:rPr>
          <w:color w:val="231F20"/>
          <w:spacing w:val="-30"/>
          <w:sz w:val="17"/>
        </w:rPr>
        <w:t> </w:t>
      </w:r>
      <w:r>
        <w:rPr>
          <w:color w:val="231F20"/>
          <w:sz w:val="17"/>
        </w:rPr>
        <w:t>Typhimurium infection linked to raw milk consumption—Ohio, 2003. J </w:t>
      </w:r>
      <w:r>
        <w:rPr>
          <w:color w:val="231F20"/>
          <w:spacing w:val="-4"/>
          <w:sz w:val="17"/>
        </w:rPr>
        <w:t>Food </w:t>
      </w:r>
      <w:r>
        <w:rPr>
          <w:color w:val="231F20"/>
          <w:sz w:val="17"/>
        </w:rPr>
        <w:t>Prot</w:t>
      </w:r>
      <w:r>
        <w:rPr>
          <w:color w:val="231F20"/>
          <w:spacing w:val="3"/>
          <w:sz w:val="17"/>
        </w:rPr>
        <w:t> </w:t>
      </w:r>
      <w:r>
        <w:rPr>
          <w:color w:val="231F20"/>
          <w:sz w:val="17"/>
        </w:rPr>
        <w:t>2004;67:2165–70.</w:t>
      </w:r>
    </w:p>
    <w:p>
      <w:pPr>
        <w:pStyle w:val="ListParagraph"/>
        <w:numPr>
          <w:ilvl w:val="0"/>
          <w:numId w:val="18"/>
        </w:numPr>
        <w:tabs>
          <w:tab w:pos="482" w:val="left" w:leader="none"/>
        </w:tabs>
        <w:spacing w:line="264" w:lineRule="auto" w:before="86" w:after="0"/>
        <w:ind w:left="481" w:right="1781" w:hanging="162"/>
        <w:jc w:val="left"/>
        <w:rPr>
          <w:sz w:val="17"/>
        </w:rPr>
      </w:pPr>
      <w:r>
        <w:rPr>
          <w:color w:val="231F20"/>
          <w:spacing w:val="-4"/>
          <w:sz w:val="17"/>
        </w:rPr>
        <w:t>Yeung </w:t>
      </w:r>
      <w:r>
        <w:rPr>
          <w:color w:val="231F20"/>
          <w:sz w:val="17"/>
        </w:rPr>
        <w:t>PS, Boor </w:t>
      </w:r>
      <w:r>
        <w:rPr>
          <w:color w:val="231F20"/>
          <w:spacing w:val="-4"/>
          <w:sz w:val="17"/>
        </w:rPr>
        <w:t>KJ. </w:t>
      </w:r>
      <w:r>
        <w:rPr>
          <w:color w:val="231F20"/>
          <w:sz w:val="17"/>
        </w:rPr>
        <w:t>Epidemiology, pathogenesis, and</w:t>
      </w:r>
      <w:r>
        <w:rPr>
          <w:color w:val="231F20"/>
          <w:spacing w:val="-21"/>
          <w:sz w:val="17"/>
        </w:rPr>
        <w:t> </w:t>
      </w:r>
      <w:r>
        <w:rPr>
          <w:color w:val="231F20"/>
          <w:sz w:val="17"/>
        </w:rPr>
        <w:t>prevention</w:t>
      </w:r>
      <w:r>
        <w:rPr>
          <w:color w:val="231F20"/>
          <w:spacing w:val="-21"/>
          <w:sz w:val="17"/>
        </w:rPr>
        <w:t> </w:t>
      </w:r>
      <w:r>
        <w:rPr>
          <w:color w:val="231F20"/>
          <w:sz w:val="17"/>
        </w:rPr>
        <w:t>of</w:t>
      </w:r>
      <w:r>
        <w:rPr>
          <w:color w:val="231F20"/>
          <w:spacing w:val="-9"/>
          <w:sz w:val="17"/>
        </w:rPr>
        <w:t> </w:t>
      </w:r>
      <w:r>
        <w:rPr>
          <w:color w:val="231F20"/>
          <w:sz w:val="17"/>
        </w:rPr>
        <w:t>foodborne</w:t>
      </w:r>
      <w:r>
        <w:rPr>
          <w:color w:val="231F20"/>
          <w:spacing w:val="-21"/>
          <w:sz w:val="17"/>
        </w:rPr>
        <w:t> </w:t>
      </w:r>
      <w:r>
        <w:rPr>
          <w:i/>
          <w:color w:val="231F20"/>
          <w:sz w:val="17"/>
        </w:rPr>
        <w:t>Vibrio</w:t>
      </w:r>
      <w:r>
        <w:rPr>
          <w:i/>
          <w:color w:val="231F20"/>
          <w:spacing w:val="-21"/>
          <w:sz w:val="17"/>
        </w:rPr>
        <w:t> </w:t>
      </w:r>
      <w:r>
        <w:rPr>
          <w:i/>
          <w:color w:val="231F20"/>
          <w:sz w:val="17"/>
        </w:rPr>
        <w:t>parahaemolyticus </w:t>
      </w:r>
      <w:r>
        <w:rPr>
          <w:color w:val="231F20"/>
          <w:sz w:val="17"/>
        </w:rPr>
        <w:t>infections.</w:t>
      </w:r>
      <w:r>
        <w:rPr>
          <w:color w:val="231F20"/>
          <w:spacing w:val="-18"/>
          <w:sz w:val="17"/>
        </w:rPr>
        <w:t> </w:t>
      </w:r>
      <w:r>
        <w:rPr>
          <w:color w:val="231F20"/>
          <w:sz w:val="17"/>
        </w:rPr>
        <w:t>Foodborne</w:t>
      </w:r>
      <w:r>
        <w:rPr>
          <w:color w:val="231F20"/>
          <w:spacing w:val="-18"/>
          <w:sz w:val="17"/>
        </w:rPr>
        <w:t> </w:t>
      </w:r>
      <w:r>
        <w:rPr>
          <w:color w:val="231F20"/>
          <w:sz w:val="17"/>
        </w:rPr>
        <w:t>Pathog</w:t>
      </w:r>
      <w:r>
        <w:rPr>
          <w:color w:val="231F20"/>
          <w:spacing w:val="-18"/>
          <w:sz w:val="17"/>
        </w:rPr>
        <w:t> </w:t>
      </w:r>
      <w:r>
        <w:rPr>
          <w:color w:val="231F20"/>
          <w:sz w:val="17"/>
        </w:rPr>
        <w:t>Dis</w:t>
      </w:r>
      <w:r>
        <w:rPr>
          <w:color w:val="231F20"/>
          <w:spacing w:val="-18"/>
          <w:sz w:val="17"/>
        </w:rPr>
        <w:t> </w:t>
      </w:r>
      <w:r>
        <w:rPr>
          <w:color w:val="231F20"/>
          <w:sz w:val="17"/>
        </w:rPr>
        <w:t>2004;1:74–88.</w:t>
      </w:r>
    </w:p>
    <w:p>
      <w:pPr>
        <w:pStyle w:val="ListParagraph"/>
        <w:numPr>
          <w:ilvl w:val="0"/>
          <w:numId w:val="18"/>
        </w:numPr>
        <w:tabs>
          <w:tab w:pos="564" w:val="left" w:leader="none"/>
        </w:tabs>
        <w:spacing w:line="264" w:lineRule="auto" w:before="86" w:after="0"/>
        <w:ind w:left="563" w:right="1471" w:hanging="244"/>
        <w:jc w:val="left"/>
        <w:rPr>
          <w:sz w:val="17"/>
        </w:rPr>
      </w:pPr>
      <w:r>
        <w:rPr>
          <w:color w:val="231F20"/>
          <w:sz w:val="17"/>
        </w:rPr>
        <w:t>Nawa </w:t>
      </w:r>
      <w:r>
        <w:rPr>
          <w:color w:val="231F20"/>
          <w:spacing w:val="-14"/>
          <w:sz w:val="17"/>
        </w:rPr>
        <w:t>Y, </w:t>
      </w:r>
      <w:r>
        <w:rPr>
          <w:color w:val="231F20"/>
          <w:sz w:val="17"/>
        </w:rPr>
        <w:t>Hatz C, Blum </w:t>
      </w:r>
      <w:r>
        <w:rPr>
          <w:color w:val="231F20"/>
          <w:spacing w:val="-6"/>
          <w:sz w:val="17"/>
        </w:rPr>
        <w:t>J. </w:t>
      </w:r>
      <w:r>
        <w:rPr>
          <w:color w:val="231F20"/>
          <w:sz w:val="17"/>
        </w:rPr>
        <w:t>Sushi delights and parasites: the risk for fishborne and foodborne parasitic zoonoses</w:t>
      </w:r>
      <w:r>
        <w:rPr>
          <w:color w:val="231F20"/>
          <w:spacing w:val="-7"/>
          <w:sz w:val="17"/>
        </w:rPr>
        <w:t> </w:t>
      </w:r>
      <w:r>
        <w:rPr>
          <w:color w:val="231F20"/>
          <w:sz w:val="17"/>
        </w:rPr>
        <w:t>in</w:t>
      </w:r>
      <w:r>
        <w:rPr>
          <w:color w:val="231F20"/>
          <w:spacing w:val="-7"/>
          <w:sz w:val="17"/>
        </w:rPr>
        <w:t> </w:t>
      </w:r>
      <w:r>
        <w:rPr>
          <w:color w:val="231F20"/>
          <w:sz w:val="17"/>
        </w:rPr>
        <w:t>Asia.</w:t>
      </w:r>
      <w:r>
        <w:rPr>
          <w:color w:val="231F20"/>
          <w:spacing w:val="-7"/>
          <w:sz w:val="17"/>
        </w:rPr>
        <w:t> </w:t>
      </w:r>
      <w:r>
        <w:rPr>
          <w:color w:val="231F20"/>
          <w:sz w:val="17"/>
        </w:rPr>
        <w:t>Clin</w:t>
      </w:r>
      <w:r>
        <w:rPr>
          <w:color w:val="231F20"/>
          <w:spacing w:val="-7"/>
          <w:sz w:val="17"/>
        </w:rPr>
        <w:t> </w:t>
      </w:r>
      <w:r>
        <w:rPr>
          <w:color w:val="231F20"/>
          <w:sz w:val="17"/>
        </w:rPr>
        <w:t>Infect</w:t>
      </w:r>
      <w:r>
        <w:rPr>
          <w:color w:val="231F20"/>
          <w:spacing w:val="-7"/>
          <w:sz w:val="17"/>
        </w:rPr>
        <w:t> </w:t>
      </w:r>
      <w:r>
        <w:rPr>
          <w:color w:val="231F20"/>
          <w:sz w:val="17"/>
        </w:rPr>
        <w:t>Dis</w:t>
      </w:r>
      <w:r>
        <w:rPr>
          <w:color w:val="231F20"/>
          <w:spacing w:val="-7"/>
          <w:sz w:val="17"/>
        </w:rPr>
        <w:t> </w:t>
      </w:r>
      <w:r>
        <w:rPr>
          <w:color w:val="231F20"/>
          <w:sz w:val="17"/>
        </w:rPr>
        <w:t>2005;41:1297–303.</w:t>
      </w:r>
    </w:p>
    <w:p>
      <w:pPr>
        <w:pStyle w:val="ListParagraph"/>
        <w:numPr>
          <w:ilvl w:val="0"/>
          <w:numId w:val="18"/>
        </w:numPr>
        <w:tabs>
          <w:tab w:pos="564" w:val="left" w:leader="none"/>
        </w:tabs>
        <w:spacing w:line="264" w:lineRule="auto" w:before="86" w:after="0"/>
        <w:ind w:left="563" w:right="1476" w:hanging="244"/>
        <w:jc w:val="left"/>
        <w:rPr>
          <w:sz w:val="17"/>
        </w:rPr>
      </w:pPr>
      <w:r>
        <w:rPr>
          <w:color w:val="231F20"/>
          <w:sz w:val="17"/>
        </w:rPr>
        <w:t>Leedom JM. Milk of nonhuman origin and</w:t>
      </w:r>
      <w:r>
        <w:rPr>
          <w:color w:val="231F20"/>
          <w:spacing w:val="-15"/>
          <w:sz w:val="17"/>
        </w:rPr>
        <w:t> </w:t>
      </w:r>
      <w:r>
        <w:rPr>
          <w:color w:val="231F20"/>
          <w:sz w:val="17"/>
        </w:rPr>
        <w:t>infectious diseases in humans. Clin Infect Dis</w:t>
      </w:r>
      <w:r>
        <w:rPr>
          <w:color w:val="231F20"/>
          <w:spacing w:val="-24"/>
          <w:sz w:val="17"/>
        </w:rPr>
        <w:t> </w:t>
      </w:r>
      <w:r>
        <w:rPr>
          <w:color w:val="231F20"/>
          <w:sz w:val="17"/>
        </w:rPr>
        <w:t>2006;43:610–5.</w:t>
      </w:r>
    </w:p>
    <w:p>
      <w:pPr>
        <w:pStyle w:val="ListParagraph"/>
        <w:numPr>
          <w:ilvl w:val="0"/>
          <w:numId w:val="18"/>
        </w:numPr>
        <w:tabs>
          <w:tab w:pos="564" w:val="left" w:leader="none"/>
        </w:tabs>
        <w:spacing w:line="264" w:lineRule="auto" w:before="86" w:after="0"/>
        <w:ind w:left="563" w:right="1487" w:hanging="244"/>
        <w:jc w:val="left"/>
        <w:rPr>
          <w:sz w:val="17"/>
        </w:rPr>
      </w:pPr>
      <w:r>
        <w:rPr>
          <w:color w:val="231F20"/>
          <w:sz w:val="17"/>
        </w:rPr>
        <w:t>Braden</w:t>
      </w:r>
      <w:r>
        <w:rPr>
          <w:color w:val="231F20"/>
          <w:spacing w:val="-6"/>
          <w:sz w:val="17"/>
        </w:rPr>
        <w:t> </w:t>
      </w:r>
      <w:r>
        <w:rPr>
          <w:color w:val="231F20"/>
          <w:sz w:val="17"/>
        </w:rPr>
        <w:t>CR.</w:t>
      </w:r>
      <w:r>
        <w:rPr>
          <w:color w:val="231F20"/>
          <w:spacing w:val="-6"/>
          <w:sz w:val="17"/>
        </w:rPr>
        <w:t> </w:t>
      </w:r>
      <w:r>
        <w:rPr>
          <w:i/>
          <w:color w:val="231F20"/>
          <w:sz w:val="17"/>
        </w:rPr>
        <w:t>Salmonella</w:t>
      </w:r>
      <w:r>
        <w:rPr>
          <w:i/>
          <w:color w:val="231F20"/>
          <w:spacing w:val="-6"/>
          <w:sz w:val="17"/>
        </w:rPr>
        <w:t> </w:t>
      </w:r>
      <w:r>
        <w:rPr>
          <w:i/>
          <w:color w:val="231F20"/>
          <w:sz w:val="17"/>
        </w:rPr>
        <w:t>enterica</w:t>
      </w:r>
      <w:r>
        <w:rPr>
          <w:i/>
          <w:color w:val="231F20"/>
          <w:spacing w:val="-6"/>
          <w:sz w:val="17"/>
        </w:rPr>
        <w:t> </w:t>
      </w:r>
      <w:r>
        <w:rPr>
          <w:color w:val="231F20"/>
          <w:sz w:val="17"/>
        </w:rPr>
        <w:t>serotype</w:t>
      </w:r>
      <w:r>
        <w:rPr>
          <w:color w:val="231F20"/>
          <w:spacing w:val="-6"/>
          <w:sz w:val="17"/>
        </w:rPr>
        <w:t> </w:t>
      </w:r>
      <w:r>
        <w:rPr>
          <w:color w:val="231F20"/>
          <w:sz w:val="17"/>
        </w:rPr>
        <w:t>Enteritidis</w:t>
      </w:r>
      <w:r>
        <w:rPr>
          <w:color w:val="231F20"/>
          <w:spacing w:val="-6"/>
          <w:sz w:val="17"/>
        </w:rPr>
        <w:t> </w:t>
      </w:r>
      <w:r>
        <w:rPr>
          <w:color w:val="231F20"/>
          <w:sz w:val="17"/>
        </w:rPr>
        <w:t>and eggs: a national epidemic in the United States. Clin Infect Dis</w:t>
      </w:r>
      <w:r>
        <w:rPr>
          <w:color w:val="231F20"/>
          <w:spacing w:val="-12"/>
          <w:sz w:val="17"/>
        </w:rPr>
        <w:t> </w:t>
      </w:r>
      <w:r>
        <w:rPr>
          <w:color w:val="231F20"/>
          <w:sz w:val="17"/>
        </w:rPr>
        <w:t>2006;43:512–7.</w:t>
      </w:r>
    </w:p>
    <w:p>
      <w:pPr>
        <w:pStyle w:val="ListParagraph"/>
        <w:numPr>
          <w:ilvl w:val="0"/>
          <w:numId w:val="18"/>
        </w:numPr>
        <w:tabs>
          <w:tab w:pos="564" w:val="left" w:leader="none"/>
        </w:tabs>
        <w:spacing w:line="264" w:lineRule="auto" w:before="86" w:after="0"/>
        <w:ind w:left="563" w:right="1457" w:hanging="244"/>
        <w:jc w:val="left"/>
        <w:rPr>
          <w:sz w:val="17"/>
        </w:rPr>
      </w:pPr>
      <w:r>
        <w:rPr>
          <w:color w:val="231F20"/>
          <w:sz w:val="17"/>
        </w:rPr>
        <w:t>CDC. </w:t>
      </w:r>
      <w:r>
        <w:rPr>
          <w:i/>
          <w:color w:val="231F20"/>
          <w:sz w:val="17"/>
        </w:rPr>
        <w:t>Salmonella </w:t>
      </w:r>
      <w:r>
        <w:rPr>
          <w:color w:val="231F20"/>
          <w:sz w:val="17"/>
        </w:rPr>
        <w:t>Typhimurium infection associated with raw milk and cheese consumption— Pennsylvania, 2007. MMWR Morb Mortal Wkly </w:t>
      </w:r>
      <w:r>
        <w:rPr>
          <w:color w:val="231F20"/>
          <w:spacing w:val="-3"/>
          <w:sz w:val="17"/>
        </w:rPr>
        <w:t>Rep </w:t>
      </w:r>
      <w:r>
        <w:rPr>
          <w:color w:val="231F20"/>
          <w:sz w:val="17"/>
        </w:rPr>
        <w:t>2007;56:1161–4.</w:t>
      </w:r>
    </w:p>
    <w:p>
      <w:pPr>
        <w:pStyle w:val="ListParagraph"/>
        <w:numPr>
          <w:ilvl w:val="0"/>
          <w:numId w:val="18"/>
        </w:numPr>
        <w:tabs>
          <w:tab w:pos="564" w:val="left" w:leader="none"/>
        </w:tabs>
        <w:spacing w:line="264" w:lineRule="auto" w:before="86" w:after="0"/>
        <w:ind w:left="563" w:right="1667" w:hanging="244"/>
        <w:jc w:val="left"/>
        <w:rPr>
          <w:sz w:val="17"/>
        </w:rPr>
      </w:pPr>
      <w:r>
        <w:rPr>
          <w:color w:val="231F20"/>
          <w:sz w:val="17"/>
        </w:rPr>
        <w:t>CDC. Preliminary </w:t>
      </w:r>
      <w:r>
        <w:rPr>
          <w:color w:val="231F20"/>
          <w:spacing w:val="-3"/>
          <w:sz w:val="17"/>
        </w:rPr>
        <w:t>FoodNet </w:t>
      </w:r>
      <w:r>
        <w:rPr>
          <w:color w:val="231F20"/>
          <w:sz w:val="17"/>
        </w:rPr>
        <w:t>data on the incidence of</w:t>
      </w:r>
      <w:r>
        <w:rPr>
          <w:color w:val="231F20"/>
          <w:spacing w:val="-1"/>
          <w:sz w:val="17"/>
        </w:rPr>
        <w:t> </w:t>
      </w:r>
      <w:r>
        <w:rPr>
          <w:color w:val="231F20"/>
          <w:sz w:val="17"/>
        </w:rPr>
        <w:t>infection</w:t>
      </w:r>
      <w:r>
        <w:rPr>
          <w:color w:val="231F20"/>
          <w:spacing w:val="-16"/>
          <w:sz w:val="17"/>
        </w:rPr>
        <w:t> </w:t>
      </w:r>
      <w:r>
        <w:rPr>
          <w:color w:val="231F20"/>
          <w:sz w:val="17"/>
        </w:rPr>
        <w:t>with</w:t>
      </w:r>
      <w:r>
        <w:rPr>
          <w:color w:val="231F20"/>
          <w:spacing w:val="-16"/>
          <w:sz w:val="17"/>
        </w:rPr>
        <w:t> </w:t>
      </w:r>
      <w:r>
        <w:rPr>
          <w:color w:val="231F20"/>
          <w:sz w:val="17"/>
        </w:rPr>
        <w:t>pathogens</w:t>
      </w:r>
      <w:r>
        <w:rPr>
          <w:color w:val="231F20"/>
          <w:spacing w:val="-16"/>
          <w:sz w:val="17"/>
        </w:rPr>
        <w:t> </w:t>
      </w:r>
      <w:r>
        <w:rPr>
          <w:color w:val="231F20"/>
          <w:sz w:val="17"/>
        </w:rPr>
        <w:t>transmitted</w:t>
      </w:r>
      <w:r>
        <w:rPr>
          <w:color w:val="231F20"/>
          <w:spacing w:val="-16"/>
          <w:sz w:val="17"/>
        </w:rPr>
        <w:t> </w:t>
      </w:r>
      <w:r>
        <w:rPr>
          <w:color w:val="231F20"/>
          <w:sz w:val="17"/>
        </w:rPr>
        <w:t>commonly</w:t>
      </w:r>
    </w:p>
    <w:p>
      <w:pPr>
        <w:spacing w:line="264" w:lineRule="auto" w:before="0"/>
        <w:ind w:left="563" w:right="1421" w:firstLine="0"/>
        <w:jc w:val="left"/>
        <w:rPr>
          <w:sz w:val="17"/>
        </w:rPr>
      </w:pPr>
      <w:r>
        <w:rPr>
          <w:color w:val="231F20"/>
          <w:sz w:val="17"/>
        </w:rPr>
        <w:t>through food—10 states, 2006. MMWR Morb Mortal Wkly Rep 2007;56:336–9.</w:t>
      </w:r>
    </w:p>
    <w:p>
      <w:pPr>
        <w:pStyle w:val="ListParagraph"/>
        <w:numPr>
          <w:ilvl w:val="0"/>
          <w:numId w:val="18"/>
        </w:numPr>
        <w:tabs>
          <w:tab w:pos="564" w:val="left" w:leader="none"/>
        </w:tabs>
        <w:spacing w:line="264" w:lineRule="auto" w:before="86" w:after="0"/>
        <w:ind w:left="563" w:right="1466" w:hanging="244"/>
        <w:jc w:val="left"/>
        <w:rPr>
          <w:sz w:val="17"/>
        </w:rPr>
      </w:pPr>
      <w:r>
        <w:rPr>
          <w:color w:val="231F20"/>
          <w:sz w:val="17"/>
        </w:rPr>
        <w:t>Langer </w:t>
      </w:r>
      <w:r>
        <w:rPr>
          <w:color w:val="231F20"/>
          <w:spacing w:val="-4"/>
          <w:sz w:val="17"/>
        </w:rPr>
        <w:t>AJ, </w:t>
      </w:r>
      <w:r>
        <w:rPr>
          <w:color w:val="231F20"/>
          <w:spacing w:val="-3"/>
          <w:sz w:val="17"/>
        </w:rPr>
        <w:t>Ayers </w:t>
      </w:r>
      <w:r>
        <w:rPr>
          <w:color w:val="231F20"/>
          <w:spacing w:val="-13"/>
          <w:sz w:val="17"/>
        </w:rPr>
        <w:t>T, </w:t>
      </w:r>
      <w:r>
        <w:rPr>
          <w:color w:val="231F20"/>
          <w:sz w:val="17"/>
        </w:rPr>
        <w:t>Grass </w:t>
      </w:r>
      <w:r>
        <w:rPr>
          <w:color w:val="231F20"/>
          <w:spacing w:val="-6"/>
          <w:sz w:val="17"/>
        </w:rPr>
        <w:t>J, </w:t>
      </w:r>
      <w:r>
        <w:rPr>
          <w:color w:val="231F20"/>
          <w:sz w:val="17"/>
        </w:rPr>
        <w:t>Lynch M, Angulo </w:t>
      </w:r>
      <w:r>
        <w:rPr>
          <w:color w:val="231F20"/>
          <w:spacing w:val="-4"/>
          <w:sz w:val="17"/>
        </w:rPr>
        <w:t>FJ, </w:t>
      </w:r>
      <w:r>
        <w:rPr>
          <w:color w:val="231F20"/>
          <w:sz w:val="17"/>
        </w:rPr>
        <w:t>Mahon BE. Nonpasteurized dairy products, disease outbreaks, and state laws—United States,</w:t>
      </w:r>
      <w:r>
        <w:rPr>
          <w:color w:val="231F20"/>
          <w:spacing w:val="-25"/>
          <w:sz w:val="17"/>
        </w:rPr>
        <w:t> </w:t>
      </w:r>
      <w:r>
        <w:rPr>
          <w:color w:val="231F20"/>
          <w:sz w:val="17"/>
        </w:rPr>
        <w:t>1993–2006. Emerg Infect Dis</w:t>
      </w:r>
      <w:r>
        <w:rPr>
          <w:color w:val="231F20"/>
          <w:spacing w:val="-22"/>
          <w:sz w:val="17"/>
        </w:rPr>
        <w:t> </w:t>
      </w:r>
      <w:r>
        <w:rPr>
          <w:color w:val="231F20"/>
          <w:sz w:val="17"/>
        </w:rPr>
        <w:t>2012;18:385–91.</w:t>
      </w:r>
    </w:p>
    <w:p>
      <w:pPr>
        <w:pStyle w:val="ListParagraph"/>
        <w:numPr>
          <w:ilvl w:val="0"/>
          <w:numId w:val="18"/>
        </w:numPr>
        <w:tabs>
          <w:tab w:pos="564" w:val="left" w:leader="none"/>
        </w:tabs>
        <w:spacing w:line="264" w:lineRule="auto" w:before="85" w:after="0"/>
        <w:ind w:left="563" w:right="1466" w:hanging="244"/>
        <w:jc w:val="left"/>
        <w:rPr>
          <w:sz w:val="17"/>
        </w:rPr>
      </w:pPr>
      <w:r>
        <w:rPr>
          <w:color w:val="231F20"/>
          <w:sz w:val="17"/>
        </w:rPr>
        <w:t>CDC.</w:t>
      </w:r>
      <w:r>
        <w:rPr>
          <w:color w:val="231F20"/>
          <w:spacing w:val="-11"/>
          <w:sz w:val="17"/>
        </w:rPr>
        <w:t> </w:t>
      </w:r>
      <w:r>
        <w:rPr>
          <w:color w:val="231F20"/>
          <w:sz w:val="17"/>
        </w:rPr>
        <w:t>Surveillance</w:t>
      </w:r>
      <w:r>
        <w:rPr>
          <w:color w:val="231F20"/>
          <w:spacing w:val="-11"/>
          <w:sz w:val="17"/>
        </w:rPr>
        <w:t> </w:t>
      </w:r>
      <w:r>
        <w:rPr>
          <w:color w:val="231F20"/>
          <w:sz w:val="17"/>
        </w:rPr>
        <w:t>for</w:t>
      </w:r>
      <w:r>
        <w:rPr>
          <w:color w:val="231F20"/>
          <w:spacing w:val="-11"/>
          <w:sz w:val="17"/>
        </w:rPr>
        <w:t> </w:t>
      </w:r>
      <w:r>
        <w:rPr>
          <w:color w:val="231F20"/>
          <w:sz w:val="17"/>
        </w:rPr>
        <w:t>foodborne</w:t>
      </w:r>
      <w:r>
        <w:rPr>
          <w:color w:val="231F20"/>
          <w:spacing w:val="-11"/>
          <w:sz w:val="17"/>
        </w:rPr>
        <w:t> </w:t>
      </w:r>
      <w:r>
        <w:rPr>
          <w:color w:val="231F20"/>
          <w:sz w:val="17"/>
        </w:rPr>
        <w:t>disease</w:t>
      </w:r>
      <w:r>
        <w:rPr>
          <w:color w:val="231F20"/>
          <w:spacing w:val="-11"/>
          <w:sz w:val="17"/>
        </w:rPr>
        <w:t> </w:t>
      </w:r>
      <w:r>
        <w:rPr>
          <w:color w:val="231F20"/>
          <w:sz w:val="17"/>
        </w:rPr>
        <w:t>outbreaks— United States, 2009–2010. MMWR Morb Mortal Wkly </w:t>
      </w:r>
      <w:r>
        <w:rPr>
          <w:color w:val="231F20"/>
          <w:spacing w:val="-3"/>
          <w:sz w:val="17"/>
        </w:rPr>
        <w:t>Rep</w:t>
      </w:r>
      <w:r>
        <w:rPr>
          <w:color w:val="231F20"/>
          <w:spacing w:val="33"/>
          <w:sz w:val="17"/>
        </w:rPr>
        <w:t> </w:t>
      </w:r>
      <w:r>
        <w:rPr>
          <w:color w:val="231F20"/>
          <w:sz w:val="17"/>
        </w:rPr>
        <w:t>2013;62:41–7.</w:t>
      </w:r>
    </w:p>
    <w:p>
      <w:pPr>
        <w:pStyle w:val="ListParagraph"/>
        <w:numPr>
          <w:ilvl w:val="0"/>
          <w:numId w:val="18"/>
        </w:numPr>
        <w:tabs>
          <w:tab w:pos="564" w:val="left" w:leader="none"/>
        </w:tabs>
        <w:spacing w:line="264" w:lineRule="auto" w:before="85" w:after="0"/>
        <w:ind w:left="563" w:right="1560" w:hanging="244"/>
        <w:jc w:val="both"/>
        <w:rPr>
          <w:sz w:val="17"/>
        </w:rPr>
      </w:pPr>
      <w:r>
        <w:rPr>
          <w:color w:val="231F20"/>
          <w:sz w:val="17"/>
        </w:rPr>
        <w:t>Winthrop KL, Palumbo MS, Farrar </w:t>
      </w:r>
      <w:r>
        <w:rPr>
          <w:color w:val="231F20"/>
          <w:spacing w:val="-3"/>
          <w:sz w:val="17"/>
        </w:rPr>
        <w:t>JA, </w:t>
      </w:r>
      <w:r>
        <w:rPr>
          <w:color w:val="231F20"/>
          <w:sz w:val="17"/>
        </w:rPr>
        <w:t>et al. Alfalfa sprouts</w:t>
      </w:r>
      <w:r>
        <w:rPr>
          <w:color w:val="231F20"/>
          <w:spacing w:val="-14"/>
          <w:sz w:val="17"/>
        </w:rPr>
        <w:t> </w:t>
      </w:r>
      <w:r>
        <w:rPr>
          <w:color w:val="231F20"/>
          <w:sz w:val="17"/>
        </w:rPr>
        <w:t>and</w:t>
      </w:r>
      <w:r>
        <w:rPr>
          <w:color w:val="231F20"/>
          <w:spacing w:val="-14"/>
          <w:sz w:val="17"/>
        </w:rPr>
        <w:t> </w:t>
      </w:r>
      <w:r>
        <w:rPr>
          <w:i/>
          <w:color w:val="231F20"/>
          <w:sz w:val="17"/>
        </w:rPr>
        <w:t>Salmonella</w:t>
      </w:r>
      <w:r>
        <w:rPr>
          <w:i/>
          <w:color w:val="231F20"/>
          <w:spacing w:val="-15"/>
          <w:sz w:val="17"/>
        </w:rPr>
        <w:t> </w:t>
      </w:r>
      <w:r>
        <w:rPr>
          <w:color w:val="231F20"/>
          <w:sz w:val="17"/>
        </w:rPr>
        <w:t>Kottbus</w:t>
      </w:r>
      <w:r>
        <w:rPr>
          <w:color w:val="231F20"/>
          <w:spacing w:val="-14"/>
          <w:sz w:val="17"/>
        </w:rPr>
        <w:t> </w:t>
      </w:r>
      <w:r>
        <w:rPr>
          <w:color w:val="231F20"/>
          <w:sz w:val="17"/>
        </w:rPr>
        <w:t>infection:</w:t>
      </w:r>
      <w:r>
        <w:rPr>
          <w:color w:val="231F20"/>
          <w:spacing w:val="-14"/>
          <w:sz w:val="17"/>
        </w:rPr>
        <w:t> </w:t>
      </w:r>
      <w:r>
        <w:rPr>
          <w:color w:val="231F20"/>
          <w:sz w:val="17"/>
        </w:rPr>
        <w:t>a</w:t>
      </w:r>
      <w:r>
        <w:rPr>
          <w:color w:val="231F20"/>
          <w:spacing w:val="-14"/>
          <w:sz w:val="17"/>
        </w:rPr>
        <w:t> </w:t>
      </w:r>
      <w:r>
        <w:rPr>
          <w:color w:val="231F20"/>
          <w:sz w:val="17"/>
        </w:rPr>
        <w:t>multistate outbreak</w:t>
      </w:r>
      <w:r>
        <w:rPr>
          <w:color w:val="231F20"/>
          <w:spacing w:val="-13"/>
          <w:sz w:val="17"/>
        </w:rPr>
        <w:t> </w:t>
      </w:r>
      <w:r>
        <w:rPr>
          <w:color w:val="231F20"/>
          <w:sz w:val="17"/>
        </w:rPr>
        <w:t>following</w:t>
      </w:r>
      <w:r>
        <w:rPr>
          <w:color w:val="231F20"/>
          <w:spacing w:val="-13"/>
          <w:sz w:val="17"/>
        </w:rPr>
        <w:t> </w:t>
      </w:r>
      <w:r>
        <w:rPr>
          <w:color w:val="231F20"/>
          <w:sz w:val="17"/>
        </w:rPr>
        <w:t>inadequate</w:t>
      </w:r>
      <w:r>
        <w:rPr>
          <w:color w:val="231F20"/>
          <w:spacing w:val="-13"/>
          <w:sz w:val="17"/>
        </w:rPr>
        <w:t> </w:t>
      </w:r>
      <w:r>
        <w:rPr>
          <w:color w:val="231F20"/>
          <w:sz w:val="17"/>
        </w:rPr>
        <w:t>seed</w:t>
      </w:r>
      <w:r>
        <w:rPr>
          <w:color w:val="231F20"/>
          <w:spacing w:val="-13"/>
          <w:sz w:val="17"/>
        </w:rPr>
        <w:t> </w:t>
      </w:r>
      <w:r>
        <w:rPr>
          <w:color w:val="231F20"/>
          <w:sz w:val="17"/>
        </w:rPr>
        <w:t>disinfection</w:t>
      </w:r>
      <w:r>
        <w:rPr>
          <w:color w:val="231F20"/>
          <w:spacing w:val="-13"/>
          <w:sz w:val="17"/>
        </w:rPr>
        <w:t> </w:t>
      </w:r>
      <w:r>
        <w:rPr>
          <w:color w:val="231F20"/>
          <w:sz w:val="17"/>
        </w:rPr>
        <w:t>with heat and chlorine. J </w:t>
      </w:r>
      <w:r>
        <w:rPr>
          <w:color w:val="231F20"/>
          <w:spacing w:val="-4"/>
          <w:sz w:val="17"/>
        </w:rPr>
        <w:t>Food </w:t>
      </w:r>
      <w:r>
        <w:rPr>
          <w:color w:val="231F20"/>
          <w:sz w:val="17"/>
        </w:rPr>
        <w:t>Prot</w:t>
      </w:r>
      <w:r>
        <w:rPr>
          <w:color w:val="231F20"/>
          <w:spacing w:val="-11"/>
          <w:sz w:val="17"/>
        </w:rPr>
        <w:t> </w:t>
      </w:r>
      <w:r>
        <w:rPr>
          <w:color w:val="231F20"/>
          <w:sz w:val="17"/>
        </w:rPr>
        <w:t>2003;66:13–7.</w:t>
      </w:r>
    </w:p>
    <w:p>
      <w:pPr>
        <w:spacing w:after="0" w:line="264" w:lineRule="auto"/>
        <w:jc w:val="both"/>
        <w:rPr>
          <w:sz w:val="17"/>
        </w:rPr>
        <w:sectPr>
          <w:type w:val="continuous"/>
          <w:pgSz w:w="10080" w:h="14400"/>
          <w:pgMar w:top="0" w:bottom="360" w:left="0" w:right="0"/>
          <w:cols w:num="2" w:equalWidth="0">
            <w:col w:w="4501" w:space="40"/>
            <w:col w:w="5539"/>
          </w:cols>
        </w:sectPr>
      </w:pPr>
    </w:p>
    <w:p>
      <w:pPr>
        <w:pStyle w:val="BodyText"/>
        <w:spacing w:before="8"/>
        <w:rPr>
          <w:sz w:val="10"/>
        </w:rPr>
      </w:pPr>
    </w:p>
    <w:p>
      <w:pPr>
        <w:pStyle w:val="Heading1"/>
        <w:ind w:left="1440"/>
      </w:pPr>
      <w:r>
        <w:rPr/>
        <w:pict>
          <v:line style="position:absolute;mso-position-horizontal-relative:page;mso-position-vertical-relative:paragraph;z-index:4648;mso-wrap-distance-left:0;mso-wrap-distance-right:0" from="72pt,23.995163pt" to="468pt,23.995163pt" stroked="true" strokeweight=".5pt" strokecolor="#00a94f">
            <v:stroke dashstyle="solid"/>
            <w10:wrap type="topAndBottom"/>
          </v:line>
        </w:pict>
      </w:r>
      <w:r>
        <w:rPr>
          <w:color w:val="00A94F"/>
          <w:w w:val="90"/>
        </w:rPr>
        <w:t>2.5. References</w:t>
      </w:r>
    </w:p>
    <w:p>
      <w:pPr>
        <w:pStyle w:val="BodyText"/>
        <w:spacing w:before="1"/>
        <w:rPr>
          <w:rFonts w:ascii="Lucida Sans"/>
          <w:sz w:val="18"/>
        </w:rPr>
      </w:pPr>
    </w:p>
    <w:p>
      <w:pPr>
        <w:spacing w:after="0"/>
        <w:rPr>
          <w:rFonts w:ascii="Lucida Sans"/>
          <w:sz w:val="18"/>
        </w:rPr>
        <w:sectPr>
          <w:pgSz w:w="10080" w:h="14400"/>
          <w:pgMar w:header="0" w:footer="160" w:top="1160" w:bottom="360" w:left="0" w:right="0"/>
        </w:sectPr>
      </w:pPr>
    </w:p>
    <w:p>
      <w:pPr>
        <w:pStyle w:val="ListParagraph"/>
        <w:numPr>
          <w:ilvl w:val="0"/>
          <w:numId w:val="18"/>
        </w:numPr>
        <w:tabs>
          <w:tab w:pos="1685" w:val="left" w:leader="none"/>
        </w:tabs>
        <w:spacing w:line="264" w:lineRule="auto" w:before="111" w:after="0"/>
        <w:ind w:left="1684" w:right="83" w:hanging="244"/>
        <w:jc w:val="left"/>
        <w:rPr>
          <w:sz w:val="17"/>
        </w:rPr>
      </w:pPr>
      <w:r>
        <w:rPr/>
        <w:pict>
          <v:rect style="position:absolute;margin-left:0pt;margin-top:26.996532pt;width:45pt;height:18pt;mso-position-horizontal-relative:page;mso-position-vertical-relative:paragraph;z-index:4672" filled="true" fillcolor="#0079c1" stroked="false">
            <v:fill type="solid"/>
            <w10:wrap type="none"/>
          </v:rect>
        </w:pict>
      </w:r>
      <w:r>
        <w:rPr/>
        <w:pict>
          <v:line style="position:absolute;mso-position-horizontal-relative:page;mso-position-vertical-relative:paragraph;z-index:4696" from="54.5pt,26.998133pt" to="54.5pt,268.896133pt" stroked="true" strokeweight="1pt" strokecolor="#0079c1">
            <v:stroke dashstyle="solid"/>
            <w10:wrap type="none"/>
          </v:line>
        </w:pict>
      </w:r>
      <w:r>
        <w:rPr/>
        <w:pict>
          <v:shape style="position:absolute;margin-left:16.131701pt;margin-top:48.544422pt;width:22.9pt;height:222.55pt;mso-position-horizontal-relative:page;mso-position-vertical-relative:paragraph;z-index:4720"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31.792986pt;width:15.85pt;height:8.5pt;mso-position-horizontal-relative:page;mso-position-vertical-relative:paragraph;z-index:4744"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sz w:val="17"/>
        </w:rPr>
        <w:t>Sivapalasingam </w:t>
      </w:r>
      <w:r>
        <w:rPr>
          <w:color w:val="231F20"/>
          <w:spacing w:val="-3"/>
          <w:sz w:val="17"/>
        </w:rPr>
        <w:t>S, </w:t>
      </w:r>
      <w:r>
        <w:rPr>
          <w:color w:val="231F20"/>
          <w:sz w:val="17"/>
        </w:rPr>
        <w:t>Friedman CR, Cohen L, </w:t>
      </w:r>
      <w:r>
        <w:rPr>
          <w:color w:val="231F20"/>
          <w:spacing w:val="-4"/>
          <w:sz w:val="17"/>
        </w:rPr>
        <w:t>Tauxe </w:t>
      </w:r>
      <w:r>
        <w:rPr>
          <w:color w:val="231F20"/>
          <w:spacing w:val="-18"/>
          <w:sz w:val="17"/>
        </w:rPr>
        <w:t>RV. </w:t>
      </w:r>
      <w:r>
        <w:rPr>
          <w:color w:val="231F20"/>
          <w:spacing w:val="-3"/>
          <w:sz w:val="17"/>
        </w:rPr>
        <w:t>Fresh </w:t>
      </w:r>
      <w:r>
        <w:rPr>
          <w:color w:val="231F20"/>
          <w:sz w:val="17"/>
        </w:rPr>
        <w:t>produce: a growing cause of outbreaks of foodborne</w:t>
      </w:r>
      <w:r>
        <w:rPr>
          <w:color w:val="231F20"/>
          <w:spacing w:val="-8"/>
          <w:sz w:val="17"/>
        </w:rPr>
        <w:t> </w:t>
      </w:r>
      <w:r>
        <w:rPr>
          <w:color w:val="231F20"/>
          <w:sz w:val="17"/>
        </w:rPr>
        <w:t>illness</w:t>
      </w:r>
      <w:r>
        <w:rPr>
          <w:color w:val="231F20"/>
          <w:spacing w:val="-8"/>
          <w:sz w:val="17"/>
        </w:rPr>
        <w:t> </w:t>
      </w:r>
      <w:r>
        <w:rPr>
          <w:color w:val="231F20"/>
          <w:sz w:val="17"/>
        </w:rPr>
        <w:t>in</w:t>
      </w:r>
      <w:r>
        <w:rPr>
          <w:color w:val="231F20"/>
          <w:spacing w:val="-8"/>
          <w:sz w:val="17"/>
        </w:rPr>
        <w:t> </w:t>
      </w:r>
      <w:r>
        <w:rPr>
          <w:color w:val="231F20"/>
          <w:sz w:val="17"/>
        </w:rPr>
        <w:t>the</w:t>
      </w:r>
      <w:r>
        <w:rPr>
          <w:color w:val="231F20"/>
          <w:spacing w:val="-8"/>
          <w:sz w:val="17"/>
        </w:rPr>
        <w:t> </w:t>
      </w:r>
      <w:r>
        <w:rPr>
          <w:color w:val="231F20"/>
          <w:sz w:val="17"/>
        </w:rPr>
        <w:t>United</w:t>
      </w:r>
      <w:r>
        <w:rPr>
          <w:color w:val="231F20"/>
          <w:spacing w:val="-8"/>
          <w:sz w:val="17"/>
        </w:rPr>
        <w:t> </w:t>
      </w:r>
      <w:r>
        <w:rPr>
          <w:color w:val="231F20"/>
          <w:sz w:val="17"/>
        </w:rPr>
        <w:t>States,</w:t>
      </w:r>
      <w:r>
        <w:rPr>
          <w:color w:val="231F20"/>
          <w:spacing w:val="-8"/>
          <w:sz w:val="17"/>
        </w:rPr>
        <w:t> </w:t>
      </w:r>
      <w:r>
        <w:rPr>
          <w:color w:val="231F20"/>
          <w:sz w:val="17"/>
        </w:rPr>
        <w:t>1973</w:t>
      </w:r>
      <w:r>
        <w:rPr>
          <w:color w:val="231F20"/>
          <w:spacing w:val="-8"/>
          <w:sz w:val="17"/>
        </w:rPr>
        <w:t> </w:t>
      </w:r>
      <w:r>
        <w:rPr>
          <w:color w:val="231F20"/>
          <w:sz w:val="17"/>
        </w:rPr>
        <w:t>through 1997. J </w:t>
      </w:r>
      <w:r>
        <w:rPr>
          <w:color w:val="231F20"/>
          <w:spacing w:val="-4"/>
          <w:sz w:val="17"/>
        </w:rPr>
        <w:t>Food </w:t>
      </w:r>
      <w:r>
        <w:rPr>
          <w:color w:val="231F20"/>
          <w:sz w:val="17"/>
        </w:rPr>
        <w:t>Prot</w:t>
      </w:r>
      <w:r>
        <w:rPr>
          <w:color w:val="231F20"/>
          <w:spacing w:val="3"/>
          <w:sz w:val="17"/>
        </w:rPr>
        <w:t> </w:t>
      </w:r>
      <w:r>
        <w:rPr>
          <w:color w:val="231F20"/>
          <w:sz w:val="17"/>
        </w:rPr>
        <w:t>2004;67:2342–53.</w:t>
      </w:r>
    </w:p>
    <w:p>
      <w:pPr>
        <w:pStyle w:val="ListParagraph"/>
        <w:numPr>
          <w:ilvl w:val="0"/>
          <w:numId w:val="18"/>
        </w:numPr>
        <w:tabs>
          <w:tab w:pos="1685" w:val="left" w:leader="none"/>
        </w:tabs>
        <w:spacing w:line="264" w:lineRule="auto" w:before="86" w:after="0"/>
        <w:ind w:left="1684" w:right="52" w:hanging="244"/>
        <w:jc w:val="left"/>
        <w:rPr>
          <w:sz w:val="17"/>
        </w:rPr>
      </w:pPr>
      <w:r>
        <w:rPr>
          <w:color w:val="231F20"/>
          <w:sz w:val="17"/>
        </w:rPr>
        <w:t>CDC. Multistate outbreak of </w:t>
      </w:r>
      <w:r>
        <w:rPr>
          <w:i/>
          <w:color w:val="231F20"/>
          <w:sz w:val="17"/>
        </w:rPr>
        <w:t>Salmonella </w:t>
      </w:r>
      <w:r>
        <w:rPr>
          <w:color w:val="231F20"/>
          <w:sz w:val="17"/>
        </w:rPr>
        <w:t>serotype </w:t>
      </w:r>
      <w:r>
        <w:rPr>
          <w:color w:val="231F20"/>
          <w:spacing w:val="-3"/>
          <w:sz w:val="17"/>
        </w:rPr>
        <w:t>Tennessee</w:t>
      </w:r>
      <w:r>
        <w:rPr>
          <w:color w:val="231F20"/>
          <w:spacing w:val="-12"/>
          <w:sz w:val="17"/>
        </w:rPr>
        <w:t> </w:t>
      </w:r>
      <w:r>
        <w:rPr>
          <w:color w:val="231F20"/>
          <w:sz w:val="17"/>
        </w:rPr>
        <w:t>infections</w:t>
      </w:r>
      <w:r>
        <w:rPr>
          <w:color w:val="231F20"/>
          <w:spacing w:val="-12"/>
          <w:sz w:val="17"/>
        </w:rPr>
        <w:t> </w:t>
      </w:r>
      <w:r>
        <w:rPr>
          <w:color w:val="231F20"/>
          <w:sz w:val="17"/>
        </w:rPr>
        <w:t>associated</w:t>
      </w:r>
      <w:r>
        <w:rPr>
          <w:color w:val="231F20"/>
          <w:spacing w:val="-12"/>
          <w:sz w:val="17"/>
        </w:rPr>
        <w:t> </w:t>
      </w:r>
      <w:r>
        <w:rPr>
          <w:color w:val="231F20"/>
          <w:sz w:val="17"/>
        </w:rPr>
        <w:t>with</w:t>
      </w:r>
      <w:r>
        <w:rPr>
          <w:color w:val="231F20"/>
          <w:spacing w:val="-12"/>
          <w:sz w:val="17"/>
        </w:rPr>
        <w:t> </w:t>
      </w:r>
      <w:r>
        <w:rPr>
          <w:color w:val="231F20"/>
          <w:sz w:val="17"/>
        </w:rPr>
        <w:t>peanut</w:t>
      </w:r>
      <w:r>
        <w:rPr>
          <w:color w:val="231F20"/>
          <w:spacing w:val="-12"/>
          <w:sz w:val="17"/>
        </w:rPr>
        <w:t> </w:t>
      </w:r>
      <w:r>
        <w:rPr>
          <w:color w:val="231F20"/>
          <w:sz w:val="17"/>
        </w:rPr>
        <w:t>butter— United States, 2006–2007. Morb MMWR Mortal Wkly </w:t>
      </w:r>
      <w:r>
        <w:rPr>
          <w:color w:val="231F20"/>
          <w:spacing w:val="-3"/>
          <w:sz w:val="17"/>
        </w:rPr>
        <w:t>Rep</w:t>
      </w:r>
      <w:r>
        <w:rPr>
          <w:color w:val="231F20"/>
          <w:spacing w:val="35"/>
          <w:sz w:val="17"/>
        </w:rPr>
        <w:t> </w:t>
      </w:r>
      <w:r>
        <w:rPr>
          <w:color w:val="231F20"/>
          <w:sz w:val="17"/>
        </w:rPr>
        <w:t>2007;56:521–4.</w:t>
      </w:r>
    </w:p>
    <w:p>
      <w:pPr>
        <w:pStyle w:val="ListParagraph"/>
        <w:numPr>
          <w:ilvl w:val="0"/>
          <w:numId w:val="18"/>
        </w:numPr>
        <w:tabs>
          <w:tab w:pos="1685" w:val="left" w:leader="none"/>
        </w:tabs>
        <w:spacing w:line="264" w:lineRule="auto" w:before="86" w:after="0"/>
        <w:ind w:left="1684" w:right="0" w:hanging="244"/>
        <w:jc w:val="left"/>
        <w:rPr>
          <w:sz w:val="17"/>
        </w:rPr>
      </w:pPr>
      <w:r>
        <w:rPr>
          <w:color w:val="231F20"/>
          <w:sz w:val="17"/>
        </w:rPr>
        <w:t>Braden</w:t>
      </w:r>
      <w:r>
        <w:rPr>
          <w:color w:val="231F20"/>
          <w:spacing w:val="-6"/>
          <w:sz w:val="17"/>
        </w:rPr>
        <w:t> </w:t>
      </w:r>
      <w:r>
        <w:rPr>
          <w:color w:val="231F20"/>
          <w:sz w:val="17"/>
        </w:rPr>
        <w:t>CR.</w:t>
      </w:r>
      <w:r>
        <w:rPr>
          <w:color w:val="231F20"/>
          <w:spacing w:val="-7"/>
          <w:sz w:val="17"/>
        </w:rPr>
        <w:t> </w:t>
      </w:r>
      <w:r>
        <w:rPr>
          <w:i/>
          <w:color w:val="231F20"/>
          <w:sz w:val="17"/>
        </w:rPr>
        <w:t>Salmonella</w:t>
      </w:r>
      <w:r>
        <w:rPr>
          <w:i/>
          <w:color w:val="231F20"/>
          <w:spacing w:val="-7"/>
          <w:sz w:val="17"/>
        </w:rPr>
        <w:t> </w:t>
      </w:r>
      <w:r>
        <w:rPr>
          <w:i/>
          <w:color w:val="231F20"/>
          <w:sz w:val="17"/>
        </w:rPr>
        <w:t>enterica</w:t>
      </w:r>
      <w:r>
        <w:rPr>
          <w:i/>
          <w:color w:val="231F20"/>
          <w:spacing w:val="-6"/>
          <w:sz w:val="17"/>
        </w:rPr>
        <w:t> </w:t>
      </w:r>
      <w:r>
        <w:rPr>
          <w:color w:val="231F20"/>
          <w:sz w:val="17"/>
        </w:rPr>
        <w:t>serotype</w:t>
      </w:r>
      <w:r>
        <w:rPr>
          <w:color w:val="231F20"/>
          <w:spacing w:val="-6"/>
          <w:sz w:val="17"/>
        </w:rPr>
        <w:t> </w:t>
      </w:r>
      <w:r>
        <w:rPr>
          <w:color w:val="231F20"/>
          <w:sz w:val="17"/>
        </w:rPr>
        <w:t>Enteritidis</w:t>
      </w:r>
      <w:r>
        <w:rPr>
          <w:color w:val="231F20"/>
          <w:spacing w:val="-6"/>
          <w:sz w:val="17"/>
        </w:rPr>
        <w:t> </w:t>
      </w:r>
      <w:r>
        <w:rPr>
          <w:color w:val="231F20"/>
          <w:sz w:val="17"/>
        </w:rPr>
        <w:t>and eggs: a national epidemic in the United States. Clin Infect Dis</w:t>
      </w:r>
      <w:r>
        <w:rPr>
          <w:color w:val="231F20"/>
          <w:spacing w:val="-12"/>
          <w:sz w:val="17"/>
        </w:rPr>
        <w:t> </w:t>
      </w:r>
      <w:r>
        <w:rPr>
          <w:color w:val="231F20"/>
          <w:sz w:val="17"/>
        </w:rPr>
        <w:t>2006;43:512–7.</w:t>
      </w:r>
    </w:p>
    <w:p>
      <w:pPr>
        <w:pStyle w:val="ListParagraph"/>
        <w:numPr>
          <w:ilvl w:val="0"/>
          <w:numId w:val="18"/>
        </w:numPr>
        <w:tabs>
          <w:tab w:pos="1685" w:val="left" w:leader="none"/>
        </w:tabs>
        <w:spacing w:line="264" w:lineRule="auto" w:before="86" w:after="0"/>
        <w:ind w:left="1684" w:right="87" w:hanging="244"/>
        <w:jc w:val="left"/>
        <w:rPr>
          <w:sz w:val="17"/>
        </w:rPr>
      </w:pPr>
      <w:r>
        <w:rPr>
          <w:color w:val="231F20"/>
          <w:sz w:val="17"/>
        </w:rPr>
        <w:t>Steele M, Odumeru </w:t>
      </w:r>
      <w:r>
        <w:rPr>
          <w:color w:val="231F20"/>
          <w:spacing w:val="-6"/>
          <w:sz w:val="17"/>
        </w:rPr>
        <w:t>J. </w:t>
      </w:r>
      <w:r>
        <w:rPr>
          <w:color w:val="231F20"/>
          <w:sz w:val="17"/>
        </w:rPr>
        <w:t>Irrigation water as source of foodborne</w:t>
      </w:r>
      <w:r>
        <w:rPr>
          <w:color w:val="231F20"/>
          <w:spacing w:val="-13"/>
          <w:sz w:val="17"/>
        </w:rPr>
        <w:t> </w:t>
      </w:r>
      <w:r>
        <w:rPr>
          <w:color w:val="231F20"/>
          <w:sz w:val="17"/>
        </w:rPr>
        <w:t>pathogens</w:t>
      </w:r>
      <w:r>
        <w:rPr>
          <w:color w:val="231F20"/>
          <w:spacing w:val="-13"/>
          <w:sz w:val="17"/>
        </w:rPr>
        <w:t> </w:t>
      </w:r>
      <w:r>
        <w:rPr>
          <w:color w:val="231F20"/>
          <w:sz w:val="17"/>
        </w:rPr>
        <w:t>on</w:t>
      </w:r>
      <w:r>
        <w:rPr>
          <w:color w:val="231F20"/>
          <w:spacing w:val="-13"/>
          <w:sz w:val="17"/>
        </w:rPr>
        <w:t> </w:t>
      </w:r>
      <w:r>
        <w:rPr>
          <w:color w:val="231F20"/>
          <w:sz w:val="17"/>
        </w:rPr>
        <w:t>fruit</w:t>
      </w:r>
      <w:r>
        <w:rPr>
          <w:color w:val="231F20"/>
          <w:spacing w:val="-13"/>
          <w:sz w:val="17"/>
        </w:rPr>
        <w:t> </w:t>
      </w:r>
      <w:r>
        <w:rPr>
          <w:color w:val="231F20"/>
          <w:sz w:val="17"/>
        </w:rPr>
        <w:t>and</w:t>
      </w:r>
      <w:r>
        <w:rPr>
          <w:color w:val="231F20"/>
          <w:spacing w:val="-13"/>
          <w:sz w:val="17"/>
        </w:rPr>
        <w:t> </w:t>
      </w:r>
      <w:r>
        <w:rPr>
          <w:color w:val="231F20"/>
          <w:sz w:val="17"/>
        </w:rPr>
        <w:t>vegetables.</w:t>
      </w:r>
      <w:r>
        <w:rPr>
          <w:color w:val="231F20"/>
          <w:spacing w:val="-13"/>
          <w:sz w:val="17"/>
        </w:rPr>
        <w:t> </w:t>
      </w:r>
      <w:r>
        <w:rPr>
          <w:color w:val="231F20"/>
          <w:sz w:val="17"/>
        </w:rPr>
        <w:t>J</w:t>
      </w:r>
      <w:r>
        <w:rPr>
          <w:color w:val="231F20"/>
          <w:spacing w:val="-13"/>
          <w:sz w:val="17"/>
        </w:rPr>
        <w:t> </w:t>
      </w:r>
      <w:r>
        <w:rPr>
          <w:color w:val="231F20"/>
          <w:spacing w:val="-4"/>
          <w:sz w:val="17"/>
        </w:rPr>
        <w:t>Food </w:t>
      </w:r>
      <w:r>
        <w:rPr>
          <w:color w:val="231F20"/>
          <w:sz w:val="17"/>
        </w:rPr>
        <w:t>Prot</w:t>
      </w:r>
      <w:r>
        <w:rPr>
          <w:color w:val="231F20"/>
          <w:spacing w:val="11"/>
          <w:sz w:val="17"/>
        </w:rPr>
        <w:t> </w:t>
      </w:r>
      <w:r>
        <w:rPr>
          <w:color w:val="231F20"/>
          <w:sz w:val="17"/>
        </w:rPr>
        <w:t>2004;67:2839–49.</w:t>
      </w:r>
    </w:p>
    <w:p>
      <w:pPr>
        <w:pStyle w:val="ListParagraph"/>
        <w:numPr>
          <w:ilvl w:val="0"/>
          <w:numId w:val="18"/>
        </w:numPr>
        <w:tabs>
          <w:tab w:pos="1685" w:val="left" w:leader="none"/>
        </w:tabs>
        <w:spacing w:line="264" w:lineRule="auto" w:before="86" w:after="0"/>
        <w:ind w:left="1684" w:right="230" w:hanging="244"/>
        <w:jc w:val="left"/>
        <w:rPr>
          <w:sz w:val="17"/>
        </w:rPr>
      </w:pPr>
      <w:r>
        <w:rPr>
          <w:color w:val="231F20"/>
          <w:sz w:val="17"/>
        </w:rPr>
        <w:t>Collignon</w:t>
      </w:r>
      <w:r>
        <w:rPr>
          <w:color w:val="231F20"/>
          <w:spacing w:val="-14"/>
          <w:sz w:val="17"/>
        </w:rPr>
        <w:t> </w:t>
      </w:r>
      <w:r>
        <w:rPr>
          <w:color w:val="231F20"/>
          <w:spacing w:val="-13"/>
          <w:sz w:val="17"/>
        </w:rPr>
        <w:t>P,</w:t>
      </w:r>
      <w:r>
        <w:rPr>
          <w:color w:val="231F20"/>
          <w:spacing w:val="-14"/>
          <w:sz w:val="17"/>
        </w:rPr>
        <w:t> </w:t>
      </w:r>
      <w:r>
        <w:rPr>
          <w:color w:val="231F20"/>
          <w:sz w:val="17"/>
        </w:rPr>
        <w:t>Angulo</w:t>
      </w:r>
      <w:r>
        <w:rPr>
          <w:color w:val="231F20"/>
          <w:spacing w:val="-14"/>
          <w:sz w:val="17"/>
        </w:rPr>
        <w:t> </w:t>
      </w:r>
      <w:r>
        <w:rPr>
          <w:color w:val="231F20"/>
          <w:spacing w:val="-4"/>
          <w:sz w:val="17"/>
        </w:rPr>
        <w:t>FJ.</w:t>
      </w:r>
      <w:r>
        <w:rPr>
          <w:color w:val="231F20"/>
          <w:spacing w:val="-14"/>
          <w:sz w:val="17"/>
        </w:rPr>
        <w:t> </w:t>
      </w:r>
      <w:r>
        <w:rPr>
          <w:color w:val="231F20"/>
          <w:sz w:val="17"/>
        </w:rPr>
        <w:t>Fluoroquinolone-resistant </w:t>
      </w:r>
      <w:r>
        <w:rPr>
          <w:i/>
          <w:color w:val="231F20"/>
          <w:sz w:val="17"/>
        </w:rPr>
        <w:t>Escherichia coli: </w:t>
      </w:r>
      <w:r>
        <w:rPr>
          <w:color w:val="231F20"/>
          <w:sz w:val="17"/>
        </w:rPr>
        <w:t>food for thought. J Infect Dis 2006;194:8–10.</w:t>
      </w:r>
    </w:p>
    <w:p>
      <w:pPr>
        <w:pStyle w:val="ListParagraph"/>
        <w:numPr>
          <w:ilvl w:val="0"/>
          <w:numId w:val="18"/>
        </w:numPr>
        <w:tabs>
          <w:tab w:pos="1685" w:val="left" w:leader="none"/>
        </w:tabs>
        <w:spacing w:line="264" w:lineRule="auto" w:before="86" w:after="0"/>
        <w:ind w:left="1684" w:right="289" w:hanging="244"/>
        <w:jc w:val="left"/>
        <w:rPr>
          <w:sz w:val="17"/>
        </w:rPr>
      </w:pPr>
      <w:r>
        <w:rPr>
          <w:color w:val="231F20"/>
          <w:sz w:val="17"/>
        </w:rPr>
        <w:t>Blackburn </w:t>
      </w:r>
      <w:r>
        <w:rPr>
          <w:color w:val="231F20"/>
          <w:spacing w:val="-4"/>
          <w:sz w:val="17"/>
        </w:rPr>
        <w:t>BG, </w:t>
      </w:r>
      <w:r>
        <w:rPr>
          <w:color w:val="231F20"/>
          <w:sz w:val="17"/>
        </w:rPr>
        <w:t>Mazurek JM, Hlavsa M, et al. Cryptosporidiosis</w:t>
      </w:r>
      <w:r>
        <w:rPr>
          <w:color w:val="231F20"/>
          <w:spacing w:val="-14"/>
          <w:sz w:val="17"/>
        </w:rPr>
        <w:t> </w:t>
      </w:r>
      <w:r>
        <w:rPr>
          <w:color w:val="231F20"/>
          <w:sz w:val="17"/>
        </w:rPr>
        <w:t>associated</w:t>
      </w:r>
      <w:r>
        <w:rPr>
          <w:color w:val="231F20"/>
          <w:spacing w:val="-14"/>
          <w:sz w:val="17"/>
        </w:rPr>
        <w:t> </w:t>
      </w:r>
      <w:r>
        <w:rPr>
          <w:color w:val="231F20"/>
          <w:sz w:val="17"/>
        </w:rPr>
        <w:t>with</w:t>
      </w:r>
      <w:r>
        <w:rPr>
          <w:color w:val="231F20"/>
          <w:spacing w:val="-14"/>
          <w:sz w:val="17"/>
        </w:rPr>
        <w:t> </w:t>
      </w:r>
      <w:r>
        <w:rPr>
          <w:color w:val="231F20"/>
          <w:sz w:val="17"/>
        </w:rPr>
        <w:t>ozonated</w:t>
      </w:r>
      <w:r>
        <w:rPr>
          <w:color w:val="231F20"/>
          <w:spacing w:val="-14"/>
          <w:sz w:val="17"/>
        </w:rPr>
        <w:t> </w:t>
      </w:r>
      <w:r>
        <w:rPr>
          <w:color w:val="231F20"/>
          <w:sz w:val="17"/>
        </w:rPr>
        <w:t>apple </w:t>
      </w:r>
      <w:r>
        <w:rPr>
          <w:color w:val="231F20"/>
          <w:spacing w:val="-3"/>
          <w:sz w:val="17"/>
        </w:rPr>
        <w:t>cider. </w:t>
      </w:r>
      <w:r>
        <w:rPr>
          <w:color w:val="231F20"/>
          <w:sz w:val="17"/>
        </w:rPr>
        <w:t>Emerg Infect Dis</w:t>
      </w:r>
      <w:r>
        <w:rPr>
          <w:color w:val="231F20"/>
          <w:spacing w:val="-16"/>
          <w:sz w:val="17"/>
        </w:rPr>
        <w:t> </w:t>
      </w:r>
      <w:r>
        <w:rPr>
          <w:color w:val="231F20"/>
          <w:sz w:val="17"/>
        </w:rPr>
        <w:t>2006;12:684–6.</w:t>
      </w:r>
    </w:p>
    <w:p>
      <w:pPr>
        <w:pStyle w:val="ListParagraph"/>
        <w:numPr>
          <w:ilvl w:val="0"/>
          <w:numId w:val="18"/>
        </w:numPr>
        <w:tabs>
          <w:tab w:pos="1685" w:val="left" w:leader="none"/>
        </w:tabs>
        <w:spacing w:line="264" w:lineRule="auto" w:before="86" w:after="0"/>
        <w:ind w:left="1684" w:right="54" w:hanging="244"/>
        <w:jc w:val="left"/>
        <w:rPr>
          <w:sz w:val="17"/>
        </w:rPr>
      </w:pPr>
      <w:r>
        <w:rPr>
          <w:color w:val="231F20"/>
          <w:sz w:val="17"/>
        </w:rPr>
        <w:t>Uesugi AR, Danyluk </w:t>
      </w:r>
      <w:r>
        <w:rPr>
          <w:color w:val="231F20"/>
          <w:spacing w:val="-5"/>
          <w:sz w:val="17"/>
        </w:rPr>
        <w:t>MD, </w:t>
      </w:r>
      <w:r>
        <w:rPr>
          <w:color w:val="231F20"/>
          <w:sz w:val="17"/>
        </w:rPr>
        <w:t>Mandrell RE, Harris </w:t>
      </w:r>
      <w:r>
        <w:rPr>
          <w:color w:val="231F20"/>
          <w:spacing w:val="-4"/>
          <w:sz w:val="17"/>
        </w:rPr>
        <w:t>LJ. </w:t>
      </w:r>
      <w:r>
        <w:rPr>
          <w:color w:val="231F20"/>
          <w:sz w:val="17"/>
        </w:rPr>
        <w:t>Isolation</w:t>
      </w:r>
      <w:r>
        <w:rPr>
          <w:color w:val="231F20"/>
          <w:spacing w:val="-12"/>
          <w:sz w:val="17"/>
        </w:rPr>
        <w:t> </w:t>
      </w:r>
      <w:r>
        <w:rPr>
          <w:color w:val="231F20"/>
          <w:sz w:val="17"/>
        </w:rPr>
        <w:t>of</w:t>
      </w:r>
      <w:r>
        <w:rPr>
          <w:color w:val="231F20"/>
          <w:spacing w:val="6"/>
          <w:sz w:val="17"/>
        </w:rPr>
        <w:t> </w:t>
      </w:r>
      <w:r>
        <w:rPr>
          <w:i/>
          <w:color w:val="231F20"/>
          <w:sz w:val="17"/>
        </w:rPr>
        <w:t>Salmonella</w:t>
      </w:r>
      <w:r>
        <w:rPr>
          <w:i/>
          <w:color w:val="231F20"/>
          <w:spacing w:val="-12"/>
          <w:sz w:val="17"/>
        </w:rPr>
        <w:t> </w:t>
      </w:r>
      <w:r>
        <w:rPr>
          <w:color w:val="231F20"/>
          <w:sz w:val="17"/>
        </w:rPr>
        <w:t>Enteritidis</w:t>
      </w:r>
      <w:r>
        <w:rPr>
          <w:color w:val="231F20"/>
          <w:spacing w:val="-12"/>
          <w:sz w:val="17"/>
        </w:rPr>
        <w:t> </w:t>
      </w:r>
      <w:r>
        <w:rPr>
          <w:color w:val="231F20"/>
          <w:sz w:val="17"/>
        </w:rPr>
        <w:t>phage</w:t>
      </w:r>
      <w:r>
        <w:rPr>
          <w:color w:val="231F20"/>
          <w:spacing w:val="-12"/>
          <w:sz w:val="17"/>
        </w:rPr>
        <w:t> </w:t>
      </w:r>
      <w:r>
        <w:rPr>
          <w:color w:val="231F20"/>
          <w:sz w:val="17"/>
        </w:rPr>
        <w:t>type</w:t>
      </w:r>
      <w:r>
        <w:rPr>
          <w:color w:val="231F20"/>
          <w:spacing w:val="-12"/>
          <w:sz w:val="17"/>
        </w:rPr>
        <w:t> </w:t>
      </w:r>
      <w:r>
        <w:rPr>
          <w:color w:val="231F20"/>
          <w:sz w:val="17"/>
        </w:rPr>
        <w:t>30</w:t>
      </w:r>
      <w:r>
        <w:rPr>
          <w:color w:val="231F20"/>
          <w:spacing w:val="-12"/>
          <w:sz w:val="17"/>
        </w:rPr>
        <w:t> </w:t>
      </w:r>
      <w:r>
        <w:rPr>
          <w:color w:val="231F20"/>
          <w:sz w:val="17"/>
        </w:rPr>
        <w:t>from a single almond orchard </w:t>
      </w:r>
      <w:r>
        <w:rPr>
          <w:color w:val="231F20"/>
          <w:spacing w:val="-3"/>
          <w:sz w:val="17"/>
        </w:rPr>
        <w:t>over </w:t>
      </w:r>
      <w:r>
        <w:rPr>
          <w:color w:val="231F20"/>
          <w:sz w:val="17"/>
        </w:rPr>
        <w:t>a 5-year period. J</w:t>
      </w:r>
      <w:r>
        <w:rPr>
          <w:color w:val="231F20"/>
          <w:spacing w:val="-25"/>
          <w:sz w:val="17"/>
        </w:rPr>
        <w:t> </w:t>
      </w:r>
      <w:r>
        <w:rPr>
          <w:color w:val="231F20"/>
          <w:spacing w:val="-4"/>
          <w:sz w:val="17"/>
        </w:rPr>
        <w:t>Food </w:t>
      </w:r>
      <w:r>
        <w:rPr>
          <w:color w:val="231F20"/>
          <w:sz w:val="17"/>
        </w:rPr>
        <w:t>Prot</w:t>
      </w:r>
      <w:r>
        <w:rPr>
          <w:color w:val="231F20"/>
          <w:spacing w:val="9"/>
          <w:sz w:val="17"/>
        </w:rPr>
        <w:t> </w:t>
      </w:r>
      <w:r>
        <w:rPr>
          <w:color w:val="231F20"/>
          <w:sz w:val="17"/>
        </w:rPr>
        <w:t>2007;70:1784–9.</w:t>
      </w:r>
    </w:p>
    <w:p>
      <w:pPr>
        <w:pStyle w:val="ListParagraph"/>
        <w:numPr>
          <w:ilvl w:val="0"/>
          <w:numId w:val="18"/>
        </w:numPr>
        <w:tabs>
          <w:tab w:pos="1685" w:val="left" w:leader="none"/>
        </w:tabs>
        <w:spacing w:line="264" w:lineRule="auto" w:before="86" w:after="0"/>
        <w:ind w:left="1684" w:right="12" w:hanging="244"/>
        <w:jc w:val="left"/>
        <w:rPr>
          <w:sz w:val="17"/>
        </w:rPr>
      </w:pPr>
      <w:r>
        <w:rPr>
          <w:color w:val="231F20"/>
          <w:sz w:val="17"/>
        </w:rPr>
        <w:t>Erickson MC, Doyle </w:t>
      </w:r>
      <w:r>
        <w:rPr>
          <w:color w:val="231F20"/>
          <w:spacing w:val="-9"/>
          <w:sz w:val="17"/>
        </w:rPr>
        <w:t>MP. </w:t>
      </w:r>
      <w:r>
        <w:rPr>
          <w:color w:val="231F20"/>
          <w:spacing w:val="-4"/>
          <w:sz w:val="17"/>
        </w:rPr>
        <w:t>Food </w:t>
      </w:r>
      <w:r>
        <w:rPr>
          <w:color w:val="231F20"/>
          <w:sz w:val="17"/>
        </w:rPr>
        <w:t>as a vehicle for transmission</w:t>
      </w:r>
      <w:r>
        <w:rPr>
          <w:color w:val="231F20"/>
          <w:spacing w:val="-12"/>
          <w:sz w:val="17"/>
        </w:rPr>
        <w:t> </w:t>
      </w:r>
      <w:r>
        <w:rPr>
          <w:color w:val="231F20"/>
          <w:sz w:val="17"/>
        </w:rPr>
        <w:t>of</w:t>
      </w:r>
      <w:r>
        <w:rPr>
          <w:color w:val="231F20"/>
          <w:spacing w:val="8"/>
          <w:sz w:val="17"/>
        </w:rPr>
        <w:t> </w:t>
      </w:r>
      <w:r>
        <w:rPr>
          <w:color w:val="231F20"/>
          <w:sz w:val="17"/>
        </w:rPr>
        <w:t>Shiga</w:t>
      </w:r>
      <w:r>
        <w:rPr>
          <w:color w:val="231F20"/>
          <w:spacing w:val="-11"/>
          <w:sz w:val="17"/>
        </w:rPr>
        <w:t> </w:t>
      </w:r>
      <w:r>
        <w:rPr>
          <w:color w:val="231F20"/>
          <w:sz w:val="17"/>
        </w:rPr>
        <w:t>toxin–producing</w:t>
      </w:r>
      <w:r>
        <w:rPr>
          <w:color w:val="231F20"/>
          <w:spacing w:val="-11"/>
          <w:sz w:val="17"/>
        </w:rPr>
        <w:t> </w:t>
      </w:r>
      <w:r>
        <w:rPr>
          <w:i/>
          <w:color w:val="231F20"/>
          <w:sz w:val="17"/>
        </w:rPr>
        <w:t>Escherichia</w:t>
      </w:r>
      <w:r>
        <w:rPr>
          <w:i/>
          <w:color w:val="231F20"/>
          <w:spacing w:val="-11"/>
          <w:sz w:val="17"/>
        </w:rPr>
        <w:t> </w:t>
      </w:r>
      <w:r>
        <w:rPr>
          <w:i/>
          <w:color w:val="231F20"/>
          <w:sz w:val="17"/>
        </w:rPr>
        <w:t>coli. </w:t>
      </w:r>
      <w:r>
        <w:rPr>
          <w:color w:val="231F20"/>
          <w:sz w:val="17"/>
        </w:rPr>
        <w:t>J </w:t>
      </w:r>
      <w:r>
        <w:rPr>
          <w:color w:val="231F20"/>
          <w:spacing w:val="-4"/>
          <w:sz w:val="17"/>
        </w:rPr>
        <w:t>Food </w:t>
      </w:r>
      <w:r>
        <w:rPr>
          <w:color w:val="231F20"/>
          <w:sz w:val="17"/>
        </w:rPr>
        <w:t>Prot</w:t>
      </w:r>
      <w:r>
        <w:rPr>
          <w:color w:val="231F20"/>
          <w:spacing w:val="-5"/>
          <w:sz w:val="17"/>
        </w:rPr>
        <w:t> </w:t>
      </w:r>
      <w:r>
        <w:rPr>
          <w:color w:val="231F20"/>
          <w:sz w:val="17"/>
        </w:rPr>
        <w:t>2007;70:2426–49.</w:t>
      </w:r>
    </w:p>
    <w:p>
      <w:pPr>
        <w:pStyle w:val="ListParagraph"/>
        <w:numPr>
          <w:ilvl w:val="0"/>
          <w:numId w:val="18"/>
        </w:numPr>
        <w:tabs>
          <w:tab w:pos="1685" w:val="left" w:leader="none"/>
        </w:tabs>
        <w:spacing w:line="264" w:lineRule="auto" w:before="86" w:after="0"/>
        <w:ind w:left="1684" w:right="31" w:hanging="244"/>
        <w:jc w:val="left"/>
        <w:rPr>
          <w:sz w:val="17"/>
        </w:rPr>
      </w:pPr>
      <w:r>
        <w:rPr>
          <w:color w:val="231F20"/>
          <w:sz w:val="17"/>
        </w:rPr>
        <w:t>Doane CA, Pangloli </w:t>
      </w:r>
      <w:r>
        <w:rPr>
          <w:color w:val="231F20"/>
          <w:spacing w:val="-13"/>
          <w:sz w:val="17"/>
        </w:rPr>
        <w:t>P, </w:t>
      </w:r>
      <w:r>
        <w:rPr>
          <w:color w:val="231F20"/>
          <w:sz w:val="17"/>
        </w:rPr>
        <w:t>Richards HA, Mount JR, Golden</w:t>
      </w:r>
      <w:r>
        <w:rPr>
          <w:color w:val="231F20"/>
          <w:spacing w:val="-12"/>
          <w:sz w:val="17"/>
        </w:rPr>
        <w:t> </w:t>
      </w:r>
      <w:r>
        <w:rPr>
          <w:color w:val="231F20"/>
          <w:spacing w:val="-4"/>
          <w:sz w:val="17"/>
        </w:rPr>
        <w:t>DA,</w:t>
      </w:r>
      <w:r>
        <w:rPr>
          <w:color w:val="231F20"/>
          <w:spacing w:val="-12"/>
          <w:sz w:val="17"/>
        </w:rPr>
        <w:t> </w:t>
      </w:r>
      <w:r>
        <w:rPr>
          <w:color w:val="231F20"/>
          <w:sz w:val="17"/>
        </w:rPr>
        <w:t>Draughon</w:t>
      </w:r>
      <w:r>
        <w:rPr>
          <w:color w:val="231F20"/>
          <w:spacing w:val="-12"/>
          <w:sz w:val="17"/>
        </w:rPr>
        <w:t> </w:t>
      </w:r>
      <w:r>
        <w:rPr>
          <w:color w:val="231F20"/>
          <w:spacing w:val="-5"/>
          <w:sz w:val="17"/>
        </w:rPr>
        <w:t>FA.</w:t>
      </w:r>
      <w:r>
        <w:rPr>
          <w:color w:val="231F20"/>
          <w:spacing w:val="-12"/>
          <w:sz w:val="17"/>
        </w:rPr>
        <w:t> </w:t>
      </w:r>
      <w:r>
        <w:rPr>
          <w:color w:val="231F20"/>
          <w:sz w:val="17"/>
        </w:rPr>
        <w:t>Occurrence</w:t>
      </w:r>
      <w:r>
        <w:rPr>
          <w:color w:val="231F20"/>
          <w:spacing w:val="-12"/>
          <w:sz w:val="17"/>
        </w:rPr>
        <w:t> </w:t>
      </w:r>
      <w:r>
        <w:rPr>
          <w:color w:val="231F20"/>
          <w:sz w:val="17"/>
        </w:rPr>
        <w:t>of</w:t>
      </w:r>
      <w:r>
        <w:rPr>
          <w:color w:val="231F20"/>
          <w:spacing w:val="6"/>
          <w:sz w:val="17"/>
        </w:rPr>
        <w:t> </w:t>
      </w:r>
      <w:r>
        <w:rPr>
          <w:i/>
          <w:color w:val="231F20"/>
          <w:sz w:val="17"/>
        </w:rPr>
        <w:t>Escherichia </w:t>
      </w:r>
      <w:r>
        <w:rPr>
          <w:i/>
          <w:color w:val="231F20"/>
          <w:sz w:val="17"/>
        </w:rPr>
        <w:t>coli </w:t>
      </w:r>
      <w:r>
        <w:rPr>
          <w:color w:val="231F20"/>
          <w:sz w:val="17"/>
        </w:rPr>
        <w:t>O157:H7 in diverse farm environments. J </w:t>
      </w:r>
      <w:r>
        <w:rPr>
          <w:color w:val="231F20"/>
          <w:spacing w:val="-4"/>
          <w:sz w:val="17"/>
        </w:rPr>
        <w:t>Food </w:t>
      </w:r>
      <w:r>
        <w:rPr>
          <w:color w:val="231F20"/>
          <w:sz w:val="17"/>
        </w:rPr>
        <w:t>Prot</w:t>
      </w:r>
      <w:r>
        <w:rPr>
          <w:color w:val="231F20"/>
          <w:spacing w:val="6"/>
          <w:sz w:val="17"/>
        </w:rPr>
        <w:t> </w:t>
      </w:r>
      <w:r>
        <w:rPr>
          <w:color w:val="231F20"/>
          <w:sz w:val="17"/>
        </w:rPr>
        <w:t>2007;70:6–10.</w:t>
      </w:r>
    </w:p>
    <w:p>
      <w:pPr>
        <w:pStyle w:val="ListParagraph"/>
        <w:numPr>
          <w:ilvl w:val="0"/>
          <w:numId w:val="18"/>
        </w:numPr>
        <w:tabs>
          <w:tab w:pos="1685" w:val="left" w:leader="none"/>
        </w:tabs>
        <w:spacing w:line="264" w:lineRule="auto" w:before="86" w:after="0"/>
        <w:ind w:left="1684" w:right="72" w:hanging="244"/>
        <w:jc w:val="left"/>
        <w:rPr>
          <w:sz w:val="17"/>
        </w:rPr>
      </w:pPr>
      <w:r>
        <w:rPr>
          <w:color w:val="231F20"/>
          <w:sz w:val="17"/>
        </w:rPr>
        <w:t>Delaquis </w:t>
      </w:r>
      <w:r>
        <w:rPr>
          <w:color w:val="231F20"/>
          <w:spacing w:val="-13"/>
          <w:sz w:val="17"/>
        </w:rPr>
        <w:t>P, </w:t>
      </w:r>
      <w:r>
        <w:rPr>
          <w:color w:val="231F20"/>
          <w:sz w:val="17"/>
        </w:rPr>
        <w:t>Bach </w:t>
      </w:r>
      <w:r>
        <w:rPr>
          <w:color w:val="231F20"/>
          <w:spacing w:val="-3"/>
          <w:sz w:val="17"/>
        </w:rPr>
        <w:t>S, </w:t>
      </w:r>
      <w:r>
        <w:rPr>
          <w:color w:val="231F20"/>
          <w:sz w:val="17"/>
        </w:rPr>
        <w:t>Dinu </w:t>
      </w:r>
      <w:r>
        <w:rPr>
          <w:color w:val="231F20"/>
          <w:spacing w:val="-5"/>
          <w:sz w:val="17"/>
        </w:rPr>
        <w:t>LD. </w:t>
      </w:r>
      <w:r>
        <w:rPr>
          <w:color w:val="231F20"/>
          <w:sz w:val="17"/>
        </w:rPr>
        <w:t>Behavior of</w:t>
      </w:r>
      <w:r>
        <w:rPr>
          <w:color w:val="231F20"/>
          <w:spacing w:val="-21"/>
          <w:sz w:val="17"/>
        </w:rPr>
        <w:t> </w:t>
      </w:r>
      <w:r>
        <w:rPr>
          <w:i/>
          <w:color w:val="231F20"/>
          <w:sz w:val="17"/>
        </w:rPr>
        <w:t>Escherichia </w:t>
      </w:r>
      <w:r>
        <w:rPr>
          <w:i/>
          <w:color w:val="231F20"/>
          <w:sz w:val="17"/>
        </w:rPr>
        <w:t>coli </w:t>
      </w:r>
      <w:r>
        <w:rPr>
          <w:color w:val="231F20"/>
          <w:sz w:val="17"/>
        </w:rPr>
        <w:t>O157:H7 in leafy vegetables. J </w:t>
      </w:r>
      <w:r>
        <w:rPr>
          <w:color w:val="231F20"/>
          <w:spacing w:val="-4"/>
          <w:sz w:val="17"/>
        </w:rPr>
        <w:t>Food </w:t>
      </w:r>
      <w:r>
        <w:rPr>
          <w:color w:val="231F20"/>
          <w:sz w:val="17"/>
        </w:rPr>
        <w:t>Prot 2007;70:1966–74.</w:t>
      </w:r>
    </w:p>
    <w:p>
      <w:pPr>
        <w:pStyle w:val="ListParagraph"/>
        <w:numPr>
          <w:ilvl w:val="0"/>
          <w:numId w:val="18"/>
        </w:numPr>
        <w:tabs>
          <w:tab w:pos="1685" w:val="left" w:leader="none"/>
        </w:tabs>
        <w:spacing w:line="264" w:lineRule="auto" w:before="86" w:after="0"/>
        <w:ind w:left="1684" w:right="47" w:hanging="244"/>
        <w:jc w:val="left"/>
        <w:rPr>
          <w:sz w:val="17"/>
        </w:rPr>
      </w:pPr>
      <w:r>
        <w:rPr>
          <w:color w:val="231F20"/>
          <w:sz w:val="17"/>
        </w:rPr>
        <w:t>Arthur TM, Bosilevac JM, Brichta-Harhay DM, et al. Transportation and lairage environment effects on prevalence, numbers, and diversity of </w:t>
      </w:r>
      <w:r>
        <w:rPr>
          <w:i/>
          <w:color w:val="231F20"/>
          <w:sz w:val="17"/>
        </w:rPr>
        <w:t>Escherichia </w:t>
      </w:r>
      <w:r>
        <w:rPr>
          <w:i/>
          <w:color w:val="231F20"/>
          <w:sz w:val="17"/>
        </w:rPr>
        <w:t>coli </w:t>
      </w:r>
      <w:r>
        <w:rPr>
          <w:color w:val="231F20"/>
          <w:sz w:val="17"/>
        </w:rPr>
        <w:t>O157:H7 on hides and carcasses of beef cattle at processing.</w:t>
      </w:r>
      <w:r>
        <w:rPr>
          <w:color w:val="231F20"/>
          <w:spacing w:val="-12"/>
          <w:sz w:val="17"/>
        </w:rPr>
        <w:t> </w:t>
      </w:r>
      <w:r>
        <w:rPr>
          <w:color w:val="231F20"/>
          <w:sz w:val="17"/>
        </w:rPr>
        <w:t>J</w:t>
      </w:r>
      <w:r>
        <w:rPr>
          <w:color w:val="231F20"/>
          <w:spacing w:val="-12"/>
          <w:sz w:val="17"/>
        </w:rPr>
        <w:t> </w:t>
      </w:r>
      <w:r>
        <w:rPr>
          <w:color w:val="231F20"/>
          <w:spacing w:val="-4"/>
          <w:sz w:val="17"/>
        </w:rPr>
        <w:t>Food</w:t>
      </w:r>
      <w:r>
        <w:rPr>
          <w:color w:val="231F20"/>
          <w:spacing w:val="-12"/>
          <w:sz w:val="17"/>
        </w:rPr>
        <w:t> </w:t>
      </w:r>
      <w:r>
        <w:rPr>
          <w:color w:val="231F20"/>
          <w:sz w:val="17"/>
        </w:rPr>
        <w:t>Prot</w:t>
      </w:r>
      <w:r>
        <w:rPr>
          <w:color w:val="231F20"/>
          <w:spacing w:val="-12"/>
          <w:sz w:val="17"/>
        </w:rPr>
        <w:t> </w:t>
      </w:r>
      <w:r>
        <w:rPr>
          <w:color w:val="231F20"/>
          <w:sz w:val="17"/>
        </w:rPr>
        <w:t>2007;70:280–6.</w:t>
      </w:r>
    </w:p>
    <w:p>
      <w:pPr>
        <w:pStyle w:val="ListParagraph"/>
        <w:numPr>
          <w:ilvl w:val="0"/>
          <w:numId w:val="18"/>
        </w:numPr>
        <w:tabs>
          <w:tab w:pos="1685" w:val="left" w:leader="none"/>
        </w:tabs>
        <w:spacing w:line="264" w:lineRule="auto" w:before="86" w:after="0"/>
        <w:ind w:left="1684" w:right="120" w:hanging="244"/>
        <w:jc w:val="left"/>
        <w:rPr>
          <w:sz w:val="17"/>
        </w:rPr>
      </w:pPr>
      <w:r>
        <w:rPr>
          <w:color w:val="231F20"/>
          <w:sz w:val="17"/>
        </w:rPr>
        <w:t>Doyle M, Erickson M. Summer meeting</w:t>
      </w:r>
      <w:r>
        <w:rPr>
          <w:color w:val="231F20"/>
          <w:spacing w:val="-24"/>
          <w:sz w:val="17"/>
        </w:rPr>
        <w:t> </w:t>
      </w:r>
      <w:r>
        <w:rPr>
          <w:color w:val="231F20"/>
          <w:sz w:val="17"/>
        </w:rPr>
        <w:t>2007—the problems with fresh produce: an </w:t>
      </w:r>
      <w:r>
        <w:rPr>
          <w:color w:val="231F20"/>
          <w:spacing w:val="-4"/>
          <w:sz w:val="17"/>
        </w:rPr>
        <w:t>overview. </w:t>
      </w:r>
      <w:r>
        <w:rPr>
          <w:color w:val="231F20"/>
          <w:sz w:val="17"/>
        </w:rPr>
        <w:t>J Appl Micro</w:t>
      </w:r>
      <w:r>
        <w:rPr>
          <w:color w:val="231F20"/>
          <w:spacing w:val="28"/>
          <w:sz w:val="17"/>
        </w:rPr>
        <w:t> </w:t>
      </w:r>
      <w:r>
        <w:rPr>
          <w:color w:val="231F20"/>
          <w:sz w:val="17"/>
        </w:rPr>
        <w:t>2008;105:317–30.</w:t>
      </w:r>
    </w:p>
    <w:p>
      <w:pPr>
        <w:pStyle w:val="ListParagraph"/>
        <w:numPr>
          <w:ilvl w:val="0"/>
          <w:numId w:val="18"/>
        </w:numPr>
        <w:tabs>
          <w:tab w:pos="1685" w:val="left" w:leader="none"/>
        </w:tabs>
        <w:spacing w:line="264" w:lineRule="auto" w:before="86" w:after="0"/>
        <w:ind w:left="1684" w:right="6" w:hanging="204"/>
        <w:jc w:val="left"/>
        <w:rPr>
          <w:sz w:val="17"/>
        </w:rPr>
      </w:pPr>
      <w:r>
        <w:rPr>
          <w:color w:val="231F20"/>
          <w:spacing w:val="-3"/>
          <w:sz w:val="17"/>
        </w:rPr>
        <w:t>Varma </w:t>
      </w:r>
      <w:r>
        <w:rPr>
          <w:color w:val="231F20"/>
          <w:sz w:val="17"/>
        </w:rPr>
        <w:t>JK, Marcus R, Stenzel SA, et al. Highly resistant</w:t>
      </w:r>
      <w:r>
        <w:rPr>
          <w:color w:val="231F20"/>
          <w:spacing w:val="-15"/>
          <w:sz w:val="17"/>
        </w:rPr>
        <w:t> </w:t>
      </w:r>
      <w:r>
        <w:rPr>
          <w:i/>
          <w:color w:val="231F20"/>
          <w:sz w:val="17"/>
        </w:rPr>
        <w:t>Salmonella</w:t>
      </w:r>
      <w:r>
        <w:rPr>
          <w:i/>
          <w:color w:val="231F20"/>
          <w:spacing w:val="-16"/>
          <w:sz w:val="17"/>
        </w:rPr>
        <w:t> </w:t>
      </w:r>
      <w:r>
        <w:rPr>
          <w:color w:val="231F20"/>
          <w:sz w:val="17"/>
        </w:rPr>
        <w:t>Newport-MDRAmpC</w:t>
      </w:r>
      <w:r>
        <w:rPr>
          <w:color w:val="231F20"/>
          <w:spacing w:val="-15"/>
          <w:sz w:val="17"/>
        </w:rPr>
        <w:t> </w:t>
      </w:r>
      <w:r>
        <w:rPr>
          <w:color w:val="231F20"/>
          <w:sz w:val="17"/>
        </w:rPr>
        <w:t>transmitted through the domestic US food supply: a </w:t>
      </w:r>
      <w:r>
        <w:rPr>
          <w:color w:val="231F20"/>
          <w:spacing w:val="-3"/>
          <w:sz w:val="17"/>
        </w:rPr>
        <w:t>FoodNet </w:t>
      </w:r>
      <w:r>
        <w:rPr>
          <w:color w:val="231F20"/>
          <w:sz w:val="17"/>
        </w:rPr>
        <w:t>case–control study of sporadic </w:t>
      </w:r>
      <w:r>
        <w:rPr>
          <w:i/>
          <w:color w:val="231F20"/>
          <w:sz w:val="17"/>
        </w:rPr>
        <w:t>Salmonella </w:t>
      </w:r>
      <w:r>
        <w:rPr>
          <w:color w:val="231F20"/>
          <w:sz w:val="17"/>
        </w:rPr>
        <w:t>Newport infections, 2002–2003. J Infect Dis</w:t>
      </w:r>
      <w:r>
        <w:rPr>
          <w:color w:val="231F20"/>
          <w:spacing w:val="-25"/>
          <w:sz w:val="17"/>
        </w:rPr>
        <w:t> </w:t>
      </w:r>
      <w:r>
        <w:rPr>
          <w:color w:val="231F20"/>
          <w:sz w:val="17"/>
        </w:rPr>
        <w:t>2006;194:222–30.</w:t>
      </w:r>
    </w:p>
    <w:p>
      <w:pPr>
        <w:pStyle w:val="ListParagraph"/>
        <w:numPr>
          <w:ilvl w:val="0"/>
          <w:numId w:val="18"/>
        </w:numPr>
        <w:tabs>
          <w:tab w:pos="1685" w:val="left" w:leader="none"/>
        </w:tabs>
        <w:spacing w:line="264" w:lineRule="auto" w:before="86" w:after="0"/>
        <w:ind w:left="1684" w:right="366" w:hanging="244"/>
        <w:jc w:val="left"/>
        <w:rPr>
          <w:sz w:val="17"/>
        </w:rPr>
      </w:pPr>
      <w:r>
        <w:rPr>
          <w:color w:val="231F20"/>
          <w:sz w:val="17"/>
        </w:rPr>
        <w:t>Zhao </w:t>
      </w:r>
      <w:r>
        <w:rPr>
          <w:color w:val="231F20"/>
          <w:spacing w:val="-3"/>
          <w:sz w:val="17"/>
        </w:rPr>
        <w:t>S, </w:t>
      </w:r>
      <w:r>
        <w:rPr>
          <w:color w:val="231F20"/>
          <w:sz w:val="17"/>
        </w:rPr>
        <w:t>McDermott </w:t>
      </w:r>
      <w:r>
        <w:rPr>
          <w:color w:val="231F20"/>
          <w:spacing w:val="-8"/>
          <w:sz w:val="17"/>
        </w:rPr>
        <w:t>PF, </w:t>
      </w:r>
      <w:r>
        <w:rPr>
          <w:color w:val="231F20"/>
          <w:sz w:val="17"/>
        </w:rPr>
        <w:t>Friedman </w:t>
      </w:r>
      <w:r>
        <w:rPr>
          <w:color w:val="231F20"/>
          <w:spacing w:val="-3"/>
          <w:sz w:val="17"/>
        </w:rPr>
        <w:t>S, </w:t>
      </w:r>
      <w:r>
        <w:rPr>
          <w:color w:val="231F20"/>
          <w:sz w:val="17"/>
        </w:rPr>
        <w:t>et al. Antimicrobial</w:t>
      </w:r>
      <w:r>
        <w:rPr>
          <w:color w:val="231F20"/>
          <w:spacing w:val="-9"/>
          <w:sz w:val="17"/>
        </w:rPr>
        <w:t> </w:t>
      </w:r>
      <w:r>
        <w:rPr>
          <w:color w:val="231F20"/>
          <w:sz w:val="17"/>
        </w:rPr>
        <w:t>resistance</w:t>
      </w:r>
      <w:r>
        <w:rPr>
          <w:color w:val="231F20"/>
          <w:spacing w:val="-9"/>
          <w:sz w:val="17"/>
        </w:rPr>
        <w:t> </w:t>
      </w:r>
      <w:r>
        <w:rPr>
          <w:color w:val="231F20"/>
          <w:sz w:val="17"/>
        </w:rPr>
        <w:t>and</w:t>
      </w:r>
      <w:r>
        <w:rPr>
          <w:color w:val="231F20"/>
          <w:spacing w:val="-9"/>
          <w:sz w:val="17"/>
        </w:rPr>
        <w:t> </w:t>
      </w:r>
      <w:r>
        <w:rPr>
          <w:color w:val="231F20"/>
          <w:sz w:val="17"/>
        </w:rPr>
        <w:t>genetic</w:t>
      </w:r>
      <w:r>
        <w:rPr>
          <w:color w:val="231F20"/>
          <w:spacing w:val="-9"/>
          <w:sz w:val="17"/>
        </w:rPr>
        <w:t> </w:t>
      </w:r>
      <w:r>
        <w:rPr>
          <w:color w:val="231F20"/>
          <w:sz w:val="17"/>
        </w:rPr>
        <w:t>relatedness</w:t>
      </w:r>
    </w:p>
    <w:p>
      <w:pPr>
        <w:spacing w:line="264" w:lineRule="auto" w:before="111"/>
        <w:ind w:left="613" w:right="601" w:firstLine="0"/>
        <w:jc w:val="left"/>
        <w:rPr>
          <w:sz w:val="17"/>
        </w:rPr>
      </w:pPr>
      <w:r>
        <w:rPr/>
        <w:br w:type="column"/>
      </w:r>
      <w:r>
        <w:rPr>
          <w:color w:val="231F20"/>
          <w:sz w:val="17"/>
        </w:rPr>
        <w:t>among </w:t>
      </w:r>
      <w:r>
        <w:rPr>
          <w:i/>
          <w:color w:val="231F20"/>
          <w:sz w:val="17"/>
        </w:rPr>
        <w:t>Salmonella </w:t>
      </w:r>
      <w:r>
        <w:rPr>
          <w:color w:val="231F20"/>
          <w:sz w:val="17"/>
        </w:rPr>
        <w:t>from retail foods of animal origin: NARMS retail meat surveillance. Foodborne Pathog Dis 2006;3:106–17.</w:t>
      </w:r>
    </w:p>
    <w:p>
      <w:pPr>
        <w:pStyle w:val="ListParagraph"/>
        <w:numPr>
          <w:ilvl w:val="0"/>
          <w:numId w:val="18"/>
        </w:numPr>
        <w:tabs>
          <w:tab w:pos="614" w:val="left" w:leader="none"/>
        </w:tabs>
        <w:spacing w:line="264" w:lineRule="auto" w:before="86" w:after="0"/>
        <w:ind w:left="613" w:right="1043" w:hanging="244"/>
        <w:jc w:val="left"/>
        <w:rPr>
          <w:sz w:val="17"/>
        </w:rPr>
      </w:pPr>
      <w:r>
        <w:rPr>
          <w:color w:val="231F20"/>
          <w:sz w:val="17"/>
        </w:rPr>
        <w:t>Donabedian SM, Perri MB, </w:t>
      </w:r>
      <w:r>
        <w:rPr>
          <w:color w:val="231F20"/>
          <w:spacing w:val="-4"/>
          <w:sz w:val="17"/>
        </w:rPr>
        <w:t>Vager </w:t>
      </w:r>
      <w:r>
        <w:rPr>
          <w:color w:val="231F20"/>
          <w:spacing w:val="-7"/>
          <w:sz w:val="17"/>
        </w:rPr>
        <w:t>D, </w:t>
      </w:r>
      <w:r>
        <w:rPr>
          <w:color w:val="231F20"/>
          <w:sz w:val="17"/>
        </w:rPr>
        <w:t>et al. Quinupristin-dalfopristin</w:t>
      </w:r>
      <w:r>
        <w:rPr>
          <w:color w:val="231F20"/>
          <w:spacing w:val="-17"/>
          <w:sz w:val="17"/>
        </w:rPr>
        <w:t> </w:t>
      </w:r>
      <w:r>
        <w:rPr>
          <w:color w:val="231F20"/>
          <w:sz w:val="17"/>
        </w:rPr>
        <w:t>resistance</w:t>
      </w:r>
      <w:r>
        <w:rPr>
          <w:color w:val="231F20"/>
          <w:spacing w:val="-17"/>
          <w:sz w:val="17"/>
        </w:rPr>
        <w:t> </w:t>
      </w:r>
      <w:r>
        <w:rPr>
          <w:color w:val="231F20"/>
          <w:sz w:val="17"/>
        </w:rPr>
        <w:t>in</w:t>
      </w:r>
      <w:r>
        <w:rPr>
          <w:color w:val="231F20"/>
          <w:spacing w:val="-17"/>
          <w:sz w:val="17"/>
        </w:rPr>
        <w:t> </w:t>
      </w:r>
      <w:r>
        <w:rPr>
          <w:i/>
          <w:color w:val="231F20"/>
          <w:sz w:val="17"/>
        </w:rPr>
        <w:t>Enterococcus </w:t>
      </w:r>
      <w:r>
        <w:rPr>
          <w:i/>
          <w:color w:val="231F20"/>
          <w:sz w:val="17"/>
        </w:rPr>
        <w:t>faecium </w:t>
      </w:r>
      <w:r>
        <w:rPr>
          <w:color w:val="231F20"/>
          <w:sz w:val="17"/>
        </w:rPr>
        <w:t>isolates from humans, farm animals, and grocery store meat in the United States. J Clin Microbiol</w:t>
      </w:r>
      <w:r>
        <w:rPr>
          <w:color w:val="231F20"/>
          <w:spacing w:val="21"/>
          <w:sz w:val="17"/>
        </w:rPr>
        <w:t> </w:t>
      </w:r>
      <w:r>
        <w:rPr>
          <w:color w:val="231F20"/>
          <w:sz w:val="17"/>
        </w:rPr>
        <w:t>2006;44:3361–5.</w:t>
      </w:r>
    </w:p>
    <w:p>
      <w:pPr>
        <w:pStyle w:val="ListParagraph"/>
        <w:numPr>
          <w:ilvl w:val="0"/>
          <w:numId w:val="18"/>
        </w:numPr>
        <w:tabs>
          <w:tab w:pos="614" w:val="left" w:leader="none"/>
        </w:tabs>
        <w:spacing w:line="264" w:lineRule="auto" w:before="86" w:after="0"/>
        <w:ind w:left="613" w:right="855" w:hanging="244"/>
        <w:jc w:val="left"/>
        <w:rPr>
          <w:sz w:val="17"/>
        </w:rPr>
      </w:pPr>
      <w:r>
        <w:rPr>
          <w:color w:val="231F20"/>
          <w:sz w:val="17"/>
        </w:rPr>
        <w:t>Nelson JM, Chiller TM, Powers JH, Angulo </w:t>
      </w:r>
      <w:r>
        <w:rPr>
          <w:color w:val="231F20"/>
          <w:spacing w:val="-4"/>
          <w:sz w:val="17"/>
        </w:rPr>
        <w:t>FJ. </w:t>
      </w:r>
      <w:r>
        <w:rPr>
          <w:color w:val="231F20"/>
          <w:sz w:val="17"/>
        </w:rPr>
        <w:t>Fluoroquinolone-resistant </w:t>
      </w:r>
      <w:r>
        <w:rPr>
          <w:i/>
          <w:color w:val="231F20"/>
          <w:sz w:val="17"/>
        </w:rPr>
        <w:t>Campylobacter </w:t>
      </w:r>
      <w:r>
        <w:rPr>
          <w:color w:val="231F20"/>
          <w:sz w:val="17"/>
        </w:rPr>
        <w:t>species and the withdrawal of fluoroquinolones from use in poultry:</w:t>
      </w:r>
      <w:r>
        <w:rPr>
          <w:color w:val="231F20"/>
          <w:spacing w:val="-8"/>
          <w:sz w:val="17"/>
        </w:rPr>
        <w:t> </w:t>
      </w:r>
      <w:r>
        <w:rPr>
          <w:color w:val="231F20"/>
          <w:sz w:val="17"/>
        </w:rPr>
        <w:t>a</w:t>
      </w:r>
      <w:r>
        <w:rPr>
          <w:color w:val="231F20"/>
          <w:spacing w:val="-8"/>
          <w:sz w:val="17"/>
        </w:rPr>
        <w:t> </w:t>
      </w:r>
      <w:r>
        <w:rPr>
          <w:color w:val="231F20"/>
          <w:sz w:val="17"/>
        </w:rPr>
        <w:t>public</w:t>
      </w:r>
      <w:r>
        <w:rPr>
          <w:color w:val="231F20"/>
          <w:spacing w:val="-8"/>
          <w:sz w:val="17"/>
        </w:rPr>
        <w:t> </w:t>
      </w:r>
      <w:r>
        <w:rPr>
          <w:color w:val="231F20"/>
          <w:sz w:val="17"/>
        </w:rPr>
        <w:t>health</w:t>
      </w:r>
      <w:r>
        <w:rPr>
          <w:color w:val="231F20"/>
          <w:spacing w:val="-8"/>
          <w:sz w:val="17"/>
        </w:rPr>
        <w:t> </w:t>
      </w:r>
      <w:r>
        <w:rPr>
          <w:color w:val="231F20"/>
          <w:sz w:val="17"/>
        </w:rPr>
        <w:t>success</w:t>
      </w:r>
      <w:r>
        <w:rPr>
          <w:color w:val="231F20"/>
          <w:spacing w:val="-8"/>
          <w:sz w:val="17"/>
        </w:rPr>
        <w:t> </w:t>
      </w:r>
      <w:r>
        <w:rPr>
          <w:color w:val="231F20"/>
          <w:spacing w:val="-4"/>
          <w:sz w:val="17"/>
        </w:rPr>
        <w:t>story.</w:t>
      </w:r>
      <w:r>
        <w:rPr>
          <w:color w:val="231F20"/>
          <w:spacing w:val="-8"/>
          <w:sz w:val="17"/>
        </w:rPr>
        <w:t> </w:t>
      </w:r>
      <w:r>
        <w:rPr>
          <w:color w:val="231F20"/>
          <w:sz w:val="17"/>
        </w:rPr>
        <w:t>Clin</w:t>
      </w:r>
      <w:r>
        <w:rPr>
          <w:color w:val="231F20"/>
          <w:spacing w:val="-8"/>
          <w:sz w:val="17"/>
        </w:rPr>
        <w:t> </w:t>
      </w:r>
      <w:r>
        <w:rPr>
          <w:color w:val="231F20"/>
          <w:sz w:val="17"/>
        </w:rPr>
        <w:t>Infect</w:t>
      </w:r>
      <w:r>
        <w:rPr>
          <w:color w:val="231F20"/>
          <w:spacing w:val="-8"/>
          <w:sz w:val="17"/>
        </w:rPr>
        <w:t> </w:t>
      </w:r>
      <w:r>
        <w:rPr>
          <w:color w:val="231F20"/>
          <w:sz w:val="17"/>
        </w:rPr>
        <w:t>Dis 2007;44:977–80.</w:t>
      </w:r>
    </w:p>
    <w:p>
      <w:pPr>
        <w:pStyle w:val="ListParagraph"/>
        <w:numPr>
          <w:ilvl w:val="0"/>
          <w:numId w:val="18"/>
        </w:numPr>
        <w:tabs>
          <w:tab w:pos="614" w:val="left" w:leader="none"/>
        </w:tabs>
        <w:spacing w:line="264" w:lineRule="auto" w:before="86" w:after="0"/>
        <w:ind w:left="613" w:right="814" w:hanging="244"/>
        <w:jc w:val="left"/>
        <w:rPr>
          <w:sz w:val="17"/>
        </w:rPr>
      </w:pPr>
      <w:r>
        <w:rPr>
          <w:color w:val="231F20"/>
          <w:sz w:val="17"/>
        </w:rPr>
        <w:t>CDC. List of multistate foodborne outbreak investigations,</w:t>
      </w:r>
      <w:r>
        <w:rPr>
          <w:color w:val="231F20"/>
          <w:spacing w:val="-12"/>
          <w:sz w:val="17"/>
        </w:rPr>
        <w:t> </w:t>
      </w:r>
      <w:r>
        <w:rPr>
          <w:color w:val="231F20"/>
          <w:sz w:val="17"/>
        </w:rPr>
        <w:t>2006–2013.</w:t>
      </w:r>
      <w:r>
        <w:rPr>
          <w:color w:val="231F20"/>
          <w:spacing w:val="-12"/>
          <w:sz w:val="17"/>
        </w:rPr>
        <w:t> </w:t>
      </w:r>
      <w:r>
        <w:rPr>
          <w:color w:val="231F20"/>
          <w:sz w:val="17"/>
        </w:rPr>
        <w:t>Available</w:t>
      </w:r>
      <w:r>
        <w:rPr>
          <w:color w:val="231F20"/>
          <w:spacing w:val="-12"/>
          <w:sz w:val="17"/>
        </w:rPr>
        <w:t> </w:t>
      </w:r>
      <w:r>
        <w:rPr>
          <w:color w:val="231F20"/>
          <w:sz w:val="17"/>
        </w:rPr>
        <w:t>at</w:t>
      </w:r>
      <w:r>
        <w:rPr>
          <w:color w:val="231F20"/>
          <w:spacing w:val="-12"/>
          <w:sz w:val="17"/>
        </w:rPr>
        <w:t> </w:t>
      </w:r>
      <w:hyperlink r:id="rId18">
        <w:r>
          <w:rPr>
            <w:color w:val="0079C1"/>
            <w:sz w:val="17"/>
          </w:rPr>
          <w:t>http://www.</w:t>
        </w:r>
      </w:hyperlink>
      <w:r>
        <w:rPr>
          <w:color w:val="0079C1"/>
          <w:sz w:val="17"/>
        </w:rPr>
        <w:t> </w:t>
      </w:r>
      <w:r>
        <w:rPr>
          <w:color w:val="0079C1"/>
          <w:spacing w:val="-1"/>
          <w:w w:val="95"/>
          <w:sz w:val="17"/>
        </w:rPr>
        <w:t>cdc.gov/foodsafety/outbreaks/multistate-outbreaks/ </w:t>
      </w:r>
      <w:r>
        <w:rPr>
          <w:color w:val="0079C1"/>
          <w:sz w:val="17"/>
        </w:rPr>
        <w:t>outbreaks-list.html</w:t>
      </w:r>
      <w:r>
        <w:rPr>
          <w:color w:val="0079C1"/>
          <w:spacing w:val="-20"/>
          <w:sz w:val="17"/>
        </w:rPr>
        <w:t> </w:t>
      </w:r>
      <w:r>
        <w:rPr>
          <w:color w:val="231F20"/>
          <w:sz w:val="17"/>
        </w:rPr>
        <w:t>(accessed</w:t>
      </w:r>
      <w:r>
        <w:rPr>
          <w:color w:val="231F20"/>
          <w:spacing w:val="-20"/>
          <w:sz w:val="17"/>
        </w:rPr>
        <w:t> </w:t>
      </w:r>
      <w:r>
        <w:rPr>
          <w:color w:val="231F20"/>
          <w:sz w:val="17"/>
        </w:rPr>
        <w:t>November</w:t>
      </w:r>
      <w:r>
        <w:rPr>
          <w:color w:val="231F20"/>
          <w:spacing w:val="-20"/>
          <w:sz w:val="17"/>
        </w:rPr>
        <w:t> </w:t>
      </w:r>
      <w:r>
        <w:rPr>
          <w:color w:val="231F20"/>
          <w:sz w:val="17"/>
        </w:rPr>
        <w:t>18,</w:t>
      </w:r>
      <w:r>
        <w:rPr>
          <w:color w:val="231F20"/>
          <w:spacing w:val="-20"/>
          <w:sz w:val="17"/>
        </w:rPr>
        <w:t> </w:t>
      </w:r>
      <w:r>
        <w:rPr>
          <w:color w:val="231F20"/>
          <w:sz w:val="17"/>
        </w:rPr>
        <w:t>2013).</w:t>
      </w:r>
    </w:p>
    <w:p>
      <w:pPr>
        <w:pStyle w:val="ListParagraph"/>
        <w:numPr>
          <w:ilvl w:val="0"/>
          <w:numId w:val="18"/>
        </w:numPr>
        <w:tabs>
          <w:tab w:pos="614" w:val="left" w:leader="none"/>
        </w:tabs>
        <w:spacing w:line="264" w:lineRule="auto" w:before="86" w:after="0"/>
        <w:ind w:left="613" w:right="790" w:hanging="244"/>
        <w:jc w:val="left"/>
        <w:rPr>
          <w:sz w:val="17"/>
        </w:rPr>
      </w:pPr>
      <w:r>
        <w:rPr>
          <w:color w:val="231F20"/>
          <w:sz w:val="17"/>
        </w:rPr>
        <w:t>Martinez </w:t>
      </w:r>
      <w:r>
        <w:rPr>
          <w:color w:val="231F20"/>
          <w:spacing w:val="-3"/>
          <w:sz w:val="17"/>
        </w:rPr>
        <w:t>S, </w:t>
      </w:r>
      <w:r>
        <w:rPr>
          <w:color w:val="231F20"/>
          <w:sz w:val="17"/>
        </w:rPr>
        <w:t>Hand MS, Da Pra M, et al. Local food systems: concepts, impacts, and issues, ERR 97, </w:t>
      </w:r>
      <w:r>
        <w:rPr>
          <w:color w:val="231F20"/>
          <w:spacing w:val="-6"/>
          <w:sz w:val="17"/>
        </w:rPr>
        <w:t>U.S. </w:t>
      </w:r>
      <w:r>
        <w:rPr>
          <w:color w:val="231F20"/>
          <w:sz w:val="17"/>
        </w:rPr>
        <w:t>Department of Agriculture, Economic Research Service, May 2010. Available at </w:t>
      </w:r>
      <w:hyperlink r:id="rId25">
        <w:r>
          <w:rPr>
            <w:color w:val="0079C1"/>
            <w:sz w:val="17"/>
          </w:rPr>
          <w:t>www.ers.usda.gov/</w:t>
        </w:r>
      </w:hyperlink>
      <w:r>
        <w:rPr>
          <w:color w:val="0079C1"/>
          <w:sz w:val="17"/>
        </w:rPr>
        <w:t> Publications/ERR97/ERR97.pdf </w:t>
      </w:r>
      <w:r>
        <w:rPr>
          <w:color w:val="231F20"/>
          <w:sz w:val="17"/>
        </w:rPr>
        <w:t>(accessed October 30,</w:t>
      </w:r>
      <w:r>
        <w:rPr>
          <w:color w:val="231F20"/>
          <w:spacing w:val="4"/>
          <w:sz w:val="17"/>
        </w:rPr>
        <w:t> </w:t>
      </w:r>
      <w:r>
        <w:rPr>
          <w:color w:val="231F20"/>
          <w:sz w:val="17"/>
        </w:rPr>
        <w:t>2012).</w:t>
      </w:r>
    </w:p>
    <w:p>
      <w:pPr>
        <w:pStyle w:val="ListParagraph"/>
        <w:numPr>
          <w:ilvl w:val="0"/>
          <w:numId w:val="18"/>
        </w:numPr>
        <w:tabs>
          <w:tab w:pos="614" w:val="left" w:leader="none"/>
        </w:tabs>
        <w:spacing w:line="264" w:lineRule="auto" w:before="86" w:after="0"/>
        <w:ind w:left="613" w:right="820" w:hanging="244"/>
        <w:jc w:val="left"/>
        <w:rPr>
          <w:sz w:val="17"/>
        </w:rPr>
      </w:pPr>
      <w:r>
        <w:rPr>
          <w:color w:val="231F20"/>
          <w:spacing w:val="-4"/>
          <w:sz w:val="17"/>
        </w:rPr>
        <w:t>FDA Food </w:t>
      </w:r>
      <w:r>
        <w:rPr>
          <w:color w:val="231F20"/>
          <w:sz w:val="17"/>
        </w:rPr>
        <w:t>Safety Modernization Act. Public Law 111–353. Available at </w:t>
      </w:r>
      <w:hyperlink r:id="rId26">
        <w:r>
          <w:rPr>
            <w:color w:val="0079C1"/>
            <w:sz w:val="17"/>
          </w:rPr>
          <w:t>http://www.fda.gov/food/</w:t>
        </w:r>
      </w:hyperlink>
      <w:r>
        <w:rPr>
          <w:color w:val="0079C1"/>
          <w:sz w:val="17"/>
        </w:rPr>
        <w:t> guidanceregulation/fsma/ucm247548.htm</w:t>
      </w:r>
      <w:r>
        <w:rPr>
          <w:color w:val="0079C1"/>
          <w:spacing w:val="-16"/>
          <w:sz w:val="17"/>
        </w:rPr>
        <w:t> </w:t>
      </w:r>
      <w:r>
        <w:rPr>
          <w:color w:val="231F20"/>
          <w:sz w:val="17"/>
        </w:rPr>
        <w:t>(accessed November 18,</w:t>
      </w:r>
      <w:r>
        <w:rPr>
          <w:color w:val="231F20"/>
          <w:spacing w:val="-27"/>
          <w:sz w:val="17"/>
        </w:rPr>
        <w:t> </w:t>
      </w:r>
      <w:r>
        <w:rPr>
          <w:color w:val="231F20"/>
          <w:sz w:val="17"/>
        </w:rPr>
        <w:t>2013).</w:t>
      </w:r>
    </w:p>
    <w:p>
      <w:pPr>
        <w:pStyle w:val="ListParagraph"/>
        <w:numPr>
          <w:ilvl w:val="0"/>
          <w:numId w:val="18"/>
        </w:numPr>
        <w:tabs>
          <w:tab w:pos="614" w:val="left" w:leader="none"/>
        </w:tabs>
        <w:spacing w:line="264" w:lineRule="auto" w:before="86" w:after="0"/>
        <w:ind w:left="613" w:right="884" w:hanging="244"/>
        <w:jc w:val="left"/>
        <w:rPr>
          <w:sz w:val="17"/>
        </w:rPr>
      </w:pPr>
      <w:r>
        <w:rPr>
          <w:color w:val="231F20"/>
          <w:sz w:val="17"/>
        </w:rPr>
        <w:t>National Restaurant Association. 2012 Restaurant industry</w:t>
      </w:r>
      <w:r>
        <w:rPr>
          <w:color w:val="231F20"/>
          <w:spacing w:val="-10"/>
          <w:sz w:val="17"/>
        </w:rPr>
        <w:t> </w:t>
      </w:r>
      <w:r>
        <w:rPr>
          <w:color w:val="231F20"/>
          <w:spacing w:val="-4"/>
          <w:sz w:val="17"/>
        </w:rPr>
        <w:t>overview.</w:t>
      </w:r>
      <w:r>
        <w:rPr>
          <w:color w:val="231F20"/>
          <w:spacing w:val="-10"/>
          <w:sz w:val="17"/>
        </w:rPr>
        <w:t> </w:t>
      </w:r>
      <w:r>
        <w:rPr>
          <w:color w:val="231F20"/>
          <w:sz w:val="17"/>
        </w:rPr>
        <w:t>Available</w:t>
      </w:r>
      <w:r>
        <w:rPr>
          <w:color w:val="231F20"/>
          <w:spacing w:val="-10"/>
          <w:sz w:val="17"/>
        </w:rPr>
        <w:t> </w:t>
      </w:r>
      <w:r>
        <w:rPr>
          <w:color w:val="231F20"/>
          <w:sz w:val="17"/>
        </w:rPr>
        <w:t>at</w:t>
      </w:r>
      <w:r>
        <w:rPr>
          <w:color w:val="231F20"/>
          <w:spacing w:val="-10"/>
          <w:sz w:val="17"/>
        </w:rPr>
        <w:t> </w:t>
      </w:r>
      <w:hyperlink r:id="rId27">
        <w:r>
          <w:rPr>
            <w:color w:val="0079C1"/>
            <w:sz w:val="17"/>
          </w:rPr>
          <w:t>www.restaurant.org/</w:t>
        </w:r>
      </w:hyperlink>
      <w:r>
        <w:rPr>
          <w:color w:val="0079C1"/>
          <w:sz w:val="17"/>
        </w:rPr>
        <w:t> research/facts/</w:t>
      </w:r>
      <w:r>
        <w:rPr>
          <w:color w:val="0079C1"/>
          <w:spacing w:val="-15"/>
          <w:sz w:val="17"/>
        </w:rPr>
        <w:t> </w:t>
      </w:r>
      <w:r>
        <w:rPr>
          <w:color w:val="231F20"/>
          <w:sz w:val="17"/>
        </w:rPr>
        <w:t>(accessed</w:t>
      </w:r>
      <w:r>
        <w:rPr>
          <w:color w:val="231F20"/>
          <w:spacing w:val="-15"/>
          <w:sz w:val="17"/>
        </w:rPr>
        <w:t> </w:t>
      </w:r>
      <w:r>
        <w:rPr>
          <w:color w:val="231F20"/>
          <w:sz w:val="17"/>
        </w:rPr>
        <w:t>October</w:t>
      </w:r>
      <w:r>
        <w:rPr>
          <w:color w:val="231F20"/>
          <w:spacing w:val="-15"/>
          <w:sz w:val="17"/>
        </w:rPr>
        <w:t> </w:t>
      </w:r>
      <w:r>
        <w:rPr>
          <w:color w:val="231F20"/>
          <w:sz w:val="17"/>
        </w:rPr>
        <w:t>30,</w:t>
      </w:r>
      <w:r>
        <w:rPr>
          <w:color w:val="231F20"/>
          <w:spacing w:val="-15"/>
          <w:sz w:val="17"/>
        </w:rPr>
        <w:t> </w:t>
      </w:r>
      <w:r>
        <w:rPr>
          <w:color w:val="231F20"/>
          <w:sz w:val="17"/>
        </w:rPr>
        <w:t>2012).</w:t>
      </w:r>
    </w:p>
    <w:p>
      <w:pPr>
        <w:pStyle w:val="ListParagraph"/>
        <w:numPr>
          <w:ilvl w:val="0"/>
          <w:numId w:val="18"/>
        </w:numPr>
        <w:tabs>
          <w:tab w:pos="614" w:val="left" w:leader="none"/>
        </w:tabs>
        <w:spacing w:line="264" w:lineRule="auto" w:before="86" w:after="0"/>
        <w:ind w:left="613" w:right="732" w:hanging="244"/>
        <w:jc w:val="left"/>
        <w:rPr>
          <w:sz w:val="17"/>
        </w:rPr>
      </w:pPr>
      <w:r>
        <w:rPr>
          <w:color w:val="231F20"/>
          <w:spacing w:val="-3"/>
          <w:sz w:val="17"/>
        </w:rPr>
        <w:t>USDA</w:t>
      </w:r>
      <w:r>
        <w:rPr>
          <w:color w:val="231F20"/>
          <w:spacing w:val="-7"/>
          <w:sz w:val="17"/>
        </w:rPr>
        <w:t> </w:t>
      </w:r>
      <w:r>
        <w:rPr>
          <w:color w:val="231F20"/>
          <w:sz w:val="17"/>
        </w:rPr>
        <w:t>Economic</w:t>
      </w:r>
      <w:r>
        <w:rPr>
          <w:color w:val="231F20"/>
          <w:spacing w:val="-7"/>
          <w:sz w:val="17"/>
        </w:rPr>
        <w:t> </w:t>
      </w:r>
      <w:r>
        <w:rPr>
          <w:color w:val="231F20"/>
          <w:sz w:val="17"/>
        </w:rPr>
        <w:t>Research</w:t>
      </w:r>
      <w:r>
        <w:rPr>
          <w:color w:val="231F20"/>
          <w:spacing w:val="-7"/>
          <w:sz w:val="17"/>
        </w:rPr>
        <w:t> </w:t>
      </w:r>
      <w:r>
        <w:rPr>
          <w:color w:val="231F20"/>
          <w:sz w:val="17"/>
        </w:rPr>
        <w:t>Service.</w:t>
      </w:r>
      <w:r>
        <w:rPr>
          <w:color w:val="231F20"/>
          <w:spacing w:val="-7"/>
          <w:sz w:val="17"/>
        </w:rPr>
        <w:t> </w:t>
      </w:r>
      <w:r>
        <w:rPr>
          <w:color w:val="231F20"/>
          <w:sz w:val="17"/>
        </w:rPr>
        <w:t>Available</w:t>
      </w:r>
      <w:r>
        <w:rPr>
          <w:color w:val="231F20"/>
          <w:spacing w:val="-7"/>
          <w:sz w:val="17"/>
        </w:rPr>
        <w:t> </w:t>
      </w:r>
      <w:r>
        <w:rPr>
          <w:color w:val="231F20"/>
          <w:sz w:val="17"/>
        </w:rPr>
        <w:t>at</w:t>
      </w:r>
      <w:r>
        <w:rPr>
          <w:color w:val="231F20"/>
          <w:spacing w:val="-7"/>
          <w:sz w:val="17"/>
        </w:rPr>
        <w:t> </w:t>
      </w:r>
      <w:hyperlink r:id="rId18">
        <w:r>
          <w:rPr>
            <w:color w:val="0079C1"/>
            <w:spacing w:val="-6"/>
            <w:sz w:val="17"/>
          </w:rPr>
          <w:t>www.</w:t>
        </w:r>
      </w:hyperlink>
      <w:r>
        <w:rPr>
          <w:color w:val="0079C1"/>
          <w:spacing w:val="-6"/>
          <w:sz w:val="17"/>
        </w:rPr>
        <w:t> </w:t>
      </w:r>
      <w:r>
        <w:rPr>
          <w:color w:val="0079C1"/>
          <w:sz w:val="17"/>
        </w:rPr>
        <w:t>ers.usda.gov/data-products/food-expenditures.aspx </w:t>
      </w:r>
      <w:r>
        <w:rPr>
          <w:color w:val="231F20"/>
          <w:sz w:val="17"/>
        </w:rPr>
        <w:t>(accessed October 30,</w:t>
      </w:r>
      <w:r>
        <w:rPr>
          <w:color w:val="231F20"/>
          <w:spacing w:val="-31"/>
          <w:sz w:val="17"/>
        </w:rPr>
        <w:t> </w:t>
      </w:r>
      <w:r>
        <w:rPr>
          <w:color w:val="231F20"/>
          <w:sz w:val="17"/>
        </w:rPr>
        <w:t>2012).</w:t>
      </w:r>
    </w:p>
    <w:p>
      <w:pPr>
        <w:pStyle w:val="ListParagraph"/>
        <w:numPr>
          <w:ilvl w:val="0"/>
          <w:numId w:val="18"/>
        </w:numPr>
        <w:tabs>
          <w:tab w:pos="614" w:val="left" w:leader="none"/>
        </w:tabs>
        <w:spacing w:line="264" w:lineRule="auto" w:before="86" w:after="0"/>
        <w:ind w:left="613" w:right="745" w:hanging="203"/>
        <w:jc w:val="left"/>
        <w:rPr>
          <w:sz w:val="17"/>
        </w:rPr>
      </w:pPr>
      <w:r>
        <w:rPr>
          <w:color w:val="231F20"/>
          <w:sz w:val="17"/>
        </w:rPr>
        <w:t>CDC.</w:t>
      </w:r>
      <w:r>
        <w:rPr>
          <w:color w:val="231F20"/>
          <w:spacing w:val="-11"/>
          <w:sz w:val="17"/>
        </w:rPr>
        <w:t> </w:t>
      </w:r>
      <w:r>
        <w:rPr>
          <w:color w:val="231F20"/>
          <w:sz w:val="17"/>
        </w:rPr>
        <w:t>Surveillance</w:t>
      </w:r>
      <w:r>
        <w:rPr>
          <w:color w:val="231F20"/>
          <w:spacing w:val="-11"/>
          <w:sz w:val="17"/>
        </w:rPr>
        <w:t> </w:t>
      </w:r>
      <w:r>
        <w:rPr>
          <w:color w:val="231F20"/>
          <w:sz w:val="17"/>
        </w:rPr>
        <w:t>for</w:t>
      </w:r>
      <w:r>
        <w:rPr>
          <w:color w:val="231F20"/>
          <w:spacing w:val="-11"/>
          <w:sz w:val="17"/>
        </w:rPr>
        <w:t> </w:t>
      </w:r>
      <w:r>
        <w:rPr>
          <w:color w:val="231F20"/>
          <w:sz w:val="17"/>
        </w:rPr>
        <w:t>foodborne</w:t>
      </w:r>
      <w:r>
        <w:rPr>
          <w:color w:val="231F20"/>
          <w:spacing w:val="-11"/>
          <w:sz w:val="17"/>
        </w:rPr>
        <w:t> </w:t>
      </w:r>
      <w:r>
        <w:rPr>
          <w:color w:val="231F20"/>
          <w:sz w:val="17"/>
        </w:rPr>
        <w:t>disease</w:t>
      </w:r>
      <w:r>
        <w:rPr>
          <w:color w:val="231F20"/>
          <w:spacing w:val="-11"/>
          <w:sz w:val="17"/>
        </w:rPr>
        <w:t> </w:t>
      </w:r>
      <w:r>
        <w:rPr>
          <w:color w:val="231F20"/>
          <w:sz w:val="17"/>
        </w:rPr>
        <w:t>outbreaks— United States, 2009–2010. MMWR Morb Mortal Wkly </w:t>
      </w:r>
      <w:r>
        <w:rPr>
          <w:color w:val="231F20"/>
          <w:spacing w:val="-3"/>
          <w:sz w:val="17"/>
        </w:rPr>
        <w:t>Rep</w:t>
      </w:r>
      <w:r>
        <w:rPr>
          <w:color w:val="231F20"/>
          <w:spacing w:val="33"/>
          <w:sz w:val="17"/>
        </w:rPr>
        <w:t> </w:t>
      </w:r>
      <w:r>
        <w:rPr>
          <w:color w:val="231F20"/>
          <w:sz w:val="17"/>
        </w:rPr>
        <w:t>2013;62:41–7.</w:t>
      </w:r>
    </w:p>
    <w:p>
      <w:pPr>
        <w:pStyle w:val="ListParagraph"/>
        <w:numPr>
          <w:ilvl w:val="0"/>
          <w:numId w:val="18"/>
        </w:numPr>
        <w:tabs>
          <w:tab w:pos="614" w:val="left" w:leader="none"/>
        </w:tabs>
        <w:spacing w:line="264" w:lineRule="auto" w:before="86" w:after="0"/>
        <w:ind w:left="613" w:right="1106" w:hanging="244"/>
        <w:jc w:val="left"/>
        <w:rPr>
          <w:sz w:val="17"/>
        </w:rPr>
      </w:pPr>
      <w:r>
        <w:rPr>
          <w:color w:val="231F20"/>
          <w:sz w:val="17"/>
        </w:rPr>
        <w:t>Jones </w:t>
      </w:r>
      <w:r>
        <w:rPr>
          <w:color w:val="231F20"/>
          <w:spacing w:val="-8"/>
          <w:sz w:val="17"/>
        </w:rPr>
        <w:t>TF, </w:t>
      </w:r>
      <w:r>
        <w:rPr>
          <w:color w:val="231F20"/>
          <w:sz w:val="17"/>
        </w:rPr>
        <w:t>Angulo </w:t>
      </w:r>
      <w:r>
        <w:rPr>
          <w:color w:val="231F20"/>
          <w:spacing w:val="-4"/>
          <w:sz w:val="17"/>
        </w:rPr>
        <w:t>FJ. </w:t>
      </w:r>
      <w:r>
        <w:rPr>
          <w:color w:val="231F20"/>
          <w:sz w:val="17"/>
        </w:rPr>
        <w:t>Eating in restaurants: a risk</w:t>
      </w:r>
      <w:r>
        <w:rPr>
          <w:color w:val="231F20"/>
          <w:spacing w:val="-15"/>
          <w:sz w:val="17"/>
        </w:rPr>
        <w:t> </w:t>
      </w:r>
      <w:r>
        <w:rPr>
          <w:color w:val="231F20"/>
          <w:sz w:val="17"/>
        </w:rPr>
        <w:t>factor</w:t>
      </w:r>
      <w:r>
        <w:rPr>
          <w:color w:val="231F20"/>
          <w:spacing w:val="-15"/>
          <w:sz w:val="17"/>
        </w:rPr>
        <w:t> </w:t>
      </w:r>
      <w:r>
        <w:rPr>
          <w:color w:val="231F20"/>
          <w:sz w:val="17"/>
        </w:rPr>
        <w:t>for</w:t>
      </w:r>
      <w:r>
        <w:rPr>
          <w:color w:val="231F20"/>
          <w:spacing w:val="-15"/>
          <w:sz w:val="17"/>
        </w:rPr>
        <w:t> </w:t>
      </w:r>
      <w:r>
        <w:rPr>
          <w:color w:val="231F20"/>
          <w:sz w:val="17"/>
        </w:rPr>
        <w:t>foodborne</w:t>
      </w:r>
      <w:r>
        <w:rPr>
          <w:color w:val="231F20"/>
          <w:spacing w:val="-15"/>
          <w:sz w:val="17"/>
        </w:rPr>
        <w:t> </w:t>
      </w:r>
      <w:r>
        <w:rPr>
          <w:color w:val="231F20"/>
          <w:sz w:val="17"/>
        </w:rPr>
        <w:t>disease?</w:t>
      </w:r>
      <w:r>
        <w:rPr>
          <w:color w:val="231F20"/>
          <w:spacing w:val="-15"/>
          <w:sz w:val="17"/>
        </w:rPr>
        <w:t> </w:t>
      </w:r>
      <w:r>
        <w:rPr>
          <w:color w:val="231F20"/>
          <w:sz w:val="17"/>
        </w:rPr>
        <w:t>Clin</w:t>
      </w:r>
      <w:r>
        <w:rPr>
          <w:color w:val="231F20"/>
          <w:spacing w:val="-15"/>
          <w:sz w:val="17"/>
        </w:rPr>
        <w:t> </w:t>
      </w:r>
      <w:r>
        <w:rPr>
          <w:color w:val="231F20"/>
          <w:sz w:val="17"/>
        </w:rPr>
        <w:t>Infect</w:t>
      </w:r>
      <w:r>
        <w:rPr>
          <w:color w:val="231F20"/>
          <w:spacing w:val="-15"/>
          <w:sz w:val="17"/>
        </w:rPr>
        <w:t> </w:t>
      </w:r>
      <w:r>
        <w:rPr>
          <w:color w:val="231F20"/>
          <w:sz w:val="17"/>
        </w:rPr>
        <w:t>Dis 2006;43:1324–8.</w:t>
      </w:r>
    </w:p>
    <w:p>
      <w:pPr>
        <w:pStyle w:val="ListParagraph"/>
        <w:numPr>
          <w:ilvl w:val="0"/>
          <w:numId w:val="18"/>
        </w:numPr>
        <w:tabs>
          <w:tab w:pos="614" w:val="left" w:leader="none"/>
        </w:tabs>
        <w:spacing w:line="264" w:lineRule="auto" w:before="86" w:after="0"/>
        <w:ind w:left="613" w:right="906" w:hanging="244"/>
        <w:jc w:val="left"/>
        <w:rPr>
          <w:sz w:val="17"/>
        </w:rPr>
      </w:pPr>
      <w:r>
        <w:rPr>
          <w:color w:val="231F20"/>
          <w:spacing w:val="-3"/>
          <w:sz w:val="17"/>
        </w:rPr>
        <w:t>USDA. USDA </w:t>
      </w:r>
      <w:r>
        <w:rPr>
          <w:color w:val="231F20"/>
          <w:spacing w:val="-4"/>
          <w:sz w:val="17"/>
        </w:rPr>
        <w:t>Food </w:t>
      </w:r>
      <w:r>
        <w:rPr>
          <w:color w:val="231F20"/>
          <w:sz w:val="17"/>
        </w:rPr>
        <w:t>Safety and Inspection Service recall</w:t>
      </w:r>
      <w:r>
        <w:rPr>
          <w:color w:val="231F20"/>
          <w:spacing w:val="-18"/>
          <w:sz w:val="17"/>
        </w:rPr>
        <w:t> </w:t>
      </w:r>
      <w:r>
        <w:rPr>
          <w:color w:val="231F20"/>
          <w:sz w:val="17"/>
        </w:rPr>
        <w:t>case</w:t>
      </w:r>
      <w:r>
        <w:rPr>
          <w:color w:val="231F20"/>
          <w:spacing w:val="-18"/>
          <w:sz w:val="17"/>
        </w:rPr>
        <w:t> </w:t>
      </w:r>
      <w:r>
        <w:rPr>
          <w:color w:val="231F20"/>
          <w:sz w:val="17"/>
        </w:rPr>
        <w:t>archives.</w:t>
      </w:r>
      <w:r>
        <w:rPr>
          <w:color w:val="231F20"/>
          <w:spacing w:val="-18"/>
          <w:sz w:val="17"/>
        </w:rPr>
        <w:t> </w:t>
      </w:r>
      <w:r>
        <w:rPr>
          <w:color w:val="0079C1"/>
          <w:sz w:val="17"/>
        </w:rPr>
        <w:t>Available</w:t>
      </w:r>
      <w:r>
        <w:rPr>
          <w:color w:val="0079C1"/>
          <w:spacing w:val="-18"/>
          <w:sz w:val="17"/>
        </w:rPr>
        <w:t> </w:t>
      </w:r>
      <w:r>
        <w:rPr>
          <w:color w:val="0079C1"/>
          <w:sz w:val="17"/>
        </w:rPr>
        <w:t>at</w:t>
      </w:r>
      <w:r>
        <w:rPr>
          <w:color w:val="0079C1"/>
          <w:spacing w:val="-18"/>
          <w:sz w:val="17"/>
        </w:rPr>
        <w:t> </w:t>
      </w:r>
      <w:hyperlink r:id="rId28">
        <w:r>
          <w:rPr>
            <w:color w:val="0079C1"/>
            <w:sz w:val="17"/>
          </w:rPr>
          <w:t>www.fsis.usda.gov/</w:t>
        </w:r>
      </w:hyperlink>
      <w:r>
        <w:rPr>
          <w:color w:val="0079C1"/>
          <w:sz w:val="17"/>
        </w:rPr>
        <w:t> wps/portal/fsis/topics/recalls-and-public-health- alerts/recall-case-archive/recall-case-archive-2012 </w:t>
      </w:r>
      <w:r>
        <w:rPr>
          <w:color w:val="231F20"/>
          <w:sz w:val="17"/>
        </w:rPr>
        <w:t>(accessed</w:t>
      </w:r>
      <w:r>
        <w:rPr>
          <w:color w:val="231F20"/>
          <w:spacing w:val="-18"/>
          <w:sz w:val="17"/>
        </w:rPr>
        <w:t> </w:t>
      </w:r>
      <w:r>
        <w:rPr>
          <w:color w:val="231F20"/>
          <w:sz w:val="17"/>
        </w:rPr>
        <w:t>November</w:t>
      </w:r>
      <w:r>
        <w:rPr>
          <w:color w:val="231F20"/>
          <w:spacing w:val="-18"/>
          <w:sz w:val="17"/>
        </w:rPr>
        <w:t> </w:t>
      </w:r>
      <w:r>
        <w:rPr>
          <w:color w:val="231F20"/>
          <w:sz w:val="17"/>
        </w:rPr>
        <w:t>18,</w:t>
      </w:r>
      <w:r>
        <w:rPr>
          <w:color w:val="231F20"/>
          <w:spacing w:val="-18"/>
          <w:sz w:val="17"/>
        </w:rPr>
        <w:t> </w:t>
      </w:r>
      <w:r>
        <w:rPr>
          <w:color w:val="231F20"/>
          <w:sz w:val="17"/>
        </w:rPr>
        <w:t>2013).</w:t>
      </w:r>
    </w:p>
    <w:p>
      <w:pPr>
        <w:pStyle w:val="ListParagraph"/>
        <w:numPr>
          <w:ilvl w:val="0"/>
          <w:numId w:val="18"/>
        </w:numPr>
        <w:tabs>
          <w:tab w:pos="574" w:val="left" w:leader="none"/>
        </w:tabs>
        <w:spacing w:line="264" w:lineRule="auto" w:before="86" w:after="0"/>
        <w:ind w:left="573" w:right="1123" w:hanging="204"/>
        <w:jc w:val="left"/>
        <w:rPr>
          <w:sz w:val="17"/>
        </w:rPr>
      </w:pPr>
      <w:r>
        <w:rPr>
          <w:color w:val="231F20"/>
          <w:spacing w:val="-4"/>
          <w:sz w:val="17"/>
        </w:rPr>
        <w:t>FDA. </w:t>
      </w:r>
      <w:r>
        <w:rPr>
          <w:color w:val="231F20"/>
          <w:sz w:val="17"/>
        </w:rPr>
        <w:t>2012 Recalls, market withdrawals &amp; safety alerts.</w:t>
      </w:r>
      <w:r>
        <w:rPr>
          <w:color w:val="231F20"/>
          <w:spacing w:val="-18"/>
          <w:sz w:val="17"/>
        </w:rPr>
        <w:t> </w:t>
      </w:r>
      <w:r>
        <w:rPr>
          <w:color w:val="231F20"/>
          <w:sz w:val="17"/>
        </w:rPr>
        <w:t>Available</w:t>
      </w:r>
      <w:r>
        <w:rPr>
          <w:color w:val="231F20"/>
          <w:spacing w:val="-18"/>
          <w:sz w:val="17"/>
        </w:rPr>
        <w:t> </w:t>
      </w:r>
      <w:r>
        <w:rPr>
          <w:color w:val="231F20"/>
          <w:sz w:val="17"/>
        </w:rPr>
        <w:t>at</w:t>
      </w:r>
      <w:r>
        <w:rPr>
          <w:color w:val="231F20"/>
          <w:spacing w:val="-18"/>
          <w:sz w:val="17"/>
        </w:rPr>
        <w:t> </w:t>
      </w:r>
      <w:hyperlink r:id="rId29">
        <w:r>
          <w:rPr>
            <w:color w:val="0079C1"/>
            <w:sz w:val="17"/>
          </w:rPr>
          <w:t>www.fda.gov/Safety/Recalls/</w:t>
        </w:r>
      </w:hyperlink>
      <w:r>
        <w:rPr>
          <w:color w:val="0079C1"/>
          <w:sz w:val="17"/>
        </w:rPr>
        <w:t> ArchiveRecalls/2012/default.htm </w:t>
      </w:r>
      <w:r>
        <w:rPr>
          <w:color w:val="231F20"/>
          <w:sz w:val="17"/>
        </w:rPr>
        <w:t>(accessed November 18,</w:t>
      </w:r>
      <w:r>
        <w:rPr>
          <w:color w:val="231F20"/>
          <w:spacing w:val="-27"/>
          <w:sz w:val="17"/>
        </w:rPr>
        <w:t> </w:t>
      </w:r>
      <w:r>
        <w:rPr>
          <w:color w:val="231F20"/>
          <w:sz w:val="17"/>
        </w:rPr>
        <w:t>2013).</w:t>
      </w:r>
    </w:p>
    <w:p>
      <w:pPr>
        <w:pStyle w:val="ListParagraph"/>
        <w:numPr>
          <w:ilvl w:val="0"/>
          <w:numId w:val="18"/>
        </w:numPr>
        <w:tabs>
          <w:tab w:pos="574" w:val="left" w:leader="none"/>
        </w:tabs>
        <w:spacing w:line="264" w:lineRule="auto" w:before="86" w:after="0"/>
        <w:ind w:left="573" w:right="1148" w:hanging="204"/>
        <w:jc w:val="left"/>
        <w:rPr>
          <w:sz w:val="17"/>
        </w:rPr>
      </w:pPr>
      <w:r>
        <w:rPr>
          <w:color w:val="231F20"/>
          <w:sz w:val="17"/>
        </w:rPr>
        <w:t>Scallan E, Griffin PM, Angulo </w:t>
      </w:r>
      <w:r>
        <w:rPr>
          <w:color w:val="231F20"/>
          <w:spacing w:val="-4"/>
          <w:sz w:val="17"/>
        </w:rPr>
        <w:t>FJ, Tauxe </w:t>
      </w:r>
      <w:r>
        <w:rPr>
          <w:color w:val="231F20"/>
          <w:spacing w:val="-18"/>
          <w:sz w:val="17"/>
        </w:rPr>
        <w:t>RV, </w:t>
      </w:r>
      <w:r>
        <w:rPr>
          <w:color w:val="231F20"/>
          <w:sz w:val="17"/>
        </w:rPr>
        <w:t>Hoekstra</w:t>
      </w:r>
      <w:r>
        <w:rPr>
          <w:color w:val="231F20"/>
          <w:spacing w:val="-7"/>
          <w:sz w:val="17"/>
        </w:rPr>
        <w:t> </w:t>
      </w:r>
      <w:r>
        <w:rPr>
          <w:color w:val="231F20"/>
          <w:sz w:val="17"/>
        </w:rPr>
        <w:t>RM.</w:t>
      </w:r>
      <w:r>
        <w:rPr>
          <w:color w:val="231F20"/>
          <w:spacing w:val="-7"/>
          <w:sz w:val="17"/>
        </w:rPr>
        <w:t> </w:t>
      </w:r>
      <w:r>
        <w:rPr>
          <w:color w:val="231F20"/>
          <w:sz w:val="17"/>
        </w:rPr>
        <w:t>Foodborne</w:t>
      </w:r>
      <w:r>
        <w:rPr>
          <w:color w:val="231F20"/>
          <w:spacing w:val="-7"/>
          <w:sz w:val="17"/>
        </w:rPr>
        <w:t> </w:t>
      </w:r>
      <w:r>
        <w:rPr>
          <w:color w:val="231F20"/>
          <w:sz w:val="17"/>
        </w:rPr>
        <w:t>illness</w:t>
      </w:r>
      <w:r>
        <w:rPr>
          <w:color w:val="231F20"/>
          <w:spacing w:val="-7"/>
          <w:sz w:val="17"/>
        </w:rPr>
        <w:t> </w:t>
      </w:r>
      <w:r>
        <w:rPr>
          <w:color w:val="231F20"/>
          <w:sz w:val="17"/>
        </w:rPr>
        <w:t>acquired</w:t>
      </w:r>
      <w:r>
        <w:rPr>
          <w:color w:val="231F20"/>
          <w:spacing w:val="-7"/>
          <w:sz w:val="17"/>
        </w:rPr>
        <w:t> </w:t>
      </w:r>
      <w:r>
        <w:rPr>
          <w:color w:val="231F20"/>
          <w:sz w:val="17"/>
        </w:rPr>
        <w:t>in</w:t>
      </w:r>
      <w:r>
        <w:rPr>
          <w:color w:val="231F20"/>
          <w:spacing w:val="-7"/>
          <w:sz w:val="17"/>
        </w:rPr>
        <w:t> </w:t>
      </w:r>
      <w:r>
        <w:rPr>
          <w:color w:val="231F20"/>
          <w:sz w:val="17"/>
        </w:rPr>
        <w:t>the</w:t>
      </w:r>
    </w:p>
    <w:p>
      <w:pPr>
        <w:spacing w:after="0" w:line="264" w:lineRule="auto"/>
        <w:jc w:val="left"/>
        <w:rPr>
          <w:sz w:val="17"/>
        </w:rPr>
        <w:sectPr>
          <w:type w:val="continuous"/>
          <w:pgSz w:w="10080" w:h="14400"/>
          <w:pgMar w:top="0" w:bottom="360" w:left="0" w:right="0"/>
          <w:cols w:num="2" w:equalWidth="0">
            <w:col w:w="5171" w:space="40"/>
            <w:col w:w="4869"/>
          </w:cols>
        </w:sectPr>
      </w:pPr>
    </w:p>
    <w:p>
      <w:pPr>
        <w:pStyle w:val="BodyText"/>
        <w:spacing w:before="8"/>
        <w:rPr>
          <w:sz w:val="26"/>
        </w:rPr>
      </w:pPr>
    </w:p>
    <w:p>
      <w:pPr>
        <w:pStyle w:val="Heading1"/>
        <w:ind w:left="720"/>
      </w:pPr>
      <w:r>
        <w:rPr/>
        <w:pict>
          <v:line style="position:absolute;mso-position-horizontal-relative:page;mso-position-vertical-relative:paragraph;z-index:4768;mso-wrap-distance-left:0;mso-wrap-distance-right:0" from="36pt,23.995163pt" to="432pt,23.995163pt" stroked="true" strokeweight=".5pt" strokecolor="#00a94f">
            <v:stroke dashstyle="solid"/>
            <w10:wrap type="topAndBottom"/>
          </v:line>
        </w:pict>
      </w:r>
      <w:r>
        <w:rPr>
          <w:color w:val="00A94F"/>
          <w:w w:val="90"/>
        </w:rPr>
        <w:t>2.5. References</w:t>
      </w:r>
    </w:p>
    <w:p>
      <w:pPr>
        <w:pStyle w:val="BodyText"/>
        <w:spacing w:before="1"/>
        <w:rPr>
          <w:rFonts w:ascii="Lucida Sans"/>
          <w:sz w:val="18"/>
        </w:rPr>
      </w:pPr>
    </w:p>
    <w:p>
      <w:pPr>
        <w:spacing w:after="0"/>
        <w:rPr>
          <w:rFonts w:ascii="Lucida Sans"/>
          <w:sz w:val="18"/>
        </w:rPr>
        <w:sectPr>
          <w:pgSz w:w="10080" w:h="14400"/>
          <w:pgMar w:header="0" w:footer="160" w:top="980" w:bottom="360" w:left="0" w:right="0"/>
        </w:sectPr>
      </w:pPr>
    </w:p>
    <w:p>
      <w:pPr>
        <w:spacing w:line="264" w:lineRule="auto" w:before="111"/>
        <w:ind w:left="923" w:right="56" w:firstLine="0"/>
        <w:jc w:val="left"/>
        <w:rPr>
          <w:sz w:val="17"/>
        </w:rPr>
      </w:pPr>
      <w:r>
        <w:rPr>
          <w:color w:val="231F20"/>
          <w:sz w:val="17"/>
        </w:rPr>
        <w:t>United States—unspecified agents. Emerg Infect Dis 2011;17:16–22.</w:t>
      </w:r>
    </w:p>
    <w:p>
      <w:pPr>
        <w:pStyle w:val="ListParagraph"/>
        <w:numPr>
          <w:ilvl w:val="0"/>
          <w:numId w:val="18"/>
        </w:numPr>
        <w:tabs>
          <w:tab w:pos="965" w:val="left" w:leader="none"/>
        </w:tabs>
        <w:spacing w:line="264" w:lineRule="auto" w:before="86" w:after="0"/>
        <w:ind w:left="964" w:right="12" w:hanging="244"/>
        <w:jc w:val="left"/>
        <w:rPr>
          <w:sz w:val="17"/>
        </w:rPr>
      </w:pPr>
      <w:r>
        <w:rPr>
          <w:color w:val="231F20"/>
          <w:sz w:val="17"/>
        </w:rPr>
        <w:t>CDC.</w:t>
      </w:r>
      <w:r>
        <w:rPr>
          <w:color w:val="231F20"/>
          <w:spacing w:val="-11"/>
          <w:sz w:val="17"/>
        </w:rPr>
        <w:t> </w:t>
      </w:r>
      <w:r>
        <w:rPr>
          <w:color w:val="231F20"/>
          <w:sz w:val="17"/>
        </w:rPr>
        <w:t>Surveillance</w:t>
      </w:r>
      <w:r>
        <w:rPr>
          <w:color w:val="231F20"/>
          <w:spacing w:val="-11"/>
          <w:sz w:val="17"/>
        </w:rPr>
        <w:t> </w:t>
      </w:r>
      <w:r>
        <w:rPr>
          <w:color w:val="231F20"/>
          <w:sz w:val="17"/>
        </w:rPr>
        <w:t>for</w:t>
      </w:r>
      <w:r>
        <w:rPr>
          <w:color w:val="231F20"/>
          <w:spacing w:val="-11"/>
          <w:sz w:val="17"/>
        </w:rPr>
        <w:t> </w:t>
      </w:r>
      <w:r>
        <w:rPr>
          <w:color w:val="231F20"/>
          <w:sz w:val="17"/>
        </w:rPr>
        <w:t>foodborne</w:t>
      </w:r>
      <w:r>
        <w:rPr>
          <w:color w:val="231F20"/>
          <w:spacing w:val="-11"/>
          <w:sz w:val="17"/>
        </w:rPr>
        <w:t> </w:t>
      </w:r>
      <w:r>
        <w:rPr>
          <w:color w:val="231F20"/>
          <w:sz w:val="17"/>
        </w:rPr>
        <w:t>disease</w:t>
      </w:r>
      <w:r>
        <w:rPr>
          <w:color w:val="231F20"/>
          <w:spacing w:val="-11"/>
          <w:sz w:val="17"/>
        </w:rPr>
        <w:t> </w:t>
      </w:r>
      <w:r>
        <w:rPr>
          <w:color w:val="231F20"/>
          <w:sz w:val="17"/>
        </w:rPr>
        <w:t>outbreaks— United States, 2009–2010. MMWR Morb Mortal Wkly </w:t>
      </w:r>
      <w:r>
        <w:rPr>
          <w:color w:val="231F20"/>
          <w:spacing w:val="-3"/>
          <w:sz w:val="17"/>
        </w:rPr>
        <w:t>Rep</w:t>
      </w:r>
      <w:r>
        <w:rPr>
          <w:color w:val="231F20"/>
          <w:spacing w:val="33"/>
          <w:sz w:val="17"/>
        </w:rPr>
        <w:t> </w:t>
      </w:r>
      <w:r>
        <w:rPr>
          <w:color w:val="231F20"/>
          <w:sz w:val="17"/>
        </w:rPr>
        <w:t>2013;62:41-7.</w:t>
      </w:r>
    </w:p>
    <w:p>
      <w:pPr>
        <w:pStyle w:val="ListParagraph"/>
        <w:numPr>
          <w:ilvl w:val="0"/>
          <w:numId w:val="18"/>
        </w:numPr>
        <w:tabs>
          <w:tab w:pos="924" w:val="left" w:leader="none"/>
        </w:tabs>
        <w:spacing w:line="264" w:lineRule="auto" w:before="86" w:after="0"/>
        <w:ind w:left="923" w:right="216" w:hanging="203"/>
        <w:jc w:val="left"/>
        <w:rPr>
          <w:sz w:val="17"/>
        </w:rPr>
      </w:pPr>
      <w:r>
        <w:rPr>
          <w:color w:val="231F20"/>
          <w:spacing w:val="-4"/>
          <w:w w:val="105"/>
          <w:sz w:val="17"/>
        </w:rPr>
        <w:t>Tauxe </w:t>
      </w:r>
      <w:r>
        <w:rPr>
          <w:color w:val="231F20"/>
          <w:spacing w:val="-19"/>
          <w:w w:val="105"/>
          <w:sz w:val="17"/>
        </w:rPr>
        <w:t>RV. </w:t>
      </w:r>
      <w:r>
        <w:rPr>
          <w:color w:val="231F20"/>
          <w:w w:val="105"/>
          <w:sz w:val="17"/>
        </w:rPr>
        <w:t>Emerging foodborne diseases: an evolving</w:t>
      </w:r>
      <w:r>
        <w:rPr>
          <w:color w:val="231F20"/>
          <w:spacing w:val="-28"/>
          <w:w w:val="105"/>
          <w:sz w:val="17"/>
        </w:rPr>
        <w:t> </w:t>
      </w:r>
      <w:r>
        <w:rPr>
          <w:color w:val="231F20"/>
          <w:w w:val="105"/>
          <w:sz w:val="17"/>
        </w:rPr>
        <w:t>public</w:t>
      </w:r>
      <w:r>
        <w:rPr>
          <w:color w:val="231F20"/>
          <w:spacing w:val="-28"/>
          <w:w w:val="105"/>
          <w:sz w:val="17"/>
        </w:rPr>
        <w:t> </w:t>
      </w:r>
      <w:r>
        <w:rPr>
          <w:color w:val="231F20"/>
          <w:w w:val="105"/>
          <w:sz w:val="17"/>
        </w:rPr>
        <w:t>health</w:t>
      </w:r>
      <w:r>
        <w:rPr>
          <w:color w:val="231F20"/>
          <w:spacing w:val="-28"/>
          <w:w w:val="105"/>
          <w:sz w:val="17"/>
        </w:rPr>
        <w:t> </w:t>
      </w:r>
      <w:r>
        <w:rPr>
          <w:color w:val="231F20"/>
          <w:w w:val="105"/>
          <w:sz w:val="17"/>
        </w:rPr>
        <w:t>challenge.</w:t>
      </w:r>
      <w:r>
        <w:rPr>
          <w:color w:val="231F20"/>
          <w:spacing w:val="-28"/>
          <w:w w:val="105"/>
          <w:sz w:val="17"/>
        </w:rPr>
        <w:t> </w:t>
      </w:r>
      <w:r>
        <w:rPr>
          <w:color w:val="231F20"/>
          <w:w w:val="105"/>
          <w:sz w:val="17"/>
        </w:rPr>
        <w:t>Emerg</w:t>
      </w:r>
      <w:r>
        <w:rPr>
          <w:color w:val="231F20"/>
          <w:spacing w:val="-28"/>
          <w:w w:val="105"/>
          <w:sz w:val="17"/>
        </w:rPr>
        <w:t> </w:t>
      </w:r>
      <w:r>
        <w:rPr>
          <w:color w:val="231F20"/>
          <w:w w:val="105"/>
          <w:sz w:val="17"/>
        </w:rPr>
        <w:t>Infect</w:t>
      </w:r>
      <w:r>
        <w:rPr>
          <w:color w:val="231F20"/>
          <w:spacing w:val="-28"/>
          <w:w w:val="105"/>
          <w:sz w:val="17"/>
        </w:rPr>
        <w:t> </w:t>
      </w:r>
      <w:r>
        <w:rPr>
          <w:color w:val="231F20"/>
          <w:w w:val="105"/>
          <w:sz w:val="17"/>
        </w:rPr>
        <w:t>Dis 1997;3:425-34.</w:t>
      </w:r>
    </w:p>
    <w:p>
      <w:pPr>
        <w:pStyle w:val="ListParagraph"/>
        <w:numPr>
          <w:ilvl w:val="0"/>
          <w:numId w:val="18"/>
        </w:numPr>
        <w:tabs>
          <w:tab w:pos="965" w:val="left" w:leader="none"/>
        </w:tabs>
        <w:spacing w:line="264" w:lineRule="auto" w:before="86" w:after="0"/>
        <w:ind w:left="964" w:right="51" w:hanging="244"/>
        <w:jc w:val="left"/>
        <w:rPr>
          <w:sz w:val="17"/>
        </w:rPr>
      </w:pPr>
      <w:r>
        <w:rPr>
          <w:color w:val="231F20"/>
          <w:sz w:val="17"/>
        </w:rPr>
        <w:t>Sobel </w:t>
      </w:r>
      <w:r>
        <w:rPr>
          <w:color w:val="231F20"/>
          <w:spacing w:val="-6"/>
          <w:sz w:val="17"/>
        </w:rPr>
        <w:t>J, </w:t>
      </w:r>
      <w:r>
        <w:rPr>
          <w:color w:val="231F20"/>
          <w:sz w:val="17"/>
        </w:rPr>
        <w:t>Griffin PM, Slutsker L, Swerdlow DL,</w:t>
      </w:r>
      <w:r>
        <w:rPr>
          <w:color w:val="231F20"/>
          <w:spacing w:val="-13"/>
          <w:sz w:val="17"/>
        </w:rPr>
        <w:t> </w:t>
      </w:r>
      <w:r>
        <w:rPr>
          <w:color w:val="231F20"/>
          <w:spacing w:val="-4"/>
          <w:sz w:val="17"/>
        </w:rPr>
        <w:t>Tauxe </w:t>
      </w:r>
      <w:r>
        <w:rPr>
          <w:color w:val="231F20"/>
          <w:spacing w:val="-18"/>
          <w:sz w:val="17"/>
        </w:rPr>
        <w:t>RV. </w:t>
      </w:r>
      <w:r>
        <w:rPr>
          <w:color w:val="231F20"/>
          <w:sz w:val="17"/>
        </w:rPr>
        <w:t>Investigation of multistate foodborne disease outbreaks. Public Health </w:t>
      </w:r>
      <w:r>
        <w:rPr>
          <w:color w:val="231F20"/>
          <w:spacing w:val="-3"/>
          <w:sz w:val="17"/>
        </w:rPr>
        <w:t>Rep</w:t>
      </w:r>
      <w:r>
        <w:rPr>
          <w:color w:val="231F20"/>
          <w:spacing w:val="12"/>
          <w:sz w:val="17"/>
        </w:rPr>
        <w:t> </w:t>
      </w:r>
      <w:r>
        <w:rPr>
          <w:color w:val="231F20"/>
          <w:sz w:val="17"/>
        </w:rPr>
        <w:t>2002;117:8–19.</w:t>
      </w:r>
    </w:p>
    <w:p>
      <w:pPr>
        <w:pStyle w:val="ListParagraph"/>
        <w:numPr>
          <w:ilvl w:val="0"/>
          <w:numId w:val="18"/>
        </w:numPr>
        <w:tabs>
          <w:tab w:pos="965" w:val="left" w:leader="none"/>
        </w:tabs>
        <w:spacing w:line="264" w:lineRule="auto" w:before="86" w:after="0"/>
        <w:ind w:left="964" w:right="114" w:hanging="244"/>
        <w:jc w:val="left"/>
        <w:rPr>
          <w:sz w:val="17"/>
        </w:rPr>
      </w:pPr>
      <w:r>
        <w:rPr>
          <w:color w:val="231F20"/>
          <w:sz w:val="17"/>
        </w:rPr>
        <w:t>Laine ES, Scheftel JM, Boxrud </w:t>
      </w:r>
      <w:r>
        <w:rPr>
          <w:color w:val="231F20"/>
          <w:spacing w:val="-4"/>
          <w:sz w:val="17"/>
        </w:rPr>
        <w:t>DJ, </w:t>
      </w:r>
      <w:r>
        <w:rPr>
          <w:color w:val="231F20"/>
          <w:sz w:val="17"/>
        </w:rPr>
        <w:t>et al. Outbreak of</w:t>
      </w:r>
      <w:r>
        <w:rPr>
          <w:color w:val="231F20"/>
          <w:spacing w:val="7"/>
          <w:sz w:val="17"/>
        </w:rPr>
        <w:t> </w:t>
      </w:r>
      <w:r>
        <w:rPr>
          <w:i/>
          <w:color w:val="231F20"/>
          <w:sz w:val="17"/>
        </w:rPr>
        <w:t>Escherichia</w:t>
      </w:r>
      <w:r>
        <w:rPr>
          <w:i/>
          <w:color w:val="231F20"/>
          <w:spacing w:val="-11"/>
          <w:sz w:val="17"/>
        </w:rPr>
        <w:t> </w:t>
      </w:r>
      <w:r>
        <w:rPr>
          <w:i/>
          <w:color w:val="231F20"/>
          <w:sz w:val="17"/>
        </w:rPr>
        <w:t>coli</w:t>
      </w:r>
      <w:r>
        <w:rPr>
          <w:i/>
          <w:color w:val="231F20"/>
          <w:spacing w:val="-12"/>
          <w:sz w:val="17"/>
        </w:rPr>
        <w:t> </w:t>
      </w:r>
      <w:r>
        <w:rPr>
          <w:color w:val="231F20"/>
          <w:sz w:val="17"/>
        </w:rPr>
        <w:t>O157:H7</w:t>
      </w:r>
      <w:r>
        <w:rPr>
          <w:color w:val="231F20"/>
          <w:spacing w:val="-12"/>
          <w:sz w:val="17"/>
        </w:rPr>
        <w:t> </w:t>
      </w:r>
      <w:r>
        <w:rPr>
          <w:color w:val="231F20"/>
          <w:sz w:val="17"/>
        </w:rPr>
        <w:t>infections</w:t>
      </w:r>
      <w:r>
        <w:rPr>
          <w:color w:val="231F20"/>
          <w:spacing w:val="-11"/>
          <w:sz w:val="17"/>
        </w:rPr>
        <w:t> </w:t>
      </w:r>
      <w:r>
        <w:rPr>
          <w:color w:val="231F20"/>
          <w:sz w:val="17"/>
        </w:rPr>
        <w:t>associated</w:t>
      </w:r>
      <w:r>
        <w:rPr>
          <w:color w:val="231F20"/>
          <w:spacing w:val="-11"/>
          <w:sz w:val="17"/>
        </w:rPr>
        <w:t> </w:t>
      </w:r>
      <w:r>
        <w:rPr>
          <w:color w:val="231F20"/>
          <w:sz w:val="17"/>
        </w:rPr>
        <w:t>with</w:t>
      </w:r>
    </w:p>
    <w:p>
      <w:pPr>
        <w:spacing w:line="264" w:lineRule="auto" w:before="0"/>
        <w:ind w:left="964" w:right="11" w:firstLine="0"/>
        <w:jc w:val="left"/>
        <w:rPr>
          <w:sz w:val="17"/>
        </w:rPr>
      </w:pPr>
      <w:r>
        <w:rPr>
          <w:color w:val="231F20"/>
          <w:sz w:val="17"/>
        </w:rPr>
        <w:t>nonintact</w:t>
      </w:r>
      <w:r>
        <w:rPr>
          <w:color w:val="231F20"/>
          <w:spacing w:val="-15"/>
          <w:sz w:val="17"/>
        </w:rPr>
        <w:t> </w:t>
      </w:r>
      <w:r>
        <w:rPr>
          <w:color w:val="231F20"/>
          <w:sz w:val="17"/>
        </w:rPr>
        <w:t>blade-tenderized</w:t>
      </w:r>
      <w:r>
        <w:rPr>
          <w:color w:val="231F20"/>
          <w:spacing w:val="-15"/>
          <w:sz w:val="17"/>
        </w:rPr>
        <w:t> </w:t>
      </w:r>
      <w:r>
        <w:rPr>
          <w:color w:val="231F20"/>
          <w:sz w:val="17"/>
        </w:rPr>
        <w:t>frozen</w:t>
      </w:r>
      <w:r>
        <w:rPr>
          <w:color w:val="231F20"/>
          <w:spacing w:val="-15"/>
          <w:sz w:val="17"/>
        </w:rPr>
        <w:t> </w:t>
      </w:r>
      <w:r>
        <w:rPr>
          <w:color w:val="231F20"/>
          <w:sz w:val="17"/>
        </w:rPr>
        <w:t>steaks</w:t>
      </w:r>
      <w:r>
        <w:rPr>
          <w:color w:val="231F20"/>
          <w:spacing w:val="-16"/>
          <w:sz w:val="17"/>
        </w:rPr>
        <w:t> </w:t>
      </w:r>
      <w:r>
        <w:rPr>
          <w:color w:val="231F20"/>
          <w:sz w:val="17"/>
        </w:rPr>
        <w:t>sold</w:t>
      </w:r>
      <w:r>
        <w:rPr>
          <w:color w:val="231F20"/>
          <w:spacing w:val="-15"/>
          <w:sz w:val="17"/>
        </w:rPr>
        <w:t> </w:t>
      </w:r>
      <w:r>
        <w:rPr>
          <w:color w:val="231F20"/>
          <w:spacing w:val="-3"/>
          <w:sz w:val="17"/>
        </w:rPr>
        <w:t>by</w:t>
      </w:r>
      <w:r>
        <w:rPr>
          <w:color w:val="231F20"/>
          <w:spacing w:val="-15"/>
          <w:sz w:val="17"/>
        </w:rPr>
        <w:t> </w:t>
      </w:r>
      <w:r>
        <w:rPr>
          <w:color w:val="231F20"/>
          <w:sz w:val="17"/>
        </w:rPr>
        <w:t>door- to-door</w:t>
      </w:r>
      <w:r>
        <w:rPr>
          <w:color w:val="231F20"/>
          <w:spacing w:val="-10"/>
          <w:sz w:val="17"/>
        </w:rPr>
        <w:t> </w:t>
      </w:r>
      <w:r>
        <w:rPr>
          <w:color w:val="231F20"/>
          <w:sz w:val="17"/>
        </w:rPr>
        <w:t>vendors.</w:t>
      </w:r>
      <w:r>
        <w:rPr>
          <w:color w:val="231F20"/>
          <w:spacing w:val="-10"/>
          <w:sz w:val="17"/>
        </w:rPr>
        <w:t> </w:t>
      </w:r>
      <w:r>
        <w:rPr>
          <w:color w:val="231F20"/>
          <w:sz w:val="17"/>
        </w:rPr>
        <w:t>J</w:t>
      </w:r>
      <w:r>
        <w:rPr>
          <w:color w:val="231F20"/>
          <w:spacing w:val="-10"/>
          <w:sz w:val="17"/>
        </w:rPr>
        <w:t> </w:t>
      </w:r>
      <w:r>
        <w:rPr>
          <w:color w:val="231F20"/>
          <w:spacing w:val="-4"/>
          <w:sz w:val="17"/>
        </w:rPr>
        <w:t>Food</w:t>
      </w:r>
      <w:r>
        <w:rPr>
          <w:color w:val="231F20"/>
          <w:spacing w:val="-10"/>
          <w:sz w:val="17"/>
        </w:rPr>
        <w:t> </w:t>
      </w:r>
      <w:r>
        <w:rPr>
          <w:color w:val="231F20"/>
          <w:sz w:val="17"/>
        </w:rPr>
        <w:t>Prot</w:t>
      </w:r>
      <w:r>
        <w:rPr>
          <w:color w:val="231F20"/>
          <w:spacing w:val="-10"/>
          <w:sz w:val="17"/>
        </w:rPr>
        <w:t> </w:t>
      </w:r>
      <w:r>
        <w:rPr>
          <w:color w:val="231F20"/>
          <w:sz w:val="17"/>
        </w:rPr>
        <w:t>2005;68:1198–202.</w:t>
      </w:r>
    </w:p>
    <w:p>
      <w:pPr>
        <w:pStyle w:val="ListParagraph"/>
        <w:numPr>
          <w:ilvl w:val="0"/>
          <w:numId w:val="18"/>
        </w:numPr>
        <w:tabs>
          <w:tab w:pos="965" w:val="left" w:leader="none"/>
        </w:tabs>
        <w:spacing w:line="264" w:lineRule="auto" w:before="86" w:after="0"/>
        <w:ind w:left="964" w:right="44" w:hanging="244"/>
        <w:jc w:val="left"/>
        <w:rPr>
          <w:sz w:val="17"/>
        </w:rPr>
      </w:pPr>
      <w:r>
        <w:rPr>
          <w:color w:val="231F20"/>
          <w:spacing w:val="-5"/>
          <w:sz w:val="17"/>
        </w:rPr>
        <w:t>Todd </w:t>
      </w:r>
      <w:r>
        <w:rPr>
          <w:color w:val="231F20"/>
          <w:spacing w:val="-4"/>
          <w:sz w:val="17"/>
        </w:rPr>
        <w:t>ECD, </w:t>
      </w:r>
      <w:r>
        <w:rPr>
          <w:color w:val="231F20"/>
          <w:sz w:val="17"/>
        </w:rPr>
        <w:t>Guzewich </w:t>
      </w:r>
      <w:r>
        <w:rPr>
          <w:color w:val="231F20"/>
          <w:spacing w:val="-4"/>
          <w:sz w:val="17"/>
        </w:rPr>
        <w:t>JJ, </w:t>
      </w:r>
      <w:r>
        <w:rPr>
          <w:color w:val="231F20"/>
          <w:sz w:val="17"/>
        </w:rPr>
        <w:t>Bryan FL. Surveillance of foodborne</w:t>
      </w:r>
      <w:r>
        <w:rPr>
          <w:color w:val="231F20"/>
          <w:spacing w:val="-14"/>
          <w:sz w:val="17"/>
        </w:rPr>
        <w:t> </w:t>
      </w:r>
      <w:r>
        <w:rPr>
          <w:color w:val="231F20"/>
          <w:sz w:val="17"/>
        </w:rPr>
        <w:t>disease.</w:t>
      </w:r>
      <w:r>
        <w:rPr>
          <w:color w:val="231F20"/>
          <w:spacing w:val="-14"/>
          <w:sz w:val="17"/>
        </w:rPr>
        <w:t> </w:t>
      </w:r>
      <w:r>
        <w:rPr>
          <w:color w:val="231F20"/>
          <w:sz w:val="17"/>
        </w:rPr>
        <w:t>Part</w:t>
      </w:r>
      <w:r>
        <w:rPr>
          <w:color w:val="231F20"/>
          <w:spacing w:val="-14"/>
          <w:sz w:val="17"/>
        </w:rPr>
        <w:t> </w:t>
      </w:r>
      <w:r>
        <w:rPr>
          <w:color w:val="231F20"/>
          <w:spacing w:val="-11"/>
          <w:sz w:val="17"/>
        </w:rPr>
        <w:t>IV.</w:t>
      </w:r>
      <w:r>
        <w:rPr>
          <w:color w:val="231F20"/>
          <w:spacing w:val="-14"/>
          <w:sz w:val="17"/>
        </w:rPr>
        <w:t> </w:t>
      </w:r>
      <w:r>
        <w:rPr>
          <w:color w:val="231F20"/>
          <w:sz w:val="17"/>
        </w:rPr>
        <w:t>Dissemination</w:t>
      </w:r>
      <w:r>
        <w:rPr>
          <w:color w:val="231F20"/>
          <w:spacing w:val="-14"/>
          <w:sz w:val="17"/>
        </w:rPr>
        <w:t> </w:t>
      </w:r>
      <w:r>
        <w:rPr>
          <w:color w:val="231F20"/>
          <w:sz w:val="17"/>
        </w:rPr>
        <w:t>and</w:t>
      </w:r>
      <w:r>
        <w:rPr>
          <w:color w:val="231F20"/>
          <w:spacing w:val="-14"/>
          <w:sz w:val="17"/>
        </w:rPr>
        <w:t> </w:t>
      </w:r>
      <w:r>
        <w:rPr>
          <w:color w:val="231F20"/>
          <w:sz w:val="17"/>
        </w:rPr>
        <w:t>uses</w:t>
      </w:r>
      <w:r>
        <w:rPr>
          <w:color w:val="231F20"/>
          <w:spacing w:val="-14"/>
          <w:sz w:val="17"/>
        </w:rPr>
        <w:t> </w:t>
      </w:r>
      <w:r>
        <w:rPr>
          <w:color w:val="231F20"/>
          <w:sz w:val="17"/>
        </w:rPr>
        <w:t>of surveillance data. </w:t>
      </w:r>
      <w:r>
        <w:rPr>
          <w:color w:val="231F20"/>
          <w:spacing w:val="-6"/>
          <w:sz w:val="17"/>
        </w:rPr>
        <w:t>J. </w:t>
      </w:r>
      <w:r>
        <w:rPr>
          <w:color w:val="231F20"/>
          <w:spacing w:val="-4"/>
          <w:sz w:val="17"/>
        </w:rPr>
        <w:t>Food </w:t>
      </w:r>
      <w:r>
        <w:rPr>
          <w:color w:val="231F20"/>
          <w:sz w:val="17"/>
        </w:rPr>
        <w:t>Prot</w:t>
      </w:r>
      <w:r>
        <w:rPr>
          <w:color w:val="231F20"/>
          <w:spacing w:val="9"/>
          <w:sz w:val="17"/>
        </w:rPr>
        <w:t> </w:t>
      </w:r>
      <w:r>
        <w:rPr>
          <w:color w:val="231F20"/>
          <w:sz w:val="17"/>
        </w:rPr>
        <w:t>1997;60:715–23.</w:t>
      </w:r>
    </w:p>
    <w:p>
      <w:pPr>
        <w:pStyle w:val="ListParagraph"/>
        <w:numPr>
          <w:ilvl w:val="0"/>
          <w:numId w:val="18"/>
        </w:numPr>
        <w:tabs>
          <w:tab w:pos="965" w:val="left" w:leader="none"/>
        </w:tabs>
        <w:spacing w:line="264" w:lineRule="auto" w:before="85" w:after="0"/>
        <w:ind w:left="964" w:right="334" w:hanging="244"/>
        <w:jc w:val="left"/>
        <w:rPr>
          <w:sz w:val="17"/>
        </w:rPr>
      </w:pPr>
      <w:r>
        <w:rPr>
          <w:color w:val="231F20"/>
          <w:sz w:val="17"/>
        </w:rPr>
        <w:t>Guzewich </w:t>
      </w:r>
      <w:r>
        <w:rPr>
          <w:color w:val="231F20"/>
          <w:spacing w:val="-4"/>
          <w:sz w:val="17"/>
        </w:rPr>
        <w:t>JJ, </w:t>
      </w:r>
      <w:r>
        <w:rPr>
          <w:color w:val="231F20"/>
          <w:sz w:val="17"/>
        </w:rPr>
        <w:t>Bryan FL, </w:t>
      </w:r>
      <w:r>
        <w:rPr>
          <w:color w:val="231F20"/>
          <w:spacing w:val="-5"/>
          <w:sz w:val="17"/>
        </w:rPr>
        <w:t>Todd </w:t>
      </w:r>
      <w:r>
        <w:rPr>
          <w:color w:val="231F20"/>
          <w:spacing w:val="-4"/>
          <w:sz w:val="17"/>
        </w:rPr>
        <w:t>ECD. </w:t>
      </w:r>
      <w:r>
        <w:rPr>
          <w:color w:val="231F20"/>
          <w:sz w:val="17"/>
        </w:rPr>
        <w:t>Surveillance of foodborne disease I. Purposes and types of surveillance systems and networks. </w:t>
      </w:r>
      <w:r>
        <w:rPr>
          <w:color w:val="231F20"/>
          <w:spacing w:val="-5"/>
          <w:sz w:val="17"/>
        </w:rPr>
        <w:t>J.Food </w:t>
      </w:r>
      <w:r>
        <w:rPr>
          <w:color w:val="231F20"/>
          <w:sz w:val="17"/>
        </w:rPr>
        <w:t>Prot 1997;60:555–66.</w:t>
      </w:r>
    </w:p>
    <w:p>
      <w:pPr>
        <w:pStyle w:val="ListParagraph"/>
        <w:numPr>
          <w:ilvl w:val="0"/>
          <w:numId w:val="18"/>
        </w:numPr>
        <w:tabs>
          <w:tab w:pos="924" w:val="left" w:leader="none"/>
        </w:tabs>
        <w:spacing w:line="264" w:lineRule="auto" w:before="85" w:after="0"/>
        <w:ind w:left="923" w:right="222" w:hanging="203"/>
        <w:jc w:val="left"/>
        <w:rPr>
          <w:sz w:val="17"/>
        </w:rPr>
      </w:pPr>
      <w:r>
        <w:rPr>
          <w:color w:val="231F20"/>
          <w:spacing w:val="-4"/>
          <w:sz w:val="17"/>
        </w:rPr>
        <w:t>Tauxe </w:t>
      </w:r>
      <w:r>
        <w:rPr>
          <w:color w:val="231F20"/>
          <w:spacing w:val="-18"/>
          <w:sz w:val="17"/>
        </w:rPr>
        <w:t>RV. </w:t>
      </w:r>
      <w:r>
        <w:rPr>
          <w:color w:val="231F20"/>
          <w:sz w:val="17"/>
        </w:rPr>
        <w:t>Molecular subtyping and the transformation</w:t>
      </w:r>
      <w:r>
        <w:rPr>
          <w:color w:val="231F20"/>
          <w:spacing w:val="-15"/>
          <w:sz w:val="17"/>
        </w:rPr>
        <w:t> </w:t>
      </w:r>
      <w:r>
        <w:rPr>
          <w:color w:val="231F20"/>
          <w:sz w:val="17"/>
        </w:rPr>
        <w:t>of</w:t>
      </w:r>
      <w:r>
        <w:rPr>
          <w:color w:val="231F20"/>
          <w:spacing w:val="1"/>
          <w:sz w:val="17"/>
        </w:rPr>
        <w:t> </w:t>
      </w:r>
      <w:r>
        <w:rPr>
          <w:color w:val="231F20"/>
          <w:sz w:val="17"/>
        </w:rPr>
        <w:t>public</w:t>
      </w:r>
      <w:r>
        <w:rPr>
          <w:color w:val="231F20"/>
          <w:spacing w:val="-15"/>
          <w:sz w:val="17"/>
        </w:rPr>
        <w:t> </w:t>
      </w:r>
      <w:r>
        <w:rPr>
          <w:color w:val="231F20"/>
          <w:sz w:val="17"/>
        </w:rPr>
        <w:t>health.</w:t>
      </w:r>
      <w:r>
        <w:rPr>
          <w:color w:val="231F20"/>
          <w:spacing w:val="-15"/>
          <w:sz w:val="17"/>
        </w:rPr>
        <w:t> </w:t>
      </w:r>
      <w:r>
        <w:rPr>
          <w:color w:val="231F20"/>
          <w:sz w:val="17"/>
        </w:rPr>
        <w:t>Foodborne</w:t>
      </w:r>
      <w:r>
        <w:rPr>
          <w:color w:val="231F20"/>
          <w:spacing w:val="-15"/>
          <w:sz w:val="17"/>
        </w:rPr>
        <w:t> </w:t>
      </w:r>
      <w:r>
        <w:rPr>
          <w:color w:val="231F20"/>
          <w:sz w:val="17"/>
        </w:rPr>
        <w:t>Pathog Dis</w:t>
      </w:r>
      <w:r>
        <w:rPr>
          <w:color w:val="231F20"/>
          <w:spacing w:val="3"/>
          <w:sz w:val="17"/>
        </w:rPr>
        <w:t> </w:t>
      </w:r>
      <w:r>
        <w:rPr>
          <w:color w:val="231F20"/>
          <w:sz w:val="17"/>
        </w:rPr>
        <w:t>2006;3:4–8.</w:t>
      </w:r>
    </w:p>
    <w:p>
      <w:pPr>
        <w:pStyle w:val="ListParagraph"/>
        <w:numPr>
          <w:ilvl w:val="0"/>
          <w:numId w:val="18"/>
        </w:numPr>
        <w:tabs>
          <w:tab w:pos="965" w:val="left" w:leader="none"/>
        </w:tabs>
        <w:spacing w:line="264" w:lineRule="auto" w:before="85" w:after="0"/>
        <w:ind w:left="964" w:right="585" w:hanging="244"/>
        <w:jc w:val="left"/>
        <w:rPr>
          <w:sz w:val="17"/>
        </w:rPr>
      </w:pPr>
      <w:r>
        <w:rPr>
          <w:color w:val="231F20"/>
          <w:sz w:val="17"/>
        </w:rPr>
        <w:t>CDC. National Enteric Disease</w:t>
      </w:r>
      <w:r>
        <w:rPr>
          <w:color w:val="231F20"/>
          <w:spacing w:val="-9"/>
          <w:sz w:val="17"/>
        </w:rPr>
        <w:t> </w:t>
      </w:r>
      <w:r>
        <w:rPr>
          <w:color w:val="231F20"/>
          <w:sz w:val="17"/>
        </w:rPr>
        <w:t>Surveillance: </w:t>
      </w:r>
      <w:r>
        <w:rPr>
          <w:i/>
          <w:color w:val="231F20"/>
          <w:sz w:val="17"/>
        </w:rPr>
        <w:t>Salmonella </w:t>
      </w:r>
      <w:r>
        <w:rPr>
          <w:color w:val="231F20"/>
          <w:sz w:val="17"/>
        </w:rPr>
        <w:t>surveillance </w:t>
      </w:r>
      <w:r>
        <w:rPr>
          <w:color w:val="231F20"/>
          <w:spacing w:val="-4"/>
          <w:sz w:val="17"/>
        </w:rPr>
        <w:t>overview. </w:t>
      </w:r>
      <w:r>
        <w:rPr>
          <w:color w:val="231F20"/>
          <w:sz w:val="17"/>
        </w:rPr>
        <w:t>Available at </w:t>
      </w:r>
      <w:hyperlink r:id="rId30">
        <w:r>
          <w:rPr>
            <w:color w:val="0079C1"/>
            <w:sz w:val="17"/>
          </w:rPr>
          <w:t>www.cdc.gov/nationalsurveillance/PDFs/</w:t>
        </w:r>
      </w:hyperlink>
      <w:r>
        <w:rPr>
          <w:color w:val="0079C1"/>
          <w:sz w:val="17"/>
        </w:rPr>
        <w:t> NationalSalmSurveillOverview_508.pdf </w:t>
      </w:r>
      <w:r>
        <w:rPr>
          <w:color w:val="231F20"/>
          <w:sz w:val="17"/>
        </w:rPr>
        <w:t>(accessed May 1,</w:t>
      </w:r>
      <w:r>
        <w:rPr>
          <w:color w:val="231F20"/>
          <w:spacing w:val="-8"/>
          <w:sz w:val="17"/>
        </w:rPr>
        <w:t> </w:t>
      </w:r>
      <w:r>
        <w:rPr>
          <w:color w:val="231F20"/>
          <w:sz w:val="17"/>
        </w:rPr>
        <w:t>2013).</w:t>
      </w:r>
    </w:p>
    <w:p>
      <w:pPr>
        <w:pStyle w:val="ListParagraph"/>
        <w:numPr>
          <w:ilvl w:val="0"/>
          <w:numId w:val="18"/>
        </w:numPr>
        <w:tabs>
          <w:tab w:pos="965" w:val="left" w:leader="none"/>
        </w:tabs>
        <w:spacing w:line="264" w:lineRule="auto" w:before="85" w:after="0"/>
        <w:ind w:left="964" w:right="68" w:hanging="244"/>
        <w:jc w:val="left"/>
        <w:rPr>
          <w:sz w:val="17"/>
        </w:rPr>
      </w:pPr>
      <w:r>
        <w:rPr>
          <w:color w:val="231F20"/>
          <w:sz w:val="17"/>
        </w:rPr>
        <w:t>CDC.National Enteric Disease Surveillance: Shigella surveillance </w:t>
      </w:r>
      <w:r>
        <w:rPr>
          <w:color w:val="231F20"/>
          <w:spacing w:val="-4"/>
          <w:sz w:val="17"/>
        </w:rPr>
        <w:t>overview. </w:t>
      </w:r>
      <w:r>
        <w:rPr>
          <w:color w:val="231F20"/>
          <w:sz w:val="17"/>
        </w:rPr>
        <w:t>Available at </w:t>
      </w:r>
      <w:hyperlink r:id="rId19">
        <w:r>
          <w:rPr>
            <w:color w:val="0079C1"/>
            <w:spacing w:val="-3"/>
            <w:sz w:val="17"/>
          </w:rPr>
          <w:t>www.cdc.gov/</w:t>
        </w:r>
      </w:hyperlink>
      <w:r>
        <w:rPr>
          <w:color w:val="0079C1"/>
          <w:spacing w:val="-3"/>
          <w:sz w:val="17"/>
        </w:rPr>
        <w:t> </w:t>
      </w:r>
      <w:r>
        <w:rPr>
          <w:color w:val="0079C1"/>
          <w:sz w:val="17"/>
        </w:rPr>
        <w:t>ncezid/dfwed/PDFs/Shigella-Overview-508.pdf </w:t>
      </w:r>
      <w:r>
        <w:rPr>
          <w:color w:val="231F20"/>
          <w:sz w:val="17"/>
        </w:rPr>
        <w:t>(accessed May 1,</w:t>
      </w:r>
      <w:r>
        <w:rPr>
          <w:color w:val="231F20"/>
          <w:spacing w:val="-8"/>
          <w:sz w:val="17"/>
        </w:rPr>
        <w:t> </w:t>
      </w:r>
      <w:r>
        <w:rPr>
          <w:color w:val="231F20"/>
          <w:sz w:val="17"/>
        </w:rPr>
        <w:t>2013).</w:t>
      </w:r>
    </w:p>
    <w:p>
      <w:pPr>
        <w:pStyle w:val="ListParagraph"/>
        <w:numPr>
          <w:ilvl w:val="0"/>
          <w:numId w:val="18"/>
        </w:numPr>
        <w:tabs>
          <w:tab w:pos="965" w:val="left" w:leader="none"/>
        </w:tabs>
        <w:spacing w:line="264" w:lineRule="auto" w:before="85" w:after="0"/>
        <w:ind w:left="964" w:right="35" w:hanging="244"/>
        <w:jc w:val="left"/>
        <w:rPr>
          <w:sz w:val="17"/>
        </w:rPr>
      </w:pPr>
      <w:r>
        <w:rPr>
          <w:color w:val="231F20"/>
          <w:sz w:val="17"/>
        </w:rPr>
        <w:t>CDC. National Enteric Disease Surveillance: Shiga toxin–producing</w:t>
      </w:r>
      <w:r>
        <w:rPr>
          <w:color w:val="231F20"/>
          <w:spacing w:val="-15"/>
          <w:sz w:val="17"/>
        </w:rPr>
        <w:t> </w:t>
      </w:r>
      <w:r>
        <w:rPr>
          <w:color w:val="231F20"/>
          <w:sz w:val="17"/>
        </w:rPr>
        <w:t>Escherichia</w:t>
      </w:r>
      <w:r>
        <w:rPr>
          <w:color w:val="231F20"/>
          <w:spacing w:val="-15"/>
          <w:sz w:val="17"/>
        </w:rPr>
        <w:t> </w:t>
      </w:r>
      <w:r>
        <w:rPr>
          <w:color w:val="231F20"/>
          <w:sz w:val="17"/>
        </w:rPr>
        <w:t>coli</w:t>
      </w:r>
      <w:r>
        <w:rPr>
          <w:color w:val="231F20"/>
          <w:spacing w:val="-15"/>
          <w:sz w:val="17"/>
        </w:rPr>
        <w:t> </w:t>
      </w:r>
      <w:r>
        <w:rPr>
          <w:color w:val="231F20"/>
          <w:sz w:val="17"/>
        </w:rPr>
        <w:t>(STEC)</w:t>
      </w:r>
      <w:r>
        <w:rPr>
          <w:color w:val="231F20"/>
          <w:spacing w:val="-15"/>
          <w:sz w:val="17"/>
        </w:rPr>
        <w:t> </w:t>
      </w:r>
      <w:r>
        <w:rPr>
          <w:color w:val="231F20"/>
          <w:sz w:val="17"/>
        </w:rPr>
        <w:t>surveillance </w:t>
      </w:r>
      <w:r>
        <w:rPr>
          <w:color w:val="231F20"/>
          <w:spacing w:val="-3"/>
          <w:sz w:val="17"/>
        </w:rPr>
        <w:t>overview.. </w:t>
      </w:r>
      <w:r>
        <w:rPr>
          <w:color w:val="231F20"/>
          <w:sz w:val="17"/>
        </w:rPr>
        <w:t>Available at </w:t>
      </w:r>
      <w:hyperlink r:id="rId31">
        <w:r>
          <w:rPr>
            <w:color w:val="0079C1"/>
            <w:sz w:val="17"/>
          </w:rPr>
          <w:t>www.cdc.gov/ncezid/dfwed/</w:t>
        </w:r>
      </w:hyperlink>
      <w:r>
        <w:rPr>
          <w:color w:val="0079C1"/>
          <w:sz w:val="17"/>
        </w:rPr>
        <w:t> PDFs/national-stec-surveillance-overiew-508c.pdf </w:t>
      </w:r>
      <w:r>
        <w:rPr>
          <w:color w:val="231F20"/>
          <w:sz w:val="17"/>
        </w:rPr>
        <w:t>(accessed May 1,</w:t>
      </w:r>
      <w:r>
        <w:rPr>
          <w:color w:val="231F20"/>
          <w:spacing w:val="-8"/>
          <w:sz w:val="17"/>
        </w:rPr>
        <w:t> </w:t>
      </w:r>
      <w:r>
        <w:rPr>
          <w:color w:val="231F20"/>
          <w:sz w:val="17"/>
        </w:rPr>
        <w:t>2013).</w:t>
      </w:r>
    </w:p>
    <w:p>
      <w:pPr>
        <w:pStyle w:val="ListParagraph"/>
        <w:numPr>
          <w:ilvl w:val="0"/>
          <w:numId w:val="18"/>
        </w:numPr>
        <w:tabs>
          <w:tab w:pos="965" w:val="left" w:leader="none"/>
        </w:tabs>
        <w:spacing w:line="264" w:lineRule="auto" w:before="85" w:after="0"/>
        <w:ind w:left="964" w:right="0" w:hanging="244"/>
        <w:jc w:val="left"/>
        <w:rPr>
          <w:sz w:val="17"/>
        </w:rPr>
      </w:pPr>
      <w:r>
        <w:rPr>
          <w:color w:val="231F20"/>
          <w:sz w:val="17"/>
        </w:rPr>
        <w:t>Li </w:t>
      </w:r>
      <w:r>
        <w:rPr>
          <w:color w:val="231F20"/>
          <w:spacing w:val="-6"/>
          <w:sz w:val="17"/>
        </w:rPr>
        <w:t>J, </w:t>
      </w:r>
      <w:r>
        <w:rPr>
          <w:color w:val="231F20"/>
          <w:sz w:val="17"/>
        </w:rPr>
        <w:t>Shah GH, Hedberg C. Complaint-based surveillance</w:t>
      </w:r>
      <w:r>
        <w:rPr>
          <w:color w:val="231F20"/>
          <w:spacing w:val="-11"/>
          <w:sz w:val="17"/>
        </w:rPr>
        <w:t> </w:t>
      </w:r>
      <w:r>
        <w:rPr>
          <w:color w:val="231F20"/>
          <w:sz w:val="17"/>
        </w:rPr>
        <w:t>for</w:t>
      </w:r>
      <w:r>
        <w:rPr>
          <w:color w:val="231F20"/>
          <w:spacing w:val="-11"/>
          <w:sz w:val="17"/>
        </w:rPr>
        <w:t> </w:t>
      </w:r>
      <w:r>
        <w:rPr>
          <w:color w:val="231F20"/>
          <w:sz w:val="17"/>
        </w:rPr>
        <w:t>foodborne</w:t>
      </w:r>
      <w:r>
        <w:rPr>
          <w:color w:val="231F20"/>
          <w:spacing w:val="-11"/>
          <w:sz w:val="17"/>
        </w:rPr>
        <w:t> </w:t>
      </w:r>
      <w:r>
        <w:rPr>
          <w:color w:val="231F20"/>
          <w:sz w:val="17"/>
        </w:rPr>
        <w:t>Illness</w:t>
      </w:r>
      <w:r>
        <w:rPr>
          <w:color w:val="231F20"/>
          <w:spacing w:val="-11"/>
          <w:sz w:val="17"/>
        </w:rPr>
        <w:t> </w:t>
      </w:r>
      <w:r>
        <w:rPr>
          <w:color w:val="231F20"/>
          <w:sz w:val="17"/>
        </w:rPr>
        <w:t>in</w:t>
      </w:r>
      <w:r>
        <w:rPr>
          <w:color w:val="231F20"/>
          <w:spacing w:val="-11"/>
          <w:sz w:val="17"/>
        </w:rPr>
        <w:t> </w:t>
      </w:r>
      <w:r>
        <w:rPr>
          <w:color w:val="231F20"/>
          <w:sz w:val="17"/>
        </w:rPr>
        <w:t>the</w:t>
      </w:r>
      <w:r>
        <w:rPr>
          <w:color w:val="231F20"/>
          <w:spacing w:val="-11"/>
          <w:sz w:val="17"/>
        </w:rPr>
        <w:t> </w:t>
      </w:r>
      <w:r>
        <w:rPr>
          <w:color w:val="231F20"/>
          <w:sz w:val="17"/>
        </w:rPr>
        <w:t>United</w:t>
      </w:r>
      <w:r>
        <w:rPr>
          <w:color w:val="231F20"/>
          <w:spacing w:val="-11"/>
          <w:sz w:val="17"/>
        </w:rPr>
        <w:t> </w:t>
      </w:r>
      <w:r>
        <w:rPr>
          <w:color w:val="231F20"/>
          <w:sz w:val="17"/>
        </w:rPr>
        <w:t>States: a survey of local health departments. J </w:t>
      </w:r>
      <w:r>
        <w:rPr>
          <w:color w:val="231F20"/>
          <w:spacing w:val="-4"/>
          <w:sz w:val="17"/>
        </w:rPr>
        <w:t>Food </w:t>
      </w:r>
      <w:r>
        <w:rPr>
          <w:color w:val="231F20"/>
          <w:sz w:val="17"/>
        </w:rPr>
        <w:t>Prot 2011;74:</w:t>
      </w:r>
      <w:r>
        <w:rPr>
          <w:color w:val="231F20"/>
          <w:spacing w:val="21"/>
          <w:sz w:val="17"/>
        </w:rPr>
        <w:t> </w:t>
      </w:r>
      <w:r>
        <w:rPr>
          <w:color w:val="231F20"/>
          <w:sz w:val="17"/>
        </w:rPr>
        <w:t>432–7.</w:t>
      </w:r>
    </w:p>
    <w:p>
      <w:pPr>
        <w:pStyle w:val="ListParagraph"/>
        <w:numPr>
          <w:ilvl w:val="0"/>
          <w:numId w:val="18"/>
        </w:numPr>
        <w:tabs>
          <w:tab w:pos="965" w:val="left" w:leader="none"/>
        </w:tabs>
        <w:spacing w:line="264" w:lineRule="auto" w:before="85" w:after="0"/>
        <w:ind w:left="964" w:right="249" w:hanging="244"/>
        <w:jc w:val="left"/>
        <w:rPr>
          <w:sz w:val="17"/>
        </w:rPr>
      </w:pPr>
      <w:r>
        <w:rPr>
          <w:color w:val="231F20"/>
          <w:sz w:val="17"/>
        </w:rPr>
        <w:t>Wethington H, Bartlett </w:t>
      </w:r>
      <w:r>
        <w:rPr>
          <w:color w:val="231F20"/>
          <w:spacing w:val="-13"/>
          <w:sz w:val="17"/>
        </w:rPr>
        <w:t>P. </w:t>
      </w:r>
      <w:r>
        <w:rPr>
          <w:color w:val="231F20"/>
          <w:sz w:val="17"/>
        </w:rPr>
        <w:t>The </w:t>
      </w:r>
      <w:r>
        <w:rPr>
          <w:color w:val="231F20"/>
          <w:spacing w:val="-3"/>
          <w:sz w:val="17"/>
        </w:rPr>
        <w:t>RUsick2</w:t>
      </w:r>
      <w:r>
        <w:rPr>
          <w:color w:val="231F20"/>
          <w:spacing w:val="-26"/>
          <w:sz w:val="17"/>
        </w:rPr>
        <w:t> </w:t>
      </w:r>
      <w:r>
        <w:rPr>
          <w:color w:val="231F20"/>
          <w:sz w:val="17"/>
        </w:rPr>
        <w:t>foodborne disease forum for syndromic surveillance. Emerg Infect Dis</w:t>
      </w:r>
      <w:r>
        <w:rPr>
          <w:color w:val="231F20"/>
          <w:spacing w:val="-12"/>
          <w:sz w:val="17"/>
        </w:rPr>
        <w:t> </w:t>
      </w:r>
      <w:r>
        <w:rPr>
          <w:color w:val="231F20"/>
          <w:sz w:val="17"/>
        </w:rPr>
        <w:t>2004;10:401–5.</w:t>
      </w:r>
    </w:p>
    <w:p>
      <w:pPr>
        <w:pStyle w:val="ListParagraph"/>
        <w:numPr>
          <w:ilvl w:val="0"/>
          <w:numId w:val="18"/>
        </w:numPr>
        <w:tabs>
          <w:tab w:pos="924" w:val="left" w:leader="none"/>
        </w:tabs>
        <w:spacing w:line="264" w:lineRule="auto" w:before="85" w:after="0"/>
        <w:ind w:left="923" w:right="74" w:hanging="203"/>
        <w:jc w:val="left"/>
        <w:rPr>
          <w:sz w:val="17"/>
        </w:rPr>
      </w:pPr>
      <w:r>
        <w:rPr>
          <w:color w:val="231F20"/>
          <w:sz w:val="17"/>
        </w:rPr>
        <w:t>CDC.</w:t>
      </w:r>
      <w:r>
        <w:rPr>
          <w:color w:val="231F20"/>
          <w:spacing w:val="-11"/>
          <w:sz w:val="17"/>
        </w:rPr>
        <w:t> </w:t>
      </w:r>
      <w:r>
        <w:rPr>
          <w:color w:val="231F20"/>
          <w:sz w:val="17"/>
        </w:rPr>
        <w:t>National</w:t>
      </w:r>
      <w:r>
        <w:rPr>
          <w:color w:val="231F20"/>
          <w:spacing w:val="-11"/>
          <w:sz w:val="17"/>
        </w:rPr>
        <w:t> </w:t>
      </w:r>
      <w:r>
        <w:rPr>
          <w:color w:val="231F20"/>
          <w:spacing w:val="-3"/>
          <w:sz w:val="17"/>
        </w:rPr>
        <w:t>Voluntary</w:t>
      </w:r>
      <w:r>
        <w:rPr>
          <w:color w:val="231F20"/>
          <w:spacing w:val="-11"/>
          <w:sz w:val="17"/>
        </w:rPr>
        <w:t> </w:t>
      </w:r>
      <w:r>
        <w:rPr>
          <w:color w:val="231F20"/>
          <w:sz w:val="17"/>
        </w:rPr>
        <w:t>Environmental</w:t>
      </w:r>
      <w:r>
        <w:rPr>
          <w:color w:val="231F20"/>
          <w:spacing w:val="-11"/>
          <w:sz w:val="17"/>
        </w:rPr>
        <w:t> </w:t>
      </w:r>
      <w:r>
        <w:rPr>
          <w:color w:val="231F20"/>
          <w:sz w:val="17"/>
        </w:rPr>
        <w:t>Assessment Information System (NVEAIS). </w:t>
      </w:r>
      <w:r>
        <w:rPr>
          <w:color w:val="0079C1"/>
          <w:sz w:val="17"/>
        </w:rPr>
        <w:t>Available at </w:t>
      </w:r>
      <w:hyperlink r:id="rId18">
        <w:r>
          <w:rPr>
            <w:color w:val="0079C1"/>
            <w:spacing w:val="-6"/>
            <w:sz w:val="17"/>
          </w:rPr>
          <w:t>www.</w:t>
        </w:r>
      </w:hyperlink>
      <w:r>
        <w:rPr>
          <w:color w:val="0079C1"/>
          <w:spacing w:val="-6"/>
          <w:sz w:val="17"/>
        </w:rPr>
        <w:t> </w:t>
      </w:r>
      <w:r>
        <w:rPr>
          <w:color w:val="0079C1"/>
          <w:sz w:val="17"/>
        </w:rPr>
        <w:t>cdc.gov/nceh/ehs/EHSNet/Foodborne_Illness_</w:t>
      </w:r>
    </w:p>
    <w:p>
      <w:pPr>
        <w:spacing w:line="264" w:lineRule="auto" w:before="111"/>
        <w:ind w:left="536" w:right="1421" w:firstLine="0"/>
        <w:jc w:val="left"/>
        <w:rPr>
          <w:sz w:val="17"/>
        </w:rPr>
      </w:pPr>
      <w:r>
        <w:rPr/>
        <w:br w:type="column"/>
      </w:r>
      <w:r>
        <w:rPr>
          <w:color w:val="0079C1"/>
          <w:w w:val="95"/>
          <w:sz w:val="17"/>
        </w:rPr>
        <w:t>Outbreaks.htm#Foodborne_Illness_Outbreak_Study </w:t>
      </w:r>
      <w:r>
        <w:rPr>
          <w:color w:val="231F20"/>
          <w:sz w:val="17"/>
        </w:rPr>
        <w:t>(accessed October 25, 2012).</w:t>
      </w:r>
    </w:p>
    <w:p>
      <w:pPr>
        <w:pStyle w:val="ListParagraph"/>
        <w:numPr>
          <w:ilvl w:val="0"/>
          <w:numId w:val="18"/>
        </w:numPr>
        <w:tabs>
          <w:tab w:pos="537" w:val="left" w:leader="none"/>
        </w:tabs>
        <w:spacing w:line="264" w:lineRule="auto" w:before="86" w:after="0"/>
        <w:ind w:left="536" w:right="1501" w:hanging="203"/>
        <w:jc w:val="left"/>
        <w:rPr>
          <w:sz w:val="17"/>
        </w:rPr>
      </w:pPr>
      <w:r>
        <w:rPr/>
        <w:pict>
          <v:rect style="position:absolute;margin-left:459pt;margin-top:.428526pt;width:45pt;height:18pt;mso-position-horizontal-relative:page;mso-position-vertical-relative:paragraph;z-index:4792" filled="true" fillcolor="#0079c1" stroked="false">
            <v:fill type="solid"/>
            <w10:wrap type="none"/>
          </v:rect>
        </w:pict>
      </w:r>
      <w:r>
        <w:rPr/>
        <w:pict>
          <v:line style="position:absolute;mso-position-horizontal-relative:page;mso-position-vertical-relative:paragraph;z-index:4816" from="450.5pt,.428126pt" to="450.5pt,242.326126pt" stroked="true" strokeweight="1pt" strokecolor="#0079c1">
            <v:stroke dashstyle="solid"/>
            <w10:wrap type="none"/>
          </v:line>
        </w:pict>
      </w:r>
      <w:r>
        <w:rPr/>
        <w:pict>
          <v:shape style="position:absolute;margin-left:465.014313pt;margin-top:22.424927pt;width:22.9pt;height:222.55pt;mso-position-horizontal-relative:page;mso-position-vertical-relative:paragraph;z-index:4840"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5.179126pt;width:15.85pt;height:8.5pt;mso-position-horizontal-relative:page;mso-position-vertical-relative:paragraph;z-index:486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sz w:val="17"/>
        </w:rPr>
        <w:t>Delea </w:t>
      </w:r>
      <w:r>
        <w:rPr>
          <w:color w:val="231F20"/>
          <w:spacing w:val="-5"/>
          <w:sz w:val="17"/>
        </w:rPr>
        <w:t>KC, </w:t>
      </w:r>
      <w:r>
        <w:rPr>
          <w:color w:val="231F20"/>
          <w:sz w:val="17"/>
        </w:rPr>
        <w:t>Selman CA, EHS-Net. Understanding foodborne disease outbreaks using environmental assessment.</w:t>
      </w:r>
      <w:r>
        <w:rPr>
          <w:color w:val="231F20"/>
          <w:spacing w:val="-13"/>
          <w:sz w:val="17"/>
        </w:rPr>
        <w:t> </w:t>
      </w:r>
      <w:r>
        <w:rPr>
          <w:color w:val="231F20"/>
          <w:sz w:val="17"/>
        </w:rPr>
        <w:t>Presented</w:t>
      </w:r>
      <w:r>
        <w:rPr>
          <w:color w:val="231F20"/>
          <w:spacing w:val="-13"/>
          <w:sz w:val="17"/>
        </w:rPr>
        <w:t> </w:t>
      </w:r>
      <w:r>
        <w:rPr>
          <w:color w:val="231F20"/>
          <w:sz w:val="17"/>
        </w:rPr>
        <w:t>at</w:t>
      </w:r>
      <w:r>
        <w:rPr>
          <w:color w:val="231F20"/>
          <w:spacing w:val="-13"/>
          <w:sz w:val="17"/>
        </w:rPr>
        <w:t> </w:t>
      </w:r>
      <w:r>
        <w:rPr>
          <w:color w:val="231F20"/>
          <w:sz w:val="17"/>
        </w:rPr>
        <w:t>the</w:t>
      </w:r>
      <w:r>
        <w:rPr>
          <w:color w:val="231F20"/>
          <w:spacing w:val="-13"/>
          <w:sz w:val="17"/>
        </w:rPr>
        <w:t> </w:t>
      </w:r>
      <w:r>
        <w:rPr>
          <w:color w:val="231F20"/>
          <w:sz w:val="17"/>
        </w:rPr>
        <w:t>Conference</w:t>
      </w:r>
      <w:r>
        <w:rPr>
          <w:color w:val="231F20"/>
          <w:spacing w:val="-13"/>
          <w:sz w:val="17"/>
        </w:rPr>
        <w:t> </w:t>
      </w:r>
      <w:r>
        <w:rPr>
          <w:color w:val="231F20"/>
          <w:sz w:val="17"/>
        </w:rPr>
        <w:t>on</w:t>
      </w:r>
      <w:r>
        <w:rPr>
          <w:color w:val="231F20"/>
          <w:spacing w:val="-13"/>
          <w:sz w:val="17"/>
        </w:rPr>
        <w:t> </w:t>
      </w:r>
      <w:r>
        <w:rPr>
          <w:color w:val="231F20"/>
          <w:sz w:val="17"/>
        </w:rPr>
        <w:t>Emerging Infectious Diseases Biannual Meeting; 2008 March 16–19, Atlanta, GA. Available at </w:t>
      </w:r>
      <w:hyperlink r:id="rId19">
        <w:r>
          <w:rPr>
            <w:color w:val="0079C1"/>
            <w:spacing w:val="-3"/>
            <w:sz w:val="17"/>
          </w:rPr>
          <w:t>www.cdc.gov/</w:t>
        </w:r>
      </w:hyperlink>
      <w:r>
        <w:rPr>
          <w:color w:val="0079C1"/>
          <w:spacing w:val="-3"/>
          <w:sz w:val="17"/>
        </w:rPr>
        <w:t> </w:t>
      </w:r>
      <w:r>
        <w:rPr>
          <w:color w:val="0079C1"/>
          <w:sz w:val="17"/>
        </w:rPr>
        <w:t>nceh/ehs/EHSNet/Foodborne_Illness_Outbreaks. htm#Foodborne_Illness_Outbreak_Study </w:t>
      </w:r>
      <w:r>
        <w:rPr>
          <w:color w:val="231F20"/>
          <w:sz w:val="17"/>
        </w:rPr>
        <w:t>(accessed October 25,</w:t>
      </w:r>
      <w:r>
        <w:rPr>
          <w:color w:val="231F20"/>
          <w:spacing w:val="-5"/>
          <w:sz w:val="17"/>
        </w:rPr>
        <w:t> </w:t>
      </w:r>
      <w:r>
        <w:rPr>
          <w:color w:val="231F20"/>
          <w:sz w:val="17"/>
        </w:rPr>
        <w:t>2012).</w:t>
      </w:r>
    </w:p>
    <w:p>
      <w:pPr>
        <w:pStyle w:val="ListParagraph"/>
        <w:numPr>
          <w:ilvl w:val="0"/>
          <w:numId w:val="18"/>
        </w:numPr>
        <w:tabs>
          <w:tab w:pos="537" w:val="left" w:leader="none"/>
        </w:tabs>
        <w:spacing w:line="264" w:lineRule="auto" w:before="86" w:after="0"/>
        <w:ind w:left="536" w:right="1466" w:hanging="203"/>
        <w:jc w:val="left"/>
        <w:rPr>
          <w:sz w:val="17"/>
        </w:rPr>
      </w:pPr>
      <w:r>
        <w:rPr>
          <w:color w:val="231F20"/>
          <w:spacing w:val="-4"/>
          <w:sz w:val="17"/>
        </w:rPr>
        <w:t>FDA. Food </w:t>
      </w:r>
      <w:r>
        <w:rPr>
          <w:color w:val="231F20"/>
          <w:sz w:val="17"/>
        </w:rPr>
        <w:t>Code 2009. Available at </w:t>
      </w:r>
      <w:hyperlink r:id="rId23">
        <w:r>
          <w:rPr>
            <w:color w:val="0079C1"/>
            <w:spacing w:val="-3"/>
            <w:sz w:val="17"/>
          </w:rPr>
          <w:t>www.fda.gov/</w:t>
        </w:r>
      </w:hyperlink>
      <w:r>
        <w:rPr>
          <w:color w:val="0079C1"/>
          <w:spacing w:val="-3"/>
          <w:sz w:val="17"/>
        </w:rPr>
        <w:t> </w:t>
      </w:r>
      <w:r>
        <w:rPr>
          <w:color w:val="0079C1"/>
          <w:spacing w:val="-1"/>
          <w:sz w:val="17"/>
        </w:rPr>
        <w:t>downloads/Food/GuidanceRegulation/UCM189448. </w:t>
      </w:r>
      <w:r>
        <w:rPr>
          <w:color w:val="0079C1"/>
          <w:sz w:val="17"/>
        </w:rPr>
        <w:t>pdf</w:t>
      </w:r>
      <w:r>
        <w:rPr>
          <w:color w:val="0079C1"/>
          <w:spacing w:val="1"/>
          <w:sz w:val="17"/>
        </w:rPr>
        <w:t> </w:t>
      </w:r>
      <w:r>
        <w:rPr>
          <w:color w:val="231F20"/>
          <w:sz w:val="17"/>
        </w:rPr>
        <w:t>(accessed</w:t>
      </w:r>
      <w:r>
        <w:rPr>
          <w:color w:val="231F20"/>
          <w:spacing w:val="-15"/>
          <w:sz w:val="17"/>
        </w:rPr>
        <w:t> </w:t>
      </w:r>
      <w:r>
        <w:rPr>
          <w:color w:val="231F20"/>
          <w:sz w:val="17"/>
        </w:rPr>
        <w:t>November</w:t>
      </w:r>
      <w:r>
        <w:rPr>
          <w:color w:val="231F20"/>
          <w:spacing w:val="-15"/>
          <w:sz w:val="17"/>
        </w:rPr>
        <w:t> </w:t>
      </w:r>
      <w:r>
        <w:rPr>
          <w:color w:val="231F20"/>
          <w:sz w:val="17"/>
        </w:rPr>
        <w:t>18,</w:t>
      </w:r>
      <w:r>
        <w:rPr>
          <w:color w:val="231F20"/>
          <w:spacing w:val="-15"/>
          <w:sz w:val="17"/>
        </w:rPr>
        <w:t> </w:t>
      </w:r>
      <w:r>
        <w:rPr>
          <w:color w:val="231F20"/>
          <w:sz w:val="17"/>
        </w:rPr>
        <w:t>2013).</w:t>
      </w:r>
    </w:p>
    <w:p>
      <w:pPr>
        <w:pStyle w:val="ListParagraph"/>
        <w:numPr>
          <w:ilvl w:val="0"/>
          <w:numId w:val="18"/>
        </w:numPr>
        <w:tabs>
          <w:tab w:pos="578" w:val="left" w:leader="none"/>
        </w:tabs>
        <w:spacing w:line="264" w:lineRule="auto" w:before="86" w:after="0"/>
        <w:ind w:left="577" w:right="1540" w:hanging="244"/>
        <w:jc w:val="left"/>
        <w:rPr>
          <w:sz w:val="17"/>
        </w:rPr>
      </w:pPr>
      <w:r>
        <w:rPr>
          <w:color w:val="231F20"/>
          <w:sz w:val="17"/>
        </w:rPr>
        <w:t>CDC. Foodborne Diseases Active Surveillance Network (FoodNet): population survey atlas of exposures,</w:t>
      </w:r>
      <w:r>
        <w:rPr>
          <w:color w:val="231F20"/>
          <w:spacing w:val="-23"/>
          <w:sz w:val="17"/>
        </w:rPr>
        <w:t> </w:t>
      </w:r>
      <w:r>
        <w:rPr>
          <w:color w:val="231F20"/>
          <w:sz w:val="17"/>
        </w:rPr>
        <w:t>2002.</w:t>
      </w:r>
      <w:r>
        <w:rPr>
          <w:color w:val="231F20"/>
          <w:spacing w:val="-23"/>
          <w:sz w:val="17"/>
        </w:rPr>
        <w:t> </w:t>
      </w:r>
      <w:r>
        <w:rPr>
          <w:color w:val="231F20"/>
          <w:sz w:val="17"/>
        </w:rPr>
        <w:t>Available</w:t>
      </w:r>
      <w:r>
        <w:rPr>
          <w:color w:val="231F20"/>
          <w:spacing w:val="-23"/>
          <w:sz w:val="17"/>
        </w:rPr>
        <w:t> </w:t>
      </w:r>
      <w:r>
        <w:rPr>
          <w:color w:val="231F20"/>
          <w:sz w:val="17"/>
        </w:rPr>
        <w:t>at</w:t>
      </w:r>
      <w:r>
        <w:rPr>
          <w:color w:val="231F20"/>
          <w:spacing w:val="-23"/>
          <w:sz w:val="17"/>
        </w:rPr>
        <w:t> </w:t>
      </w:r>
      <w:hyperlink r:id="rId32">
        <w:r>
          <w:rPr>
            <w:color w:val="0079C1"/>
            <w:sz w:val="17"/>
          </w:rPr>
          <w:t>www.cdc.gov/foodnet/</w:t>
        </w:r>
      </w:hyperlink>
      <w:r>
        <w:rPr>
          <w:color w:val="0079C1"/>
          <w:sz w:val="17"/>
        </w:rPr>
        <w:t> surveys/pop/2002/2002Atlas.pdf </w:t>
      </w:r>
      <w:r>
        <w:rPr>
          <w:color w:val="231F20"/>
          <w:sz w:val="17"/>
        </w:rPr>
        <w:t>(accessed November 18,</w:t>
      </w:r>
      <w:r>
        <w:rPr>
          <w:color w:val="231F20"/>
          <w:spacing w:val="-28"/>
          <w:sz w:val="17"/>
        </w:rPr>
        <w:t> </w:t>
      </w:r>
      <w:r>
        <w:rPr>
          <w:color w:val="231F20"/>
          <w:sz w:val="17"/>
        </w:rPr>
        <w:t>2013).</w:t>
      </w:r>
    </w:p>
    <w:p>
      <w:pPr>
        <w:pStyle w:val="ListParagraph"/>
        <w:numPr>
          <w:ilvl w:val="0"/>
          <w:numId w:val="18"/>
        </w:numPr>
        <w:tabs>
          <w:tab w:pos="619" w:val="left" w:leader="none"/>
        </w:tabs>
        <w:spacing w:line="264" w:lineRule="auto" w:before="86" w:after="0"/>
        <w:ind w:left="618" w:right="1493" w:hanging="285"/>
        <w:jc w:val="left"/>
        <w:rPr>
          <w:sz w:val="17"/>
        </w:rPr>
      </w:pPr>
      <w:r>
        <w:rPr>
          <w:color w:val="231F20"/>
          <w:spacing w:val="-4"/>
          <w:sz w:val="17"/>
        </w:rPr>
        <w:t>Voetsch </w:t>
      </w:r>
      <w:r>
        <w:rPr>
          <w:color w:val="231F20"/>
          <w:sz w:val="17"/>
        </w:rPr>
        <w:t>AC, Angulo </w:t>
      </w:r>
      <w:r>
        <w:rPr>
          <w:color w:val="231F20"/>
          <w:spacing w:val="-4"/>
          <w:sz w:val="17"/>
        </w:rPr>
        <w:t>FJ, </w:t>
      </w:r>
      <w:r>
        <w:rPr>
          <w:color w:val="231F20"/>
          <w:sz w:val="17"/>
        </w:rPr>
        <w:t>Rabatsky-Ehr TR, Shallow </w:t>
      </w:r>
      <w:r>
        <w:rPr>
          <w:color w:val="231F20"/>
          <w:spacing w:val="-3"/>
          <w:sz w:val="17"/>
        </w:rPr>
        <w:t>S, </w:t>
      </w:r>
      <w:r>
        <w:rPr>
          <w:color w:val="231F20"/>
          <w:sz w:val="17"/>
        </w:rPr>
        <w:t>Cassidy M, Thomas SM, Swanson E, Zansky SM, Hawkins MA, Jones </w:t>
      </w:r>
      <w:r>
        <w:rPr>
          <w:color w:val="231F20"/>
          <w:spacing w:val="-8"/>
          <w:sz w:val="17"/>
        </w:rPr>
        <w:t>TF, </w:t>
      </w:r>
      <w:r>
        <w:rPr>
          <w:color w:val="231F20"/>
          <w:sz w:val="17"/>
        </w:rPr>
        <w:t>Shillam </w:t>
      </w:r>
      <w:r>
        <w:rPr>
          <w:color w:val="231F20"/>
          <w:spacing w:val="-4"/>
          <w:sz w:val="17"/>
        </w:rPr>
        <w:t>PJ, </w:t>
      </w:r>
      <w:r>
        <w:rPr>
          <w:color w:val="231F20"/>
          <w:spacing w:val="-7"/>
          <w:sz w:val="17"/>
        </w:rPr>
        <w:t>Van </w:t>
      </w:r>
      <w:r>
        <w:rPr>
          <w:color w:val="231F20"/>
          <w:sz w:val="17"/>
        </w:rPr>
        <w:t>Gilder </w:t>
      </w:r>
      <w:r>
        <w:rPr>
          <w:color w:val="231F20"/>
          <w:spacing w:val="-4"/>
          <w:sz w:val="17"/>
        </w:rPr>
        <w:t>TJ, </w:t>
      </w:r>
      <w:r>
        <w:rPr>
          <w:color w:val="231F20"/>
          <w:spacing w:val="-3"/>
          <w:sz w:val="17"/>
        </w:rPr>
        <w:t>Wells</w:t>
      </w:r>
      <w:r>
        <w:rPr>
          <w:color w:val="231F20"/>
          <w:spacing w:val="-9"/>
          <w:sz w:val="17"/>
        </w:rPr>
        <w:t> </w:t>
      </w:r>
      <w:r>
        <w:rPr>
          <w:color w:val="231F20"/>
          <w:spacing w:val="-4"/>
          <w:sz w:val="17"/>
        </w:rPr>
        <w:t>JG,</w:t>
      </w:r>
      <w:r>
        <w:rPr>
          <w:color w:val="231F20"/>
          <w:spacing w:val="-9"/>
          <w:sz w:val="17"/>
        </w:rPr>
        <w:t> </w:t>
      </w:r>
      <w:r>
        <w:rPr>
          <w:color w:val="231F20"/>
          <w:sz w:val="17"/>
        </w:rPr>
        <w:t>Griffin</w:t>
      </w:r>
      <w:r>
        <w:rPr>
          <w:color w:val="231F20"/>
          <w:spacing w:val="-9"/>
          <w:sz w:val="17"/>
        </w:rPr>
        <w:t> </w:t>
      </w:r>
      <w:r>
        <w:rPr>
          <w:color w:val="231F20"/>
          <w:sz w:val="17"/>
        </w:rPr>
        <w:t>PM.</w:t>
      </w:r>
      <w:r>
        <w:rPr>
          <w:color w:val="231F20"/>
          <w:spacing w:val="-9"/>
          <w:sz w:val="17"/>
        </w:rPr>
        <w:t> </w:t>
      </w:r>
      <w:r>
        <w:rPr>
          <w:color w:val="231F20"/>
          <w:sz w:val="17"/>
        </w:rPr>
        <w:t>Laboratory</w:t>
      </w:r>
      <w:r>
        <w:rPr>
          <w:color w:val="231F20"/>
          <w:spacing w:val="-9"/>
          <w:sz w:val="17"/>
        </w:rPr>
        <w:t> </w:t>
      </w:r>
      <w:r>
        <w:rPr>
          <w:color w:val="231F20"/>
          <w:sz w:val="17"/>
        </w:rPr>
        <w:t>practices</w:t>
      </w:r>
      <w:r>
        <w:rPr>
          <w:color w:val="231F20"/>
          <w:spacing w:val="-9"/>
          <w:sz w:val="17"/>
        </w:rPr>
        <w:t> </w:t>
      </w:r>
      <w:r>
        <w:rPr>
          <w:color w:val="231F20"/>
          <w:sz w:val="17"/>
        </w:rPr>
        <w:t>for</w:t>
      </w:r>
      <w:r>
        <w:rPr>
          <w:color w:val="231F20"/>
          <w:spacing w:val="-9"/>
          <w:sz w:val="17"/>
        </w:rPr>
        <w:t> </w:t>
      </w:r>
      <w:r>
        <w:rPr>
          <w:color w:val="231F20"/>
          <w:sz w:val="17"/>
        </w:rPr>
        <w:t>stool- specimen culture for bacterial pathogens, including </w:t>
      </w:r>
      <w:r>
        <w:rPr>
          <w:i/>
          <w:color w:val="231F20"/>
          <w:sz w:val="17"/>
        </w:rPr>
        <w:t>Escherichia coli </w:t>
      </w:r>
      <w:r>
        <w:rPr>
          <w:color w:val="231F20"/>
          <w:sz w:val="17"/>
        </w:rPr>
        <w:t>O157:H7, in the </w:t>
      </w:r>
      <w:r>
        <w:rPr>
          <w:color w:val="231F20"/>
          <w:spacing w:val="-3"/>
          <w:sz w:val="17"/>
        </w:rPr>
        <w:t>FoodNet </w:t>
      </w:r>
      <w:r>
        <w:rPr>
          <w:color w:val="231F20"/>
          <w:sz w:val="17"/>
        </w:rPr>
        <w:t>sites, 1995- 2000. Clin Infect Dis 2004;38(Suppl</w:t>
      </w:r>
      <w:r>
        <w:rPr>
          <w:color w:val="231F20"/>
          <w:spacing w:val="-3"/>
          <w:sz w:val="17"/>
        </w:rPr>
        <w:t> </w:t>
      </w:r>
      <w:r>
        <w:rPr>
          <w:color w:val="231F20"/>
          <w:sz w:val="17"/>
        </w:rPr>
        <w:t>3):S190-197.</w:t>
      </w:r>
    </w:p>
    <w:p>
      <w:pPr>
        <w:pStyle w:val="ListParagraph"/>
        <w:numPr>
          <w:ilvl w:val="0"/>
          <w:numId w:val="18"/>
        </w:numPr>
        <w:tabs>
          <w:tab w:pos="578" w:val="left" w:leader="none"/>
        </w:tabs>
        <w:spacing w:line="264" w:lineRule="auto" w:before="86" w:after="0"/>
        <w:ind w:left="577" w:right="1667" w:hanging="244"/>
        <w:jc w:val="left"/>
        <w:rPr>
          <w:sz w:val="17"/>
        </w:rPr>
      </w:pPr>
      <w:r>
        <w:rPr>
          <w:color w:val="231F20"/>
          <w:sz w:val="17"/>
        </w:rPr>
        <w:t>CDC. Preliminary </w:t>
      </w:r>
      <w:r>
        <w:rPr>
          <w:color w:val="231F20"/>
          <w:spacing w:val="-3"/>
          <w:sz w:val="17"/>
        </w:rPr>
        <w:t>FoodNet </w:t>
      </w:r>
      <w:r>
        <w:rPr>
          <w:color w:val="231F20"/>
          <w:sz w:val="17"/>
        </w:rPr>
        <w:t>data on the incidence of</w:t>
      </w:r>
      <w:r>
        <w:rPr>
          <w:color w:val="231F20"/>
          <w:spacing w:val="-1"/>
          <w:sz w:val="17"/>
        </w:rPr>
        <w:t> </w:t>
      </w:r>
      <w:r>
        <w:rPr>
          <w:color w:val="231F20"/>
          <w:sz w:val="17"/>
        </w:rPr>
        <w:t>infection</w:t>
      </w:r>
      <w:r>
        <w:rPr>
          <w:color w:val="231F20"/>
          <w:spacing w:val="-16"/>
          <w:sz w:val="17"/>
        </w:rPr>
        <w:t> </w:t>
      </w:r>
      <w:r>
        <w:rPr>
          <w:color w:val="231F20"/>
          <w:sz w:val="17"/>
        </w:rPr>
        <w:t>with</w:t>
      </w:r>
      <w:r>
        <w:rPr>
          <w:color w:val="231F20"/>
          <w:spacing w:val="-16"/>
          <w:sz w:val="17"/>
        </w:rPr>
        <w:t> </w:t>
      </w:r>
      <w:r>
        <w:rPr>
          <w:color w:val="231F20"/>
          <w:sz w:val="17"/>
        </w:rPr>
        <w:t>pathogens</w:t>
      </w:r>
      <w:r>
        <w:rPr>
          <w:color w:val="231F20"/>
          <w:spacing w:val="-16"/>
          <w:sz w:val="17"/>
        </w:rPr>
        <w:t> </w:t>
      </w:r>
      <w:r>
        <w:rPr>
          <w:color w:val="231F20"/>
          <w:sz w:val="17"/>
        </w:rPr>
        <w:t>transmitted</w:t>
      </w:r>
      <w:r>
        <w:rPr>
          <w:color w:val="231F20"/>
          <w:spacing w:val="-16"/>
          <w:sz w:val="17"/>
        </w:rPr>
        <w:t> </w:t>
      </w:r>
      <w:r>
        <w:rPr>
          <w:color w:val="231F20"/>
          <w:sz w:val="17"/>
        </w:rPr>
        <w:t>commonly</w:t>
      </w:r>
    </w:p>
    <w:p>
      <w:pPr>
        <w:spacing w:line="264" w:lineRule="auto" w:before="0"/>
        <w:ind w:left="577" w:right="1421" w:firstLine="0"/>
        <w:jc w:val="left"/>
        <w:rPr>
          <w:sz w:val="17"/>
        </w:rPr>
      </w:pPr>
      <w:r>
        <w:rPr>
          <w:color w:val="231F20"/>
          <w:sz w:val="17"/>
        </w:rPr>
        <w:t>through food—10 states, 2006. MMWR Morb Mortal Wkly Rep 2007;56:336–9.</w:t>
      </w:r>
    </w:p>
    <w:p>
      <w:pPr>
        <w:pStyle w:val="ListParagraph"/>
        <w:numPr>
          <w:ilvl w:val="0"/>
          <w:numId w:val="18"/>
        </w:numPr>
        <w:tabs>
          <w:tab w:pos="578" w:val="left" w:leader="none"/>
        </w:tabs>
        <w:spacing w:line="264" w:lineRule="auto" w:before="86" w:after="0"/>
        <w:ind w:left="577" w:right="1496" w:hanging="244"/>
        <w:jc w:val="left"/>
        <w:rPr>
          <w:sz w:val="17"/>
        </w:rPr>
      </w:pPr>
      <w:r>
        <w:rPr>
          <w:color w:val="231F20"/>
          <w:spacing w:val="-3"/>
          <w:sz w:val="17"/>
        </w:rPr>
        <w:t>Varma </w:t>
      </w:r>
      <w:r>
        <w:rPr>
          <w:color w:val="231F20"/>
          <w:sz w:val="17"/>
        </w:rPr>
        <w:t>JK, Marcus R, Stenzel SA, et al. Highly resistant</w:t>
      </w:r>
      <w:r>
        <w:rPr>
          <w:color w:val="231F20"/>
          <w:spacing w:val="-15"/>
          <w:sz w:val="17"/>
        </w:rPr>
        <w:t> </w:t>
      </w:r>
      <w:r>
        <w:rPr>
          <w:i/>
          <w:color w:val="231F20"/>
          <w:sz w:val="17"/>
        </w:rPr>
        <w:t>Salmonella</w:t>
      </w:r>
      <w:r>
        <w:rPr>
          <w:i/>
          <w:color w:val="231F20"/>
          <w:spacing w:val="-16"/>
          <w:sz w:val="17"/>
        </w:rPr>
        <w:t> </w:t>
      </w:r>
      <w:r>
        <w:rPr>
          <w:color w:val="231F20"/>
          <w:sz w:val="17"/>
        </w:rPr>
        <w:t>Newport-MDRAmpC</w:t>
      </w:r>
      <w:r>
        <w:rPr>
          <w:color w:val="231F20"/>
          <w:spacing w:val="-15"/>
          <w:sz w:val="17"/>
        </w:rPr>
        <w:t> </w:t>
      </w:r>
      <w:r>
        <w:rPr>
          <w:color w:val="231F20"/>
          <w:sz w:val="17"/>
        </w:rPr>
        <w:t>transmitted through the domestic US food supply: a </w:t>
      </w:r>
      <w:r>
        <w:rPr>
          <w:color w:val="231F20"/>
          <w:spacing w:val="-3"/>
          <w:sz w:val="17"/>
        </w:rPr>
        <w:t>FoodNet </w:t>
      </w:r>
      <w:r>
        <w:rPr>
          <w:color w:val="231F20"/>
          <w:sz w:val="17"/>
        </w:rPr>
        <w:t>case-control study of sporadic </w:t>
      </w:r>
      <w:r>
        <w:rPr>
          <w:i/>
          <w:color w:val="231F20"/>
          <w:sz w:val="17"/>
        </w:rPr>
        <w:t>Salmonella </w:t>
      </w:r>
      <w:r>
        <w:rPr>
          <w:color w:val="231F20"/>
          <w:sz w:val="17"/>
        </w:rPr>
        <w:t>Newport infections, 2002–2003. J Infect Dis</w:t>
      </w:r>
      <w:r>
        <w:rPr>
          <w:color w:val="231F20"/>
          <w:spacing w:val="-25"/>
          <w:sz w:val="17"/>
        </w:rPr>
        <w:t> </w:t>
      </w:r>
      <w:r>
        <w:rPr>
          <w:color w:val="231F20"/>
          <w:sz w:val="17"/>
        </w:rPr>
        <w:t>2006;194:222–30.</w:t>
      </w:r>
    </w:p>
    <w:p>
      <w:pPr>
        <w:pStyle w:val="ListParagraph"/>
        <w:numPr>
          <w:ilvl w:val="0"/>
          <w:numId w:val="18"/>
        </w:numPr>
        <w:tabs>
          <w:tab w:pos="578" w:val="left" w:leader="none"/>
        </w:tabs>
        <w:spacing w:line="264" w:lineRule="auto" w:before="85" w:after="0"/>
        <w:ind w:left="577" w:right="1566" w:hanging="244"/>
        <w:jc w:val="left"/>
        <w:rPr>
          <w:sz w:val="17"/>
        </w:rPr>
      </w:pPr>
      <w:r>
        <w:rPr>
          <w:color w:val="231F20"/>
          <w:sz w:val="17"/>
        </w:rPr>
        <w:t>Zhao </w:t>
      </w:r>
      <w:r>
        <w:rPr>
          <w:color w:val="231F20"/>
          <w:spacing w:val="-3"/>
          <w:sz w:val="17"/>
        </w:rPr>
        <w:t>S, </w:t>
      </w:r>
      <w:r>
        <w:rPr>
          <w:color w:val="231F20"/>
          <w:sz w:val="17"/>
        </w:rPr>
        <w:t>McDermott </w:t>
      </w:r>
      <w:r>
        <w:rPr>
          <w:color w:val="231F20"/>
          <w:spacing w:val="-8"/>
          <w:sz w:val="17"/>
        </w:rPr>
        <w:t>PF, </w:t>
      </w:r>
      <w:r>
        <w:rPr>
          <w:color w:val="231F20"/>
          <w:sz w:val="17"/>
        </w:rPr>
        <w:t>Friedman </w:t>
      </w:r>
      <w:r>
        <w:rPr>
          <w:color w:val="231F20"/>
          <w:spacing w:val="-3"/>
          <w:sz w:val="17"/>
        </w:rPr>
        <w:t>S, </w:t>
      </w:r>
      <w:r>
        <w:rPr>
          <w:color w:val="231F20"/>
          <w:sz w:val="17"/>
        </w:rPr>
        <w:t>et al. Antimicrobial resistance and genetic relatedness among </w:t>
      </w:r>
      <w:r>
        <w:rPr>
          <w:i/>
          <w:color w:val="231F20"/>
          <w:sz w:val="17"/>
        </w:rPr>
        <w:t>Salmonella </w:t>
      </w:r>
      <w:r>
        <w:rPr>
          <w:color w:val="231F20"/>
          <w:sz w:val="17"/>
        </w:rPr>
        <w:t>from retail foods of animal origin: NARMS</w:t>
      </w:r>
      <w:r>
        <w:rPr>
          <w:color w:val="231F20"/>
          <w:spacing w:val="-10"/>
          <w:sz w:val="17"/>
        </w:rPr>
        <w:t> </w:t>
      </w:r>
      <w:r>
        <w:rPr>
          <w:color w:val="231F20"/>
          <w:sz w:val="17"/>
        </w:rPr>
        <w:t>retail</w:t>
      </w:r>
      <w:r>
        <w:rPr>
          <w:color w:val="231F20"/>
          <w:spacing w:val="-10"/>
          <w:sz w:val="17"/>
        </w:rPr>
        <w:t> </w:t>
      </w:r>
      <w:r>
        <w:rPr>
          <w:color w:val="231F20"/>
          <w:sz w:val="17"/>
        </w:rPr>
        <w:t>meat</w:t>
      </w:r>
      <w:r>
        <w:rPr>
          <w:color w:val="231F20"/>
          <w:spacing w:val="-10"/>
          <w:sz w:val="17"/>
        </w:rPr>
        <w:t> </w:t>
      </w:r>
      <w:r>
        <w:rPr>
          <w:color w:val="231F20"/>
          <w:sz w:val="17"/>
        </w:rPr>
        <w:t>surveillance.</w:t>
      </w:r>
      <w:r>
        <w:rPr>
          <w:color w:val="231F20"/>
          <w:spacing w:val="-10"/>
          <w:sz w:val="17"/>
        </w:rPr>
        <w:t> </w:t>
      </w:r>
      <w:r>
        <w:rPr>
          <w:color w:val="231F20"/>
          <w:sz w:val="17"/>
        </w:rPr>
        <w:t>Foodborne</w:t>
      </w:r>
      <w:r>
        <w:rPr>
          <w:color w:val="231F20"/>
          <w:spacing w:val="-10"/>
          <w:sz w:val="17"/>
        </w:rPr>
        <w:t> </w:t>
      </w:r>
      <w:r>
        <w:rPr>
          <w:color w:val="231F20"/>
          <w:sz w:val="17"/>
        </w:rPr>
        <w:t>Pathog Dis</w:t>
      </w:r>
      <w:r>
        <w:rPr>
          <w:color w:val="231F20"/>
          <w:spacing w:val="8"/>
          <w:sz w:val="17"/>
        </w:rPr>
        <w:t> </w:t>
      </w:r>
      <w:r>
        <w:rPr>
          <w:color w:val="231F20"/>
          <w:sz w:val="17"/>
        </w:rPr>
        <w:t>2006;3:106–17.</w:t>
      </w:r>
    </w:p>
    <w:p>
      <w:pPr>
        <w:pStyle w:val="ListParagraph"/>
        <w:numPr>
          <w:ilvl w:val="0"/>
          <w:numId w:val="18"/>
        </w:numPr>
        <w:tabs>
          <w:tab w:pos="578" w:val="left" w:leader="none"/>
        </w:tabs>
        <w:spacing w:line="264" w:lineRule="auto" w:before="85" w:after="0"/>
        <w:ind w:left="577" w:right="1682" w:hanging="244"/>
        <w:jc w:val="left"/>
        <w:rPr>
          <w:sz w:val="17"/>
        </w:rPr>
      </w:pPr>
      <w:r>
        <w:rPr>
          <w:color w:val="231F20"/>
          <w:sz w:val="17"/>
        </w:rPr>
        <w:t>Scallan E. Activities, achievements, and lessons learned</w:t>
      </w:r>
      <w:r>
        <w:rPr>
          <w:color w:val="231F20"/>
          <w:spacing w:val="-8"/>
          <w:sz w:val="17"/>
        </w:rPr>
        <w:t> </w:t>
      </w:r>
      <w:r>
        <w:rPr>
          <w:color w:val="231F20"/>
          <w:sz w:val="17"/>
        </w:rPr>
        <w:t>during</w:t>
      </w:r>
      <w:r>
        <w:rPr>
          <w:color w:val="231F20"/>
          <w:spacing w:val="-8"/>
          <w:sz w:val="17"/>
        </w:rPr>
        <w:t> </w:t>
      </w:r>
      <w:r>
        <w:rPr>
          <w:color w:val="231F20"/>
          <w:sz w:val="17"/>
        </w:rPr>
        <w:t>the</w:t>
      </w:r>
      <w:r>
        <w:rPr>
          <w:color w:val="231F20"/>
          <w:spacing w:val="-8"/>
          <w:sz w:val="17"/>
        </w:rPr>
        <w:t> </w:t>
      </w:r>
      <w:r>
        <w:rPr>
          <w:color w:val="231F20"/>
          <w:sz w:val="17"/>
        </w:rPr>
        <w:t>first</w:t>
      </w:r>
      <w:r>
        <w:rPr>
          <w:color w:val="231F20"/>
          <w:spacing w:val="-8"/>
          <w:sz w:val="17"/>
        </w:rPr>
        <w:t> </w:t>
      </w:r>
      <w:r>
        <w:rPr>
          <w:color w:val="231F20"/>
          <w:sz w:val="17"/>
        </w:rPr>
        <w:t>10</w:t>
      </w:r>
      <w:r>
        <w:rPr>
          <w:color w:val="231F20"/>
          <w:spacing w:val="-8"/>
          <w:sz w:val="17"/>
        </w:rPr>
        <w:t> </w:t>
      </w:r>
      <w:r>
        <w:rPr>
          <w:color w:val="231F20"/>
          <w:sz w:val="17"/>
        </w:rPr>
        <w:t>years</w:t>
      </w:r>
      <w:r>
        <w:rPr>
          <w:color w:val="231F20"/>
          <w:spacing w:val="-8"/>
          <w:sz w:val="17"/>
        </w:rPr>
        <w:t> </w:t>
      </w:r>
      <w:r>
        <w:rPr>
          <w:color w:val="231F20"/>
          <w:sz w:val="17"/>
        </w:rPr>
        <w:t>of</w:t>
      </w:r>
      <w:r>
        <w:rPr>
          <w:color w:val="231F20"/>
          <w:spacing w:val="13"/>
          <w:sz w:val="17"/>
        </w:rPr>
        <w:t> </w:t>
      </w:r>
      <w:r>
        <w:rPr>
          <w:color w:val="231F20"/>
          <w:sz w:val="17"/>
        </w:rPr>
        <w:t>the</w:t>
      </w:r>
      <w:r>
        <w:rPr>
          <w:color w:val="231F20"/>
          <w:spacing w:val="-8"/>
          <w:sz w:val="17"/>
        </w:rPr>
        <w:t> </w:t>
      </w:r>
      <w:r>
        <w:rPr>
          <w:color w:val="231F20"/>
          <w:sz w:val="17"/>
        </w:rPr>
        <w:t>Foodborne Diseases</w:t>
      </w:r>
      <w:r>
        <w:rPr>
          <w:color w:val="231F20"/>
          <w:spacing w:val="-13"/>
          <w:sz w:val="17"/>
        </w:rPr>
        <w:t> </w:t>
      </w:r>
      <w:r>
        <w:rPr>
          <w:color w:val="231F20"/>
          <w:sz w:val="17"/>
        </w:rPr>
        <w:t>Active</w:t>
      </w:r>
      <w:r>
        <w:rPr>
          <w:color w:val="231F20"/>
          <w:spacing w:val="-13"/>
          <w:sz w:val="17"/>
        </w:rPr>
        <w:t> </w:t>
      </w:r>
      <w:r>
        <w:rPr>
          <w:color w:val="231F20"/>
          <w:sz w:val="17"/>
        </w:rPr>
        <w:t>Surveillance</w:t>
      </w:r>
      <w:r>
        <w:rPr>
          <w:color w:val="231F20"/>
          <w:spacing w:val="-13"/>
          <w:sz w:val="17"/>
        </w:rPr>
        <w:t> </w:t>
      </w:r>
      <w:r>
        <w:rPr>
          <w:color w:val="231F20"/>
          <w:sz w:val="17"/>
        </w:rPr>
        <w:t>Network:</w:t>
      </w:r>
      <w:r>
        <w:rPr>
          <w:color w:val="231F20"/>
          <w:spacing w:val="-13"/>
          <w:sz w:val="17"/>
        </w:rPr>
        <w:t> </w:t>
      </w:r>
      <w:r>
        <w:rPr>
          <w:color w:val="231F20"/>
          <w:sz w:val="17"/>
        </w:rPr>
        <w:t>1996–2005. Clin Infect Dis</w:t>
      </w:r>
      <w:r>
        <w:rPr>
          <w:color w:val="231F20"/>
          <w:spacing w:val="-1"/>
          <w:sz w:val="17"/>
        </w:rPr>
        <w:t> </w:t>
      </w:r>
      <w:r>
        <w:rPr>
          <w:color w:val="231F20"/>
          <w:sz w:val="17"/>
        </w:rPr>
        <w:t>2007;44:718–25.</w:t>
      </w:r>
    </w:p>
    <w:p>
      <w:pPr>
        <w:pStyle w:val="ListParagraph"/>
        <w:numPr>
          <w:ilvl w:val="0"/>
          <w:numId w:val="18"/>
        </w:numPr>
        <w:tabs>
          <w:tab w:pos="578" w:val="left" w:leader="none"/>
        </w:tabs>
        <w:spacing w:line="264" w:lineRule="auto" w:before="85" w:after="0"/>
        <w:ind w:left="577" w:right="1854" w:hanging="244"/>
        <w:jc w:val="left"/>
        <w:rPr>
          <w:sz w:val="17"/>
        </w:rPr>
      </w:pPr>
      <w:r>
        <w:rPr>
          <w:color w:val="231F20"/>
          <w:sz w:val="17"/>
        </w:rPr>
        <w:t>Imhoff</w:t>
      </w:r>
      <w:r>
        <w:rPr>
          <w:color w:val="231F20"/>
          <w:spacing w:val="-8"/>
          <w:sz w:val="17"/>
        </w:rPr>
        <w:t> </w:t>
      </w:r>
      <w:r>
        <w:rPr>
          <w:color w:val="231F20"/>
          <w:sz w:val="17"/>
        </w:rPr>
        <w:t>B,</w:t>
      </w:r>
      <w:r>
        <w:rPr>
          <w:color w:val="231F20"/>
          <w:spacing w:val="-8"/>
          <w:sz w:val="17"/>
        </w:rPr>
        <w:t> </w:t>
      </w:r>
      <w:r>
        <w:rPr>
          <w:color w:val="231F20"/>
          <w:sz w:val="17"/>
        </w:rPr>
        <w:t>Morse</w:t>
      </w:r>
      <w:r>
        <w:rPr>
          <w:color w:val="231F20"/>
          <w:spacing w:val="-8"/>
          <w:sz w:val="17"/>
        </w:rPr>
        <w:t> </w:t>
      </w:r>
      <w:r>
        <w:rPr>
          <w:color w:val="231F20"/>
          <w:spacing w:val="-7"/>
          <w:sz w:val="17"/>
        </w:rPr>
        <w:t>D,</w:t>
      </w:r>
      <w:r>
        <w:rPr>
          <w:color w:val="231F20"/>
          <w:spacing w:val="-8"/>
          <w:sz w:val="17"/>
        </w:rPr>
        <w:t> </w:t>
      </w:r>
      <w:r>
        <w:rPr>
          <w:color w:val="231F20"/>
          <w:sz w:val="17"/>
        </w:rPr>
        <w:t>Shiferaw</w:t>
      </w:r>
      <w:r>
        <w:rPr>
          <w:color w:val="231F20"/>
          <w:spacing w:val="-8"/>
          <w:sz w:val="17"/>
        </w:rPr>
        <w:t> </w:t>
      </w:r>
      <w:r>
        <w:rPr>
          <w:color w:val="231F20"/>
          <w:sz w:val="17"/>
        </w:rPr>
        <w:t>B,</w:t>
      </w:r>
      <w:r>
        <w:rPr>
          <w:color w:val="231F20"/>
          <w:spacing w:val="-8"/>
          <w:sz w:val="17"/>
        </w:rPr>
        <w:t> </w:t>
      </w:r>
      <w:r>
        <w:rPr>
          <w:color w:val="231F20"/>
          <w:sz w:val="17"/>
        </w:rPr>
        <w:t>et</w:t>
      </w:r>
      <w:r>
        <w:rPr>
          <w:color w:val="231F20"/>
          <w:spacing w:val="-8"/>
          <w:sz w:val="17"/>
        </w:rPr>
        <w:t> </w:t>
      </w:r>
      <w:r>
        <w:rPr>
          <w:color w:val="231F20"/>
          <w:sz w:val="17"/>
        </w:rPr>
        <w:t>al.</w:t>
      </w:r>
      <w:r>
        <w:rPr>
          <w:color w:val="231F20"/>
          <w:spacing w:val="-8"/>
          <w:sz w:val="17"/>
        </w:rPr>
        <w:t> </w:t>
      </w:r>
      <w:r>
        <w:rPr>
          <w:color w:val="231F20"/>
          <w:sz w:val="17"/>
        </w:rPr>
        <w:t>Burden</w:t>
      </w:r>
      <w:r>
        <w:rPr>
          <w:color w:val="231F20"/>
          <w:spacing w:val="-8"/>
          <w:sz w:val="17"/>
        </w:rPr>
        <w:t> </w:t>
      </w:r>
      <w:r>
        <w:rPr>
          <w:color w:val="231F20"/>
          <w:sz w:val="17"/>
        </w:rPr>
        <w:t>of self-reported acute diarrheal illness in </w:t>
      </w:r>
      <w:r>
        <w:rPr>
          <w:color w:val="231F20"/>
          <w:spacing w:val="-3"/>
          <w:sz w:val="17"/>
        </w:rPr>
        <w:t>FoodNet </w:t>
      </w:r>
      <w:r>
        <w:rPr>
          <w:color w:val="231F20"/>
          <w:sz w:val="17"/>
        </w:rPr>
        <w:t>surveillance areas, 1998–1999. Clin Infect Dis 2004;38(Suppl</w:t>
      </w:r>
      <w:r>
        <w:rPr>
          <w:color w:val="231F20"/>
          <w:spacing w:val="13"/>
          <w:sz w:val="17"/>
        </w:rPr>
        <w:t> </w:t>
      </w:r>
      <w:r>
        <w:rPr>
          <w:color w:val="231F20"/>
          <w:sz w:val="17"/>
        </w:rPr>
        <w:t>3):S219–26.</w:t>
      </w:r>
    </w:p>
    <w:p>
      <w:pPr>
        <w:pStyle w:val="ListParagraph"/>
        <w:numPr>
          <w:ilvl w:val="0"/>
          <w:numId w:val="18"/>
        </w:numPr>
        <w:tabs>
          <w:tab w:pos="578" w:val="left" w:leader="none"/>
        </w:tabs>
        <w:spacing w:line="264" w:lineRule="auto" w:before="85" w:after="0"/>
        <w:ind w:left="577" w:right="1593" w:hanging="244"/>
        <w:jc w:val="left"/>
        <w:rPr>
          <w:sz w:val="17"/>
        </w:rPr>
      </w:pPr>
      <w:r>
        <w:rPr>
          <w:color w:val="231F20"/>
          <w:sz w:val="17"/>
        </w:rPr>
        <w:t>Jones </w:t>
      </w:r>
      <w:r>
        <w:rPr>
          <w:color w:val="231F20"/>
          <w:spacing w:val="-8"/>
          <w:sz w:val="17"/>
        </w:rPr>
        <w:t>TF, </w:t>
      </w:r>
      <w:r>
        <w:rPr>
          <w:color w:val="231F20"/>
          <w:sz w:val="17"/>
        </w:rPr>
        <w:t>McMillian MB, Scallan E, et al. A population-based</w:t>
      </w:r>
      <w:r>
        <w:rPr>
          <w:color w:val="231F20"/>
          <w:spacing w:val="-11"/>
          <w:sz w:val="17"/>
        </w:rPr>
        <w:t> </w:t>
      </w:r>
      <w:r>
        <w:rPr>
          <w:color w:val="231F20"/>
          <w:sz w:val="17"/>
        </w:rPr>
        <w:t>estimate</w:t>
      </w:r>
      <w:r>
        <w:rPr>
          <w:color w:val="231F20"/>
          <w:spacing w:val="-11"/>
          <w:sz w:val="17"/>
        </w:rPr>
        <w:t> </w:t>
      </w:r>
      <w:r>
        <w:rPr>
          <w:color w:val="231F20"/>
          <w:sz w:val="17"/>
        </w:rPr>
        <w:t>of</w:t>
      </w:r>
      <w:r>
        <w:rPr>
          <w:color w:val="231F20"/>
          <w:spacing w:val="7"/>
          <w:sz w:val="17"/>
        </w:rPr>
        <w:t> </w:t>
      </w:r>
      <w:r>
        <w:rPr>
          <w:color w:val="231F20"/>
          <w:sz w:val="17"/>
        </w:rPr>
        <w:t>the</w:t>
      </w:r>
      <w:r>
        <w:rPr>
          <w:color w:val="231F20"/>
          <w:spacing w:val="-11"/>
          <w:sz w:val="17"/>
        </w:rPr>
        <w:t> </w:t>
      </w:r>
      <w:r>
        <w:rPr>
          <w:color w:val="231F20"/>
          <w:sz w:val="17"/>
        </w:rPr>
        <w:t>substantial</w:t>
      </w:r>
      <w:r>
        <w:rPr>
          <w:color w:val="231F20"/>
          <w:spacing w:val="-11"/>
          <w:sz w:val="17"/>
        </w:rPr>
        <w:t> </w:t>
      </w:r>
      <w:r>
        <w:rPr>
          <w:color w:val="231F20"/>
          <w:sz w:val="17"/>
        </w:rPr>
        <w:t>burden of diarrhoeal disease in the United States; </w:t>
      </w:r>
      <w:r>
        <w:rPr>
          <w:color w:val="231F20"/>
          <w:spacing w:val="-3"/>
          <w:sz w:val="17"/>
        </w:rPr>
        <w:t>FoodNet, </w:t>
      </w:r>
      <w:r>
        <w:rPr>
          <w:color w:val="231F20"/>
          <w:sz w:val="17"/>
        </w:rPr>
        <w:t>1996–2003. Epidemiol Infect</w:t>
      </w:r>
      <w:r>
        <w:rPr>
          <w:color w:val="231F20"/>
          <w:spacing w:val="3"/>
          <w:sz w:val="17"/>
        </w:rPr>
        <w:t> </w:t>
      </w:r>
      <w:r>
        <w:rPr>
          <w:color w:val="231F20"/>
          <w:sz w:val="17"/>
        </w:rPr>
        <w:t>2007;135:293–301.</w:t>
      </w:r>
    </w:p>
    <w:p>
      <w:pPr>
        <w:spacing w:after="0" w:line="264" w:lineRule="auto"/>
        <w:jc w:val="left"/>
        <w:rPr>
          <w:sz w:val="17"/>
        </w:rPr>
        <w:sectPr>
          <w:type w:val="continuous"/>
          <w:pgSz w:w="10080" w:h="14400"/>
          <w:pgMar w:top="0" w:bottom="360" w:left="0" w:right="0"/>
          <w:cols w:num="2" w:equalWidth="0">
            <w:col w:w="4487" w:space="40"/>
            <w:col w:w="5553"/>
          </w:cols>
        </w:sectPr>
      </w:pPr>
    </w:p>
    <w:p>
      <w:pPr>
        <w:pStyle w:val="BodyText"/>
        <w:spacing w:before="8"/>
        <w:rPr>
          <w:sz w:val="10"/>
        </w:rPr>
      </w:pPr>
    </w:p>
    <w:p>
      <w:pPr>
        <w:pStyle w:val="Heading1"/>
        <w:ind w:left="1440"/>
      </w:pPr>
      <w:r>
        <w:rPr/>
        <w:pict>
          <v:line style="position:absolute;mso-position-horizontal-relative:page;mso-position-vertical-relative:paragraph;z-index:4888;mso-wrap-distance-left:0;mso-wrap-distance-right:0" from="72pt,23.995163pt" to="468pt,23.995163pt" stroked="true" strokeweight=".5pt" strokecolor="#00a94f">
            <v:stroke dashstyle="solid"/>
            <w10:wrap type="topAndBottom"/>
          </v:line>
        </w:pict>
      </w:r>
      <w:r>
        <w:rPr>
          <w:color w:val="00A94F"/>
          <w:w w:val="90"/>
        </w:rPr>
        <w:t>2.5. References</w:t>
      </w:r>
    </w:p>
    <w:p>
      <w:pPr>
        <w:pStyle w:val="BodyText"/>
        <w:spacing w:before="1"/>
        <w:rPr>
          <w:rFonts w:ascii="Lucida Sans"/>
          <w:sz w:val="18"/>
        </w:rPr>
      </w:pPr>
    </w:p>
    <w:p>
      <w:pPr>
        <w:spacing w:after="0"/>
        <w:rPr>
          <w:rFonts w:ascii="Lucida Sans"/>
          <w:sz w:val="18"/>
        </w:rPr>
        <w:sectPr>
          <w:pgSz w:w="10080" w:h="14400"/>
          <w:pgMar w:header="0" w:footer="160" w:top="1160" w:bottom="360" w:left="0" w:right="0"/>
        </w:sectPr>
      </w:pPr>
    </w:p>
    <w:p>
      <w:pPr>
        <w:pStyle w:val="ListParagraph"/>
        <w:numPr>
          <w:ilvl w:val="0"/>
          <w:numId w:val="18"/>
        </w:numPr>
        <w:tabs>
          <w:tab w:pos="1685" w:val="left" w:leader="none"/>
        </w:tabs>
        <w:spacing w:line="264" w:lineRule="auto" w:before="111" w:after="0"/>
        <w:ind w:left="1684" w:right="186" w:hanging="244"/>
        <w:jc w:val="left"/>
        <w:rPr>
          <w:sz w:val="17"/>
        </w:rPr>
      </w:pPr>
      <w:r>
        <w:rPr/>
        <w:pict>
          <v:rect style="position:absolute;margin-left:0pt;margin-top:26.996532pt;width:45pt;height:18pt;mso-position-horizontal-relative:page;mso-position-vertical-relative:paragraph;z-index:4912" filled="true" fillcolor="#0079c1" stroked="false">
            <v:fill type="solid"/>
            <w10:wrap type="none"/>
          </v:rect>
        </w:pict>
      </w:r>
      <w:r>
        <w:rPr/>
        <w:pict>
          <v:line style="position:absolute;mso-position-horizontal-relative:page;mso-position-vertical-relative:paragraph;z-index:4936" from="54.5pt,26.998133pt" to="54.5pt,268.896133pt" stroked="true" strokeweight="1pt" strokecolor="#0079c1">
            <v:stroke dashstyle="solid"/>
            <w10:wrap type="none"/>
          </v:line>
        </w:pict>
      </w:r>
      <w:r>
        <w:rPr/>
        <w:pict>
          <v:shape style="position:absolute;margin-left:16.131701pt;margin-top:48.544422pt;width:22.9pt;height:222.55pt;mso-position-horizontal-relative:page;mso-position-vertical-relative:paragraph;z-index:4960"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31.792986pt;width:15.85pt;height:8.5pt;mso-position-horizontal-relative:page;mso-position-vertical-relative:paragraph;z-index:4984"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sz w:val="17"/>
        </w:rPr>
        <w:t>Marcus R, </w:t>
      </w:r>
      <w:r>
        <w:rPr>
          <w:color w:val="231F20"/>
          <w:spacing w:val="-3"/>
          <w:sz w:val="17"/>
        </w:rPr>
        <w:t>Varma </w:t>
      </w:r>
      <w:r>
        <w:rPr>
          <w:color w:val="231F20"/>
          <w:sz w:val="17"/>
        </w:rPr>
        <w:t>JK, Medus C, et al. </w:t>
      </w:r>
      <w:r>
        <w:rPr>
          <w:color w:val="231F20"/>
          <w:spacing w:val="-3"/>
          <w:sz w:val="17"/>
        </w:rPr>
        <w:t>Re- </w:t>
      </w:r>
      <w:r>
        <w:rPr>
          <w:color w:val="231F20"/>
          <w:sz w:val="17"/>
        </w:rPr>
        <w:t>assessment of risk factors for sporadic </w:t>
      </w:r>
      <w:r>
        <w:rPr>
          <w:i/>
          <w:color w:val="231F20"/>
          <w:sz w:val="17"/>
        </w:rPr>
        <w:t>Salmonella </w:t>
      </w:r>
      <w:r>
        <w:rPr>
          <w:color w:val="231F20"/>
          <w:sz w:val="17"/>
        </w:rPr>
        <w:t>serotype</w:t>
      </w:r>
      <w:r>
        <w:rPr>
          <w:color w:val="231F20"/>
          <w:spacing w:val="-18"/>
          <w:sz w:val="17"/>
        </w:rPr>
        <w:t> </w:t>
      </w:r>
      <w:r>
        <w:rPr>
          <w:color w:val="231F20"/>
          <w:sz w:val="17"/>
        </w:rPr>
        <w:t>Enteritidis</w:t>
      </w:r>
      <w:r>
        <w:rPr>
          <w:color w:val="231F20"/>
          <w:spacing w:val="-18"/>
          <w:sz w:val="17"/>
        </w:rPr>
        <w:t> </w:t>
      </w:r>
      <w:r>
        <w:rPr>
          <w:color w:val="231F20"/>
          <w:sz w:val="17"/>
        </w:rPr>
        <w:t>infections:</w:t>
      </w:r>
      <w:r>
        <w:rPr>
          <w:color w:val="231F20"/>
          <w:spacing w:val="-18"/>
          <w:sz w:val="17"/>
        </w:rPr>
        <w:t> </w:t>
      </w:r>
      <w:r>
        <w:rPr>
          <w:color w:val="231F20"/>
          <w:sz w:val="17"/>
        </w:rPr>
        <w:t>a</w:t>
      </w:r>
      <w:r>
        <w:rPr>
          <w:color w:val="231F20"/>
          <w:spacing w:val="-18"/>
          <w:sz w:val="17"/>
        </w:rPr>
        <w:t> </w:t>
      </w:r>
      <w:r>
        <w:rPr>
          <w:color w:val="231F20"/>
          <w:sz w:val="17"/>
        </w:rPr>
        <w:t>case–control</w:t>
      </w:r>
      <w:r>
        <w:rPr>
          <w:color w:val="231F20"/>
          <w:spacing w:val="-18"/>
          <w:sz w:val="17"/>
        </w:rPr>
        <w:t> </w:t>
      </w:r>
      <w:r>
        <w:rPr>
          <w:color w:val="231F20"/>
          <w:sz w:val="17"/>
        </w:rPr>
        <w:t>study in 5 </w:t>
      </w:r>
      <w:r>
        <w:rPr>
          <w:color w:val="231F20"/>
          <w:spacing w:val="-3"/>
          <w:sz w:val="17"/>
        </w:rPr>
        <w:t>FoodNet </w:t>
      </w:r>
      <w:r>
        <w:rPr>
          <w:color w:val="231F20"/>
          <w:sz w:val="17"/>
        </w:rPr>
        <w:t>sites, 2002–2003. Epidemiol Infect 2007;135:84–92.</w:t>
      </w:r>
    </w:p>
    <w:p>
      <w:pPr>
        <w:pStyle w:val="ListParagraph"/>
        <w:numPr>
          <w:ilvl w:val="0"/>
          <w:numId w:val="18"/>
        </w:numPr>
        <w:tabs>
          <w:tab w:pos="1685" w:val="left" w:leader="none"/>
        </w:tabs>
        <w:spacing w:line="264" w:lineRule="auto" w:before="86" w:after="0"/>
        <w:ind w:left="1684" w:right="214" w:hanging="244"/>
        <w:jc w:val="left"/>
        <w:rPr>
          <w:sz w:val="17"/>
        </w:rPr>
      </w:pPr>
      <w:r>
        <w:rPr>
          <w:color w:val="231F20"/>
          <w:spacing w:val="-4"/>
          <w:sz w:val="17"/>
        </w:rPr>
        <w:t>Voetsch </w:t>
      </w:r>
      <w:r>
        <w:rPr>
          <w:color w:val="231F20"/>
          <w:sz w:val="17"/>
        </w:rPr>
        <w:t>AC, Kennedy MH, Keene WE, et al.  Risk factors for sporadic Shiga toxin–producing Escherichia</w:t>
      </w:r>
      <w:r>
        <w:rPr>
          <w:color w:val="231F20"/>
          <w:spacing w:val="-12"/>
          <w:sz w:val="17"/>
        </w:rPr>
        <w:t> </w:t>
      </w:r>
      <w:r>
        <w:rPr>
          <w:color w:val="231F20"/>
          <w:sz w:val="17"/>
        </w:rPr>
        <w:t>coli</w:t>
      </w:r>
      <w:r>
        <w:rPr>
          <w:color w:val="231F20"/>
          <w:spacing w:val="-12"/>
          <w:sz w:val="17"/>
        </w:rPr>
        <w:t> </w:t>
      </w:r>
      <w:r>
        <w:rPr>
          <w:color w:val="231F20"/>
          <w:sz w:val="17"/>
        </w:rPr>
        <w:t>O157</w:t>
      </w:r>
      <w:r>
        <w:rPr>
          <w:color w:val="231F20"/>
          <w:spacing w:val="-12"/>
          <w:sz w:val="17"/>
        </w:rPr>
        <w:t> </w:t>
      </w:r>
      <w:r>
        <w:rPr>
          <w:color w:val="231F20"/>
          <w:sz w:val="17"/>
        </w:rPr>
        <w:t>infections</w:t>
      </w:r>
      <w:r>
        <w:rPr>
          <w:color w:val="231F20"/>
          <w:spacing w:val="-12"/>
          <w:sz w:val="17"/>
        </w:rPr>
        <w:t> </w:t>
      </w:r>
      <w:r>
        <w:rPr>
          <w:color w:val="231F20"/>
          <w:sz w:val="17"/>
        </w:rPr>
        <w:t>in</w:t>
      </w:r>
      <w:r>
        <w:rPr>
          <w:color w:val="231F20"/>
          <w:spacing w:val="-12"/>
          <w:sz w:val="17"/>
        </w:rPr>
        <w:t> </w:t>
      </w:r>
      <w:r>
        <w:rPr>
          <w:color w:val="231F20"/>
          <w:spacing w:val="-3"/>
          <w:sz w:val="17"/>
        </w:rPr>
        <w:t>FoodNet</w:t>
      </w:r>
      <w:r>
        <w:rPr>
          <w:color w:val="231F20"/>
          <w:spacing w:val="-12"/>
          <w:sz w:val="17"/>
        </w:rPr>
        <w:t> </w:t>
      </w:r>
      <w:r>
        <w:rPr>
          <w:color w:val="231F20"/>
          <w:sz w:val="17"/>
        </w:rPr>
        <w:t>sites, 1999–2000. Epidemiol Infect</w:t>
      </w:r>
      <w:r>
        <w:rPr>
          <w:color w:val="231F20"/>
          <w:spacing w:val="5"/>
          <w:sz w:val="17"/>
        </w:rPr>
        <w:t> </w:t>
      </w:r>
      <w:r>
        <w:rPr>
          <w:color w:val="231F20"/>
          <w:sz w:val="17"/>
        </w:rPr>
        <w:t>2007;135:993–1000.</w:t>
      </w:r>
    </w:p>
    <w:p>
      <w:pPr>
        <w:pStyle w:val="ListParagraph"/>
        <w:numPr>
          <w:ilvl w:val="0"/>
          <w:numId w:val="18"/>
        </w:numPr>
        <w:tabs>
          <w:tab w:pos="1685" w:val="left" w:leader="none"/>
        </w:tabs>
        <w:spacing w:line="264" w:lineRule="auto" w:before="86" w:after="0"/>
        <w:ind w:left="1684" w:right="149" w:hanging="244"/>
        <w:jc w:val="left"/>
        <w:rPr>
          <w:sz w:val="17"/>
        </w:rPr>
      </w:pPr>
      <w:r>
        <w:rPr>
          <w:color w:val="231F20"/>
          <w:sz w:val="17"/>
        </w:rPr>
        <w:t>Kimura AC, Reddy </w:t>
      </w:r>
      <w:r>
        <w:rPr>
          <w:color w:val="231F20"/>
          <w:spacing w:val="-16"/>
          <w:sz w:val="17"/>
        </w:rPr>
        <w:t>V, </w:t>
      </w:r>
      <w:r>
        <w:rPr>
          <w:color w:val="231F20"/>
          <w:sz w:val="17"/>
        </w:rPr>
        <w:t>Marcus R, et al. Chicken consumption is a newly identified risk factor for sporadic </w:t>
      </w:r>
      <w:r>
        <w:rPr>
          <w:i/>
          <w:color w:val="231F20"/>
          <w:sz w:val="17"/>
        </w:rPr>
        <w:t>Salmonella </w:t>
      </w:r>
      <w:r>
        <w:rPr>
          <w:color w:val="231F20"/>
          <w:sz w:val="17"/>
        </w:rPr>
        <w:t>enterica serotype Enteritidis infections</w:t>
      </w:r>
      <w:r>
        <w:rPr>
          <w:color w:val="231F20"/>
          <w:spacing w:val="-9"/>
          <w:sz w:val="17"/>
        </w:rPr>
        <w:t> </w:t>
      </w:r>
      <w:r>
        <w:rPr>
          <w:color w:val="231F20"/>
          <w:sz w:val="17"/>
        </w:rPr>
        <w:t>in</w:t>
      </w:r>
      <w:r>
        <w:rPr>
          <w:color w:val="231F20"/>
          <w:spacing w:val="-9"/>
          <w:sz w:val="17"/>
        </w:rPr>
        <w:t> </w:t>
      </w:r>
      <w:r>
        <w:rPr>
          <w:color w:val="231F20"/>
          <w:sz w:val="17"/>
        </w:rPr>
        <w:t>the</w:t>
      </w:r>
      <w:r>
        <w:rPr>
          <w:color w:val="231F20"/>
          <w:spacing w:val="-9"/>
          <w:sz w:val="17"/>
        </w:rPr>
        <w:t> </w:t>
      </w:r>
      <w:r>
        <w:rPr>
          <w:color w:val="231F20"/>
          <w:sz w:val="17"/>
        </w:rPr>
        <w:t>United</w:t>
      </w:r>
      <w:r>
        <w:rPr>
          <w:color w:val="231F20"/>
          <w:spacing w:val="-9"/>
          <w:sz w:val="17"/>
        </w:rPr>
        <w:t> </w:t>
      </w:r>
      <w:r>
        <w:rPr>
          <w:color w:val="231F20"/>
          <w:sz w:val="17"/>
        </w:rPr>
        <w:t>States:</w:t>
      </w:r>
      <w:r>
        <w:rPr>
          <w:color w:val="231F20"/>
          <w:spacing w:val="-9"/>
          <w:sz w:val="17"/>
        </w:rPr>
        <w:t> </w:t>
      </w:r>
      <w:r>
        <w:rPr>
          <w:color w:val="231F20"/>
          <w:sz w:val="17"/>
        </w:rPr>
        <w:t>a</w:t>
      </w:r>
      <w:r>
        <w:rPr>
          <w:color w:val="231F20"/>
          <w:spacing w:val="-9"/>
          <w:sz w:val="17"/>
        </w:rPr>
        <w:t> </w:t>
      </w:r>
      <w:r>
        <w:rPr>
          <w:color w:val="231F20"/>
          <w:sz w:val="17"/>
        </w:rPr>
        <w:t>case–control</w:t>
      </w:r>
      <w:r>
        <w:rPr>
          <w:color w:val="231F20"/>
          <w:spacing w:val="-9"/>
          <w:sz w:val="17"/>
        </w:rPr>
        <w:t> </w:t>
      </w:r>
      <w:r>
        <w:rPr>
          <w:color w:val="231F20"/>
          <w:sz w:val="17"/>
        </w:rPr>
        <w:t>study in </w:t>
      </w:r>
      <w:r>
        <w:rPr>
          <w:color w:val="231F20"/>
          <w:spacing w:val="-3"/>
          <w:sz w:val="17"/>
        </w:rPr>
        <w:t>FoodNet </w:t>
      </w:r>
      <w:r>
        <w:rPr>
          <w:color w:val="231F20"/>
          <w:sz w:val="17"/>
        </w:rPr>
        <w:t>sites. Clin Infect Dis 2004;38(Suppl 3):S244–52.</w:t>
      </w:r>
    </w:p>
    <w:p>
      <w:pPr>
        <w:pStyle w:val="ListParagraph"/>
        <w:numPr>
          <w:ilvl w:val="0"/>
          <w:numId w:val="18"/>
        </w:numPr>
        <w:tabs>
          <w:tab w:pos="1685" w:val="left" w:leader="none"/>
        </w:tabs>
        <w:spacing w:line="264" w:lineRule="auto" w:before="86" w:after="0"/>
        <w:ind w:left="1684" w:right="245" w:hanging="244"/>
        <w:jc w:val="left"/>
        <w:rPr>
          <w:sz w:val="17"/>
        </w:rPr>
      </w:pPr>
      <w:r>
        <w:rPr>
          <w:color w:val="231F20"/>
          <w:spacing w:val="-3"/>
          <w:sz w:val="17"/>
        </w:rPr>
        <w:t>Varma </w:t>
      </w:r>
      <w:r>
        <w:rPr>
          <w:color w:val="231F20"/>
          <w:sz w:val="17"/>
        </w:rPr>
        <w:t>JK, Samuel MC, Marcus, R, et al. </w:t>
      </w:r>
      <w:r>
        <w:rPr>
          <w:i/>
          <w:color w:val="231F20"/>
          <w:sz w:val="17"/>
        </w:rPr>
        <w:t>Listeria </w:t>
      </w:r>
      <w:r>
        <w:rPr>
          <w:i/>
          <w:color w:val="231F20"/>
          <w:sz w:val="17"/>
        </w:rPr>
        <w:t>monocytogenes </w:t>
      </w:r>
      <w:r>
        <w:rPr>
          <w:color w:val="231F20"/>
          <w:sz w:val="17"/>
        </w:rPr>
        <w:t>infection from foods prepared in a commercial</w:t>
      </w:r>
      <w:r>
        <w:rPr>
          <w:color w:val="231F20"/>
          <w:spacing w:val="-14"/>
          <w:sz w:val="17"/>
        </w:rPr>
        <w:t> </w:t>
      </w:r>
      <w:r>
        <w:rPr>
          <w:color w:val="231F20"/>
          <w:sz w:val="17"/>
        </w:rPr>
        <w:t>establishment:</w:t>
      </w:r>
      <w:r>
        <w:rPr>
          <w:color w:val="231F20"/>
          <w:spacing w:val="-14"/>
          <w:sz w:val="17"/>
        </w:rPr>
        <w:t> </w:t>
      </w:r>
      <w:r>
        <w:rPr>
          <w:color w:val="231F20"/>
          <w:sz w:val="17"/>
        </w:rPr>
        <w:t>a</w:t>
      </w:r>
      <w:r>
        <w:rPr>
          <w:color w:val="231F20"/>
          <w:spacing w:val="-14"/>
          <w:sz w:val="17"/>
        </w:rPr>
        <w:t> </w:t>
      </w:r>
      <w:r>
        <w:rPr>
          <w:color w:val="231F20"/>
          <w:sz w:val="17"/>
        </w:rPr>
        <w:t>case–control</w:t>
      </w:r>
      <w:r>
        <w:rPr>
          <w:color w:val="231F20"/>
          <w:spacing w:val="-14"/>
          <w:sz w:val="17"/>
        </w:rPr>
        <w:t> </w:t>
      </w:r>
      <w:r>
        <w:rPr>
          <w:color w:val="231F20"/>
          <w:sz w:val="17"/>
        </w:rPr>
        <w:t>study</w:t>
      </w:r>
      <w:r>
        <w:rPr>
          <w:color w:val="231F20"/>
          <w:spacing w:val="-14"/>
          <w:sz w:val="17"/>
        </w:rPr>
        <w:t> </w:t>
      </w:r>
      <w:r>
        <w:rPr>
          <w:color w:val="231F20"/>
          <w:sz w:val="17"/>
        </w:rPr>
        <w:t>of potential</w:t>
      </w:r>
      <w:r>
        <w:rPr>
          <w:color w:val="231F20"/>
          <w:spacing w:val="-11"/>
          <w:sz w:val="17"/>
        </w:rPr>
        <w:t> </w:t>
      </w:r>
      <w:r>
        <w:rPr>
          <w:color w:val="231F20"/>
          <w:sz w:val="17"/>
        </w:rPr>
        <w:t>sources</w:t>
      </w:r>
      <w:r>
        <w:rPr>
          <w:color w:val="231F20"/>
          <w:spacing w:val="-11"/>
          <w:sz w:val="17"/>
        </w:rPr>
        <w:t> </w:t>
      </w:r>
      <w:r>
        <w:rPr>
          <w:color w:val="231F20"/>
          <w:sz w:val="17"/>
        </w:rPr>
        <w:t>for</w:t>
      </w:r>
      <w:r>
        <w:rPr>
          <w:color w:val="231F20"/>
          <w:spacing w:val="-11"/>
          <w:sz w:val="17"/>
        </w:rPr>
        <w:t> </w:t>
      </w:r>
      <w:r>
        <w:rPr>
          <w:color w:val="231F20"/>
          <w:sz w:val="17"/>
        </w:rPr>
        <w:t>sporadic</w:t>
      </w:r>
      <w:r>
        <w:rPr>
          <w:color w:val="231F20"/>
          <w:spacing w:val="-10"/>
          <w:sz w:val="17"/>
        </w:rPr>
        <w:t> </w:t>
      </w:r>
      <w:r>
        <w:rPr>
          <w:color w:val="231F20"/>
          <w:sz w:val="17"/>
        </w:rPr>
        <w:t>illness</w:t>
      </w:r>
      <w:r>
        <w:rPr>
          <w:color w:val="231F20"/>
          <w:spacing w:val="-11"/>
          <w:sz w:val="17"/>
        </w:rPr>
        <w:t> </w:t>
      </w:r>
      <w:r>
        <w:rPr>
          <w:color w:val="231F20"/>
          <w:sz w:val="17"/>
        </w:rPr>
        <w:t>in</w:t>
      </w:r>
      <w:r>
        <w:rPr>
          <w:color w:val="231F20"/>
          <w:spacing w:val="-11"/>
          <w:sz w:val="17"/>
        </w:rPr>
        <w:t> </w:t>
      </w:r>
      <w:r>
        <w:rPr>
          <w:color w:val="231F20"/>
          <w:sz w:val="17"/>
        </w:rPr>
        <w:t>the</w:t>
      </w:r>
      <w:r>
        <w:rPr>
          <w:color w:val="231F20"/>
          <w:spacing w:val="-11"/>
          <w:sz w:val="17"/>
        </w:rPr>
        <w:t> </w:t>
      </w:r>
      <w:r>
        <w:rPr>
          <w:color w:val="231F20"/>
          <w:sz w:val="17"/>
        </w:rPr>
        <w:t>United States. Clin Infect Dis</w:t>
      </w:r>
      <w:r>
        <w:rPr>
          <w:color w:val="231F20"/>
          <w:spacing w:val="-9"/>
          <w:sz w:val="17"/>
        </w:rPr>
        <w:t> </w:t>
      </w:r>
      <w:r>
        <w:rPr>
          <w:color w:val="231F20"/>
          <w:sz w:val="17"/>
        </w:rPr>
        <w:t>2007;44:521–8.</w:t>
      </w:r>
    </w:p>
    <w:p>
      <w:pPr>
        <w:pStyle w:val="ListParagraph"/>
        <w:numPr>
          <w:ilvl w:val="0"/>
          <w:numId w:val="18"/>
        </w:numPr>
        <w:tabs>
          <w:tab w:pos="1685" w:val="left" w:leader="none"/>
        </w:tabs>
        <w:spacing w:line="240" w:lineRule="auto" w:before="86" w:after="0"/>
        <w:ind w:left="1684" w:right="0" w:hanging="244"/>
        <w:jc w:val="left"/>
        <w:rPr>
          <w:sz w:val="17"/>
        </w:rPr>
      </w:pPr>
      <w:r>
        <w:rPr>
          <w:color w:val="231F20"/>
          <w:sz w:val="17"/>
        </w:rPr>
        <w:t>Jones </w:t>
      </w:r>
      <w:r>
        <w:rPr>
          <w:color w:val="231F20"/>
          <w:spacing w:val="-8"/>
          <w:sz w:val="17"/>
        </w:rPr>
        <w:t>TF, </w:t>
      </w:r>
      <w:r>
        <w:rPr>
          <w:color w:val="231F20"/>
          <w:sz w:val="17"/>
        </w:rPr>
        <w:t>Ingram LA, Fullerton KE, et</w:t>
      </w:r>
      <w:r>
        <w:rPr>
          <w:color w:val="231F20"/>
          <w:spacing w:val="-22"/>
          <w:sz w:val="17"/>
        </w:rPr>
        <w:t> </w:t>
      </w:r>
      <w:r>
        <w:rPr>
          <w:color w:val="231F20"/>
          <w:sz w:val="17"/>
        </w:rPr>
        <w:t>al.</w:t>
      </w:r>
    </w:p>
    <w:p>
      <w:pPr>
        <w:spacing w:line="264" w:lineRule="auto" w:before="18"/>
        <w:ind w:left="1684" w:right="261" w:firstLine="0"/>
        <w:jc w:val="left"/>
        <w:rPr>
          <w:sz w:val="17"/>
        </w:rPr>
      </w:pPr>
      <w:r>
        <w:rPr>
          <w:color w:val="231F20"/>
          <w:sz w:val="17"/>
        </w:rPr>
        <w:t>A case control study of the epidemiology of sporadic </w:t>
      </w:r>
      <w:r>
        <w:rPr>
          <w:i/>
          <w:color w:val="231F20"/>
          <w:sz w:val="17"/>
        </w:rPr>
        <w:t>Salmonella </w:t>
      </w:r>
      <w:r>
        <w:rPr>
          <w:color w:val="231F20"/>
          <w:sz w:val="17"/>
        </w:rPr>
        <w:t>infection in infants. Pediatrics 2006;118:2380–7.</w:t>
      </w:r>
    </w:p>
    <w:p>
      <w:pPr>
        <w:pStyle w:val="ListParagraph"/>
        <w:numPr>
          <w:ilvl w:val="0"/>
          <w:numId w:val="18"/>
        </w:numPr>
        <w:tabs>
          <w:tab w:pos="1685" w:val="left" w:leader="none"/>
        </w:tabs>
        <w:spacing w:line="264" w:lineRule="auto" w:before="85" w:after="0"/>
        <w:ind w:left="1684" w:right="19" w:hanging="244"/>
        <w:jc w:val="left"/>
        <w:rPr>
          <w:sz w:val="17"/>
        </w:rPr>
      </w:pPr>
      <w:r>
        <w:rPr>
          <w:color w:val="231F20"/>
          <w:sz w:val="17"/>
        </w:rPr>
        <w:t>Fullerton KE, Ingram LA, Jones </w:t>
      </w:r>
      <w:r>
        <w:rPr>
          <w:color w:val="231F20"/>
          <w:spacing w:val="-8"/>
          <w:sz w:val="17"/>
        </w:rPr>
        <w:t>TF, </w:t>
      </w:r>
      <w:r>
        <w:rPr>
          <w:color w:val="231F20"/>
          <w:sz w:val="17"/>
        </w:rPr>
        <w:t>et al. Sporadic </w:t>
      </w:r>
      <w:r>
        <w:rPr>
          <w:i/>
          <w:color w:val="231F20"/>
          <w:sz w:val="17"/>
        </w:rPr>
        <w:t>Campylobacter </w:t>
      </w:r>
      <w:r>
        <w:rPr>
          <w:color w:val="231F20"/>
          <w:sz w:val="17"/>
        </w:rPr>
        <w:t>infection in infants: a population-based surveillance</w:t>
      </w:r>
      <w:r>
        <w:rPr>
          <w:color w:val="231F20"/>
          <w:spacing w:val="-15"/>
          <w:sz w:val="17"/>
        </w:rPr>
        <w:t> </w:t>
      </w:r>
      <w:r>
        <w:rPr>
          <w:color w:val="231F20"/>
          <w:sz w:val="17"/>
        </w:rPr>
        <w:t>case–control</w:t>
      </w:r>
      <w:r>
        <w:rPr>
          <w:color w:val="231F20"/>
          <w:spacing w:val="-15"/>
          <w:sz w:val="17"/>
        </w:rPr>
        <w:t> </w:t>
      </w:r>
      <w:r>
        <w:rPr>
          <w:color w:val="231F20"/>
          <w:sz w:val="17"/>
        </w:rPr>
        <w:t>study</w:t>
      </w:r>
      <w:r>
        <w:rPr>
          <w:color w:val="231F20"/>
          <w:spacing w:val="-15"/>
          <w:sz w:val="17"/>
        </w:rPr>
        <w:t> </w:t>
      </w:r>
      <w:r>
        <w:rPr>
          <w:color w:val="231F20"/>
          <w:sz w:val="17"/>
        </w:rPr>
        <w:t>in</w:t>
      </w:r>
      <w:r>
        <w:rPr>
          <w:color w:val="231F20"/>
          <w:spacing w:val="-15"/>
          <w:sz w:val="17"/>
        </w:rPr>
        <w:t> </w:t>
      </w:r>
      <w:r>
        <w:rPr>
          <w:color w:val="231F20"/>
          <w:sz w:val="17"/>
        </w:rPr>
        <w:t>eight</w:t>
      </w:r>
      <w:r>
        <w:rPr>
          <w:color w:val="231F20"/>
          <w:spacing w:val="-15"/>
          <w:sz w:val="17"/>
        </w:rPr>
        <w:t> </w:t>
      </w:r>
      <w:r>
        <w:rPr>
          <w:color w:val="231F20"/>
          <w:spacing w:val="-3"/>
          <w:sz w:val="17"/>
        </w:rPr>
        <w:t>FoodNet</w:t>
      </w:r>
      <w:r>
        <w:rPr>
          <w:color w:val="231F20"/>
          <w:spacing w:val="-15"/>
          <w:sz w:val="17"/>
        </w:rPr>
        <w:t> </w:t>
      </w:r>
      <w:r>
        <w:rPr>
          <w:color w:val="231F20"/>
          <w:sz w:val="17"/>
        </w:rPr>
        <w:t>sites. Pediatr Infect Dis J</w:t>
      </w:r>
      <w:r>
        <w:rPr>
          <w:color w:val="231F20"/>
          <w:spacing w:val="-17"/>
          <w:sz w:val="17"/>
        </w:rPr>
        <w:t> </w:t>
      </w:r>
      <w:r>
        <w:rPr>
          <w:color w:val="231F20"/>
          <w:sz w:val="17"/>
        </w:rPr>
        <w:t>2006;118:2380–7.</w:t>
      </w:r>
    </w:p>
    <w:p>
      <w:pPr>
        <w:pStyle w:val="ListParagraph"/>
        <w:numPr>
          <w:ilvl w:val="0"/>
          <w:numId w:val="18"/>
        </w:numPr>
        <w:tabs>
          <w:tab w:pos="1685" w:val="left" w:leader="none"/>
        </w:tabs>
        <w:spacing w:line="264" w:lineRule="auto" w:before="85" w:after="0"/>
        <w:ind w:left="1684" w:right="0" w:hanging="244"/>
        <w:jc w:val="left"/>
        <w:rPr>
          <w:sz w:val="17"/>
        </w:rPr>
      </w:pPr>
      <w:r>
        <w:rPr>
          <w:color w:val="231F20"/>
          <w:sz w:val="17"/>
        </w:rPr>
        <w:t>Murphree R, Garman K, Phan </w:t>
      </w:r>
      <w:r>
        <w:rPr>
          <w:color w:val="231F20"/>
          <w:spacing w:val="9"/>
          <w:sz w:val="17"/>
        </w:rPr>
        <w:t>Q, </w:t>
      </w:r>
      <w:r>
        <w:rPr>
          <w:color w:val="231F20"/>
          <w:sz w:val="17"/>
        </w:rPr>
        <w:t>Everstine K, Gould LH, Jones </w:t>
      </w:r>
      <w:r>
        <w:rPr>
          <w:color w:val="231F20"/>
          <w:spacing w:val="-8"/>
          <w:sz w:val="17"/>
        </w:rPr>
        <w:t>TF. </w:t>
      </w:r>
      <w:r>
        <w:rPr>
          <w:color w:val="231F20"/>
          <w:sz w:val="17"/>
        </w:rPr>
        <w:t>Characteristics of foodborne disease</w:t>
      </w:r>
      <w:r>
        <w:rPr>
          <w:color w:val="231F20"/>
          <w:spacing w:val="-16"/>
          <w:sz w:val="17"/>
        </w:rPr>
        <w:t> </w:t>
      </w:r>
      <w:r>
        <w:rPr>
          <w:color w:val="231F20"/>
          <w:sz w:val="17"/>
        </w:rPr>
        <w:t>outbreak</w:t>
      </w:r>
      <w:r>
        <w:rPr>
          <w:color w:val="231F20"/>
          <w:spacing w:val="-16"/>
          <w:sz w:val="17"/>
        </w:rPr>
        <w:t> </w:t>
      </w:r>
      <w:r>
        <w:rPr>
          <w:color w:val="231F20"/>
          <w:sz w:val="17"/>
        </w:rPr>
        <w:t>investigations</w:t>
      </w:r>
      <w:r>
        <w:rPr>
          <w:color w:val="231F20"/>
          <w:spacing w:val="-16"/>
          <w:sz w:val="17"/>
        </w:rPr>
        <w:t> </w:t>
      </w:r>
      <w:r>
        <w:rPr>
          <w:color w:val="231F20"/>
          <w:sz w:val="17"/>
        </w:rPr>
        <w:t>conducted</w:t>
      </w:r>
      <w:r>
        <w:rPr>
          <w:color w:val="231F20"/>
          <w:spacing w:val="-16"/>
          <w:sz w:val="17"/>
        </w:rPr>
        <w:t> </w:t>
      </w:r>
      <w:r>
        <w:rPr>
          <w:color w:val="231F20"/>
          <w:spacing w:val="-3"/>
          <w:sz w:val="17"/>
        </w:rPr>
        <w:t>by</w:t>
      </w:r>
      <w:r>
        <w:rPr>
          <w:color w:val="231F20"/>
          <w:spacing w:val="-16"/>
          <w:sz w:val="17"/>
        </w:rPr>
        <w:t> </w:t>
      </w:r>
      <w:r>
        <w:rPr>
          <w:color w:val="231F20"/>
          <w:spacing w:val="-3"/>
          <w:sz w:val="17"/>
        </w:rPr>
        <w:t>FoodNet </w:t>
      </w:r>
      <w:r>
        <w:rPr>
          <w:color w:val="231F20"/>
          <w:sz w:val="17"/>
        </w:rPr>
        <w:t>sites, 2003–2008. Clin Infect Dis 2012;54(Suppl 5):S498–503.</w:t>
      </w:r>
    </w:p>
    <w:p>
      <w:pPr>
        <w:pStyle w:val="ListParagraph"/>
        <w:numPr>
          <w:ilvl w:val="0"/>
          <w:numId w:val="18"/>
        </w:numPr>
        <w:tabs>
          <w:tab w:pos="1685" w:val="left" w:leader="none"/>
        </w:tabs>
        <w:spacing w:line="240" w:lineRule="auto" w:before="85" w:after="0"/>
        <w:ind w:left="1684" w:right="0" w:hanging="244"/>
        <w:jc w:val="left"/>
        <w:rPr>
          <w:sz w:val="17"/>
        </w:rPr>
      </w:pPr>
      <w:r>
        <w:rPr>
          <w:color w:val="231F20"/>
          <w:spacing w:val="-5"/>
          <w:sz w:val="17"/>
        </w:rPr>
        <w:t>Yang </w:t>
      </w:r>
      <w:r>
        <w:rPr>
          <w:color w:val="231F20"/>
          <w:spacing w:val="-3"/>
          <w:sz w:val="17"/>
        </w:rPr>
        <w:t>S, </w:t>
      </w:r>
      <w:r>
        <w:rPr>
          <w:color w:val="231F20"/>
          <w:sz w:val="17"/>
        </w:rPr>
        <w:t>Leff </w:t>
      </w:r>
      <w:r>
        <w:rPr>
          <w:color w:val="231F20"/>
          <w:spacing w:val="-4"/>
          <w:sz w:val="17"/>
        </w:rPr>
        <w:t>MG, </w:t>
      </w:r>
      <w:r>
        <w:rPr>
          <w:color w:val="231F20"/>
          <w:sz w:val="17"/>
        </w:rPr>
        <w:t>McTague </w:t>
      </w:r>
      <w:r>
        <w:rPr>
          <w:color w:val="231F20"/>
          <w:spacing w:val="-7"/>
          <w:sz w:val="17"/>
        </w:rPr>
        <w:t>D, </w:t>
      </w:r>
      <w:r>
        <w:rPr>
          <w:color w:val="231F20"/>
          <w:sz w:val="17"/>
        </w:rPr>
        <w:t>Horvath KA,</w:t>
      </w:r>
      <w:r>
        <w:rPr>
          <w:color w:val="231F20"/>
          <w:spacing w:val="-7"/>
          <w:sz w:val="17"/>
        </w:rPr>
        <w:t> </w:t>
      </w:r>
      <w:r>
        <w:rPr>
          <w:color w:val="231F20"/>
          <w:sz w:val="17"/>
        </w:rPr>
        <w:t>Jackson-</w:t>
      </w:r>
    </w:p>
    <w:p>
      <w:pPr>
        <w:spacing w:line="264" w:lineRule="auto" w:before="18"/>
        <w:ind w:left="1684" w:right="302" w:firstLine="0"/>
        <w:jc w:val="left"/>
        <w:rPr>
          <w:sz w:val="17"/>
        </w:rPr>
      </w:pPr>
      <w:r>
        <w:rPr>
          <w:color w:val="231F20"/>
          <w:sz w:val="17"/>
        </w:rPr>
        <w:t>Thompson </w:t>
      </w:r>
      <w:r>
        <w:rPr>
          <w:color w:val="231F20"/>
          <w:spacing w:val="-6"/>
          <w:sz w:val="17"/>
        </w:rPr>
        <w:t>J, </w:t>
      </w:r>
      <w:r>
        <w:rPr>
          <w:color w:val="231F20"/>
          <w:sz w:val="17"/>
        </w:rPr>
        <w:t>Murayi </w:t>
      </w:r>
      <w:r>
        <w:rPr>
          <w:color w:val="231F20"/>
          <w:spacing w:val="-13"/>
          <w:sz w:val="17"/>
        </w:rPr>
        <w:t>T. </w:t>
      </w:r>
      <w:r>
        <w:rPr>
          <w:color w:val="231F20"/>
          <w:sz w:val="17"/>
        </w:rPr>
        <w:t>Multistate surveillance for</w:t>
      </w:r>
      <w:r>
        <w:rPr>
          <w:color w:val="231F20"/>
          <w:spacing w:val="-16"/>
          <w:sz w:val="17"/>
        </w:rPr>
        <w:t> </w:t>
      </w:r>
      <w:r>
        <w:rPr>
          <w:color w:val="231F20"/>
          <w:sz w:val="17"/>
        </w:rPr>
        <w:t>food-handling,</w:t>
      </w:r>
      <w:r>
        <w:rPr>
          <w:color w:val="231F20"/>
          <w:spacing w:val="-16"/>
          <w:sz w:val="17"/>
        </w:rPr>
        <w:t> </w:t>
      </w:r>
      <w:r>
        <w:rPr>
          <w:color w:val="231F20"/>
          <w:sz w:val="17"/>
        </w:rPr>
        <w:t>preparation,</w:t>
      </w:r>
      <w:r>
        <w:rPr>
          <w:color w:val="231F20"/>
          <w:spacing w:val="-16"/>
          <w:sz w:val="17"/>
        </w:rPr>
        <w:t> </w:t>
      </w:r>
      <w:r>
        <w:rPr>
          <w:color w:val="231F20"/>
          <w:sz w:val="17"/>
        </w:rPr>
        <w:t>and</w:t>
      </w:r>
      <w:r>
        <w:rPr>
          <w:color w:val="231F20"/>
          <w:spacing w:val="-16"/>
          <w:sz w:val="17"/>
        </w:rPr>
        <w:t> </w:t>
      </w:r>
      <w:r>
        <w:rPr>
          <w:color w:val="231F20"/>
          <w:sz w:val="17"/>
        </w:rPr>
        <w:t>consumption</w:t>
      </w:r>
    </w:p>
    <w:p>
      <w:pPr>
        <w:spacing w:line="264" w:lineRule="auto" w:before="0"/>
        <w:ind w:left="1684" w:right="105" w:firstLine="0"/>
        <w:jc w:val="left"/>
        <w:rPr>
          <w:sz w:val="17"/>
        </w:rPr>
      </w:pPr>
      <w:r>
        <w:rPr>
          <w:color w:val="231F20"/>
          <w:sz w:val="17"/>
        </w:rPr>
        <w:t>behaviors associated with foodborne diseases: 1995 and 1996 BRFSS food-safety questions. MMWR CDC Surveill Summ 1998;47(SS-4):33–41.</w:t>
      </w:r>
    </w:p>
    <w:p>
      <w:pPr>
        <w:pStyle w:val="ListParagraph"/>
        <w:numPr>
          <w:ilvl w:val="0"/>
          <w:numId w:val="18"/>
        </w:numPr>
        <w:tabs>
          <w:tab w:pos="1685" w:val="left" w:leader="none"/>
        </w:tabs>
        <w:spacing w:line="264" w:lineRule="auto" w:before="86" w:after="0"/>
        <w:ind w:left="1684" w:right="165" w:hanging="244"/>
        <w:jc w:val="left"/>
        <w:rPr>
          <w:sz w:val="17"/>
        </w:rPr>
      </w:pPr>
      <w:r>
        <w:rPr>
          <w:color w:val="231F20"/>
          <w:sz w:val="17"/>
        </w:rPr>
        <w:t>CDC. Ongoing multistate outbreak of </w:t>
      </w:r>
      <w:r>
        <w:rPr>
          <w:i/>
          <w:color w:val="231F20"/>
          <w:sz w:val="17"/>
        </w:rPr>
        <w:t>Escherichia </w:t>
      </w:r>
      <w:r>
        <w:rPr>
          <w:i/>
          <w:color w:val="231F20"/>
          <w:sz w:val="17"/>
        </w:rPr>
        <w:t>coli </w:t>
      </w:r>
      <w:r>
        <w:rPr>
          <w:color w:val="231F20"/>
          <w:sz w:val="17"/>
        </w:rPr>
        <w:t>serotype O157:H7 infections associated with consumption of fresh spinach—United States, September 2006. MMWR Morb Mortal Wkly </w:t>
      </w:r>
      <w:r>
        <w:rPr>
          <w:color w:val="231F20"/>
          <w:spacing w:val="-3"/>
          <w:sz w:val="17"/>
        </w:rPr>
        <w:t>Rep </w:t>
      </w:r>
      <w:r>
        <w:rPr>
          <w:color w:val="231F20"/>
          <w:sz w:val="17"/>
        </w:rPr>
        <w:t>2006;55:1045–6.</w:t>
      </w:r>
    </w:p>
    <w:p>
      <w:pPr>
        <w:pStyle w:val="ListParagraph"/>
        <w:numPr>
          <w:ilvl w:val="0"/>
          <w:numId w:val="18"/>
        </w:numPr>
        <w:tabs>
          <w:tab w:pos="1685" w:val="left" w:leader="none"/>
        </w:tabs>
        <w:spacing w:line="264" w:lineRule="auto" w:before="85" w:after="0"/>
        <w:ind w:left="1684" w:right="73" w:hanging="244"/>
        <w:jc w:val="left"/>
        <w:rPr>
          <w:sz w:val="17"/>
        </w:rPr>
      </w:pPr>
      <w:r>
        <w:rPr>
          <w:color w:val="231F20"/>
          <w:sz w:val="17"/>
        </w:rPr>
        <w:t>Uesugi AR, Danyluk </w:t>
      </w:r>
      <w:r>
        <w:rPr>
          <w:color w:val="231F20"/>
          <w:spacing w:val="-5"/>
          <w:sz w:val="17"/>
        </w:rPr>
        <w:t>MD, </w:t>
      </w:r>
      <w:r>
        <w:rPr>
          <w:color w:val="231F20"/>
          <w:sz w:val="17"/>
        </w:rPr>
        <w:t>Mandrell RE, Harris </w:t>
      </w:r>
      <w:r>
        <w:rPr>
          <w:color w:val="231F20"/>
          <w:spacing w:val="-4"/>
          <w:sz w:val="17"/>
        </w:rPr>
        <w:t>LJ. </w:t>
      </w:r>
      <w:r>
        <w:rPr>
          <w:color w:val="231F20"/>
          <w:sz w:val="17"/>
        </w:rPr>
        <w:t>Isolation</w:t>
      </w:r>
      <w:r>
        <w:rPr>
          <w:color w:val="231F20"/>
          <w:spacing w:val="-12"/>
          <w:sz w:val="17"/>
        </w:rPr>
        <w:t> </w:t>
      </w:r>
      <w:r>
        <w:rPr>
          <w:color w:val="231F20"/>
          <w:sz w:val="17"/>
        </w:rPr>
        <w:t>of</w:t>
      </w:r>
      <w:r>
        <w:rPr>
          <w:color w:val="231F20"/>
          <w:spacing w:val="6"/>
          <w:sz w:val="17"/>
        </w:rPr>
        <w:t> </w:t>
      </w:r>
      <w:r>
        <w:rPr>
          <w:i/>
          <w:color w:val="231F20"/>
          <w:sz w:val="17"/>
        </w:rPr>
        <w:t>Salmonella</w:t>
      </w:r>
      <w:r>
        <w:rPr>
          <w:i/>
          <w:color w:val="231F20"/>
          <w:spacing w:val="-12"/>
          <w:sz w:val="17"/>
        </w:rPr>
        <w:t> </w:t>
      </w:r>
      <w:r>
        <w:rPr>
          <w:color w:val="231F20"/>
          <w:sz w:val="17"/>
        </w:rPr>
        <w:t>Enteritidis</w:t>
      </w:r>
      <w:r>
        <w:rPr>
          <w:color w:val="231F20"/>
          <w:spacing w:val="-12"/>
          <w:sz w:val="17"/>
        </w:rPr>
        <w:t> </w:t>
      </w:r>
      <w:r>
        <w:rPr>
          <w:color w:val="231F20"/>
          <w:sz w:val="17"/>
        </w:rPr>
        <w:t>phage</w:t>
      </w:r>
      <w:r>
        <w:rPr>
          <w:color w:val="231F20"/>
          <w:spacing w:val="-12"/>
          <w:sz w:val="17"/>
        </w:rPr>
        <w:t> </w:t>
      </w:r>
      <w:r>
        <w:rPr>
          <w:color w:val="231F20"/>
          <w:sz w:val="17"/>
        </w:rPr>
        <w:t>type</w:t>
      </w:r>
      <w:r>
        <w:rPr>
          <w:color w:val="231F20"/>
          <w:spacing w:val="-12"/>
          <w:sz w:val="17"/>
        </w:rPr>
        <w:t> </w:t>
      </w:r>
      <w:r>
        <w:rPr>
          <w:color w:val="231F20"/>
          <w:sz w:val="17"/>
        </w:rPr>
        <w:t>30</w:t>
      </w:r>
      <w:r>
        <w:rPr>
          <w:color w:val="231F20"/>
          <w:spacing w:val="-12"/>
          <w:sz w:val="17"/>
        </w:rPr>
        <w:t> </w:t>
      </w:r>
      <w:r>
        <w:rPr>
          <w:color w:val="231F20"/>
          <w:sz w:val="17"/>
        </w:rPr>
        <w:t>from a single almond orchard </w:t>
      </w:r>
      <w:r>
        <w:rPr>
          <w:color w:val="231F20"/>
          <w:spacing w:val="-3"/>
          <w:sz w:val="17"/>
        </w:rPr>
        <w:t>over </w:t>
      </w:r>
      <w:r>
        <w:rPr>
          <w:color w:val="231F20"/>
          <w:sz w:val="17"/>
        </w:rPr>
        <w:t>a 5-year period. J</w:t>
      </w:r>
      <w:r>
        <w:rPr>
          <w:color w:val="231F20"/>
          <w:spacing w:val="-25"/>
          <w:sz w:val="17"/>
        </w:rPr>
        <w:t> </w:t>
      </w:r>
      <w:r>
        <w:rPr>
          <w:color w:val="231F20"/>
          <w:spacing w:val="-4"/>
          <w:sz w:val="17"/>
        </w:rPr>
        <w:t>Food </w:t>
      </w:r>
      <w:r>
        <w:rPr>
          <w:color w:val="231F20"/>
          <w:sz w:val="17"/>
        </w:rPr>
        <w:t>Prot</w:t>
      </w:r>
      <w:r>
        <w:rPr>
          <w:color w:val="231F20"/>
          <w:spacing w:val="9"/>
          <w:sz w:val="17"/>
        </w:rPr>
        <w:t> </w:t>
      </w:r>
      <w:r>
        <w:rPr>
          <w:color w:val="231F20"/>
          <w:sz w:val="17"/>
        </w:rPr>
        <w:t>2007;70:1784–9.</w:t>
      </w:r>
    </w:p>
    <w:p>
      <w:pPr>
        <w:pStyle w:val="ListParagraph"/>
        <w:numPr>
          <w:ilvl w:val="0"/>
          <w:numId w:val="18"/>
        </w:numPr>
        <w:tabs>
          <w:tab w:pos="1685" w:val="left" w:leader="none"/>
        </w:tabs>
        <w:spacing w:line="264" w:lineRule="auto" w:before="85" w:after="0"/>
        <w:ind w:left="1684" w:right="143" w:hanging="244"/>
        <w:jc w:val="left"/>
        <w:rPr>
          <w:sz w:val="17"/>
        </w:rPr>
      </w:pPr>
      <w:r>
        <w:rPr>
          <w:color w:val="231F20"/>
          <w:sz w:val="17"/>
        </w:rPr>
        <w:t>Zhao </w:t>
      </w:r>
      <w:r>
        <w:rPr>
          <w:color w:val="231F20"/>
          <w:spacing w:val="-3"/>
          <w:sz w:val="17"/>
        </w:rPr>
        <w:t>S, </w:t>
      </w:r>
      <w:r>
        <w:rPr>
          <w:color w:val="231F20"/>
          <w:sz w:val="17"/>
        </w:rPr>
        <w:t>McDermott </w:t>
      </w:r>
      <w:r>
        <w:rPr>
          <w:color w:val="231F20"/>
          <w:spacing w:val="-8"/>
          <w:sz w:val="17"/>
        </w:rPr>
        <w:t>PF, </w:t>
      </w:r>
      <w:r>
        <w:rPr>
          <w:color w:val="231F20"/>
          <w:sz w:val="17"/>
        </w:rPr>
        <w:t>Friedman </w:t>
      </w:r>
      <w:r>
        <w:rPr>
          <w:color w:val="231F20"/>
          <w:spacing w:val="-3"/>
          <w:sz w:val="17"/>
        </w:rPr>
        <w:t>S, </w:t>
      </w:r>
      <w:r>
        <w:rPr>
          <w:color w:val="231F20"/>
          <w:sz w:val="17"/>
        </w:rPr>
        <w:t>et al. Antimicrobial resistance and genetic relatedness among</w:t>
      </w:r>
      <w:r>
        <w:rPr>
          <w:color w:val="231F20"/>
          <w:spacing w:val="-10"/>
          <w:sz w:val="17"/>
        </w:rPr>
        <w:t> </w:t>
      </w:r>
      <w:r>
        <w:rPr>
          <w:i/>
          <w:color w:val="231F20"/>
          <w:sz w:val="17"/>
        </w:rPr>
        <w:t>Salmonella</w:t>
      </w:r>
      <w:r>
        <w:rPr>
          <w:i/>
          <w:color w:val="231F20"/>
          <w:spacing w:val="-10"/>
          <w:sz w:val="17"/>
        </w:rPr>
        <w:t> </w:t>
      </w:r>
      <w:r>
        <w:rPr>
          <w:color w:val="231F20"/>
          <w:sz w:val="17"/>
        </w:rPr>
        <w:t>from</w:t>
      </w:r>
      <w:r>
        <w:rPr>
          <w:color w:val="231F20"/>
          <w:spacing w:val="-9"/>
          <w:sz w:val="17"/>
        </w:rPr>
        <w:t> </w:t>
      </w:r>
      <w:r>
        <w:rPr>
          <w:color w:val="231F20"/>
          <w:sz w:val="17"/>
        </w:rPr>
        <w:t>retail</w:t>
      </w:r>
      <w:r>
        <w:rPr>
          <w:color w:val="231F20"/>
          <w:spacing w:val="-9"/>
          <w:sz w:val="17"/>
        </w:rPr>
        <w:t> </w:t>
      </w:r>
      <w:r>
        <w:rPr>
          <w:color w:val="231F20"/>
          <w:sz w:val="17"/>
        </w:rPr>
        <w:t>foods</w:t>
      </w:r>
      <w:r>
        <w:rPr>
          <w:color w:val="231F20"/>
          <w:spacing w:val="-9"/>
          <w:sz w:val="17"/>
        </w:rPr>
        <w:t> </w:t>
      </w:r>
      <w:r>
        <w:rPr>
          <w:color w:val="231F20"/>
          <w:sz w:val="17"/>
        </w:rPr>
        <w:t>of</w:t>
      </w:r>
      <w:r>
        <w:rPr>
          <w:color w:val="231F20"/>
          <w:spacing w:val="11"/>
          <w:sz w:val="17"/>
        </w:rPr>
        <w:t> </w:t>
      </w:r>
      <w:r>
        <w:rPr>
          <w:color w:val="231F20"/>
          <w:sz w:val="17"/>
        </w:rPr>
        <w:t>animal</w:t>
      </w:r>
      <w:r>
        <w:rPr>
          <w:color w:val="231F20"/>
          <w:spacing w:val="-10"/>
          <w:sz w:val="17"/>
        </w:rPr>
        <w:t> </w:t>
      </w:r>
      <w:r>
        <w:rPr>
          <w:color w:val="231F20"/>
          <w:sz w:val="17"/>
        </w:rPr>
        <w:t>origin:</w:t>
      </w:r>
    </w:p>
    <w:p>
      <w:pPr>
        <w:spacing w:line="264" w:lineRule="auto" w:before="111"/>
        <w:ind w:left="595" w:right="600" w:firstLine="0"/>
        <w:jc w:val="left"/>
        <w:rPr>
          <w:sz w:val="17"/>
        </w:rPr>
      </w:pPr>
      <w:r>
        <w:rPr/>
        <w:br w:type="column"/>
      </w:r>
      <w:r>
        <w:rPr>
          <w:color w:val="231F20"/>
          <w:sz w:val="17"/>
        </w:rPr>
        <w:t>NARMS retail meat surveillance. Foodborne Pathog Dis 2006;3:106–17.</w:t>
      </w:r>
    </w:p>
    <w:p>
      <w:pPr>
        <w:pStyle w:val="ListParagraph"/>
        <w:numPr>
          <w:ilvl w:val="0"/>
          <w:numId w:val="18"/>
        </w:numPr>
        <w:tabs>
          <w:tab w:pos="596" w:val="left" w:leader="none"/>
        </w:tabs>
        <w:spacing w:line="240" w:lineRule="auto" w:before="86" w:after="0"/>
        <w:ind w:left="595" w:right="0" w:hanging="245"/>
        <w:jc w:val="left"/>
        <w:rPr>
          <w:sz w:val="17"/>
        </w:rPr>
      </w:pPr>
      <w:r>
        <w:rPr>
          <w:color w:val="231F20"/>
          <w:sz w:val="17"/>
        </w:rPr>
        <w:t>Honish</w:t>
      </w:r>
      <w:r>
        <w:rPr>
          <w:color w:val="231F20"/>
          <w:spacing w:val="-8"/>
          <w:sz w:val="17"/>
        </w:rPr>
        <w:t> </w:t>
      </w:r>
      <w:r>
        <w:rPr>
          <w:color w:val="231F20"/>
          <w:sz w:val="17"/>
        </w:rPr>
        <w:t>L,</w:t>
      </w:r>
      <w:r>
        <w:rPr>
          <w:color w:val="231F20"/>
          <w:spacing w:val="-8"/>
          <w:sz w:val="17"/>
        </w:rPr>
        <w:t> </w:t>
      </w:r>
      <w:r>
        <w:rPr>
          <w:color w:val="231F20"/>
          <w:sz w:val="17"/>
        </w:rPr>
        <w:t>Predy</w:t>
      </w:r>
      <w:r>
        <w:rPr>
          <w:color w:val="231F20"/>
          <w:spacing w:val="-8"/>
          <w:sz w:val="17"/>
        </w:rPr>
        <w:t> </w:t>
      </w:r>
      <w:r>
        <w:rPr>
          <w:color w:val="231F20"/>
          <w:spacing w:val="-5"/>
          <w:sz w:val="17"/>
        </w:rPr>
        <w:t>G,</w:t>
      </w:r>
      <w:r>
        <w:rPr>
          <w:color w:val="231F20"/>
          <w:spacing w:val="-8"/>
          <w:sz w:val="17"/>
        </w:rPr>
        <w:t> </w:t>
      </w:r>
      <w:r>
        <w:rPr>
          <w:color w:val="231F20"/>
          <w:sz w:val="17"/>
        </w:rPr>
        <w:t>Hislop</w:t>
      </w:r>
      <w:r>
        <w:rPr>
          <w:color w:val="231F20"/>
          <w:spacing w:val="-8"/>
          <w:sz w:val="17"/>
        </w:rPr>
        <w:t> </w:t>
      </w:r>
      <w:r>
        <w:rPr>
          <w:color w:val="231F20"/>
          <w:spacing w:val="-4"/>
          <w:sz w:val="17"/>
        </w:rPr>
        <w:t>N,</w:t>
      </w:r>
      <w:r>
        <w:rPr>
          <w:color w:val="231F20"/>
          <w:spacing w:val="-8"/>
          <w:sz w:val="17"/>
        </w:rPr>
        <w:t> </w:t>
      </w:r>
      <w:r>
        <w:rPr>
          <w:color w:val="231F20"/>
          <w:sz w:val="17"/>
        </w:rPr>
        <w:t>et</w:t>
      </w:r>
      <w:r>
        <w:rPr>
          <w:color w:val="231F20"/>
          <w:spacing w:val="-8"/>
          <w:sz w:val="17"/>
        </w:rPr>
        <w:t> </w:t>
      </w:r>
      <w:r>
        <w:rPr>
          <w:color w:val="231F20"/>
          <w:sz w:val="17"/>
        </w:rPr>
        <w:t>al.</w:t>
      </w:r>
      <w:r>
        <w:rPr>
          <w:color w:val="231F20"/>
          <w:spacing w:val="-8"/>
          <w:sz w:val="17"/>
        </w:rPr>
        <w:t> </w:t>
      </w:r>
      <w:r>
        <w:rPr>
          <w:color w:val="231F20"/>
          <w:sz w:val="17"/>
        </w:rPr>
        <w:t>An</w:t>
      </w:r>
      <w:r>
        <w:rPr>
          <w:color w:val="231F20"/>
          <w:spacing w:val="-8"/>
          <w:sz w:val="17"/>
        </w:rPr>
        <w:t> </w:t>
      </w:r>
      <w:r>
        <w:rPr>
          <w:color w:val="231F20"/>
          <w:sz w:val="17"/>
        </w:rPr>
        <w:t>outbreak</w:t>
      </w:r>
      <w:r>
        <w:rPr>
          <w:color w:val="231F20"/>
          <w:spacing w:val="-8"/>
          <w:sz w:val="17"/>
        </w:rPr>
        <w:t> </w:t>
      </w:r>
      <w:r>
        <w:rPr>
          <w:color w:val="231F20"/>
          <w:sz w:val="17"/>
        </w:rPr>
        <w:t>of</w:t>
      </w:r>
    </w:p>
    <w:p>
      <w:pPr>
        <w:spacing w:line="264" w:lineRule="auto" w:before="19"/>
        <w:ind w:left="595" w:right="600" w:firstLine="0"/>
        <w:jc w:val="left"/>
        <w:rPr>
          <w:sz w:val="17"/>
        </w:rPr>
      </w:pPr>
      <w:r>
        <w:rPr>
          <w:i/>
          <w:color w:val="231F20"/>
          <w:sz w:val="17"/>
        </w:rPr>
        <w:t>E. coli </w:t>
      </w:r>
      <w:r>
        <w:rPr>
          <w:color w:val="231F20"/>
          <w:sz w:val="17"/>
        </w:rPr>
        <w:t>O157:H7 hemorrhagic colitis associated with unpasteurized gouda cheese. Can J Public Health 2005;96:82–4.</w:t>
      </w:r>
    </w:p>
    <w:p>
      <w:pPr>
        <w:pStyle w:val="ListParagraph"/>
        <w:numPr>
          <w:ilvl w:val="0"/>
          <w:numId w:val="18"/>
        </w:numPr>
        <w:tabs>
          <w:tab w:pos="596" w:val="left" w:leader="none"/>
        </w:tabs>
        <w:spacing w:line="264" w:lineRule="auto" w:before="86" w:after="0"/>
        <w:ind w:left="595" w:right="974" w:hanging="245"/>
        <w:jc w:val="left"/>
        <w:rPr>
          <w:sz w:val="17"/>
        </w:rPr>
      </w:pPr>
      <w:r>
        <w:rPr>
          <w:color w:val="231F20"/>
          <w:sz w:val="17"/>
        </w:rPr>
        <w:t>Barrett </w:t>
      </w:r>
      <w:r>
        <w:rPr>
          <w:color w:val="231F20"/>
          <w:spacing w:val="-4"/>
          <w:sz w:val="17"/>
        </w:rPr>
        <w:t>TJ, </w:t>
      </w:r>
      <w:r>
        <w:rPr>
          <w:color w:val="231F20"/>
          <w:sz w:val="17"/>
        </w:rPr>
        <w:t>Gerner-Smidt </w:t>
      </w:r>
      <w:r>
        <w:rPr>
          <w:color w:val="231F20"/>
          <w:spacing w:val="-13"/>
          <w:sz w:val="17"/>
        </w:rPr>
        <w:t>P, </w:t>
      </w:r>
      <w:r>
        <w:rPr>
          <w:color w:val="231F20"/>
          <w:sz w:val="17"/>
        </w:rPr>
        <w:t>Swaminathan B. Interpretation of pulsed-field gel electrophoresis patterns in foodborne disease investigations and surveillance.</w:t>
      </w:r>
      <w:r>
        <w:rPr>
          <w:color w:val="231F20"/>
          <w:spacing w:val="-13"/>
          <w:sz w:val="17"/>
        </w:rPr>
        <w:t> </w:t>
      </w:r>
      <w:r>
        <w:rPr>
          <w:color w:val="231F20"/>
          <w:sz w:val="17"/>
        </w:rPr>
        <w:t>Foodborne</w:t>
      </w:r>
      <w:r>
        <w:rPr>
          <w:color w:val="231F20"/>
          <w:spacing w:val="-13"/>
          <w:sz w:val="17"/>
        </w:rPr>
        <w:t> </w:t>
      </w:r>
      <w:r>
        <w:rPr>
          <w:color w:val="231F20"/>
          <w:sz w:val="17"/>
        </w:rPr>
        <w:t>Pathog</w:t>
      </w:r>
      <w:r>
        <w:rPr>
          <w:color w:val="231F20"/>
          <w:spacing w:val="-13"/>
          <w:sz w:val="17"/>
        </w:rPr>
        <w:t> </w:t>
      </w:r>
      <w:r>
        <w:rPr>
          <w:color w:val="231F20"/>
          <w:sz w:val="17"/>
        </w:rPr>
        <w:t>Dis</w:t>
      </w:r>
      <w:r>
        <w:rPr>
          <w:color w:val="231F20"/>
          <w:spacing w:val="-13"/>
          <w:sz w:val="17"/>
        </w:rPr>
        <w:t> </w:t>
      </w:r>
      <w:r>
        <w:rPr>
          <w:color w:val="231F20"/>
          <w:sz w:val="17"/>
        </w:rPr>
        <w:t>2006;3:20–31.</w:t>
      </w:r>
    </w:p>
    <w:p>
      <w:pPr>
        <w:pStyle w:val="ListParagraph"/>
        <w:numPr>
          <w:ilvl w:val="0"/>
          <w:numId w:val="18"/>
        </w:numPr>
        <w:tabs>
          <w:tab w:pos="596" w:val="left" w:leader="none"/>
        </w:tabs>
        <w:spacing w:line="264" w:lineRule="auto" w:before="86" w:after="0"/>
        <w:ind w:left="595" w:right="1375" w:hanging="245"/>
        <w:jc w:val="left"/>
        <w:rPr>
          <w:sz w:val="17"/>
        </w:rPr>
      </w:pPr>
      <w:r>
        <w:rPr>
          <w:color w:val="231F20"/>
          <w:sz w:val="17"/>
        </w:rPr>
        <w:t>CDC. PulseNet. Available at </w:t>
      </w:r>
      <w:hyperlink r:id="rId19">
        <w:r>
          <w:rPr>
            <w:color w:val="0079C1"/>
            <w:spacing w:val="-3"/>
            <w:sz w:val="17"/>
          </w:rPr>
          <w:t>www.cdc.gov/</w:t>
        </w:r>
      </w:hyperlink>
      <w:r>
        <w:rPr>
          <w:color w:val="0079C1"/>
          <w:spacing w:val="-3"/>
          <w:sz w:val="17"/>
        </w:rPr>
        <w:t> </w:t>
      </w:r>
      <w:r>
        <w:rPr>
          <w:color w:val="0079C1"/>
          <w:sz w:val="17"/>
        </w:rPr>
        <w:t>PULSENET/</w:t>
      </w:r>
      <w:r>
        <w:rPr>
          <w:color w:val="0079C1"/>
          <w:spacing w:val="-10"/>
          <w:sz w:val="17"/>
        </w:rPr>
        <w:t> </w:t>
      </w:r>
      <w:r>
        <w:rPr>
          <w:color w:val="231F20"/>
          <w:sz w:val="17"/>
        </w:rPr>
        <w:t>(accessed</w:t>
      </w:r>
      <w:r>
        <w:rPr>
          <w:color w:val="231F20"/>
          <w:spacing w:val="-10"/>
          <w:sz w:val="17"/>
        </w:rPr>
        <w:t> </w:t>
      </w:r>
      <w:r>
        <w:rPr>
          <w:color w:val="231F20"/>
          <w:sz w:val="17"/>
        </w:rPr>
        <w:t>February</w:t>
      </w:r>
      <w:r>
        <w:rPr>
          <w:color w:val="231F20"/>
          <w:spacing w:val="-10"/>
          <w:sz w:val="17"/>
        </w:rPr>
        <w:t> </w:t>
      </w:r>
      <w:r>
        <w:rPr>
          <w:color w:val="231F20"/>
          <w:sz w:val="17"/>
        </w:rPr>
        <w:t>28,</w:t>
      </w:r>
      <w:r>
        <w:rPr>
          <w:color w:val="231F20"/>
          <w:spacing w:val="-10"/>
          <w:sz w:val="17"/>
        </w:rPr>
        <w:t> </w:t>
      </w:r>
      <w:r>
        <w:rPr>
          <w:color w:val="231F20"/>
          <w:sz w:val="17"/>
        </w:rPr>
        <w:t>2008).</w:t>
      </w:r>
    </w:p>
    <w:p>
      <w:pPr>
        <w:pStyle w:val="ListParagraph"/>
        <w:numPr>
          <w:ilvl w:val="0"/>
          <w:numId w:val="18"/>
        </w:numPr>
        <w:tabs>
          <w:tab w:pos="596" w:val="left" w:leader="none"/>
        </w:tabs>
        <w:spacing w:line="264" w:lineRule="auto" w:before="86" w:after="0"/>
        <w:ind w:left="595" w:right="914" w:hanging="245"/>
        <w:jc w:val="left"/>
        <w:rPr>
          <w:sz w:val="17"/>
        </w:rPr>
      </w:pPr>
      <w:r>
        <w:rPr>
          <w:color w:val="231F20"/>
          <w:spacing w:val="-4"/>
          <w:sz w:val="17"/>
        </w:rPr>
        <w:t>Tauxe </w:t>
      </w:r>
      <w:r>
        <w:rPr>
          <w:color w:val="231F20"/>
          <w:spacing w:val="-18"/>
          <w:sz w:val="17"/>
        </w:rPr>
        <w:t>RV. </w:t>
      </w:r>
      <w:r>
        <w:rPr>
          <w:color w:val="231F20"/>
          <w:sz w:val="17"/>
        </w:rPr>
        <w:t>Molecular subtyping and the transformation</w:t>
      </w:r>
      <w:r>
        <w:rPr>
          <w:color w:val="231F20"/>
          <w:spacing w:val="-15"/>
          <w:sz w:val="17"/>
        </w:rPr>
        <w:t> </w:t>
      </w:r>
      <w:r>
        <w:rPr>
          <w:color w:val="231F20"/>
          <w:sz w:val="17"/>
        </w:rPr>
        <w:t>of</w:t>
      </w:r>
      <w:r>
        <w:rPr>
          <w:color w:val="231F20"/>
          <w:spacing w:val="1"/>
          <w:sz w:val="17"/>
        </w:rPr>
        <w:t> </w:t>
      </w:r>
      <w:r>
        <w:rPr>
          <w:color w:val="231F20"/>
          <w:sz w:val="17"/>
        </w:rPr>
        <w:t>public</w:t>
      </w:r>
      <w:r>
        <w:rPr>
          <w:color w:val="231F20"/>
          <w:spacing w:val="-15"/>
          <w:sz w:val="17"/>
        </w:rPr>
        <w:t> </w:t>
      </w:r>
      <w:r>
        <w:rPr>
          <w:color w:val="231F20"/>
          <w:sz w:val="17"/>
        </w:rPr>
        <w:t>health.</w:t>
      </w:r>
      <w:r>
        <w:rPr>
          <w:color w:val="231F20"/>
          <w:spacing w:val="-15"/>
          <w:sz w:val="17"/>
        </w:rPr>
        <w:t> </w:t>
      </w:r>
      <w:r>
        <w:rPr>
          <w:color w:val="231F20"/>
          <w:sz w:val="17"/>
        </w:rPr>
        <w:t>Foodborne</w:t>
      </w:r>
      <w:r>
        <w:rPr>
          <w:color w:val="231F20"/>
          <w:spacing w:val="-15"/>
          <w:sz w:val="17"/>
        </w:rPr>
        <w:t> </w:t>
      </w:r>
      <w:r>
        <w:rPr>
          <w:color w:val="231F20"/>
          <w:sz w:val="17"/>
        </w:rPr>
        <w:t>Pathog Dis</w:t>
      </w:r>
      <w:r>
        <w:rPr>
          <w:color w:val="231F20"/>
          <w:spacing w:val="3"/>
          <w:sz w:val="17"/>
        </w:rPr>
        <w:t> </w:t>
      </w:r>
      <w:r>
        <w:rPr>
          <w:color w:val="231F20"/>
          <w:sz w:val="17"/>
        </w:rPr>
        <w:t>2006;3:4–8.</w:t>
      </w:r>
    </w:p>
    <w:p>
      <w:pPr>
        <w:pStyle w:val="ListParagraph"/>
        <w:numPr>
          <w:ilvl w:val="0"/>
          <w:numId w:val="18"/>
        </w:numPr>
        <w:tabs>
          <w:tab w:pos="596" w:val="left" w:leader="none"/>
        </w:tabs>
        <w:spacing w:line="264" w:lineRule="auto" w:before="86" w:after="0"/>
        <w:ind w:left="595" w:right="874" w:hanging="245"/>
        <w:jc w:val="left"/>
        <w:rPr>
          <w:sz w:val="17"/>
        </w:rPr>
      </w:pPr>
      <w:r>
        <w:rPr>
          <w:color w:val="231F20"/>
          <w:sz w:val="17"/>
        </w:rPr>
        <w:t>Besser </w:t>
      </w:r>
      <w:r>
        <w:rPr>
          <w:color w:val="231F20"/>
          <w:spacing w:val="-6"/>
          <w:sz w:val="17"/>
        </w:rPr>
        <w:t>J. </w:t>
      </w:r>
      <w:r>
        <w:rPr>
          <w:color w:val="231F20"/>
          <w:sz w:val="17"/>
        </w:rPr>
        <w:t>Culture-independent diagnostics: impact on public health. Presented at Clinical Laboratory Improvement</w:t>
      </w:r>
      <w:r>
        <w:rPr>
          <w:color w:val="231F20"/>
          <w:spacing w:val="-18"/>
          <w:sz w:val="17"/>
        </w:rPr>
        <w:t> </w:t>
      </w:r>
      <w:r>
        <w:rPr>
          <w:color w:val="231F20"/>
          <w:sz w:val="17"/>
        </w:rPr>
        <w:t>Advisory</w:t>
      </w:r>
      <w:r>
        <w:rPr>
          <w:color w:val="231F20"/>
          <w:spacing w:val="-18"/>
          <w:sz w:val="17"/>
        </w:rPr>
        <w:t> </w:t>
      </w:r>
      <w:r>
        <w:rPr>
          <w:color w:val="231F20"/>
          <w:sz w:val="17"/>
        </w:rPr>
        <w:t>Committee</w:t>
      </w:r>
      <w:r>
        <w:rPr>
          <w:color w:val="231F20"/>
          <w:spacing w:val="-18"/>
          <w:sz w:val="17"/>
        </w:rPr>
        <w:t> </w:t>
      </w:r>
      <w:r>
        <w:rPr>
          <w:color w:val="231F20"/>
          <w:sz w:val="17"/>
        </w:rPr>
        <w:t>meeting,</w:t>
      </w:r>
      <w:r>
        <w:rPr>
          <w:color w:val="231F20"/>
          <w:spacing w:val="-18"/>
          <w:sz w:val="17"/>
        </w:rPr>
        <w:t> </w:t>
      </w:r>
      <w:r>
        <w:rPr>
          <w:color w:val="231F20"/>
          <w:sz w:val="17"/>
        </w:rPr>
        <w:t>August 29–30, 2012, Atlanta, GA. Available at </w:t>
      </w:r>
      <w:hyperlink r:id="rId33">
        <w:r>
          <w:rPr>
            <w:color w:val="0079C1"/>
            <w:sz w:val="17"/>
          </w:rPr>
          <w:t>http://ftp.</w:t>
        </w:r>
      </w:hyperlink>
      <w:r>
        <w:rPr>
          <w:color w:val="0079C1"/>
          <w:sz w:val="17"/>
        </w:rPr>
        <w:t> </w:t>
      </w:r>
      <w:r>
        <w:rPr>
          <w:color w:val="0079C1"/>
          <w:w w:val="95"/>
          <w:sz w:val="17"/>
        </w:rPr>
        <w:t>cdc.gov/pub/CLIAC_meeting_presentations/pdf/ </w:t>
      </w:r>
      <w:r>
        <w:rPr>
          <w:color w:val="0079C1"/>
          <w:sz w:val="17"/>
        </w:rPr>
        <w:t>Addenda/cliac0812/11_BESSER_CIDT_for_ CLIAC_2012_FINAL_for_live_presentation.pdf </w:t>
      </w:r>
      <w:r>
        <w:rPr>
          <w:color w:val="231F20"/>
          <w:sz w:val="17"/>
        </w:rPr>
        <w:t>(accessed</w:t>
      </w:r>
      <w:r>
        <w:rPr>
          <w:color w:val="231F20"/>
          <w:spacing w:val="-14"/>
          <w:sz w:val="17"/>
        </w:rPr>
        <w:t> </w:t>
      </w:r>
      <w:r>
        <w:rPr>
          <w:color w:val="231F20"/>
          <w:sz w:val="17"/>
        </w:rPr>
        <w:t>August</w:t>
      </w:r>
      <w:r>
        <w:rPr>
          <w:color w:val="231F20"/>
          <w:spacing w:val="-14"/>
          <w:sz w:val="17"/>
        </w:rPr>
        <w:t> </w:t>
      </w:r>
      <w:r>
        <w:rPr>
          <w:color w:val="231F20"/>
          <w:sz w:val="17"/>
        </w:rPr>
        <w:t>3,</w:t>
      </w:r>
      <w:r>
        <w:rPr>
          <w:color w:val="231F20"/>
          <w:spacing w:val="-14"/>
          <w:sz w:val="17"/>
        </w:rPr>
        <w:t> </w:t>
      </w:r>
      <w:r>
        <w:rPr>
          <w:color w:val="231F20"/>
          <w:sz w:val="17"/>
        </w:rPr>
        <w:t>2013).</w:t>
      </w:r>
    </w:p>
    <w:p>
      <w:pPr>
        <w:pStyle w:val="ListParagraph"/>
        <w:numPr>
          <w:ilvl w:val="0"/>
          <w:numId w:val="18"/>
        </w:numPr>
        <w:tabs>
          <w:tab w:pos="596" w:val="left" w:leader="none"/>
        </w:tabs>
        <w:spacing w:line="264" w:lineRule="auto" w:before="86" w:after="0"/>
        <w:ind w:left="595" w:right="812" w:hanging="245"/>
        <w:jc w:val="left"/>
        <w:rPr>
          <w:sz w:val="17"/>
        </w:rPr>
      </w:pPr>
      <w:r>
        <w:rPr>
          <w:color w:val="231F20"/>
          <w:sz w:val="17"/>
        </w:rPr>
        <w:t>Aarestrup FM, Hendriksen RS, Lockett </w:t>
      </w:r>
      <w:r>
        <w:rPr>
          <w:color w:val="231F20"/>
          <w:spacing w:val="-6"/>
          <w:sz w:val="17"/>
        </w:rPr>
        <w:t>J, </w:t>
      </w:r>
      <w:r>
        <w:rPr>
          <w:color w:val="231F20"/>
          <w:sz w:val="17"/>
        </w:rPr>
        <w:t>et al. International spread of multidrug-resistant</w:t>
      </w:r>
      <w:r>
        <w:rPr>
          <w:color w:val="231F20"/>
          <w:spacing w:val="-23"/>
          <w:sz w:val="17"/>
        </w:rPr>
        <w:t> </w:t>
      </w:r>
      <w:r>
        <w:rPr>
          <w:i/>
          <w:color w:val="231F20"/>
          <w:sz w:val="17"/>
        </w:rPr>
        <w:t>Salmonella </w:t>
      </w:r>
      <w:r>
        <w:rPr>
          <w:color w:val="231F20"/>
          <w:sz w:val="17"/>
        </w:rPr>
        <w:t>Schwarzengrund</w:t>
      </w:r>
      <w:r>
        <w:rPr>
          <w:color w:val="231F20"/>
          <w:spacing w:val="-14"/>
          <w:sz w:val="17"/>
        </w:rPr>
        <w:t> </w:t>
      </w:r>
      <w:r>
        <w:rPr>
          <w:color w:val="231F20"/>
          <w:sz w:val="17"/>
        </w:rPr>
        <w:t>in</w:t>
      </w:r>
      <w:r>
        <w:rPr>
          <w:color w:val="231F20"/>
          <w:spacing w:val="-13"/>
          <w:sz w:val="17"/>
        </w:rPr>
        <w:t> </w:t>
      </w:r>
      <w:r>
        <w:rPr>
          <w:color w:val="231F20"/>
          <w:sz w:val="17"/>
        </w:rPr>
        <w:t>food</w:t>
      </w:r>
      <w:r>
        <w:rPr>
          <w:color w:val="231F20"/>
          <w:spacing w:val="-13"/>
          <w:sz w:val="17"/>
        </w:rPr>
        <w:t> </w:t>
      </w:r>
      <w:r>
        <w:rPr>
          <w:color w:val="231F20"/>
          <w:sz w:val="17"/>
        </w:rPr>
        <w:t>products.</w:t>
      </w:r>
      <w:r>
        <w:rPr>
          <w:color w:val="231F20"/>
          <w:spacing w:val="-13"/>
          <w:sz w:val="17"/>
        </w:rPr>
        <w:t> </w:t>
      </w:r>
      <w:r>
        <w:rPr>
          <w:color w:val="231F20"/>
          <w:sz w:val="17"/>
        </w:rPr>
        <w:t>Emerg</w:t>
      </w:r>
      <w:r>
        <w:rPr>
          <w:color w:val="231F20"/>
          <w:spacing w:val="-13"/>
          <w:sz w:val="17"/>
        </w:rPr>
        <w:t> </w:t>
      </w:r>
      <w:r>
        <w:rPr>
          <w:color w:val="231F20"/>
          <w:sz w:val="17"/>
        </w:rPr>
        <w:t>Infect</w:t>
      </w:r>
      <w:r>
        <w:rPr>
          <w:color w:val="231F20"/>
          <w:spacing w:val="-13"/>
          <w:sz w:val="17"/>
        </w:rPr>
        <w:t> </w:t>
      </w:r>
      <w:r>
        <w:rPr>
          <w:color w:val="231F20"/>
          <w:sz w:val="17"/>
        </w:rPr>
        <w:t>Dis 2007;13:726–31.</w:t>
      </w:r>
    </w:p>
    <w:p>
      <w:pPr>
        <w:pStyle w:val="ListParagraph"/>
        <w:numPr>
          <w:ilvl w:val="0"/>
          <w:numId w:val="18"/>
        </w:numPr>
        <w:tabs>
          <w:tab w:pos="596" w:val="left" w:leader="none"/>
        </w:tabs>
        <w:spacing w:line="264" w:lineRule="auto" w:before="86" w:after="0"/>
        <w:ind w:left="595" w:right="776" w:hanging="245"/>
        <w:jc w:val="left"/>
        <w:rPr>
          <w:sz w:val="17"/>
        </w:rPr>
      </w:pPr>
      <w:r>
        <w:rPr>
          <w:color w:val="231F20"/>
          <w:spacing w:val="-3"/>
          <w:sz w:val="17"/>
        </w:rPr>
        <w:t>Varma </w:t>
      </w:r>
      <w:r>
        <w:rPr>
          <w:color w:val="231F20"/>
          <w:sz w:val="17"/>
        </w:rPr>
        <w:t>JK, Marcus R, Stenzel SA, et al. Highly resistant</w:t>
      </w:r>
      <w:r>
        <w:rPr>
          <w:color w:val="231F20"/>
          <w:spacing w:val="-16"/>
          <w:sz w:val="17"/>
        </w:rPr>
        <w:t> </w:t>
      </w:r>
      <w:r>
        <w:rPr>
          <w:i/>
          <w:color w:val="231F20"/>
          <w:sz w:val="17"/>
        </w:rPr>
        <w:t>Salmonella</w:t>
      </w:r>
      <w:r>
        <w:rPr>
          <w:i/>
          <w:color w:val="231F20"/>
          <w:spacing w:val="-16"/>
          <w:sz w:val="17"/>
        </w:rPr>
        <w:t> </w:t>
      </w:r>
      <w:r>
        <w:rPr>
          <w:color w:val="231F20"/>
          <w:sz w:val="17"/>
        </w:rPr>
        <w:t>Newport-MDRAmpC</w:t>
      </w:r>
      <w:r>
        <w:rPr>
          <w:color w:val="231F20"/>
          <w:spacing w:val="-16"/>
          <w:sz w:val="17"/>
        </w:rPr>
        <w:t> </w:t>
      </w:r>
      <w:r>
        <w:rPr>
          <w:color w:val="231F20"/>
          <w:sz w:val="17"/>
        </w:rPr>
        <w:t>transmitted through the domestic US food supply: a </w:t>
      </w:r>
      <w:r>
        <w:rPr>
          <w:color w:val="231F20"/>
          <w:spacing w:val="-3"/>
          <w:sz w:val="17"/>
        </w:rPr>
        <w:t>FoodNet </w:t>
      </w:r>
      <w:r>
        <w:rPr>
          <w:color w:val="231F20"/>
          <w:sz w:val="17"/>
        </w:rPr>
        <w:t>case–control study of sporadic </w:t>
      </w:r>
      <w:r>
        <w:rPr>
          <w:i/>
          <w:color w:val="231F20"/>
          <w:sz w:val="17"/>
        </w:rPr>
        <w:t>Salmonella </w:t>
      </w:r>
      <w:r>
        <w:rPr>
          <w:color w:val="231F20"/>
          <w:sz w:val="17"/>
        </w:rPr>
        <w:t>Newport infections, 2002–2003. J Infect Dis</w:t>
      </w:r>
      <w:r>
        <w:rPr>
          <w:color w:val="231F20"/>
          <w:spacing w:val="-25"/>
          <w:sz w:val="17"/>
        </w:rPr>
        <w:t> </w:t>
      </w:r>
      <w:r>
        <w:rPr>
          <w:color w:val="231F20"/>
          <w:sz w:val="17"/>
        </w:rPr>
        <w:t>2006;194:222–30.</w:t>
      </w:r>
    </w:p>
    <w:p>
      <w:pPr>
        <w:pStyle w:val="ListParagraph"/>
        <w:numPr>
          <w:ilvl w:val="0"/>
          <w:numId w:val="18"/>
        </w:numPr>
        <w:tabs>
          <w:tab w:pos="596" w:val="left" w:leader="none"/>
        </w:tabs>
        <w:spacing w:line="264" w:lineRule="auto" w:before="86" w:after="0"/>
        <w:ind w:left="595" w:right="846" w:hanging="245"/>
        <w:jc w:val="left"/>
        <w:rPr>
          <w:sz w:val="17"/>
        </w:rPr>
      </w:pPr>
      <w:r>
        <w:rPr>
          <w:color w:val="231F20"/>
          <w:sz w:val="17"/>
        </w:rPr>
        <w:t>Zhao </w:t>
      </w:r>
      <w:r>
        <w:rPr>
          <w:color w:val="231F20"/>
          <w:spacing w:val="-3"/>
          <w:sz w:val="17"/>
        </w:rPr>
        <w:t>S, </w:t>
      </w:r>
      <w:r>
        <w:rPr>
          <w:color w:val="231F20"/>
          <w:sz w:val="17"/>
        </w:rPr>
        <w:t>McDermott </w:t>
      </w:r>
      <w:r>
        <w:rPr>
          <w:color w:val="231F20"/>
          <w:spacing w:val="-8"/>
          <w:sz w:val="17"/>
        </w:rPr>
        <w:t>PF, </w:t>
      </w:r>
      <w:r>
        <w:rPr>
          <w:color w:val="231F20"/>
          <w:sz w:val="17"/>
        </w:rPr>
        <w:t>Friedman </w:t>
      </w:r>
      <w:r>
        <w:rPr>
          <w:color w:val="231F20"/>
          <w:spacing w:val="-3"/>
          <w:sz w:val="17"/>
        </w:rPr>
        <w:t>S, </w:t>
      </w:r>
      <w:r>
        <w:rPr>
          <w:color w:val="231F20"/>
          <w:sz w:val="17"/>
        </w:rPr>
        <w:t>et al. Antimicrobial resistance and genetic relatedness among </w:t>
      </w:r>
      <w:r>
        <w:rPr>
          <w:i/>
          <w:color w:val="231F20"/>
          <w:sz w:val="17"/>
        </w:rPr>
        <w:t>Salmonella </w:t>
      </w:r>
      <w:r>
        <w:rPr>
          <w:color w:val="231F20"/>
          <w:sz w:val="17"/>
        </w:rPr>
        <w:t>from retail foods of animal origin: NARMS</w:t>
      </w:r>
      <w:r>
        <w:rPr>
          <w:color w:val="231F20"/>
          <w:spacing w:val="-10"/>
          <w:sz w:val="17"/>
        </w:rPr>
        <w:t> </w:t>
      </w:r>
      <w:r>
        <w:rPr>
          <w:color w:val="231F20"/>
          <w:sz w:val="17"/>
        </w:rPr>
        <w:t>retail</w:t>
      </w:r>
      <w:r>
        <w:rPr>
          <w:color w:val="231F20"/>
          <w:spacing w:val="-10"/>
          <w:sz w:val="17"/>
        </w:rPr>
        <w:t> </w:t>
      </w:r>
      <w:r>
        <w:rPr>
          <w:color w:val="231F20"/>
          <w:sz w:val="17"/>
        </w:rPr>
        <w:t>meat</w:t>
      </w:r>
      <w:r>
        <w:rPr>
          <w:color w:val="231F20"/>
          <w:spacing w:val="-10"/>
          <w:sz w:val="17"/>
        </w:rPr>
        <w:t> </w:t>
      </w:r>
      <w:r>
        <w:rPr>
          <w:color w:val="231F20"/>
          <w:sz w:val="17"/>
        </w:rPr>
        <w:t>surveillance.</w:t>
      </w:r>
      <w:r>
        <w:rPr>
          <w:color w:val="231F20"/>
          <w:spacing w:val="-10"/>
          <w:sz w:val="17"/>
        </w:rPr>
        <w:t> </w:t>
      </w:r>
      <w:r>
        <w:rPr>
          <w:color w:val="231F20"/>
          <w:sz w:val="17"/>
        </w:rPr>
        <w:t>Foodborne</w:t>
      </w:r>
      <w:r>
        <w:rPr>
          <w:color w:val="231F20"/>
          <w:spacing w:val="-10"/>
          <w:sz w:val="17"/>
        </w:rPr>
        <w:t> </w:t>
      </w:r>
      <w:r>
        <w:rPr>
          <w:color w:val="231F20"/>
          <w:sz w:val="17"/>
        </w:rPr>
        <w:t>Pathog Dis</w:t>
      </w:r>
      <w:r>
        <w:rPr>
          <w:color w:val="231F20"/>
          <w:spacing w:val="8"/>
          <w:sz w:val="17"/>
        </w:rPr>
        <w:t> </w:t>
      </w:r>
      <w:r>
        <w:rPr>
          <w:color w:val="231F20"/>
          <w:sz w:val="17"/>
        </w:rPr>
        <w:t>2006;3:106–17.</w:t>
      </w:r>
    </w:p>
    <w:p>
      <w:pPr>
        <w:pStyle w:val="ListParagraph"/>
        <w:numPr>
          <w:ilvl w:val="0"/>
          <w:numId w:val="18"/>
        </w:numPr>
        <w:tabs>
          <w:tab w:pos="596" w:val="left" w:leader="none"/>
        </w:tabs>
        <w:spacing w:line="264" w:lineRule="auto" w:before="86" w:after="0"/>
        <w:ind w:left="595" w:right="1059" w:hanging="245"/>
        <w:jc w:val="left"/>
        <w:rPr>
          <w:sz w:val="17"/>
        </w:rPr>
      </w:pPr>
      <w:r>
        <w:rPr>
          <w:color w:val="231F20"/>
          <w:sz w:val="17"/>
        </w:rPr>
        <w:t>Sivapalasingam </w:t>
      </w:r>
      <w:r>
        <w:rPr>
          <w:color w:val="231F20"/>
          <w:spacing w:val="-3"/>
          <w:sz w:val="17"/>
        </w:rPr>
        <w:t>S, </w:t>
      </w:r>
      <w:r>
        <w:rPr>
          <w:color w:val="231F20"/>
          <w:sz w:val="17"/>
        </w:rPr>
        <w:t>Nelson JM, </w:t>
      </w:r>
      <w:r>
        <w:rPr>
          <w:color w:val="231F20"/>
          <w:spacing w:val="-4"/>
          <w:sz w:val="17"/>
        </w:rPr>
        <w:t>Joyce </w:t>
      </w:r>
      <w:r>
        <w:rPr>
          <w:color w:val="231F20"/>
          <w:sz w:val="17"/>
        </w:rPr>
        <w:t>K, Hoekstra M,</w:t>
      </w:r>
      <w:r>
        <w:rPr>
          <w:color w:val="231F20"/>
          <w:spacing w:val="-7"/>
          <w:sz w:val="17"/>
        </w:rPr>
        <w:t> </w:t>
      </w:r>
      <w:r>
        <w:rPr>
          <w:color w:val="231F20"/>
          <w:sz w:val="17"/>
        </w:rPr>
        <w:t>Angulo</w:t>
      </w:r>
      <w:r>
        <w:rPr>
          <w:color w:val="231F20"/>
          <w:spacing w:val="-7"/>
          <w:sz w:val="17"/>
        </w:rPr>
        <w:t> </w:t>
      </w:r>
      <w:r>
        <w:rPr>
          <w:color w:val="231F20"/>
          <w:spacing w:val="-4"/>
          <w:sz w:val="17"/>
        </w:rPr>
        <w:t>FJ,</w:t>
      </w:r>
      <w:r>
        <w:rPr>
          <w:color w:val="231F20"/>
          <w:spacing w:val="-7"/>
          <w:sz w:val="17"/>
        </w:rPr>
        <w:t> </w:t>
      </w:r>
      <w:r>
        <w:rPr>
          <w:color w:val="231F20"/>
          <w:sz w:val="17"/>
        </w:rPr>
        <w:t>Mintz</w:t>
      </w:r>
      <w:r>
        <w:rPr>
          <w:color w:val="231F20"/>
          <w:spacing w:val="-7"/>
          <w:sz w:val="17"/>
        </w:rPr>
        <w:t> </w:t>
      </w:r>
      <w:r>
        <w:rPr>
          <w:color w:val="231F20"/>
          <w:spacing w:val="-5"/>
          <w:sz w:val="17"/>
        </w:rPr>
        <w:t>ED.</w:t>
      </w:r>
      <w:r>
        <w:rPr>
          <w:color w:val="231F20"/>
          <w:spacing w:val="-7"/>
          <w:sz w:val="17"/>
        </w:rPr>
        <w:t> </w:t>
      </w:r>
      <w:r>
        <w:rPr>
          <w:color w:val="231F20"/>
          <w:sz w:val="17"/>
        </w:rPr>
        <w:t>High</w:t>
      </w:r>
      <w:r>
        <w:rPr>
          <w:color w:val="231F20"/>
          <w:spacing w:val="-7"/>
          <w:sz w:val="17"/>
        </w:rPr>
        <w:t> </w:t>
      </w:r>
      <w:r>
        <w:rPr>
          <w:color w:val="231F20"/>
          <w:sz w:val="17"/>
        </w:rPr>
        <w:t>prevalence</w:t>
      </w:r>
      <w:r>
        <w:rPr>
          <w:color w:val="231F20"/>
          <w:spacing w:val="-7"/>
          <w:sz w:val="17"/>
        </w:rPr>
        <w:t> </w:t>
      </w:r>
      <w:r>
        <w:rPr>
          <w:color w:val="231F20"/>
          <w:sz w:val="17"/>
        </w:rPr>
        <w:t>of</w:t>
      </w:r>
    </w:p>
    <w:p>
      <w:pPr>
        <w:spacing w:line="264" w:lineRule="auto" w:before="0"/>
        <w:ind w:left="595" w:right="600" w:firstLine="0"/>
        <w:jc w:val="left"/>
        <w:rPr>
          <w:sz w:val="17"/>
        </w:rPr>
      </w:pPr>
      <w:r>
        <w:rPr>
          <w:color w:val="231F20"/>
          <w:sz w:val="17"/>
        </w:rPr>
        <w:t>antimicrobial resistance among Shigella isolates in the United States tested by the National Antimicrobial Resistance Monitoring System from 1999 to 2002.</w:t>
      </w:r>
    </w:p>
    <w:p>
      <w:pPr>
        <w:spacing w:line="191" w:lineRule="exact" w:before="0"/>
        <w:ind w:left="595" w:right="0" w:firstLine="0"/>
        <w:jc w:val="left"/>
        <w:rPr>
          <w:sz w:val="17"/>
        </w:rPr>
      </w:pPr>
      <w:r>
        <w:rPr>
          <w:color w:val="231F20"/>
          <w:sz w:val="17"/>
        </w:rPr>
        <w:t>Antimicrob Agents Chemother 2006;50:49–54.</w:t>
      </w:r>
    </w:p>
    <w:p>
      <w:pPr>
        <w:pStyle w:val="ListParagraph"/>
        <w:numPr>
          <w:ilvl w:val="0"/>
          <w:numId w:val="18"/>
        </w:numPr>
        <w:tabs>
          <w:tab w:pos="596" w:val="left" w:leader="none"/>
        </w:tabs>
        <w:spacing w:line="264" w:lineRule="auto" w:before="105" w:after="0"/>
        <w:ind w:left="595" w:right="787" w:hanging="245"/>
        <w:jc w:val="left"/>
        <w:rPr>
          <w:sz w:val="17"/>
        </w:rPr>
      </w:pPr>
      <w:r>
        <w:rPr>
          <w:color w:val="231F20"/>
          <w:sz w:val="17"/>
        </w:rPr>
        <w:t>CDC. National Antimicrobial Resistance</w:t>
      </w:r>
      <w:r>
        <w:rPr>
          <w:color w:val="231F20"/>
          <w:spacing w:val="-13"/>
          <w:sz w:val="17"/>
        </w:rPr>
        <w:t> </w:t>
      </w:r>
      <w:r>
        <w:rPr>
          <w:color w:val="231F20"/>
          <w:sz w:val="17"/>
        </w:rPr>
        <w:t>Monitoring System for Enteric Diseases (NARMS). Available at </w:t>
      </w:r>
      <w:hyperlink r:id="rId34">
        <w:r>
          <w:rPr>
            <w:color w:val="0079C1"/>
            <w:sz w:val="17"/>
          </w:rPr>
          <w:t>www.cdc.gov/narms/</w:t>
        </w:r>
        <w:r>
          <w:rPr>
            <w:color w:val="231F20"/>
            <w:sz w:val="17"/>
          </w:rPr>
          <w:t>.</w:t>
        </w:r>
      </w:hyperlink>
      <w:r>
        <w:rPr>
          <w:color w:val="231F20"/>
          <w:spacing w:val="-15"/>
          <w:sz w:val="17"/>
        </w:rPr>
        <w:t> </w:t>
      </w:r>
      <w:r>
        <w:rPr>
          <w:color w:val="231F20"/>
          <w:sz w:val="17"/>
        </w:rPr>
        <w:t>Accessed</w:t>
      </w:r>
      <w:r>
        <w:rPr>
          <w:color w:val="231F20"/>
          <w:spacing w:val="-15"/>
          <w:sz w:val="17"/>
        </w:rPr>
        <w:t> </w:t>
      </w:r>
      <w:r>
        <w:rPr>
          <w:color w:val="231F20"/>
          <w:sz w:val="17"/>
        </w:rPr>
        <w:t>February</w:t>
      </w:r>
      <w:r>
        <w:rPr>
          <w:color w:val="231F20"/>
          <w:spacing w:val="-15"/>
          <w:sz w:val="17"/>
        </w:rPr>
        <w:t> </w:t>
      </w:r>
      <w:r>
        <w:rPr>
          <w:color w:val="231F20"/>
          <w:sz w:val="17"/>
        </w:rPr>
        <w:t>28,</w:t>
      </w:r>
      <w:r>
        <w:rPr>
          <w:color w:val="231F20"/>
          <w:spacing w:val="-15"/>
          <w:sz w:val="17"/>
        </w:rPr>
        <w:t> </w:t>
      </w:r>
      <w:r>
        <w:rPr>
          <w:color w:val="231F20"/>
          <w:sz w:val="17"/>
        </w:rPr>
        <w:t>2008.</w:t>
      </w:r>
    </w:p>
    <w:p>
      <w:pPr>
        <w:pStyle w:val="ListParagraph"/>
        <w:numPr>
          <w:ilvl w:val="0"/>
          <w:numId w:val="18"/>
        </w:numPr>
        <w:tabs>
          <w:tab w:pos="596" w:val="left" w:leader="none"/>
        </w:tabs>
        <w:spacing w:line="264" w:lineRule="auto" w:before="86" w:after="0"/>
        <w:ind w:left="595" w:right="778" w:hanging="245"/>
        <w:jc w:val="left"/>
        <w:rPr>
          <w:sz w:val="17"/>
        </w:rPr>
      </w:pPr>
      <w:r>
        <w:rPr>
          <w:color w:val="231F20"/>
          <w:sz w:val="17"/>
        </w:rPr>
        <w:t>CDC. NARMS: National Antimicrobial Resistance Monitoring System—Enteric Bacteria, 2011. Human isolates final report. Available at </w:t>
      </w:r>
      <w:hyperlink r:id="rId19">
        <w:r>
          <w:rPr>
            <w:color w:val="0079C1"/>
            <w:spacing w:val="-3"/>
            <w:sz w:val="17"/>
          </w:rPr>
          <w:t>www.cdc.gov/</w:t>
        </w:r>
      </w:hyperlink>
      <w:r>
        <w:rPr>
          <w:color w:val="0079C1"/>
          <w:spacing w:val="-3"/>
          <w:sz w:val="17"/>
        </w:rPr>
        <w:t> </w:t>
      </w:r>
      <w:r>
        <w:rPr>
          <w:color w:val="0079C1"/>
          <w:sz w:val="17"/>
        </w:rPr>
        <w:t>narms/pdf/2011-annual-report-narms-508c.pdf </w:t>
      </w:r>
      <w:r>
        <w:rPr>
          <w:color w:val="231F20"/>
          <w:sz w:val="17"/>
        </w:rPr>
        <w:t>(accessed</w:t>
      </w:r>
      <w:r>
        <w:rPr>
          <w:color w:val="231F20"/>
          <w:spacing w:val="-18"/>
          <w:sz w:val="17"/>
        </w:rPr>
        <w:t> </w:t>
      </w:r>
      <w:r>
        <w:rPr>
          <w:color w:val="231F20"/>
          <w:sz w:val="17"/>
        </w:rPr>
        <w:t>November</w:t>
      </w:r>
      <w:r>
        <w:rPr>
          <w:color w:val="231F20"/>
          <w:spacing w:val="-18"/>
          <w:sz w:val="17"/>
        </w:rPr>
        <w:t> </w:t>
      </w:r>
      <w:r>
        <w:rPr>
          <w:color w:val="231F20"/>
          <w:sz w:val="17"/>
        </w:rPr>
        <w:t>18,</w:t>
      </w:r>
      <w:r>
        <w:rPr>
          <w:color w:val="231F20"/>
          <w:spacing w:val="-18"/>
          <w:sz w:val="17"/>
        </w:rPr>
        <w:t> </w:t>
      </w:r>
      <w:r>
        <w:rPr>
          <w:color w:val="231F20"/>
          <w:sz w:val="17"/>
        </w:rPr>
        <w:t>2013).</w:t>
      </w:r>
    </w:p>
    <w:p>
      <w:pPr>
        <w:spacing w:after="0" w:line="264" w:lineRule="auto"/>
        <w:jc w:val="left"/>
        <w:rPr>
          <w:sz w:val="17"/>
        </w:rPr>
        <w:sectPr>
          <w:type w:val="continuous"/>
          <w:pgSz w:w="10080" w:h="14400"/>
          <w:pgMar w:top="0" w:bottom="360" w:left="0" w:right="0"/>
          <w:cols w:num="2" w:equalWidth="0">
            <w:col w:w="5190" w:space="40"/>
            <w:col w:w="4850"/>
          </w:cols>
        </w:sectPr>
      </w:pPr>
    </w:p>
    <w:p>
      <w:pPr>
        <w:pStyle w:val="BodyText"/>
        <w:spacing w:before="8"/>
        <w:rPr>
          <w:sz w:val="26"/>
        </w:rPr>
      </w:pPr>
    </w:p>
    <w:p>
      <w:pPr>
        <w:pStyle w:val="Heading1"/>
        <w:ind w:left="720"/>
      </w:pPr>
      <w:r>
        <w:rPr/>
        <w:pict>
          <v:line style="position:absolute;mso-position-horizontal-relative:page;mso-position-vertical-relative:paragraph;z-index:5008;mso-wrap-distance-left:0;mso-wrap-distance-right:0" from="36pt,23.995163pt" to="432pt,23.995163pt" stroked="true" strokeweight=".5pt" strokecolor="#00a94f">
            <v:stroke dashstyle="solid"/>
            <w10:wrap type="topAndBottom"/>
          </v:line>
        </w:pict>
      </w:r>
      <w:r>
        <w:rPr>
          <w:color w:val="00A94F"/>
          <w:w w:val="90"/>
        </w:rPr>
        <w:t>2.5. References</w:t>
      </w:r>
    </w:p>
    <w:p>
      <w:pPr>
        <w:pStyle w:val="BodyText"/>
        <w:spacing w:before="1"/>
        <w:rPr>
          <w:rFonts w:ascii="Lucida Sans"/>
          <w:sz w:val="18"/>
        </w:rPr>
      </w:pPr>
    </w:p>
    <w:p>
      <w:pPr>
        <w:spacing w:after="0"/>
        <w:rPr>
          <w:rFonts w:ascii="Lucida Sans"/>
          <w:sz w:val="18"/>
        </w:rPr>
        <w:sectPr>
          <w:pgSz w:w="10080" w:h="14400"/>
          <w:pgMar w:header="0" w:footer="160" w:top="980" w:bottom="360" w:left="0" w:right="0"/>
        </w:sectPr>
      </w:pPr>
    </w:p>
    <w:p>
      <w:pPr>
        <w:pStyle w:val="ListParagraph"/>
        <w:numPr>
          <w:ilvl w:val="0"/>
          <w:numId w:val="18"/>
        </w:numPr>
        <w:tabs>
          <w:tab w:pos="965" w:val="left" w:leader="none"/>
        </w:tabs>
        <w:spacing w:line="264" w:lineRule="auto" w:before="111" w:after="0"/>
        <w:ind w:left="964" w:right="295" w:hanging="244"/>
        <w:jc w:val="left"/>
        <w:rPr>
          <w:sz w:val="17"/>
        </w:rPr>
      </w:pPr>
      <w:r>
        <w:rPr>
          <w:color w:val="231F20"/>
          <w:sz w:val="17"/>
        </w:rPr>
        <w:t>Crump </w:t>
      </w:r>
      <w:r>
        <w:rPr>
          <w:color w:val="231F20"/>
          <w:spacing w:val="-3"/>
          <w:sz w:val="17"/>
        </w:rPr>
        <w:t>JA, </w:t>
      </w:r>
      <w:r>
        <w:rPr>
          <w:color w:val="231F20"/>
          <w:sz w:val="17"/>
        </w:rPr>
        <w:t>Kretsinger K, Gay K, et al. Clinical response and outcome of infection with </w:t>
      </w:r>
      <w:r>
        <w:rPr>
          <w:i/>
          <w:color w:val="231F20"/>
          <w:sz w:val="17"/>
        </w:rPr>
        <w:t>Salmonella </w:t>
      </w:r>
      <w:r>
        <w:rPr>
          <w:color w:val="231F20"/>
          <w:spacing w:val="-4"/>
          <w:sz w:val="17"/>
        </w:rPr>
        <w:t>Typhi </w:t>
      </w:r>
      <w:r>
        <w:rPr>
          <w:color w:val="231F20"/>
          <w:sz w:val="17"/>
        </w:rPr>
        <w:t>with decreased susceptibility to fluoroquinolones:</w:t>
      </w:r>
      <w:r>
        <w:rPr>
          <w:color w:val="231F20"/>
          <w:spacing w:val="-14"/>
          <w:sz w:val="17"/>
        </w:rPr>
        <w:t> </w:t>
      </w:r>
      <w:r>
        <w:rPr>
          <w:color w:val="231F20"/>
          <w:sz w:val="17"/>
        </w:rPr>
        <w:t>a</w:t>
      </w:r>
      <w:r>
        <w:rPr>
          <w:color w:val="231F20"/>
          <w:spacing w:val="-14"/>
          <w:sz w:val="17"/>
        </w:rPr>
        <w:t> </w:t>
      </w:r>
      <w:r>
        <w:rPr>
          <w:color w:val="231F20"/>
          <w:sz w:val="17"/>
        </w:rPr>
        <w:t>United</w:t>
      </w:r>
      <w:r>
        <w:rPr>
          <w:color w:val="231F20"/>
          <w:spacing w:val="-14"/>
          <w:sz w:val="17"/>
        </w:rPr>
        <w:t> </w:t>
      </w:r>
      <w:r>
        <w:rPr>
          <w:color w:val="231F20"/>
          <w:sz w:val="17"/>
        </w:rPr>
        <w:t>States</w:t>
      </w:r>
      <w:r>
        <w:rPr>
          <w:color w:val="231F20"/>
          <w:spacing w:val="-14"/>
          <w:sz w:val="17"/>
        </w:rPr>
        <w:t> </w:t>
      </w:r>
      <w:r>
        <w:rPr>
          <w:color w:val="231F20"/>
          <w:spacing w:val="-3"/>
          <w:sz w:val="17"/>
        </w:rPr>
        <w:t>FoodNet</w:t>
      </w:r>
      <w:r>
        <w:rPr>
          <w:color w:val="231F20"/>
          <w:spacing w:val="-14"/>
          <w:sz w:val="17"/>
        </w:rPr>
        <w:t> </w:t>
      </w:r>
      <w:r>
        <w:rPr>
          <w:color w:val="231F20"/>
          <w:sz w:val="17"/>
        </w:rPr>
        <w:t>multi-</w:t>
      </w:r>
    </w:p>
    <w:p>
      <w:pPr>
        <w:spacing w:line="264" w:lineRule="auto" w:before="0"/>
        <w:ind w:left="964" w:right="1" w:firstLine="0"/>
        <w:jc w:val="left"/>
        <w:rPr>
          <w:sz w:val="17"/>
        </w:rPr>
      </w:pPr>
      <w:r>
        <w:rPr>
          <w:color w:val="231F20"/>
          <w:sz w:val="17"/>
        </w:rPr>
        <w:t>center retrospective cohort </w:t>
      </w:r>
      <w:r>
        <w:rPr>
          <w:color w:val="231F20"/>
          <w:spacing w:val="-4"/>
          <w:sz w:val="17"/>
        </w:rPr>
        <w:t>study. </w:t>
      </w:r>
      <w:r>
        <w:rPr>
          <w:color w:val="231F20"/>
          <w:sz w:val="17"/>
        </w:rPr>
        <w:t>Antimicrob Agents Chemother 2008;52:1278–84.</w:t>
      </w:r>
    </w:p>
    <w:p>
      <w:pPr>
        <w:pStyle w:val="ListParagraph"/>
        <w:numPr>
          <w:ilvl w:val="0"/>
          <w:numId w:val="18"/>
        </w:numPr>
        <w:tabs>
          <w:tab w:pos="965" w:val="left" w:leader="none"/>
        </w:tabs>
        <w:spacing w:line="264" w:lineRule="auto" w:before="86" w:after="0"/>
        <w:ind w:left="964" w:right="55" w:hanging="244"/>
        <w:jc w:val="left"/>
        <w:rPr>
          <w:sz w:val="17"/>
        </w:rPr>
      </w:pPr>
      <w:r>
        <w:rPr>
          <w:color w:val="231F20"/>
          <w:spacing w:val="-3"/>
          <w:sz w:val="17"/>
        </w:rPr>
        <w:t>Varma </w:t>
      </w:r>
      <w:r>
        <w:rPr>
          <w:color w:val="231F20"/>
          <w:sz w:val="17"/>
        </w:rPr>
        <w:t>JK, Greene </w:t>
      </w:r>
      <w:r>
        <w:rPr>
          <w:color w:val="231F20"/>
          <w:spacing w:val="-5"/>
          <w:sz w:val="17"/>
        </w:rPr>
        <w:t>KD, </w:t>
      </w:r>
      <w:r>
        <w:rPr>
          <w:color w:val="231F20"/>
          <w:sz w:val="17"/>
        </w:rPr>
        <w:t>Ovitt </w:t>
      </w:r>
      <w:r>
        <w:rPr>
          <w:color w:val="231F20"/>
          <w:spacing w:val="-6"/>
          <w:sz w:val="17"/>
        </w:rPr>
        <w:t>J, </w:t>
      </w:r>
      <w:r>
        <w:rPr>
          <w:color w:val="231F20"/>
          <w:sz w:val="17"/>
        </w:rPr>
        <w:t>Barrett </w:t>
      </w:r>
      <w:r>
        <w:rPr>
          <w:color w:val="231F20"/>
          <w:spacing w:val="-4"/>
          <w:sz w:val="17"/>
        </w:rPr>
        <w:t>TJ, </w:t>
      </w:r>
      <w:r>
        <w:rPr>
          <w:color w:val="231F20"/>
          <w:sz w:val="17"/>
        </w:rPr>
        <w:t>Medalla  </w:t>
      </w:r>
      <w:r>
        <w:rPr>
          <w:color w:val="231F20"/>
          <w:spacing w:val="-12"/>
          <w:sz w:val="17"/>
        </w:rPr>
        <w:t>F, </w:t>
      </w:r>
      <w:r>
        <w:rPr>
          <w:color w:val="231F20"/>
          <w:sz w:val="17"/>
        </w:rPr>
        <w:t>Angulo </w:t>
      </w:r>
      <w:r>
        <w:rPr>
          <w:color w:val="231F20"/>
          <w:spacing w:val="-4"/>
          <w:sz w:val="17"/>
        </w:rPr>
        <w:t>FJ. </w:t>
      </w:r>
      <w:r>
        <w:rPr>
          <w:color w:val="231F20"/>
          <w:sz w:val="17"/>
        </w:rPr>
        <w:t>Hospitalization and antimicrobial resistance</w:t>
      </w:r>
      <w:r>
        <w:rPr>
          <w:color w:val="231F20"/>
          <w:spacing w:val="-9"/>
          <w:sz w:val="17"/>
        </w:rPr>
        <w:t> </w:t>
      </w:r>
      <w:r>
        <w:rPr>
          <w:color w:val="231F20"/>
          <w:sz w:val="17"/>
        </w:rPr>
        <w:t>in</w:t>
      </w:r>
      <w:r>
        <w:rPr>
          <w:color w:val="231F20"/>
          <w:spacing w:val="-9"/>
          <w:sz w:val="17"/>
        </w:rPr>
        <w:t> </w:t>
      </w:r>
      <w:r>
        <w:rPr>
          <w:i/>
          <w:color w:val="231F20"/>
          <w:sz w:val="17"/>
        </w:rPr>
        <w:t>Salmonella</w:t>
      </w:r>
      <w:r>
        <w:rPr>
          <w:i/>
          <w:color w:val="231F20"/>
          <w:spacing w:val="-10"/>
          <w:sz w:val="17"/>
        </w:rPr>
        <w:t> </w:t>
      </w:r>
      <w:r>
        <w:rPr>
          <w:color w:val="231F20"/>
          <w:sz w:val="17"/>
        </w:rPr>
        <w:t>outbreaks,</w:t>
      </w:r>
      <w:r>
        <w:rPr>
          <w:color w:val="231F20"/>
          <w:spacing w:val="-9"/>
          <w:sz w:val="17"/>
        </w:rPr>
        <w:t> </w:t>
      </w:r>
      <w:r>
        <w:rPr>
          <w:color w:val="231F20"/>
          <w:sz w:val="17"/>
        </w:rPr>
        <w:t>1984–2002.</w:t>
      </w:r>
      <w:r>
        <w:rPr>
          <w:color w:val="231F20"/>
          <w:spacing w:val="-9"/>
          <w:sz w:val="17"/>
        </w:rPr>
        <w:t> </w:t>
      </w:r>
      <w:r>
        <w:rPr>
          <w:color w:val="231F20"/>
          <w:sz w:val="17"/>
        </w:rPr>
        <w:t>Emerg Infect Dis</w:t>
      </w:r>
      <w:r>
        <w:rPr>
          <w:color w:val="231F20"/>
          <w:spacing w:val="-12"/>
          <w:sz w:val="17"/>
        </w:rPr>
        <w:t> </w:t>
      </w:r>
      <w:r>
        <w:rPr>
          <w:color w:val="231F20"/>
          <w:sz w:val="17"/>
        </w:rPr>
        <w:t>2005;11:943–6.</w:t>
      </w:r>
    </w:p>
    <w:p>
      <w:pPr>
        <w:pStyle w:val="ListParagraph"/>
        <w:numPr>
          <w:ilvl w:val="0"/>
          <w:numId w:val="18"/>
        </w:numPr>
        <w:tabs>
          <w:tab w:pos="965" w:val="left" w:leader="none"/>
        </w:tabs>
        <w:spacing w:line="264" w:lineRule="auto" w:before="85" w:after="0"/>
        <w:ind w:left="964" w:right="0" w:hanging="244"/>
        <w:jc w:val="left"/>
        <w:rPr>
          <w:sz w:val="17"/>
        </w:rPr>
      </w:pPr>
      <w:r>
        <w:rPr>
          <w:color w:val="231F20"/>
          <w:sz w:val="17"/>
        </w:rPr>
        <w:t>CDC.</w:t>
      </w:r>
      <w:r>
        <w:rPr>
          <w:color w:val="231F20"/>
          <w:spacing w:val="-11"/>
          <w:sz w:val="17"/>
        </w:rPr>
        <w:t> </w:t>
      </w:r>
      <w:r>
        <w:rPr>
          <w:color w:val="231F20"/>
          <w:sz w:val="17"/>
        </w:rPr>
        <w:t>Surveillance</w:t>
      </w:r>
      <w:r>
        <w:rPr>
          <w:color w:val="231F20"/>
          <w:spacing w:val="-11"/>
          <w:sz w:val="17"/>
        </w:rPr>
        <w:t> </w:t>
      </w:r>
      <w:r>
        <w:rPr>
          <w:color w:val="231F20"/>
          <w:sz w:val="17"/>
        </w:rPr>
        <w:t>for</w:t>
      </w:r>
      <w:r>
        <w:rPr>
          <w:color w:val="231F20"/>
          <w:spacing w:val="-11"/>
          <w:sz w:val="17"/>
        </w:rPr>
        <w:t> </w:t>
      </w:r>
      <w:r>
        <w:rPr>
          <w:color w:val="231F20"/>
          <w:sz w:val="17"/>
        </w:rPr>
        <w:t>foodborne</w:t>
      </w:r>
      <w:r>
        <w:rPr>
          <w:color w:val="231F20"/>
          <w:spacing w:val="-11"/>
          <w:sz w:val="17"/>
        </w:rPr>
        <w:t> </w:t>
      </w:r>
      <w:r>
        <w:rPr>
          <w:color w:val="231F20"/>
          <w:sz w:val="17"/>
        </w:rPr>
        <w:t>disease</w:t>
      </w:r>
      <w:r>
        <w:rPr>
          <w:color w:val="231F20"/>
          <w:spacing w:val="-11"/>
          <w:sz w:val="17"/>
        </w:rPr>
        <w:t> </w:t>
      </w:r>
      <w:r>
        <w:rPr>
          <w:color w:val="231F20"/>
          <w:sz w:val="17"/>
        </w:rPr>
        <w:t>outbreaks— United States, 2009–2010. MMWR Morb Mortal Wkly </w:t>
      </w:r>
      <w:r>
        <w:rPr>
          <w:color w:val="231F20"/>
          <w:spacing w:val="-3"/>
          <w:sz w:val="17"/>
        </w:rPr>
        <w:t>Rep</w:t>
      </w:r>
      <w:r>
        <w:rPr>
          <w:color w:val="231F20"/>
          <w:spacing w:val="33"/>
          <w:sz w:val="17"/>
        </w:rPr>
        <w:t> </w:t>
      </w:r>
      <w:r>
        <w:rPr>
          <w:color w:val="231F20"/>
          <w:sz w:val="17"/>
        </w:rPr>
        <w:t>2013;62:41–7.</w:t>
      </w:r>
    </w:p>
    <w:p>
      <w:pPr>
        <w:pStyle w:val="ListParagraph"/>
        <w:numPr>
          <w:ilvl w:val="0"/>
          <w:numId w:val="18"/>
        </w:numPr>
        <w:tabs>
          <w:tab w:pos="965" w:val="left" w:leader="none"/>
        </w:tabs>
        <w:spacing w:line="264" w:lineRule="auto" w:before="85" w:after="0"/>
        <w:ind w:left="964" w:right="162" w:hanging="244"/>
        <w:jc w:val="left"/>
        <w:rPr>
          <w:sz w:val="17"/>
        </w:rPr>
      </w:pPr>
      <w:r>
        <w:rPr>
          <w:color w:val="231F20"/>
          <w:spacing w:val="-5"/>
          <w:sz w:val="17"/>
        </w:rPr>
        <w:t>Vega </w:t>
      </w:r>
      <w:r>
        <w:rPr>
          <w:color w:val="231F20"/>
          <w:sz w:val="17"/>
        </w:rPr>
        <w:t>E, Barclay L, Gregoricus </w:t>
      </w:r>
      <w:r>
        <w:rPr>
          <w:color w:val="231F20"/>
          <w:spacing w:val="-4"/>
          <w:sz w:val="17"/>
        </w:rPr>
        <w:t>N, </w:t>
      </w:r>
      <w:r>
        <w:rPr>
          <w:color w:val="231F20"/>
          <w:sz w:val="17"/>
        </w:rPr>
        <w:t>Williams K, Lee </w:t>
      </w:r>
      <w:r>
        <w:rPr>
          <w:color w:val="231F20"/>
          <w:spacing w:val="-7"/>
          <w:sz w:val="17"/>
        </w:rPr>
        <w:t>D,</w:t>
      </w:r>
      <w:r>
        <w:rPr>
          <w:color w:val="231F20"/>
          <w:spacing w:val="-16"/>
          <w:sz w:val="17"/>
        </w:rPr>
        <w:t> </w:t>
      </w:r>
      <w:r>
        <w:rPr>
          <w:color w:val="231F20"/>
          <w:sz w:val="17"/>
        </w:rPr>
        <w:t>Vinjé</w:t>
      </w:r>
      <w:r>
        <w:rPr>
          <w:color w:val="231F20"/>
          <w:spacing w:val="-16"/>
          <w:sz w:val="17"/>
        </w:rPr>
        <w:t> </w:t>
      </w:r>
      <w:r>
        <w:rPr>
          <w:color w:val="231F20"/>
          <w:spacing w:val="-6"/>
          <w:sz w:val="17"/>
        </w:rPr>
        <w:t>J.</w:t>
      </w:r>
      <w:r>
        <w:rPr>
          <w:color w:val="231F20"/>
          <w:spacing w:val="-16"/>
          <w:sz w:val="17"/>
        </w:rPr>
        <w:t> </w:t>
      </w:r>
      <w:r>
        <w:rPr>
          <w:color w:val="231F20"/>
          <w:sz w:val="17"/>
        </w:rPr>
        <w:t>Novel</w:t>
      </w:r>
      <w:r>
        <w:rPr>
          <w:color w:val="231F20"/>
          <w:spacing w:val="-16"/>
          <w:sz w:val="17"/>
        </w:rPr>
        <w:t> </w:t>
      </w:r>
      <w:r>
        <w:rPr>
          <w:color w:val="231F20"/>
          <w:sz w:val="17"/>
        </w:rPr>
        <w:t>surveillance</w:t>
      </w:r>
      <w:r>
        <w:rPr>
          <w:color w:val="231F20"/>
          <w:spacing w:val="-16"/>
          <w:sz w:val="17"/>
        </w:rPr>
        <w:t> </w:t>
      </w:r>
      <w:r>
        <w:rPr>
          <w:color w:val="231F20"/>
          <w:sz w:val="17"/>
        </w:rPr>
        <w:t>network</w:t>
      </w:r>
      <w:r>
        <w:rPr>
          <w:color w:val="231F20"/>
          <w:spacing w:val="-16"/>
          <w:sz w:val="17"/>
        </w:rPr>
        <w:t> </w:t>
      </w:r>
      <w:r>
        <w:rPr>
          <w:color w:val="231F20"/>
          <w:sz w:val="17"/>
        </w:rPr>
        <w:t>for</w:t>
      </w:r>
      <w:r>
        <w:rPr>
          <w:color w:val="231F20"/>
          <w:spacing w:val="-16"/>
          <w:sz w:val="17"/>
        </w:rPr>
        <w:t> </w:t>
      </w:r>
      <w:r>
        <w:rPr>
          <w:color w:val="231F20"/>
          <w:sz w:val="17"/>
        </w:rPr>
        <w:t>norovirus</w:t>
      </w:r>
    </w:p>
    <w:p>
      <w:pPr>
        <w:spacing w:line="264" w:lineRule="auto" w:before="0"/>
        <w:ind w:left="964" w:right="24" w:firstLine="0"/>
        <w:jc w:val="left"/>
        <w:rPr>
          <w:sz w:val="17"/>
        </w:rPr>
      </w:pPr>
      <w:r>
        <w:rPr>
          <w:color w:val="231F20"/>
          <w:sz w:val="17"/>
        </w:rPr>
        <w:t>gastroenteritis</w:t>
      </w:r>
      <w:r>
        <w:rPr>
          <w:color w:val="231F20"/>
          <w:spacing w:val="-13"/>
          <w:sz w:val="17"/>
        </w:rPr>
        <w:t> </w:t>
      </w:r>
      <w:r>
        <w:rPr>
          <w:color w:val="231F20"/>
          <w:sz w:val="17"/>
        </w:rPr>
        <w:t>outbreaks,</w:t>
      </w:r>
      <w:r>
        <w:rPr>
          <w:color w:val="231F20"/>
          <w:spacing w:val="-13"/>
          <w:sz w:val="17"/>
        </w:rPr>
        <w:t> </w:t>
      </w:r>
      <w:r>
        <w:rPr>
          <w:color w:val="231F20"/>
          <w:sz w:val="17"/>
        </w:rPr>
        <w:t>United</w:t>
      </w:r>
      <w:r>
        <w:rPr>
          <w:color w:val="231F20"/>
          <w:spacing w:val="-13"/>
          <w:sz w:val="17"/>
        </w:rPr>
        <w:t> </w:t>
      </w:r>
      <w:r>
        <w:rPr>
          <w:color w:val="231F20"/>
          <w:sz w:val="17"/>
        </w:rPr>
        <w:t>States.</w:t>
      </w:r>
      <w:r>
        <w:rPr>
          <w:color w:val="231F20"/>
          <w:spacing w:val="-13"/>
          <w:sz w:val="17"/>
        </w:rPr>
        <w:t> </w:t>
      </w:r>
      <w:r>
        <w:rPr>
          <w:color w:val="231F20"/>
          <w:sz w:val="17"/>
        </w:rPr>
        <w:t>Emerg</w:t>
      </w:r>
      <w:r>
        <w:rPr>
          <w:color w:val="231F20"/>
          <w:spacing w:val="-13"/>
          <w:sz w:val="17"/>
        </w:rPr>
        <w:t> </w:t>
      </w:r>
      <w:r>
        <w:rPr>
          <w:color w:val="231F20"/>
          <w:sz w:val="17"/>
        </w:rPr>
        <w:t>Infect Dis</w:t>
      </w:r>
      <w:r>
        <w:rPr>
          <w:color w:val="231F20"/>
          <w:spacing w:val="11"/>
          <w:sz w:val="17"/>
        </w:rPr>
        <w:t> </w:t>
      </w:r>
      <w:r>
        <w:rPr>
          <w:color w:val="231F20"/>
          <w:sz w:val="17"/>
        </w:rPr>
        <w:t>2011;17:1389–95.</w:t>
      </w:r>
    </w:p>
    <w:p>
      <w:pPr>
        <w:pStyle w:val="ListParagraph"/>
        <w:numPr>
          <w:ilvl w:val="0"/>
          <w:numId w:val="18"/>
        </w:numPr>
        <w:tabs>
          <w:tab w:pos="965" w:val="left" w:leader="none"/>
        </w:tabs>
        <w:spacing w:line="264" w:lineRule="auto" w:before="87" w:after="0"/>
        <w:ind w:left="964" w:right="23" w:hanging="244"/>
        <w:jc w:val="left"/>
        <w:rPr>
          <w:sz w:val="17"/>
        </w:rPr>
      </w:pPr>
      <w:r>
        <w:rPr>
          <w:color w:val="231F20"/>
          <w:sz w:val="17"/>
        </w:rPr>
        <w:t>ISO/IEC 17025:2005 Accreditation for state food testing laboratories (U18) Available at </w:t>
      </w:r>
      <w:r>
        <w:rPr>
          <w:color w:val="0079C1"/>
          <w:spacing w:val="-3"/>
          <w:sz w:val="17"/>
        </w:rPr>
        <w:t>www.grants. </w:t>
      </w:r>
      <w:r>
        <w:rPr>
          <w:color w:val="0079C1"/>
          <w:spacing w:val="-1"/>
          <w:w w:val="95"/>
          <w:sz w:val="17"/>
        </w:rPr>
        <w:t>nih.gov/grants/guide/rfa-files/RFA-FD-12-008.html </w:t>
      </w:r>
      <w:r>
        <w:rPr>
          <w:color w:val="231F20"/>
          <w:sz w:val="17"/>
        </w:rPr>
        <w:t>(access May 1,</w:t>
      </w:r>
      <w:r>
        <w:rPr>
          <w:color w:val="231F20"/>
          <w:spacing w:val="-7"/>
          <w:sz w:val="17"/>
        </w:rPr>
        <w:t> </w:t>
      </w:r>
      <w:r>
        <w:rPr>
          <w:color w:val="231F20"/>
          <w:sz w:val="17"/>
        </w:rPr>
        <w:t>2013).</w:t>
      </w:r>
    </w:p>
    <w:p>
      <w:pPr>
        <w:pStyle w:val="ListParagraph"/>
        <w:numPr>
          <w:ilvl w:val="0"/>
          <w:numId w:val="18"/>
        </w:numPr>
        <w:tabs>
          <w:tab w:pos="965" w:val="left" w:leader="none"/>
        </w:tabs>
        <w:spacing w:line="264" w:lineRule="auto" w:before="86" w:after="0"/>
        <w:ind w:left="964" w:right="214" w:hanging="244"/>
        <w:jc w:val="left"/>
        <w:rPr>
          <w:sz w:val="17"/>
        </w:rPr>
      </w:pPr>
      <w:r>
        <w:rPr>
          <w:color w:val="231F20"/>
          <w:sz w:val="17"/>
        </w:rPr>
        <w:t>Scallan E. Activities, achievements, and lessons learned</w:t>
      </w:r>
      <w:r>
        <w:rPr>
          <w:color w:val="231F20"/>
          <w:spacing w:val="-8"/>
          <w:sz w:val="17"/>
        </w:rPr>
        <w:t> </w:t>
      </w:r>
      <w:r>
        <w:rPr>
          <w:color w:val="231F20"/>
          <w:sz w:val="17"/>
        </w:rPr>
        <w:t>during</w:t>
      </w:r>
      <w:r>
        <w:rPr>
          <w:color w:val="231F20"/>
          <w:spacing w:val="-8"/>
          <w:sz w:val="17"/>
        </w:rPr>
        <w:t> </w:t>
      </w:r>
      <w:r>
        <w:rPr>
          <w:color w:val="231F20"/>
          <w:sz w:val="17"/>
        </w:rPr>
        <w:t>the</w:t>
      </w:r>
      <w:r>
        <w:rPr>
          <w:color w:val="231F20"/>
          <w:spacing w:val="-8"/>
          <w:sz w:val="17"/>
        </w:rPr>
        <w:t> </w:t>
      </w:r>
      <w:r>
        <w:rPr>
          <w:color w:val="231F20"/>
          <w:sz w:val="17"/>
        </w:rPr>
        <w:t>first</w:t>
      </w:r>
      <w:r>
        <w:rPr>
          <w:color w:val="231F20"/>
          <w:spacing w:val="-8"/>
          <w:sz w:val="17"/>
        </w:rPr>
        <w:t> </w:t>
      </w:r>
      <w:r>
        <w:rPr>
          <w:color w:val="231F20"/>
          <w:sz w:val="17"/>
        </w:rPr>
        <w:t>10</w:t>
      </w:r>
      <w:r>
        <w:rPr>
          <w:color w:val="231F20"/>
          <w:spacing w:val="-8"/>
          <w:sz w:val="17"/>
        </w:rPr>
        <w:t> </w:t>
      </w:r>
      <w:r>
        <w:rPr>
          <w:color w:val="231F20"/>
          <w:sz w:val="17"/>
        </w:rPr>
        <w:t>years</w:t>
      </w:r>
      <w:r>
        <w:rPr>
          <w:color w:val="231F20"/>
          <w:spacing w:val="-8"/>
          <w:sz w:val="17"/>
        </w:rPr>
        <w:t> </w:t>
      </w:r>
      <w:r>
        <w:rPr>
          <w:color w:val="231F20"/>
          <w:sz w:val="17"/>
        </w:rPr>
        <w:t>of</w:t>
      </w:r>
      <w:r>
        <w:rPr>
          <w:color w:val="231F20"/>
          <w:spacing w:val="13"/>
          <w:sz w:val="17"/>
        </w:rPr>
        <w:t> </w:t>
      </w:r>
      <w:r>
        <w:rPr>
          <w:color w:val="231F20"/>
          <w:sz w:val="17"/>
        </w:rPr>
        <w:t>the</w:t>
      </w:r>
      <w:r>
        <w:rPr>
          <w:color w:val="231F20"/>
          <w:spacing w:val="-8"/>
          <w:sz w:val="17"/>
        </w:rPr>
        <w:t> </w:t>
      </w:r>
      <w:r>
        <w:rPr>
          <w:color w:val="231F20"/>
          <w:sz w:val="17"/>
        </w:rPr>
        <w:t>Foodborne Diseases</w:t>
      </w:r>
      <w:r>
        <w:rPr>
          <w:color w:val="231F20"/>
          <w:spacing w:val="-13"/>
          <w:sz w:val="17"/>
        </w:rPr>
        <w:t> </w:t>
      </w:r>
      <w:r>
        <w:rPr>
          <w:color w:val="231F20"/>
          <w:sz w:val="17"/>
        </w:rPr>
        <w:t>Active</w:t>
      </w:r>
      <w:r>
        <w:rPr>
          <w:color w:val="231F20"/>
          <w:spacing w:val="-13"/>
          <w:sz w:val="17"/>
        </w:rPr>
        <w:t> </w:t>
      </w:r>
      <w:r>
        <w:rPr>
          <w:color w:val="231F20"/>
          <w:sz w:val="17"/>
        </w:rPr>
        <w:t>Surveillance</w:t>
      </w:r>
      <w:r>
        <w:rPr>
          <w:color w:val="231F20"/>
          <w:spacing w:val="-13"/>
          <w:sz w:val="17"/>
        </w:rPr>
        <w:t> </w:t>
      </w:r>
      <w:r>
        <w:rPr>
          <w:color w:val="231F20"/>
          <w:sz w:val="17"/>
        </w:rPr>
        <w:t>Network:</w:t>
      </w:r>
      <w:r>
        <w:rPr>
          <w:color w:val="231F20"/>
          <w:spacing w:val="-13"/>
          <w:sz w:val="17"/>
        </w:rPr>
        <w:t> </w:t>
      </w:r>
      <w:r>
        <w:rPr>
          <w:color w:val="231F20"/>
          <w:sz w:val="17"/>
        </w:rPr>
        <w:t>1996–2005. Clin Infect Dis</w:t>
      </w:r>
      <w:r>
        <w:rPr>
          <w:color w:val="231F20"/>
          <w:spacing w:val="-1"/>
          <w:sz w:val="17"/>
        </w:rPr>
        <w:t> </w:t>
      </w:r>
      <w:r>
        <w:rPr>
          <w:color w:val="231F20"/>
          <w:sz w:val="17"/>
        </w:rPr>
        <w:t>2007;44:718–25.</w:t>
      </w:r>
    </w:p>
    <w:p>
      <w:pPr>
        <w:pStyle w:val="ListParagraph"/>
        <w:numPr>
          <w:ilvl w:val="0"/>
          <w:numId w:val="18"/>
        </w:numPr>
        <w:tabs>
          <w:tab w:pos="965" w:val="left" w:leader="none"/>
        </w:tabs>
        <w:spacing w:line="264" w:lineRule="auto" w:before="86" w:after="0"/>
        <w:ind w:left="964" w:right="12" w:hanging="244"/>
        <w:jc w:val="left"/>
        <w:rPr>
          <w:sz w:val="17"/>
        </w:rPr>
      </w:pPr>
      <w:r>
        <w:rPr>
          <w:color w:val="231F20"/>
          <w:sz w:val="17"/>
        </w:rPr>
        <w:t>Jones </w:t>
      </w:r>
      <w:r>
        <w:rPr>
          <w:color w:val="231F20"/>
          <w:spacing w:val="-8"/>
          <w:sz w:val="17"/>
        </w:rPr>
        <w:t>TF, </w:t>
      </w:r>
      <w:r>
        <w:rPr>
          <w:color w:val="231F20"/>
          <w:sz w:val="17"/>
        </w:rPr>
        <w:t>Imhoff B, Samuel M, et al. Limitations to successful investigation and reporting of foodborne outbreaks:</w:t>
      </w:r>
      <w:r>
        <w:rPr>
          <w:color w:val="231F20"/>
          <w:spacing w:val="-12"/>
          <w:sz w:val="17"/>
        </w:rPr>
        <w:t> </w:t>
      </w:r>
      <w:r>
        <w:rPr>
          <w:color w:val="231F20"/>
          <w:sz w:val="17"/>
        </w:rPr>
        <w:t>an</w:t>
      </w:r>
      <w:r>
        <w:rPr>
          <w:color w:val="231F20"/>
          <w:spacing w:val="-11"/>
          <w:sz w:val="17"/>
        </w:rPr>
        <w:t> </w:t>
      </w:r>
      <w:r>
        <w:rPr>
          <w:color w:val="231F20"/>
          <w:sz w:val="17"/>
        </w:rPr>
        <w:t>analysis</w:t>
      </w:r>
      <w:r>
        <w:rPr>
          <w:color w:val="231F20"/>
          <w:spacing w:val="-12"/>
          <w:sz w:val="17"/>
        </w:rPr>
        <w:t> </w:t>
      </w:r>
      <w:r>
        <w:rPr>
          <w:color w:val="231F20"/>
          <w:sz w:val="17"/>
        </w:rPr>
        <w:t>of</w:t>
      </w:r>
      <w:r>
        <w:rPr>
          <w:color w:val="231F20"/>
          <w:spacing w:val="7"/>
          <w:sz w:val="17"/>
        </w:rPr>
        <w:t> </w:t>
      </w:r>
      <w:r>
        <w:rPr>
          <w:color w:val="231F20"/>
          <w:sz w:val="17"/>
        </w:rPr>
        <w:t>foodborne</w:t>
      </w:r>
      <w:r>
        <w:rPr>
          <w:color w:val="231F20"/>
          <w:spacing w:val="-11"/>
          <w:sz w:val="17"/>
        </w:rPr>
        <w:t> </w:t>
      </w:r>
      <w:r>
        <w:rPr>
          <w:color w:val="231F20"/>
          <w:sz w:val="17"/>
        </w:rPr>
        <w:t>disease</w:t>
      </w:r>
      <w:r>
        <w:rPr>
          <w:color w:val="231F20"/>
          <w:spacing w:val="-11"/>
          <w:sz w:val="17"/>
        </w:rPr>
        <w:t> </w:t>
      </w:r>
      <w:r>
        <w:rPr>
          <w:color w:val="231F20"/>
          <w:sz w:val="17"/>
        </w:rPr>
        <w:t>outbreaks in </w:t>
      </w:r>
      <w:r>
        <w:rPr>
          <w:color w:val="231F20"/>
          <w:spacing w:val="-3"/>
          <w:sz w:val="17"/>
        </w:rPr>
        <w:t>FoodNet </w:t>
      </w:r>
      <w:r>
        <w:rPr>
          <w:color w:val="231F20"/>
          <w:sz w:val="17"/>
        </w:rPr>
        <w:t>catchment areas, 1998–1999. Clin Infect Dis 2004;38(Suppl</w:t>
      </w:r>
      <w:r>
        <w:rPr>
          <w:color w:val="231F20"/>
          <w:spacing w:val="-1"/>
          <w:sz w:val="17"/>
        </w:rPr>
        <w:t> </w:t>
      </w:r>
      <w:r>
        <w:rPr>
          <w:color w:val="231F20"/>
          <w:sz w:val="17"/>
        </w:rPr>
        <w:t>3):S297–302.</w:t>
      </w:r>
    </w:p>
    <w:p>
      <w:pPr>
        <w:pStyle w:val="ListParagraph"/>
        <w:numPr>
          <w:ilvl w:val="0"/>
          <w:numId w:val="18"/>
        </w:numPr>
        <w:tabs>
          <w:tab w:pos="965" w:val="left" w:leader="none"/>
        </w:tabs>
        <w:spacing w:line="264" w:lineRule="auto" w:before="86" w:after="0"/>
        <w:ind w:left="964" w:right="49" w:hanging="244"/>
        <w:jc w:val="left"/>
        <w:rPr>
          <w:sz w:val="17"/>
        </w:rPr>
      </w:pPr>
      <w:r>
        <w:rPr>
          <w:color w:val="231F20"/>
          <w:sz w:val="17"/>
        </w:rPr>
        <w:t>Scallan E, Jones </w:t>
      </w:r>
      <w:r>
        <w:rPr>
          <w:color w:val="231F20"/>
          <w:spacing w:val="-8"/>
          <w:sz w:val="17"/>
        </w:rPr>
        <w:t>TF, </w:t>
      </w:r>
      <w:r>
        <w:rPr>
          <w:color w:val="231F20"/>
          <w:sz w:val="17"/>
        </w:rPr>
        <w:t>Cronquist A, et al. Factors associated with seeking medical care and submitting a</w:t>
      </w:r>
      <w:r>
        <w:rPr>
          <w:color w:val="231F20"/>
          <w:spacing w:val="-11"/>
          <w:sz w:val="17"/>
        </w:rPr>
        <w:t> </w:t>
      </w:r>
      <w:r>
        <w:rPr>
          <w:color w:val="231F20"/>
          <w:sz w:val="17"/>
        </w:rPr>
        <w:t>stool</w:t>
      </w:r>
      <w:r>
        <w:rPr>
          <w:color w:val="231F20"/>
          <w:spacing w:val="-11"/>
          <w:sz w:val="17"/>
        </w:rPr>
        <w:t> </w:t>
      </w:r>
      <w:r>
        <w:rPr>
          <w:color w:val="231F20"/>
          <w:sz w:val="17"/>
        </w:rPr>
        <w:t>sample</w:t>
      </w:r>
      <w:r>
        <w:rPr>
          <w:color w:val="231F20"/>
          <w:spacing w:val="-11"/>
          <w:sz w:val="17"/>
        </w:rPr>
        <w:t> </w:t>
      </w:r>
      <w:r>
        <w:rPr>
          <w:color w:val="231F20"/>
          <w:sz w:val="17"/>
        </w:rPr>
        <w:t>in</w:t>
      </w:r>
      <w:r>
        <w:rPr>
          <w:color w:val="231F20"/>
          <w:spacing w:val="-11"/>
          <w:sz w:val="17"/>
        </w:rPr>
        <w:t> </w:t>
      </w:r>
      <w:r>
        <w:rPr>
          <w:color w:val="231F20"/>
          <w:sz w:val="17"/>
        </w:rPr>
        <w:t>estimating</w:t>
      </w:r>
      <w:r>
        <w:rPr>
          <w:color w:val="231F20"/>
          <w:spacing w:val="-11"/>
          <w:sz w:val="17"/>
        </w:rPr>
        <w:t> </w:t>
      </w:r>
      <w:r>
        <w:rPr>
          <w:color w:val="231F20"/>
          <w:sz w:val="17"/>
        </w:rPr>
        <w:t>the</w:t>
      </w:r>
      <w:r>
        <w:rPr>
          <w:color w:val="231F20"/>
          <w:spacing w:val="-11"/>
          <w:sz w:val="17"/>
        </w:rPr>
        <w:t> </w:t>
      </w:r>
      <w:r>
        <w:rPr>
          <w:color w:val="231F20"/>
          <w:sz w:val="17"/>
        </w:rPr>
        <w:t>burden</w:t>
      </w:r>
      <w:r>
        <w:rPr>
          <w:color w:val="231F20"/>
          <w:spacing w:val="-11"/>
          <w:sz w:val="17"/>
        </w:rPr>
        <w:t> </w:t>
      </w:r>
      <w:r>
        <w:rPr>
          <w:color w:val="231F20"/>
          <w:sz w:val="17"/>
        </w:rPr>
        <w:t>of</w:t>
      </w:r>
      <w:r>
        <w:rPr>
          <w:color w:val="231F20"/>
          <w:spacing w:val="8"/>
          <w:sz w:val="17"/>
        </w:rPr>
        <w:t> </w:t>
      </w:r>
      <w:r>
        <w:rPr>
          <w:color w:val="231F20"/>
          <w:sz w:val="17"/>
        </w:rPr>
        <w:t>foodborne illness.</w:t>
      </w:r>
      <w:r>
        <w:rPr>
          <w:color w:val="231F20"/>
          <w:spacing w:val="-15"/>
          <w:sz w:val="17"/>
        </w:rPr>
        <w:t> </w:t>
      </w:r>
      <w:r>
        <w:rPr>
          <w:color w:val="231F20"/>
          <w:sz w:val="17"/>
        </w:rPr>
        <w:t>Foodborne</w:t>
      </w:r>
      <w:r>
        <w:rPr>
          <w:color w:val="231F20"/>
          <w:spacing w:val="-15"/>
          <w:sz w:val="17"/>
        </w:rPr>
        <w:t> </w:t>
      </w:r>
      <w:r>
        <w:rPr>
          <w:color w:val="231F20"/>
          <w:sz w:val="17"/>
        </w:rPr>
        <w:t>Pathog</w:t>
      </w:r>
      <w:r>
        <w:rPr>
          <w:color w:val="231F20"/>
          <w:spacing w:val="-15"/>
          <w:sz w:val="17"/>
        </w:rPr>
        <w:t> </w:t>
      </w:r>
      <w:r>
        <w:rPr>
          <w:color w:val="231F20"/>
          <w:sz w:val="17"/>
        </w:rPr>
        <w:t>Dis</w:t>
      </w:r>
      <w:r>
        <w:rPr>
          <w:color w:val="231F20"/>
          <w:spacing w:val="-15"/>
          <w:sz w:val="17"/>
        </w:rPr>
        <w:t> </w:t>
      </w:r>
      <w:r>
        <w:rPr>
          <w:color w:val="231F20"/>
          <w:sz w:val="17"/>
        </w:rPr>
        <w:t>2006;3:432–8.</w:t>
      </w:r>
    </w:p>
    <w:p>
      <w:pPr>
        <w:pStyle w:val="ListParagraph"/>
        <w:numPr>
          <w:ilvl w:val="0"/>
          <w:numId w:val="18"/>
        </w:numPr>
        <w:tabs>
          <w:tab w:pos="965" w:val="left" w:leader="none"/>
        </w:tabs>
        <w:spacing w:line="264" w:lineRule="auto" w:before="86" w:after="0"/>
        <w:ind w:left="964" w:right="106" w:hanging="244"/>
        <w:jc w:val="left"/>
        <w:rPr>
          <w:sz w:val="17"/>
        </w:rPr>
      </w:pPr>
      <w:r>
        <w:rPr>
          <w:color w:val="231F20"/>
          <w:sz w:val="17"/>
        </w:rPr>
        <w:t>Scallan E, Majowicz SE, Hall </w:t>
      </w:r>
      <w:r>
        <w:rPr>
          <w:color w:val="231F20"/>
          <w:spacing w:val="-5"/>
          <w:sz w:val="17"/>
        </w:rPr>
        <w:t>G, </w:t>
      </w:r>
      <w:r>
        <w:rPr>
          <w:color w:val="231F20"/>
          <w:sz w:val="17"/>
        </w:rPr>
        <w:t>et al. Prevalence of diarrhoea in the community in Australia, Canada, Ireland, and the United States. Int J Epidemiol 2005;34:454–60.</w:t>
      </w:r>
    </w:p>
    <w:p>
      <w:pPr>
        <w:pStyle w:val="ListParagraph"/>
        <w:numPr>
          <w:ilvl w:val="0"/>
          <w:numId w:val="18"/>
        </w:numPr>
        <w:tabs>
          <w:tab w:pos="965" w:val="left" w:leader="none"/>
        </w:tabs>
        <w:spacing w:line="264" w:lineRule="auto" w:before="86" w:after="0"/>
        <w:ind w:left="964" w:right="36" w:hanging="244"/>
        <w:jc w:val="left"/>
        <w:rPr>
          <w:sz w:val="17"/>
        </w:rPr>
      </w:pPr>
      <w:r>
        <w:rPr>
          <w:color w:val="231F20"/>
          <w:sz w:val="17"/>
        </w:rPr>
        <w:t>Hennessy </w:t>
      </w:r>
      <w:r>
        <w:rPr>
          <w:color w:val="231F20"/>
          <w:spacing w:val="-8"/>
          <w:sz w:val="17"/>
        </w:rPr>
        <w:t>TW, </w:t>
      </w:r>
      <w:r>
        <w:rPr>
          <w:color w:val="231F20"/>
          <w:sz w:val="17"/>
        </w:rPr>
        <w:t>Marcus R, Deneen </w:t>
      </w:r>
      <w:r>
        <w:rPr>
          <w:color w:val="231F20"/>
          <w:spacing w:val="-16"/>
          <w:sz w:val="17"/>
        </w:rPr>
        <w:t>V, </w:t>
      </w:r>
      <w:r>
        <w:rPr>
          <w:color w:val="231F20"/>
          <w:sz w:val="17"/>
        </w:rPr>
        <w:t>et al. Survey of physician diagnostic practices for patients with acute diarrhea: clinical and public health implications. Clin Infect Dis 2004;38(Suppl</w:t>
      </w:r>
      <w:r>
        <w:rPr>
          <w:color w:val="231F20"/>
          <w:spacing w:val="-22"/>
          <w:sz w:val="17"/>
        </w:rPr>
        <w:t> </w:t>
      </w:r>
      <w:r>
        <w:rPr>
          <w:color w:val="231F20"/>
          <w:sz w:val="17"/>
        </w:rPr>
        <w:t>3):S203–11.</w:t>
      </w:r>
    </w:p>
    <w:p>
      <w:pPr>
        <w:pStyle w:val="ListParagraph"/>
        <w:numPr>
          <w:ilvl w:val="0"/>
          <w:numId w:val="18"/>
        </w:numPr>
        <w:tabs>
          <w:tab w:pos="965" w:val="left" w:leader="none"/>
        </w:tabs>
        <w:spacing w:line="264" w:lineRule="auto" w:before="86" w:after="0"/>
        <w:ind w:left="964" w:right="275" w:hanging="244"/>
        <w:jc w:val="left"/>
        <w:rPr>
          <w:sz w:val="17"/>
        </w:rPr>
      </w:pPr>
      <w:r>
        <w:rPr>
          <w:color w:val="231F20"/>
          <w:spacing w:val="-4"/>
          <w:sz w:val="17"/>
        </w:rPr>
        <w:t>Voetsch </w:t>
      </w:r>
      <w:r>
        <w:rPr>
          <w:color w:val="231F20"/>
          <w:sz w:val="17"/>
        </w:rPr>
        <w:t>AC, </w:t>
      </w:r>
      <w:r>
        <w:rPr>
          <w:color w:val="231F20"/>
          <w:spacing w:val="-7"/>
          <w:sz w:val="17"/>
        </w:rPr>
        <w:t>Van </w:t>
      </w:r>
      <w:r>
        <w:rPr>
          <w:color w:val="231F20"/>
          <w:sz w:val="17"/>
        </w:rPr>
        <w:t>Gilder </w:t>
      </w:r>
      <w:r>
        <w:rPr>
          <w:color w:val="231F20"/>
          <w:spacing w:val="-13"/>
          <w:sz w:val="17"/>
        </w:rPr>
        <w:t>T, </w:t>
      </w:r>
      <w:r>
        <w:rPr>
          <w:color w:val="231F20"/>
          <w:sz w:val="17"/>
        </w:rPr>
        <w:t>Angulo </w:t>
      </w:r>
      <w:r>
        <w:rPr>
          <w:color w:val="231F20"/>
          <w:spacing w:val="-4"/>
          <w:sz w:val="17"/>
        </w:rPr>
        <w:t>FJ. </w:t>
      </w:r>
      <w:r>
        <w:rPr>
          <w:color w:val="231F20"/>
          <w:spacing w:val="-3"/>
          <w:sz w:val="17"/>
        </w:rPr>
        <w:t>FoodNet </w:t>
      </w:r>
      <w:r>
        <w:rPr>
          <w:color w:val="231F20"/>
          <w:sz w:val="17"/>
        </w:rPr>
        <w:t>estimate of the burden of illness caused </w:t>
      </w:r>
      <w:r>
        <w:rPr>
          <w:color w:val="231F20"/>
          <w:spacing w:val="-3"/>
          <w:sz w:val="17"/>
        </w:rPr>
        <w:t>by </w:t>
      </w:r>
      <w:r>
        <w:rPr>
          <w:color w:val="231F20"/>
          <w:sz w:val="17"/>
        </w:rPr>
        <w:t>nontyphoidal </w:t>
      </w:r>
      <w:r>
        <w:rPr>
          <w:i/>
          <w:color w:val="231F20"/>
          <w:sz w:val="17"/>
        </w:rPr>
        <w:t>Salmonella </w:t>
      </w:r>
      <w:r>
        <w:rPr>
          <w:color w:val="231F20"/>
          <w:sz w:val="17"/>
        </w:rPr>
        <w:t>infections in the United States. Clin Infect Dis 2004;38(Suppl</w:t>
      </w:r>
      <w:r>
        <w:rPr>
          <w:color w:val="231F20"/>
          <w:spacing w:val="-19"/>
          <w:sz w:val="17"/>
        </w:rPr>
        <w:t> </w:t>
      </w:r>
      <w:r>
        <w:rPr>
          <w:color w:val="231F20"/>
          <w:sz w:val="17"/>
        </w:rPr>
        <w:t>3):S127–34.</w:t>
      </w:r>
    </w:p>
    <w:p>
      <w:pPr>
        <w:pStyle w:val="ListParagraph"/>
        <w:numPr>
          <w:ilvl w:val="0"/>
          <w:numId w:val="18"/>
        </w:numPr>
        <w:tabs>
          <w:tab w:pos="1046" w:val="left" w:leader="none"/>
        </w:tabs>
        <w:spacing w:line="264" w:lineRule="auto" w:before="86" w:after="0"/>
        <w:ind w:left="1045" w:right="87" w:hanging="325"/>
        <w:jc w:val="left"/>
        <w:rPr>
          <w:sz w:val="17"/>
        </w:rPr>
      </w:pPr>
      <w:r>
        <w:rPr>
          <w:color w:val="231F20"/>
          <w:sz w:val="17"/>
        </w:rPr>
        <w:t>Angulo </w:t>
      </w:r>
      <w:r>
        <w:rPr>
          <w:color w:val="231F20"/>
          <w:spacing w:val="-12"/>
          <w:sz w:val="17"/>
        </w:rPr>
        <w:t>F, </w:t>
      </w:r>
      <w:r>
        <w:rPr>
          <w:color w:val="231F20"/>
          <w:spacing w:val="-4"/>
          <w:sz w:val="17"/>
        </w:rPr>
        <w:t>Voetsch </w:t>
      </w:r>
      <w:r>
        <w:rPr>
          <w:color w:val="231F20"/>
          <w:sz w:val="17"/>
        </w:rPr>
        <w:t>A, </w:t>
      </w:r>
      <w:r>
        <w:rPr>
          <w:color w:val="231F20"/>
          <w:spacing w:val="-3"/>
          <w:sz w:val="17"/>
        </w:rPr>
        <w:t>Vugia </w:t>
      </w:r>
      <w:r>
        <w:rPr>
          <w:color w:val="231F20"/>
          <w:spacing w:val="-7"/>
          <w:sz w:val="17"/>
        </w:rPr>
        <w:t>D, </w:t>
      </w:r>
      <w:r>
        <w:rPr>
          <w:color w:val="231F20"/>
          <w:sz w:val="17"/>
        </w:rPr>
        <w:t>et al. Determing the burden of human illness from foodborne diseases: CDC’s Emerging Infectious Disease Program Foodborne</w:t>
      </w:r>
      <w:r>
        <w:rPr>
          <w:color w:val="231F20"/>
          <w:spacing w:val="-24"/>
          <w:sz w:val="17"/>
        </w:rPr>
        <w:t> </w:t>
      </w:r>
      <w:r>
        <w:rPr>
          <w:color w:val="231F20"/>
          <w:sz w:val="17"/>
        </w:rPr>
        <w:t>Disease</w:t>
      </w:r>
      <w:r>
        <w:rPr>
          <w:color w:val="231F20"/>
          <w:spacing w:val="-24"/>
          <w:sz w:val="17"/>
        </w:rPr>
        <w:t> </w:t>
      </w:r>
      <w:r>
        <w:rPr>
          <w:color w:val="231F20"/>
          <w:sz w:val="17"/>
        </w:rPr>
        <w:t>Active</w:t>
      </w:r>
      <w:r>
        <w:rPr>
          <w:color w:val="231F20"/>
          <w:spacing w:val="-24"/>
          <w:sz w:val="17"/>
        </w:rPr>
        <w:t> </w:t>
      </w:r>
      <w:r>
        <w:rPr>
          <w:color w:val="231F20"/>
          <w:sz w:val="17"/>
        </w:rPr>
        <w:t>Surveillance</w:t>
      </w:r>
      <w:r>
        <w:rPr>
          <w:color w:val="231F20"/>
          <w:spacing w:val="-24"/>
          <w:sz w:val="17"/>
        </w:rPr>
        <w:t> </w:t>
      </w:r>
      <w:r>
        <w:rPr>
          <w:color w:val="231F20"/>
          <w:sz w:val="17"/>
        </w:rPr>
        <w:t>Network</w:t>
      </w:r>
    </w:p>
    <w:p>
      <w:pPr>
        <w:spacing w:line="264" w:lineRule="auto" w:before="111"/>
        <w:ind w:left="673" w:right="1744" w:firstLine="0"/>
        <w:jc w:val="left"/>
        <w:rPr>
          <w:sz w:val="17"/>
        </w:rPr>
      </w:pPr>
      <w:r>
        <w:rPr/>
        <w:br w:type="column"/>
      </w:r>
      <w:r>
        <w:rPr>
          <w:color w:val="231F20"/>
          <w:sz w:val="17"/>
        </w:rPr>
        <w:t>(FoodNet).</w:t>
      </w:r>
      <w:r>
        <w:rPr>
          <w:color w:val="231F20"/>
          <w:spacing w:val="-15"/>
          <w:sz w:val="17"/>
        </w:rPr>
        <w:t> </w:t>
      </w:r>
      <w:r>
        <w:rPr>
          <w:color w:val="231F20"/>
          <w:spacing w:val="-7"/>
          <w:sz w:val="17"/>
        </w:rPr>
        <w:t>Vet</w:t>
      </w:r>
      <w:r>
        <w:rPr>
          <w:color w:val="231F20"/>
          <w:spacing w:val="-15"/>
          <w:sz w:val="17"/>
        </w:rPr>
        <w:t> </w:t>
      </w:r>
      <w:r>
        <w:rPr>
          <w:color w:val="231F20"/>
          <w:sz w:val="17"/>
        </w:rPr>
        <w:t>Clin</w:t>
      </w:r>
      <w:r>
        <w:rPr>
          <w:color w:val="231F20"/>
          <w:spacing w:val="-15"/>
          <w:sz w:val="17"/>
        </w:rPr>
        <w:t> </w:t>
      </w:r>
      <w:r>
        <w:rPr>
          <w:color w:val="231F20"/>
          <w:sz w:val="17"/>
        </w:rPr>
        <w:t>North</w:t>
      </w:r>
      <w:r>
        <w:rPr>
          <w:color w:val="231F20"/>
          <w:spacing w:val="-15"/>
          <w:sz w:val="17"/>
        </w:rPr>
        <w:t> </w:t>
      </w:r>
      <w:r>
        <w:rPr>
          <w:color w:val="231F20"/>
          <w:sz w:val="17"/>
        </w:rPr>
        <w:t>Am</w:t>
      </w:r>
      <w:r>
        <w:rPr>
          <w:color w:val="231F20"/>
          <w:spacing w:val="-15"/>
          <w:sz w:val="17"/>
        </w:rPr>
        <w:t> </w:t>
      </w:r>
      <w:r>
        <w:rPr>
          <w:color w:val="231F20"/>
          <w:spacing w:val="-4"/>
          <w:sz w:val="17"/>
        </w:rPr>
        <w:t>Food</w:t>
      </w:r>
      <w:r>
        <w:rPr>
          <w:color w:val="231F20"/>
          <w:spacing w:val="-15"/>
          <w:sz w:val="17"/>
        </w:rPr>
        <w:t> </w:t>
      </w:r>
      <w:r>
        <w:rPr>
          <w:color w:val="231F20"/>
          <w:sz w:val="17"/>
        </w:rPr>
        <w:t>Anim</w:t>
      </w:r>
      <w:r>
        <w:rPr>
          <w:color w:val="231F20"/>
          <w:spacing w:val="-15"/>
          <w:sz w:val="17"/>
        </w:rPr>
        <w:t> </w:t>
      </w:r>
      <w:r>
        <w:rPr>
          <w:color w:val="231F20"/>
          <w:sz w:val="17"/>
        </w:rPr>
        <w:t>Pract 1998;14:165–72.</w:t>
      </w:r>
    </w:p>
    <w:p>
      <w:pPr>
        <w:pStyle w:val="ListParagraph"/>
        <w:numPr>
          <w:ilvl w:val="0"/>
          <w:numId w:val="18"/>
        </w:numPr>
        <w:tabs>
          <w:tab w:pos="674" w:val="left" w:leader="none"/>
        </w:tabs>
        <w:spacing w:line="264" w:lineRule="auto" w:before="86" w:after="0"/>
        <w:ind w:left="673" w:right="1477" w:hanging="325"/>
        <w:jc w:val="left"/>
        <w:rPr>
          <w:sz w:val="17"/>
        </w:rPr>
      </w:pPr>
      <w:r>
        <w:rPr/>
        <w:pict>
          <v:rect style="position:absolute;margin-left:459pt;margin-top:.42523pt;width:45pt;height:18pt;mso-position-horizontal-relative:page;mso-position-vertical-relative:paragraph;z-index:5032" filled="true" fillcolor="#0079c1" stroked="false">
            <v:fill type="solid"/>
            <w10:wrap type="none"/>
          </v:rect>
        </w:pict>
      </w:r>
      <w:r>
        <w:rPr/>
        <w:pict>
          <v:line style="position:absolute;mso-position-horizontal-relative:page;mso-position-vertical-relative:paragraph;z-index:5056" from="450.5pt,.42483pt" to="450.5pt,242.32283pt" stroked="true" strokeweight="1pt" strokecolor="#0079c1">
            <v:stroke dashstyle="solid"/>
            <w10:wrap type="none"/>
          </v:line>
        </w:pict>
      </w:r>
      <w:r>
        <w:rPr/>
        <w:pict>
          <v:shape style="position:absolute;margin-left:465.014313pt;margin-top:22.421631pt;width:22.9pt;height:222.55pt;mso-position-horizontal-relative:page;mso-position-vertical-relative:paragraph;z-index:5080" type="#_x0000_t202" filled="false" stroked="false">
            <v:textbox inset="0,0,0,0" style="layout-flow:vertical">
              <w:txbxContent>
                <w:p>
                  <w:pPr>
                    <w:spacing w:line="200" w:lineRule="exact" w:before="26"/>
                    <w:ind w:left="20" w:right="-1009" w:firstLine="0"/>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468.849609pt;margin-top:5.175830pt;width:15.85pt;height:8.5pt;mso-position-horizontal-relative:page;mso-position-vertical-relative:paragraph;z-index:510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sz w:val="17"/>
        </w:rPr>
        <w:t>Hennessy </w:t>
      </w:r>
      <w:r>
        <w:rPr>
          <w:color w:val="231F20"/>
          <w:spacing w:val="-8"/>
          <w:sz w:val="17"/>
        </w:rPr>
        <w:t>TW, </w:t>
      </w:r>
      <w:r>
        <w:rPr>
          <w:color w:val="231F20"/>
          <w:sz w:val="17"/>
        </w:rPr>
        <w:t>Marcus R, Deneen </w:t>
      </w:r>
      <w:r>
        <w:rPr>
          <w:color w:val="231F20"/>
          <w:spacing w:val="-16"/>
          <w:sz w:val="17"/>
        </w:rPr>
        <w:t>V, </w:t>
      </w:r>
      <w:r>
        <w:rPr>
          <w:color w:val="231F20"/>
          <w:sz w:val="17"/>
        </w:rPr>
        <w:t>et al. Survey of physician</w:t>
      </w:r>
      <w:r>
        <w:rPr>
          <w:color w:val="231F20"/>
          <w:spacing w:val="-9"/>
          <w:sz w:val="17"/>
        </w:rPr>
        <w:t> </w:t>
      </w:r>
      <w:r>
        <w:rPr>
          <w:color w:val="231F20"/>
          <w:sz w:val="17"/>
        </w:rPr>
        <w:t>diagnostic</w:t>
      </w:r>
      <w:r>
        <w:rPr>
          <w:color w:val="231F20"/>
          <w:spacing w:val="-9"/>
          <w:sz w:val="17"/>
        </w:rPr>
        <w:t> </w:t>
      </w:r>
      <w:r>
        <w:rPr>
          <w:color w:val="231F20"/>
          <w:sz w:val="17"/>
        </w:rPr>
        <w:t>practices</w:t>
      </w:r>
      <w:r>
        <w:rPr>
          <w:color w:val="231F20"/>
          <w:spacing w:val="-9"/>
          <w:sz w:val="17"/>
        </w:rPr>
        <w:t> </w:t>
      </w:r>
      <w:r>
        <w:rPr>
          <w:color w:val="231F20"/>
          <w:sz w:val="17"/>
        </w:rPr>
        <w:t>for</w:t>
      </w:r>
      <w:r>
        <w:rPr>
          <w:color w:val="231F20"/>
          <w:spacing w:val="-9"/>
          <w:sz w:val="17"/>
        </w:rPr>
        <w:t> </w:t>
      </w:r>
      <w:r>
        <w:rPr>
          <w:color w:val="231F20"/>
          <w:sz w:val="17"/>
        </w:rPr>
        <w:t>patients</w:t>
      </w:r>
      <w:r>
        <w:rPr>
          <w:color w:val="231F20"/>
          <w:spacing w:val="-9"/>
          <w:sz w:val="17"/>
        </w:rPr>
        <w:t> </w:t>
      </w:r>
      <w:r>
        <w:rPr>
          <w:color w:val="231F20"/>
          <w:sz w:val="17"/>
        </w:rPr>
        <w:t>with</w:t>
      </w:r>
      <w:r>
        <w:rPr>
          <w:color w:val="231F20"/>
          <w:spacing w:val="-9"/>
          <w:sz w:val="17"/>
        </w:rPr>
        <w:t> </w:t>
      </w:r>
      <w:r>
        <w:rPr>
          <w:color w:val="231F20"/>
          <w:sz w:val="17"/>
        </w:rPr>
        <w:t>acute diarrhea: clinical and public health implications. Clin Infect Dis 2004;38(Suppl</w:t>
      </w:r>
      <w:r>
        <w:rPr>
          <w:color w:val="231F20"/>
          <w:spacing w:val="-13"/>
          <w:sz w:val="17"/>
        </w:rPr>
        <w:t> </w:t>
      </w:r>
      <w:r>
        <w:rPr>
          <w:color w:val="231F20"/>
          <w:sz w:val="17"/>
        </w:rPr>
        <w:t>3):S203–11.</w:t>
      </w:r>
    </w:p>
    <w:p>
      <w:pPr>
        <w:pStyle w:val="ListParagraph"/>
        <w:numPr>
          <w:ilvl w:val="0"/>
          <w:numId w:val="18"/>
        </w:numPr>
        <w:tabs>
          <w:tab w:pos="674" w:val="left" w:leader="none"/>
        </w:tabs>
        <w:spacing w:line="264" w:lineRule="auto" w:before="86" w:after="0"/>
        <w:ind w:left="673" w:right="1462" w:hanging="325"/>
        <w:jc w:val="left"/>
        <w:rPr>
          <w:sz w:val="17"/>
        </w:rPr>
      </w:pPr>
      <w:r>
        <w:rPr>
          <w:color w:val="231F20"/>
          <w:sz w:val="17"/>
        </w:rPr>
        <w:t>Guerrant RL, </w:t>
      </w:r>
      <w:r>
        <w:rPr>
          <w:color w:val="231F20"/>
          <w:spacing w:val="-7"/>
          <w:sz w:val="17"/>
        </w:rPr>
        <w:t>Van </w:t>
      </w:r>
      <w:r>
        <w:rPr>
          <w:color w:val="231F20"/>
          <w:sz w:val="17"/>
        </w:rPr>
        <w:t>Gilder </w:t>
      </w:r>
      <w:r>
        <w:rPr>
          <w:color w:val="231F20"/>
          <w:spacing w:val="-13"/>
          <w:sz w:val="17"/>
        </w:rPr>
        <w:t>T,  </w:t>
      </w:r>
      <w:r>
        <w:rPr>
          <w:color w:val="231F20"/>
          <w:sz w:val="17"/>
        </w:rPr>
        <w:t>Steiner TS, et al. Practice</w:t>
      </w:r>
      <w:r>
        <w:rPr>
          <w:color w:val="231F20"/>
          <w:spacing w:val="-10"/>
          <w:sz w:val="17"/>
        </w:rPr>
        <w:t> </w:t>
      </w:r>
      <w:r>
        <w:rPr>
          <w:color w:val="231F20"/>
          <w:sz w:val="17"/>
        </w:rPr>
        <w:t>guidelines</w:t>
      </w:r>
      <w:r>
        <w:rPr>
          <w:color w:val="231F20"/>
          <w:spacing w:val="-10"/>
          <w:sz w:val="17"/>
        </w:rPr>
        <w:t> </w:t>
      </w:r>
      <w:r>
        <w:rPr>
          <w:color w:val="231F20"/>
          <w:sz w:val="17"/>
        </w:rPr>
        <w:t>for</w:t>
      </w:r>
      <w:r>
        <w:rPr>
          <w:color w:val="231F20"/>
          <w:spacing w:val="-10"/>
          <w:sz w:val="17"/>
        </w:rPr>
        <w:t> </w:t>
      </w:r>
      <w:r>
        <w:rPr>
          <w:color w:val="231F20"/>
          <w:sz w:val="17"/>
        </w:rPr>
        <w:t>the</w:t>
      </w:r>
      <w:r>
        <w:rPr>
          <w:color w:val="231F20"/>
          <w:spacing w:val="-10"/>
          <w:sz w:val="17"/>
        </w:rPr>
        <w:t> </w:t>
      </w:r>
      <w:r>
        <w:rPr>
          <w:color w:val="231F20"/>
          <w:sz w:val="17"/>
        </w:rPr>
        <w:t>management</w:t>
      </w:r>
      <w:r>
        <w:rPr>
          <w:color w:val="231F20"/>
          <w:spacing w:val="-10"/>
          <w:sz w:val="17"/>
        </w:rPr>
        <w:t> </w:t>
      </w:r>
      <w:r>
        <w:rPr>
          <w:color w:val="231F20"/>
          <w:sz w:val="17"/>
        </w:rPr>
        <w:t>of</w:t>
      </w:r>
      <w:r>
        <w:rPr>
          <w:color w:val="231F20"/>
          <w:spacing w:val="8"/>
          <w:sz w:val="17"/>
        </w:rPr>
        <w:t> </w:t>
      </w:r>
      <w:r>
        <w:rPr>
          <w:color w:val="231F20"/>
          <w:sz w:val="17"/>
        </w:rPr>
        <w:t>infectious diarrhea. Clin Infect Dis</w:t>
      </w:r>
      <w:r>
        <w:rPr>
          <w:color w:val="231F20"/>
          <w:spacing w:val="22"/>
          <w:sz w:val="17"/>
        </w:rPr>
        <w:t> </w:t>
      </w:r>
      <w:r>
        <w:rPr>
          <w:color w:val="231F20"/>
          <w:sz w:val="17"/>
        </w:rPr>
        <w:t>2001;32:331–50.</w:t>
      </w:r>
    </w:p>
    <w:p>
      <w:pPr>
        <w:pStyle w:val="ListParagraph"/>
        <w:numPr>
          <w:ilvl w:val="0"/>
          <w:numId w:val="18"/>
        </w:numPr>
        <w:tabs>
          <w:tab w:pos="674" w:val="left" w:leader="none"/>
        </w:tabs>
        <w:spacing w:line="264" w:lineRule="auto" w:before="86" w:after="0"/>
        <w:ind w:left="673" w:right="1698" w:hanging="325"/>
        <w:jc w:val="left"/>
        <w:rPr>
          <w:sz w:val="17"/>
        </w:rPr>
      </w:pPr>
      <w:r>
        <w:rPr>
          <w:color w:val="231F20"/>
          <w:sz w:val="17"/>
        </w:rPr>
        <w:t>Jones </w:t>
      </w:r>
      <w:r>
        <w:rPr>
          <w:color w:val="231F20"/>
          <w:spacing w:val="-8"/>
          <w:sz w:val="17"/>
        </w:rPr>
        <w:t>TF, </w:t>
      </w:r>
      <w:r>
        <w:rPr>
          <w:color w:val="231F20"/>
          <w:sz w:val="17"/>
        </w:rPr>
        <w:t>Gerner-Smidt </w:t>
      </w:r>
      <w:r>
        <w:rPr>
          <w:color w:val="231F20"/>
          <w:spacing w:val="-13"/>
          <w:sz w:val="17"/>
        </w:rPr>
        <w:t>P. </w:t>
      </w:r>
      <w:r>
        <w:rPr>
          <w:color w:val="231F20"/>
          <w:sz w:val="17"/>
        </w:rPr>
        <w:t>Nonculture</w:t>
      </w:r>
      <w:r>
        <w:rPr>
          <w:color w:val="231F20"/>
          <w:spacing w:val="-23"/>
          <w:sz w:val="17"/>
        </w:rPr>
        <w:t> </w:t>
      </w:r>
      <w:r>
        <w:rPr>
          <w:color w:val="231F20"/>
          <w:sz w:val="17"/>
        </w:rPr>
        <w:t>diagnostic tests for enteric diseases. Emerg Infect Dis 2012;18:513–14.</w:t>
      </w:r>
    </w:p>
    <w:p>
      <w:pPr>
        <w:pStyle w:val="ListParagraph"/>
        <w:numPr>
          <w:ilvl w:val="0"/>
          <w:numId w:val="18"/>
        </w:numPr>
        <w:tabs>
          <w:tab w:pos="674" w:val="left" w:leader="none"/>
        </w:tabs>
        <w:spacing w:line="264" w:lineRule="auto" w:before="86" w:after="0"/>
        <w:ind w:left="673" w:right="1464" w:hanging="325"/>
        <w:jc w:val="left"/>
        <w:rPr>
          <w:sz w:val="17"/>
        </w:rPr>
      </w:pPr>
      <w:r>
        <w:rPr>
          <w:color w:val="231F20"/>
          <w:sz w:val="17"/>
        </w:rPr>
        <w:t>Cronquist AB, Mody RK, Atkinson R, et al. Impacts of culture-independent diagnostic practices on public health surveillance for bacterial enteric pathogens. Clin Infect Dis 2012;54(Suppl</w:t>
      </w:r>
      <w:r>
        <w:rPr>
          <w:color w:val="231F20"/>
          <w:spacing w:val="-30"/>
          <w:sz w:val="17"/>
        </w:rPr>
        <w:t> </w:t>
      </w:r>
      <w:r>
        <w:rPr>
          <w:color w:val="231F20"/>
          <w:sz w:val="17"/>
        </w:rPr>
        <w:t>5):S432–9.</w:t>
      </w:r>
    </w:p>
    <w:p>
      <w:pPr>
        <w:pStyle w:val="ListParagraph"/>
        <w:numPr>
          <w:ilvl w:val="0"/>
          <w:numId w:val="18"/>
        </w:numPr>
        <w:tabs>
          <w:tab w:pos="674" w:val="left" w:leader="none"/>
        </w:tabs>
        <w:spacing w:line="264" w:lineRule="auto" w:before="86" w:after="0"/>
        <w:ind w:left="673" w:right="1699" w:hanging="325"/>
        <w:jc w:val="left"/>
        <w:rPr>
          <w:sz w:val="17"/>
        </w:rPr>
      </w:pPr>
      <w:r>
        <w:rPr>
          <w:color w:val="231F20"/>
          <w:sz w:val="17"/>
        </w:rPr>
        <w:t>Guzewich </w:t>
      </w:r>
      <w:r>
        <w:rPr>
          <w:color w:val="231F20"/>
          <w:spacing w:val="-4"/>
          <w:sz w:val="17"/>
        </w:rPr>
        <w:t>JJ, </w:t>
      </w:r>
      <w:r>
        <w:rPr>
          <w:color w:val="231F20"/>
          <w:sz w:val="17"/>
        </w:rPr>
        <w:t>Bryan FL, </w:t>
      </w:r>
      <w:r>
        <w:rPr>
          <w:color w:val="231F20"/>
          <w:spacing w:val="-5"/>
          <w:sz w:val="17"/>
        </w:rPr>
        <w:t>Todd </w:t>
      </w:r>
      <w:r>
        <w:rPr>
          <w:color w:val="231F20"/>
          <w:spacing w:val="-4"/>
          <w:sz w:val="17"/>
        </w:rPr>
        <w:t>ECD. </w:t>
      </w:r>
      <w:r>
        <w:rPr>
          <w:color w:val="231F20"/>
          <w:sz w:val="17"/>
        </w:rPr>
        <w:t>Surveillance of foodborne disease I. Purposes and types of surveillance</w:t>
      </w:r>
      <w:r>
        <w:rPr>
          <w:color w:val="231F20"/>
          <w:spacing w:val="-17"/>
          <w:sz w:val="17"/>
        </w:rPr>
        <w:t> </w:t>
      </w:r>
      <w:r>
        <w:rPr>
          <w:color w:val="231F20"/>
          <w:sz w:val="17"/>
        </w:rPr>
        <w:t>systems</w:t>
      </w:r>
      <w:r>
        <w:rPr>
          <w:color w:val="231F20"/>
          <w:spacing w:val="-17"/>
          <w:sz w:val="17"/>
        </w:rPr>
        <w:t> </w:t>
      </w:r>
      <w:r>
        <w:rPr>
          <w:color w:val="231F20"/>
          <w:sz w:val="17"/>
        </w:rPr>
        <w:t>and</w:t>
      </w:r>
      <w:r>
        <w:rPr>
          <w:color w:val="231F20"/>
          <w:spacing w:val="-17"/>
          <w:sz w:val="17"/>
        </w:rPr>
        <w:t> </w:t>
      </w:r>
      <w:r>
        <w:rPr>
          <w:color w:val="231F20"/>
          <w:sz w:val="17"/>
        </w:rPr>
        <w:t>networks.</w:t>
      </w:r>
      <w:r>
        <w:rPr>
          <w:color w:val="231F20"/>
          <w:spacing w:val="-17"/>
          <w:sz w:val="17"/>
        </w:rPr>
        <w:t> </w:t>
      </w:r>
      <w:r>
        <w:rPr>
          <w:color w:val="231F20"/>
          <w:spacing w:val="-5"/>
          <w:sz w:val="17"/>
        </w:rPr>
        <w:t>J.Food</w:t>
      </w:r>
      <w:r>
        <w:rPr>
          <w:color w:val="231F20"/>
          <w:spacing w:val="-17"/>
          <w:sz w:val="17"/>
        </w:rPr>
        <w:t> </w:t>
      </w:r>
      <w:r>
        <w:rPr>
          <w:color w:val="231F20"/>
          <w:sz w:val="17"/>
        </w:rPr>
        <w:t>Protect 1997;60:555–66.</w:t>
      </w:r>
    </w:p>
    <w:p>
      <w:pPr>
        <w:pStyle w:val="ListParagraph"/>
        <w:numPr>
          <w:ilvl w:val="0"/>
          <w:numId w:val="18"/>
        </w:numPr>
        <w:tabs>
          <w:tab w:pos="674" w:val="left" w:leader="none"/>
        </w:tabs>
        <w:spacing w:line="264" w:lineRule="auto" w:before="86" w:after="0"/>
        <w:ind w:left="673" w:right="1540" w:hanging="325"/>
        <w:jc w:val="left"/>
        <w:rPr>
          <w:sz w:val="17"/>
        </w:rPr>
      </w:pPr>
      <w:r>
        <w:rPr>
          <w:color w:val="231F20"/>
          <w:spacing w:val="-5"/>
          <w:sz w:val="17"/>
        </w:rPr>
        <w:t>Todd </w:t>
      </w:r>
      <w:r>
        <w:rPr>
          <w:color w:val="231F20"/>
          <w:spacing w:val="-4"/>
          <w:sz w:val="17"/>
        </w:rPr>
        <w:t>ECD, </w:t>
      </w:r>
      <w:r>
        <w:rPr>
          <w:color w:val="231F20"/>
          <w:sz w:val="17"/>
        </w:rPr>
        <w:t>Guzewich </w:t>
      </w:r>
      <w:r>
        <w:rPr>
          <w:color w:val="231F20"/>
          <w:spacing w:val="-4"/>
          <w:sz w:val="17"/>
        </w:rPr>
        <w:t>JJ, </w:t>
      </w:r>
      <w:r>
        <w:rPr>
          <w:color w:val="231F20"/>
          <w:sz w:val="17"/>
        </w:rPr>
        <w:t>Bryan FL. Surveillance of foodborne</w:t>
      </w:r>
      <w:r>
        <w:rPr>
          <w:color w:val="231F20"/>
          <w:spacing w:val="-11"/>
          <w:sz w:val="17"/>
        </w:rPr>
        <w:t> </w:t>
      </w:r>
      <w:r>
        <w:rPr>
          <w:color w:val="231F20"/>
          <w:sz w:val="17"/>
        </w:rPr>
        <w:t>disease.</w:t>
      </w:r>
      <w:r>
        <w:rPr>
          <w:color w:val="231F20"/>
          <w:spacing w:val="-11"/>
          <w:sz w:val="17"/>
        </w:rPr>
        <w:t> </w:t>
      </w:r>
      <w:r>
        <w:rPr>
          <w:color w:val="231F20"/>
          <w:sz w:val="17"/>
        </w:rPr>
        <w:t>Part</w:t>
      </w:r>
      <w:r>
        <w:rPr>
          <w:color w:val="231F20"/>
          <w:spacing w:val="-11"/>
          <w:sz w:val="17"/>
        </w:rPr>
        <w:t> IV. </w:t>
      </w:r>
      <w:r>
        <w:rPr>
          <w:color w:val="231F20"/>
          <w:sz w:val="17"/>
        </w:rPr>
        <w:t>Dissemination</w:t>
      </w:r>
      <w:r>
        <w:rPr>
          <w:color w:val="231F20"/>
          <w:spacing w:val="-11"/>
          <w:sz w:val="17"/>
        </w:rPr>
        <w:t> </w:t>
      </w:r>
      <w:r>
        <w:rPr>
          <w:color w:val="231F20"/>
          <w:sz w:val="17"/>
        </w:rPr>
        <w:t>and</w:t>
      </w:r>
      <w:r>
        <w:rPr>
          <w:color w:val="231F20"/>
          <w:spacing w:val="-11"/>
          <w:sz w:val="17"/>
        </w:rPr>
        <w:t> </w:t>
      </w:r>
      <w:r>
        <w:rPr>
          <w:color w:val="231F20"/>
          <w:sz w:val="17"/>
        </w:rPr>
        <w:t>uses of surveillance data. </w:t>
      </w:r>
      <w:r>
        <w:rPr>
          <w:color w:val="231F20"/>
          <w:spacing w:val="-6"/>
          <w:sz w:val="17"/>
        </w:rPr>
        <w:t>J. </w:t>
      </w:r>
      <w:r>
        <w:rPr>
          <w:color w:val="231F20"/>
          <w:spacing w:val="-4"/>
          <w:sz w:val="17"/>
        </w:rPr>
        <w:t>Food </w:t>
      </w:r>
      <w:r>
        <w:rPr>
          <w:color w:val="231F20"/>
          <w:sz w:val="17"/>
        </w:rPr>
        <w:t>Protect. 1997;60:715– 23.</w:t>
      </w:r>
    </w:p>
    <w:p>
      <w:pPr>
        <w:pStyle w:val="ListParagraph"/>
        <w:numPr>
          <w:ilvl w:val="0"/>
          <w:numId w:val="18"/>
        </w:numPr>
        <w:tabs>
          <w:tab w:pos="674" w:val="left" w:leader="none"/>
        </w:tabs>
        <w:spacing w:line="264" w:lineRule="auto" w:before="86" w:after="0"/>
        <w:ind w:left="673" w:right="1540" w:hanging="325"/>
        <w:jc w:val="left"/>
        <w:rPr>
          <w:sz w:val="17"/>
        </w:rPr>
      </w:pPr>
      <w:r>
        <w:rPr>
          <w:color w:val="231F20"/>
          <w:sz w:val="17"/>
        </w:rPr>
        <w:t>Bryan FL, Guzewich </w:t>
      </w:r>
      <w:r>
        <w:rPr>
          <w:color w:val="231F20"/>
          <w:spacing w:val="-4"/>
          <w:sz w:val="17"/>
        </w:rPr>
        <w:t>JJ, </w:t>
      </w:r>
      <w:r>
        <w:rPr>
          <w:color w:val="231F20"/>
          <w:spacing w:val="-5"/>
          <w:sz w:val="17"/>
        </w:rPr>
        <w:t>Todd </w:t>
      </w:r>
      <w:r>
        <w:rPr>
          <w:color w:val="231F20"/>
          <w:spacing w:val="-4"/>
          <w:sz w:val="17"/>
        </w:rPr>
        <w:t>ECD. </w:t>
      </w:r>
      <w:r>
        <w:rPr>
          <w:color w:val="231F20"/>
          <w:sz w:val="17"/>
        </w:rPr>
        <w:t>Surveillance of foodborne disease II. Summary and</w:t>
      </w:r>
      <w:r>
        <w:rPr>
          <w:color w:val="231F20"/>
          <w:spacing w:val="-29"/>
          <w:sz w:val="17"/>
        </w:rPr>
        <w:t> </w:t>
      </w:r>
      <w:r>
        <w:rPr>
          <w:color w:val="231F20"/>
          <w:sz w:val="17"/>
        </w:rPr>
        <w:t>presentation</w:t>
      </w:r>
    </w:p>
    <w:p>
      <w:pPr>
        <w:spacing w:line="264" w:lineRule="auto" w:before="0"/>
        <w:ind w:left="673" w:right="1502" w:firstLine="0"/>
        <w:jc w:val="left"/>
        <w:rPr>
          <w:sz w:val="17"/>
        </w:rPr>
      </w:pPr>
      <w:r>
        <w:rPr>
          <w:color w:val="231F20"/>
          <w:sz w:val="17"/>
        </w:rPr>
        <w:t>of descriptive data and epidemiology patterns; their value and limitations. J.Food Protect 1997;60:567– 78.</w:t>
      </w:r>
    </w:p>
    <w:p>
      <w:pPr>
        <w:pStyle w:val="ListParagraph"/>
        <w:numPr>
          <w:ilvl w:val="0"/>
          <w:numId w:val="18"/>
        </w:numPr>
        <w:tabs>
          <w:tab w:pos="674" w:val="left" w:leader="none"/>
        </w:tabs>
        <w:spacing w:line="264" w:lineRule="auto" w:before="86" w:after="0"/>
        <w:ind w:left="673" w:right="1465" w:hanging="325"/>
        <w:jc w:val="left"/>
        <w:rPr>
          <w:sz w:val="17"/>
        </w:rPr>
      </w:pPr>
      <w:r>
        <w:rPr>
          <w:color w:val="231F20"/>
          <w:sz w:val="17"/>
        </w:rPr>
        <w:t>Bryan FL, Guzewich </w:t>
      </w:r>
      <w:r>
        <w:rPr>
          <w:color w:val="231F20"/>
          <w:spacing w:val="-4"/>
          <w:sz w:val="17"/>
        </w:rPr>
        <w:t>JJ, </w:t>
      </w:r>
      <w:r>
        <w:rPr>
          <w:color w:val="231F20"/>
          <w:spacing w:val="-5"/>
          <w:sz w:val="17"/>
        </w:rPr>
        <w:t>Todd </w:t>
      </w:r>
      <w:r>
        <w:rPr>
          <w:color w:val="231F20"/>
          <w:spacing w:val="-4"/>
          <w:sz w:val="17"/>
        </w:rPr>
        <w:t>ECD. </w:t>
      </w:r>
      <w:r>
        <w:rPr>
          <w:color w:val="231F20"/>
          <w:sz w:val="17"/>
        </w:rPr>
        <w:t>Surveillance of foodborne</w:t>
      </w:r>
      <w:r>
        <w:rPr>
          <w:color w:val="231F20"/>
          <w:spacing w:val="-8"/>
          <w:sz w:val="17"/>
        </w:rPr>
        <w:t> </w:t>
      </w:r>
      <w:r>
        <w:rPr>
          <w:color w:val="231F20"/>
          <w:sz w:val="17"/>
        </w:rPr>
        <w:t>disease</w:t>
      </w:r>
      <w:r>
        <w:rPr>
          <w:color w:val="231F20"/>
          <w:spacing w:val="-8"/>
          <w:sz w:val="17"/>
        </w:rPr>
        <w:t> </w:t>
      </w:r>
      <w:r>
        <w:rPr>
          <w:color w:val="231F20"/>
          <w:sz w:val="17"/>
        </w:rPr>
        <w:t>III.</w:t>
      </w:r>
      <w:r>
        <w:rPr>
          <w:color w:val="231F20"/>
          <w:spacing w:val="-8"/>
          <w:sz w:val="17"/>
        </w:rPr>
        <w:t> </w:t>
      </w:r>
      <w:r>
        <w:rPr>
          <w:color w:val="231F20"/>
          <w:sz w:val="17"/>
        </w:rPr>
        <w:t>Summary</w:t>
      </w:r>
      <w:r>
        <w:rPr>
          <w:color w:val="231F20"/>
          <w:spacing w:val="-8"/>
          <w:sz w:val="17"/>
        </w:rPr>
        <w:t> </w:t>
      </w:r>
      <w:r>
        <w:rPr>
          <w:color w:val="231F20"/>
          <w:sz w:val="17"/>
        </w:rPr>
        <w:t>and</w:t>
      </w:r>
      <w:r>
        <w:rPr>
          <w:color w:val="231F20"/>
          <w:spacing w:val="-8"/>
          <w:sz w:val="17"/>
        </w:rPr>
        <w:t> </w:t>
      </w:r>
      <w:r>
        <w:rPr>
          <w:color w:val="231F20"/>
          <w:sz w:val="17"/>
        </w:rPr>
        <w:t>presentation</w:t>
      </w:r>
      <w:r>
        <w:rPr>
          <w:color w:val="231F20"/>
          <w:spacing w:val="-8"/>
          <w:sz w:val="17"/>
        </w:rPr>
        <w:t> </w:t>
      </w:r>
      <w:r>
        <w:rPr>
          <w:color w:val="231F20"/>
          <w:sz w:val="17"/>
        </w:rPr>
        <w:t>of data</w:t>
      </w:r>
      <w:r>
        <w:rPr>
          <w:color w:val="231F20"/>
          <w:spacing w:val="-6"/>
          <w:sz w:val="17"/>
        </w:rPr>
        <w:t> </w:t>
      </w:r>
      <w:r>
        <w:rPr>
          <w:color w:val="231F20"/>
          <w:sz w:val="17"/>
        </w:rPr>
        <w:t>on</w:t>
      </w:r>
      <w:r>
        <w:rPr>
          <w:color w:val="231F20"/>
          <w:spacing w:val="-6"/>
          <w:sz w:val="17"/>
        </w:rPr>
        <w:t> </w:t>
      </w:r>
      <w:r>
        <w:rPr>
          <w:color w:val="231F20"/>
          <w:sz w:val="17"/>
        </w:rPr>
        <w:t>vehicles</w:t>
      </w:r>
      <w:r>
        <w:rPr>
          <w:color w:val="231F20"/>
          <w:spacing w:val="-6"/>
          <w:sz w:val="17"/>
        </w:rPr>
        <w:t> </w:t>
      </w:r>
      <w:r>
        <w:rPr>
          <w:color w:val="231F20"/>
          <w:sz w:val="17"/>
        </w:rPr>
        <w:t>and</w:t>
      </w:r>
      <w:r>
        <w:rPr>
          <w:color w:val="231F20"/>
          <w:spacing w:val="-6"/>
          <w:sz w:val="17"/>
        </w:rPr>
        <w:t> </w:t>
      </w:r>
      <w:r>
        <w:rPr>
          <w:color w:val="231F20"/>
          <w:sz w:val="17"/>
        </w:rPr>
        <w:t>contributory</w:t>
      </w:r>
      <w:r>
        <w:rPr>
          <w:color w:val="231F20"/>
          <w:spacing w:val="-6"/>
          <w:sz w:val="17"/>
        </w:rPr>
        <w:t> </w:t>
      </w:r>
      <w:r>
        <w:rPr>
          <w:color w:val="231F20"/>
          <w:sz w:val="17"/>
        </w:rPr>
        <w:t>factors;</w:t>
      </w:r>
      <w:r>
        <w:rPr>
          <w:color w:val="231F20"/>
          <w:spacing w:val="-6"/>
          <w:sz w:val="17"/>
        </w:rPr>
        <w:t> </w:t>
      </w:r>
      <w:r>
        <w:rPr>
          <w:color w:val="231F20"/>
          <w:sz w:val="17"/>
        </w:rPr>
        <w:t>their</w:t>
      </w:r>
      <w:r>
        <w:rPr>
          <w:color w:val="231F20"/>
          <w:spacing w:val="-6"/>
          <w:sz w:val="17"/>
        </w:rPr>
        <w:t> </w:t>
      </w:r>
      <w:r>
        <w:rPr>
          <w:color w:val="231F20"/>
          <w:sz w:val="17"/>
        </w:rPr>
        <w:t>value and limitations. </w:t>
      </w:r>
      <w:r>
        <w:rPr>
          <w:color w:val="231F20"/>
          <w:spacing w:val="-5"/>
          <w:sz w:val="17"/>
        </w:rPr>
        <w:t>J.Food </w:t>
      </w:r>
      <w:r>
        <w:rPr>
          <w:color w:val="231F20"/>
          <w:sz w:val="17"/>
        </w:rPr>
        <w:t>Protect</w:t>
      </w:r>
      <w:r>
        <w:rPr>
          <w:color w:val="231F20"/>
          <w:spacing w:val="-8"/>
          <w:sz w:val="17"/>
        </w:rPr>
        <w:t> </w:t>
      </w:r>
      <w:r>
        <w:rPr>
          <w:color w:val="231F20"/>
          <w:sz w:val="17"/>
        </w:rPr>
        <w:t>1997;60:701–14.</w:t>
      </w:r>
    </w:p>
    <w:p>
      <w:pPr>
        <w:pStyle w:val="ListParagraph"/>
        <w:numPr>
          <w:ilvl w:val="0"/>
          <w:numId w:val="18"/>
        </w:numPr>
        <w:tabs>
          <w:tab w:pos="674" w:val="left" w:leader="none"/>
        </w:tabs>
        <w:spacing w:line="264" w:lineRule="auto" w:before="85" w:after="0"/>
        <w:ind w:left="673" w:right="1750" w:hanging="325"/>
        <w:jc w:val="left"/>
        <w:rPr>
          <w:sz w:val="17"/>
        </w:rPr>
      </w:pPr>
      <w:r>
        <w:rPr>
          <w:color w:val="231F20"/>
          <w:sz w:val="17"/>
        </w:rPr>
        <w:t>CDC. Surveillance for foodborne disease outbreaks—United States, 2009–2010. MMWR Morb Mortal Wkly </w:t>
      </w:r>
      <w:r>
        <w:rPr>
          <w:color w:val="231F20"/>
          <w:spacing w:val="-3"/>
          <w:sz w:val="17"/>
        </w:rPr>
        <w:t>Rep </w:t>
      </w:r>
      <w:r>
        <w:rPr>
          <w:color w:val="231F20"/>
          <w:spacing w:val="5"/>
          <w:sz w:val="17"/>
        </w:rPr>
        <w:t> </w:t>
      </w:r>
      <w:r>
        <w:rPr>
          <w:color w:val="231F20"/>
          <w:sz w:val="17"/>
        </w:rPr>
        <w:t>2013;62:41–7.</w:t>
      </w:r>
    </w:p>
    <w:p>
      <w:pPr>
        <w:pStyle w:val="ListParagraph"/>
        <w:numPr>
          <w:ilvl w:val="0"/>
          <w:numId w:val="18"/>
        </w:numPr>
        <w:tabs>
          <w:tab w:pos="674" w:val="left" w:leader="none"/>
        </w:tabs>
        <w:spacing w:line="264" w:lineRule="auto" w:before="85" w:after="0"/>
        <w:ind w:left="673" w:right="1607" w:hanging="325"/>
        <w:jc w:val="left"/>
        <w:rPr>
          <w:sz w:val="17"/>
        </w:rPr>
      </w:pPr>
      <w:r>
        <w:rPr>
          <w:color w:val="231F20"/>
          <w:w w:val="105"/>
          <w:sz w:val="17"/>
        </w:rPr>
        <w:t>MacDonald</w:t>
      </w:r>
      <w:r>
        <w:rPr>
          <w:color w:val="231F20"/>
          <w:spacing w:val="-26"/>
          <w:w w:val="105"/>
          <w:sz w:val="17"/>
        </w:rPr>
        <w:t> </w:t>
      </w:r>
      <w:r>
        <w:rPr>
          <w:color w:val="231F20"/>
          <w:w w:val="105"/>
          <w:sz w:val="17"/>
        </w:rPr>
        <w:t>KL,</w:t>
      </w:r>
      <w:r>
        <w:rPr>
          <w:color w:val="231F20"/>
          <w:spacing w:val="-26"/>
          <w:w w:val="105"/>
          <w:sz w:val="17"/>
        </w:rPr>
        <w:t> </w:t>
      </w:r>
      <w:r>
        <w:rPr>
          <w:color w:val="231F20"/>
          <w:w w:val="105"/>
          <w:sz w:val="17"/>
        </w:rPr>
        <w:t>Griffin</w:t>
      </w:r>
      <w:r>
        <w:rPr>
          <w:color w:val="231F20"/>
          <w:spacing w:val="-26"/>
          <w:w w:val="105"/>
          <w:sz w:val="17"/>
        </w:rPr>
        <w:t> </w:t>
      </w:r>
      <w:r>
        <w:rPr>
          <w:color w:val="231F20"/>
          <w:w w:val="105"/>
          <w:sz w:val="17"/>
        </w:rPr>
        <w:t>PM</w:t>
      </w:r>
      <w:r>
        <w:rPr>
          <w:color w:val="231F20"/>
          <w:spacing w:val="-26"/>
          <w:w w:val="105"/>
          <w:sz w:val="17"/>
        </w:rPr>
        <w:t> </w:t>
      </w:r>
      <w:r>
        <w:rPr>
          <w:color w:val="231F20"/>
          <w:w w:val="105"/>
          <w:sz w:val="17"/>
        </w:rPr>
        <w:t>.</w:t>
      </w:r>
      <w:r>
        <w:rPr>
          <w:color w:val="231F20"/>
          <w:spacing w:val="-26"/>
          <w:w w:val="105"/>
          <w:sz w:val="17"/>
        </w:rPr>
        <w:t> </w:t>
      </w:r>
      <w:r>
        <w:rPr>
          <w:color w:val="231F20"/>
          <w:w w:val="105"/>
          <w:sz w:val="17"/>
        </w:rPr>
        <w:t>Foodborne</w:t>
      </w:r>
      <w:r>
        <w:rPr>
          <w:color w:val="231F20"/>
          <w:spacing w:val="-26"/>
          <w:w w:val="105"/>
          <w:sz w:val="17"/>
        </w:rPr>
        <w:t> </w:t>
      </w:r>
      <w:r>
        <w:rPr>
          <w:color w:val="231F20"/>
          <w:w w:val="105"/>
          <w:sz w:val="17"/>
        </w:rPr>
        <w:t>disease outbreaks,</w:t>
      </w:r>
      <w:r>
        <w:rPr>
          <w:color w:val="231F20"/>
          <w:spacing w:val="-23"/>
          <w:w w:val="105"/>
          <w:sz w:val="17"/>
        </w:rPr>
        <w:t> </w:t>
      </w:r>
      <w:r>
        <w:rPr>
          <w:color w:val="231F20"/>
          <w:w w:val="105"/>
          <w:sz w:val="17"/>
        </w:rPr>
        <w:t>Annual</w:t>
      </w:r>
      <w:r>
        <w:rPr>
          <w:color w:val="231F20"/>
          <w:spacing w:val="-23"/>
          <w:w w:val="105"/>
          <w:sz w:val="17"/>
        </w:rPr>
        <w:t> </w:t>
      </w:r>
      <w:r>
        <w:rPr>
          <w:color w:val="231F20"/>
          <w:spacing w:val="-4"/>
          <w:w w:val="105"/>
          <w:sz w:val="17"/>
        </w:rPr>
        <w:t>summary,</w:t>
      </w:r>
      <w:r>
        <w:rPr>
          <w:color w:val="231F20"/>
          <w:spacing w:val="-23"/>
          <w:w w:val="105"/>
          <w:sz w:val="17"/>
        </w:rPr>
        <w:t> </w:t>
      </w:r>
      <w:r>
        <w:rPr>
          <w:color w:val="231F20"/>
          <w:w w:val="105"/>
          <w:sz w:val="17"/>
        </w:rPr>
        <w:t>1982.</w:t>
      </w:r>
      <w:r>
        <w:rPr>
          <w:color w:val="231F20"/>
          <w:spacing w:val="-23"/>
          <w:w w:val="105"/>
          <w:sz w:val="17"/>
        </w:rPr>
        <w:t> </w:t>
      </w:r>
      <w:r>
        <w:rPr>
          <w:color w:val="231F20"/>
          <w:w w:val="105"/>
          <w:sz w:val="17"/>
        </w:rPr>
        <w:t>MMWR</w:t>
      </w:r>
      <w:r>
        <w:rPr>
          <w:color w:val="231F20"/>
          <w:spacing w:val="-23"/>
          <w:w w:val="105"/>
          <w:sz w:val="17"/>
        </w:rPr>
        <w:t> </w:t>
      </w:r>
      <w:r>
        <w:rPr>
          <w:color w:val="231F20"/>
          <w:w w:val="105"/>
          <w:sz w:val="17"/>
        </w:rPr>
        <w:t>CDC </w:t>
      </w:r>
      <w:r>
        <w:rPr>
          <w:color w:val="231F20"/>
          <w:sz w:val="17"/>
        </w:rPr>
        <w:t>Surveill  Summ</w:t>
      </w:r>
      <w:r>
        <w:rPr>
          <w:color w:val="231F20"/>
          <w:spacing w:val="4"/>
          <w:sz w:val="17"/>
        </w:rPr>
        <w:t> </w:t>
      </w:r>
      <w:r>
        <w:rPr>
          <w:color w:val="231F20"/>
          <w:sz w:val="17"/>
        </w:rPr>
        <w:t>1986;35:7SS–16SS.</w:t>
      </w:r>
    </w:p>
    <w:p>
      <w:pPr>
        <w:pStyle w:val="ListParagraph"/>
        <w:numPr>
          <w:ilvl w:val="0"/>
          <w:numId w:val="18"/>
        </w:numPr>
        <w:tabs>
          <w:tab w:pos="674" w:val="left" w:leader="none"/>
        </w:tabs>
        <w:spacing w:line="264" w:lineRule="auto" w:before="85" w:after="0"/>
        <w:ind w:left="673" w:right="1609" w:hanging="325"/>
        <w:jc w:val="left"/>
        <w:rPr>
          <w:sz w:val="17"/>
        </w:rPr>
      </w:pPr>
      <w:r>
        <w:rPr>
          <w:color w:val="231F20"/>
          <w:sz w:val="17"/>
        </w:rPr>
        <w:t>Snider </w:t>
      </w:r>
      <w:r>
        <w:rPr>
          <w:color w:val="231F20"/>
          <w:spacing w:val="-4"/>
          <w:sz w:val="17"/>
        </w:rPr>
        <w:t>CJ, </w:t>
      </w:r>
      <w:r>
        <w:rPr>
          <w:color w:val="231F20"/>
          <w:spacing w:val="-3"/>
          <w:sz w:val="17"/>
        </w:rPr>
        <w:t>Vugia </w:t>
      </w:r>
      <w:r>
        <w:rPr>
          <w:color w:val="231F20"/>
          <w:spacing w:val="-4"/>
          <w:sz w:val="17"/>
        </w:rPr>
        <w:t>DJ, </w:t>
      </w:r>
      <w:r>
        <w:rPr>
          <w:color w:val="231F20"/>
          <w:sz w:val="17"/>
        </w:rPr>
        <w:t>Cronquist A, et al. Epidemiology of foodborne outbreaks of undetermined </w:t>
      </w:r>
      <w:r>
        <w:rPr>
          <w:color w:val="231F20"/>
          <w:spacing w:val="-3"/>
          <w:sz w:val="17"/>
        </w:rPr>
        <w:t>etiology, FoodNet </w:t>
      </w:r>
      <w:r>
        <w:rPr>
          <w:color w:val="231F20"/>
          <w:sz w:val="17"/>
        </w:rPr>
        <w:t>Sites, 2001–2004 [abstract]. Presented at the Infectious Diseases Society of America 43rd annual meeting, October 6–9, 2005, San Francisco,</w:t>
      </w:r>
      <w:r>
        <w:rPr>
          <w:color w:val="231F20"/>
          <w:spacing w:val="6"/>
          <w:sz w:val="17"/>
        </w:rPr>
        <w:t> </w:t>
      </w:r>
      <w:r>
        <w:rPr>
          <w:color w:val="231F20"/>
          <w:sz w:val="17"/>
        </w:rPr>
        <w:t>CA.</w:t>
      </w:r>
    </w:p>
    <w:p>
      <w:pPr>
        <w:pStyle w:val="ListParagraph"/>
        <w:numPr>
          <w:ilvl w:val="0"/>
          <w:numId w:val="18"/>
        </w:numPr>
        <w:tabs>
          <w:tab w:pos="674" w:val="left" w:leader="none"/>
        </w:tabs>
        <w:spacing w:line="264" w:lineRule="auto" w:before="85" w:after="0"/>
        <w:ind w:left="673" w:right="1485" w:hanging="325"/>
        <w:jc w:val="left"/>
        <w:rPr>
          <w:sz w:val="17"/>
        </w:rPr>
      </w:pPr>
      <w:r>
        <w:rPr>
          <w:color w:val="231F20"/>
          <w:sz w:val="17"/>
        </w:rPr>
        <w:t>CDC. Recommendations for collection of laboratory specimens associated with outbreaks of gastroenteritis. MMWR Recomm </w:t>
      </w:r>
      <w:r>
        <w:rPr>
          <w:color w:val="231F20"/>
          <w:spacing w:val="-3"/>
          <w:sz w:val="17"/>
        </w:rPr>
        <w:t>Rep </w:t>
      </w:r>
      <w:r>
        <w:rPr>
          <w:color w:val="231F20"/>
          <w:sz w:val="17"/>
        </w:rPr>
        <w:t>1990;39(RR- 14):1–13</w:t>
      </w:r>
    </w:p>
    <w:p>
      <w:pPr>
        <w:spacing w:after="0" w:line="264" w:lineRule="auto"/>
        <w:jc w:val="left"/>
        <w:rPr>
          <w:sz w:val="17"/>
        </w:rPr>
        <w:sectPr>
          <w:type w:val="continuous"/>
          <w:pgSz w:w="10080" w:h="14400"/>
          <w:pgMar w:top="0" w:bottom="360" w:left="0" w:right="0"/>
          <w:cols w:num="2" w:equalWidth="0">
            <w:col w:w="4472" w:space="40"/>
            <w:col w:w="5568"/>
          </w:cols>
        </w:sectPr>
      </w:pPr>
    </w:p>
    <w:p>
      <w:pPr>
        <w:pStyle w:val="BodyText"/>
      </w:pPr>
    </w:p>
    <w:p>
      <w:pPr>
        <w:pStyle w:val="BodyText"/>
      </w:pPr>
    </w:p>
    <w:p>
      <w:pPr>
        <w:pStyle w:val="BodyText"/>
      </w:pPr>
    </w:p>
    <w:p>
      <w:pPr>
        <w:pStyle w:val="BodyText"/>
        <w:spacing w:before="2"/>
        <w:rPr>
          <w:sz w:val="25"/>
        </w:rPr>
      </w:pPr>
    </w:p>
    <w:p>
      <w:pPr>
        <w:pStyle w:val="ListParagraph"/>
        <w:numPr>
          <w:ilvl w:val="0"/>
          <w:numId w:val="18"/>
        </w:numPr>
        <w:tabs>
          <w:tab w:pos="1766" w:val="left" w:leader="none"/>
        </w:tabs>
        <w:spacing w:line="264" w:lineRule="auto" w:before="1" w:after="0"/>
        <w:ind w:left="1765" w:right="4971" w:hanging="325"/>
        <w:jc w:val="left"/>
        <w:rPr>
          <w:sz w:val="17"/>
        </w:rPr>
      </w:pPr>
      <w:r>
        <w:rPr/>
        <w:pict>
          <v:rect style="position:absolute;margin-left:0pt;margin-top:21.496532pt;width:45pt;height:18pt;mso-position-horizontal-relative:page;mso-position-vertical-relative:paragraph;z-index:5128" filled="true" fillcolor="#0079c1" stroked="false">
            <v:fill type="solid"/>
            <w10:wrap type="none"/>
          </v:rect>
        </w:pict>
      </w:r>
      <w:r>
        <w:rPr/>
        <w:pict>
          <v:line style="position:absolute;mso-position-horizontal-relative:page;mso-position-vertical-relative:paragraph;z-index:5152" from="54.5pt,21.498133pt" to="54.5pt,263.396133pt" stroked="true" strokeweight="1pt" strokecolor="#0079c1">
            <v:stroke dashstyle="solid"/>
            <w10:wrap type="none"/>
          </v:line>
        </w:pict>
      </w:r>
      <w:r>
        <w:rPr/>
        <w:pict>
          <v:shape style="position:absolute;margin-left:16.131701pt;margin-top:43.044422pt;width:22.9pt;height:222.55pt;mso-position-horizontal-relative:page;mso-position-vertical-relative:paragraph;z-index:5176" type="#_x0000_t202" filled="false" stroked="false">
            <v:textbox inset="0,0,0,0" style="layout-flow:vertical;mso-layout-flow-alt:bottom-to-top">
              <w:txbxContent>
                <w:p>
                  <w:pPr>
                    <w:spacing w:line="200" w:lineRule="exact" w:before="26"/>
                    <w:ind w:left="374" w:right="-1363" w:hanging="355"/>
                    <w:jc w:val="left"/>
                    <w:rPr>
                      <w:rFonts w:ascii="Lucida Sans"/>
                      <w:sz w:val="18"/>
                    </w:rPr>
                  </w:pPr>
                  <w:r>
                    <w:rPr>
                      <w:rFonts w:ascii="Lucida Sans"/>
                      <w:color w:val="0079C1"/>
                      <w:spacing w:val="9"/>
                      <w:w w:val="103"/>
                      <w:sz w:val="18"/>
                    </w:rPr>
                    <w:t>FUNDAMEN</w:t>
                  </w:r>
                  <w:r>
                    <w:rPr>
                      <w:rFonts w:ascii="Lucida Sans"/>
                      <w:color w:val="0079C1"/>
                      <w:spacing w:val="-8"/>
                      <w:w w:val="103"/>
                      <w:sz w:val="18"/>
                    </w:rPr>
                    <w:t>T</w:t>
                  </w:r>
                  <w:r>
                    <w:rPr>
                      <w:rFonts w:ascii="Lucida Sans"/>
                      <w:color w:val="0079C1"/>
                      <w:spacing w:val="9"/>
                      <w:w w:val="99"/>
                      <w:sz w:val="18"/>
                    </w:rPr>
                    <w:t>A</w:t>
                  </w:r>
                  <w:r>
                    <w:rPr>
                      <w:rFonts w:ascii="Lucida Sans"/>
                      <w:color w:val="0079C1"/>
                      <w:w w:val="99"/>
                      <w:sz w:val="18"/>
                    </w:rPr>
                    <w:t>L</w:t>
                  </w:r>
                  <w:r>
                    <w:rPr>
                      <w:rFonts w:ascii="Lucida Sans"/>
                      <w:color w:val="0079C1"/>
                      <w:spacing w:val="11"/>
                      <w:sz w:val="18"/>
                    </w:rPr>
                    <w:t> </w:t>
                  </w:r>
                  <w:r>
                    <w:rPr>
                      <w:rFonts w:ascii="Lucida Sans"/>
                      <w:color w:val="0079C1"/>
                      <w:spacing w:val="9"/>
                      <w:w w:val="103"/>
                      <w:sz w:val="18"/>
                    </w:rPr>
                    <w:t>CONCEPT</w:t>
                  </w:r>
                  <w:r>
                    <w:rPr>
                      <w:rFonts w:ascii="Lucida Sans"/>
                      <w:color w:val="0079C1"/>
                      <w:w w:val="103"/>
                      <w:sz w:val="18"/>
                    </w:rPr>
                    <w:t>S</w:t>
                  </w:r>
                  <w:r>
                    <w:rPr>
                      <w:rFonts w:ascii="Lucida Sans"/>
                      <w:color w:val="0079C1"/>
                      <w:spacing w:val="11"/>
                      <w:sz w:val="18"/>
                    </w:rPr>
                    <w:t> </w:t>
                  </w:r>
                  <w:r>
                    <w:rPr>
                      <w:rFonts w:ascii="Lucida Sans"/>
                      <w:color w:val="0079C1"/>
                      <w:spacing w:val="9"/>
                      <w:w w:val="107"/>
                      <w:sz w:val="18"/>
                    </w:rPr>
                    <w:t>O</w:t>
                  </w:r>
                  <w:r>
                    <w:rPr>
                      <w:rFonts w:ascii="Lucida Sans"/>
                      <w:color w:val="0079C1"/>
                      <w:w w:val="107"/>
                      <w:sz w:val="18"/>
                    </w:rPr>
                    <w:t>F</w:t>
                  </w:r>
                  <w:r>
                    <w:rPr>
                      <w:rFonts w:ascii="Lucida Sans"/>
                      <w:color w:val="0079C1"/>
                      <w:spacing w:val="11"/>
                      <w:sz w:val="18"/>
                    </w:rPr>
                    <w:t> </w:t>
                  </w:r>
                  <w:r>
                    <w:rPr>
                      <w:rFonts w:ascii="Lucida Sans"/>
                      <w:color w:val="0079C1"/>
                      <w:spacing w:val="9"/>
                      <w:w w:val="102"/>
                      <w:sz w:val="18"/>
                    </w:rPr>
                    <w:t>PUBLI</w:t>
                  </w:r>
                  <w:r>
                    <w:rPr>
                      <w:rFonts w:ascii="Lucida Sans"/>
                      <w:color w:val="0079C1"/>
                      <w:w w:val="102"/>
                      <w:sz w:val="18"/>
                    </w:rPr>
                    <w:t>C</w:t>
                  </w:r>
                  <w:r>
                    <w:rPr>
                      <w:rFonts w:ascii="Lucida Sans"/>
                      <w:color w:val="0079C1"/>
                      <w:spacing w:val="11"/>
                      <w:sz w:val="18"/>
                    </w:rPr>
                    <w:t> </w:t>
                  </w:r>
                  <w:r>
                    <w:rPr>
                      <w:rFonts w:ascii="Lucida Sans"/>
                      <w:color w:val="0079C1"/>
                      <w:spacing w:val="9"/>
                      <w:w w:val="103"/>
                      <w:sz w:val="18"/>
                    </w:rPr>
                    <w:t>HEA</w:t>
                  </w:r>
                  <w:r>
                    <w:rPr>
                      <w:rFonts w:ascii="Lucida Sans"/>
                      <w:color w:val="0079C1"/>
                      <w:spacing w:val="-8"/>
                      <w:w w:val="103"/>
                      <w:sz w:val="18"/>
                    </w:rPr>
                    <w:t>L</w:t>
                  </w:r>
                  <w:r>
                    <w:rPr>
                      <w:rFonts w:ascii="Lucida Sans"/>
                      <w:color w:val="0079C1"/>
                      <w:spacing w:val="9"/>
                      <w:w w:val="96"/>
                      <w:sz w:val="18"/>
                    </w:rPr>
                    <w:t>TH </w:t>
                  </w:r>
                  <w:r>
                    <w:rPr>
                      <w:rFonts w:ascii="Lucida Sans"/>
                      <w:color w:val="0079C1"/>
                      <w:spacing w:val="9"/>
                      <w:w w:val="102"/>
                      <w:sz w:val="18"/>
                    </w:rPr>
                    <w:t>SURVEILLANC</w:t>
                  </w:r>
                  <w:r>
                    <w:rPr>
                      <w:rFonts w:ascii="Lucida Sans"/>
                      <w:color w:val="0079C1"/>
                      <w:w w:val="102"/>
                      <w:sz w:val="18"/>
                    </w:rPr>
                    <w:t>E</w:t>
                  </w:r>
                  <w:r>
                    <w:rPr>
                      <w:rFonts w:ascii="Lucida Sans"/>
                      <w:color w:val="0079C1"/>
                      <w:spacing w:val="11"/>
                      <w:sz w:val="18"/>
                    </w:rPr>
                    <w:t> </w:t>
                  </w:r>
                  <w:r>
                    <w:rPr>
                      <w:rFonts w:ascii="Lucida Sans"/>
                      <w:color w:val="0079C1"/>
                      <w:spacing w:val="9"/>
                      <w:w w:val="102"/>
                      <w:sz w:val="18"/>
                    </w:rPr>
                    <w:t>AN</w:t>
                  </w:r>
                  <w:r>
                    <w:rPr>
                      <w:rFonts w:ascii="Lucida Sans"/>
                      <w:color w:val="0079C1"/>
                      <w:w w:val="102"/>
                      <w:sz w:val="18"/>
                    </w:rPr>
                    <w:t>D</w:t>
                  </w:r>
                  <w:r>
                    <w:rPr>
                      <w:rFonts w:ascii="Lucida Sans"/>
                      <w:color w:val="0079C1"/>
                      <w:spacing w:val="11"/>
                      <w:sz w:val="18"/>
                    </w:rPr>
                    <w:t> </w:t>
                  </w:r>
                  <w:r>
                    <w:rPr>
                      <w:rFonts w:ascii="Lucida Sans"/>
                      <w:color w:val="0079C1"/>
                      <w:spacing w:val="9"/>
                      <w:w w:val="105"/>
                      <w:sz w:val="18"/>
                    </w:rPr>
                    <w:t>FOODBORN</w:t>
                  </w:r>
                  <w:r>
                    <w:rPr>
                      <w:rFonts w:ascii="Lucida Sans"/>
                      <w:color w:val="0079C1"/>
                      <w:w w:val="105"/>
                      <w:sz w:val="18"/>
                    </w:rPr>
                    <w:t>E</w:t>
                  </w:r>
                  <w:r>
                    <w:rPr>
                      <w:rFonts w:ascii="Lucida Sans"/>
                      <w:color w:val="0079C1"/>
                      <w:spacing w:val="11"/>
                      <w:sz w:val="18"/>
                    </w:rPr>
                    <w:t> </w:t>
                  </w:r>
                  <w:r>
                    <w:rPr>
                      <w:rFonts w:ascii="Lucida Sans"/>
                      <w:color w:val="0079C1"/>
                      <w:spacing w:val="9"/>
                      <w:w w:val="104"/>
                      <w:sz w:val="18"/>
                    </w:rPr>
                    <w:t>DISEASE</w:t>
                  </w:r>
                </w:p>
              </w:txbxContent>
            </v:textbox>
            <w10:wrap type="none"/>
          </v:shape>
        </w:pict>
      </w:r>
      <w:r>
        <w:rPr/>
        <w:pict>
          <v:shape style="position:absolute;margin-left:18.197588pt;margin-top:26.292986pt;width:15.85pt;height:8.5pt;mso-position-horizontal-relative:page;mso-position-vertical-relative:paragraph;z-index:5200" type="#_x0000_t202" filled="false" stroked="false">
            <v:textbox inset="0,0,0,0" style="layout-flow:vertical;mso-layout-flow-alt:bottom-to-top">
              <w:txbxContent>
                <w:p>
                  <w:pPr>
                    <w:spacing w:before="11"/>
                    <w:ind w:left="20" w:right="0" w:firstLine="0"/>
                    <w:jc w:val="left"/>
                    <w:rPr>
                      <w:rFonts w:ascii="Times New Roman"/>
                      <w:b/>
                      <w:sz w:val="24"/>
                    </w:rPr>
                  </w:pPr>
                  <w:r>
                    <w:rPr>
                      <w:rFonts w:ascii="Times New Roman"/>
                      <w:b/>
                      <w:color w:val="FFFFFF"/>
                      <w:w w:val="108"/>
                      <w:sz w:val="24"/>
                    </w:rPr>
                    <w:t>2</w:t>
                  </w:r>
                </w:p>
              </w:txbxContent>
            </v:textbox>
            <w10:wrap type="none"/>
          </v:shape>
        </w:pict>
      </w:r>
      <w:r>
        <w:rPr>
          <w:color w:val="231F20"/>
          <w:sz w:val="17"/>
        </w:rPr>
        <w:t>CDC. “Norwalk-like viruses:” public health consequences and outbreak management. MMWR Recomm </w:t>
      </w:r>
      <w:r>
        <w:rPr>
          <w:color w:val="231F20"/>
          <w:spacing w:val="-3"/>
          <w:sz w:val="17"/>
        </w:rPr>
        <w:t>Rep </w:t>
      </w:r>
      <w:r>
        <w:rPr>
          <w:color w:val="231F20"/>
          <w:sz w:val="17"/>
        </w:rPr>
        <w:t>2001;50(RR-9) [erratum in MMWR Morb Mortal Wkly </w:t>
      </w:r>
      <w:r>
        <w:rPr>
          <w:color w:val="231F20"/>
          <w:spacing w:val="-3"/>
          <w:sz w:val="17"/>
        </w:rPr>
        <w:t>Rep </w:t>
      </w:r>
      <w:r>
        <w:rPr>
          <w:color w:val="231F20"/>
          <w:spacing w:val="19"/>
          <w:sz w:val="17"/>
        </w:rPr>
        <w:t> </w:t>
      </w:r>
      <w:r>
        <w:rPr>
          <w:color w:val="231F20"/>
          <w:sz w:val="17"/>
        </w:rPr>
        <w:t>2001;50:496].</w:t>
      </w:r>
    </w:p>
    <w:p>
      <w:pPr>
        <w:pStyle w:val="ListParagraph"/>
        <w:numPr>
          <w:ilvl w:val="0"/>
          <w:numId w:val="18"/>
        </w:numPr>
        <w:tabs>
          <w:tab w:pos="1766" w:val="left" w:leader="none"/>
        </w:tabs>
        <w:spacing w:line="264" w:lineRule="auto" w:before="86" w:after="0"/>
        <w:ind w:left="1765" w:right="4894" w:hanging="325"/>
        <w:jc w:val="left"/>
        <w:rPr>
          <w:sz w:val="17"/>
        </w:rPr>
      </w:pPr>
      <w:r>
        <w:rPr>
          <w:color w:val="231F20"/>
          <w:sz w:val="17"/>
        </w:rPr>
        <w:t>Scallan E, Griffin PM, Angulo </w:t>
      </w:r>
      <w:r>
        <w:rPr>
          <w:color w:val="231F20"/>
          <w:spacing w:val="-4"/>
          <w:sz w:val="17"/>
        </w:rPr>
        <w:t>FJ, Tauxe </w:t>
      </w:r>
      <w:r>
        <w:rPr>
          <w:color w:val="231F20"/>
          <w:spacing w:val="-18"/>
          <w:sz w:val="17"/>
        </w:rPr>
        <w:t>RV, </w:t>
      </w:r>
      <w:r>
        <w:rPr>
          <w:color w:val="231F20"/>
          <w:sz w:val="17"/>
        </w:rPr>
        <w:t>Hoekstra RM. Foodborne illness acquired in the United</w:t>
      </w:r>
      <w:r>
        <w:rPr>
          <w:color w:val="231F20"/>
          <w:spacing w:val="-16"/>
          <w:sz w:val="17"/>
        </w:rPr>
        <w:t> </w:t>
      </w:r>
      <w:r>
        <w:rPr>
          <w:color w:val="231F20"/>
          <w:sz w:val="17"/>
        </w:rPr>
        <w:t>States—unspecified</w:t>
      </w:r>
      <w:r>
        <w:rPr>
          <w:color w:val="231F20"/>
          <w:spacing w:val="-16"/>
          <w:sz w:val="17"/>
        </w:rPr>
        <w:t> </w:t>
      </w:r>
      <w:r>
        <w:rPr>
          <w:color w:val="231F20"/>
          <w:sz w:val="17"/>
        </w:rPr>
        <w:t>agents.</w:t>
      </w:r>
      <w:r>
        <w:rPr>
          <w:color w:val="231F20"/>
          <w:spacing w:val="-16"/>
          <w:sz w:val="17"/>
        </w:rPr>
        <w:t> </w:t>
      </w:r>
      <w:r>
        <w:rPr>
          <w:color w:val="231F20"/>
          <w:sz w:val="17"/>
        </w:rPr>
        <w:t>Emerg</w:t>
      </w:r>
      <w:r>
        <w:rPr>
          <w:color w:val="231F20"/>
          <w:spacing w:val="-16"/>
          <w:sz w:val="17"/>
        </w:rPr>
        <w:t> </w:t>
      </w:r>
      <w:r>
        <w:rPr>
          <w:color w:val="231F20"/>
          <w:sz w:val="17"/>
        </w:rPr>
        <w:t>Infect</w:t>
      </w:r>
      <w:r>
        <w:rPr>
          <w:color w:val="231F20"/>
          <w:spacing w:val="-16"/>
          <w:sz w:val="17"/>
        </w:rPr>
        <w:t> </w:t>
      </w:r>
      <w:r>
        <w:rPr>
          <w:color w:val="231F20"/>
          <w:sz w:val="17"/>
        </w:rPr>
        <w:t>Dis 2011;17:16–22.</w:t>
      </w:r>
    </w:p>
    <w:p>
      <w:pPr>
        <w:pStyle w:val="ListParagraph"/>
        <w:numPr>
          <w:ilvl w:val="0"/>
          <w:numId w:val="18"/>
        </w:numPr>
        <w:tabs>
          <w:tab w:pos="1766" w:val="left" w:leader="none"/>
        </w:tabs>
        <w:spacing w:line="264" w:lineRule="auto" w:before="86" w:after="0"/>
        <w:ind w:left="1765" w:right="5115" w:hanging="325"/>
        <w:jc w:val="both"/>
        <w:rPr>
          <w:sz w:val="17"/>
        </w:rPr>
      </w:pPr>
      <w:r>
        <w:rPr>
          <w:color w:val="231F20"/>
          <w:sz w:val="17"/>
        </w:rPr>
        <w:t>Repp</w:t>
      </w:r>
      <w:r>
        <w:rPr>
          <w:color w:val="231F20"/>
          <w:spacing w:val="-8"/>
          <w:sz w:val="17"/>
        </w:rPr>
        <w:t> </w:t>
      </w:r>
      <w:r>
        <w:rPr>
          <w:color w:val="231F20"/>
          <w:sz w:val="17"/>
        </w:rPr>
        <w:t>KK,</w:t>
      </w:r>
      <w:r>
        <w:rPr>
          <w:color w:val="231F20"/>
          <w:spacing w:val="-8"/>
          <w:sz w:val="17"/>
        </w:rPr>
        <w:t> </w:t>
      </w:r>
      <w:r>
        <w:rPr>
          <w:color w:val="231F20"/>
          <w:sz w:val="17"/>
        </w:rPr>
        <w:t>Hostetler</w:t>
      </w:r>
      <w:r>
        <w:rPr>
          <w:color w:val="231F20"/>
          <w:spacing w:val="-8"/>
          <w:sz w:val="17"/>
        </w:rPr>
        <w:t> </w:t>
      </w:r>
      <w:r>
        <w:rPr>
          <w:color w:val="231F20"/>
          <w:spacing w:val="-9"/>
          <w:sz w:val="17"/>
        </w:rPr>
        <w:t>TP,</w:t>
      </w:r>
      <w:r>
        <w:rPr>
          <w:color w:val="231F20"/>
          <w:spacing w:val="-8"/>
          <w:sz w:val="17"/>
        </w:rPr>
        <w:t> </w:t>
      </w:r>
      <w:r>
        <w:rPr>
          <w:color w:val="231F20"/>
          <w:sz w:val="17"/>
        </w:rPr>
        <w:t>Keene</w:t>
      </w:r>
      <w:r>
        <w:rPr>
          <w:color w:val="231F20"/>
          <w:spacing w:val="-8"/>
          <w:sz w:val="17"/>
        </w:rPr>
        <w:t> </w:t>
      </w:r>
      <w:r>
        <w:rPr>
          <w:color w:val="231F20"/>
          <w:sz w:val="17"/>
        </w:rPr>
        <w:t>WE.</w:t>
      </w:r>
      <w:r>
        <w:rPr>
          <w:color w:val="231F20"/>
          <w:spacing w:val="-8"/>
          <w:sz w:val="17"/>
        </w:rPr>
        <w:t> </w:t>
      </w:r>
      <w:r>
        <w:rPr>
          <w:color w:val="231F20"/>
          <w:sz w:val="17"/>
        </w:rPr>
        <w:t>A</w:t>
      </w:r>
      <w:r>
        <w:rPr>
          <w:color w:val="231F20"/>
          <w:spacing w:val="-8"/>
          <w:sz w:val="17"/>
        </w:rPr>
        <w:t> </w:t>
      </w:r>
      <w:r>
        <w:rPr>
          <w:color w:val="231F20"/>
          <w:sz w:val="17"/>
        </w:rPr>
        <w:t>norovirus outbreak related to contaminated environmental surfaces. J Infect Dis</w:t>
      </w:r>
      <w:r>
        <w:rPr>
          <w:color w:val="231F20"/>
          <w:spacing w:val="-29"/>
          <w:sz w:val="17"/>
        </w:rPr>
        <w:t> </w:t>
      </w:r>
      <w:r>
        <w:rPr>
          <w:color w:val="231F20"/>
          <w:sz w:val="17"/>
        </w:rPr>
        <w:t>2013;208:295–8.</w:t>
      </w:r>
    </w:p>
    <w:p>
      <w:pPr>
        <w:pStyle w:val="ListParagraph"/>
        <w:numPr>
          <w:ilvl w:val="0"/>
          <w:numId w:val="18"/>
        </w:numPr>
        <w:tabs>
          <w:tab w:pos="1766" w:val="left" w:leader="none"/>
        </w:tabs>
        <w:spacing w:line="264" w:lineRule="auto" w:before="86" w:after="0"/>
        <w:ind w:left="1765" w:right="5129" w:hanging="325"/>
        <w:jc w:val="left"/>
        <w:rPr>
          <w:sz w:val="17"/>
        </w:rPr>
      </w:pPr>
      <w:r>
        <w:rPr>
          <w:color w:val="231F20"/>
          <w:sz w:val="17"/>
        </w:rPr>
        <w:t>Chamberlain </w:t>
      </w:r>
      <w:r>
        <w:rPr>
          <w:color w:val="231F20"/>
          <w:spacing w:val="-4"/>
          <w:sz w:val="17"/>
        </w:rPr>
        <w:t>N. </w:t>
      </w:r>
      <w:r>
        <w:rPr>
          <w:color w:val="231F20"/>
          <w:sz w:val="17"/>
        </w:rPr>
        <w:t>Infections and intoxications of the</w:t>
      </w:r>
      <w:r>
        <w:rPr>
          <w:color w:val="231F20"/>
          <w:spacing w:val="-17"/>
          <w:sz w:val="17"/>
        </w:rPr>
        <w:t> </w:t>
      </w:r>
      <w:r>
        <w:rPr>
          <w:color w:val="231F20"/>
          <w:sz w:val="17"/>
        </w:rPr>
        <w:t>intestines.</w:t>
      </w:r>
      <w:r>
        <w:rPr>
          <w:color w:val="231F20"/>
          <w:spacing w:val="-17"/>
          <w:sz w:val="17"/>
        </w:rPr>
        <w:t> </w:t>
      </w:r>
      <w:r>
        <w:rPr>
          <w:color w:val="231F20"/>
          <w:sz w:val="17"/>
        </w:rPr>
        <w:t>Available</w:t>
      </w:r>
      <w:r>
        <w:rPr>
          <w:color w:val="231F20"/>
          <w:spacing w:val="-17"/>
          <w:sz w:val="17"/>
        </w:rPr>
        <w:t> </w:t>
      </w:r>
      <w:r>
        <w:rPr>
          <w:color w:val="231F20"/>
          <w:sz w:val="17"/>
        </w:rPr>
        <w:t>at</w:t>
      </w:r>
      <w:r>
        <w:rPr>
          <w:color w:val="231F20"/>
          <w:spacing w:val="-17"/>
          <w:sz w:val="17"/>
        </w:rPr>
        <w:t> </w:t>
      </w:r>
      <w:hyperlink r:id="rId35">
        <w:r>
          <w:rPr>
            <w:color w:val="0079C1"/>
            <w:sz w:val="17"/>
          </w:rPr>
          <w:t>http://www.atsu.edu/</w:t>
        </w:r>
      </w:hyperlink>
    </w:p>
    <w:p>
      <w:pPr>
        <w:spacing w:line="264" w:lineRule="auto" w:before="0"/>
        <w:ind w:left="1765" w:right="4731" w:firstLine="0"/>
        <w:jc w:val="left"/>
        <w:rPr>
          <w:sz w:val="17"/>
        </w:rPr>
      </w:pPr>
      <w:r>
        <w:rPr>
          <w:color w:val="0079C1"/>
          <w:sz w:val="17"/>
        </w:rPr>
        <w:t>faculty/chamberlain/website/lectures/lecture/gi4. htm </w:t>
      </w:r>
      <w:r>
        <w:rPr>
          <w:color w:val="231F20"/>
          <w:sz w:val="17"/>
        </w:rPr>
        <w:t>(accessed November 18, 2013).</w:t>
      </w:r>
    </w:p>
    <w:sectPr>
      <w:pgSz w:w="10080" w:h="14400"/>
      <w:pgMar w:header="0" w:footer="160" w:top="1160" w:bottom="36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aramond">
    <w:altName w:val="Garamond"/>
    <w:charset w:val="0"/>
    <w:family w:val="roman"/>
    <w:pitch w:val="variable"/>
  </w:font>
  <w:font w:name="Arial">
    <w:altName w:val="Arial"/>
    <w:charset w:val="0"/>
    <w:family w:val="swiss"/>
    <w:pitch w:val="variable"/>
  </w:font>
  <w:font w:name="Lucida Sans">
    <w:altName w:val="Lucida Sans"/>
    <w:charset w:val="0"/>
    <w:family w:val="swiss"/>
    <w:pitch w:val="variable"/>
  </w:font>
  <w:font w:name="Trebuchet MS">
    <w:altName w:val="Trebuchet M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44488" from="0pt,702.5pt" to="432pt,702.5pt" stroked="true" strokeweight="1pt" strokecolor="#00a94f">
          <v:stroke dashstyle="solid"/>
          <w10:wrap type="none"/>
        </v:lin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44464" from="72pt,702.5pt" to="504pt,702.5pt" stroked="true" strokeweight="1pt" strokecolor="#00a94f">
          <v:stroke dashstyle="solid"/>
          <w10:wrap type="none"/>
        </v:lin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44440"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20.0471pt;margin-top:21.131701pt;width:14.05pt;height:12.9pt;mso-position-horizontal-relative:page;mso-position-vertical-relative:page;z-index:-44416"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95"/>
                    <w:sz w:val="18"/>
                  </w:rPr>
                  <w:instrText> PAGE </w:instrText>
                </w:r>
                <w:r>
                  <w:rPr/>
                  <w:fldChar w:fldCharType="separate"/>
                </w:r>
                <w:r>
                  <w:rPr/>
                  <w:t>58</w:t>
                </w:r>
                <w:r>
                  <w:rPr/>
                  <w:fldChar w:fldCharType="end"/>
                </w:r>
              </w:p>
            </w:txbxContent>
          </v:textbox>
          <w10:wrap type="none"/>
        </v:shape>
      </w:pict>
    </w:r>
    <w:r>
      <w:rPr/>
      <w:pict>
        <v:shape style="position:absolute;margin-left:71pt;margin-top:21.131701pt;width:275.150pt;height:12.9pt;mso-position-horizontal-relative:page;mso-position-vertical-relative:page;z-index:-44392"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44368"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44344"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69.996002pt;margin-top:21.131701pt;width:14.05pt;height:12.9pt;mso-position-horizontal-relative:page;mso-position-vertical-relative:page;z-index:-44320"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95"/>
                    <w:sz w:val="18"/>
                  </w:rPr>
                  <w:instrText> PAGE </w:instrText>
                </w:r>
                <w:r>
                  <w:rPr/>
                  <w:fldChar w:fldCharType="separate"/>
                </w:r>
                <w:r>
                  <w:rPr/>
                  <w:t>59</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
    <w:multiLevelType w:val="hybridMultilevel"/>
    <w:lvl w:ilvl="0">
      <w:start w:val="2"/>
      <w:numFmt w:val="decimal"/>
      <w:lvlText w:val="%1"/>
      <w:lvlJc w:val="left"/>
      <w:pPr>
        <w:ind w:left="882" w:hanging="163"/>
        <w:jc w:val="right"/>
      </w:pPr>
      <w:rPr>
        <w:rFonts w:hint="default" w:ascii="Garamond" w:hAnsi="Garamond" w:eastAsia="Garamond" w:cs="Garamond"/>
        <w:color w:val="231F20"/>
        <w:w w:val="102"/>
        <w:sz w:val="17"/>
        <w:szCs w:val="17"/>
      </w:rPr>
    </w:lvl>
    <w:lvl w:ilvl="1">
      <w:start w:val="0"/>
      <w:numFmt w:val="bullet"/>
      <w:lvlText w:val="•"/>
      <w:lvlJc w:val="left"/>
      <w:pPr>
        <w:ind w:left="880" w:hanging="163"/>
      </w:pPr>
      <w:rPr>
        <w:rFonts w:hint="default"/>
      </w:rPr>
    </w:lvl>
    <w:lvl w:ilvl="2">
      <w:start w:val="0"/>
      <w:numFmt w:val="bullet"/>
      <w:lvlText w:val="•"/>
      <w:lvlJc w:val="left"/>
      <w:pPr>
        <w:ind w:left="701" w:hanging="163"/>
      </w:pPr>
      <w:rPr>
        <w:rFonts w:hint="default"/>
      </w:rPr>
    </w:lvl>
    <w:lvl w:ilvl="3">
      <w:start w:val="0"/>
      <w:numFmt w:val="bullet"/>
      <w:lvlText w:val="•"/>
      <w:lvlJc w:val="left"/>
      <w:pPr>
        <w:ind w:left="522" w:hanging="163"/>
      </w:pPr>
      <w:rPr>
        <w:rFonts w:hint="default"/>
      </w:rPr>
    </w:lvl>
    <w:lvl w:ilvl="4">
      <w:start w:val="0"/>
      <w:numFmt w:val="bullet"/>
      <w:lvlText w:val="•"/>
      <w:lvlJc w:val="left"/>
      <w:pPr>
        <w:ind w:left="343" w:hanging="163"/>
      </w:pPr>
      <w:rPr>
        <w:rFonts w:hint="default"/>
      </w:rPr>
    </w:lvl>
    <w:lvl w:ilvl="5">
      <w:start w:val="0"/>
      <w:numFmt w:val="bullet"/>
      <w:lvlText w:val="•"/>
      <w:lvlJc w:val="left"/>
      <w:pPr>
        <w:ind w:left="165" w:hanging="163"/>
      </w:pPr>
      <w:rPr>
        <w:rFonts w:hint="default"/>
      </w:rPr>
    </w:lvl>
    <w:lvl w:ilvl="6">
      <w:start w:val="0"/>
      <w:numFmt w:val="bullet"/>
      <w:lvlText w:val="•"/>
      <w:lvlJc w:val="left"/>
      <w:pPr>
        <w:ind w:left="-14" w:hanging="163"/>
      </w:pPr>
      <w:rPr>
        <w:rFonts w:hint="default"/>
      </w:rPr>
    </w:lvl>
    <w:lvl w:ilvl="7">
      <w:start w:val="0"/>
      <w:numFmt w:val="bullet"/>
      <w:lvlText w:val="•"/>
      <w:lvlJc w:val="left"/>
      <w:pPr>
        <w:ind w:left="-193" w:hanging="163"/>
      </w:pPr>
      <w:rPr>
        <w:rFonts w:hint="default"/>
      </w:rPr>
    </w:lvl>
    <w:lvl w:ilvl="8">
      <w:start w:val="0"/>
      <w:numFmt w:val="bullet"/>
      <w:lvlText w:val="•"/>
      <w:lvlJc w:val="left"/>
      <w:pPr>
        <w:ind w:left="-371" w:hanging="163"/>
      </w:pPr>
      <w:rPr>
        <w:rFonts w:hint="default"/>
      </w:rPr>
    </w:lvl>
  </w:abstractNum>
  <w:abstractNum w:abstractNumId="16">
    <w:multiLevelType w:val="hybridMultilevel"/>
    <w:lvl w:ilvl="0">
      <w:start w:val="2"/>
      <w:numFmt w:val="decimal"/>
      <w:lvlText w:val="%1"/>
      <w:lvlJc w:val="left"/>
      <w:pPr>
        <w:ind w:left="1264" w:hanging="545"/>
        <w:jc w:val="left"/>
      </w:pPr>
      <w:rPr>
        <w:rFonts w:hint="default"/>
      </w:rPr>
    </w:lvl>
    <w:lvl w:ilvl="1">
      <w:start w:val="4"/>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0"/>
      <w:numFmt w:val="bullet"/>
      <w:lvlText w:val="•"/>
      <w:lvlJc w:val="left"/>
      <w:pPr>
        <w:ind w:left="3024" w:hanging="545"/>
      </w:pPr>
      <w:rPr>
        <w:rFonts w:hint="default"/>
      </w:rPr>
    </w:lvl>
    <w:lvl w:ilvl="3">
      <w:start w:val="0"/>
      <w:numFmt w:val="bullet"/>
      <w:lvlText w:val="•"/>
      <w:lvlJc w:val="left"/>
      <w:pPr>
        <w:ind w:left="3906" w:hanging="545"/>
      </w:pPr>
      <w:rPr>
        <w:rFonts w:hint="default"/>
      </w:rPr>
    </w:lvl>
    <w:lvl w:ilvl="4">
      <w:start w:val="0"/>
      <w:numFmt w:val="bullet"/>
      <w:lvlText w:val="•"/>
      <w:lvlJc w:val="left"/>
      <w:pPr>
        <w:ind w:left="4788" w:hanging="545"/>
      </w:pPr>
      <w:rPr>
        <w:rFonts w:hint="default"/>
      </w:rPr>
    </w:lvl>
    <w:lvl w:ilvl="5">
      <w:start w:val="0"/>
      <w:numFmt w:val="bullet"/>
      <w:lvlText w:val="•"/>
      <w:lvlJc w:val="left"/>
      <w:pPr>
        <w:ind w:left="5670" w:hanging="545"/>
      </w:pPr>
      <w:rPr>
        <w:rFonts w:hint="default"/>
      </w:rPr>
    </w:lvl>
    <w:lvl w:ilvl="6">
      <w:start w:val="0"/>
      <w:numFmt w:val="bullet"/>
      <w:lvlText w:val="•"/>
      <w:lvlJc w:val="left"/>
      <w:pPr>
        <w:ind w:left="6552" w:hanging="545"/>
      </w:pPr>
      <w:rPr>
        <w:rFonts w:hint="default"/>
      </w:rPr>
    </w:lvl>
    <w:lvl w:ilvl="7">
      <w:start w:val="0"/>
      <w:numFmt w:val="bullet"/>
      <w:lvlText w:val="•"/>
      <w:lvlJc w:val="left"/>
      <w:pPr>
        <w:ind w:left="7434" w:hanging="545"/>
      </w:pPr>
      <w:rPr>
        <w:rFonts w:hint="default"/>
      </w:rPr>
    </w:lvl>
    <w:lvl w:ilvl="8">
      <w:start w:val="0"/>
      <w:numFmt w:val="bullet"/>
      <w:lvlText w:val="•"/>
      <w:lvlJc w:val="left"/>
      <w:pPr>
        <w:ind w:left="8316" w:hanging="545"/>
      </w:pPr>
      <w:rPr>
        <w:rFonts w:hint="default"/>
      </w:rPr>
    </w:lvl>
  </w:abstractNum>
  <w:abstractNum w:abstractNumId="15">
    <w:multiLevelType w:val="hybridMultilevel"/>
    <w:lvl w:ilvl="0">
      <w:start w:val="2"/>
      <w:numFmt w:val="decimal"/>
      <w:lvlText w:val="%1"/>
      <w:lvlJc w:val="left"/>
      <w:pPr>
        <w:ind w:left="1984" w:hanging="545"/>
        <w:jc w:val="left"/>
      </w:pPr>
      <w:rPr>
        <w:rFonts w:hint="default"/>
      </w:rPr>
    </w:lvl>
    <w:lvl w:ilvl="1">
      <w:start w:val="4"/>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4"/>
      <w:numFmt w:val="decimal"/>
      <w:lvlText w:val="%1.%2.%3."/>
      <w:lvlJc w:val="left"/>
      <w:pPr>
        <w:ind w:left="1996" w:hanging="556"/>
        <w:jc w:val="left"/>
      </w:pPr>
      <w:rPr>
        <w:rFonts w:hint="default" w:ascii="Lucida Sans" w:hAnsi="Lucida Sans" w:eastAsia="Lucida Sans" w:cs="Lucida Sans"/>
        <w:color w:val="1C3E94"/>
        <w:w w:val="87"/>
        <w:sz w:val="20"/>
        <w:szCs w:val="20"/>
      </w:rPr>
    </w:lvl>
    <w:lvl w:ilvl="3">
      <w:start w:val="1"/>
      <w:numFmt w:val="decimal"/>
      <w:lvlText w:val="%1.%2.%3.%4."/>
      <w:lvlJc w:val="left"/>
      <w:pPr>
        <w:ind w:left="320" w:hanging="642"/>
        <w:jc w:val="right"/>
      </w:pPr>
      <w:rPr>
        <w:rFonts w:hint="default" w:ascii="Garamond" w:hAnsi="Garamond" w:eastAsia="Garamond" w:cs="Garamond"/>
        <w:i/>
        <w:color w:val="E36F1E"/>
        <w:w w:val="107"/>
        <w:sz w:val="20"/>
        <w:szCs w:val="20"/>
      </w:rPr>
    </w:lvl>
    <w:lvl w:ilvl="4">
      <w:start w:val="0"/>
      <w:numFmt w:val="bullet"/>
      <w:lvlText w:val="•"/>
      <w:lvlJc w:val="left"/>
      <w:pPr>
        <w:ind w:left="2805" w:hanging="642"/>
      </w:pPr>
      <w:rPr>
        <w:rFonts w:hint="default"/>
      </w:rPr>
    </w:lvl>
    <w:lvl w:ilvl="5">
      <w:start w:val="0"/>
      <w:numFmt w:val="bullet"/>
      <w:lvlText w:val="•"/>
      <w:lvlJc w:val="left"/>
      <w:pPr>
        <w:ind w:left="3207" w:hanging="642"/>
      </w:pPr>
      <w:rPr>
        <w:rFonts w:hint="default"/>
      </w:rPr>
    </w:lvl>
    <w:lvl w:ilvl="6">
      <w:start w:val="0"/>
      <w:numFmt w:val="bullet"/>
      <w:lvlText w:val="•"/>
      <w:lvlJc w:val="left"/>
      <w:pPr>
        <w:ind w:left="3609" w:hanging="642"/>
      </w:pPr>
      <w:rPr>
        <w:rFonts w:hint="default"/>
      </w:rPr>
    </w:lvl>
    <w:lvl w:ilvl="7">
      <w:start w:val="0"/>
      <w:numFmt w:val="bullet"/>
      <w:lvlText w:val="•"/>
      <w:lvlJc w:val="left"/>
      <w:pPr>
        <w:ind w:left="4012" w:hanging="642"/>
      </w:pPr>
      <w:rPr>
        <w:rFonts w:hint="default"/>
      </w:rPr>
    </w:lvl>
    <w:lvl w:ilvl="8">
      <w:start w:val="0"/>
      <w:numFmt w:val="bullet"/>
      <w:lvlText w:val="•"/>
      <w:lvlJc w:val="left"/>
      <w:pPr>
        <w:ind w:left="4414" w:hanging="642"/>
      </w:pPr>
      <w:rPr>
        <w:rFonts w:hint="default"/>
      </w:rPr>
    </w:lvl>
  </w:abstractNum>
  <w:abstractNum w:abstractNumId="14">
    <w:multiLevelType w:val="hybridMultilevel"/>
    <w:lvl w:ilvl="0">
      <w:start w:val="2"/>
      <w:numFmt w:val="decimal"/>
      <w:lvlText w:val="%1"/>
      <w:lvlJc w:val="left"/>
      <w:pPr>
        <w:ind w:left="332" w:hanging="790"/>
        <w:jc w:val="left"/>
      </w:pPr>
      <w:rPr>
        <w:rFonts w:hint="default"/>
      </w:rPr>
    </w:lvl>
    <w:lvl w:ilvl="1">
      <w:start w:val="4"/>
      <w:numFmt w:val="decimal"/>
      <w:lvlText w:val="%1.%2"/>
      <w:lvlJc w:val="left"/>
      <w:pPr>
        <w:ind w:left="332" w:hanging="790"/>
        <w:jc w:val="left"/>
      </w:pPr>
      <w:rPr>
        <w:rFonts w:hint="default"/>
      </w:rPr>
    </w:lvl>
    <w:lvl w:ilvl="2">
      <w:start w:val="3"/>
      <w:numFmt w:val="decimal"/>
      <w:lvlText w:val="%1.%2.%3"/>
      <w:lvlJc w:val="left"/>
      <w:pPr>
        <w:ind w:left="332" w:hanging="790"/>
        <w:jc w:val="left"/>
      </w:pPr>
      <w:rPr>
        <w:rFonts w:hint="default"/>
      </w:rPr>
    </w:lvl>
    <w:lvl w:ilvl="3">
      <w:start w:val="2"/>
      <w:numFmt w:val="decimal"/>
      <w:lvlText w:val="%1.%2.%3.%4"/>
      <w:lvlJc w:val="left"/>
      <w:pPr>
        <w:ind w:left="332" w:hanging="790"/>
        <w:jc w:val="left"/>
      </w:pPr>
      <w:rPr>
        <w:rFonts w:hint="default"/>
      </w:rPr>
    </w:lvl>
    <w:lvl w:ilvl="4">
      <w:start w:val="1"/>
      <w:numFmt w:val="decimal"/>
      <w:lvlText w:val="%1.%2.%3.%4.%5."/>
      <w:lvlJc w:val="left"/>
      <w:pPr>
        <w:ind w:left="332" w:hanging="790"/>
        <w:jc w:val="left"/>
      </w:pPr>
      <w:rPr>
        <w:rFonts w:hint="default" w:ascii="Garamond" w:hAnsi="Garamond" w:eastAsia="Garamond" w:cs="Garamond"/>
        <w:i/>
        <w:color w:val="0079C1"/>
        <w:w w:val="107"/>
        <w:sz w:val="20"/>
        <w:szCs w:val="20"/>
      </w:rPr>
    </w:lvl>
    <w:lvl w:ilvl="5">
      <w:start w:val="0"/>
      <w:numFmt w:val="bullet"/>
      <w:lvlText w:val="•"/>
      <w:lvlJc w:val="left"/>
      <w:pPr>
        <w:ind w:left="890" w:hanging="171"/>
      </w:pPr>
      <w:rPr>
        <w:rFonts w:hint="default" w:ascii="Garamond" w:hAnsi="Garamond" w:eastAsia="Garamond" w:cs="Garamond"/>
        <w:color w:val="00A94F"/>
        <w:spacing w:val="-27"/>
        <w:w w:val="97"/>
        <w:sz w:val="20"/>
        <w:szCs w:val="20"/>
      </w:rPr>
    </w:lvl>
    <w:lvl w:ilvl="6">
      <w:start w:val="0"/>
      <w:numFmt w:val="bullet"/>
      <w:lvlText w:val="•"/>
      <w:lvlJc w:val="left"/>
      <w:pPr>
        <w:ind w:left="415" w:hanging="171"/>
      </w:pPr>
      <w:rPr>
        <w:rFonts w:hint="default"/>
      </w:rPr>
    </w:lvl>
    <w:lvl w:ilvl="7">
      <w:start w:val="0"/>
      <w:numFmt w:val="bullet"/>
      <w:lvlText w:val="•"/>
      <w:lvlJc w:val="left"/>
      <w:pPr>
        <w:ind w:left="119" w:hanging="171"/>
      </w:pPr>
      <w:rPr>
        <w:rFonts w:hint="default"/>
      </w:rPr>
    </w:lvl>
    <w:lvl w:ilvl="8">
      <w:start w:val="0"/>
      <w:numFmt w:val="bullet"/>
      <w:lvlText w:val="•"/>
      <w:lvlJc w:val="left"/>
      <w:pPr>
        <w:ind w:left="-177" w:hanging="171"/>
      </w:pPr>
      <w:rPr>
        <w:rFonts w:hint="default"/>
      </w:rPr>
    </w:lvl>
  </w:abstractNum>
  <w:abstractNum w:abstractNumId="13">
    <w:multiLevelType w:val="hybridMultilevel"/>
    <w:lvl w:ilvl="0">
      <w:start w:val="2"/>
      <w:numFmt w:val="decimal"/>
      <w:lvlText w:val="%1"/>
      <w:lvlJc w:val="left"/>
      <w:pPr>
        <w:ind w:left="1984" w:hanging="545"/>
        <w:jc w:val="left"/>
      </w:pPr>
      <w:rPr>
        <w:rFonts w:hint="default"/>
      </w:rPr>
    </w:lvl>
    <w:lvl w:ilvl="1">
      <w:start w:val="4"/>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2"/>
      <w:numFmt w:val="decimal"/>
      <w:lvlText w:val="%1.%2.%3."/>
      <w:lvlJc w:val="left"/>
      <w:pPr>
        <w:ind w:left="1440" w:hanging="556"/>
        <w:jc w:val="right"/>
      </w:pPr>
      <w:rPr>
        <w:rFonts w:hint="default" w:ascii="Lucida Sans" w:hAnsi="Lucida Sans" w:eastAsia="Lucida Sans" w:cs="Lucida Sans"/>
        <w:color w:val="1C3E94"/>
        <w:w w:val="87"/>
        <w:sz w:val="20"/>
        <w:szCs w:val="20"/>
      </w:rPr>
    </w:lvl>
    <w:lvl w:ilvl="3">
      <w:start w:val="1"/>
      <w:numFmt w:val="decimal"/>
      <w:lvlText w:val="%1.%2.%3.%4."/>
      <w:lvlJc w:val="left"/>
      <w:pPr>
        <w:ind w:left="342" w:hanging="642"/>
        <w:jc w:val="left"/>
      </w:pPr>
      <w:rPr>
        <w:rFonts w:hint="default" w:ascii="Garamond" w:hAnsi="Garamond" w:eastAsia="Garamond" w:cs="Garamond"/>
        <w:i/>
        <w:color w:val="E36F1E"/>
        <w:w w:val="107"/>
        <w:sz w:val="20"/>
        <w:szCs w:val="20"/>
      </w:rPr>
    </w:lvl>
    <w:lvl w:ilvl="4">
      <w:start w:val="0"/>
      <w:numFmt w:val="bullet"/>
      <w:lvlText w:val="•"/>
      <w:lvlJc w:val="left"/>
      <w:pPr>
        <w:ind w:left="1610" w:hanging="171"/>
      </w:pPr>
      <w:rPr>
        <w:rFonts w:hint="default" w:ascii="Garamond" w:hAnsi="Garamond" w:eastAsia="Garamond" w:cs="Garamond"/>
        <w:color w:val="00A94F"/>
        <w:spacing w:val="-3"/>
        <w:w w:val="98"/>
        <w:sz w:val="20"/>
        <w:szCs w:val="20"/>
      </w:rPr>
    </w:lvl>
    <w:lvl w:ilvl="5">
      <w:start w:val="0"/>
      <w:numFmt w:val="bullet"/>
      <w:lvlText w:val="•"/>
      <w:lvlJc w:val="left"/>
      <w:pPr>
        <w:ind w:left="1603" w:hanging="171"/>
      </w:pPr>
      <w:rPr>
        <w:rFonts w:hint="default"/>
      </w:rPr>
    </w:lvl>
    <w:lvl w:ilvl="6">
      <w:start w:val="0"/>
      <w:numFmt w:val="bullet"/>
      <w:lvlText w:val="•"/>
      <w:lvlJc w:val="left"/>
      <w:pPr>
        <w:ind w:left="1415" w:hanging="171"/>
      </w:pPr>
      <w:rPr>
        <w:rFonts w:hint="default"/>
      </w:rPr>
    </w:lvl>
    <w:lvl w:ilvl="7">
      <w:start w:val="0"/>
      <w:numFmt w:val="bullet"/>
      <w:lvlText w:val="•"/>
      <w:lvlJc w:val="left"/>
      <w:pPr>
        <w:ind w:left="1227" w:hanging="171"/>
      </w:pPr>
      <w:rPr>
        <w:rFonts w:hint="default"/>
      </w:rPr>
    </w:lvl>
    <w:lvl w:ilvl="8">
      <w:start w:val="0"/>
      <w:numFmt w:val="bullet"/>
      <w:lvlText w:val="•"/>
      <w:lvlJc w:val="left"/>
      <w:pPr>
        <w:ind w:left="1039" w:hanging="171"/>
      </w:pPr>
      <w:rPr>
        <w:rFonts w:hint="default"/>
      </w:rPr>
    </w:lvl>
  </w:abstractNum>
  <w:abstractNum w:abstractNumId="12">
    <w:multiLevelType w:val="hybridMultilevel"/>
    <w:lvl w:ilvl="0">
      <w:start w:val="2"/>
      <w:numFmt w:val="decimal"/>
      <w:lvlText w:val="%1"/>
      <w:lvlJc w:val="left"/>
      <w:pPr>
        <w:ind w:left="1984" w:hanging="545"/>
        <w:jc w:val="left"/>
      </w:pPr>
      <w:rPr>
        <w:rFonts w:hint="default"/>
      </w:rPr>
    </w:lvl>
    <w:lvl w:ilvl="1">
      <w:start w:val="3"/>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996"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2710" w:hanging="556"/>
      </w:pPr>
      <w:rPr>
        <w:rFonts w:hint="default"/>
      </w:rPr>
    </w:lvl>
    <w:lvl w:ilvl="4">
      <w:start w:val="0"/>
      <w:numFmt w:val="bullet"/>
      <w:lvlText w:val="•"/>
      <w:lvlJc w:val="left"/>
      <w:pPr>
        <w:ind w:left="3065" w:hanging="556"/>
      </w:pPr>
      <w:rPr>
        <w:rFonts w:hint="default"/>
      </w:rPr>
    </w:lvl>
    <w:lvl w:ilvl="5">
      <w:start w:val="0"/>
      <w:numFmt w:val="bullet"/>
      <w:lvlText w:val="•"/>
      <w:lvlJc w:val="left"/>
      <w:pPr>
        <w:ind w:left="3420" w:hanging="556"/>
      </w:pPr>
      <w:rPr>
        <w:rFonts w:hint="default"/>
      </w:rPr>
    </w:lvl>
    <w:lvl w:ilvl="6">
      <w:start w:val="0"/>
      <w:numFmt w:val="bullet"/>
      <w:lvlText w:val="•"/>
      <w:lvlJc w:val="left"/>
      <w:pPr>
        <w:ind w:left="3775" w:hanging="556"/>
      </w:pPr>
      <w:rPr>
        <w:rFonts w:hint="default"/>
      </w:rPr>
    </w:lvl>
    <w:lvl w:ilvl="7">
      <w:start w:val="0"/>
      <w:numFmt w:val="bullet"/>
      <w:lvlText w:val="•"/>
      <w:lvlJc w:val="left"/>
      <w:pPr>
        <w:ind w:left="4130" w:hanging="556"/>
      </w:pPr>
      <w:rPr>
        <w:rFonts w:hint="default"/>
      </w:rPr>
    </w:lvl>
    <w:lvl w:ilvl="8">
      <w:start w:val="0"/>
      <w:numFmt w:val="bullet"/>
      <w:lvlText w:val="•"/>
      <w:lvlJc w:val="left"/>
      <w:pPr>
        <w:ind w:left="4485" w:hanging="556"/>
      </w:pPr>
      <w:rPr>
        <w:rFonts w:hint="default"/>
      </w:rPr>
    </w:lvl>
  </w:abstractNum>
  <w:abstractNum w:abstractNumId="11">
    <w:multiLevelType w:val="hybridMultilevel"/>
    <w:lvl w:ilvl="0">
      <w:start w:val="2"/>
      <w:numFmt w:val="decimal"/>
      <w:lvlText w:val="%1"/>
      <w:lvlJc w:val="left"/>
      <w:pPr>
        <w:ind w:left="720" w:hanging="642"/>
        <w:jc w:val="left"/>
      </w:pPr>
      <w:rPr>
        <w:rFonts w:hint="default"/>
      </w:rPr>
    </w:lvl>
    <w:lvl w:ilvl="1">
      <w:start w:val="3"/>
      <w:numFmt w:val="decimal"/>
      <w:lvlText w:val="%1.%2"/>
      <w:lvlJc w:val="left"/>
      <w:pPr>
        <w:ind w:left="720" w:hanging="642"/>
        <w:jc w:val="left"/>
      </w:pPr>
      <w:rPr>
        <w:rFonts w:hint="default"/>
      </w:rPr>
    </w:lvl>
    <w:lvl w:ilvl="2">
      <w:start w:val="3"/>
      <w:numFmt w:val="decimal"/>
      <w:lvlText w:val="%1.%2.%3"/>
      <w:lvlJc w:val="left"/>
      <w:pPr>
        <w:ind w:left="720" w:hanging="642"/>
        <w:jc w:val="left"/>
      </w:pPr>
      <w:rPr>
        <w:rFonts w:hint="default"/>
      </w:rPr>
    </w:lvl>
    <w:lvl w:ilvl="3">
      <w:start w:val="2"/>
      <w:numFmt w:val="decimal"/>
      <w:lvlText w:val="%1.%2.%3.%4."/>
      <w:lvlJc w:val="left"/>
      <w:pPr>
        <w:ind w:left="720" w:hanging="642"/>
        <w:jc w:val="right"/>
      </w:pPr>
      <w:rPr>
        <w:rFonts w:hint="default" w:ascii="Garamond" w:hAnsi="Garamond" w:eastAsia="Garamond" w:cs="Garamond"/>
        <w:i/>
        <w:color w:val="E36F1E"/>
        <w:w w:val="107"/>
        <w:sz w:val="20"/>
        <w:szCs w:val="20"/>
      </w:rPr>
    </w:lvl>
    <w:lvl w:ilvl="4">
      <w:start w:val="0"/>
      <w:numFmt w:val="bullet"/>
      <w:lvlText w:val="•"/>
      <w:lvlJc w:val="left"/>
      <w:pPr>
        <w:ind w:left="2232" w:hanging="642"/>
      </w:pPr>
      <w:rPr>
        <w:rFonts w:hint="default"/>
      </w:rPr>
    </w:lvl>
    <w:lvl w:ilvl="5">
      <w:start w:val="0"/>
      <w:numFmt w:val="bullet"/>
      <w:lvlText w:val="•"/>
      <w:lvlJc w:val="left"/>
      <w:pPr>
        <w:ind w:left="2610" w:hanging="642"/>
      </w:pPr>
      <w:rPr>
        <w:rFonts w:hint="default"/>
      </w:rPr>
    </w:lvl>
    <w:lvl w:ilvl="6">
      <w:start w:val="0"/>
      <w:numFmt w:val="bullet"/>
      <w:lvlText w:val="•"/>
      <w:lvlJc w:val="left"/>
      <w:pPr>
        <w:ind w:left="2988" w:hanging="642"/>
      </w:pPr>
      <w:rPr>
        <w:rFonts w:hint="default"/>
      </w:rPr>
    </w:lvl>
    <w:lvl w:ilvl="7">
      <w:start w:val="0"/>
      <w:numFmt w:val="bullet"/>
      <w:lvlText w:val="•"/>
      <w:lvlJc w:val="left"/>
      <w:pPr>
        <w:ind w:left="3366" w:hanging="642"/>
      </w:pPr>
      <w:rPr>
        <w:rFonts w:hint="default"/>
      </w:rPr>
    </w:lvl>
    <w:lvl w:ilvl="8">
      <w:start w:val="0"/>
      <w:numFmt w:val="bullet"/>
      <w:lvlText w:val="•"/>
      <w:lvlJc w:val="left"/>
      <w:pPr>
        <w:ind w:left="3744" w:hanging="642"/>
      </w:pPr>
      <w:rPr>
        <w:rFonts w:hint="default"/>
      </w:rPr>
    </w:lvl>
  </w:abstractNum>
  <w:abstractNum w:abstractNumId="10">
    <w:multiLevelType w:val="hybridMultilevel"/>
    <w:lvl w:ilvl="0">
      <w:start w:val="0"/>
      <w:numFmt w:val="bullet"/>
      <w:lvlText w:val="•"/>
      <w:lvlJc w:val="left"/>
      <w:pPr>
        <w:ind w:left="500" w:hanging="171"/>
      </w:pPr>
      <w:rPr>
        <w:rFonts w:hint="default" w:ascii="Garamond" w:hAnsi="Garamond" w:eastAsia="Garamond" w:cs="Garamond"/>
        <w:color w:val="00A94F"/>
        <w:spacing w:val="-26"/>
        <w:w w:val="91"/>
        <w:sz w:val="20"/>
        <w:szCs w:val="20"/>
      </w:rPr>
    </w:lvl>
    <w:lvl w:ilvl="1">
      <w:start w:val="0"/>
      <w:numFmt w:val="bullet"/>
      <w:lvlText w:val="•"/>
      <w:lvlJc w:val="left"/>
      <w:pPr>
        <w:ind w:left="890" w:hanging="171"/>
      </w:pPr>
      <w:rPr>
        <w:rFonts w:hint="default" w:ascii="Garamond" w:hAnsi="Garamond" w:eastAsia="Garamond" w:cs="Garamond"/>
        <w:color w:val="00A94F"/>
        <w:spacing w:val="-22"/>
        <w:w w:val="83"/>
        <w:sz w:val="20"/>
        <w:szCs w:val="20"/>
      </w:rPr>
    </w:lvl>
    <w:lvl w:ilvl="2">
      <w:start w:val="0"/>
      <w:numFmt w:val="bullet"/>
      <w:lvlText w:val="•"/>
      <w:lvlJc w:val="left"/>
      <w:pPr>
        <w:ind w:left="716" w:hanging="171"/>
      </w:pPr>
      <w:rPr>
        <w:rFonts w:hint="default"/>
      </w:rPr>
    </w:lvl>
    <w:lvl w:ilvl="3">
      <w:start w:val="0"/>
      <w:numFmt w:val="bullet"/>
      <w:lvlText w:val="•"/>
      <w:lvlJc w:val="left"/>
      <w:pPr>
        <w:ind w:left="533" w:hanging="171"/>
      </w:pPr>
      <w:rPr>
        <w:rFonts w:hint="default"/>
      </w:rPr>
    </w:lvl>
    <w:lvl w:ilvl="4">
      <w:start w:val="0"/>
      <w:numFmt w:val="bullet"/>
      <w:lvlText w:val="•"/>
      <w:lvlJc w:val="left"/>
      <w:pPr>
        <w:ind w:left="350" w:hanging="171"/>
      </w:pPr>
      <w:rPr>
        <w:rFonts w:hint="default"/>
      </w:rPr>
    </w:lvl>
    <w:lvl w:ilvl="5">
      <w:start w:val="0"/>
      <w:numFmt w:val="bullet"/>
      <w:lvlText w:val="•"/>
      <w:lvlJc w:val="left"/>
      <w:pPr>
        <w:ind w:left="166" w:hanging="171"/>
      </w:pPr>
      <w:rPr>
        <w:rFonts w:hint="default"/>
      </w:rPr>
    </w:lvl>
    <w:lvl w:ilvl="6">
      <w:start w:val="0"/>
      <w:numFmt w:val="bullet"/>
      <w:lvlText w:val="•"/>
      <w:lvlJc w:val="left"/>
      <w:pPr>
        <w:ind w:left="-17" w:hanging="171"/>
      </w:pPr>
      <w:rPr>
        <w:rFonts w:hint="default"/>
      </w:rPr>
    </w:lvl>
    <w:lvl w:ilvl="7">
      <w:start w:val="0"/>
      <w:numFmt w:val="bullet"/>
      <w:lvlText w:val="•"/>
      <w:lvlJc w:val="left"/>
      <w:pPr>
        <w:ind w:left="-200" w:hanging="171"/>
      </w:pPr>
      <w:rPr>
        <w:rFonts w:hint="default"/>
      </w:rPr>
    </w:lvl>
    <w:lvl w:ilvl="8">
      <w:start w:val="0"/>
      <w:numFmt w:val="bullet"/>
      <w:lvlText w:val="•"/>
      <w:lvlJc w:val="left"/>
      <w:pPr>
        <w:ind w:left="-383" w:hanging="171"/>
      </w:pPr>
      <w:rPr>
        <w:rFonts w:hint="default"/>
      </w:rPr>
    </w:lvl>
  </w:abstractNum>
  <w:abstractNum w:abstractNumId="9">
    <w:multiLevelType w:val="hybridMultilevel"/>
    <w:lvl w:ilvl="0">
      <w:start w:val="2"/>
      <w:numFmt w:val="decimal"/>
      <w:lvlText w:val="%1"/>
      <w:lvlJc w:val="left"/>
      <w:pPr>
        <w:ind w:left="371" w:hanging="556"/>
        <w:jc w:val="left"/>
      </w:pPr>
      <w:rPr>
        <w:rFonts w:hint="default"/>
      </w:rPr>
    </w:lvl>
    <w:lvl w:ilvl="1">
      <w:start w:val="3"/>
      <w:numFmt w:val="decimal"/>
      <w:lvlText w:val="%1.%2"/>
      <w:lvlJc w:val="left"/>
      <w:pPr>
        <w:ind w:left="371" w:hanging="556"/>
        <w:jc w:val="left"/>
      </w:pPr>
      <w:rPr>
        <w:rFonts w:hint="default"/>
      </w:rPr>
    </w:lvl>
    <w:lvl w:ilvl="2">
      <w:start w:val="3"/>
      <w:numFmt w:val="decimal"/>
      <w:lvlText w:val="%1.%2.%3."/>
      <w:lvlJc w:val="left"/>
      <w:pPr>
        <w:ind w:left="371" w:hanging="556"/>
        <w:jc w:val="left"/>
      </w:pPr>
      <w:rPr>
        <w:rFonts w:hint="default" w:ascii="Lucida Sans" w:hAnsi="Lucida Sans" w:eastAsia="Lucida Sans" w:cs="Lucida Sans"/>
        <w:color w:val="1C3E94"/>
        <w:w w:val="87"/>
        <w:sz w:val="20"/>
        <w:szCs w:val="20"/>
      </w:rPr>
    </w:lvl>
    <w:lvl w:ilvl="3">
      <w:start w:val="1"/>
      <w:numFmt w:val="decimal"/>
      <w:lvlText w:val="%1.%2.%3.%4."/>
      <w:lvlJc w:val="left"/>
      <w:pPr>
        <w:ind w:left="371" w:hanging="642"/>
        <w:jc w:val="left"/>
      </w:pPr>
      <w:rPr>
        <w:rFonts w:hint="default" w:ascii="Garamond" w:hAnsi="Garamond" w:eastAsia="Garamond" w:cs="Garamond"/>
        <w:i/>
        <w:color w:val="E36F1E"/>
        <w:w w:val="107"/>
        <w:sz w:val="20"/>
        <w:szCs w:val="20"/>
      </w:rPr>
    </w:lvl>
    <w:lvl w:ilvl="4">
      <w:start w:val="0"/>
      <w:numFmt w:val="bullet"/>
      <w:lvlText w:val="•"/>
      <w:lvlJc w:val="left"/>
      <w:pPr>
        <w:ind w:left="2464" w:hanging="642"/>
      </w:pPr>
      <w:rPr>
        <w:rFonts w:hint="default"/>
      </w:rPr>
    </w:lvl>
    <w:lvl w:ilvl="5">
      <w:start w:val="0"/>
      <w:numFmt w:val="bullet"/>
      <w:lvlText w:val="•"/>
      <w:lvlJc w:val="left"/>
      <w:pPr>
        <w:ind w:left="2985" w:hanging="642"/>
      </w:pPr>
      <w:rPr>
        <w:rFonts w:hint="default"/>
      </w:rPr>
    </w:lvl>
    <w:lvl w:ilvl="6">
      <w:start w:val="0"/>
      <w:numFmt w:val="bullet"/>
      <w:lvlText w:val="•"/>
      <w:lvlJc w:val="left"/>
      <w:pPr>
        <w:ind w:left="3506" w:hanging="642"/>
      </w:pPr>
      <w:rPr>
        <w:rFonts w:hint="default"/>
      </w:rPr>
    </w:lvl>
    <w:lvl w:ilvl="7">
      <w:start w:val="0"/>
      <w:numFmt w:val="bullet"/>
      <w:lvlText w:val="•"/>
      <w:lvlJc w:val="left"/>
      <w:pPr>
        <w:ind w:left="4028" w:hanging="642"/>
      </w:pPr>
      <w:rPr>
        <w:rFonts w:hint="default"/>
      </w:rPr>
    </w:lvl>
    <w:lvl w:ilvl="8">
      <w:start w:val="0"/>
      <w:numFmt w:val="bullet"/>
      <w:lvlText w:val="•"/>
      <w:lvlJc w:val="left"/>
      <w:pPr>
        <w:ind w:left="4549" w:hanging="642"/>
      </w:pPr>
      <w:rPr>
        <w:rFonts w:hint="default"/>
      </w:rPr>
    </w:lvl>
  </w:abstractNum>
  <w:abstractNum w:abstractNumId="8">
    <w:multiLevelType w:val="hybridMultilevel"/>
    <w:lvl w:ilvl="0">
      <w:start w:val="2"/>
      <w:numFmt w:val="decimal"/>
      <w:lvlText w:val="%1"/>
      <w:lvlJc w:val="left"/>
      <w:pPr>
        <w:ind w:left="720" w:hanging="742"/>
        <w:jc w:val="left"/>
      </w:pPr>
      <w:rPr>
        <w:rFonts w:hint="default"/>
      </w:rPr>
    </w:lvl>
    <w:lvl w:ilvl="1">
      <w:start w:val="3"/>
      <w:numFmt w:val="decimal"/>
      <w:lvlText w:val="%1.%2"/>
      <w:lvlJc w:val="left"/>
      <w:pPr>
        <w:ind w:left="720" w:hanging="742"/>
        <w:jc w:val="left"/>
      </w:pPr>
      <w:rPr>
        <w:rFonts w:hint="default"/>
      </w:rPr>
    </w:lvl>
    <w:lvl w:ilvl="2">
      <w:start w:val="2"/>
      <w:numFmt w:val="decimal"/>
      <w:lvlText w:val="%1.%2.%3"/>
      <w:lvlJc w:val="left"/>
      <w:pPr>
        <w:ind w:left="720" w:hanging="742"/>
        <w:jc w:val="left"/>
      </w:pPr>
      <w:rPr>
        <w:rFonts w:hint="default"/>
      </w:rPr>
    </w:lvl>
    <w:lvl w:ilvl="3">
      <w:start w:val="10"/>
      <w:numFmt w:val="decimal"/>
      <w:lvlText w:val="%1.%2.%3.%4."/>
      <w:lvlJc w:val="left"/>
      <w:pPr>
        <w:ind w:left="720" w:hanging="742"/>
        <w:jc w:val="left"/>
      </w:pPr>
      <w:rPr>
        <w:rFonts w:hint="default" w:ascii="Garamond" w:hAnsi="Garamond" w:eastAsia="Garamond" w:cs="Garamond"/>
        <w:i/>
        <w:color w:val="E36F1E"/>
        <w:w w:val="107"/>
        <w:sz w:val="20"/>
        <w:szCs w:val="20"/>
      </w:rPr>
    </w:lvl>
    <w:lvl w:ilvl="4">
      <w:start w:val="0"/>
      <w:numFmt w:val="bullet"/>
      <w:lvlText w:val="•"/>
      <w:lvlJc w:val="left"/>
      <w:pPr>
        <w:ind w:left="2211" w:hanging="742"/>
      </w:pPr>
      <w:rPr>
        <w:rFonts w:hint="default"/>
      </w:rPr>
    </w:lvl>
    <w:lvl w:ilvl="5">
      <w:start w:val="0"/>
      <w:numFmt w:val="bullet"/>
      <w:lvlText w:val="•"/>
      <w:lvlJc w:val="left"/>
      <w:pPr>
        <w:ind w:left="2584" w:hanging="742"/>
      </w:pPr>
      <w:rPr>
        <w:rFonts w:hint="default"/>
      </w:rPr>
    </w:lvl>
    <w:lvl w:ilvl="6">
      <w:start w:val="0"/>
      <w:numFmt w:val="bullet"/>
      <w:lvlText w:val="•"/>
      <w:lvlJc w:val="left"/>
      <w:pPr>
        <w:ind w:left="2957" w:hanging="742"/>
      </w:pPr>
      <w:rPr>
        <w:rFonts w:hint="default"/>
      </w:rPr>
    </w:lvl>
    <w:lvl w:ilvl="7">
      <w:start w:val="0"/>
      <w:numFmt w:val="bullet"/>
      <w:lvlText w:val="•"/>
      <w:lvlJc w:val="left"/>
      <w:pPr>
        <w:ind w:left="3329" w:hanging="742"/>
      </w:pPr>
      <w:rPr>
        <w:rFonts w:hint="default"/>
      </w:rPr>
    </w:lvl>
    <w:lvl w:ilvl="8">
      <w:start w:val="0"/>
      <w:numFmt w:val="bullet"/>
      <w:lvlText w:val="•"/>
      <w:lvlJc w:val="left"/>
      <w:pPr>
        <w:ind w:left="3702" w:hanging="742"/>
      </w:pPr>
      <w:rPr>
        <w:rFonts w:hint="default"/>
      </w:rPr>
    </w:lvl>
  </w:abstractNum>
  <w:abstractNum w:abstractNumId="7">
    <w:multiLevelType w:val="hybridMultilevel"/>
    <w:lvl w:ilvl="0">
      <w:start w:val="2"/>
      <w:numFmt w:val="decimal"/>
      <w:lvlText w:val="%1"/>
      <w:lvlJc w:val="left"/>
      <w:pPr>
        <w:ind w:left="1440" w:hanging="642"/>
        <w:jc w:val="left"/>
      </w:pPr>
      <w:rPr>
        <w:rFonts w:hint="default"/>
      </w:rPr>
    </w:lvl>
    <w:lvl w:ilvl="1">
      <w:start w:val="3"/>
      <w:numFmt w:val="decimal"/>
      <w:lvlText w:val="%1.%2"/>
      <w:lvlJc w:val="left"/>
      <w:pPr>
        <w:ind w:left="1440" w:hanging="642"/>
        <w:jc w:val="left"/>
      </w:pPr>
      <w:rPr>
        <w:rFonts w:hint="default"/>
      </w:rPr>
    </w:lvl>
    <w:lvl w:ilvl="2">
      <w:start w:val="2"/>
      <w:numFmt w:val="decimal"/>
      <w:lvlText w:val="%1.%2.%3"/>
      <w:lvlJc w:val="left"/>
      <w:pPr>
        <w:ind w:left="1440" w:hanging="642"/>
        <w:jc w:val="left"/>
      </w:pPr>
      <w:rPr>
        <w:rFonts w:hint="default"/>
      </w:rPr>
    </w:lvl>
    <w:lvl w:ilvl="3">
      <w:start w:val="8"/>
      <w:numFmt w:val="decimal"/>
      <w:lvlText w:val="%1.%2.%3.%4."/>
      <w:lvlJc w:val="left"/>
      <w:pPr>
        <w:ind w:left="1440" w:hanging="642"/>
        <w:jc w:val="left"/>
      </w:pPr>
      <w:rPr>
        <w:rFonts w:hint="default" w:ascii="Garamond" w:hAnsi="Garamond" w:eastAsia="Garamond" w:cs="Garamond"/>
        <w:i/>
        <w:color w:val="E36F1E"/>
        <w:w w:val="107"/>
        <w:sz w:val="20"/>
        <w:szCs w:val="20"/>
      </w:rPr>
    </w:lvl>
    <w:lvl w:ilvl="4">
      <w:start w:val="0"/>
      <w:numFmt w:val="bullet"/>
      <w:lvlText w:val="•"/>
      <w:lvlJc w:val="left"/>
      <w:pPr>
        <w:ind w:left="2952" w:hanging="642"/>
      </w:pPr>
      <w:rPr>
        <w:rFonts w:hint="default"/>
      </w:rPr>
    </w:lvl>
    <w:lvl w:ilvl="5">
      <w:start w:val="0"/>
      <w:numFmt w:val="bullet"/>
      <w:lvlText w:val="•"/>
      <w:lvlJc w:val="left"/>
      <w:pPr>
        <w:ind w:left="3330" w:hanging="642"/>
      </w:pPr>
      <w:rPr>
        <w:rFonts w:hint="default"/>
      </w:rPr>
    </w:lvl>
    <w:lvl w:ilvl="6">
      <w:start w:val="0"/>
      <w:numFmt w:val="bullet"/>
      <w:lvlText w:val="•"/>
      <w:lvlJc w:val="left"/>
      <w:pPr>
        <w:ind w:left="3708" w:hanging="642"/>
      </w:pPr>
      <w:rPr>
        <w:rFonts w:hint="default"/>
      </w:rPr>
    </w:lvl>
    <w:lvl w:ilvl="7">
      <w:start w:val="0"/>
      <w:numFmt w:val="bullet"/>
      <w:lvlText w:val="•"/>
      <w:lvlJc w:val="left"/>
      <w:pPr>
        <w:ind w:left="4086" w:hanging="642"/>
      </w:pPr>
      <w:rPr>
        <w:rFonts w:hint="default"/>
      </w:rPr>
    </w:lvl>
    <w:lvl w:ilvl="8">
      <w:start w:val="0"/>
      <w:numFmt w:val="bullet"/>
      <w:lvlText w:val="•"/>
      <w:lvlJc w:val="left"/>
      <w:pPr>
        <w:ind w:left="4464" w:hanging="642"/>
      </w:pPr>
      <w:rPr>
        <w:rFonts w:hint="default"/>
      </w:rPr>
    </w:lvl>
  </w:abstractNum>
  <w:abstractNum w:abstractNumId="6">
    <w:multiLevelType w:val="hybridMultilevel"/>
    <w:lvl w:ilvl="0">
      <w:start w:val="2"/>
      <w:numFmt w:val="decimal"/>
      <w:lvlText w:val="%1"/>
      <w:lvlJc w:val="left"/>
      <w:pPr>
        <w:ind w:left="1440" w:hanging="642"/>
        <w:jc w:val="left"/>
      </w:pPr>
      <w:rPr>
        <w:rFonts w:hint="default"/>
      </w:rPr>
    </w:lvl>
    <w:lvl w:ilvl="1">
      <w:start w:val="3"/>
      <w:numFmt w:val="decimal"/>
      <w:lvlText w:val="%1.%2"/>
      <w:lvlJc w:val="left"/>
      <w:pPr>
        <w:ind w:left="1440" w:hanging="642"/>
        <w:jc w:val="left"/>
      </w:pPr>
      <w:rPr>
        <w:rFonts w:hint="default"/>
      </w:rPr>
    </w:lvl>
    <w:lvl w:ilvl="2">
      <w:start w:val="2"/>
      <w:numFmt w:val="decimal"/>
      <w:lvlText w:val="%1.%2.%3"/>
      <w:lvlJc w:val="left"/>
      <w:pPr>
        <w:ind w:left="1440" w:hanging="642"/>
        <w:jc w:val="left"/>
      </w:pPr>
      <w:rPr>
        <w:rFonts w:hint="default"/>
      </w:rPr>
    </w:lvl>
    <w:lvl w:ilvl="3">
      <w:start w:val="5"/>
      <w:numFmt w:val="decimal"/>
      <w:lvlText w:val="%1.%2.%3.%4."/>
      <w:lvlJc w:val="left"/>
      <w:pPr>
        <w:ind w:left="1440" w:hanging="642"/>
        <w:jc w:val="right"/>
      </w:pPr>
      <w:rPr>
        <w:rFonts w:hint="default" w:ascii="Garamond" w:hAnsi="Garamond" w:eastAsia="Garamond" w:cs="Garamond"/>
        <w:i/>
        <w:color w:val="E36F1E"/>
        <w:w w:val="107"/>
        <w:sz w:val="20"/>
        <w:szCs w:val="20"/>
      </w:rPr>
    </w:lvl>
    <w:lvl w:ilvl="4">
      <w:start w:val="0"/>
      <w:numFmt w:val="bullet"/>
      <w:lvlText w:val="•"/>
      <w:lvlJc w:val="left"/>
      <w:pPr>
        <w:ind w:left="2950" w:hanging="642"/>
      </w:pPr>
      <w:rPr>
        <w:rFonts w:hint="default"/>
      </w:rPr>
    </w:lvl>
    <w:lvl w:ilvl="5">
      <w:start w:val="0"/>
      <w:numFmt w:val="bullet"/>
      <w:lvlText w:val="•"/>
      <w:lvlJc w:val="left"/>
      <w:pPr>
        <w:ind w:left="3328" w:hanging="642"/>
      </w:pPr>
      <w:rPr>
        <w:rFonts w:hint="default"/>
      </w:rPr>
    </w:lvl>
    <w:lvl w:ilvl="6">
      <w:start w:val="0"/>
      <w:numFmt w:val="bullet"/>
      <w:lvlText w:val="•"/>
      <w:lvlJc w:val="left"/>
      <w:pPr>
        <w:ind w:left="3705" w:hanging="642"/>
      </w:pPr>
      <w:rPr>
        <w:rFonts w:hint="default"/>
      </w:rPr>
    </w:lvl>
    <w:lvl w:ilvl="7">
      <w:start w:val="0"/>
      <w:numFmt w:val="bullet"/>
      <w:lvlText w:val="•"/>
      <w:lvlJc w:val="left"/>
      <w:pPr>
        <w:ind w:left="4083" w:hanging="642"/>
      </w:pPr>
      <w:rPr>
        <w:rFonts w:hint="default"/>
      </w:rPr>
    </w:lvl>
    <w:lvl w:ilvl="8">
      <w:start w:val="0"/>
      <w:numFmt w:val="bullet"/>
      <w:lvlText w:val="•"/>
      <w:lvlJc w:val="left"/>
      <w:pPr>
        <w:ind w:left="4460" w:hanging="642"/>
      </w:pPr>
      <w:rPr>
        <w:rFonts w:hint="default"/>
      </w:rPr>
    </w:lvl>
  </w:abstractNum>
  <w:abstractNum w:abstractNumId="5">
    <w:multiLevelType w:val="hybridMultilevel"/>
    <w:lvl w:ilvl="0">
      <w:start w:val="2"/>
      <w:numFmt w:val="decimal"/>
      <w:lvlText w:val="%1"/>
      <w:lvlJc w:val="left"/>
      <w:pPr>
        <w:ind w:left="319" w:hanging="642"/>
        <w:jc w:val="left"/>
      </w:pPr>
      <w:rPr>
        <w:rFonts w:hint="default"/>
      </w:rPr>
    </w:lvl>
    <w:lvl w:ilvl="1">
      <w:start w:val="3"/>
      <w:numFmt w:val="decimal"/>
      <w:lvlText w:val="%1.%2"/>
      <w:lvlJc w:val="left"/>
      <w:pPr>
        <w:ind w:left="319" w:hanging="642"/>
        <w:jc w:val="left"/>
      </w:pPr>
      <w:rPr>
        <w:rFonts w:hint="default"/>
      </w:rPr>
    </w:lvl>
    <w:lvl w:ilvl="2">
      <w:start w:val="2"/>
      <w:numFmt w:val="decimal"/>
      <w:lvlText w:val="%1.%2.%3"/>
      <w:lvlJc w:val="left"/>
      <w:pPr>
        <w:ind w:left="319" w:hanging="642"/>
        <w:jc w:val="left"/>
      </w:pPr>
      <w:rPr>
        <w:rFonts w:hint="default"/>
      </w:rPr>
    </w:lvl>
    <w:lvl w:ilvl="3">
      <w:start w:val="2"/>
      <w:numFmt w:val="decimal"/>
      <w:lvlText w:val="%1.%2.%3.%4."/>
      <w:lvlJc w:val="left"/>
      <w:pPr>
        <w:ind w:left="319" w:hanging="642"/>
        <w:jc w:val="right"/>
      </w:pPr>
      <w:rPr>
        <w:rFonts w:hint="default" w:ascii="Garamond" w:hAnsi="Garamond" w:eastAsia="Garamond" w:cs="Garamond"/>
        <w:i/>
        <w:color w:val="E36F1E"/>
        <w:w w:val="107"/>
        <w:sz w:val="20"/>
        <w:szCs w:val="20"/>
      </w:rPr>
    </w:lvl>
    <w:lvl w:ilvl="4">
      <w:start w:val="0"/>
      <w:numFmt w:val="bullet"/>
      <w:lvlText w:val="•"/>
      <w:lvlJc w:val="left"/>
      <w:pPr>
        <w:ind w:left="2280" w:hanging="642"/>
      </w:pPr>
      <w:rPr>
        <w:rFonts w:hint="default"/>
      </w:rPr>
    </w:lvl>
    <w:lvl w:ilvl="5">
      <w:start w:val="0"/>
      <w:numFmt w:val="bullet"/>
      <w:lvlText w:val="•"/>
      <w:lvlJc w:val="left"/>
      <w:pPr>
        <w:ind w:left="2770" w:hanging="642"/>
      </w:pPr>
      <w:rPr>
        <w:rFonts w:hint="default"/>
      </w:rPr>
    </w:lvl>
    <w:lvl w:ilvl="6">
      <w:start w:val="0"/>
      <w:numFmt w:val="bullet"/>
      <w:lvlText w:val="•"/>
      <w:lvlJc w:val="left"/>
      <w:pPr>
        <w:ind w:left="3260" w:hanging="642"/>
      </w:pPr>
      <w:rPr>
        <w:rFonts w:hint="default"/>
      </w:rPr>
    </w:lvl>
    <w:lvl w:ilvl="7">
      <w:start w:val="0"/>
      <w:numFmt w:val="bullet"/>
      <w:lvlText w:val="•"/>
      <w:lvlJc w:val="left"/>
      <w:pPr>
        <w:ind w:left="3750" w:hanging="642"/>
      </w:pPr>
      <w:rPr>
        <w:rFonts w:hint="default"/>
      </w:rPr>
    </w:lvl>
    <w:lvl w:ilvl="8">
      <w:start w:val="0"/>
      <w:numFmt w:val="bullet"/>
      <w:lvlText w:val="•"/>
      <w:lvlJc w:val="left"/>
      <w:pPr>
        <w:ind w:left="4240" w:hanging="642"/>
      </w:pPr>
      <w:rPr>
        <w:rFonts w:hint="default"/>
      </w:rPr>
    </w:lvl>
  </w:abstractNum>
  <w:abstractNum w:abstractNumId="4">
    <w:multiLevelType w:val="hybridMultilevel"/>
    <w:lvl w:ilvl="0">
      <w:start w:val="2"/>
      <w:numFmt w:val="decimal"/>
      <w:lvlText w:val="%1"/>
      <w:lvlJc w:val="left"/>
      <w:pPr>
        <w:ind w:left="1984" w:hanging="545"/>
        <w:jc w:val="left"/>
      </w:pPr>
      <w:rPr>
        <w:rFonts w:hint="default"/>
      </w:rPr>
    </w:lvl>
    <w:lvl w:ilvl="1">
      <w:start w:val="3"/>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996"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2705" w:hanging="556"/>
      </w:pPr>
      <w:rPr>
        <w:rFonts w:hint="default"/>
      </w:rPr>
    </w:lvl>
    <w:lvl w:ilvl="4">
      <w:start w:val="0"/>
      <w:numFmt w:val="bullet"/>
      <w:lvlText w:val="•"/>
      <w:lvlJc w:val="left"/>
      <w:pPr>
        <w:ind w:left="3058" w:hanging="556"/>
      </w:pPr>
      <w:rPr>
        <w:rFonts w:hint="default"/>
      </w:rPr>
    </w:lvl>
    <w:lvl w:ilvl="5">
      <w:start w:val="0"/>
      <w:numFmt w:val="bullet"/>
      <w:lvlText w:val="•"/>
      <w:lvlJc w:val="left"/>
      <w:pPr>
        <w:ind w:left="3411" w:hanging="556"/>
      </w:pPr>
      <w:rPr>
        <w:rFonts w:hint="default"/>
      </w:rPr>
    </w:lvl>
    <w:lvl w:ilvl="6">
      <w:start w:val="0"/>
      <w:numFmt w:val="bullet"/>
      <w:lvlText w:val="•"/>
      <w:lvlJc w:val="left"/>
      <w:pPr>
        <w:ind w:left="3764" w:hanging="556"/>
      </w:pPr>
      <w:rPr>
        <w:rFonts w:hint="default"/>
      </w:rPr>
    </w:lvl>
    <w:lvl w:ilvl="7">
      <w:start w:val="0"/>
      <w:numFmt w:val="bullet"/>
      <w:lvlText w:val="•"/>
      <w:lvlJc w:val="left"/>
      <w:pPr>
        <w:ind w:left="4116" w:hanging="556"/>
      </w:pPr>
      <w:rPr>
        <w:rFonts w:hint="default"/>
      </w:rPr>
    </w:lvl>
    <w:lvl w:ilvl="8">
      <w:start w:val="0"/>
      <w:numFmt w:val="bullet"/>
      <w:lvlText w:val="•"/>
      <w:lvlJc w:val="left"/>
      <w:pPr>
        <w:ind w:left="4469" w:hanging="556"/>
      </w:pPr>
      <w:rPr>
        <w:rFonts w:hint="default"/>
      </w:rPr>
    </w:lvl>
  </w:abstractNum>
  <w:abstractNum w:abstractNumId="3">
    <w:multiLevelType w:val="hybridMultilevel"/>
    <w:lvl w:ilvl="0">
      <w:start w:val="2"/>
      <w:numFmt w:val="decimal"/>
      <w:lvlText w:val="%1"/>
      <w:lvlJc w:val="left"/>
      <w:pPr>
        <w:ind w:left="1984" w:hanging="545"/>
        <w:jc w:val="left"/>
      </w:pPr>
      <w:rPr>
        <w:rFonts w:hint="default"/>
      </w:rPr>
    </w:lvl>
    <w:lvl w:ilvl="1">
      <w:start w:val="2"/>
      <w:numFmt w:val="decimal"/>
      <w:lvlText w:val="%1.%2."/>
      <w:lvlJc w:val="left"/>
      <w:pPr>
        <w:ind w:left="1984" w:hanging="545"/>
        <w:jc w:val="right"/>
      </w:pPr>
      <w:rPr>
        <w:rFonts w:hint="default" w:ascii="Lucida Sans" w:hAnsi="Lucida Sans" w:eastAsia="Lucida Sans" w:cs="Lucida Sans"/>
        <w:color w:val="00A94F"/>
        <w:w w:val="87"/>
        <w:sz w:val="28"/>
        <w:szCs w:val="28"/>
      </w:rPr>
    </w:lvl>
    <w:lvl w:ilvl="2">
      <w:start w:val="2"/>
      <w:numFmt w:val="decimal"/>
      <w:lvlText w:val="%1.%2.%3."/>
      <w:lvlJc w:val="left"/>
      <w:pPr>
        <w:ind w:left="720" w:hanging="556"/>
        <w:jc w:val="left"/>
      </w:pPr>
      <w:rPr>
        <w:rFonts w:hint="default" w:ascii="Lucida Sans" w:hAnsi="Lucida Sans" w:eastAsia="Lucida Sans" w:cs="Lucida Sans"/>
        <w:color w:val="1C3E94"/>
        <w:w w:val="87"/>
        <w:sz w:val="20"/>
        <w:szCs w:val="20"/>
      </w:rPr>
    </w:lvl>
    <w:lvl w:ilvl="3">
      <w:start w:val="1"/>
      <w:numFmt w:val="decimal"/>
      <w:lvlText w:val="%1.%2.%3.%4."/>
      <w:lvlJc w:val="left"/>
      <w:pPr>
        <w:ind w:left="1362" w:hanging="642"/>
        <w:jc w:val="left"/>
      </w:pPr>
      <w:rPr>
        <w:rFonts w:hint="default" w:ascii="Garamond" w:hAnsi="Garamond" w:eastAsia="Garamond" w:cs="Garamond"/>
        <w:i/>
        <w:color w:val="E36F1E"/>
        <w:w w:val="107"/>
        <w:sz w:val="20"/>
        <w:szCs w:val="20"/>
      </w:rPr>
    </w:lvl>
    <w:lvl w:ilvl="4">
      <w:start w:val="0"/>
      <w:numFmt w:val="bullet"/>
      <w:lvlText w:val="•"/>
      <w:lvlJc w:val="left"/>
      <w:pPr>
        <w:ind w:left="2602" w:hanging="642"/>
      </w:pPr>
      <w:rPr>
        <w:rFonts w:hint="default"/>
      </w:rPr>
    </w:lvl>
    <w:lvl w:ilvl="5">
      <w:start w:val="0"/>
      <w:numFmt w:val="bullet"/>
      <w:lvlText w:val="•"/>
      <w:lvlJc w:val="left"/>
      <w:pPr>
        <w:ind w:left="2914" w:hanging="642"/>
      </w:pPr>
      <w:rPr>
        <w:rFonts w:hint="default"/>
      </w:rPr>
    </w:lvl>
    <w:lvl w:ilvl="6">
      <w:start w:val="0"/>
      <w:numFmt w:val="bullet"/>
      <w:lvlText w:val="•"/>
      <w:lvlJc w:val="left"/>
      <w:pPr>
        <w:ind w:left="3225" w:hanging="642"/>
      </w:pPr>
      <w:rPr>
        <w:rFonts w:hint="default"/>
      </w:rPr>
    </w:lvl>
    <w:lvl w:ilvl="7">
      <w:start w:val="0"/>
      <w:numFmt w:val="bullet"/>
      <w:lvlText w:val="•"/>
      <w:lvlJc w:val="left"/>
      <w:pPr>
        <w:ind w:left="3537" w:hanging="642"/>
      </w:pPr>
      <w:rPr>
        <w:rFonts w:hint="default"/>
      </w:rPr>
    </w:lvl>
    <w:lvl w:ilvl="8">
      <w:start w:val="0"/>
      <w:numFmt w:val="bullet"/>
      <w:lvlText w:val="•"/>
      <w:lvlJc w:val="left"/>
      <w:pPr>
        <w:ind w:left="3848" w:hanging="642"/>
      </w:pPr>
      <w:rPr>
        <w:rFonts w:hint="default"/>
      </w:rPr>
    </w:lvl>
  </w:abstractNum>
  <w:abstractNum w:abstractNumId="2">
    <w:multiLevelType w:val="hybridMultilevel"/>
    <w:lvl w:ilvl="0">
      <w:start w:val="2"/>
      <w:numFmt w:val="decimal"/>
      <w:lvlText w:val="%1"/>
      <w:lvlJc w:val="left"/>
      <w:pPr>
        <w:ind w:left="1984" w:hanging="545"/>
        <w:jc w:val="left"/>
      </w:pPr>
      <w:rPr>
        <w:rFonts w:hint="default"/>
      </w:rPr>
    </w:lvl>
    <w:lvl w:ilvl="1">
      <w:start w:val="1"/>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996"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2715" w:hanging="556"/>
      </w:pPr>
      <w:rPr>
        <w:rFonts w:hint="default"/>
      </w:rPr>
    </w:lvl>
    <w:lvl w:ilvl="4">
      <w:start w:val="0"/>
      <w:numFmt w:val="bullet"/>
      <w:lvlText w:val="•"/>
      <w:lvlJc w:val="left"/>
      <w:pPr>
        <w:ind w:left="3073" w:hanging="556"/>
      </w:pPr>
      <w:rPr>
        <w:rFonts w:hint="default"/>
      </w:rPr>
    </w:lvl>
    <w:lvl w:ilvl="5">
      <w:start w:val="0"/>
      <w:numFmt w:val="bullet"/>
      <w:lvlText w:val="•"/>
      <w:lvlJc w:val="left"/>
      <w:pPr>
        <w:ind w:left="3431" w:hanging="556"/>
      </w:pPr>
      <w:rPr>
        <w:rFonts w:hint="default"/>
      </w:rPr>
    </w:lvl>
    <w:lvl w:ilvl="6">
      <w:start w:val="0"/>
      <w:numFmt w:val="bullet"/>
      <w:lvlText w:val="•"/>
      <w:lvlJc w:val="left"/>
      <w:pPr>
        <w:ind w:left="3788" w:hanging="556"/>
      </w:pPr>
      <w:rPr>
        <w:rFonts w:hint="default"/>
      </w:rPr>
    </w:lvl>
    <w:lvl w:ilvl="7">
      <w:start w:val="0"/>
      <w:numFmt w:val="bullet"/>
      <w:lvlText w:val="•"/>
      <w:lvlJc w:val="left"/>
      <w:pPr>
        <w:ind w:left="4146" w:hanging="556"/>
      </w:pPr>
      <w:rPr>
        <w:rFonts w:hint="default"/>
      </w:rPr>
    </w:lvl>
    <w:lvl w:ilvl="8">
      <w:start w:val="0"/>
      <w:numFmt w:val="bullet"/>
      <w:lvlText w:val="•"/>
      <w:lvlJc w:val="left"/>
      <w:pPr>
        <w:ind w:left="4504" w:hanging="556"/>
      </w:pPr>
      <w:rPr>
        <w:rFonts w:hint="default"/>
      </w:rPr>
    </w:lvl>
  </w:abstractNum>
  <w:abstractNum w:abstractNumId="1">
    <w:multiLevelType w:val="hybridMultilevel"/>
    <w:lvl w:ilvl="0">
      <w:start w:val="2"/>
      <w:numFmt w:val="decimal"/>
      <w:lvlText w:val="%1"/>
      <w:lvlJc w:val="left"/>
      <w:pPr>
        <w:ind w:left="1264" w:hanging="545"/>
        <w:jc w:val="left"/>
      </w:pPr>
      <w:rPr>
        <w:rFonts w:hint="default"/>
      </w:rPr>
    </w:lvl>
    <w:lvl w:ilvl="1">
      <w:start w:val="1"/>
      <w:numFmt w:val="decimal"/>
      <w:lvlText w:val="%1.%2."/>
      <w:lvlJc w:val="left"/>
      <w:pPr>
        <w:ind w:left="1264" w:hanging="545"/>
        <w:jc w:val="left"/>
      </w:pPr>
      <w:rPr>
        <w:rFonts w:hint="default" w:ascii="Lucida Sans" w:hAnsi="Lucida Sans" w:eastAsia="Lucida Sans" w:cs="Lucida Sans"/>
        <w:color w:val="00A94F"/>
        <w:w w:val="87"/>
        <w:sz w:val="28"/>
        <w:szCs w:val="28"/>
      </w:rPr>
    </w:lvl>
    <w:lvl w:ilvl="2">
      <w:start w:val="2"/>
      <w:numFmt w:val="decimal"/>
      <w:lvlText w:val="%1.%2.%3"/>
      <w:lvlJc w:val="left"/>
      <w:pPr>
        <w:ind w:left="1220" w:hanging="501"/>
        <w:jc w:val="left"/>
      </w:pPr>
      <w:rPr>
        <w:rFonts w:hint="default" w:ascii="Lucida Sans" w:hAnsi="Lucida Sans" w:eastAsia="Lucida Sans" w:cs="Lucida Sans"/>
        <w:color w:val="1C3E94"/>
        <w:w w:val="87"/>
        <w:sz w:val="20"/>
        <w:szCs w:val="20"/>
      </w:rPr>
    </w:lvl>
    <w:lvl w:ilvl="3">
      <w:start w:val="1"/>
      <w:numFmt w:val="decimal"/>
      <w:lvlText w:val="%1.%2.%3.%4."/>
      <w:lvlJc w:val="left"/>
      <w:pPr>
        <w:ind w:left="720" w:hanging="642"/>
        <w:jc w:val="left"/>
      </w:pPr>
      <w:rPr>
        <w:rFonts w:hint="default" w:ascii="Garamond" w:hAnsi="Garamond" w:eastAsia="Garamond" w:cs="Garamond"/>
        <w:i/>
        <w:color w:val="E36F1E"/>
        <w:w w:val="107"/>
        <w:sz w:val="20"/>
        <w:szCs w:val="20"/>
      </w:rPr>
    </w:lvl>
    <w:lvl w:ilvl="4">
      <w:start w:val="0"/>
      <w:numFmt w:val="bullet"/>
      <w:lvlText w:val="•"/>
      <w:lvlJc w:val="left"/>
      <w:pPr>
        <w:ind w:left="2057" w:hanging="642"/>
      </w:pPr>
      <w:rPr>
        <w:rFonts w:hint="default"/>
      </w:rPr>
    </w:lvl>
    <w:lvl w:ilvl="5">
      <w:start w:val="0"/>
      <w:numFmt w:val="bullet"/>
      <w:lvlText w:val="•"/>
      <w:lvlJc w:val="left"/>
      <w:pPr>
        <w:ind w:left="2456" w:hanging="642"/>
      </w:pPr>
      <w:rPr>
        <w:rFonts w:hint="default"/>
      </w:rPr>
    </w:lvl>
    <w:lvl w:ilvl="6">
      <w:start w:val="0"/>
      <w:numFmt w:val="bullet"/>
      <w:lvlText w:val="•"/>
      <w:lvlJc w:val="left"/>
      <w:pPr>
        <w:ind w:left="2855" w:hanging="642"/>
      </w:pPr>
      <w:rPr>
        <w:rFonts w:hint="default"/>
      </w:rPr>
    </w:lvl>
    <w:lvl w:ilvl="7">
      <w:start w:val="0"/>
      <w:numFmt w:val="bullet"/>
      <w:lvlText w:val="•"/>
      <w:lvlJc w:val="left"/>
      <w:pPr>
        <w:ind w:left="3254" w:hanging="642"/>
      </w:pPr>
      <w:rPr>
        <w:rFonts w:hint="default"/>
      </w:rPr>
    </w:lvl>
    <w:lvl w:ilvl="8">
      <w:start w:val="0"/>
      <w:numFmt w:val="bullet"/>
      <w:lvlText w:val="•"/>
      <w:lvlJc w:val="left"/>
      <w:pPr>
        <w:ind w:left="3653" w:hanging="642"/>
      </w:pPr>
      <w:rPr>
        <w:rFonts w:hint="default"/>
      </w:rPr>
    </w:lvl>
  </w:abstractNum>
  <w:abstractNum w:abstractNumId="0">
    <w:multiLevelType w:val="hybridMultilevel"/>
    <w:lvl w:ilvl="0">
      <w:start w:val="2"/>
      <w:numFmt w:val="decimal"/>
      <w:lvlText w:val="%1"/>
      <w:lvlJc w:val="left"/>
      <w:pPr>
        <w:ind w:left="1984" w:hanging="545"/>
        <w:jc w:val="left"/>
      </w:pPr>
      <w:rPr>
        <w:rFonts w:hint="default"/>
      </w:rPr>
    </w:lvl>
    <w:lvl w:ilvl="1">
      <w:start w:val="0"/>
      <w:numFmt w:val="decimal"/>
      <w:lvlText w:val="%1.%2."/>
      <w:lvlJc w:val="left"/>
      <w:pPr>
        <w:ind w:left="1984" w:hanging="545"/>
        <w:jc w:val="left"/>
      </w:pPr>
      <w:rPr>
        <w:rFonts w:hint="default" w:ascii="Lucida Sans" w:hAnsi="Lucida Sans" w:eastAsia="Lucida Sans" w:cs="Lucida Sans"/>
        <w:color w:val="00A94F"/>
        <w:w w:val="87"/>
        <w:sz w:val="28"/>
        <w:szCs w:val="28"/>
      </w:rPr>
    </w:lvl>
    <w:lvl w:ilvl="2">
      <w:start w:val="1"/>
      <w:numFmt w:val="decimal"/>
      <w:lvlText w:val="%1.%2.%3."/>
      <w:lvlJc w:val="left"/>
      <w:pPr>
        <w:ind w:left="1996" w:hanging="556"/>
        <w:jc w:val="left"/>
      </w:pPr>
      <w:rPr>
        <w:rFonts w:hint="default" w:ascii="Lucida Sans" w:hAnsi="Lucida Sans" w:eastAsia="Lucida Sans" w:cs="Lucida Sans"/>
        <w:color w:val="1C3E94"/>
        <w:w w:val="87"/>
        <w:sz w:val="20"/>
        <w:szCs w:val="20"/>
      </w:rPr>
    </w:lvl>
    <w:lvl w:ilvl="3">
      <w:start w:val="0"/>
      <w:numFmt w:val="bullet"/>
      <w:lvlText w:val="•"/>
      <w:lvlJc w:val="left"/>
      <w:pPr>
        <w:ind w:left="2714" w:hanging="556"/>
      </w:pPr>
      <w:rPr>
        <w:rFonts w:hint="default"/>
      </w:rPr>
    </w:lvl>
    <w:lvl w:ilvl="4">
      <w:start w:val="0"/>
      <w:numFmt w:val="bullet"/>
      <w:lvlText w:val="•"/>
      <w:lvlJc w:val="left"/>
      <w:pPr>
        <w:ind w:left="3071" w:hanging="556"/>
      </w:pPr>
      <w:rPr>
        <w:rFonts w:hint="default"/>
      </w:rPr>
    </w:lvl>
    <w:lvl w:ilvl="5">
      <w:start w:val="0"/>
      <w:numFmt w:val="bullet"/>
      <w:lvlText w:val="•"/>
      <w:lvlJc w:val="left"/>
      <w:pPr>
        <w:ind w:left="3429" w:hanging="556"/>
      </w:pPr>
      <w:rPr>
        <w:rFonts w:hint="default"/>
      </w:rPr>
    </w:lvl>
    <w:lvl w:ilvl="6">
      <w:start w:val="0"/>
      <w:numFmt w:val="bullet"/>
      <w:lvlText w:val="•"/>
      <w:lvlJc w:val="left"/>
      <w:pPr>
        <w:ind w:left="3786" w:hanging="556"/>
      </w:pPr>
      <w:rPr>
        <w:rFonts w:hint="default"/>
      </w:rPr>
    </w:lvl>
    <w:lvl w:ilvl="7">
      <w:start w:val="0"/>
      <w:numFmt w:val="bullet"/>
      <w:lvlText w:val="•"/>
      <w:lvlJc w:val="left"/>
      <w:pPr>
        <w:ind w:left="4143" w:hanging="556"/>
      </w:pPr>
      <w:rPr>
        <w:rFonts w:hint="default"/>
      </w:rPr>
    </w:lvl>
    <w:lvl w:ilvl="8">
      <w:start w:val="0"/>
      <w:numFmt w:val="bullet"/>
      <w:lvlText w:val="•"/>
      <w:lvlJc w:val="left"/>
      <w:pPr>
        <w:ind w:left="4500" w:hanging="556"/>
      </w:pPr>
      <w:rPr>
        <w:rFonts w:hint="default"/>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aramond" w:hAnsi="Garamond" w:eastAsia="Garamond" w:cs="Garamond"/>
    </w:rPr>
  </w:style>
  <w:style w:styleId="BodyText" w:type="paragraph">
    <w:name w:val="Body Text"/>
    <w:basedOn w:val="Normal"/>
    <w:uiPriority w:val="1"/>
    <w:qFormat/>
    <w:pPr/>
    <w:rPr>
      <w:rFonts w:ascii="Garamond" w:hAnsi="Garamond" w:eastAsia="Garamond" w:cs="Garamond"/>
      <w:sz w:val="20"/>
      <w:szCs w:val="20"/>
    </w:rPr>
  </w:style>
  <w:style w:styleId="Heading1" w:type="paragraph">
    <w:name w:val="Heading 1"/>
    <w:basedOn w:val="Normal"/>
    <w:uiPriority w:val="1"/>
    <w:qFormat/>
    <w:pPr>
      <w:spacing w:before="89"/>
      <w:ind w:left="1984"/>
      <w:outlineLvl w:val="1"/>
    </w:pPr>
    <w:rPr>
      <w:rFonts w:ascii="Lucida Sans" w:hAnsi="Lucida Sans" w:eastAsia="Lucida Sans" w:cs="Lucida Sans"/>
      <w:sz w:val="28"/>
      <w:szCs w:val="28"/>
    </w:rPr>
  </w:style>
  <w:style w:styleId="ListParagraph" w:type="paragraph">
    <w:name w:val="List Paragraph"/>
    <w:basedOn w:val="Normal"/>
    <w:uiPriority w:val="1"/>
    <w:qFormat/>
    <w:pPr>
      <w:spacing w:before="86"/>
      <w:ind w:left="1684" w:hanging="244"/>
    </w:pPr>
    <w:rPr>
      <w:rFonts w:ascii="Garamond" w:hAnsi="Garamond" w:eastAsia="Garamond" w:cs="Garamond"/>
    </w:rPr>
  </w:style>
  <w:style w:styleId="TableParagraph" w:type="paragraph">
    <w:name w:val="Table Paragraph"/>
    <w:basedOn w:val="Normal"/>
    <w:uiPriority w:val="1"/>
    <w:qFormat/>
    <w:pPr>
      <w:spacing w:before="107"/>
      <w:ind w:left="66"/>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hyperlink" Target="http://wwwn.cdc.gov/foodborneoutbreaks/" TargetMode="External"/><Relationship Id="rId17" Type="http://schemas.openxmlformats.org/officeDocument/2006/relationships/hyperlink" Target="http://www.cdc.gov/az/a" TargetMode="External"/><Relationship Id="rId18" Type="http://schemas.openxmlformats.org/officeDocument/2006/relationships/hyperlink" Target="http://www/" TargetMode="External"/><Relationship Id="rId19" Type="http://schemas.openxmlformats.org/officeDocument/2006/relationships/hyperlink" Target="http://www.cdc.gov/" TargetMode="External"/><Relationship Id="rId20" Type="http://schemas.openxmlformats.org/officeDocument/2006/relationships/hyperlink" Target="http://www.health.gov/dietaryguidelines/" TargetMode="External"/><Relationship Id="rId21" Type="http://schemas.openxmlformats.org/officeDocument/2006/relationships/hyperlink" Target="http://www.st.nmfs.noaa.gov/st1/fus/fus11/08_" TargetMode="External"/><Relationship Id="rId22" Type="http://schemas.openxmlformats.org/officeDocument/2006/relationships/hyperlink" Target="http://www.ers.usda.gov/data-products/us-food-imports.aspx" TargetMode="External"/><Relationship Id="rId23" Type="http://schemas.openxmlformats.org/officeDocument/2006/relationships/hyperlink" Target="http://www.fda.gov/" TargetMode="External"/><Relationship Id="rId24" Type="http://schemas.openxmlformats.org/officeDocument/2006/relationships/hyperlink" Target="http://wwwnc.cdc.gov/eid/" TargetMode="External"/><Relationship Id="rId25" Type="http://schemas.openxmlformats.org/officeDocument/2006/relationships/hyperlink" Target="http://www.ers.usda.gov/" TargetMode="External"/><Relationship Id="rId26" Type="http://schemas.openxmlformats.org/officeDocument/2006/relationships/hyperlink" Target="http://www.fda.gov/food/" TargetMode="External"/><Relationship Id="rId27" Type="http://schemas.openxmlformats.org/officeDocument/2006/relationships/hyperlink" Target="http://www.restaurant.org/" TargetMode="External"/><Relationship Id="rId28" Type="http://schemas.openxmlformats.org/officeDocument/2006/relationships/hyperlink" Target="http://www.fsis.usda.gov/" TargetMode="External"/><Relationship Id="rId29" Type="http://schemas.openxmlformats.org/officeDocument/2006/relationships/hyperlink" Target="http://www.fda.gov/Safety/Recalls/" TargetMode="External"/><Relationship Id="rId30" Type="http://schemas.openxmlformats.org/officeDocument/2006/relationships/hyperlink" Target="http://www.cdc.gov/nationalsurveillance/PDFs/" TargetMode="External"/><Relationship Id="rId31" Type="http://schemas.openxmlformats.org/officeDocument/2006/relationships/hyperlink" Target="http://www.cdc.gov/ncezid/dfwed/" TargetMode="External"/><Relationship Id="rId32" Type="http://schemas.openxmlformats.org/officeDocument/2006/relationships/hyperlink" Target="http://www.cdc.gov/foodnet/" TargetMode="External"/><Relationship Id="rId33" Type="http://schemas.openxmlformats.org/officeDocument/2006/relationships/hyperlink" Target="http://ftp/" TargetMode="External"/><Relationship Id="rId34" Type="http://schemas.openxmlformats.org/officeDocument/2006/relationships/hyperlink" Target="http://www.cdc.gov/narms/" TargetMode="External"/><Relationship Id="rId35" Type="http://schemas.openxmlformats.org/officeDocument/2006/relationships/hyperlink" Target="http://www.atsu.edu/" TargetMode="External"/><Relationship Id="rId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2018-01-23T13:52:35Z</dcterms:created>
  <dcterms:modified xsi:type="dcterms:W3CDTF">2018-01-23T13:52:35Z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2014-04-24T00:00:00Z</vt:filetime>
  </property>
  <property fmtid="{D5CDD505-2E9C-101B-9397-08002B2CF9AE}" pid="3" name="Creator">
    <vt:lpwstr>Adobe InDesign CS6 (Macintosh)</vt:lpwstr>
  </property>
  <property fmtid="{D5CDD505-2E9C-101B-9397-08002B2CF9AE}" pid="4" name="LastSaved">
    <vt:filetime>2018-01-23T00:00:00Z</vt:filetime>
  </property>
</Properties>
</file>