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pict>
          <v:group style="position:absolute;margin-left:0pt;margin-top:0pt;width:504pt;height:271pt;mso-position-horizontal-relative:page;mso-position-vertical-relative:page;z-index:1072" coordorigin="0,0" coordsize="10080,5420">
            <v:shape style="position:absolute;left:0;top:900;width:10080;height:4500" type="#_x0000_t75" stroked="false">
              <v:imagedata r:id="rId5" o:title=""/>
            </v:shape>
            <v:shape style="position:absolute;left:0;top:900;width:10080;height:4500" type="#_x0000_t75" stroked="false">
              <v:imagedata r:id="rId6" o:title=""/>
            </v:shape>
            <v:shape style="position:absolute;left:0;top:0;width:10080;height:900" type="#_x0000_t75" stroked="false">
              <v:imagedata r:id="rId7" o:title=""/>
            </v:shape>
            <v:rect style="position:absolute;left:0;top:900;width:10080;height:20" filled="true" fillcolor="#1c3e94" stroked="false">
              <v:fill type="solid"/>
            </v:rect>
            <v:shape style="position:absolute;left:6870;top:390;width:2460;height:2460" coordorigin="6870,390" coordsize="2460,2460" path="m8100,390l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xe" filled="true" fillcolor="#ffffff" stroked="false">
              <v:path arrowok="t"/>
              <v:fill type="solid"/>
            </v:shape>
            <v:shape style="position:absolute;left:6870;top:390;width:2460;height:2460" coordorigin="6870,390" coordsize="2460,2460" path="m8100,2850l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xe" filled="false" stroked="true" strokeweight="3pt" strokecolor="#ffffff">
              <v:path arrowok="t"/>
              <v:stroke dashstyle="solid"/>
            </v:shape>
            <v:shape style="position:absolute;left:6912;top:435;width:2363;height:2363" coordorigin="6912,435" coordsize="2363,2363" path="m8093,435l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xe" filled="true" fillcolor="#ffffff" stroked="false">
              <v:path arrowok="t"/>
              <v:fill type="solid"/>
            </v:shape>
            <v:shape style="position:absolute;left:6912;top:435;width:2363;height:2363" coordorigin="6912,435" coordsize="2363,2363" path="m8093,2797l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xe" filled="false" stroked="true" strokeweight="3pt" strokecolor="#0079c1">
              <v:path arrowok="t"/>
              <v:stroke dashstyle="solid"/>
            </v:shape>
            <v:rect style="position:absolute;left:0;top:5400;width:10080;height:20" filled="true" fillcolor="#1c3e94" stroked="false">
              <v:fill type="solid"/>
            </v:rect>
            <v:shapetype id="_x0000_t202" o:spt="202" coordsize="21600,21600" path="m,l,21600r21600,l21600,xe">
              <v:stroke joinstyle="miter"/>
              <v:path gradientshapeok="t" o:connecttype="rect"/>
            </v:shapetype>
            <v:shape style="position:absolute;left:7495;top:873;width:1202;height:1570" type="#_x0000_t202" filled="false" stroked="false">
              <v:textbox inset="0,0,0,0">
                <w:txbxContent>
                  <w:p>
                    <w:pPr>
                      <w:spacing w:line="275" w:lineRule="exact" w:before="0"/>
                      <w:ind w:left="51" w:right="69" w:firstLine="0"/>
                      <w:jc w:val="center"/>
                      <w:rPr>
                        <w:rFonts w:ascii="Lucida Sans"/>
                        <w:b/>
                        <w:sz w:val="24"/>
                      </w:rPr>
                    </w:pPr>
                    <w:r>
                      <w:rPr>
                        <w:rFonts w:ascii="Lucida Sans"/>
                        <w:b/>
                        <w:color w:val="0079C1"/>
                        <w:w w:val="90"/>
                        <w:sz w:val="24"/>
                      </w:rPr>
                      <w:t>CHAPTER</w:t>
                    </w:r>
                  </w:p>
                  <w:p>
                    <w:pPr>
                      <w:spacing w:before="49"/>
                      <w:ind w:left="7" w:right="0" w:firstLine="0"/>
                      <w:jc w:val="center"/>
                      <w:rPr>
                        <w:rFonts w:ascii="Bookman Old Style"/>
                        <w:b/>
                        <w:sz w:val="104"/>
                      </w:rPr>
                    </w:pPr>
                    <w:r>
                      <w:rPr>
                        <w:rFonts w:ascii="Bookman Old Style"/>
                        <w:b/>
                        <w:color w:val="0079C1"/>
                        <w:w w:val="82"/>
                        <w:sz w:val="104"/>
                      </w:rPr>
                      <w:t>4</w:t>
                    </w:r>
                  </w:p>
                </w:txbxContent>
              </v:textbox>
              <w10:wrap type="none"/>
            </v:shape>
            <v:shape style="position:absolute;left:1947;top:3554;width:6735;height:1227" type="#_x0000_t202" filled="false" stroked="false">
              <v:textbox inset="0,0,0,0">
                <w:txbxContent>
                  <w:p>
                    <w:pPr>
                      <w:spacing w:line="477" w:lineRule="exact" w:before="0"/>
                      <w:ind w:left="1623" w:right="0" w:hanging="1624"/>
                      <w:jc w:val="left"/>
                      <w:rPr>
                        <w:rFonts w:ascii="Lucida Sans"/>
                        <w:sz w:val="42"/>
                      </w:rPr>
                    </w:pPr>
                    <w:r>
                      <w:rPr>
                        <w:rFonts w:ascii="Lucida Sans"/>
                        <w:color w:val="FFFFFF"/>
                        <w:w w:val="95"/>
                        <w:sz w:val="42"/>
                      </w:rPr>
                      <w:t>Foodborne Disease Surveillance</w:t>
                    </w:r>
                  </w:p>
                  <w:p>
                    <w:pPr>
                      <w:spacing w:before="225"/>
                      <w:ind w:left="1623" w:right="0" w:firstLine="0"/>
                      <w:jc w:val="left"/>
                      <w:rPr>
                        <w:rFonts w:ascii="Lucida Sans"/>
                        <w:sz w:val="42"/>
                      </w:rPr>
                    </w:pPr>
                    <w:r>
                      <w:rPr>
                        <w:rFonts w:ascii="Lucida Sans"/>
                        <w:color w:val="FFFFFF"/>
                        <w:spacing w:val="14"/>
                        <w:sz w:val="42"/>
                      </w:rPr>
                      <w:t>and</w:t>
                    </w:r>
                    <w:r>
                      <w:rPr>
                        <w:rFonts w:ascii="Lucida Sans"/>
                        <w:color w:val="FFFFFF"/>
                        <w:spacing w:val="-73"/>
                        <w:sz w:val="42"/>
                      </w:rPr>
                      <w:t> </w:t>
                    </w:r>
                    <w:r>
                      <w:rPr>
                        <w:rFonts w:ascii="Lucida Sans"/>
                        <w:color w:val="FFFFFF"/>
                        <w:spacing w:val="17"/>
                        <w:sz w:val="42"/>
                      </w:rPr>
                      <w:t>Outbreak</w:t>
                    </w:r>
                    <w:r>
                      <w:rPr>
                        <w:rFonts w:ascii="Lucida Sans"/>
                        <w:color w:val="FFFFFF"/>
                        <w:spacing w:val="-73"/>
                        <w:sz w:val="42"/>
                      </w:rPr>
                      <w:t> </w:t>
                    </w:r>
                    <w:r>
                      <w:rPr>
                        <w:rFonts w:ascii="Lucida Sans"/>
                        <w:color w:val="FFFFFF"/>
                        <w:spacing w:val="21"/>
                        <w:sz w:val="42"/>
                      </w:rPr>
                      <w:t>Detection</w:t>
                    </w:r>
                  </w:p>
                </w:txbxContent>
              </v:textbox>
              <w10:wrap type="none"/>
            </v:shape>
            <w10:wrap type="none"/>
          </v:group>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4"/>
        <w:rPr>
          <w:rFonts w:ascii="Times New Roman"/>
          <w:sz w:val="18"/>
        </w:rPr>
      </w:pPr>
    </w:p>
    <w:p>
      <w:pPr>
        <w:pStyle w:val="BodyText"/>
        <w:spacing w:before="9"/>
        <w:rPr>
          <w:rFonts w:ascii="Times New Roman"/>
          <w:sz w:val="30"/>
        </w:rPr>
      </w:pPr>
    </w:p>
    <w:p>
      <w:pPr>
        <w:pStyle w:val="BodyText"/>
        <w:spacing w:line="448" w:lineRule="auto"/>
        <w:ind w:left="3323" w:right="1438"/>
        <w:jc w:val="both"/>
        <w:rPr>
          <w:rFonts w:ascii="Arial" w:hAnsi="Arial"/>
        </w:rPr>
      </w:pPr>
      <w:r>
        <w:rPr/>
        <w:pict>
          <v:shape style="position:absolute;margin-left:126pt;margin-top:-12.695868pt;width:40.2pt;height:85.45pt;mso-position-horizontal-relative:page;mso-position-vertical-relative:paragraph;z-index:-37048" type="#_x0000_t202" filled="false" stroked="false">
            <v:textbox inset="0,0,0,0">
              <w:txbxContent>
                <w:p>
                  <w:pPr>
                    <w:spacing w:line="1600" w:lineRule="exact" w:before="0"/>
                    <w:ind w:left="0" w:right="0" w:firstLine="0"/>
                    <w:jc w:val="left"/>
                    <w:rPr>
                      <w:rFonts w:ascii="Arial"/>
                      <w:sz w:val="141"/>
                    </w:rPr>
                  </w:pPr>
                  <w:r>
                    <w:rPr>
                      <w:rFonts w:ascii="Arial"/>
                      <w:color w:val="00A94F"/>
                      <w:w w:val="93"/>
                      <w:sz w:val="141"/>
                    </w:rPr>
                    <w:t>T</w:t>
                  </w:r>
                </w:p>
              </w:txbxContent>
            </v:textbox>
            <w10:wrap type="none"/>
          </v:shape>
        </w:pict>
      </w:r>
      <w:r>
        <w:rPr>
          <w:rFonts w:ascii="Arial" w:hAnsi="Arial"/>
          <w:color w:val="1C3E94"/>
        </w:rPr>
        <w:t>he term “foodborne disease surveillance” is often used to describe routine monitoring in a population for any enteric disease. The actual vehicle is usually not known during </w:t>
      </w:r>
      <w:r>
        <w:rPr>
          <w:rFonts w:ascii="Arial" w:hAnsi="Arial"/>
          <w:color w:val="1C3E94"/>
          <w:spacing w:val="53"/>
        </w:rPr>
        <w:t> </w:t>
      </w:r>
      <w:r>
        <w:rPr>
          <w:rFonts w:ascii="Arial" w:hAnsi="Arial"/>
          <w:color w:val="1C3E94"/>
        </w:rPr>
        <w:t>the</w:t>
      </w:r>
    </w:p>
    <w:p>
      <w:pPr>
        <w:pStyle w:val="BodyText"/>
        <w:spacing w:line="448" w:lineRule="auto" w:before="5"/>
        <w:ind w:left="2520" w:right="1437"/>
        <w:jc w:val="both"/>
        <w:rPr>
          <w:rFonts w:ascii="Arial"/>
        </w:rPr>
      </w:pPr>
      <w:r>
        <w:rPr>
          <w:rFonts w:ascii="Arial"/>
          <w:color w:val="1C3E94"/>
        </w:rPr>
        <w:t>surveillance and early stages of the investigation processes, and transmission ultimately could be caused by food, water, person-to- person spread, animal contact, or other exposures.</w:t>
      </w:r>
    </w:p>
    <w:p>
      <w:pPr>
        <w:pStyle w:val="BodyText"/>
        <w:rPr>
          <w:rFonts w:ascii="Arial"/>
          <w:sz w:val="24"/>
        </w:rPr>
      </w:pPr>
    </w:p>
    <w:p>
      <w:pPr>
        <w:pStyle w:val="BodyText"/>
        <w:spacing w:line="448" w:lineRule="auto" w:before="159"/>
        <w:ind w:left="2520" w:right="1437"/>
        <w:jc w:val="both"/>
        <w:rPr>
          <w:rFonts w:ascii="Arial"/>
        </w:rPr>
      </w:pPr>
      <w:r>
        <w:rPr/>
        <w:pict>
          <v:line style="position:absolute;mso-position-horizontal-relative:page;mso-position-vertical-relative:paragraph;z-index:-37072" from="0pt,255.714081pt" to="432pt,255.714081pt" stroked="true" strokeweight="1pt" strokecolor="#00a94f">
            <v:stroke dashstyle="solid"/>
            <w10:wrap type="none"/>
          </v:line>
        </w:pict>
      </w:r>
      <w:r>
        <w:rPr>
          <w:rFonts w:ascii="Arial"/>
          <w:color w:val="1C3E94"/>
        </w:rPr>
        <w:t>A primary function of foodborne disease surveillance is detection of problems</w:t>
      </w:r>
      <w:r>
        <w:rPr>
          <w:rFonts w:ascii="Arial"/>
          <w:color w:val="1C3E94"/>
          <w:spacing w:val="-15"/>
        </w:rPr>
        <w:t> </w:t>
      </w:r>
      <w:r>
        <w:rPr>
          <w:rFonts w:ascii="Arial"/>
          <w:color w:val="1C3E94"/>
        </w:rPr>
        <w:t>in</w:t>
      </w:r>
      <w:r>
        <w:rPr>
          <w:rFonts w:ascii="Arial"/>
          <w:color w:val="1C3E94"/>
          <w:spacing w:val="-15"/>
        </w:rPr>
        <w:t> </w:t>
      </w:r>
      <w:r>
        <w:rPr>
          <w:rFonts w:ascii="Arial"/>
          <w:color w:val="1C3E94"/>
        </w:rPr>
        <w:t>food</w:t>
      </w:r>
      <w:r>
        <w:rPr>
          <w:rFonts w:ascii="Arial"/>
          <w:color w:val="1C3E94"/>
          <w:spacing w:val="-15"/>
        </w:rPr>
        <w:t> </w:t>
      </w:r>
      <w:r>
        <w:rPr>
          <w:rFonts w:ascii="Arial"/>
          <w:color w:val="1C3E94"/>
        </w:rPr>
        <w:t>and</w:t>
      </w:r>
      <w:r>
        <w:rPr>
          <w:rFonts w:ascii="Arial"/>
          <w:color w:val="1C3E94"/>
          <w:spacing w:val="-15"/>
        </w:rPr>
        <w:t> </w:t>
      </w:r>
      <w:r>
        <w:rPr>
          <w:rFonts w:ascii="Arial"/>
          <w:color w:val="1C3E94"/>
        </w:rPr>
        <w:t>water</w:t>
      </w:r>
      <w:r>
        <w:rPr>
          <w:rFonts w:ascii="Arial"/>
          <w:color w:val="1C3E94"/>
          <w:spacing w:val="-15"/>
        </w:rPr>
        <w:t> </w:t>
      </w:r>
      <w:r>
        <w:rPr>
          <w:rFonts w:ascii="Arial"/>
          <w:color w:val="1C3E94"/>
        </w:rPr>
        <w:t>production</w:t>
      </w:r>
      <w:r>
        <w:rPr>
          <w:rFonts w:ascii="Arial"/>
          <w:color w:val="1C3E94"/>
          <w:spacing w:val="-15"/>
        </w:rPr>
        <w:t> </w:t>
      </w:r>
      <w:r>
        <w:rPr>
          <w:rFonts w:ascii="Arial"/>
          <w:color w:val="1C3E94"/>
        </w:rPr>
        <w:t>and</w:t>
      </w:r>
      <w:r>
        <w:rPr>
          <w:rFonts w:ascii="Arial"/>
          <w:color w:val="1C3E94"/>
          <w:spacing w:val="-15"/>
        </w:rPr>
        <w:t> </w:t>
      </w:r>
      <w:r>
        <w:rPr>
          <w:rFonts w:ascii="Arial"/>
          <w:color w:val="1C3E94"/>
        </w:rPr>
        <w:t>delivery</w:t>
      </w:r>
      <w:r>
        <w:rPr>
          <w:rFonts w:ascii="Arial"/>
          <w:color w:val="1C3E94"/>
          <w:spacing w:val="-15"/>
        </w:rPr>
        <w:t> </w:t>
      </w:r>
      <w:r>
        <w:rPr>
          <w:rFonts w:ascii="Arial"/>
          <w:color w:val="1C3E94"/>
        </w:rPr>
        <w:t>systems</w:t>
      </w:r>
      <w:r>
        <w:rPr>
          <w:rFonts w:ascii="Arial"/>
          <w:color w:val="1C3E94"/>
          <w:spacing w:val="-15"/>
        </w:rPr>
        <w:t> </w:t>
      </w:r>
      <w:r>
        <w:rPr>
          <w:rFonts w:ascii="Arial"/>
          <w:color w:val="1C3E94"/>
        </w:rPr>
        <w:t>that</w:t>
      </w:r>
      <w:r>
        <w:rPr>
          <w:rFonts w:ascii="Arial"/>
          <w:color w:val="1C3E94"/>
          <w:spacing w:val="-15"/>
        </w:rPr>
        <w:t> </w:t>
      </w:r>
      <w:r>
        <w:rPr>
          <w:rFonts w:ascii="Arial"/>
          <w:color w:val="1C3E94"/>
        </w:rPr>
        <w:t>might otherwise have gone unnoticed. Rapid detection and investigation of outbreaks is a critical first step to abating these active hazards and preventing their further recurrence (discussed further in Chapter 5). Broader goals of surveillance include defining the magnitude and burden</w:t>
      </w:r>
      <w:r>
        <w:rPr>
          <w:rFonts w:ascii="Arial"/>
          <w:color w:val="1C3E94"/>
          <w:spacing w:val="-9"/>
        </w:rPr>
        <w:t> </w:t>
      </w:r>
      <w:r>
        <w:rPr>
          <w:rFonts w:ascii="Arial"/>
          <w:color w:val="1C3E94"/>
        </w:rPr>
        <w:t>of</w:t>
      </w:r>
      <w:r>
        <w:rPr>
          <w:rFonts w:ascii="Arial"/>
          <w:color w:val="1C3E94"/>
          <w:spacing w:val="-9"/>
        </w:rPr>
        <w:t> </w:t>
      </w:r>
      <w:r>
        <w:rPr>
          <w:rFonts w:ascii="Arial"/>
          <w:color w:val="1C3E94"/>
        </w:rPr>
        <w:t>disease</w:t>
      </w:r>
      <w:r>
        <w:rPr>
          <w:rFonts w:ascii="Arial"/>
          <w:color w:val="1C3E94"/>
          <w:spacing w:val="-9"/>
        </w:rPr>
        <w:t> </w:t>
      </w:r>
      <w:r>
        <w:rPr>
          <w:rFonts w:ascii="Arial"/>
          <w:color w:val="1C3E94"/>
        </w:rPr>
        <w:t>in</w:t>
      </w:r>
      <w:r>
        <w:rPr>
          <w:rFonts w:ascii="Arial"/>
          <w:color w:val="1C3E94"/>
          <w:spacing w:val="-9"/>
        </w:rPr>
        <w:t> </w:t>
      </w:r>
      <w:r>
        <w:rPr>
          <w:rFonts w:ascii="Arial"/>
          <w:color w:val="1C3E94"/>
        </w:rPr>
        <w:t>the</w:t>
      </w:r>
      <w:r>
        <w:rPr>
          <w:rFonts w:ascii="Arial"/>
          <w:color w:val="1C3E94"/>
          <w:spacing w:val="-9"/>
        </w:rPr>
        <w:t> </w:t>
      </w:r>
      <w:r>
        <w:rPr>
          <w:rFonts w:ascii="Arial"/>
          <w:color w:val="1C3E94"/>
        </w:rPr>
        <w:t>community,</w:t>
      </w:r>
      <w:r>
        <w:rPr>
          <w:rFonts w:ascii="Arial"/>
          <w:color w:val="1C3E94"/>
          <w:spacing w:val="-9"/>
        </w:rPr>
        <w:t> </w:t>
      </w:r>
      <w:r>
        <w:rPr>
          <w:rFonts w:ascii="Arial"/>
          <w:color w:val="1C3E94"/>
        </w:rPr>
        <w:t>monitoring</w:t>
      </w:r>
      <w:r>
        <w:rPr>
          <w:rFonts w:ascii="Arial"/>
          <w:color w:val="1C3E94"/>
          <w:spacing w:val="-9"/>
        </w:rPr>
        <w:t> </w:t>
      </w:r>
      <w:r>
        <w:rPr>
          <w:rFonts w:ascii="Arial"/>
          <w:color w:val="1C3E94"/>
        </w:rPr>
        <w:t>trends,</w:t>
      </w:r>
      <w:r>
        <w:rPr>
          <w:rFonts w:ascii="Arial"/>
          <w:color w:val="1C3E94"/>
          <w:spacing w:val="-9"/>
        </w:rPr>
        <w:t> </w:t>
      </w:r>
      <w:r>
        <w:rPr>
          <w:rFonts w:ascii="Arial"/>
          <w:color w:val="1C3E94"/>
        </w:rPr>
        <w:t>measuring</w:t>
      </w:r>
      <w:r>
        <w:rPr>
          <w:rFonts w:ascii="Arial"/>
          <w:color w:val="1C3E94"/>
          <w:spacing w:val="-9"/>
        </w:rPr>
        <w:t> </w:t>
      </w:r>
      <w:r>
        <w:rPr>
          <w:rFonts w:ascii="Arial"/>
          <w:color w:val="1C3E94"/>
        </w:rPr>
        <w:t>the effectiveness of control programs, attributing disease to specific food vehicles, providing a platform for applied research, and facilitating understanding of the epidemiology of foodborne diseases. This chapter focuses on outbreak detection aspects of</w:t>
      </w:r>
      <w:r>
        <w:rPr>
          <w:rFonts w:ascii="Arial"/>
          <w:color w:val="1C3E94"/>
          <w:spacing w:val="-37"/>
        </w:rPr>
        <w:t> </w:t>
      </w:r>
      <w:r>
        <w:rPr>
          <w:rFonts w:ascii="Arial"/>
          <w:color w:val="1C3E94"/>
        </w:rPr>
        <w:t>surveillance.</w:t>
      </w:r>
    </w:p>
    <w:p>
      <w:pPr>
        <w:spacing w:after="0" w:line="448" w:lineRule="auto"/>
        <w:jc w:val="both"/>
        <w:rPr>
          <w:rFonts w:ascii="Arial"/>
        </w:rPr>
        <w:sectPr>
          <w:type w:val="continuous"/>
          <w:pgSz w:w="10080" w:h="14400"/>
          <w:pgMar w:top="0" w:bottom="0" w:left="0" w:right="0"/>
        </w:sectPr>
      </w:pPr>
    </w:p>
    <w:p>
      <w:pPr>
        <w:pStyle w:val="BodyText"/>
        <w:spacing w:before="5"/>
        <w:rPr>
          <w:rFonts w:ascii="Arial"/>
          <w:sz w:val="10"/>
        </w:rPr>
      </w:pPr>
    </w:p>
    <w:p>
      <w:pPr>
        <w:pStyle w:val="Heading1"/>
        <w:numPr>
          <w:ilvl w:val="1"/>
          <w:numId w:val="1"/>
        </w:numPr>
        <w:tabs>
          <w:tab w:pos="1985" w:val="left" w:leader="none"/>
        </w:tabs>
        <w:spacing w:line="240" w:lineRule="auto" w:before="90" w:after="0"/>
        <w:ind w:left="1984" w:right="0" w:hanging="544"/>
        <w:jc w:val="left"/>
      </w:pPr>
      <w:r>
        <w:rPr/>
        <w:pict>
          <v:line style="position:absolute;mso-position-horizontal-relative:page;mso-position-vertical-relative:paragraph;z-index:1144;mso-wrap-distance-left:0;mso-wrap-distance-right:0" from="72pt,24.045164pt" to="468pt,24.045164pt" stroked="true" strokeweight=".5pt" strokecolor="#00a94f">
            <v:stroke dashstyle="solid"/>
            <w10:wrap type="topAndBottom"/>
          </v:line>
        </w:pict>
      </w:r>
      <w:r>
        <w:rPr>
          <w:color w:val="00A94F"/>
        </w:rPr>
        <w:t>Introduction</w:t>
      </w:r>
    </w:p>
    <w:p>
      <w:pPr>
        <w:pStyle w:val="BodyText"/>
        <w:spacing w:before="7"/>
        <w:rPr>
          <w:rFonts w:ascii="Lucida Sans"/>
          <w:sz w:val="17"/>
        </w:rPr>
      </w:pPr>
    </w:p>
    <w:p>
      <w:pPr>
        <w:spacing w:after="0"/>
        <w:rPr>
          <w:rFonts w:ascii="Lucida Sans"/>
          <w:sz w:val="17"/>
        </w:rPr>
        <w:sectPr>
          <w:headerReference w:type="even" r:id="rId8"/>
          <w:pgSz w:w="10080" w:h="14400"/>
          <w:pgMar w:header="0" w:footer="0" w:top="1160" w:bottom="280" w:left="0" w:right="0"/>
        </w:sectPr>
      </w:pPr>
    </w:p>
    <w:p>
      <w:pPr>
        <w:pStyle w:val="BodyText"/>
        <w:spacing w:line="266" w:lineRule="auto" w:before="108"/>
        <w:ind w:left="1440" w:right="125"/>
      </w:pPr>
      <w:r>
        <w:rPr>
          <w:color w:val="231F20"/>
        </w:rPr>
        <w:t>Unlike food-monitoring programs, which seek to identify problems in food production and correct them before illnesses </w:t>
      </w:r>
      <w:r>
        <w:rPr>
          <w:color w:val="231F20"/>
          <w:spacing w:val="-4"/>
        </w:rPr>
        <w:t>occur, </w:t>
      </w:r>
      <w:r>
        <w:rPr>
          <w:color w:val="231F20"/>
        </w:rPr>
        <w:t>foodborne disease surveillance cannot prevent initial cases of disease. Nevertheless,</w:t>
      </w:r>
      <w:r>
        <w:rPr>
          <w:color w:val="231F20"/>
          <w:spacing w:val="4"/>
        </w:rPr>
        <w:t> </w:t>
      </w:r>
      <w:r>
        <w:rPr>
          <w:color w:val="231F20"/>
        </w:rPr>
        <w:t>surveillance</w:t>
      </w:r>
    </w:p>
    <w:p>
      <w:pPr>
        <w:pStyle w:val="BodyText"/>
        <w:spacing w:line="266" w:lineRule="auto"/>
        <w:ind w:left="1440"/>
      </w:pPr>
      <w:r>
        <w:rPr/>
        <w:pict>
          <v:rect style="position:absolute;margin-left:0pt;margin-top:71.399353pt;width:45pt;height:18pt;mso-position-horizontal-relative:page;mso-position-vertical-relative:paragraph;z-index:1192" filled="true" fillcolor="#0079c1" stroked="false">
            <v:fill type="solid"/>
            <w10:wrap type="none"/>
          </v:rect>
        </w:pict>
      </w:r>
      <w:r>
        <w:rPr/>
        <w:pict>
          <v:line style="position:absolute;mso-position-horizontal-relative:page;mso-position-vertical-relative:paragraph;z-index:1216" from="54.5pt,71.39695pt" to="54.5pt,273.80595pt" stroked="true" strokeweight="1pt" strokecolor="#0079c1">
            <v:stroke dashstyle="solid"/>
            <w10:wrap type="none"/>
          </v:line>
        </w:pict>
      </w:r>
      <w:r>
        <w:rPr/>
        <w:pict>
          <v:shape style="position:absolute;margin-left:16.402201pt;margin-top:92.422646pt;width:22.3pt;height:183.2pt;mso-position-horizontal-relative:page;mso-position-vertical-relative:paragraph;z-index:1240"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18.200388pt;margin-top:76.150307pt;width:15.85pt;height:8.5pt;mso-position-horizontal-relative:page;mso-position-vertical-relative:paragraph;z-index:1264"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rPr>
        <w:t>is a sensitive tool available for identifying failures anywhere in food-supply systems. </w:t>
      </w:r>
      <w:r>
        <w:rPr>
          <w:color w:val="231F20"/>
          <w:spacing w:val="-5"/>
        </w:rPr>
        <w:t>Food </w:t>
      </w:r>
      <w:r>
        <w:rPr>
          <w:color w:val="231F20"/>
        </w:rPr>
        <w:t>monitoring must concentrate on monitoring  the effectiveness of risk-reduction procedures</w:t>
      </w:r>
      <w:r>
        <w:rPr>
          <w:color w:val="231F20"/>
          <w:spacing w:val="-9"/>
        </w:rPr>
        <w:t> </w:t>
      </w:r>
      <w:r>
        <w:rPr>
          <w:color w:val="231F20"/>
        </w:rPr>
        <w:t>at critical control points during the production of certain foods. </w:t>
      </w:r>
      <w:r>
        <w:rPr>
          <w:color w:val="231F20"/>
          <w:spacing w:val="-4"/>
        </w:rPr>
        <w:t>However, </w:t>
      </w:r>
      <w:r>
        <w:rPr>
          <w:color w:val="231F20"/>
        </w:rPr>
        <w:t>the range of possible food vehicles detectable through foodborne disease surveillance includes all food or other substances contaminated at any link in the  chain from production to ingestion. Foodborne disease surveillance complements regulatory and commercial monitoring programs </w:t>
      </w:r>
      <w:r>
        <w:rPr>
          <w:color w:val="231F20"/>
          <w:spacing w:val="-3"/>
        </w:rPr>
        <w:t>by </w:t>
      </w:r>
      <w:r>
        <w:rPr>
          <w:color w:val="231F20"/>
        </w:rPr>
        <w:t>providing primary feedback on the effectiveness of prevention</w:t>
      </w:r>
      <w:r>
        <w:rPr>
          <w:color w:val="231F20"/>
          <w:spacing w:val="20"/>
        </w:rPr>
        <w:t> </w:t>
      </w:r>
      <w:r>
        <w:rPr>
          <w:color w:val="231F20"/>
        </w:rPr>
        <w:t>programs.</w:t>
      </w:r>
    </w:p>
    <w:p>
      <w:pPr>
        <w:pStyle w:val="BodyText"/>
        <w:spacing w:line="266" w:lineRule="auto" w:before="180"/>
        <w:ind w:left="1440"/>
      </w:pPr>
      <w:r>
        <w:rPr>
          <w:color w:val="231F20"/>
        </w:rPr>
        <w:t>Over the years, foodborne disease surveillance, coupled with outbreak investigation, has remained among the most productive</w:t>
      </w:r>
    </w:p>
    <w:p>
      <w:pPr>
        <w:pStyle w:val="BodyText"/>
        <w:ind w:left="1440"/>
      </w:pPr>
      <w:r>
        <w:rPr>
          <w:color w:val="231F20"/>
        </w:rPr>
        <w:t>public health activities, resulting in the</w:t>
      </w:r>
    </w:p>
    <w:p>
      <w:pPr>
        <w:pStyle w:val="BodyText"/>
        <w:spacing w:before="3"/>
        <w:rPr>
          <w:sz w:val="25"/>
        </w:rPr>
      </w:pPr>
    </w:p>
    <w:p>
      <w:pPr>
        <w:pStyle w:val="Heading1"/>
        <w:numPr>
          <w:ilvl w:val="1"/>
          <w:numId w:val="1"/>
        </w:numPr>
        <w:tabs>
          <w:tab w:pos="1985" w:val="left" w:leader="none"/>
        </w:tabs>
        <w:spacing w:line="240" w:lineRule="auto" w:before="0" w:after="0"/>
        <w:ind w:left="1984" w:right="0" w:hanging="544"/>
        <w:jc w:val="left"/>
      </w:pPr>
      <w:r>
        <w:rPr>
          <w:color w:val="00A94F"/>
        </w:rPr>
        <w:t>Overview</w:t>
      </w:r>
    </w:p>
    <w:p>
      <w:pPr>
        <w:pStyle w:val="BodyText"/>
        <w:spacing w:line="266" w:lineRule="auto" w:before="108"/>
        <w:ind w:left="368" w:right="1080"/>
      </w:pPr>
      <w:r>
        <w:rPr/>
        <w:br w:type="column"/>
      </w:r>
      <w:r>
        <w:rPr>
          <w:color w:val="231F20"/>
        </w:rPr>
        <w:t>recall of  hundreds of  millions of  pounds of contaminated products and prompting numerous large and small changes in food-</w:t>
      </w:r>
    </w:p>
    <w:p>
      <w:pPr>
        <w:pStyle w:val="BodyText"/>
        <w:spacing w:line="266" w:lineRule="auto"/>
        <w:ind w:left="368" w:right="799"/>
      </w:pPr>
      <w:r>
        <w:rPr>
          <w:color w:val="231F20"/>
        </w:rPr>
        <w:t>production and food-delivery systems. Many improvements in food safety during the past 100 years directly or indirectly resulted from outbreak investigations. However, current surveillance practices vary widely, are unevenly resourced, and generally exploit only a fraction of the system’s potential.</w:t>
      </w:r>
    </w:p>
    <w:p>
      <w:pPr>
        <w:pStyle w:val="BodyText"/>
        <w:spacing w:line="266" w:lineRule="auto" w:before="180"/>
        <w:ind w:left="368" w:right="930"/>
      </w:pPr>
      <w:r>
        <w:rPr>
          <w:color w:val="231F20"/>
        </w:rPr>
        <w:t>When a possible foodborne disease outbreak is first detected or reported, investigators will not know whether the disease is foodborne, waterborne, or attributable to other causes. Investigators must keep an open mind in the early stages of the investigation to ensure that potential causes are not prematurely ruled out. Although the focus of these Guidelines</w:t>
      </w:r>
      <w:r>
        <w:rPr>
          <w:color w:val="231F20"/>
          <w:spacing w:val="-12"/>
        </w:rPr>
        <w:t> </w:t>
      </w:r>
      <w:r>
        <w:rPr>
          <w:color w:val="231F20"/>
        </w:rPr>
        <w:t>is</w:t>
      </w:r>
    </w:p>
    <w:p>
      <w:pPr>
        <w:pStyle w:val="BodyText"/>
        <w:spacing w:line="266" w:lineRule="auto"/>
        <w:ind w:left="368" w:right="735"/>
      </w:pPr>
      <w:r>
        <w:rPr>
          <w:color w:val="231F20"/>
        </w:rPr>
        <w:t>foodborne disease, many of the surveillance and detection methods described in this chapter and the investigation methods described in Chapter 5 apply to a variety of  enteric and other illnesses, regardless of source of</w:t>
      </w:r>
      <w:r>
        <w:rPr>
          <w:color w:val="231F20"/>
          <w:spacing w:val="39"/>
        </w:rPr>
        <w:t> </w:t>
      </w:r>
      <w:r>
        <w:rPr>
          <w:color w:val="231F20"/>
        </w:rPr>
        <w:t>contamination.</w:t>
      </w:r>
    </w:p>
    <w:p>
      <w:pPr>
        <w:spacing w:after="0" w:line="266" w:lineRule="auto"/>
        <w:sectPr>
          <w:type w:val="continuous"/>
          <w:pgSz w:w="10080" w:h="14400"/>
          <w:pgMar w:top="0" w:bottom="0" w:left="0" w:right="0"/>
          <w:cols w:num="2" w:equalWidth="0">
            <w:col w:w="5172" w:space="40"/>
            <w:col w:w="4868"/>
          </w:cols>
        </w:sectPr>
      </w:pPr>
    </w:p>
    <w:p>
      <w:pPr>
        <w:pStyle w:val="BodyText"/>
        <w:spacing w:before="10"/>
        <w:rPr>
          <w:sz w:val="4"/>
        </w:rPr>
      </w:pPr>
    </w:p>
    <w:p>
      <w:pPr>
        <w:pStyle w:val="BodyText"/>
        <w:spacing w:line="20" w:lineRule="exact"/>
        <w:ind w:left="1435"/>
        <w:rPr>
          <w:sz w:val="2"/>
        </w:rPr>
      </w:pPr>
      <w:r>
        <w:rPr>
          <w:sz w:val="2"/>
        </w:rPr>
        <w:pict>
          <v:group style="width:396.5pt;height:.5pt;mso-position-horizontal-relative:char;mso-position-vertical-relative:line" coordorigin="0,0" coordsize="7930,10">
            <v:line style="position:absolute" from="5,5" to="7925,5" stroked="true" strokeweight=".5pt" strokecolor="#00a94f">
              <v:stroke dashstyle="solid"/>
            </v:line>
          </v:group>
        </w:pict>
      </w:r>
      <w:r>
        <w:rPr>
          <w:sz w:val="2"/>
        </w:rPr>
      </w:r>
    </w:p>
    <w:p>
      <w:pPr>
        <w:pStyle w:val="BodyText"/>
        <w:rPr>
          <w:sz w:val="11"/>
        </w:rPr>
      </w:pPr>
    </w:p>
    <w:p>
      <w:pPr>
        <w:spacing w:after="0"/>
        <w:rPr>
          <w:sz w:val="11"/>
        </w:rPr>
        <w:sectPr>
          <w:type w:val="continuous"/>
          <w:pgSz w:w="10080" w:h="14400"/>
          <w:pgMar w:top="0" w:bottom="0" w:left="0" w:right="0"/>
        </w:sectPr>
      </w:pPr>
    </w:p>
    <w:p>
      <w:pPr>
        <w:pStyle w:val="BodyText"/>
        <w:spacing w:line="266" w:lineRule="auto" w:before="108"/>
        <w:ind w:left="1440" w:right="82"/>
      </w:pPr>
      <w:r>
        <w:rPr>
          <w:color w:val="231F20"/>
        </w:rPr>
        <w:t>Disease surveillance is used to identify clusters of possible foodborne illness. Investigation methods (Chapter 5) then are used to identify common exposures of ill persons in the cluster that distinguish them from healthy  persons.</w:t>
      </w:r>
    </w:p>
    <w:p>
      <w:pPr>
        <w:pStyle w:val="BodyText"/>
        <w:spacing w:line="266" w:lineRule="auto"/>
        <w:ind w:left="1440" w:right="82"/>
      </w:pPr>
      <w:r>
        <w:rPr>
          <w:color w:val="231F20"/>
          <w:w w:val="105"/>
        </w:rPr>
        <w:t>Although, in practice, detecting individual foodborne</w:t>
      </w:r>
      <w:r>
        <w:rPr>
          <w:color w:val="231F20"/>
          <w:spacing w:val="-31"/>
          <w:w w:val="105"/>
        </w:rPr>
        <w:t> </w:t>
      </w:r>
      <w:r>
        <w:rPr>
          <w:color w:val="231F20"/>
          <w:w w:val="105"/>
        </w:rPr>
        <w:t>disease</w:t>
      </w:r>
      <w:r>
        <w:rPr>
          <w:color w:val="231F20"/>
          <w:spacing w:val="-31"/>
          <w:w w:val="105"/>
        </w:rPr>
        <w:t> </w:t>
      </w:r>
      <w:r>
        <w:rPr>
          <w:color w:val="231F20"/>
          <w:w w:val="105"/>
        </w:rPr>
        <w:t>outbreaks</w:t>
      </w:r>
      <w:r>
        <w:rPr>
          <w:color w:val="231F20"/>
          <w:spacing w:val="-32"/>
          <w:w w:val="105"/>
        </w:rPr>
        <w:t> </w:t>
      </w:r>
      <w:r>
        <w:rPr>
          <w:color w:val="231F20"/>
          <w:w w:val="105"/>
        </w:rPr>
        <w:t>involves</w:t>
      </w:r>
      <w:r>
        <w:rPr>
          <w:color w:val="231F20"/>
          <w:spacing w:val="-32"/>
          <w:w w:val="105"/>
        </w:rPr>
        <w:t> </w:t>
      </w:r>
      <w:r>
        <w:rPr>
          <w:color w:val="231F20"/>
          <w:w w:val="105"/>
        </w:rPr>
        <w:t>multiple approaches,</w:t>
      </w:r>
      <w:r>
        <w:rPr>
          <w:color w:val="231F20"/>
          <w:spacing w:val="-14"/>
          <w:w w:val="105"/>
        </w:rPr>
        <w:t> </w:t>
      </w:r>
      <w:r>
        <w:rPr>
          <w:color w:val="231F20"/>
          <w:w w:val="105"/>
        </w:rPr>
        <w:t>two</w:t>
      </w:r>
      <w:r>
        <w:rPr>
          <w:color w:val="231F20"/>
          <w:spacing w:val="-14"/>
          <w:w w:val="105"/>
        </w:rPr>
        <w:t> </w:t>
      </w:r>
      <w:r>
        <w:rPr>
          <w:color w:val="231F20"/>
          <w:w w:val="105"/>
        </w:rPr>
        <w:t>general</w:t>
      </w:r>
      <w:r>
        <w:rPr>
          <w:color w:val="231F20"/>
          <w:spacing w:val="-14"/>
          <w:w w:val="105"/>
        </w:rPr>
        <w:t> </w:t>
      </w:r>
      <w:r>
        <w:rPr>
          <w:color w:val="231F20"/>
          <w:w w:val="105"/>
        </w:rPr>
        <w:t>methods</w:t>
      </w:r>
      <w:r>
        <w:rPr>
          <w:color w:val="231F20"/>
          <w:spacing w:val="-14"/>
          <w:w w:val="105"/>
        </w:rPr>
        <w:t> </w:t>
      </w:r>
      <w:r>
        <w:rPr>
          <w:color w:val="231F20"/>
          <w:w w:val="105"/>
        </w:rPr>
        <w:t>are</w:t>
      </w:r>
      <w:r>
        <w:rPr>
          <w:color w:val="231F20"/>
          <w:spacing w:val="-14"/>
          <w:w w:val="105"/>
        </w:rPr>
        <w:t> </w:t>
      </w:r>
      <w:r>
        <w:rPr>
          <w:color w:val="231F20"/>
          <w:w w:val="105"/>
        </w:rPr>
        <w:t>used</w:t>
      </w:r>
    </w:p>
    <w:p>
      <w:pPr>
        <w:pStyle w:val="BodyText"/>
        <w:spacing w:line="266" w:lineRule="auto"/>
        <w:ind w:left="1440" w:right="66"/>
      </w:pPr>
      <w:r>
        <w:rPr>
          <w:color w:val="231F20"/>
          <w:w w:val="105"/>
        </w:rPr>
        <w:t>in outbreak detection: pathogen-specific surveillance and complaint systems (Table 4.1). A third method, syndromic surveillance, is used in some jurisdictions, but its role</w:t>
      </w:r>
    </w:p>
    <w:p>
      <w:pPr>
        <w:pStyle w:val="BodyText"/>
        <w:spacing w:line="266" w:lineRule="auto"/>
        <w:ind w:left="1440" w:right="398"/>
      </w:pPr>
      <w:r>
        <w:rPr>
          <w:color w:val="231F20"/>
          <w:w w:val="105"/>
        </w:rPr>
        <w:t>in detecting foodborne disease outbreaks is limited. Although these methods are</w:t>
      </w:r>
    </w:p>
    <w:p>
      <w:pPr>
        <w:pStyle w:val="BodyText"/>
        <w:spacing w:line="266" w:lineRule="auto"/>
        <w:ind w:left="1440" w:right="121"/>
      </w:pPr>
      <w:r>
        <w:rPr>
          <w:color w:val="231F20"/>
          <w:w w:val="105"/>
        </w:rPr>
        <w:t>presented</w:t>
      </w:r>
      <w:r>
        <w:rPr>
          <w:color w:val="231F20"/>
          <w:spacing w:val="-22"/>
          <w:w w:val="105"/>
        </w:rPr>
        <w:t> </w:t>
      </w:r>
      <w:r>
        <w:rPr>
          <w:color w:val="231F20"/>
          <w:w w:val="105"/>
        </w:rPr>
        <w:t>separately</w:t>
      </w:r>
      <w:r>
        <w:rPr>
          <w:color w:val="231F20"/>
          <w:spacing w:val="-22"/>
          <w:w w:val="105"/>
        </w:rPr>
        <w:t> </w:t>
      </w:r>
      <w:r>
        <w:rPr>
          <w:color w:val="231F20"/>
          <w:w w:val="105"/>
        </w:rPr>
        <w:t>for</w:t>
      </w:r>
      <w:r>
        <w:rPr>
          <w:color w:val="231F20"/>
          <w:spacing w:val="-22"/>
          <w:w w:val="105"/>
        </w:rPr>
        <w:t> </w:t>
      </w:r>
      <w:r>
        <w:rPr>
          <w:color w:val="231F20"/>
          <w:w w:val="105"/>
        </w:rPr>
        <w:t>descriptive</w:t>
      </w:r>
      <w:r>
        <w:rPr>
          <w:color w:val="231F20"/>
          <w:spacing w:val="-22"/>
          <w:w w:val="105"/>
        </w:rPr>
        <w:t> </w:t>
      </w:r>
      <w:r>
        <w:rPr>
          <w:color w:val="231F20"/>
          <w:w w:val="105"/>
        </w:rPr>
        <w:t>purposes, they are most effective when used together and integrated with food, </w:t>
      </w:r>
      <w:r>
        <w:rPr>
          <w:color w:val="231F20"/>
          <w:spacing w:val="-3"/>
          <w:w w:val="105"/>
        </w:rPr>
        <w:t>veterinary,</w:t>
      </w:r>
      <w:r>
        <w:rPr>
          <w:color w:val="231F20"/>
          <w:spacing w:val="-14"/>
          <w:w w:val="105"/>
        </w:rPr>
        <w:t> </w:t>
      </w:r>
      <w:r>
        <w:rPr>
          <w:color w:val="231F20"/>
          <w:w w:val="105"/>
        </w:rPr>
        <w:t>and</w:t>
      </w:r>
    </w:p>
    <w:p>
      <w:pPr>
        <w:pStyle w:val="BodyText"/>
        <w:spacing w:line="266" w:lineRule="auto"/>
        <w:ind w:left="1440" w:right="-4"/>
      </w:pPr>
      <w:r>
        <w:rPr>
          <w:color w:val="231F20"/>
          <w:w w:val="105"/>
        </w:rPr>
        <w:t>environmental</w:t>
      </w:r>
      <w:r>
        <w:rPr>
          <w:color w:val="231F20"/>
          <w:spacing w:val="-15"/>
          <w:w w:val="105"/>
        </w:rPr>
        <w:t> </w:t>
      </w:r>
      <w:r>
        <w:rPr>
          <w:color w:val="231F20"/>
          <w:w w:val="105"/>
        </w:rPr>
        <w:t>monitoring</w:t>
      </w:r>
      <w:r>
        <w:rPr>
          <w:color w:val="231F20"/>
          <w:spacing w:val="-15"/>
          <w:w w:val="105"/>
        </w:rPr>
        <w:t> </w:t>
      </w:r>
      <w:r>
        <w:rPr>
          <w:color w:val="231F20"/>
          <w:w w:val="105"/>
        </w:rPr>
        <w:t>programs,</w:t>
      </w:r>
      <w:r>
        <w:rPr>
          <w:color w:val="231F20"/>
          <w:spacing w:val="-15"/>
          <w:w w:val="105"/>
        </w:rPr>
        <w:t> </w:t>
      </w:r>
      <w:r>
        <w:rPr>
          <w:color w:val="231F20"/>
          <w:w w:val="105"/>
        </w:rPr>
        <w:t>as</w:t>
      </w:r>
      <w:r>
        <w:rPr>
          <w:color w:val="231F20"/>
          <w:spacing w:val="-15"/>
          <w:w w:val="105"/>
        </w:rPr>
        <w:t> </w:t>
      </w:r>
      <w:r>
        <w:rPr>
          <w:color w:val="231F20"/>
          <w:w w:val="105"/>
        </w:rPr>
        <w:t>will</w:t>
      </w:r>
      <w:r>
        <w:rPr>
          <w:color w:val="231F20"/>
          <w:spacing w:val="-15"/>
          <w:w w:val="105"/>
        </w:rPr>
        <w:t> </w:t>
      </w:r>
      <w:r>
        <w:rPr>
          <w:color w:val="231F20"/>
          <w:w w:val="105"/>
        </w:rPr>
        <w:t>be described later in Chapters 4 and</w:t>
      </w:r>
      <w:r>
        <w:rPr>
          <w:color w:val="231F20"/>
          <w:spacing w:val="-5"/>
          <w:w w:val="105"/>
        </w:rPr>
        <w:t> </w:t>
      </w:r>
      <w:r>
        <w:rPr>
          <w:color w:val="231F20"/>
          <w:w w:val="105"/>
        </w:rPr>
        <w:t>5.</w:t>
      </w:r>
    </w:p>
    <w:p>
      <w:pPr>
        <w:pStyle w:val="ListParagraph"/>
        <w:numPr>
          <w:ilvl w:val="0"/>
          <w:numId w:val="2"/>
        </w:numPr>
        <w:tabs>
          <w:tab w:pos="539" w:val="left" w:leader="none"/>
        </w:tabs>
        <w:spacing w:line="240" w:lineRule="auto" w:before="109" w:after="0"/>
        <w:ind w:left="538" w:right="0" w:hanging="190"/>
        <w:jc w:val="left"/>
        <w:rPr>
          <w:rFonts w:ascii="Lucida Sans"/>
          <w:sz w:val="18"/>
        </w:rPr>
      </w:pPr>
      <w:r>
        <w:rPr>
          <w:rFonts w:ascii="Lucida Sans"/>
          <w:color w:val="00A94F"/>
          <w:w w:val="94"/>
          <w:sz w:val="18"/>
        </w:rPr>
        <w:br w:type="column"/>
      </w:r>
      <w:r>
        <w:rPr>
          <w:rFonts w:ascii="Lucida Sans"/>
          <w:color w:val="00A94F"/>
          <w:w w:val="90"/>
          <w:sz w:val="18"/>
        </w:rPr>
        <w:t>Pathogen-specific </w:t>
      </w:r>
      <w:r>
        <w:rPr>
          <w:rFonts w:ascii="Lucida Sans"/>
          <w:color w:val="00A94F"/>
          <w:spacing w:val="18"/>
          <w:w w:val="90"/>
          <w:sz w:val="18"/>
        </w:rPr>
        <w:t> </w:t>
      </w:r>
      <w:r>
        <w:rPr>
          <w:rFonts w:ascii="Lucida Sans"/>
          <w:color w:val="00A94F"/>
          <w:w w:val="90"/>
          <w:sz w:val="18"/>
        </w:rPr>
        <w:t>surveillance:</w:t>
      </w:r>
    </w:p>
    <w:p>
      <w:pPr>
        <w:pStyle w:val="BodyText"/>
        <w:spacing w:line="266" w:lineRule="auto" w:before="40"/>
        <w:ind w:left="538" w:right="775"/>
        <w:rPr>
          <w:i/>
        </w:rPr>
      </w:pPr>
      <w:r>
        <w:rPr>
          <w:color w:val="231F20"/>
          <w:w w:val="105"/>
        </w:rPr>
        <w:t>Health-care providers and laboratorians report individual cases of disease when selected pathogens, such as </w:t>
      </w:r>
      <w:r>
        <w:rPr>
          <w:i/>
          <w:color w:val="231F20"/>
          <w:w w:val="105"/>
        </w:rPr>
        <w:t>Salmonella </w:t>
      </w:r>
      <w:r>
        <w:rPr>
          <w:i/>
          <w:color w:val="231F20"/>
          <w:w w:val="105"/>
        </w:rPr>
        <w:t>enterica </w:t>
      </w:r>
      <w:r>
        <w:rPr>
          <w:color w:val="231F20"/>
          <w:w w:val="105"/>
        </w:rPr>
        <w:t>or </w:t>
      </w:r>
      <w:r>
        <w:rPr>
          <w:i/>
          <w:color w:val="231F20"/>
          <w:w w:val="105"/>
        </w:rPr>
        <w:t>Escherichia coli </w:t>
      </w:r>
      <w:r>
        <w:rPr>
          <w:color w:val="231F20"/>
          <w:w w:val="105"/>
        </w:rPr>
        <w:t>O157:H7, are identified in specimens from patients</w:t>
      </w:r>
      <w:r>
        <w:rPr>
          <w:i/>
          <w:color w:val="231F20"/>
          <w:w w:val="105"/>
        </w:rPr>
        <w:t>.</w:t>
      </w:r>
    </w:p>
    <w:p>
      <w:pPr>
        <w:pStyle w:val="BodyText"/>
        <w:spacing w:line="266" w:lineRule="auto"/>
        <w:ind w:left="538" w:right="775"/>
      </w:pPr>
      <w:r>
        <w:rPr>
          <w:color w:val="231F20"/>
          <w:w w:val="105"/>
        </w:rPr>
        <w:t>This surveillance method also includes specific clinical syndromes with or without laboratory confirmation, such as hemolytic uremic syndrome and botulism, which usually indicate a particular pathogen.</w:t>
      </w:r>
    </w:p>
    <w:p>
      <w:pPr>
        <w:pStyle w:val="BodyText"/>
        <w:spacing w:line="266" w:lineRule="auto"/>
        <w:ind w:left="538" w:right="695"/>
      </w:pPr>
      <w:r>
        <w:rPr>
          <w:color w:val="231F20"/>
          <w:w w:val="105"/>
        </w:rPr>
        <w:t>Exposure information is gathered by interviews with cases. Data and pathogens collected as part of food, animal, or environmental monitoring programs enhance this surveillance method. The national notifiable disease reporting system and molecular subtyping available through the National Molecular Subtyping Network</w:t>
      </w:r>
    </w:p>
    <w:p>
      <w:pPr>
        <w:spacing w:after="0" w:line="266" w:lineRule="auto"/>
        <w:sectPr>
          <w:type w:val="continuous"/>
          <w:pgSz w:w="10080" w:h="14400"/>
          <w:pgMar w:top="0" w:bottom="0" w:left="0" w:right="0"/>
          <w:cols w:num="2" w:equalWidth="0">
            <w:col w:w="5192" w:space="40"/>
            <w:col w:w="4848"/>
          </w:cols>
        </w:sectPr>
      </w:pPr>
    </w:p>
    <w:p>
      <w:pPr>
        <w:pStyle w:val="BodyText"/>
      </w:pPr>
    </w:p>
    <w:p>
      <w:pPr>
        <w:pStyle w:val="BodyText"/>
      </w:pPr>
    </w:p>
    <w:p>
      <w:pPr>
        <w:pStyle w:val="BodyText"/>
        <w:rPr>
          <w:sz w:val="24"/>
        </w:rPr>
      </w:pPr>
    </w:p>
    <w:tbl>
      <w:tblPr>
        <w:tblW w:w="0" w:type="auto"/>
        <w:jc w:val="left"/>
        <w:tblInd w:w="1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2160"/>
        <w:gridCol w:w="2880"/>
        <w:gridCol w:w="2160"/>
        <w:gridCol w:w="2610"/>
        <w:gridCol w:w="1710"/>
      </w:tblGrid>
      <w:tr>
        <w:trPr>
          <w:trHeight w:val="360" w:hRule="exact"/>
        </w:trPr>
        <w:tc>
          <w:tcPr>
            <w:tcW w:w="11520" w:type="dxa"/>
            <w:gridSpan w:val="5"/>
            <w:shd w:val="clear" w:color="auto" w:fill="C4E3CA"/>
          </w:tcPr>
          <w:p>
            <w:pPr>
              <w:pStyle w:val="TableParagraph"/>
              <w:spacing w:before="56"/>
              <w:ind w:left="102"/>
              <w:rPr>
                <w:rFonts w:ascii="Lucida Sans"/>
                <w:b/>
                <w:sz w:val="20"/>
              </w:rPr>
            </w:pPr>
            <w:r>
              <w:rPr>
                <w:rFonts w:ascii="Lucida Sans"/>
                <w:b/>
                <w:color w:val="E36F1E"/>
                <w:w w:val="90"/>
                <w:sz w:val="20"/>
              </w:rPr>
              <w:t>Table 4.1. </w:t>
            </w:r>
            <w:r>
              <w:rPr>
                <w:rFonts w:ascii="Lucida Sans"/>
                <w:b/>
                <w:color w:val="1C3E94"/>
                <w:w w:val="90"/>
                <w:sz w:val="20"/>
              </w:rPr>
              <w:t>Comparison of foodborne disease surveillance systems</w:t>
            </w:r>
          </w:p>
        </w:tc>
      </w:tr>
      <w:tr>
        <w:trPr>
          <w:trHeight w:val="288" w:hRule="exact"/>
        </w:trPr>
        <w:tc>
          <w:tcPr>
            <w:tcW w:w="2160" w:type="dxa"/>
            <w:vMerge w:val="restart"/>
            <w:tcBorders>
              <w:right w:val="single" w:sz="4" w:space="0" w:color="FFFFFF"/>
            </w:tcBorders>
            <w:shd w:val="clear" w:color="auto" w:fill="00A94F"/>
          </w:tcPr>
          <w:p>
            <w:pPr>
              <w:pStyle w:val="TableParagraph"/>
              <w:spacing w:line="249" w:lineRule="auto" w:before="102"/>
              <w:ind w:left="339" w:right="337"/>
              <w:jc w:val="center"/>
              <w:rPr>
                <w:rFonts w:ascii="Lucida Sans"/>
                <w:sz w:val="18"/>
              </w:rPr>
            </w:pPr>
            <w:r>
              <w:rPr>
                <w:rFonts w:ascii="Lucida Sans"/>
                <w:color w:val="FFFFFF"/>
                <w:sz w:val="18"/>
              </w:rPr>
              <w:t>FUNCTIONAL </w:t>
            </w:r>
            <w:r>
              <w:rPr>
                <w:rFonts w:ascii="Lucida Sans"/>
                <w:color w:val="FFFFFF"/>
                <w:w w:val="95"/>
                <w:sz w:val="18"/>
              </w:rPr>
              <w:t>CHARACTERISTIC </w:t>
            </w:r>
            <w:r>
              <w:rPr>
                <w:rFonts w:ascii="Lucida Sans"/>
                <w:color w:val="FFFFFF"/>
                <w:sz w:val="18"/>
              </w:rPr>
              <w:t>OF METHOD</w:t>
            </w:r>
          </w:p>
        </w:tc>
        <w:tc>
          <w:tcPr>
            <w:tcW w:w="9360" w:type="dxa"/>
            <w:gridSpan w:val="4"/>
            <w:tcBorders>
              <w:left w:val="single" w:sz="4" w:space="0" w:color="FFFFFF"/>
              <w:bottom w:val="single" w:sz="4" w:space="0" w:color="FFFFFF"/>
            </w:tcBorders>
            <w:shd w:val="clear" w:color="auto" w:fill="00A94F"/>
          </w:tcPr>
          <w:p>
            <w:pPr>
              <w:pStyle w:val="TableParagraph"/>
              <w:spacing w:before="34"/>
              <w:ind w:left="3602" w:right="3602"/>
              <w:jc w:val="center"/>
              <w:rPr>
                <w:rFonts w:ascii="Lucida Sans"/>
                <w:sz w:val="18"/>
              </w:rPr>
            </w:pPr>
            <w:r>
              <w:rPr>
                <w:rFonts w:ascii="Lucida Sans"/>
                <w:color w:val="FFFFFF"/>
                <w:sz w:val="18"/>
              </w:rPr>
              <w:t>SURVEILLANCE METHOD</w:t>
            </w:r>
          </w:p>
        </w:tc>
      </w:tr>
      <w:tr>
        <w:trPr>
          <w:trHeight w:val="288" w:hRule="exact"/>
        </w:trPr>
        <w:tc>
          <w:tcPr>
            <w:tcW w:w="2160" w:type="dxa"/>
            <w:vMerge/>
            <w:tcBorders>
              <w:right w:val="single" w:sz="4" w:space="0" w:color="FFFFFF"/>
            </w:tcBorders>
            <w:shd w:val="clear" w:color="auto" w:fill="00A94F"/>
          </w:tcPr>
          <w:p>
            <w:pPr/>
          </w:p>
        </w:tc>
        <w:tc>
          <w:tcPr>
            <w:tcW w:w="2880" w:type="dxa"/>
            <w:vMerge w:val="restart"/>
            <w:tcBorders>
              <w:top w:val="single" w:sz="4" w:space="0" w:color="FFFFFF"/>
              <w:left w:val="single" w:sz="4" w:space="0" w:color="FFFFFF"/>
              <w:right w:val="single" w:sz="4" w:space="0" w:color="FFFFFF"/>
            </w:tcBorders>
            <w:shd w:val="clear" w:color="auto" w:fill="00A94F"/>
          </w:tcPr>
          <w:p>
            <w:pPr>
              <w:pStyle w:val="TableParagraph"/>
              <w:spacing w:before="178"/>
              <w:ind w:left="528"/>
              <w:rPr>
                <w:rFonts w:ascii="Lucida Sans"/>
                <w:sz w:val="18"/>
              </w:rPr>
            </w:pPr>
            <w:r>
              <w:rPr>
                <w:rFonts w:ascii="Lucida Sans"/>
                <w:color w:val="FFFFFF"/>
                <w:w w:val="105"/>
                <w:sz w:val="18"/>
              </w:rPr>
              <w:t>PATHOGEN-SPECIFIC</w:t>
            </w:r>
          </w:p>
        </w:tc>
        <w:tc>
          <w:tcPr>
            <w:tcW w:w="4770" w:type="dxa"/>
            <w:gridSpan w:val="2"/>
            <w:tcBorders>
              <w:top w:val="single" w:sz="4" w:space="0" w:color="FFFFFF"/>
              <w:left w:val="single" w:sz="4" w:space="0" w:color="FFFFFF"/>
              <w:bottom w:val="single" w:sz="4" w:space="0" w:color="FFFFFF"/>
              <w:right w:val="single" w:sz="4" w:space="0" w:color="FFFFFF"/>
            </w:tcBorders>
            <w:shd w:val="clear" w:color="auto" w:fill="00A94F"/>
          </w:tcPr>
          <w:p>
            <w:pPr>
              <w:pStyle w:val="TableParagraph"/>
              <w:spacing w:before="34"/>
              <w:ind w:left="1841" w:right="1841"/>
              <w:jc w:val="center"/>
              <w:rPr>
                <w:rFonts w:ascii="Lucida Sans"/>
                <w:sz w:val="18"/>
              </w:rPr>
            </w:pPr>
            <w:r>
              <w:rPr>
                <w:rFonts w:ascii="Lucida Sans"/>
                <w:color w:val="FFFFFF"/>
                <w:sz w:val="18"/>
              </w:rPr>
              <w:t>COMPLAINT</w:t>
            </w:r>
          </w:p>
        </w:tc>
        <w:tc>
          <w:tcPr>
            <w:tcW w:w="1710" w:type="dxa"/>
            <w:vMerge w:val="restart"/>
            <w:tcBorders>
              <w:top w:val="single" w:sz="4" w:space="0" w:color="FFFFFF"/>
              <w:left w:val="single" w:sz="4" w:space="0" w:color="FFFFFF"/>
            </w:tcBorders>
            <w:shd w:val="clear" w:color="auto" w:fill="00A94F"/>
          </w:tcPr>
          <w:p>
            <w:pPr>
              <w:pStyle w:val="TableParagraph"/>
              <w:spacing w:before="178"/>
              <w:ind w:left="321"/>
              <w:rPr>
                <w:rFonts w:ascii="Lucida Sans"/>
                <w:sz w:val="18"/>
              </w:rPr>
            </w:pPr>
            <w:r>
              <w:rPr>
                <w:rFonts w:ascii="Lucida Sans"/>
                <w:color w:val="FFFFFF"/>
                <w:sz w:val="18"/>
              </w:rPr>
              <w:t>SYNDROMIC</w:t>
            </w:r>
          </w:p>
        </w:tc>
      </w:tr>
      <w:tr>
        <w:trPr>
          <w:trHeight w:val="288" w:hRule="exact"/>
        </w:trPr>
        <w:tc>
          <w:tcPr>
            <w:tcW w:w="2160" w:type="dxa"/>
            <w:vMerge/>
            <w:tcBorders>
              <w:right w:val="single" w:sz="4" w:space="0" w:color="FFFFFF"/>
            </w:tcBorders>
            <w:shd w:val="clear" w:color="auto" w:fill="00A94F"/>
          </w:tcPr>
          <w:p>
            <w:pPr/>
          </w:p>
        </w:tc>
        <w:tc>
          <w:tcPr>
            <w:tcW w:w="2880" w:type="dxa"/>
            <w:vMerge/>
            <w:tcBorders>
              <w:left w:val="single" w:sz="4" w:space="0" w:color="FFFFFF"/>
              <w:right w:val="single" w:sz="4" w:space="0" w:color="FFFFFF"/>
            </w:tcBorders>
            <w:shd w:val="clear" w:color="auto" w:fill="00A94F"/>
          </w:tcPr>
          <w:p>
            <w:pPr/>
          </w:p>
        </w:tc>
        <w:tc>
          <w:tcPr>
            <w:tcW w:w="2160" w:type="dxa"/>
            <w:tcBorders>
              <w:top w:val="single" w:sz="4" w:space="0" w:color="FFFFFF"/>
              <w:left w:val="single" w:sz="4" w:space="0" w:color="FFFFFF"/>
              <w:right w:val="single" w:sz="4" w:space="0" w:color="FFFFFF"/>
            </w:tcBorders>
            <w:shd w:val="clear" w:color="auto" w:fill="00A94F"/>
          </w:tcPr>
          <w:p>
            <w:pPr>
              <w:pStyle w:val="TableParagraph"/>
              <w:spacing w:before="34"/>
              <w:ind w:left="91"/>
              <w:rPr>
                <w:rFonts w:ascii="Lucida Sans"/>
                <w:sz w:val="18"/>
              </w:rPr>
            </w:pPr>
            <w:r>
              <w:rPr>
                <w:rFonts w:ascii="Lucida Sans"/>
                <w:color w:val="FFFFFF"/>
                <w:sz w:val="18"/>
              </w:rPr>
              <w:t>GROUP NOTIFICATION</w:t>
            </w:r>
          </w:p>
        </w:tc>
        <w:tc>
          <w:tcPr>
            <w:tcW w:w="2610" w:type="dxa"/>
            <w:tcBorders>
              <w:top w:val="single" w:sz="4" w:space="0" w:color="FFFFFF"/>
              <w:left w:val="single" w:sz="4" w:space="0" w:color="FFFFFF"/>
              <w:right w:val="single" w:sz="4" w:space="0" w:color="FFFFFF"/>
            </w:tcBorders>
            <w:shd w:val="clear" w:color="auto" w:fill="00A94F"/>
          </w:tcPr>
          <w:p>
            <w:pPr>
              <w:pStyle w:val="TableParagraph"/>
              <w:spacing w:before="34"/>
              <w:ind w:left="233"/>
              <w:rPr>
                <w:rFonts w:ascii="Lucida Sans"/>
                <w:sz w:val="18"/>
              </w:rPr>
            </w:pPr>
            <w:r>
              <w:rPr>
                <w:rFonts w:ascii="Lucida Sans"/>
                <w:color w:val="FFFFFF"/>
                <w:sz w:val="18"/>
              </w:rPr>
              <w:t>INDIVIDUAL COMPLAINT</w:t>
            </w:r>
          </w:p>
        </w:tc>
        <w:tc>
          <w:tcPr>
            <w:tcW w:w="1710" w:type="dxa"/>
            <w:vMerge/>
            <w:tcBorders>
              <w:left w:val="single" w:sz="4" w:space="0" w:color="FFFFFF"/>
            </w:tcBorders>
            <w:shd w:val="clear" w:color="auto" w:fill="00A94F"/>
          </w:tcPr>
          <w:p>
            <w:pPr/>
          </w:p>
        </w:tc>
      </w:tr>
      <w:tr>
        <w:trPr>
          <w:trHeight w:val="540" w:hRule="exact"/>
        </w:trPr>
        <w:tc>
          <w:tcPr>
            <w:tcW w:w="2160" w:type="dxa"/>
            <w:shd w:val="clear" w:color="auto" w:fill="D4E0F3"/>
          </w:tcPr>
          <w:p>
            <w:pPr>
              <w:pStyle w:val="TableParagraph"/>
              <w:spacing w:line="190" w:lineRule="exact" w:before="86"/>
              <w:rPr>
                <w:sz w:val="18"/>
              </w:rPr>
            </w:pPr>
            <w:r>
              <w:rPr>
                <w:color w:val="231F20"/>
                <w:w w:val="90"/>
                <w:sz w:val="18"/>
              </w:rPr>
              <w:t>Inherent speed of outbreak </w:t>
            </w:r>
            <w:r>
              <w:rPr>
                <w:color w:val="231F20"/>
                <w:sz w:val="18"/>
              </w:rPr>
              <w:t>detection</w:t>
            </w:r>
          </w:p>
        </w:tc>
        <w:tc>
          <w:tcPr>
            <w:tcW w:w="2880" w:type="dxa"/>
            <w:shd w:val="clear" w:color="auto" w:fill="D4E0F3"/>
          </w:tcPr>
          <w:p>
            <w:pPr>
              <w:pStyle w:val="TableParagraph"/>
              <w:spacing w:before="164"/>
              <w:ind w:left="66"/>
              <w:rPr>
                <w:sz w:val="18"/>
              </w:rPr>
            </w:pPr>
            <w:r>
              <w:rPr>
                <w:color w:val="231F20"/>
                <w:w w:val="85"/>
                <w:sz w:val="18"/>
              </w:rPr>
              <w:t>Relatively slow</w:t>
            </w:r>
          </w:p>
        </w:tc>
        <w:tc>
          <w:tcPr>
            <w:tcW w:w="2160" w:type="dxa"/>
            <w:shd w:val="clear" w:color="auto" w:fill="D4E0F3"/>
          </w:tcPr>
          <w:p>
            <w:pPr>
              <w:pStyle w:val="TableParagraph"/>
              <w:spacing w:before="164"/>
              <w:rPr>
                <w:sz w:val="18"/>
              </w:rPr>
            </w:pPr>
            <w:r>
              <w:rPr>
                <w:color w:val="231F20"/>
                <w:w w:val="95"/>
                <w:sz w:val="18"/>
              </w:rPr>
              <w:t>Fast</w:t>
            </w:r>
          </w:p>
        </w:tc>
        <w:tc>
          <w:tcPr>
            <w:tcW w:w="2610" w:type="dxa"/>
            <w:shd w:val="clear" w:color="auto" w:fill="D4E0F3"/>
          </w:tcPr>
          <w:p>
            <w:pPr>
              <w:pStyle w:val="TableParagraph"/>
              <w:spacing w:before="164"/>
              <w:rPr>
                <w:sz w:val="18"/>
              </w:rPr>
            </w:pPr>
            <w:r>
              <w:rPr>
                <w:color w:val="231F20"/>
                <w:w w:val="95"/>
                <w:sz w:val="18"/>
              </w:rPr>
              <w:t>Fast</w:t>
            </w:r>
          </w:p>
        </w:tc>
        <w:tc>
          <w:tcPr>
            <w:tcW w:w="1710" w:type="dxa"/>
            <w:shd w:val="clear" w:color="auto" w:fill="D4E0F3"/>
          </w:tcPr>
          <w:p>
            <w:pPr>
              <w:pStyle w:val="TableParagraph"/>
              <w:spacing w:before="164"/>
              <w:rPr>
                <w:sz w:val="18"/>
              </w:rPr>
            </w:pPr>
            <w:r>
              <w:rPr>
                <w:color w:val="231F20"/>
                <w:w w:val="90"/>
                <w:sz w:val="18"/>
              </w:rPr>
              <w:t>Potentially fast*</w:t>
            </w:r>
          </w:p>
        </w:tc>
      </w:tr>
      <w:tr>
        <w:trPr>
          <w:trHeight w:val="720" w:hRule="exact"/>
        </w:trPr>
        <w:tc>
          <w:tcPr>
            <w:tcW w:w="2160" w:type="dxa"/>
            <w:shd w:val="clear" w:color="auto" w:fill="DAEDDD"/>
          </w:tcPr>
          <w:p>
            <w:pPr>
              <w:pStyle w:val="TableParagraph"/>
              <w:spacing w:line="190" w:lineRule="exact" w:before="81"/>
              <w:ind w:right="80"/>
              <w:rPr>
                <w:rFonts w:ascii="Calibri"/>
                <w:i/>
                <w:sz w:val="18"/>
              </w:rPr>
            </w:pPr>
            <w:r>
              <w:rPr>
                <w:color w:val="231F20"/>
                <w:w w:val="95"/>
                <w:sz w:val="18"/>
              </w:rPr>
              <w:t>Sensitivity to widespread, </w:t>
            </w:r>
            <w:r>
              <w:rPr>
                <w:color w:val="231F20"/>
                <w:sz w:val="18"/>
              </w:rPr>
              <w:t>low-level contamination </w:t>
            </w:r>
            <w:r>
              <w:rPr>
                <w:color w:val="231F20"/>
                <w:w w:val="95"/>
                <w:sz w:val="18"/>
              </w:rPr>
              <w:t>events </w:t>
            </w:r>
            <w:r>
              <w:rPr>
                <w:rFonts w:ascii="Calibri"/>
                <w:i/>
                <w:color w:val="231F20"/>
                <w:w w:val="95"/>
                <w:sz w:val="18"/>
              </w:rPr>
              <w:t>(best practices used)</w:t>
            </w:r>
          </w:p>
        </w:tc>
        <w:tc>
          <w:tcPr>
            <w:tcW w:w="2880" w:type="dxa"/>
            <w:shd w:val="clear" w:color="auto" w:fill="DAEDDD"/>
          </w:tcPr>
          <w:p>
            <w:pPr>
              <w:pStyle w:val="TableParagraph"/>
              <w:spacing w:before="7"/>
              <w:ind w:left="0"/>
              <w:rPr>
                <w:rFonts w:ascii="Garamond"/>
                <w:sz w:val="22"/>
              </w:rPr>
            </w:pPr>
          </w:p>
          <w:p>
            <w:pPr>
              <w:pStyle w:val="TableParagraph"/>
              <w:ind w:left="66"/>
              <w:rPr>
                <w:sz w:val="18"/>
              </w:rPr>
            </w:pPr>
            <w:r>
              <w:rPr>
                <w:color w:val="231F20"/>
                <w:sz w:val="18"/>
              </w:rPr>
              <w:t>High</w:t>
            </w:r>
          </w:p>
        </w:tc>
        <w:tc>
          <w:tcPr>
            <w:tcW w:w="2160" w:type="dxa"/>
            <w:shd w:val="clear" w:color="auto" w:fill="DAEDDD"/>
          </w:tcPr>
          <w:p>
            <w:pPr>
              <w:pStyle w:val="TableParagraph"/>
              <w:spacing w:before="7"/>
              <w:ind w:left="0"/>
              <w:rPr>
                <w:rFonts w:ascii="Garamond"/>
                <w:sz w:val="22"/>
              </w:rPr>
            </w:pPr>
          </w:p>
          <w:p>
            <w:pPr>
              <w:pStyle w:val="TableParagraph"/>
              <w:rPr>
                <w:sz w:val="18"/>
              </w:rPr>
            </w:pPr>
            <w:r>
              <w:rPr>
                <w:color w:val="231F20"/>
                <w:sz w:val="18"/>
              </w:rPr>
              <w:t>Intermediate</w:t>
            </w:r>
          </w:p>
        </w:tc>
        <w:tc>
          <w:tcPr>
            <w:tcW w:w="2610" w:type="dxa"/>
            <w:shd w:val="clear" w:color="auto" w:fill="DAEDDD"/>
          </w:tcPr>
          <w:p>
            <w:pPr>
              <w:pStyle w:val="TableParagraph"/>
              <w:spacing w:before="7"/>
              <w:ind w:left="0"/>
              <w:rPr>
                <w:rFonts w:ascii="Garamond"/>
                <w:sz w:val="22"/>
              </w:rPr>
            </w:pPr>
          </w:p>
          <w:p>
            <w:pPr>
              <w:pStyle w:val="TableParagraph"/>
              <w:rPr>
                <w:sz w:val="18"/>
              </w:rPr>
            </w:pPr>
            <w:r>
              <w:rPr>
                <w:color w:val="231F20"/>
                <w:sz w:val="18"/>
              </w:rPr>
              <w:t>Intermediate</w:t>
            </w:r>
          </w:p>
        </w:tc>
        <w:tc>
          <w:tcPr>
            <w:tcW w:w="1710" w:type="dxa"/>
            <w:shd w:val="clear" w:color="auto" w:fill="DAEDDD"/>
          </w:tcPr>
          <w:p>
            <w:pPr>
              <w:pStyle w:val="TableParagraph"/>
              <w:spacing w:before="7"/>
              <w:ind w:left="0"/>
              <w:rPr>
                <w:rFonts w:ascii="Garamond"/>
                <w:sz w:val="22"/>
              </w:rPr>
            </w:pPr>
          </w:p>
          <w:p>
            <w:pPr>
              <w:pStyle w:val="TableParagraph"/>
              <w:rPr>
                <w:sz w:val="10"/>
              </w:rPr>
            </w:pPr>
            <w:r>
              <w:rPr>
                <w:color w:val="231F20"/>
                <w:sz w:val="18"/>
              </w:rPr>
              <w:t>Low</w:t>
            </w:r>
            <w:r>
              <w:rPr>
                <w:color w:val="231F20"/>
                <w:position w:val="6"/>
                <w:sz w:val="10"/>
              </w:rPr>
              <w:t>†</w:t>
            </w:r>
          </w:p>
        </w:tc>
      </w:tr>
      <w:tr>
        <w:trPr>
          <w:trHeight w:val="603" w:hRule="exact"/>
        </w:trPr>
        <w:tc>
          <w:tcPr>
            <w:tcW w:w="2160" w:type="dxa"/>
            <w:shd w:val="clear" w:color="auto" w:fill="D4E0F3"/>
          </w:tcPr>
          <w:p>
            <w:pPr>
              <w:pStyle w:val="TableParagraph"/>
              <w:spacing w:line="190" w:lineRule="exact" w:before="23"/>
              <w:rPr>
                <w:sz w:val="18"/>
              </w:rPr>
            </w:pPr>
            <w:r>
              <w:rPr>
                <w:color w:val="231F20"/>
                <w:sz w:val="18"/>
              </w:rPr>
              <w:t>Types of outbreaks </w:t>
            </w:r>
            <w:r>
              <w:rPr>
                <w:color w:val="231F20"/>
                <w:w w:val="90"/>
                <w:sz w:val="18"/>
              </w:rPr>
              <w:t>(etiology) that method can potentially detect</w:t>
            </w:r>
          </w:p>
        </w:tc>
        <w:tc>
          <w:tcPr>
            <w:tcW w:w="2880" w:type="dxa"/>
            <w:shd w:val="clear" w:color="auto" w:fill="D4E0F3"/>
          </w:tcPr>
          <w:p>
            <w:pPr>
              <w:pStyle w:val="TableParagraph"/>
              <w:spacing w:line="190" w:lineRule="exact" w:before="23"/>
              <w:ind w:right="152"/>
              <w:rPr>
                <w:sz w:val="18"/>
              </w:rPr>
            </w:pPr>
            <w:r>
              <w:rPr>
                <w:color w:val="231F20"/>
                <w:sz w:val="18"/>
              </w:rPr>
              <w:t>Limited to clinically suspected or </w:t>
            </w:r>
            <w:r>
              <w:rPr>
                <w:color w:val="231F20"/>
                <w:w w:val="90"/>
                <w:sz w:val="18"/>
              </w:rPr>
              <w:t>laboratory-confirmed diseases under</w:t>
            </w:r>
            <w:r>
              <w:rPr>
                <w:color w:val="231F20"/>
                <w:w w:val="89"/>
                <w:sz w:val="18"/>
              </w:rPr>
              <w:t> </w:t>
            </w:r>
            <w:r>
              <w:rPr>
                <w:color w:val="231F20"/>
                <w:sz w:val="18"/>
              </w:rPr>
              <w:t>surveillance</w:t>
            </w:r>
          </w:p>
        </w:tc>
        <w:tc>
          <w:tcPr>
            <w:tcW w:w="2160" w:type="dxa"/>
            <w:shd w:val="clear" w:color="auto" w:fill="D4E0F3"/>
          </w:tcPr>
          <w:p>
            <w:pPr>
              <w:pStyle w:val="TableParagraph"/>
              <w:spacing w:before="196"/>
              <w:rPr>
                <w:sz w:val="10"/>
              </w:rPr>
            </w:pPr>
            <w:r>
              <w:rPr>
                <w:color w:val="231F20"/>
                <w:sz w:val="18"/>
              </w:rPr>
              <w:t>Any</w:t>
            </w:r>
            <w:r>
              <w:rPr>
                <w:color w:val="231F20"/>
                <w:position w:val="6"/>
                <w:sz w:val="10"/>
              </w:rPr>
              <w:t>‡</w:t>
            </w:r>
          </w:p>
        </w:tc>
        <w:tc>
          <w:tcPr>
            <w:tcW w:w="2610" w:type="dxa"/>
            <w:shd w:val="clear" w:color="auto" w:fill="D4E0F3"/>
          </w:tcPr>
          <w:p>
            <w:pPr>
              <w:pStyle w:val="TableParagraph"/>
              <w:spacing w:line="190" w:lineRule="exact" w:before="23"/>
              <w:ind w:right="18"/>
              <w:rPr>
                <w:sz w:val="10"/>
              </w:rPr>
            </w:pPr>
            <w:r>
              <w:rPr>
                <w:color w:val="231F20"/>
                <w:w w:val="90"/>
                <w:sz w:val="18"/>
              </w:rPr>
              <w:t>Any, although effectiveness limited </w:t>
            </w:r>
            <w:r>
              <w:rPr>
                <w:color w:val="231F20"/>
                <w:sz w:val="18"/>
              </w:rPr>
              <w:t>to agents with short incubation periods</w:t>
            </w:r>
            <w:r>
              <w:rPr>
                <w:color w:val="231F20"/>
                <w:position w:val="6"/>
                <w:sz w:val="10"/>
              </w:rPr>
              <w:t>‡</w:t>
            </w:r>
          </w:p>
        </w:tc>
        <w:tc>
          <w:tcPr>
            <w:tcW w:w="1710" w:type="dxa"/>
            <w:shd w:val="clear" w:color="auto" w:fill="D4E0F3"/>
          </w:tcPr>
          <w:p>
            <w:pPr>
              <w:pStyle w:val="TableParagraph"/>
              <w:spacing w:line="190" w:lineRule="exact" w:before="23"/>
              <w:rPr>
                <w:sz w:val="18"/>
              </w:rPr>
            </w:pPr>
            <w:r>
              <w:rPr>
                <w:color w:val="231F20"/>
                <w:w w:val="90"/>
                <w:sz w:val="18"/>
              </w:rPr>
              <w:t>Limited to syndromes </w:t>
            </w:r>
            <w:r>
              <w:rPr>
                <w:rFonts w:ascii="Calibri"/>
                <w:i/>
                <w:color w:val="231F20"/>
                <w:sz w:val="18"/>
              </w:rPr>
              <w:t>(or indicators) </w:t>
            </w:r>
            <w:r>
              <w:rPr>
                <w:color w:val="231F20"/>
                <w:sz w:val="18"/>
              </w:rPr>
              <w:t>under surveillance</w:t>
            </w:r>
          </w:p>
        </w:tc>
      </w:tr>
      <w:tr>
        <w:trPr>
          <w:trHeight w:val="1260" w:hRule="exact"/>
        </w:trPr>
        <w:tc>
          <w:tcPr>
            <w:tcW w:w="2160" w:type="dxa"/>
            <w:shd w:val="clear" w:color="auto" w:fill="DAEDDD"/>
          </w:tcPr>
          <w:p>
            <w:pPr>
              <w:pStyle w:val="TableParagraph"/>
              <w:ind w:left="0"/>
              <w:rPr>
                <w:rFonts w:ascii="Garamond"/>
                <w:sz w:val="22"/>
              </w:rPr>
            </w:pPr>
          </w:p>
          <w:p>
            <w:pPr>
              <w:pStyle w:val="TableParagraph"/>
              <w:spacing w:before="7"/>
              <w:ind w:left="0"/>
              <w:rPr>
                <w:rFonts w:ascii="Garamond"/>
                <w:sz w:val="17"/>
              </w:rPr>
            </w:pPr>
          </w:p>
          <w:p>
            <w:pPr>
              <w:pStyle w:val="TableParagraph"/>
              <w:spacing w:line="190" w:lineRule="exact"/>
              <w:rPr>
                <w:rFonts w:ascii="Calibri"/>
                <w:i/>
                <w:sz w:val="18"/>
              </w:rPr>
            </w:pPr>
            <w:r>
              <w:rPr>
                <w:color w:val="231F20"/>
                <w:w w:val="90"/>
                <w:sz w:val="18"/>
              </w:rPr>
              <w:t>Initial outbreak signal </w:t>
            </w:r>
            <w:r>
              <w:rPr>
                <w:rFonts w:ascii="Calibri"/>
                <w:i/>
                <w:color w:val="231F20"/>
                <w:w w:val="90"/>
                <w:sz w:val="18"/>
              </w:rPr>
              <w:t>(at </w:t>
            </w:r>
            <w:r>
              <w:rPr>
                <w:rFonts w:ascii="Calibri"/>
                <w:i/>
                <w:color w:val="231F20"/>
                <w:sz w:val="18"/>
              </w:rPr>
              <w:t>public health level)</w:t>
            </w:r>
          </w:p>
        </w:tc>
        <w:tc>
          <w:tcPr>
            <w:tcW w:w="2880" w:type="dxa"/>
            <w:shd w:val="clear" w:color="auto" w:fill="DAEDDD"/>
          </w:tcPr>
          <w:p>
            <w:pPr>
              <w:pStyle w:val="TableParagraph"/>
              <w:ind w:left="0"/>
              <w:rPr>
                <w:rFonts w:ascii="Garamond"/>
                <w:sz w:val="22"/>
              </w:rPr>
            </w:pPr>
          </w:p>
          <w:p>
            <w:pPr>
              <w:pStyle w:val="TableParagraph"/>
              <w:spacing w:before="7"/>
              <w:ind w:left="0"/>
              <w:rPr>
                <w:rFonts w:ascii="Garamond"/>
                <w:sz w:val="17"/>
              </w:rPr>
            </w:pPr>
          </w:p>
          <w:p>
            <w:pPr>
              <w:pStyle w:val="TableParagraph"/>
              <w:spacing w:line="190" w:lineRule="exact"/>
              <w:ind w:right="167"/>
              <w:rPr>
                <w:sz w:val="18"/>
              </w:rPr>
            </w:pPr>
            <w:r>
              <w:rPr>
                <w:color w:val="231F20"/>
                <w:w w:val="95"/>
                <w:sz w:val="18"/>
              </w:rPr>
              <w:t>Cluster</w:t>
            </w:r>
            <w:r>
              <w:rPr>
                <w:color w:val="231F20"/>
                <w:spacing w:val="-31"/>
                <w:w w:val="95"/>
                <w:sz w:val="18"/>
              </w:rPr>
              <w:t> </w:t>
            </w:r>
            <w:r>
              <w:rPr>
                <w:color w:val="231F20"/>
                <w:w w:val="95"/>
                <w:sz w:val="18"/>
              </w:rPr>
              <w:t>of</w:t>
            </w:r>
            <w:r>
              <w:rPr>
                <w:color w:val="231F20"/>
                <w:spacing w:val="-31"/>
                <w:w w:val="95"/>
                <w:sz w:val="18"/>
              </w:rPr>
              <w:t> </w:t>
            </w:r>
            <w:r>
              <w:rPr>
                <w:color w:val="231F20"/>
                <w:w w:val="95"/>
                <w:sz w:val="18"/>
              </w:rPr>
              <w:t>cases</w:t>
            </w:r>
            <w:r>
              <w:rPr>
                <w:color w:val="231F20"/>
                <w:spacing w:val="-31"/>
                <w:w w:val="95"/>
                <w:sz w:val="18"/>
              </w:rPr>
              <w:t> </w:t>
            </w:r>
            <w:r>
              <w:rPr>
                <w:color w:val="231F20"/>
                <w:w w:val="95"/>
                <w:sz w:val="18"/>
              </w:rPr>
              <w:t>in</w:t>
            </w:r>
            <w:r>
              <w:rPr>
                <w:color w:val="231F20"/>
                <w:spacing w:val="-31"/>
                <w:w w:val="95"/>
                <w:sz w:val="18"/>
              </w:rPr>
              <w:t> </w:t>
            </w:r>
            <w:r>
              <w:rPr>
                <w:color w:val="231F20"/>
                <w:w w:val="95"/>
                <w:sz w:val="18"/>
              </w:rPr>
              <w:t>space</w:t>
            </w:r>
            <w:r>
              <w:rPr>
                <w:color w:val="231F20"/>
                <w:spacing w:val="-31"/>
                <w:w w:val="95"/>
                <w:sz w:val="18"/>
              </w:rPr>
              <w:t> </w:t>
            </w:r>
            <w:r>
              <w:rPr>
                <w:color w:val="231F20"/>
                <w:w w:val="95"/>
                <w:sz w:val="18"/>
              </w:rPr>
              <w:t>or</w:t>
            </w:r>
            <w:r>
              <w:rPr>
                <w:color w:val="231F20"/>
                <w:spacing w:val="-31"/>
                <w:w w:val="95"/>
                <w:sz w:val="18"/>
              </w:rPr>
              <w:t> </w:t>
            </w:r>
            <w:r>
              <w:rPr>
                <w:color w:val="231F20"/>
                <w:w w:val="95"/>
                <w:sz w:val="18"/>
              </w:rPr>
              <w:t>time</w:t>
            </w:r>
            <w:r>
              <w:rPr>
                <w:color w:val="231F20"/>
                <w:spacing w:val="-31"/>
                <w:w w:val="95"/>
                <w:sz w:val="18"/>
              </w:rPr>
              <w:t> </w:t>
            </w:r>
            <w:r>
              <w:rPr>
                <w:color w:val="231F20"/>
                <w:w w:val="95"/>
                <w:sz w:val="18"/>
              </w:rPr>
              <w:t>with</w:t>
            </w:r>
            <w:r>
              <w:rPr>
                <w:color w:val="231F20"/>
                <w:w w:val="91"/>
                <w:sz w:val="18"/>
              </w:rPr>
              <w:t> </w:t>
            </w:r>
            <w:r>
              <w:rPr>
                <w:color w:val="231F20"/>
                <w:w w:val="90"/>
                <w:sz w:val="18"/>
              </w:rPr>
              <w:t>common</w:t>
            </w:r>
            <w:r>
              <w:rPr>
                <w:color w:val="231F20"/>
                <w:spacing w:val="2"/>
                <w:w w:val="90"/>
                <w:sz w:val="18"/>
              </w:rPr>
              <w:t> </w:t>
            </w:r>
            <w:r>
              <w:rPr>
                <w:color w:val="231F20"/>
                <w:w w:val="90"/>
                <w:sz w:val="18"/>
              </w:rPr>
              <w:t>agent</w:t>
            </w:r>
          </w:p>
        </w:tc>
        <w:tc>
          <w:tcPr>
            <w:tcW w:w="2160" w:type="dxa"/>
            <w:shd w:val="clear" w:color="auto" w:fill="DAEDDD"/>
          </w:tcPr>
          <w:p>
            <w:pPr>
              <w:pStyle w:val="TableParagraph"/>
              <w:spacing w:before="9"/>
              <w:ind w:left="0"/>
              <w:rPr>
                <w:rFonts w:ascii="Garamond"/>
                <w:sz w:val="22"/>
              </w:rPr>
            </w:pPr>
          </w:p>
          <w:p>
            <w:pPr>
              <w:pStyle w:val="TableParagraph"/>
              <w:spacing w:line="190" w:lineRule="exact"/>
              <w:rPr>
                <w:sz w:val="18"/>
              </w:rPr>
            </w:pPr>
            <w:r>
              <w:rPr>
                <w:color w:val="231F20"/>
                <w:w w:val="95"/>
                <w:sz w:val="18"/>
              </w:rPr>
              <w:t>Report of group illnesses </w:t>
            </w:r>
            <w:r>
              <w:rPr>
                <w:color w:val="231F20"/>
                <w:w w:val="90"/>
                <w:sz w:val="18"/>
              </w:rPr>
              <w:t>recognized by health-care provider, laboratory, or the </w:t>
            </w:r>
            <w:r>
              <w:rPr>
                <w:color w:val="231F20"/>
                <w:sz w:val="18"/>
              </w:rPr>
              <w:t>public</w:t>
            </w:r>
          </w:p>
        </w:tc>
        <w:tc>
          <w:tcPr>
            <w:tcW w:w="2610" w:type="dxa"/>
            <w:shd w:val="clear" w:color="auto" w:fill="DAEDDD"/>
          </w:tcPr>
          <w:p>
            <w:pPr>
              <w:pStyle w:val="TableParagraph"/>
              <w:spacing w:line="190" w:lineRule="exact" w:before="161"/>
              <w:ind w:right="310"/>
              <w:rPr>
                <w:sz w:val="18"/>
              </w:rPr>
            </w:pPr>
            <w:r>
              <w:rPr>
                <w:color w:val="231F20"/>
                <w:w w:val="95"/>
                <w:sz w:val="18"/>
              </w:rPr>
              <w:t>Multiple independent reports </w:t>
            </w:r>
            <w:r>
              <w:rPr>
                <w:color w:val="231F20"/>
                <w:sz w:val="18"/>
              </w:rPr>
              <w:t>with common exposures in </w:t>
            </w:r>
            <w:r>
              <w:rPr>
                <w:color w:val="231F20"/>
                <w:w w:val="95"/>
                <w:sz w:val="18"/>
              </w:rPr>
              <w:t>space</w:t>
            </w:r>
            <w:r>
              <w:rPr>
                <w:color w:val="231F20"/>
                <w:spacing w:val="-29"/>
                <w:w w:val="95"/>
                <w:sz w:val="18"/>
              </w:rPr>
              <w:t> </w:t>
            </w:r>
            <w:r>
              <w:rPr>
                <w:color w:val="231F20"/>
                <w:w w:val="95"/>
                <w:sz w:val="18"/>
              </w:rPr>
              <w:t>or</w:t>
            </w:r>
            <w:r>
              <w:rPr>
                <w:color w:val="231F20"/>
                <w:spacing w:val="-29"/>
                <w:w w:val="95"/>
                <w:sz w:val="18"/>
              </w:rPr>
              <w:t> </w:t>
            </w:r>
            <w:r>
              <w:rPr>
                <w:color w:val="231F20"/>
                <w:w w:val="95"/>
                <w:sz w:val="18"/>
              </w:rPr>
              <w:t>time</w:t>
            </w:r>
            <w:r>
              <w:rPr>
                <w:color w:val="231F20"/>
                <w:spacing w:val="-29"/>
                <w:w w:val="95"/>
                <w:sz w:val="18"/>
              </w:rPr>
              <w:t> </w:t>
            </w:r>
            <w:r>
              <w:rPr>
                <w:color w:val="231F20"/>
                <w:w w:val="95"/>
                <w:sz w:val="18"/>
              </w:rPr>
              <w:t>or</w:t>
            </w:r>
            <w:r>
              <w:rPr>
                <w:color w:val="231F20"/>
                <w:spacing w:val="-29"/>
                <w:w w:val="95"/>
                <w:sz w:val="18"/>
              </w:rPr>
              <w:t> </w:t>
            </w:r>
            <w:r>
              <w:rPr>
                <w:color w:val="231F20"/>
                <w:w w:val="95"/>
                <w:sz w:val="18"/>
              </w:rPr>
              <w:t>unique</w:t>
            </w:r>
            <w:r>
              <w:rPr>
                <w:color w:val="231F20"/>
                <w:spacing w:val="-29"/>
                <w:w w:val="95"/>
                <w:sz w:val="18"/>
              </w:rPr>
              <w:t> </w:t>
            </w:r>
            <w:r>
              <w:rPr>
                <w:color w:val="231F20"/>
                <w:w w:val="95"/>
                <w:sz w:val="18"/>
              </w:rPr>
              <w:t>clinical </w:t>
            </w:r>
            <w:r>
              <w:rPr>
                <w:color w:val="231F20"/>
                <w:w w:val="90"/>
                <w:sz w:val="18"/>
              </w:rPr>
              <w:t>presentation recognized by</w:t>
            </w:r>
            <w:r>
              <w:rPr>
                <w:color w:val="231F20"/>
                <w:spacing w:val="-13"/>
                <w:w w:val="90"/>
                <w:sz w:val="18"/>
              </w:rPr>
              <w:t> </w:t>
            </w:r>
            <w:r>
              <w:rPr>
                <w:color w:val="231F20"/>
                <w:w w:val="90"/>
                <w:sz w:val="18"/>
              </w:rPr>
              <w:t>the agency receiving the</w:t>
            </w:r>
            <w:r>
              <w:rPr>
                <w:color w:val="231F20"/>
                <w:spacing w:val="-27"/>
                <w:w w:val="90"/>
                <w:sz w:val="18"/>
              </w:rPr>
              <w:t> </w:t>
            </w:r>
            <w:r>
              <w:rPr>
                <w:color w:val="231F20"/>
                <w:w w:val="90"/>
                <w:sz w:val="18"/>
              </w:rPr>
              <w:t>reports</w:t>
            </w:r>
          </w:p>
        </w:tc>
        <w:tc>
          <w:tcPr>
            <w:tcW w:w="1710" w:type="dxa"/>
            <w:shd w:val="clear" w:color="auto" w:fill="DAEDDD"/>
          </w:tcPr>
          <w:p>
            <w:pPr>
              <w:pStyle w:val="TableParagraph"/>
              <w:spacing w:line="190" w:lineRule="exact" w:before="161"/>
              <w:rPr>
                <w:sz w:val="18"/>
              </w:rPr>
            </w:pPr>
            <w:r>
              <w:rPr>
                <w:color w:val="231F20"/>
                <w:sz w:val="18"/>
              </w:rPr>
              <w:t>Trend in health indicator different from expected, </w:t>
            </w:r>
            <w:r>
              <w:rPr>
                <w:color w:val="231F20"/>
                <w:w w:val="90"/>
                <w:sz w:val="18"/>
              </w:rPr>
              <w:t>space/time clusters of</w:t>
            </w:r>
            <w:r>
              <w:rPr>
                <w:color w:val="231F20"/>
                <w:w w:val="93"/>
                <w:sz w:val="18"/>
              </w:rPr>
              <w:t> </w:t>
            </w:r>
            <w:r>
              <w:rPr>
                <w:color w:val="231F20"/>
                <w:w w:val="85"/>
                <w:sz w:val="18"/>
              </w:rPr>
              <w:t>diagnosed cases</w:t>
            </w:r>
          </w:p>
        </w:tc>
      </w:tr>
      <w:tr>
        <w:trPr>
          <w:trHeight w:val="540" w:hRule="exact"/>
        </w:trPr>
        <w:tc>
          <w:tcPr>
            <w:tcW w:w="2160" w:type="dxa"/>
            <w:shd w:val="clear" w:color="auto" w:fill="D4E0F3"/>
          </w:tcPr>
          <w:p>
            <w:pPr>
              <w:pStyle w:val="TableParagraph"/>
              <w:spacing w:line="190" w:lineRule="exact" w:before="86"/>
              <w:rPr>
                <w:sz w:val="18"/>
              </w:rPr>
            </w:pPr>
            <w:r>
              <w:rPr>
                <w:color w:val="231F20"/>
                <w:w w:val="90"/>
                <w:sz w:val="18"/>
              </w:rPr>
              <w:t>No. cases needed to create initial signal</w:t>
            </w:r>
          </w:p>
        </w:tc>
        <w:tc>
          <w:tcPr>
            <w:tcW w:w="2880" w:type="dxa"/>
            <w:shd w:val="clear" w:color="auto" w:fill="D4E0F3"/>
          </w:tcPr>
          <w:p>
            <w:pPr>
              <w:pStyle w:val="TableParagraph"/>
              <w:spacing w:before="164"/>
              <w:rPr>
                <w:sz w:val="18"/>
              </w:rPr>
            </w:pPr>
            <w:r>
              <w:rPr>
                <w:color w:val="231F20"/>
                <w:w w:val="95"/>
                <w:sz w:val="18"/>
              </w:rPr>
              <w:t>Low to moderate</w:t>
            </w:r>
          </w:p>
        </w:tc>
        <w:tc>
          <w:tcPr>
            <w:tcW w:w="2160" w:type="dxa"/>
            <w:shd w:val="clear" w:color="auto" w:fill="D4E0F3"/>
          </w:tcPr>
          <w:p>
            <w:pPr>
              <w:pStyle w:val="TableParagraph"/>
              <w:spacing w:before="164"/>
              <w:rPr>
                <w:sz w:val="18"/>
              </w:rPr>
            </w:pPr>
            <w:r>
              <w:rPr>
                <w:color w:val="231F20"/>
                <w:w w:val="95"/>
                <w:sz w:val="18"/>
              </w:rPr>
              <w:t>Low</w:t>
            </w:r>
          </w:p>
        </w:tc>
        <w:tc>
          <w:tcPr>
            <w:tcW w:w="2610" w:type="dxa"/>
            <w:shd w:val="clear" w:color="auto" w:fill="D4E0F3"/>
          </w:tcPr>
          <w:p>
            <w:pPr>
              <w:pStyle w:val="TableParagraph"/>
              <w:spacing w:before="164"/>
              <w:rPr>
                <w:sz w:val="18"/>
              </w:rPr>
            </w:pPr>
            <w:r>
              <w:rPr>
                <w:color w:val="231F20"/>
                <w:w w:val="95"/>
                <w:sz w:val="18"/>
              </w:rPr>
              <w:t>Low to moderate</w:t>
            </w:r>
          </w:p>
        </w:tc>
        <w:tc>
          <w:tcPr>
            <w:tcW w:w="1710" w:type="dxa"/>
            <w:shd w:val="clear" w:color="auto" w:fill="D4E0F3"/>
          </w:tcPr>
          <w:p>
            <w:pPr>
              <w:pStyle w:val="TableParagraph"/>
              <w:spacing w:before="164"/>
              <w:rPr>
                <w:sz w:val="10"/>
              </w:rPr>
            </w:pPr>
            <w:r>
              <w:rPr>
                <w:color w:val="231F20"/>
                <w:sz w:val="18"/>
              </w:rPr>
              <w:t>High</w:t>
            </w:r>
            <w:r>
              <w:rPr>
                <w:color w:val="231F20"/>
                <w:position w:val="6"/>
                <w:sz w:val="10"/>
              </w:rPr>
              <w:t>§</w:t>
            </w:r>
          </w:p>
        </w:tc>
      </w:tr>
      <w:tr>
        <w:trPr>
          <w:trHeight w:val="1080" w:hRule="exact"/>
        </w:trPr>
        <w:tc>
          <w:tcPr>
            <w:tcW w:w="2160" w:type="dxa"/>
            <w:shd w:val="clear" w:color="auto" w:fill="DAEDDD"/>
          </w:tcPr>
          <w:p>
            <w:pPr>
              <w:pStyle w:val="TableParagraph"/>
              <w:ind w:left="0"/>
              <w:rPr>
                <w:rFonts w:ascii="Garamond"/>
                <w:sz w:val="22"/>
              </w:rPr>
            </w:pPr>
          </w:p>
          <w:p>
            <w:pPr>
              <w:pStyle w:val="TableParagraph"/>
              <w:spacing w:before="187"/>
              <w:rPr>
                <w:sz w:val="18"/>
              </w:rPr>
            </w:pPr>
            <w:r>
              <w:rPr>
                <w:color w:val="231F20"/>
                <w:w w:val="90"/>
                <w:sz w:val="18"/>
              </w:rPr>
              <w:t>Signal-to-noise ratio</w:t>
            </w:r>
          </w:p>
        </w:tc>
        <w:tc>
          <w:tcPr>
            <w:tcW w:w="2880" w:type="dxa"/>
            <w:shd w:val="clear" w:color="auto" w:fill="DAEDDD"/>
          </w:tcPr>
          <w:p>
            <w:pPr>
              <w:pStyle w:val="TableParagraph"/>
              <w:spacing w:line="205" w:lineRule="exact" w:before="52"/>
              <w:rPr>
                <w:rFonts w:ascii="Calibri"/>
                <w:i/>
                <w:sz w:val="18"/>
              </w:rPr>
            </w:pPr>
            <w:r>
              <w:rPr>
                <w:color w:val="231F20"/>
                <w:w w:val="95"/>
                <w:sz w:val="18"/>
              </w:rPr>
              <w:t>High</w:t>
            </w:r>
            <w:r>
              <w:rPr>
                <w:rFonts w:ascii="Calibri"/>
                <w:i/>
                <w:color w:val="231F20"/>
                <w:w w:val="95"/>
                <w:sz w:val="18"/>
              </w:rPr>
              <w:t>**</w:t>
            </w:r>
          </w:p>
          <w:p>
            <w:pPr>
              <w:pStyle w:val="TableParagraph"/>
              <w:spacing w:line="190" w:lineRule="exact" w:before="4"/>
              <w:ind w:right="90"/>
              <w:rPr>
                <w:rFonts w:ascii="Calibri"/>
                <w:i/>
                <w:sz w:val="18"/>
              </w:rPr>
            </w:pPr>
            <w:r>
              <w:rPr>
                <w:rFonts w:ascii="Calibri"/>
                <w:i/>
                <w:color w:val="231F20"/>
                <w:sz w:val="18"/>
              </w:rPr>
              <w:t>(after</w:t>
            </w:r>
            <w:r>
              <w:rPr>
                <w:rFonts w:ascii="Calibri"/>
                <w:i/>
                <w:color w:val="231F20"/>
                <w:spacing w:val="-23"/>
                <w:sz w:val="18"/>
              </w:rPr>
              <w:t> </w:t>
            </w:r>
            <w:r>
              <w:rPr>
                <w:rFonts w:ascii="Calibri"/>
                <w:i/>
                <w:color w:val="231F20"/>
                <w:sz w:val="18"/>
              </w:rPr>
              <w:t>interview</w:t>
            </w:r>
            <w:r>
              <w:rPr>
                <w:rFonts w:ascii="Calibri"/>
                <w:i/>
                <w:color w:val="231F20"/>
                <w:spacing w:val="-23"/>
                <w:sz w:val="18"/>
              </w:rPr>
              <w:t> </w:t>
            </w:r>
            <w:r>
              <w:rPr>
                <w:rFonts w:ascii="Calibri"/>
                <w:i/>
                <w:color w:val="231F20"/>
                <w:sz w:val="18"/>
              </w:rPr>
              <w:t>of</w:t>
            </w:r>
            <w:r>
              <w:rPr>
                <w:rFonts w:ascii="Calibri"/>
                <w:i/>
                <w:color w:val="231F20"/>
                <w:spacing w:val="-23"/>
                <w:sz w:val="18"/>
              </w:rPr>
              <w:t> </w:t>
            </w:r>
            <w:r>
              <w:rPr>
                <w:rFonts w:ascii="Calibri"/>
                <w:i/>
                <w:color w:val="231F20"/>
                <w:sz w:val="18"/>
              </w:rPr>
              <w:t>cases</w:t>
            </w:r>
            <w:r>
              <w:rPr>
                <w:rFonts w:ascii="Calibri"/>
                <w:i/>
                <w:color w:val="231F20"/>
                <w:spacing w:val="-23"/>
                <w:sz w:val="18"/>
              </w:rPr>
              <w:t> </w:t>
            </w:r>
            <w:r>
              <w:rPr>
                <w:rFonts w:ascii="Calibri"/>
                <w:i/>
                <w:color w:val="231F20"/>
                <w:sz w:val="18"/>
              </w:rPr>
              <w:t>and</w:t>
            </w:r>
            <w:r>
              <w:rPr>
                <w:rFonts w:ascii="Calibri"/>
                <w:i/>
                <w:color w:val="231F20"/>
                <w:spacing w:val="-23"/>
                <w:sz w:val="18"/>
              </w:rPr>
              <w:t> </w:t>
            </w:r>
            <w:r>
              <w:rPr>
                <w:rFonts w:ascii="Calibri"/>
                <w:i/>
                <w:color w:val="231F20"/>
                <w:sz w:val="18"/>
              </w:rPr>
              <w:t>collection</w:t>
            </w:r>
            <w:r>
              <w:rPr>
                <w:rFonts w:ascii="Calibri"/>
                <w:i/>
                <w:color w:val="231F20"/>
                <w:w w:val="98"/>
                <w:sz w:val="18"/>
              </w:rPr>
              <w:t> </w:t>
            </w:r>
            <w:r>
              <w:rPr>
                <w:rFonts w:ascii="Calibri"/>
                <w:i/>
                <w:color w:val="231F20"/>
                <w:sz w:val="18"/>
              </w:rPr>
              <w:t>of</w:t>
            </w:r>
            <w:r>
              <w:rPr>
                <w:rFonts w:ascii="Calibri"/>
                <w:i/>
                <w:color w:val="231F20"/>
                <w:spacing w:val="-26"/>
                <w:sz w:val="18"/>
              </w:rPr>
              <w:t> </w:t>
            </w:r>
            <w:r>
              <w:rPr>
                <w:rFonts w:ascii="Calibri"/>
                <w:i/>
                <w:color w:val="231F20"/>
                <w:sz w:val="18"/>
              </w:rPr>
              <w:t>appropriate</w:t>
            </w:r>
            <w:r>
              <w:rPr>
                <w:rFonts w:ascii="Calibri"/>
                <w:i/>
                <w:color w:val="231F20"/>
                <w:spacing w:val="-26"/>
                <w:sz w:val="18"/>
              </w:rPr>
              <w:t> </w:t>
            </w:r>
            <w:r>
              <w:rPr>
                <w:rFonts w:ascii="Calibri"/>
                <w:i/>
                <w:color w:val="231F20"/>
                <w:sz w:val="18"/>
              </w:rPr>
              <w:t>food</w:t>
            </w:r>
            <w:r>
              <w:rPr>
                <w:rFonts w:ascii="Calibri"/>
                <w:i/>
                <w:color w:val="231F20"/>
                <w:spacing w:val="-26"/>
                <w:sz w:val="18"/>
              </w:rPr>
              <w:t> </w:t>
            </w:r>
            <w:r>
              <w:rPr>
                <w:rFonts w:ascii="Calibri"/>
                <w:i/>
                <w:color w:val="231F20"/>
                <w:sz w:val="18"/>
              </w:rPr>
              <w:t>history)</w:t>
            </w:r>
          </w:p>
          <w:p>
            <w:pPr>
              <w:pStyle w:val="TableParagraph"/>
              <w:spacing w:line="190" w:lineRule="exact"/>
              <w:rPr>
                <w:sz w:val="18"/>
              </w:rPr>
            </w:pPr>
            <w:r>
              <w:rPr>
                <w:color w:val="231F20"/>
                <w:w w:val="90"/>
                <w:sz w:val="18"/>
              </w:rPr>
              <w:t>Even higher when combined with </w:t>
            </w:r>
            <w:r>
              <w:rPr>
                <w:color w:val="231F20"/>
                <w:sz w:val="18"/>
              </w:rPr>
              <w:t>subtyping</w:t>
            </w:r>
          </w:p>
        </w:tc>
        <w:tc>
          <w:tcPr>
            <w:tcW w:w="2160" w:type="dxa"/>
            <w:shd w:val="clear" w:color="auto" w:fill="DAEDDD"/>
          </w:tcPr>
          <w:p>
            <w:pPr>
              <w:pStyle w:val="TableParagraph"/>
              <w:spacing w:line="205" w:lineRule="exact" w:before="147"/>
              <w:rPr>
                <w:rFonts w:ascii="Calibri"/>
                <w:i/>
                <w:sz w:val="18"/>
              </w:rPr>
            </w:pPr>
            <w:r>
              <w:rPr>
                <w:color w:val="231F20"/>
                <w:w w:val="95"/>
                <w:sz w:val="18"/>
              </w:rPr>
              <w:t>High</w:t>
            </w:r>
            <w:r>
              <w:rPr>
                <w:rFonts w:ascii="Calibri"/>
                <w:i/>
                <w:color w:val="231F20"/>
                <w:w w:val="95"/>
                <w:sz w:val="18"/>
              </w:rPr>
              <w:t>**</w:t>
            </w:r>
          </w:p>
          <w:p>
            <w:pPr>
              <w:pStyle w:val="TableParagraph"/>
              <w:spacing w:line="190" w:lineRule="exact" w:before="4"/>
              <w:ind w:right="53" w:firstLine="44"/>
              <w:rPr>
                <w:rFonts w:ascii="Calibri"/>
                <w:i/>
                <w:sz w:val="18"/>
              </w:rPr>
            </w:pPr>
            <w:r>
              <w:rPr>
                <w:rFonts w:ascii="Calibri"/>
                <w:i/>
                <w:color w:val="231F20"/>
                <w:sz w:val="18"/>
              </w:rPr>
              <w:t>(after</w:t>
            </w:r>
            <w:r>
              <w:rPr>
                <w:rFonts w:ascii="Calibri"/>
                <w:i/>
                <w:color w:val="231F20"/>
                <w:spacing w:val="-26"/>
                <w:sz w:val="18"/>
              </w:rPr>
              <w:t> </w:t>
            </w:r>
            <w:r>
              <w:rPr>
                <w:rFonts w:ascii="Calibri"/>
                <w:i/>
                <w:color w:val="231F20"/>
                <w:sz w:val="18"/>
              </w:rPr>
              <w:t>interview</w:t>
            </w:r>
            <w:r>
              <w:rPr>
                <w:rFonts w:ascii="Calibri"/>
                <w:i/>
                <w:color w:val="231F20"/>
                <w:spacing w:val="-26"/>
                <w:sz w:val="18"/>
              </w:rPr>
              <w:t> </w:t>
            </w:r>
            <w:r>
              <w:rPr>
                <w:rFonts w:ascii="Calibri"/>
                <w:i/>
                <w:color w:val="231F20"/>
                <w:sz w:val="18"/>
              </w:rPr>
              <w:t>of</w:t>
            </w:r>
            <w:r>
              <w:rPr>
                <w:rFonts w:ascii="Calibri"/>
                <w:i/>
                <w:color w:val="231F20"/>
                <w:spacing w:val="-26"/>
                <w:sz w:val="18"/>
              </w:rPr>
              <w:t> </w:t>
            </w:r>
            <w:r>
              <w:rPr>
                <w:rFonts w:ascii="Calibri"/>
                <w:i/>
                <w:color w:val="231F20"/>
                <w:sz w:val="18"/>
              </w:rPr>
              <w:t>cases</w:t>
            </w:r>
            <w:r>
              <w:rPr>
                <w:rFonts w:ascii="Calibri"/>
                <w:i/>
                <w:color w:val="231F20"/>
                <w:spacing w:val="-26"/>
                <w:sz w:val="18"/>
              </w:rPr>
              <w:t> </w:t>
            </w:r>
            <w:r>
              <w:rPr>
                <w:rFonts w:ascii="Calibri"/>
                <w:i/>
                <w:color w:val="231F20"/>
                <w:sz w:val="18"/>
              </w:rPr>
              <w:t>and</w:t>
            </w:r>
            <w:r>
              <w:rPr>
                <w:rFonts w:ascii="Calibri"/>
                <w:i/>
                <w:color w:val="231F20"/>
                <w:w w:val="96"/>
                <w:sz w:val="18"/>
              </w:rPr>
              <w:t> </w:t>
            </w:r>
            <w:r>
              <w:rPr>
                <w:rFonts w:ascii="Calibri"/>
                <w:i/>
                <w:color w:val="231F20"/>
                <w:sz w:val="18"/>
              </w:rPr>
              <w:t>collection of appropriate </w:t>
            </w:r>
            <w:r>
              <w:rPr>
                <w:rFonts w:ascii="Calibri"/>
                <w:i/>
                <w:color w:val="231F20"/>
                <w:w w:val="95"/>
                <w:sz w:val="18"/>
              </w:rPr>
              <w:t>food</w:t>
            </w:r>
            <w:r>
              <w:rPr>
                <w:rFonts w:ascii="Calibri"/>
                <w:i/>
                <w:color w:val="231F20"/>
                <w:spacing w:val="5"/>
                <w:w w:val="95"/>
                <w:sz w:val="18"/>
              </w:rPr>
              <w:t> </w:t>
            </w:r>
            <w:r>
              <w:rPr>
                <w:rFonts w:ascii="Calibri"/>
                <w:i/>
                <w:color w:val="231F20"/>
                <w:w w:val="95"/>
                <w:sz w:val="18"/>
              </w:rPr>
              <w:t>history)</w:t>
            </w:r>
          </w:p>
        </w:tc>
        <w:tc>
          <w:tcPr>
            <w:tcW w:w="2610" w:type="dxa"/>
            <w:shd w:val="clear" w:color="auto" w:fill="DAEDDD"/>
          </w:tcPr>
          <w:p>
            <w:pPr>
              <w:pStyle w:val="TableParagraph"/>
              <w:spacing w:before="2"/>
              <w:ind w:left="0"/>
              <w:rPr>
                <w:rFonts w:ascii="Garamond"/>
                <w:sz w:val="23"/>
              </w:rPr>
            </w:pPr>
          </w:p>
          <w:p>
            <w:pPr>
              <w:pStyle w:val="TableParagraph"/>
              <w:spacing w:line="190" w:lineRule="exact"/>
              <w:ind w:right="214"/>
              <w:rPr>
                <w:rFonts w:ascii="Calibri"/>
                <w:i/>
                <w:sz w:val="18"/>
              </w:rPr>
            </w:pPr>
            <w:r>
              <w:rPr>
                <w:color w:val="231F20"/>
                <w:w w:val="95"/>
                <w:sz w:val="18"/>
              </w:rPr>
              <w:t>Low</w:t>
            </w:r>
            <w:r>
              <w:rPr>
                <w:color w:val="231F20"/>
                <w:spacing w:val="-26"/>
                <w:w w:val="95"/>
                <w:sz w:val="18"/>
              </w:rPr>
              <w:t> </w:t>
            </w:r>
            <w:r>
              <w:rPr>
                <w:color w:val="231F20"/>
                <w:w w:val="95"/>
                <w:sz w:val="18"/>
              </w:rPr>
              <w:t>to</w:t>
            </w:r>
            <w:r>
              <w:rPr>
                <w:color w:val="231F20"/>
                <w:spacing w:val="-26"/>
                <w:w w:val="95"/>
                <w:sz w:val="18"/>
              </w:rPr>
              <w:t> </w:t>
            </w:r>
            <w:r>
              <w:rPr>
                <w:color w:val="231F20"/>
                <w:w w:val="95"/>
                <w:sz w:val="18"/>
              </w:rPr>
              <w:t>moderate</w:t>
            </w:r>
            <w:r>
              <w:rPr>
                <w:color w:val="231F20"/>
                <w:spacing w:val="-26"/>
                <w:w w:val="95"/>
                <w:sz w:val="18"/>
              </w:rPr>
              <w:t> </w:t>
            </w:r>
            <w:r>
              <w:rPr>
                <w:rFonts w:ascii="Calibri"/>
                <w:i/>
                <w:color w:val="231F20"/>
                <w:w w:val="95"/>
                <w:sz w:val="18"/>
              </w:rPr>
              <w:t>(after</w:t>
            </w:r>
            <w:r>
              <w:rPr>
                <w:rFonts w:ascii="Calibri"/>
                <w:i/>
                <w:color w:val="231F20"/>
                <w:spacing w:val="-17"/>
                <w:w w:val="95"/>
                <w:sz w:val="18"/>
              </w:rPr>
              <w:t> </w:t>
            </w:r>
            <w:r>
              <w:rPr>
                <w:rFonts w:ascii="Calibri"/>
                <w:i/>
                <w:color w:val="231F20"/>
                <w:w w:val="95"/>
                <w:sz w:val="18"/>
              </w:rPr>
              <w:t>interview</w:t>
            </w:r>
            <w:r>
              <w:rPr>
                <w:rFonts w:ascii="Calibri"/>
                <w:i/>
                <w:color w:val="231F20"/>
                <w:w w:val="93"/>
                <w:sz w:val="18"/>
              </w:rPr>
              <w:t> </w:t>
            </w:r>
            <w:r>
              <w:rPr>
                <w:rFonts w:ascii="Calibri"/>
                <w:i/>
                <w:color w:val="231F20"/>
                <w:sz w:val="18"/>
              </w:rPr>
              <w:t>of cases and collection of </w:t>
            </w:r>
            <w:r>
              <w:rPr>
                <w:rFonts w:ascii="Calibri"/>
                <w:i/>
                <w:color w:val="231F20"/>
                <w:w w:val="95"/>
                <w:sz w:val="18"/>
              </w:rPr>
              <w:t>appropriate food</w:t>
            </w:r>
            <w:r>
              <w:rPr>
                <w:rFonts w:ascii="Calibri"/>
                <w:i/>
                <w:color w:val="231F20"/>
                <w:spacing w:val="17"/>
                <w:w w:val="95"/>
                <w:sz w:val="18"/>
              </w:rPr>
              <w:t> </w:t>
            </w:r>
            <w:r>
              <w:rPr>
                <w:rFonts w:ascii="Calibri"/>
                <w:i/>
                <w:color w:val="231F20"/>
                <w:w w:val="95"/>
                <w:sz w:val="18"/>
              </w:rPr>
              <w:t>history)</w:t>
            </w:r>
          </w:p>
        </w:tc>
        <w:tc>
          <w:tcPr>
            <w:tcW w:w="1710" w:type="dxa"/>
            <w:shd w:val="clear" w:color="auto" w:fill="DAEDDD"/>
          </w:tcPr>
          <w:p>
            <w:pPr>
              <w:pStyle w:val="TableParagraph"/>
              <w:ind w:left="0"/>
              <w:rPr>
                <w:rFonts w:ascii="Garamond"/>
                <w:sz w:val="22"/>
              </w:rPr>
            </w:pPr>
          </w:p>
          <w:p>
            <w:pPr>
              <w:pStyle w:val="TableParagraph"/>
              <w:spacing w:before="187"/>
              <w:rPr>
                <w:sz w:val="9"/>
              </w:rPr>
            </w:pPr>
            <w:r>
              <w:rPr>
                <w:color w:val="231F20"/>
                <w:sz w:val="18"/>
              </w:rPr>
              <w:t>Low</w:t>
            </w:r>
            <w:r>
              <w:rPr>
                <w:color w:val="231F20"/>
                <w:position w:val="5"/>
                <w:sz w:val="9"/>
              </w:rPr>
              <w:t>¶</w:t>
            </w:r>
          </w:p>
        </w:tc>
      </w:tr>
    </w:tbl>
    <w:p>
      <w:pPr>
        <w:pStyle w:val="BodyText"/>
        <w:spacing w:before="2"/>
        <w:rPr>
          <w:sz w:val="6"/>
        </w:rPr>
      </w:pPr>
    </w:p>
    <w:p>
      <w:pPr>
        <w:spacing w:after="0"/>
        <w:rPr>
          <w:sz w:val="6"/>
        </w:rPr>
        <w:sectPr>
          <w:headerReference w:type="default" r:id="rId9"/>
          <w:pgSz w:w="14400" w:h="10080" w:orient="landscape"/>
          <w:pgMar w:header="0" w:footer="0" w:top="0" w:bottom="0" w:left="600" w:right="0"/>
        </w:sectPr>
      </w:pPr>
    </w:p>
    <w:p>
      <w:pPr>
        <w:pStyle w:val="ListParagraph"/>
        <w:numPr>
          <w:ilvl w:val="0"/>
          <w:numId w:val="3"/>
        </w:numPr>
        <w:tabs>
          <w:tab w:pos="259" w:val="left" w:leader="none"/>
        </w:tabs>
        <w:spacing w:line="180" w:lineRule="exact" w:before="52" w:after="0"/>
        <w:ind w:left="258" w:right="52" w:hanging="138"/>
        <w:jc w:val="left"/>
        <w:rPr>
          <w:rFonts w:ascii="Arial"/>
          <w:sz w:val="16"/>
        </w:rPr>
      </w:pPr>
      <w:r>
        <w:rPr>
          <w:rFonts w:ascii="Arial"/>
          <w:color w:val="231F20"/>
          <w:w w:val="90"/>
          <w:sz w:val="16"/>
        </w:rPr>
        <w:t>An</w:t>
      </w:r>
      <w:r>
        <w:rPr>
          <w:rFonts w:ascii="Arial"/>
          <w:color w:val="231F20"/>
          <w:spacing w:val="-12"/>
          <w:w w:val="90"/>
          <w:sz w:val="16"/>
        </w:rPr>
        <w:t> </w:t>
      </w:r>
      <w:r>
        <w:rPr>
          <w:rFonts w:ascii="Arial"/>
          <w:color w:val="231F20"/>
          <w:w w:val="90"/>
          <w:sz w:val="16"/>
        </w:rPr>
        <w:t>advantage</w:t>
      </w:r>
      <w:r>
        <w:rPr>
          <w:rFonts w:ascii="Arial"/>
          <w:color w:val="231F20"/>
          <w:spacing w:val="-12"/>
          <w:w w:val="90"/>
          <w:sz w:val="16"/>
        </w:rPr>
        <w:t> </w:t>
      </w:r>
      <w:r>
        <w:rPr>
          <w:rFonts w:ascii="Arial"/>
          <w:color w:val="231F20"/>
          <w:w w:val="90"/>
          <w:sz w:val="16"/>
        </w:rPr>
        <w:t>in</w:t>
      </w:r>
      <w:r>
        <w:rPr>
          <w:rFonts w:ascii="Arial"/>
          <w:color w:val="231F20"/>
          <w:spacing w:val="-12"/>
          <w:w w:val="90"/>
          <w:sz w:val="16"/>
        </w:rPr>
        <w:t> </w:t>
      </w:r>
      <w:r>
        <w:rPr>
          <w:rFonts w:ascii="Arial"/>
          <w:color w:val="231F20"/>
          <w:w w:val="90"/>
          <w:sz w:val="16"/>
        </w:rPr>
        <w:t>speed</w:t>
      </w:r>
      <w:r>
        <w:rPr>
          <w:rFonts w:ascii="Arial"/>
          <w:color w:val="231F20"/>
          <w:spacing w:val="-12"/>
          <w:w w:val="90"/>
          <w:sz w:val="16"/>
        </w:rPr>
        <w:t> </w:t>
      </w:r>
      <w:r>
        <w:rPr>
          <w:rFonts w:ascii="Arial"/>
          <w:color w:val="231F20"/>
          <w:w w:val="90"/>
          <w:sz w:val="16"/>
        </w:rPr>
        <w:t>is</w:t>
      </w:r>
      <w:r>
        <w:rPr>
          <w:rFonts w:ascii="Arial"/>
          <w:color w:val="231F20"/>
          <w:spacing w:val="-12"/>
          <w:w w:val="90"/>
          <w:sz w:val="16"/>
        </w:rPr>
        <w:t> </w:t>
      </w:r>
      <w:r>
        <w:rPr>
          <w:rFonts w:ascii="Arial"/>
          <w:color w:val="231F20"/>
          <w:w w:val="90"/>
          <w:sz w:val="16"/>
        </w:rPr>
        <w:t>limited</w:t>
      </w:r>
      <w:r>
        <w:rPr>
          <w:rFonts w:ascii="Arial"/>
          <w:color w:val="231F20"/>
          <w:spacing w:val="-12"/>
          <w:w w:val="90"/>
          <w:sz w:val="16"/>
        </w:rPr>
        <w:t> </w:t>
      </w:r>
      <w:r>
        <w:rPr>
          <w:rFonts w:ascii="Arial"/>
          <w:color w:val="231F20"/>
          <w:w w:val="90"/>
          <w:sz w:val="16"/>
        </w:rPr>
        <w:t>mainly</w:t>
      </w:r>
      <w:r>
        <w:rPr>
          <w:rFonts w:ascii="Arial"/>
          <w:color w:val="231F20"/>
          <w:spacing w:val="-12"/>
          <w:w w:val="90"/>
          <w:sz w:val="16"/>
        </w:rPr>
        <w:t> </w:t>
      </w:r>
      <w:r>
        <w:rPr>
          <w:rFonts w:ascii="Arial"/>
          <w:color w:val="231F20"/>
          <w:w w:val="90"/>
          <w:sz w:val="16"/>
        </w:rPr>
        <w:t>to</w:t>
      </w:r>
      <w:r>
        <w:rPr>
          <w:rFonts w:ascii="Arial"/>
          <w:color w:val="231F20"/>
          <w:spacing w:val="-12"/>
          <w:w w:val="90"/>
          <w:sz w:val="16"/>
        </w:rPr>
        <w:t> </w:t>
      </w:r>
      <w:r>
        <w:rPr>
          <w:rFonts w:ascii="Arial"/>
          <w:color w:val="231F20"/>
          <w:w w:val="90"/>
          <w:sz w:val="16"/>
        </w:rPr>
        <w:t>nonspecific</w:t>
      </w:r>
      <w:r>
        <w:rPr>
          <w:rFonts w:ascii="Arial"/>
          <w:color w:val="231F20"/>
          <w:spacing w:val="-12"/>
          <w:w w:val="90"/>
          <w:sz w:val="16"/>
        </w:rPr>
        <w:t> </w:t>
      </w:r>
      <w:r>
        <w:rPr>
          <w:rFonts w:ascii="Arial"/>
          <w:color w:val="231F20"/>
          <w:w w:val="90"/>
          <w:sz w:val="16"/>
        </w:rPr>
        <w:t>health</w:t>
      </w:r>
      <w:r>
        <w:rPr>
          <w:rFonts w:ascii="Arial"/>
          <w:color w:val="231F20"/>
          <w:spacing w:val="-12"/>
          <w:w w:val="90"/>
          <w:sz w:val="16"/>
        </w:rPr>
        <w:t> </w:t>
      </w:r>
      <w:r>
        <w:rPr>
          <w:rFonts w:ascii="Arial"/>
          <w:color w:val="231F20"/>
          <w:w w:val="90"/>
          <w:sz w:val="16"/>
        </w:rPr>
        <w:t>indicators</w:t>
      </w:r>
      <w:r>
        <w:rPr>
          <w:rFonts w:ascii="Arial"/>
          <w:color w:val="231F20"/>
          <w:spacing w:val="-12"/>
          <w:w w:val="90"/>
          <w:sz w:val="16"/>
        </w:rPr>
        <w:t> </w:t>
      </w:r>
      <w:r>
        <w:rPr>
          <w:rFonts w:ascii="Arial"/>
          <w:color w:val="231F20"/>
          <w:w w:val="90"/>
          <w:sz w:val="16"/>
        </w:rPr>
        <w:t>(preclinical</w:t>
      </w:r>
      <w:r>
        <w:rPr>
          <w:rFonts w:ascii="Arial"/>
          <w:color w:val="231F20"/>
          <w:spacing w:val="-12"/>
          <w:w w:val="90"/>
          <w:sz w:val="16"/>
        </w:rPr>
        <w:t> </w:t>
      </w:r>
      <w:r>
        <w:rPr>
          <w:rFonts w:ascii="Arial"/>
          <w:color w:val="231F20"/>
          <w:w w:val="90"/>
          <w:sz w:val="16"/>
        </w:rPr>
        <w:t>and </w:t>
      </w:r>
      <w:r>
        <w:rPr>
          <w:rFonts w:ascii="Arial"/>
          <w:color w:val="231F20"/>
          <w:w w:val="95"/>
          <w:sz w:val="16"/>
        </w:rPr>
        <w:t>clinical</w:t>
      </w:r>
      <w:r>
        <w:rPr>
          <w:rFonts w:ascii="Arial"/>
          <w:color w:val="231F20"/>
          <w:spacing w:val="-27"/>
          <w:w w:val="95"/>
          <w:sz w:val="16"/>
        </w:rPr>
        <w:t> </w:t>
      </w:r>
      <w:r>
        <w:rPr>
          <w:rFonts w:ascii="Arial"/>
          <w:color w:val="231F20"/>
          <w:w w:val="95"/>
          <w:sz w:val="16"/>
        </w:rPr>
        <w:t>prediagnostic</w:t>
      </w:r>
      <w:r>
        <w:rPr>
          <w:rFonts w:ascii="Arial"/>
          <w:color w:val="231F20"/>
          <w:spacing w:val="-27"/>
          <w:w w:val="95"/>
          <w:sz w:val="16"/>
        </w:rPr>
        <w:t> </w:t>
      </w:r>
      <w:r>
        <w:rPr>
          <w:rFonts w:ascii="Arial"/>
          <w:color w:val="231F20"/>
          <w:w w:val="95"/>
          <w:sz w:val="16"/>
        </w:rPr>
        <w:t>data).</w:t>
      </w:r>
      <w:r>
        <w:rPr>
          <w:rFonts w:ascii="Arial"/>
          <w:color w:val="231F20"/>
          <w:spacing w:val="-27"/>
          <w:w w:val="95"/>
          <w:sz w:val="16"/>
        </w:rPr>
        <w:t> </w:t>
      </w:r>
      <w:r>
        <w:rPr>
          <w:rFonts w:ascii="Arial"/>
          <w:color w:val="231F20"/>
          <w:w w:val="95"/>
          <w:sz w:val="16"/>
        </w:rPr>
        <w:t>Data</w:t>
      </w:r>
      <w:r>
        <w:rPr>
          <w:rFonts w:ascii="Arial"/>
          <w:color w:val="231F20"/>
          <w:spacing w:val="-27"/>
          <w:w w:val="95"/>
          <w:sz w:val="16"/>
        </w:rPr>
        <w:t> </w:t>
      </w:r>
      <w:r>
        <w:rPr>
          <w:rFonts w:ascii="Arial"/>
          <w:color w:val="231F20"/>
          <w:w w:val="95"/>
          <w:sz w:val="16"/>
        </w:rPr>
        <w:t>must</w:t>
      </w:r>
      <w:r>
        <w:rPr>
          <w:rFonts w:ascii="Arial"/>
          <w:color w:val="231F20"/>
          <w:spacing w:val="-27"/>
          <w:w w:val="95"/>
          <w:sz w:val="16"/>
        </w:rPr>
        <w:t> </w:t>
      </w:r>
      <w:r>
        <w:rPr>
          <w:rFonts w:ascii="Arial"/>
          <w:color w:val="231F20"/>
          <w:w w:val="95"/>
          <w:sz w:val="16"/>
        </w:rPr>
        <w:t>be</w:t>
      </w:r>
      <w:r>
        <w:rPr>
          <w:rFonts w:ascii="Arial"/>
          <w:color w:val="231F20"/>
          <w:spacing w:val="-27"/>
          <w:w w:val="95"/>
          <w:sz w:val="16"/>
        </w:rPr>
        <w:t> </w:t>
      </w:r>
      <w:r>
        <w:rPr>
          <w:rFonts w:ascii="Arial"/>
          <w:color w:val="231F20"/>
          <w:w w:val="95"/>
          <w:sz w:val="16"/>
        </w:rPr>
        <w:t>analyzed,</w:t>
      </w:r>
      <w:r>
        <w:rPr>
          <w:rFonts w:ascii="Arial"/>
          <w:color w:val="231F20"/>
          <w:spacing w:val="-27"/>
          <w:w w:val="95"/>
          <w:sz w:val="16"/>
        </w:rPr>
        <w:t> </w:t>
      </w:r>
      <w:r>
        <w:rPr>
          <w:rFonts w:ascii="Arial"/>
          <w:color w:val="231F20"/>
          <w:w w:val="95"/>
          <w:sz w:val="16"/>
        </w:rPr>
        <w:t>and</w:t>
      </w:r>
      <w:r>
        <w:rPr>
          <w:rFonts w:ascii="Arial"/>
          <w:color w:val="231F20"/>
          <w:spacing w:val="-27"/>
          <w:w w:val="95"/>
          <w:sz w:val="16"/>
        </w:rPr>
        <w:t> </w:t>
      </w:r>
      <w:r>
        <w:rPr>
          <w:rFonts w:ascii="Arial"/>
          <w:color w:val="231F20"/>
          <w:w w:val="95"/>
          <w:sz w:val="16"/>
        </w:rPr>
        <w:t>a</w:t>
      </w:r>
      <w:r>
        <w:rPr>
          <w:rFonts w:ascii="Arial"/>
          <w:color w:val="231F20"/>
          <w:spacing w:val="-27"/>
          <w:w w:val="95"/>
          <w:sz w:val="16"/>
        </w:rPr>
        <w:t> </w:t>
      </w:r>
      <w:r>
        <w:rPr>
          <w:rFonts w:ascii="Arial"/>
          <w:color w:val="231F20"/>
          <w:w w:val="95"/>
          <w:sz w:val="16"/>
        </w:rPr>
        <w:t>follow-up</w:t>
      </w:r>
      <w:r>
        <w:rPr>
          <w:rFonts w:ascii="Arial"/>
          <w:color w:val="231F20"/>
          <w:spacing w:val="-27"/>
          <w:w w:val="95"/>
          <w:sz w:val="16"/>
        </w:rPr>
        <w:t> </w:t>
      </w:r>
      <w:r>
        <w:rPr>
          <w:rFonts w:ascii="Arial"/>
          <w:color w:val="231F20"/>
          <w:w w:val="95"/>
          <w:sz w:val="16"/>
        </w:rPr>
        <w:t>investigation</w:t>
      </w:r>
      <w:r>
        <w:rPr>
          <w:rFonts w:ascii="Arial"/>
          <w:color w:val="231F20"/>
          <w:spacing w:val="-27"/>
          <w:w w:val="95"/>
          <w:sz w:val="16"/>
        </w:rPr>
        <w:t> </w:t>
      </w:r>
      <w:r>
        <w:rPr>
          <w:rFonts w:ascii="Arial"/>
          <w:color w:val="231F20"/>
          <w:w w:val="95"/>
          <w:sz w:val="16"/>
        </w:rPr>
        <w:t>is </w:t>
      </w:r>
      <w:r>
        <w:rPr>
          <w:rFonts w:ascii="Arial"/>
          <w:color w:val="231F20"/>
          <w:w w:val="90"/>
          <w:sz w:val="16"/>
        </w:rPr>
        <w:t>required, including comparison with standard surveillance, before public health action can be</w:t>
      </w:r>
      <w:r>
        <w:rPr>
          <w:rFonts w:ascii="Arial"/>
          <w:color w:val="231F20"/>
          <w:spacing w:val="-32"/>
          <w:w w:val="90"/>
          <w:sz w:val="16"/>
        </w:rPr>
        <w:t> </w:t>
      </w:r>
      <w:r>
        <w:rPr>
          <w:rFonts w:ascii="Arial"/>
          <w:color w:val="231F20"/>
          <w:w w:val="90"/>
          <w:sz w:val="16"/>
        </w:rPr>
        <w:t>taken.</w:t>
      </w:r>
    </w:p>
    <w:p>
      <w:pPr>
        <w:spacing w:before="36"/>
        <w:ind w:left="120" w:right="0" w:firstLine="0"/>
        <w:jc w:val="left"/>
        <w:rPr>
          <w:rFonts w:ascii="Arial" w:hAnsi="Arial"/>
          <w:sz w:val="16"/>
        </w:rPr>
      </w:pPr>
      <w:r>
        <w:rPr>
          <w:rFonts w:ascii="Arial" w:hAnsi="Arial"/>
          <w:color w:val="231F20"/>
          <w:w w:val="90"/>
          <w:position w:val="5"/>
          <w:sz w:val="9"/>
        </w:rPr>
        <w:t>† </w:t>
      </w:r>
      <w:r>
        <w:rPr>
          <w:rFonts w:ascii="Arial" w:hAnsi="Arial"/>
          <w:color w:val="231F20"/>
          <w:w w:val="90"/>
          <w:sz w:val="16"/>
        </w:rPr>
        <w:t>Sensitivity is higher for rare, specific syndromes, such as botulism-like syndrome.</w:t>
      </w:r>
    </w:p>
    <w:p>
      <w:pPr>
        <w:spacing w:line="180" w:lineRule="exact" w:before="45"/>
        <w:ind w:left="242" w:right="0" w:hanging="123"/>
        <w:jc w:val="left"/>
        <w:rPr>
          <w:rFonts w:ascii="Arial" w:hAnsi="Arial"/>
          <w:sz w:val="16"/>
        </w:rPr>
      </w:pPr>
      <w:r>
        <w:rPr>
          <w:rFonts w:ascii="Arial" w:hAnsi="Arial"/>
          <w:color w:val="231F20"/>
          <w:w w:val="95"/>
          <w:position w:val="5"/>
          <w:sz w:val="9"/>
        </w:rPr>
        <w:t>‡</w:t>
      </w:r>
      <w:r>
        <w:rPr>
          <w:rFonts w:ascii="Arial" w:hAnsi="Arial"/>
          <w:color w:val="231F20"/>
          <w:spacing w:val="-4"/>
          <w:w w:val="95"/>
          <w:position w:val="5"/>
          <w:sz w:val="9"/>
        </w:rPr>
        <w:t> </w:t>
      </w:r>
      <w:r>
        <w:rPr>
          <w:rFonts w:ascii="Arial" w:hAnsi="Arial"/>
          <w:color w:val="231F20"/>
          <w:w w:val="95"/>
          <w:sz w:val="16"/>
        </w:rPr>
        <w:t>Although</w:t>
      </w:r>
      <w:r>
        <w:rPr>
          <w:rFonts w:ascii="Arial" w:hAnsi="Arial"/>
          <w:color w:val="231F20"/>
          <w:spacing w:val="-25"/>
          <w:w w:val="95"/>
          <w:sz w:val="16"/>
        </w:rPr>
        <w:t> </w:t>
      </w:r>
      <w:r>
        <w:rPr>
          <w:rFonts w:ascii="Arial" w:hAnsi="Arial"/>
          <w:color w:val="231F20"/>
          <w:w w:val="95"/>
          <w:sz w:val="16"/>
        </w:rPr>
        <w:t>outbreaks</w:t>
      </w:r>
      <w:r>
        <w:rPr>
          <w:rFonts w:ascii="Arial" w:hAnsi="Arial"/>
          <w:color w:val="231F20"/>
          <w:spacing w:val="-25"/>
          <w:w w:val="95"/>
          <w:sz w:val="16"/>
        </w:rPr>
        <w:t> </w:t>
      </w:r>
      <w:r>
        <w:rPr>
          <w:rFonts w:ascii="Arial" w:hAnsi="Arial"/>
          <w:color w:val="231F20"/>
          <w:w w:val="95"/>
          <w:sz w:val="16"/>
        </w:rPr>
        <w:t>can</w:t>
      </w:r>
      <w:r>
        <w:rPr>
          <w:rFonts w:ascii="Arial" w:hAnsi="Arial"/>
          <w:color w:val="231F20"/>
          <w:spacing w:val="-25"/>
          <w:w w:val="95"/>
          <w:sz w:val="16"/>
        </w:rPr>
        <w:t> </w:t>
      </w:r>
      <w:r>
        <w:rPr>
          <w:rFonts w:ascii="Arial" w:hAnsi="Arial"/>
          <w:color w:val="231F20"/>
          <w:w w:val="95"/>
          <w:sz w:val="16"/>
        </w:rPr>
        <w:t>be</w:t>
      </w:r>
      <w:r>
        <w:rPr>
          <w:rFonts w:ascii="Arial" w:hAnsi="Arial"/>
          <w:color w:val="231F20"/>
          <w:spacing w:val="-25"/>
          <w:w w:val="95"/>
          <w:sz w:val="16"/>
        </w:rPr>
        <w:t> </w:t>
      </w:r>
      <w:r>
        <w:rPr>
          <w:rFonts w:ascii="Arial" w:hAnsi="Arial"/>
          <w:color w:val="231F20"/>
          <w:w w:val="95"/>
          <w:sz w:val="16"/>
        </w:rPr>
        <w:t>detected</w:t>
      </w:r>
      <w:r>
        <w:rPr>
          <w:rFonts w:ascii="Arial" w:hAnsi="Arial"/>
          <w:color w:val="231F20"/>
          <w:spacing w:val="-25"/>
          <w:w w:val="95"/>
          <w:sz w:val="16"/>
        </w:rPr>
        <w:t> </w:t>
      </w:r>
      <w:r>
        <w:rPr>
          <w:rFonts w:ascii="Arial" w:hAnsi="Arial"/>
          <w:color w:val="231F20"/>
          <w:w w:val="95"/>
          <w:sz w:val="16"/>
        </w:rPr>
        <w:t>without</w:t>
      </w:r>
      <w:r>
        <w:rPr>
          <w:rFonts w:ascii="Arial" w:hAnsi="Arial"/>
          <w:color w:val="231F20"/>
          <w:spacing w:val="-25"/>
          <w:w w:val="95"/>
          <w:sz w:val="16"/>
        </w:rPr>
        <w:t> </w:t>
      </w:r>
      <w:r>
        <w:rPr>
          <w:rFonts w:ascii="Arial" w:hAnsi="Arial"/>
          <w:color w:val="231F20"/>
          <w:w w:val="95"/>
          <w:sz w:val="16"/>
        </w:rPr>
        <w:t>an</w:t>
      </w:r>
      <w:r>
        <w:rPr>
          <w:rFonts w:ascii="Arial" w:hAnsi="Arial"/>
          <w:color w:val="231F20"/>
          <w:spacing w:val="-25"/>
          <w:w w:val="95"/>
          <w:sz w:val="16"/>
        </w:rPr>
        <w:t> </w:t>
      </w:r>
      <w:r>
        <w:rPr>
          <w:rFonts w:ascii="Arial" w:hAnsi="Arial"/>
          <w:color w:val="231F20"/>
          <w:w w:val="95"/>
          <w:sz w:val="16"/>
        </w:rPr>
        <w:t>identified</w:t>
      </w:r>
      <w:r>
        <w:rPr>
          <w:rFonts w:ascii="Arial" w:hAnsi="Arial"/>
          <w:color w:val="231F20"/>
          <w:spacing w:val="-25"/>
          <w:w w:val="95"/>
          <w:sz w:val="16"/>
        </w:rPr>
        <w:t> </w:t>
      </w:r>
      <w:r>
        <w:rPr>
          <w:rFonts w:ascii="Arial" w:hAnsi="Arial"/>
          <w:color w:val="231F20"/>
          <w:spacing w:val="-3"/>
          <w:w w:val="95"/>
          <w:sz w:val="16"/>
        </w:rPr>
        <w:t>etiology,</w:t>
      </w:r>
      <w:r>
        <w:rPr>
          <w:rFonts w:ascii="Arial" w:hAnsi="Arial"/>
          <w:color w:val="231F20"/>
          <w:spacing w:val="-25"/>
          <w:w w:val="95"/>
          <w:sz w:val="16"/>
        </w:rPr>
        <w:t> </w:t>
      </w:r>
      <w:r>
        <w:rPr>
          <w:rFonts w:ascii="Arial" w:hAnsi="Arial"/>
          <w:color w:val="231F20"/>
          <w:w w:val="95"/>
          <w:sz w:val="16"/>
        </w:rPr>
        <w:t>linking</w:t>
      </w:r>
      <w:r>
        <w:rPr>
          <w:rFonts w:ascii="Arial" w:hAnsi="Arial"/>
          <w:color w:val="231F20"/>
          <w:spacing w:val="-25"/>
          <w:w w:val="95"/>
          <w:sz w:val="16"/>
        </w:rPr>
        <w:t> </w:t>
      </w:r>
      <w:r>
        <w:rPr>
          <w:rFonts w:ascii="Arial" w:hAnsi="Arial"/>
          <w:color w:val="231F20"/>
          <w:w w:val="95"/>
          <w:sz w:val="16"/>
        </w:rPr>
        <w:t>multiple </w:t>
      </w:r>
      <w:r>
        <w:rPr>
          <w:rFonts w:ascii="Arial" w:hAnsi="Arial"/>
          <w:color w:val="231F20"/>
          <w:w w:val="90"/>
          <w:sz w:val="16"/>
        </w:rPr>
        <w:t>outbreaks</w:t>
      </w:r>
      <w:r>
        <w:rPr>
          <w:rFonts w:ascii="Arial" w:hAnsi="Arial"/>
          <w:color w:val="231F20"/>
          <w:spacing w:val="-13"/>
          <w:w w:val="90"/>
          <w:sz w:val="16"/>
        </w:rPr>
        <w:t> </w:t>
      </w:r>
      <w:r>
        <w:rPr>
          <w:rFonts w:ascii="Arial" w:hAnsi="Arial"/>
          <w:color w:val="231F20"/>
          <w:w w:val="90"/>
          <w:sz w:val="16"/>
        </w:rPr>
        <w:t>to</w:t>
      </w:r>
      <w:r>
        <w:rPr>
          <w:rFonts w:ascii="Arial" w:hAnsi="Arial"/>
          <w:color w:val="231F20"/>
          <w:spacing w:val="-13"/>
          <w:w w:val="90"/>
          <w:sz w:val="16"/>
        </w:rPr>
        <w:t> </w:t>
      </w:r>
      <w:r>
        <w:rPr>
          <w:rFonts w:ascii="Arial" w:hAnsi="Arial"/>
          <w:color w:val="231F20"/>
          <w:w w:val="90"/>
          <w:sz w:val="16"/>
        </w:rPr>
        <w:t>a</w:t>
      </w:r>
      <w:r>
        <w:rPr>
          <w:rFonts w:ascii="Arial" w:hAnsi="Arial"/>
          <w:color w:val="231F20"/>
          <w:spacing w:val="-13"/>
          <w:w w:val="90"/>
          <w:sz w:val="16"/>
        </w:rPr>
        <w:t> </w:t>
      </w:r>
      <w:r>
        <w:rPr>
          <w:rFonts w:ascii="Arial" w:hAnsi="Arial"/>
          <w:color w:val="231F20"/>
          <w:w w:val="90"/>
          <w:sz w:val="16"/>
        </w:rPr>
        <w:t>common</w:t>
      </w:r>
      <w:r>
        <w:rPr>
          <w:rFonts w:ascii="Arial" w:hAnsi="Arial"/>
          <w:color w:val="231F20"/>
          <w:spacing w:val="-13"/>
          <w:w w:val="90"/>
          <w:sz w:val="16"/>
        </w:rPr>
        <w:t> </w:t>
      </w:r>
      <w:r>
        <w:rPr>
          <w:rFonts w:ascii="Arial" w:hAnsi="Arial"/>
          <w:color w:val="231F20"/>
          <w:w w:val="90"/>
          <w:sz w:val="16"/>
        </w:rPr>
        <w:t>source</w:t>
      </w:r>
      <w:r>
        <w:rPr>
          <w:rFonts w:ascii="Arial" w:hAnsi="Arial"/>
          <w:color w:val="231F20"/>
          <w:spacing w:val="-13"/>
          <w:w w:val="90"/>
          <w:sz w:val="16"/>
        </w:rPr>
        <w:t> </w:t>
      </w:r>
      <w:r>
        <w:rPr>
          <w:rFonts w:ascii="Arial" w:hAnsi="Arial"/>
          <w:color w:val="231F20"/>
          <w:w w:val="90"/>
          <w:sz w:val="16"/>
        </w:rPr>
        <w:t>may</w:t>
      </w:r>
      <w:r>
        <w:rPr>
          <w:rFonts w:ascii="Arial" w:hAnsi="Arial"/>
          <w:color w:val="231F20"/>
          <w:spacing w:val="-13"/>
          <w:w w:val="90"/>
          <w:sz w:val="16"/>
        </w:rPr>
        <w:t> </w:t>
      </w:r>
      <w:r>
        <w:rPr>
          <w:rFonts w:ascii="Arial" w:hAnsi="Arial"/>
          <w:color w:val="231F20"/>
          <w:w w:val="90"/>
          <w:sz w:val="16"/>
        </w:rPr>
        <w:t>require</w:t>
      </w:r>
      <w:r>
        <w:rPr>
          <w:rFonts w:ascii="Arial" w:hAnsi="Arial"/>
          <w:color w:val="231F20"/>
          <w:spacing w:val="-13"/>
          <w:w w:val="90"/>
          <w:sz w:val="16"/>
        </w:rPr>
        <w:t> </w:t>
      </w:r>
      <w:r>
        <w:rPr>
          <w:rFonts w:ascii="Arial" w:hAnsi="Arial"/>
          <w:color w:val="231F20"/>
          <w:w w:val="90"/>
          <w:sz w:val="16"/>
        </w:rPr>
        <w:t>agent</w:t>
      </w:r>
      <w:r>
        <w:rPr>
          <w:rFonts w:ascii="Arial" w:hAnsi="Arial"/>
          <w:color w:val="231F20"/>
          <w:spacing w:val="-13"/>
          <w:w w:val="90"/>
          <w:sz w:val="16"/>
        </w:rPr>
        <w:t> </w:t>
      </w:r>
      <w:r>
        <w:rPr>
          <w:rFonts w:ascii="Arial" w:hAnsi="Arial"/>
          <w:color w:val="231F20"/>
          <w:w w:val="90"/>
          <w:sz w:val="16"/>
        </w:rPr>
        <w:t>information.</w:t>
      </w:r>
    </w:p>
    <w:p>
      <w:pPr>
        <w:spacing w:line="180" w:lineRule="exact" w:before="43"/>
        <w:ind w:left="242" w:right="0" w:hanging="123"/>
        <w:jc w:val="left"/>
        <w:rPr>
          <w:rFonts w:ascii="Arial" w:hAnsi="Arial"/>
          <w:sz w:val="16"/>
        </w:rPr>
      </w:pPr>
      <w:r>
        <w:rPr>
          <w:rFonts w:ascii="Arial" w:hAnsi="Arial"/>
          <w:color w:val="231F20"/>
          <w:w w:val="95"/>
          <w:position w:val="5"/>
          <w:sz w:val="9"/>
        </w:rPr>
        <w:t>§</w:t>
      </w:r>
      <w:r>
        <w:rPr>
          <w:rFonts w:ascii="Arial" w:hAnsi="Arial"/>
          <w:color w:val="231F20"/>
          <w:spacing w:val="-7"/>
          <w:w w:val="95"/>
          <w:position w:val="5"/>
          <w:sz w:val="9"/>
        </w:rPr>
        <w:t> </w:t>
      </w:r>
      <w:r>
        <w:rPr>
          <w:rFonts w:ascii="Arial" w:hAnsi="Arial"/>
          <w:color w:val="231F20"/>
          <w:w w:val="95"/>
          <w:sz w:val="16"/>
        </w:rPr>
        <w:t>The</w:t>
      </w:r>
      <w:r>
        <w:rPr>
          <w:rFonts w:ascii="Arial" w:hAnsi="Arial"/>
          <w:color w:val="231F20"/>
          <w:spacing w:val="-29"/>
          <w:w w:val="95"/>
          <w:sz w:val="16"/>
        </w:rPr>
        <w:t> </w:t>
      </w:r>
      <w:r>
        <w:rPr>
          <w:rFonts w:ascii="Arial" w:hAnsi="Arial"/>
          <w:color w:val="231F20"/>
          <w:w w:val="95"/>
          <w:sz w:val="16"/>
        </w:rPr>
        <w:t>number</w:t>
      </w:r>
      <w:r>
        <w:rPr>
          <w:rFonts w:ascii="Arial" w:hAnsi="Arial"/>
          <w:color w:val="231F20"/>
          <w:spacing w:val="-29"/>
          <w:w w:val="95"/>
          <w:sz w:val="16"/>
        </w:rPr>
        <w:t> </w:t>
      </w:r>
      <w:r>
        <w:rPr>
          <w:rFonts w:ascii="Arial" w:hAnsi="Arial"/>
          <w:color w:val="231F20"/>
          <w:w w:val="95"/>
          <w:sz w:val="16"/>
        </w:rPr>
        <w:t>of</w:t>
      </w:r>
      <w:r>
        <w:rPr>
          <w:rFonts w:ascii="Arial" w:hAnsi="Arial"/>
          <w:color w:val="231F20"/>
          <w:spacing w:val="-29"/>
          <w:w w:val="95"/>
          <w:sz w:val="16"/>
        </w:rPr>
        <w:t> </w:t>
      </w:r>
      <w:r>
        <w:rPr>
          <w:rFonts w:ascii="Arial" w:hAnsi="Arial"/>
          <w:color w:val="231F20"/>
          <w:w w:val="95"/>
          <w:sz w:val="16"/>
        </w:rPr>
        <w:t>cases</w:t>
      </w:r>
      <w:r>
        <w:rPr>
          <w:rFonts w:ascii="Arial" w:hAnsi="Arial"/>
          <w:color w:val="231F20"/>
          <w:spacing w:val="-29"/>
          <w:w w:val="95"/>
          <w:sz w:val="16"/>
        </w:rPr>
        <w:t> </w:t>
      </w:r>
      <w:r>
        <w:rPr>
          <w:rFonts w:ascii="Arial" w:hAnsi="Arial"/>
          <w:color w:val="231F20"/>
          <w:w w:val="95"/>
          <w:sz w:val="16"/>
        </w:rPr>
        <w:t>needed</w:t>
      </w:r>
      <w:r>
        <w:rPr>
          <w:rFonts w:ascii="Arial" w:hAnsi="Arial"/>
          <w:color w:val="231F20"/>
          <w:spacing w:val="-29"/>
          <w:w w:val="95"/>
          <w:sz w:val="16"/>
        </w:rPr>
        <w:t> </w:t>
      </w:r>
      <w:r>
        <w:rPr>
          <w:rFonts w:ascii="Arial" w:hAnsi="Arial"/>
          <w:color w:val="231F20"/>
          <w:w w:val="95"/>
          <w:sz w:val="16"/>
        </w:rPr>
        <w:t>to</w:t>
      </w:r>
      <w:r>
        <w:rPr>
          <w:rFonts w:ascii="Arial" w:hAnsi="Arial"/>
          <w:color w:val="231F20"/>
          <w:spacing w:val="-29"/>
          <w:w w:val="95"/>
          <w:sz w:val="16"/>
        </w:rPr>
        <w:t> </w:t>
      </w:r>
      <w:r>
        <w:rPr>
          <w:rFonts w:ascii="Arial" w:hAnsi="Arial"/>
          <w:color w:val="231F20"/>
          <w:w w:val="95"/>
          <w:sz w:val="16"/>
        </w:rPr>
        <w:t>create</w:t>
      </w:r>
      <w:r>
        <w:rPr>
          <w:rFonts w:ascii="Arial" w:hAnsi="Arial"/>
          <w:color w:val="231F20"/>
          <w:spacing w:val="-29"/>
          <w:w w:val="95"/>
          <w:sz w:val="16"/>
        </w:rPr>
        <w:t> </w:t>
      </w:r>
      <w:r>
        <w:rPr>
          <w:rFonts w:ascii="Arial" w:hAnsi="Arial"/>
          <w:color w:val="231F20"/>
          <w:w w:val="95"/>
          <w:sz w:val="16"/>
        </w:rPr>
        <w:t>a</w:t>
      </w:r>
      <w:r>
        <w:rPr>
          <w:rFonts w:ascii="Arial" w:hAnsi="Arial"/>
          <w:color w:val="231F20"/>
          <w:spacing w:val="-29"/>
          <w:w w:val="95"/>
          <w:sz w:val="16"/>
        </w:rPr>
        <w:t> </w:t>
      </w:r>
      <w:r>
        <w:rPr>
          <w:rFonts w:ascii="Arial" w:hAnsi="Arial"/>
          <w:color w:val="231F20"/>
          <w:w w:val="95"/>
          <w:sz w:val="16"/>
        </w:rPr>
        <w:t>meaningful</w:t>
      </w:r>
      <w:r>
        <w:rPr>
          <w:rFonts w:ascii="Arial" w:hAnsi="Arial"/>
          <w:color w:val="231F20"/>
          <w:spacing w:val="-29"/>
          <w:w w:val="95"/>
          <w:sz w:val="16"/>
        </w:rPr>
        <w:t> </w:t>
      </w:r>
      <w:r>
        <w:rPr>
          <w:rFonts w:ascii="Arial" w:hAnsi="Arial"/>
          <w:color w:val="231F20"/>
          <w:w w:val="95"/>
          <w:sz w:val="16"/>
        </w:rPr>
        <w:t>signal</w:t>
      </w:r>
      <w:r>
        <w:rPr>
          <w:rFonts w:ascii="Arial" w:hAnsi="Arial"/>
          <w:color w:val="231F20"/>
          <w:spacing w:val="-29"/>
          <w:w w:val="95"/>
          <w:sz w:val="16"/>
        </w:rPr>
        <w:t> </w:t>
      </w:r>
      <w:r>
        <w:rPr>
          <w:rFonts w:ascii="Arial" w:hAnsi="Arial"/>
          <w:color w:val="231F20"/>
          <w:w w:val="95"/>
          <w:sz w:val="16"/>
        </w:rPr>
        <w:t>is</w:t>
      </w:r>
      <w:r>
        <w:rPr>
          <w:rFonts w:ascii="Arial" w:hAnsi="Arial"/>
          <w:color w:val="231F20"/>
          <w:spacing w:val="-29"/>
          <w:w w:val="95"/>
          <w:sz w:val="16"/>
        </w:rPr>
        <w:t> </w:t>
      </w:r>
      <w:r>
        <w:rPr>
          <w:rFonts w:ascii="Arial" w:hAnsi="Arial"/>
          <w:color w:val="231F20"/>
          <w:w w:val="95"/>
          <w:sz w:val="16"/>
        </w:rPr>
        <w:t>related</w:t>
      </w:r>
      <w:r>
        <w:rPr>
          <w:rFonts w:ascii="Arial" w:hAnsi="Arial"/>
          <w:color w:val="231F20"/>
          <w:spacing w:val="-29"/>
          <w:w w:val="95"/>
          <w:sz w:val="16"/>
        </w:rPr>
        <w:t> </w:t>
      </w:r>
      <w:r>
        <w:rPr>
          <w:rFonts w:ascii="Arial" w:hAnsi="Arial"/>
          <w:color w:val="231F20"/>
          <w:w w:val="95"/>
          <w:sz w:val="16"/>
        </w:rPr>
        <w:t>to</w:t>
      </w:r>
      <w:r>
        <w:rPr>
          <w:rFonts w:ascii="Arial" w:hAnsi="Arial"/>
          <w:color w:val="231F20"/>
          <w:spacing w:val="-29"/>
          <w:w w:val="95"/>
          <w:sz w:val="16"/>
        </w:rPr>
        <w:t> </w:t>
      </w:r>
      <w:r>
        <w:rPr>
          <w:rFonts w:ascii="Arial" w:hAnsi="Arial"/>
          <w:color w:val="231F20"/>
          <w:w w:val="95"/>
          <w:sz w:val="16"/>
        </w:rPr>
        <w:t>the</w:t>
      </w:r>
      <w:r>
        <w:rPr>
          <w:rFonts w:ascii="Arial" w:hAnsi="Arial"/>
          <w:color w:val="231F20"/>
          <w:spacing w:val="-29"/>
          <w:w w:val="95"/>
          <w:sz w:val="16"/>
        </w:rPr>
        <w:t> </w:t>
      </w:r>
      <w:r>
        <w:rPr>
          <w:rFonts w:ascii="Arial" w:hAnsi="Arial"/>
          <w:color w:val="231F20"/>
          <w:w w:val="95"/>
          <w:sz w:val="16"/>
        </w:rPr>
        <w:t>specificity</w:t>
      </w:r>
      <w:r>
        <w:rPr>
          <w:rFonts w:ascii="Arial" w:hAnsi="Arial"/>
          <w:color w:val="231F20"/>
          <w:spacing w:val="-29"/>
          <w:w w:val="95"/>
          <w:sz w:val="16"/>
        </w:rPr>
        <w:t> </w:t>
      </w:r>
      <w:r>
        <w:rPr>
          <w:rFonts w:ascii="Arial" w:hAnsi="Arial"/>
          <w:color w:val="231F20"/>
          <w:w w:val="95"/>
          <w:sz w:val="16"/>
        </w:rPr>
        <w:t>of </w:t>
      </w:r>
      <w:r>
        <w:rPr>
          <w:rFonts w:ascii="Arial" w:hAnsi="Arial"/>
          <w:color w:val="231F20"/>
          <w:w w:val="90"/>
          <w:sz w:val="16"/>
        </w:rPr>
        <w:t>the</w:t>
      </w:r>
      <w:r>
        <w:rPr>
          <w:rFonts w:ascii="Arial" w:hAnsi="Arial"/>
          <w:color w:val="231F20"/>
          <w:spacing w:val="-15"/>
          <w:w w:val="90"/>
          <w:sz w:val="16"/>
        </w:rPr>
        <w:t> </w:t>
      </w:r>
      <w:r>
        <w:rPr>
          <w:rFonts w:ascii="Arial" w:hAnsi="Arial"/>
          <w:color w:val="231F20"/>
          <w:spacing w:val="-3"/>
          <w:w w:val="90"/>
          <w:sz w:val="16"/>
        </w:rPr>
        <w:t>indicator.</w:t>
      </w:r>
      <w:r>
        <w:rPr>
          <w:rFonts w:ascii="Arial" w:hAnsi="Arial"/>
          <w:color w:val="231F20"/>
          <w:spacing w:val="-15"/>
          <w:w w:val="90"/>
          <w:sz w:val="16"/>
        </w:rPr>
        <w:t> </w:t>
      </w:r>
      <w:r>
        <w:rPr>
          <w:rFonts w:ascii="Arial" w:hAnsi="Arial"/>
          <w:color w:val="231F20"/>
          <w:w w:val="90"/>
          <w:sz w:val="16"/>
        </w:rPr>
        <w:t>Indicators</w:t>
      </w:r>
      <w:r>
        <w:rPr>
          <w:rFonts w:ascii="Arial" w:hAnsi="Arial"/>
          <w:color w:val="231F20"/>
          <w:spacing w:val="-15"/>
          <w:w w:val="90"/>
          <w:sz w:val="16"/>
        </w:rPr>
        <w:t> </w:t>
      </w:r>
      <w:r>
        <w:rPr>
          <w:rFonts w:ascii="Arial" w:hAnsi="Arial"/>
          <w:color w:val="231F20"/>
          <w:w w:val="90"/>
          <w:sz w:val="16"/>
        </w:rPr>
        <w:t>that</w:t>
      </w:r>
      <w:r>
        <w:rPr>
          <w:rFonts w:ascii="Arial" w:hAnsi="Arial"/>
          <w:color w:val="231F20"/>
          <w:spacing w:val="-15"/>
          <w:w w:val="90"/>
          <w:sz w:val="16"/>
        </w:rPr>
        <w:t> </w:t>
      </w:r>
      <w:r>
        <w:rPr>
          <w:rFonts w:ascii="Arial" w:hAnsi="Arial"/>
          <w:color w:val="231F20"/>
          <w:w w:val="90"/>
          <w:sz w:val="16"/>
        </w:rPr>
        <w:t>offer</w:t>
      </w:r>
      <w:r>
        <w:rPr>
          <w:rFonts w:ascii="Arial" w:hAnsi="Arial"/>
          <w:color w:val="231F20"/>
          <w:spacing w:val="-15"/>
          <w:w w:val="90"/>
          <w:sz w:val="16"/>
        </w:rPr>
        <w:t> </w:t>
      </w:r>
      <w:r>
        <w:rPr>
          <w:rFonts w:ascii="Arial" w:hAnsi="Arial"/>
          <w:color w:val="231F20"/>
          <w:w w:val="90"/>
          <w:sz w:val="16"/>
        </w:rPr>
        <w:t>an</w:t>
      </w:r>
      <w:r>
        <w:rPr>
          <w:rFonts w:ascii="Arial" w:hAnsi="Arial"/>
          <w:color w:val="231F20"/>
          <w:spacing w:val="-15"/>
          <w:w w:val="90"/>
          <w:sz w:val="16"/>
        </w:rPr>
        <w:t> </w:t>
      </w:r>
      <w:r>
        <w:rPr>
          <w:rFonts w:ascii="Arial" w:hAnsi="Arial"/>
          <w:color w:val="231F20"/>
          <w:w w:val="90"/>
          <w:sz w:val="16"/>
        </w:rPr>
        <w:t>advantage</w:t>
      </w:r>
      <w:r>
        <w:rPr>
          <w:rFonts w:ascii="Arial" w:hAnsi="Arial"/>
          <w:color w:val="231F20"/>
          <w:spacing w:val="-15"/>
          <w:w w:val="90"/>
          <w:sz w:val="16"/>
        </w:rPr>
        <w:t> </w:t>
      </w:r>
      <w:r>
        <w:rPr>
          <w:rFonts w:ascii="Arial" w:hAnsi="Arial"/>
          <w:color w:val="231F20"/>
          <w:w w:val="90"/>
          <w:sz w:val="16"/>
        </w:rPr>
        <w:t>in</w:t>
      </w:r>
      <w:r>
        <w:rPr>
          <w:rFonts w:ascii="Arial" w:hAnsi="Arial"/>
          <w:color w:val="231F20"/>
          <w:spacing w:val="-15"/>
          <w:w w:val="90"/>
          <w:sz w:val="16"/>
        </w:rPr>
        <w:t> </w:t>
      </w:r>
      <w:r>
        <w:rPr>
          <w:rFonts w:ascii="Arial" w:hAnsi="Arial"/>
          <w:color w:val="231F20"/>
          <w:w w:val="90"/>
          <w:sz w:val="16"/>
        </w:rPr>
        <w:t>speed</w:t>
      </w:r>
      <w:r>
        <w:rPr>
          <w:rFonts w:ascii="Arial" w:hAnsi="Arial"/>
          <w:color w:val="231F20"/>
          <w:spacing w:val="-15"/>
          <w:w w:val="90"/>
          <w:sz w:val="16"/>
        </w:rPr>
        <w:t> </w:t>
      </w:r>
      <w:r>
        <w:rPr>
          <w:rFonts w:ascii="Arial" w:hAnsi="Arial"/>
          <w:color w:val="231F20"/>
          <w:w w:val="90"/>
          <w:sz w:val="16"/>
        </w:rPr>
        <w:t>also</w:t>
      </w:r>
      <w:r>
        <w:rPr>
          <w:rFonts w:ascii="Arial" w:hAnsi="Arial"/>
          <w:color w:val="231F20"/>
          <w:spacing w:val="-15"/>
          <w:w w:val="90"/>
          <w:sz w:val="16"/>
        </w:rPr>
        <w:t> </w:t>
      </w:r>
      <w:r>
        <w:rPr>
          <w:rFonts w:ascii="Arial" w:hAnsi="Arial"/>
          <w:color w:val="231F20"/>
          <w:w w:val="90"/>
          <w:sz w:val="16"/>
        </w:rPr>
        <w:t>tend</w:t>
      </w:r>
      <w:r>
        <w:rPr>
          <w:rFonts w:ascii="Arial" w:hAnsi="Arial"/>
          <w:color w:val="231F20"/>
          <w:spacing w:val="-15"/>
          <w:w w:val="90"/>
          <w:sz w:val="16"/>
        </w:rPr>
        <w:t> </w:t>
      </w:r>
      <w:r>
        <w:rPr>
          <w:rFonts w:ascii="Arial" w:hAnsi="Arial"/>
          <w:color w:val="231F20"/>
          <w:w w:val="90"/>
          <w:sz w:val="16"/>
        </w:rPr>
        <w:t>to</w:t>
      </w:r>
      <w:r>
        <w:rPr>
          <w:rFonts w:ascii="Arial" w:hAnsi="Arial"/>
          <w:color w:val="231F20"/>
          <w:spacing w:val="-15"/>
          <w:w w:val="90"/>
          <w:sz w:val="16"/>
        </w:rPr>
        <w:t> </w:t>
      </w:r>
      <w:r>
        <w:rPr>
          <w:rFonts w:ascii="Arial" w:hAnsi="Arial"/>
          <w:color w:val="231F20"/>
          <w:w w:val="90"/>
          <w:sz w:val="16"/>
        </w:rPr>
        <w:t>have</w:t>
      </w:r>
      <w:r>
        <w:rPr>
          <w:rFonts w:ascii="Arial" w:hAnsi="Arial"/>
          <w:color w:val="231F20"/>
          <w:spacing w:val="-15"/>
          <w:w w:val="90"/>
          <w:sz w:val="16"/>
        </w:rPr>
        <w:t> </w:t>
      </w:r>
      <w:r>
        <w:rPr>
          <w:rFonts w:ascii="Arial" w:hAnsi="Arial"/>
          <w:color w:val="231F20"/>
          <w:w w:val="90"/>
          <w:sz w:val="16"/>
        </w:rPr>
        <w:t>low</w:t>
      </w:r>
      <w:r>
        <w:rPr>
          <w:rFonts w:ascii="Arial" w:hAnsi="Arial"/>
          <w:color w:val="231F20"/>
          <w:spacing w:val="-15"/>
          <w:w w:val="90"/>
          <w:sz w:val="16"/>
        </w:rPr>
        <w:t> </w:t>
      </w:r>
      <w:r>
        <w:rPr>
          <w:rFonts w:ascii="Arial" w:hAnsi="Arial"/>
          <w:color w:val="231F20"/>
          <w:w w:val="90"/>
          <w:sz w:val="16"/>
        </w:rPr>
        <w:t>specificity.</w:t>
      </w:r>
    </w:p>
    <w:p>
      <w:pPr>
        <w:spacing w:before="46"/>
        <w:ind w:left="120" w:right="0" w:firstLine="0"/>
        <w:jc w:val="left"/>
        <w:rPr>
          <w:rFonts w:ascii="Arial" w:hAnsi="Arial"/>
          <w:sz w:val="16"/>
        </w:rPr>
      </w:pPr>
      <w:r>
        <w:rPr/>
        <w:br w:type="column"/>
      </w:r>
      <w:r>
        <w:rPr>
          <w:rFonts w:ascii="Arial" w:hAnsi="Arial"/>
          <w:color w:val="231F20"/>
          <w:w w:val="90"/>
          <w:position w:val="5"/>
          <w:sz w:val="9"/>
        </w:rPr>
        <w:t>¶ </w:t>
      </w:r>
      <w:r>
        <w:rPr>
          <w:rFonts w:ascii="Arial" w:hAnsi="Arial"/>
          <w:color w:val="231F20"/>
          <w:w w:val="90"/>
          <w:sz w:val="16"/>
        </w:rPr>
        <w:t>Exposure histories are not typically obtained.</w:t>
      </w:r>
    </w:p>
    <w:p>
      <w:pPr>
        <w:spacing w:line="180" w:lineRule="exact" w:before="44"/>
        <w:ind w:left="320" w:right="2157" w:hanging="201"/>
        <w:jc w:val="left"/>
        <w:rPr>
          <w:rFonts w:ascii="Arial" w:hAnsi="Arial"/>
          <w:sz w:val="16"/>
        </w:rPr>
      </w:pPr>
      <w:r>
        <w:rPr/>
        <w:pict>
          <v:rect style="position:absolute;margin-left:462.002014pt;margin-top:109.053703pt;width:18.0pt;height:45.0pt;mso-position-horizontal-relative:page;mso-position-vertical-relative:paragraph;z-index:1336" filled="true" fillcolor="#0079c1" stroked="false">
            <v:fill type="solid"/>
            <w10:wrap type="none"/>
          </v:rect>
        </w:pict>
      </w:r>
      <w:r>
        <w:rPr/>
        <w:pict>
          <v:line style="position:absolute;mso-position-horizontal-relative:page;mso-position-vertical-relative:paragraph;z-index:1360" from="631.350098pt,-313.946289pt" to="631.350098pt,82.053711pt" stroked="true" strokeweight=".5pt" strokecolor="#00a94f">
            <v:stroke dashstyle="solid"/>
            <w10:wrap type="none"/>
          </v:line>
        </w:pict>
      </w:r>
      <w:r>
        <w:rPr/>
        <w:pict>
          <v:shape style="position:absolute;margin-left:686.014282pt;margin-top:-199.466492pt;width:12.9pt;height:283pt;mso-position-horizontal-relative:page;mso-position-vertical-relative:paragraph;z-index:1384" type="#_x0000_t202" filled="false" stroked="false">
            <v:textbox inset="0,0,0,0" style="layout-flow:vertical">
              <w:txbxContent>
                <w:p>
                  <w:pPr>
                    <w:spacing w:before="12"/>
                    <w:ind w:left="20" w:right="0" w:firstLine="0"/>
                    <w:jc w:val="left"/>
                    <w:rPr>
                      <w:rFonts w:ascii="Lucida Sans"/>
                      <w:sz w:val="18"/>
                    </w:rPr>
                  </w:pPr>
                  <w:r>
                    <w:rPr>
                      <w:rFonts w:ascii="Lucida Sans"/>
                      <w:color w:val="FFFFFF"/>
                      <w:spacing w:val="9"/>
                      <w:w w:val="87"/>
                      <w:sz w:val="18"/>
                    </w:rPr>
                    <w:t>201</w:t>
                  </w:r>
                  <w:r>
                    <w:rPr>
                      <w:rFonts w:ascii="Lucida Sans"/>
                      <w:color w:val="FFFFFF"/>
                      <w:w w:val="87"/>
                      <w:sz w:val="18"/>
                    </w:rPr>
                    <w:t>4</w:t>
                  </w:r>
                  <w:r>
                    <w:rPr>
                      <w:rFonts w:ascii="Lucida Sans"/>
                      <w:color w:val="FFFFFF"/>
                      <w:sz w:val="18"/>
                    </w:rPr>
                    <w:t> </w:t>
                  </w:r>
                  <w:r>
                    <w:rPr>
                      <w:rFonts w:ascii="Lucida Sans"/>
                      <w:color w:val="FFFFFF"/>
                      <w:spacing w:val="13"/>
                      <w:sz w:val="18"/>
                    </w:rPr>
                    <w:t> </w:t>
                  </w:r>
                  <w:r>
                    <w:rPr>
                      <w:rFonts w:ascii="Lucida Sans"/>
                      <w:color w:val="FFFFFF"/>
                      <w:w w:val="83"/>
                      <w:sz w:val="18"/>
                    </w:rPr>
                    <w:t>|</w:t>
                  </w:r>
                  <w:r>
                    <w:rPr>
                      <w:rFonts w:ascii="Lucida Sans"/>
                      <w:color w:val="FFFFFF"/>
                      <w:sz w:val="18"/>
                    </w:rPr>
                    <w:t> </w:t>
                  </w:r>
                  <w:r>
                    <w:rPr>
                      <w:rFonts w:ascii="Lucida Sans"/>
                      <w:color w:val="FFFFFF"/>
                      <w:spacing w:val="13"/>
                      <w:sz w:val="18"/>
                    </w:rPr>
                    <w:t> </w:t>
                  </w:r>
                  <w:r>
                    <w:rPr>
                      <w:rFonts w:ascii="Lucida Sans"/>
                      <w:color w:val="FFFFFF"/>
                      <w:spacing w:val="9"/>
                      <w:w w:val="93"/>
                      <w:sz w:val="18"/>
                    </w:rPr>
                    <w:t>Guideline</w:t>
                  </w:r>
                  <w:r>
                    <w:rPr>
                      <w:rFonts w:ascii="Lucida Sans"/>
                      <w:color w:val="FFFFFF"/>
                      <w:w w:val="93"/>
                      <w:sz w:val="18"/>
                    </w:rPr>
                    <w:t>s</w:t>
                  </w:r>
                  <w:r>
                    <w:rPr>
                      <w:rFonts w:ascii="Lucida Sans"/>
                      <w:color w:val="FFFFFF"/>
                      <w:spacing w:val="11"/>
                      <w:sz w:val="18"/>
                    </w:rPr>
                    <w:t> </w:t>
                  </w:r>
                  <w:r>
                    <w:rPr>
                      <w:rFonts w:ascii="Lucida Sans"/>
                      <w:color w:val="FFFFFF"/>
                      <w:spacing w:val="9"/>
                      <w:w w:val="93"/>
                      <w:sz w:val="18"/>
                    </w:rPr>
                    <w:t>fo</w:t>
                  </w:r>
                  <w:r>
                    <w:rPr>
                      <w:rFonts w:ascii="Lucida Sans"/>
                      <w:color w:val="FFFFFF"/>
                      <w:w w:val="93"/>
                      <w:sz w:val="18"/>
                    </w:rPr>
                    <w:t>r</w:t>
                  </w:r>
                  <w:r>
                    <w:rPr>
                      <w:rFonts w:ascii="Lucida Sans"/>
                      <w:color w:val="FFFFFF"/>
                      <w:spacing w:val="11"/>
                      <w:sz w:val="18"/>
                    </w:rPr>
                    <w:t> </w:t>
                  </w:r>
                  <w:r>
                    <w:rPr>
                      <w:rFonts w:ascii="Lucida Sans"/>
                      <w:color w:val="FFFFFF"/>
                      <w:spacing w:val="9"/>
                      <w:w w:val="96"/>
                      <w:sz w:val="18"/>
                    </w:rPr>
                    <w:t>Foodborn</w:t>
                  </w:r>
                  <w:r>
                    <w:rPr>
                      <w:rFonts w:ascii="Lucida Sans"/>
                      <w:color w:val="FFFFFF"/>
                      <w:w w:val="96"/>
                      <w:sz w:val="18"/>
                    </w:rPr>
                    <w:t>e</w:t>
                  </w:r>
                  <w:r>
                    <w:rPr>
                      <w:rFonts w:ascii="Lucida Sans"/>
                      <w:color w:val="FFFFFF"/>
                      <w:spacing w:val="11"/>
                      <w:sz w:val="18"/>
                    </w:rPr>
                    <w:t> </w:t>
                  </w:r>
                  <w:r>
                    <w:rPr>
                      <w:rFonts w:ascii="Lucida Sans"/>
                      <w:color w:val="FFFFFF"/>
                      <w:spacing w:val="9"/>
                      <w:w w:val="93"/>
                      <w:sz w:val="18"/>
                    </w:rPr>
                    <w:t>Diseas</w:t>
                  </w:r>
                  <w:r>
                    <w:rPr>
                      <w:rFonts w:ascii="Lucida Sans"/>
                      <w:color w:val="FFFFFF"/>
                      <w:w w:val="93"/>
                      <w:sz w:val="18"/>
                    </w:rPr>
                    <w:t>e</w:t>
                  </w:r>
                  <w:r>
                    <w:rPr>
                      <w:rFonts w:ascii="Lucida Sans"/>
                      <w:color w:val="FFFFFF"/>
                      <w:spacing w:val="11"/>
                      <w:sz w:val="18"/>
                    </w:rPr>
                    <w:t> </w:t>
                  </w:r>
                  <w:r>
                    <w:rPr>
                      <w:rFonts w:ascii="Lucida Sans"/>
                      <w:color w:val="FFFFFF"/>
                      <w:spacing w:val="9"/>
                      <w:w w:val="97"/>
                      <w:sz w:val="18"/>
                    </w:rPr>
                    <w:t>Outb</w:t>
                  </w:r>
                  <w:r>
                    <w:rPr>
                      <w:rFonts w:ascii="Lucida Sans"/>
                      <w:color w:val="FFFFFF"/>
                      <w:spacing w:val="5"/>
                      <w:w w:val="97"/>
                      <w:sz w:val="18"/>
                    </w:rPr>
                    <w:t>r</w:t>
                  </w:r>
                  <w:r>
                    <w:rPr>
                      <w:rFonts w:ascii="Lucida Sans"/>
                      <w:color w:val="FFFFFF"/>
                      <w:spacing w:val="9"/>
                      <w:w w:val="94"/>
                      <w:sz w:val="18"/>
                    </w:rPr>
                    <w:t>ea</w:t>
                  </w:r>
                  <w:r>
                    <w:rPr>
                      <w:rFonts w:ascii="Lucida Sans"/>
                      <w:color w:val="FFFFFF"/>
                      <w:w w:val="94"/>
                      <w:sz w:val="18"/>
                    </w:rPr>
                    <w:t>k</w:t>
                  </w:r>
                  <w:r>
                    <w:rPr>
                      <w:rFonts w:ascii="Lucida Sans"/>
                      <w:color w:val="FFFFFF"/>
                      <w:spacing w:val="11"/>
                      <w:sz w:val="18"/>
                    </w:rPr>
                    <w:t> </w:t>
                  </w:r>
                  <w:r>
                    <w:rPr>
                      <w:rFonts w:ascii="Lucida Sans"/>
                      <w:color w:val="FFFFFF"/>
                      <w:spacing w:val="9"/>
                      <w:w w:val="94"/>
                      <w:sz w:val="18"/>
                    </w:rPr>
                    <w:t>Response</w:t>
                  </w:r>
                </w:p>
              </w:txbxContent>
            </v:textbox>
            <w10:wrap type="none"/>
          </v:shape>
        </w:pict>
      </w:r>
      <w:r>
        <w:rPr/>
        <w:pict>
          <v:shape style="position:absolute;margin-left:686.014282pt;margin-top:119.500801pt;width:12.9pt;height:14.95pt;mso-position-horizontal-relative:page;mso-position-vertical-relative:paragraph;z-index:1408" type="#_x0000_t202" filled="false" stroked="false">
            <v:textbox inset="0,0,0,0" style="layout-flow:vertical">
              <w:txbxContent>
                <w:p>
                  <w:pPr>
                    <w:spacing w:before="12"/>
                    <w:ind w:left="20" w:right="0" w:firstLine="0"/>
                    <w:jc w:val="left"/>
                    <w:rPr>
                      <w:rFonts w:ascii="Lucida Sans"/>
                      <w:sz w:val="18"/>
                    </w:rPr>
                  </w:pPr>
                  <w:r>
                    <w:rPr>
                      <w:rFonts w:ascii="Lucida Sans"/>
                      <w:color w:val="0079C1"/>
                      <w:spacing w:val="-5"/>
                      <w:w w:val="79"/>
                      <w:sz w:val="18"/>
                    </w:rPr>
                    <w:t>113</w:t>
                  </w:r>
                </w:p>
              </w:txbxContent>
            </v:textbox>
            <w10:wrap type="none"/>
          </v:shape>
        </w:pict>
      </w:r>
      <w:r>
        <w:rPr/>
        <w:pict>
          <v:shape style="position:absolute;margin-left:275.828094pt;margin-top:127.276001pt;width:181.2pt;height:8.5pt;mso-position-horizontal-relative:page;mso-position-vertical-relative:paragraph;z-index:1456;rotation:180" type="#_x0000_t136" fillcolor="#0079c1" stroked="f">
            <o:extrusion v:ext="view" autorotationcenter="t"/>
            <v:textpath style="font-family:&amp;quot;Lucida Sans&amp;quot;;font-size:8pt;v-text-kern:t;mso-text-shadow:auto" string="FOODBORNE DISEASE SURVEILLANCE "/>
            <w10:wrap type="none"/>
          </v:shape>
        </w:pict>
      </w:r>
      <w:r>
        <w:rPr/>
        <w:pict>
          <v:shape style="position:absolute;margin-left:320.733582pt;margin-top:117.276001pt;width:136.3pt;height:8.5pt;mso-position-horizontal-relative:page;mso-position-vertical-relative:paragraph;z-index:1480;rotation:180" type="#_x0000_t136" fillcolor="#0079c1" stroked="f">
            <o:extrusion v:ext="view" autorotationcenter="t"/>
            <v:textpath style="font-family:&amp;quot;Lucida Sans&amp;quot;;font-size:8pt;v-text-kern:t;mso-text-shadow:auto" string="AND  OUTBREAK DETECTION "/>
            <w10:wrap type="none"/>
          </v:shape>
        </w:pict>
      </w:r>
      <w:r>
        <w:rPr/>
        <w:pict>
          <v:shape style="position:absolute;margin-left:467.753357pt;margin-top:120.811516pt;width:6.5pt;height:12pt;mso-position-horizontal-relative:page;mso-position-vertical-relative:paragraph;z-index:1504;rotation:180" type="#_x0000_t136" fillcolor="#ffffff" stroked="f">
            <o:extrusion v:ext="view" autorotationcenter="t"/>
            <v:textpath style="font-family:&amp;quot;Sitka Display&amp;quot;;font-size:12pt;v-text-kern:t;mso-text-shadow:auto;font-weight:bold" string="4"/>
            <w10:wrap type="none"/>
          </v:shape>
        </w:pict>
      </w:r>
      <w:r>
        <w:rPr>
          <w:rFonts w:ascii="Arial" w:hAnsi="Arial"/>
          <w:color w:val="231F20"/>
          <w:w w:val="95"/>
          <w:sz w:val="16"/>
        </w:rPr>
        <w:t>**</w:t>
      </w:r>
      <w:r>
        <w:rPr>
          <w:rFonts w:ascii="Arial" w:hAnsi="Arial"/>
          <w:color w:val="231F20"/>
          <w:spacing w:val="-12"/>
          <w:w w:val="95"/>
          <w:sz w:val="16"/>
        </w:rPr>
        <w:t> </w:t>
      </w:r>
      <w:r>
        <w:rPr>
          <w:rFonts w:ascii="Arial" w:hAnsi="Arial"/>
          <w:color w:val="231F20"/>
          <w:w w:val="95"/>
          <w:sz w:val="16"/>
        </w:rPr>
        <w:t>A</w:t>
      </w:r>
      <w:r>
        <w:rPr>
          <w:rFonts w:ascii="Arial" w:hAnsi="Arial"/>
          <w:color w:val="231F20"/>
          <w:spacing w:val="-28"/>
          <w:w w:val="95"/>
          <w:sz w:val="16"/>
        </w:rPr>
        <w:t> </w:t>
      </w:r>
      <w:r>
        <w:rPr>
          <w:rFonts w:ascii="Arial" w:hAnsi="Arial"/>
          <w:color w:val="231F20"/>
          <w:w w:val="95"/>
          <w:sz w:val="16"/>
        </w:rPr>
        <w:t>high</w:t>
      </w:r>
      <w:r>
        <w:rPr>
          <w:rFonts w:ascii="Arial" w:hAnsi="Arial"/>
          <w:color w:val="231F20"/>
          <w:spacing w:val="-28"/>
          <w:w w:val="95"/>
          <w:sz w:val="16"/>
        </w:rPr>
        <w:t> </w:t>
      </w:r>
      <w:r>
        <w:rPr>
          <w:rFonts w:ascii="Arial" w:hAnsi="Arial"/>
          <w:color w:val="231F20"/>
          <w:w w:val="95"/>
          <w:sz w:val="16"/>
        </w:rPr>
        <w:t>signal-to-noise</w:t>
      </w:r>
      <w:r>
        <w:rPr>
          <w:rFonts w:ascii="Arial" w:hAnsi="Arial"/>
          <w:color w:val="231F20"/>
          <w:spacing w:val="-28"/>
          <w:w w:val="95"/>
          <w:sz w:val="16"/>
        </w:rPr>
        <w:t> </w:t>
      </w:r>
      <w:r>
        <w:rPr>
          <w:rFonts w:ascii="Arial" w:hAnsi="Arial"/>
          <w:color w:val="231F20"/>
          <w:w w:val="95"/>
          <w:sz w:val="16"/>
        </w:rPr>
        <w:t>ratio</w:t>
      </w:r>
      <w:r>
        <w:rPr>
          <w:rFonts w:ascii="Arial" w:hAnsi="Arial"/>
          <w:color w:val="231F20"/>
          <w:spacing w:val="-28"/>
          <w:w w:val="95"/>
          <w:sz w:val="16"/>
        </w:rPr>
        <w:t> </w:t>
      </w:r>
      <w:r>
        <w:rPr>
          <w:rFonts w:ascii="Arial" w:hAnsi="Arial"/>
          <w:color w:val="231F20"/>
          <w:w w:val="95"/>
          <w:sz w:val="16"/>
        </w:rPr>
        <w:t>means</w:t>
      </w:r>
      <w:r>
        <w:rPr>
          <w:rFonts w:ascii="Arial" w:hAnsi="Arial"/>
          <w:color w:val="231F20"/>
          <w:spacing w:val="-28"/>
          <w:w w:val="95"/>
          <w:sz w:val="16"/>
        </w:rPr>
        <w:t> </w:t>
      </w:r>
      <w:r>
        <w:rPr>
          <w:rFonts w:ascii="Arial" w:hAnsi="Arial"/>
          <w:color w:val="231F20"/>
          <w:w w:val="95"/>
          <w:sz w:val="16"/>
        </w:rPr>
        <w:t>that</w:t>
      </w:r>
      <w:r>
        <w:rPr>
          <w:rFonts w:ascii="Arial" w:hAnsi="Arial"/>
          <w:color w:val="231F20"/>
          <w:spacing w:val="-28"/>
          <w:w w:val="95"/>
          <w:sz w:val="16"/>
        </w:rPr>
        <w:t> </w:t>
      </w:r>
      <w:r>
        <w:rPr>
          <w:rFonts w:ascii="Arial" w:hAnsi="Arial"/>
          <w:color w:val="231F20"/>
          <w:w w:val="95"/>
          <w:sz w:val="16"/>
        </w:rPr>
        <w:t>even</w:t>
      </w:r>
      <w:r>
        <w:rPr>
          <w:rFonts w:ascii="Arial" w:hAnsi="Arial"/>
          <w:color w:val="231F20"/>
          <w:spacing w:val="-28"/>
          <w:w w:val="95"/>
          <w:sz w:val="16"/>
        </w:rPr>
        <w:t> </w:t>
      </w:r>
      <w:r>
        <w:rPr>
          <w:rFonts w:ascii="Arial" w:hAnsi="Arial"/>
          <w:color w:val="231F20"/>
          <w:w w:val="95"/>
          <w:sz w:val="16"/>
        </w:rPr>
        <w:t>a</w:t>
      </w:r>
      <w:r>
        <w:rPr>
          <w:rFonts w:ascii="Arial" w:hAnsi="Arial"/>
          <w:color w:val="231F20"/>
          <w:spacing w:val="-28"/>
          <w:w w:val="95"/>
          <w:sz w:val="16"/>
        </w:rPr>
        <w:t> </w:t>
      </w:r>
      <w:r>
        <w:rPr>
          <w:rFonts w:ascii="Arial" w:hAnsi="Arial"/>
          <w:color w:val="231F20"/>
          <w:w w:val="95"/>
          <w:sz w:val="16"/>
        </w:rPr>
        <w:t>small</w:t>
      </w:r>
      <w:r>
        <w:rPr>
          <w:rFonts w:ascii="Arial" w:hAnsi="Arial"/>
          <w:color w:val="231F20"/>
          <w:spacing w:val="-28"/>
          <w:w w:val="95"/>
          <w:sz w:val="16"/>
        </w:rPr>
        <w:t> </w:t>
      </w:r>
      <w:r>
        <w:rPr>
          <w:rFonts w:ascii="Arial" w:hAnsi="Arial"/>
          <w:color w:val="231F20"/>
          <w:w w:val="95"/>
          <w:sz w:val="16"/>
        </w:rPr>
        <w:t>number</w:t>
      </w:r>
      <w:r>
        <w:rPr>
          <w:rFonts w:ascii="Arial" w:hAnsi="Arial"/>
          <w:color w:val="231F20"/>
          <w:spacing w:val="-28"/>
          <w:w w:val="95"/>
          <w:sz w:val="16"/>
        </w:rPr>
        <w:t> </w:t>
      </w:r>
      <w:r>
        <w:rPr>
          <w:rFonts w:ascii="Arial" w:hAnsi="Arial"/>
          <w:color w:val="231F20"/>
          <w:w w:val="95"/>
          <w:sz w:val="16"/>
        </w:rPr>
        <w:t>of</w:t>
      </w:r>
      <w:r>
        <w:rPr>
          <w:rFonts w:ascii="Arial" w:hAnsi="Arial"/>
          <w:color w:val="231F20"/>
          <w:spacing w:val="-28"/>
          <w:w w:val="95"/>
          <w:sz w:val="16"/>
        </w:rPr>
        <w:t> </w:t>
      </w:r>
      <w:r>
        <w:rPr>
          <w:rFonts w:ascii="Arial" w:hAnsi="Arial"/>
          <w:color w:val="231F20"/>
          <w:w w:val="95"/>
          <w:sz w:val="16"/>
        </w:rPr>
        <w:t>cases</w:t>
      </w:r>
      <w:r>
        <w:rPr>
          <w:rFonts w:ascii="Arial" w:hAnsi="Arial"/>
          <w:color w:val="231F20"/>
          <w:spacing w:val="-28"/>
          <w:w w:val="95"/>
          <w:sz w:val="16"/>
        </w:rPr>
        <w:t> </w:t>
      </w:r>
      <w:r>
        <w:rPr>
          <w:rFonts w:ascii="Arial" w:hAnsi="Arial"/>
          <w:color w:val="231F20"/>
          <w:w w:val="95"/>
          <w:sz w:val="16"/>
        </w:rPr>
        <w:t>stand</w:t>
      </w:r>
      <w:r>
        <w:rPr>
          <w:rFonts w:ascii="Arial" w:hAnsi="Arial"/>
          <w:color w:val="231F20"/>
          <w:spacing w:val="-28"/>
          <w:w w:val="95"/>
          <w:sz w:val="16"/>
        </w:rPr>
        <w:t> </w:t>
      </w:r>
      <w:r>
        <w:rPr>
          <w:rFonts w:ascii="Arial" w:hAnsi="Arial"/>
          <w:color w:val="231F20"/>
          <w:w w:val="95"/>
          <w:sz w:val="16"/>
        </w:rPr>
        <w:t>out</w:t>
      </w:r>
      <w:r>
        <w:rPr>
          <w:rFonts w:ascii="Arial" w:hAnsi="Arial"/>
          <w:color w:val="231F20"/>
          <w:spacing w:val="-28"/>
          <w:w w:val="95"/>
          <w:sz w:val="16"/>
        </w:rPr>
        <w:t> </w:t>
      </w:r>
      <w:r>
        <w:rPr>
          <w:rFonts w:ascii="Arial" w:hAnsi="Arial"/>
          <w:color w:val="231F20"/>
          <w:w w:val="95"/>
          <w:sz w:val="16"/>
        </w:rPr>
        <w:t>against a</w:t>
      </w:r>
      <w:r>
        <w:rPr>
          <w:rFonts w:ascii="Arial" w:hAnsi="Arial"/>
          <w:color w:val="231F20"/>
          <w:spacing w:val="-30"/>
          <w:w w:val="95"/>
          <w:sz w:val="16"/>
        </w:rPr>
        <w:t> </w:t>
      </w:r>
      <w:r>
        <w:rPr>
          <w:rFonts w:ascii="Arial" w:hAnsi="Arial"/>
          <w:color w:val="231F20"/>
          <w:w w:val="95"/>
          <w:sz w:val="16"/>
        </w:rPr>
        <w:t>quiet</w:t>
      </w:r>
      <w:r>
        <w:rPr>
          <w:rFonts w:ascii="Arial" w:hAnsi="Arial"/>
          <w:color w:val="231F20"/>
          <w:spacing w:val="-30"/>
          <w:w w:val="95"/>
          <w:sz w:val="16"/>
        </w:rPr>
        <w:t> </w:t>
      </w:r>
      <w:r>
        <w:rPr>
          <w:rFonts w:ascii="Arial" w:hAnsi="Arial"/>
          <w:color w:val="231F20"/>
          <w:w w:val="95"/>
          <w:sz w:val="16"/>
        </w:rPr>
        <w:t>background.</w:t>
      </w:r>
      <w:r>
        <w:rPr>
          <w:rFonts w:ascii="Arial" w:hAnsi="Arial"/>
          <w:color w:val="231F20"/>
          <w:spacing w:val="-30"/>
          <w:w w:val="95"/>
          <w:sz w:val="16"/>
        </w:rPr>
        <w:t> </w:t>
      </w:r>
      <w:r>
        <w:rPr>
          <w:rFonts w:ascii="Arial" w:hAnsi="Arial"/>
          <w:color w:val="231F20"/>
          <w:w w:val="95"/>
          <w:sz w:val="16"/>
        </w:rPr>
        <w:t>A</w:t>
      </w:r>
      <w:r>
        <w:rPr>
          <w:rFonts w:ascii="Arial" w:hAnsi="Arial"/>
          <w:color w:val="231F20"/>
          <w:spacing w:val="-30"/>
          <w:w w:val="95"/>
          <w:sz w:val="16"/>
        </w:rPr>
        <w:t> </w:t>
      </w:r>
      <w:r>
        <w:rPr>
          <w:rFonts w:ascii="Arial" w:hAnsi="Arial"/>
          <w:color w:val="231F20"/>
          <w:w w:val="95"/>
          <w:sz w:val="16"/>
        </w:rPr>
        <w:t>low</w:t>
      </w:r>
      <w:r>
        <w:rPr>
          <w:rFonts w:ascii="Arial" w:hAnsi="Arial"/>
          <w:color w:val="231F20"/>
          <w:spacing w:val="-30"/>
          <w:w w:val="95"/>
          <w:sz w:val="16"/>
        </w:rPr>
        <w:t> </w:t>
      </w:r>
      <w:r>
        <w:rPr>
          <w:rFonts w:ascii="Arial" w:hAnsi="Arial"/>
          <w:color w:val="231F20"/>
          <w:w w:val="95"/>
          <w:sz w:val="16"/>
        </w:rPr>
        <w:t>ratio</w:t>
      </w:r>
      <w:r>
        <w:rPr>
          <w:rFonts w:ascii="Arial" w:hAnsi="Arial"/>
          <w:color w:val="231F20"/>
          <w:spacing w:val="-30"/>
          <w:w w:val="95"/>
          <w:sz w:val="16"/>
        </w:rPr>
        <w:t> </w:t>
      </w:r>
      <w:r>
        <w:rPr>
          <w:rFonts w:ascii="Arial" w:hAnsi="Arial"/>
          <w:color w:val="231F20"/>
          <w:w w:val="95"/>
          <w:sz w:val="16"/>
        </w:rPr>
        <w:t>means</w:t>
      </w:r>
      <w:r>
        <w:rPr>
          <w:rFonts w:ascii="Arial" w:hAnsi="Arial"/>
          <w:color w:val="231F20"/>
          <w:spacing w:val="-30"/>
          <w:w w:val="95"/>
          <w:sz w:val="16"/>
        </w:rPr>
        <w:t> </w:t>
      </w:r>
      <w:r>
        <w:rPr>
          <w:rFonts w:ascii="Arial" w:hAnsi="Arial"/>
          <w:color w:val="231F20"/>
          <w:w w:val="95"/>
          <w:sz w:val="16"/>
        </w:rPr>
        <w:t>a</w:t>
      </w:r>
      <w:r>
        <w:rPr>
          <w:rFonts w:ascii="Arial" w:hAnsi="Arial"/>
          <w:color w:val="231F20"/>
          <w:spacing w:val="-30"/>
          <w:w w:val="95"/>
          <w:sz w:val="16"/>
        </w:rPr>
        <w:t> </w:t>
      </w:r>
      <w:r>
        <w:rPr>
          <w:rFonts w:ascii="Arial" w:hAnsi="Arial"/>
          <w:color w:val="231F20"/>
          <w:w w:val="95"/>
          <w:sz w:val="16"/>
        </w:rPr>
        <w:t>cluster</w:t>
      </w:r>
      <w:r>
        <w:rPr>
          <w:rFonts w:ascii="Arial" w:hAnsi="Arial"/>
          <w:color w:val="231F20"/>
          <w:spacing w:val="-30"/>
          <w:w w:val="95"/>
          <w:sz w:val="16"/>
        </w:rPr>
        <w:t> </w:t>
      </w:r>
      <w:r>
        <w:rPr>
          <w:rFonts w:ascii="Arial" w:hAnsi="Arial"/>
          <w:color w:val="231F20"/>
          <w:w w:val="95"/>
          <w:sz w:val="16"/>
        </w:rPr>
        <w:t>of</w:t>
      </w:r>
      <w:r>
        <w:rPr>
          <w:rFonts w:ascii="Arial" w:hAnsi="Arial"/>
          <w:color w:val="231F20"/>
          <w:spacing w:val="-30"/>
          <w:w w:val="95"/>
          <w:sz w:val="16"/>
        </w:rPr>
        <w:t> </w:t>
      </w:r>
      <w:r>
        <w:rPr>
          <w:rFonts w:ascii="Arial" w:hAnsi="Arial"/>
          <w:color w:val="231F20"/>
          <w:w w:val="95"/>
          <w:sz w:val="16"/>
        </w:rPr>
        <w:t>cases</w:t>
      </w:r>
      <w:r>
        <w:rPr>
          <w:rFonts w:ascii="Arial" w:hAnsi="Arial"/>
          <w:color w:val="231F20"/>
          <w:spacing w:val="-30"/>
          <w:w w:val="95"/>
          <w:sz w:val="16"/>
        </w:rPr>
        <w:t> </w:t>
      </w:r>
      <w:r>
        <w:rPr>
          <w:rFonts w:ascii="Arial" w:hAnsi="Arial"/>
          <w:color w:val="231F20"/>
          <w:w w:val="95"/>
          <w:sz w:val="16"/>
        </w:rPr>
        <w:t>or</w:t>
      </w:r>
      <w:r>
        <w:rPr>
          <w:rFonts w:ascii="Arial" w:hAnsi="Arial"/>
          <w:color w:val="231F20"/>
          <w:spacing w:val="-30"/>
          <w:w w:val="95"/>
          <w:sz w:val="16"/>
        </w:rPr>
        <w:t> </w:t>
      </w:r>
      <w:r>
        <w:rPr>
          <w:rFonts w:ascii="Arial" w:hAnsi="Arial"/>
          <w:color w:val="231F20"/>
          <w:w w:val="95"/>
          <w:sz w:val="16"/>
        </w:rPr>
        <w:t>events</w:t>
      </w:r>
      <w:r>
        <w:rPr>
          <w:rFonts w:ascii="Arial" w:hAnsi="Arial"/>
          <w:color w:val="231F20"/>
          <w:spacing w:val="-30"/>
          <w:w w:val="95"/>
          <w:sz w:val="16"/>
        </w:rPr>
        <w:t> </w:t>
      </w:r>
      <w:r>
        <w:rPr>
          <w:rFonts w:ascii="Arial" w:hAnsi="Arial"/>
          <w:color w:val="231F20"/>
          <w:w w:val="95"/>
          <w:sz w:val="16"/>
        </w:rPr>
        <w:t>is</w:t>
      </w:r>
      <w:r>
        <w:rPr>
          <w:rFonts w:ascii="Arial" w:hAnsi="Arial"/>
          <w:color w:val="231F20"/>
          <w:spacing w:val="-30"/>
          <w:w w:val="95"/>
          <w:sz w:val="16"/>
        </w:rPr>
        <w:t> </w:t>
      </w:r>
      <w:r>
        <w:rPr>
          <w:rFonts w:ascii="Arial" w:hAnsi="Arial"/>
          <w:color w:val="231F20"/>
          <w:w w:val="95"/>
          <w:sz w:val="16"/>
        </w:rPr>
        <w:t>difficult</w:t>
      </w:r>
      <w:r>
        <w:rPr>
          <w:rFonts w:ascii="Arial" w:hAnsi="Arial"/>
          <w:color w:val="231F20"/>
          <w:spacing w:val="-30"/>
          <w:w w:val="95"/>
          <w:sz w:val="16"/>
        </w:rPr>
        <w:t> </w:t>
      </w:r>
      <w:r>
        <w:rPr>
          <w:rFonts w:ascii="Arial" w:hAnsi="Arial"/>
          <w:color w:val="231F20"/>
          <w:w w:val="95"/>
          <w:sz w:val="16"/>
        </w:rPr>
        <w:t>to</w:t>
      </w:r>
      <w:r>
        <w:rPr>
          <w:rFonts w:ascii="Arial" w:hAnsi="Arial"/>
          <w:color w:val="231F20"/>
          <w:spacing w:val="-30"/>
          <w:w w:val="95"/>
          <w:sz w:val="16"/>
        </w:rPr>
        <w:t> </w:t>
      </w:r>
      <w:r>
        <w:rPr>
          <w:rFonts w:ascii="Arial" w:hAnsi="Arial"/>
          <w:color w:val="231F20"/>
          <w:w w:val="95"/>
          <w:sz w:val="16"/>
        </w:rPr>
        <w:t>perceive </w:t>
      </w:r>
      <w:r>
        <w:rPr>
          <w:rFonts w:ascii="Arial" w:hAnsi="Arial"/>
          <w:color w:val="231F20"/>
          <w:w w:val="90"/>
          <w:sz w:val="16"/>
        </w:rPr>
        <w:t>because</w:t>
      </w:r>
      <w:r>
        <w:rPr>
          <w:rFonts w:ascii="Arial" w:hAnsi="Arial"/>
          <w:color w:val="231F20"/>
          <w:spacing w:val="-14"/>
          <w:w w:val="90"/>
          <w:sz w:val="16"/>
        </w:rPr>
        <w:t> </w:t>
      </w:r>
      <w:r>
        <w:rPr>
          <w:rFonts w:ascii="Arial" w:hAnsi="Arial"/>
          <w:color w:val="231F20"/>
          <w:w w:val="90"/>
          <w:sz w:val="16"/>
        </w:rPr>
        <w:t>it</w:t>
      </w:r>
      <w:r>
        <w:rPr>
          <w:rFonts w:ascii="Arial" w:hAnsi="Arial"/>
          <w:color w:val="231F20"/>
          <w:spacing w:val="-14"/>
          <w:w w:val="90"/>
          <w:sz w:val="16"/>
        </w:rPr>
        <w:t> </w:t>
      </w:r>
      <w:r>
        <w:rPr>
          <w:rFonts w:ascii="Arial" w:hAnsi="Arial"/>
          <w:color w:val="231F20"/>
          <w:w w:val="90"/>
          <w:sz w:val="16"/>
        </w:rPr>
        <w:t>is</w:t>
      </w:r>
      <w:r>
        <w:rPr>
          <w:rFonts w:ascii="Arial" w:hAnsi="Arial"/>
          <w:color w:val="231F20"/>
          <w:spacing w:val="-14"/>
          <w:w w:val="90"/>
          <w:sz w:val="16"/>
        </w:rPr>
        <w:t> </w:t>
      </w:r>
      <w:r>
        <w:rPr>
          <w:rFonts w:ascii="Arial" w:hAnsi="Arial"/>
          <w:color w:val="231F20"/>
          <w:w w:val="90"/>
          <w:sz w:val="16"/>
        </w:rPr>
        <w:t>lost</w:t>
      </w:r>
      <w:r>
        <w:rPr>
          <w:rFonts w:ascii="Arial" w:hAnsi="Arial"/>
          <w:color w:val="231F20"/>
          <w:spacing w:val="-14"/>
          <w:w w:val="90"/>
          <w:sz w:val="16"/>
        </w:rPr>
        <w:t> </w:t>
      </w:r>
      <w:r>
        <w:rPr>
          <w:rFonts w:ascii="Arial" w:hAnsi="Arial"/>
          <w:color w:val="231F20"/>
          <w:w w:val="90"/>
          <w:sz w:val="16"/>
        </w:rPr>
        <w:t>in</w:t>
      </w:r>
      <w:r>
        <w:rPr>
          <w:rFonts w:ascii="Arial" w:hAnsi="Arial"/>
          <w:color w:val="231F20"/>
          <w:spacing w:val="-14"/>
          <w:w w:val="90"/>
          <w:sz w:val="16"/>
        </w:rPr>
        <w:t> </w:t>
      </w:r>
      <w:r>
        <w:rPr>
          <w:rFonts w:ascii="Arial" w:hAnsi="Arial"/>
          <w:color w:val="231F20"/>
          <w:w w:val="90"/>
          <w:sz w:val="16"/>
        </w:rPr>
        <w:t>the</w:t>
      </w:r>
      <w:r>
        <w:rPr>
          <w:rFonts w:ascii="Arial" w:hAnsi="Arial"/>
          <w:color w:val="231F20"/>
          <w:spacing w:val="-14"/>
          <w:w w:val="90"/>
          <w:sz w:val="16"/>
        </w:rPr>
        <w:t> </w:t>
      </w:r>
      <w:r>
        <w:rPr>
          <w:rFonts w:ascii="Arial" w:hAnsi="Arial"/>
          <w:color w:val="231F20"/>
          <w:w w:val="90"/>
          <w:sz w:val="16"/>
        </w:rPr>
        <w:t>many</w:t>
      </w:r>
      <w:r>
        <w:rPr>
          <w:rFonts w:ascii="Arial" w:hAnsi="Arial"/>
          <w:color w:val="231F20"/>
          <w:spacing w:val="-14"/>
          <w:w w:val="90"/>
          <w:sz w:val="16"/>
        </w:rPr>
        <w:t> </w:t>
      </w:r>
      <w:r>
        <w:rPr>
          <w:rFonts w:ascii="Arial" w:hAnsi="Arial"/>
          <w:color w:val="231F20"/>
          <w:w w:val="90"/>
          <w:sz w:val="16"/>
        </w:rPr>
        <w:t>other</w:t>
      </w:r>
      <w:r>
        <w:rPr>
          <w:rFonts w:ascii="Arial" w:hAnsi="Arial"/>
          <w:color w:val="231F20"/>
          <w:spacing w:val="-14"/>
          <w:w w:val="90"/>
          <w:sz w:val="16"/>
        </w:rPr>
        <w:t> </w:t>
      </w:r>
      <w:r>
        <w:rPr>
          <w:rFonts w:ascii="Arial" w:hAnsi="Arial"/>
          <w:color w:val="231F20"/>
          <w:w w:val="90"/>
          <w:sz w:val="16"/>
        </w:rPr>
        <w:t>similar</w:t>
      </w:r>
      <w:r>
        <w:rPr>
          <w:rFonts w:ascii="Arial" w:hAnsi="Arial"/>
          <w:color w:val="231F20"/>
          <w:spacing w:val="-14"/>
          <w:w w:val="90"/>
          <w:sz w:val="16"/>
        </w:rPr>
        <w:t> </w:t>
      </w:r>
      <w:r>
        <w:rPr>
          <w:rFonts w:ascii="Arial" w:hAnsi="Arial"/>
          <w:color w:val="231F20"/>
          <w:w w:val="90"/>
          <w:sz w:val="16"/>
        </w:rPr>
        <w:t>cases</w:t>
      </w:r>
      <w:r>
        <w:rPr>
          <w:rFonts w:ascii="Arial" w:hAnsi="Arial"/>
          <w:color w:val="231F20"/>
          <w:spacing w:val="-14"/>
          <w:w w:val="90"/>
          <w:sz w:val="16"/>
        </w:rPr>
        <w:t> </w:t>
      </w:r>
      <w:r>
        <w:rPr>
          <w:rFonts w:ascii="Arial" w:hAnsi="Arial"/>
          <w:color w:val="231F20"/>
          <w:w w:val="90"/>
          <w:sz w:val="16"/>
        </w:rPr>
        <w:t>or</w:t>
      </w:r>
      <w:r>
        <w:rPr>
          <w:rFonts w:ascii="Arial" w:hAnsi="Arial"/>
          <w:color w:val="231F20"/>
          <w:spacing w:val="-14"/>
          <w:w w:val="90"/>
          <w:sz w:val="16"/>
        </w:rPr>
        <w:t> </w:t>
      </w:r>
      <w:r>
        <w:rPr>
          <w:rFonts w:ascii="Arial" w:hAnsi="Arial"/>
          <w:color w:val="231F20"/>
          <w:w w:val="90"/>
          <w:sz w:val="16"/>
        </w:rPr>
        <w:t>events</w:t>
      </w:r>
      <w:r>
        <w:rPr>
          <w:rFonts w:ascii="Arial" w:hAnsi="Arial"/>
          <w:color w:val="231F20"/>
          <w:spacing w:val="-14"/>
          <w:w w:val="90"/>
          <w:sz w:val="16"/>
        </w:rPr>
        <w:t> </w:t>
      </w:r>
      <w:r>
        <w:rPr>
          <w:rFonts w:ascii="Arial" w:hAnsi="Arial"/>
          <w:color w:val="231F20"/>
          <w:w w:val="90"/>
          <w:sz w:val="16"/>
        </w:rPr>
        <w:t>happening</w:t>
      </w:r>
      <w:r>
        <w:rPr>
          <w:rFonts w:ascii="Arial" w:hAnsi="Arial"/>
          <w:color w:val="231F20"/>
          <w:spacing w:val="-14"/>
          <w:w w:val="90"/>
          <w:sz w:val="16"/>
        </w:rPr>
        <w:t> </w:t>
      </w:r>
      <w:r>
        <w:rPr>
          <w:rFonts w:ascii="Arial" w:hAnsi="Arial"/>
          <w:color w:val="231F20"/>
          <w:w w:val="90"/>
          <w:sz w:val="16"/>
        </w:rPr>
        <w:t>simultaneously— similar</w:t>
      </w:r>
      <w:r>
        <w:rPr>
          <w:rFonts w:ascii="Arial" w:hAnsi="Arial"/>
          <w:color w:val="231F20"/>
          <w:spacing w:val="-12"/>
          <w:w w:val="90"/>
          <w:sz w:val="16"/>
        </w:rPr>
        <w:t> </w:t>
      </w:r>
      <w:r>
        <w:rPr>
          <w:rFonts w:ascii="Arial" w:hAnsi="Arial"/>
          <w:color w:val="231F20"/>
          <w:w w:val="90"/>
          <w:sz w:val="16"/>
        </w:rPr>
        <w:t>to</w:t>
      </w:r>
      <w:r>
        <w:rPr>
          <w:rFonts w:ascii="Arial" w:hAnsi="Arial"/>
          <w:color w:val="231F20"/>
          <w:spacing w:val="-12"/>
          <w:w w:val="90"/>
          <w:sz w:val="16"/>
        </w:rPr>
        <w:t> </w:t>
      </w:r>
      <w:r>
        <w:rPr>
          <w:rFonts w:ascii="Arial" w:hAnsi="Arial"/>
          <w:color w:val="231F20"/>
          <w:w w:val="90"/>
          <w:sz w:val="16"/>
        </w:rPr>
        <w:t>a</w:t>
      </w:r>
      <w:r>
        <w:rPr>
          <w:rFonts w:ascii="Arial" w:hAnsi="Arial"/>
          <w:color w:val="231F20"/>
          <w:spacing w:val="-12"/>
          <w:w w:val="90"/>
          <w:sz w:val="16"/>
        </w:rPr>
        <w:t> </w:t>
      </w:r>
      <w:r>
        <w:rPr>
          <w:rFonts w:ascii="Arial" w:hAnsi="Arial"/>
          <w:color w:val="231F20"/>
          <w:w w:val="90"/>
          <w:sz w:val="16"/>
        </w:rPr>
        <w:t>weak</w:t>
      </w:r>
      <w:r>
        <w:rPr>
          <w:rFonts w:ascii="Arial" w:hAnsi="Arial"/>
          <w:color w:val="231F20"/>
          <w:spacing w:val="-12"/>
          <w:w w:val="90"/>
          <w:sz w:val="16"/>
        </w:rPr>
        <w:t> </w:t>
      </w:r>
      <w:r>
        <w:rPr>
          <w:rFonts w:ascii="Arial" w:hAnsi="Arial"/>
          <w:color w:val="231F20"/>
          <w:w w:val="90"/>
          <w:sz w:val="16"/>
        </w:rPr>
        <w:t>radio</w:t>
      </w:r>
      <w:r>
        <w:rPr>
          <w:rFonts w:ascii="Arial" w:hAnsi="Arial"/>
          <w:color w:val="231F20"/>
          <w:spacing w:val="-12"/>
          <w:w w:val="90"/>
          <w:sz w:val="16"/>
        </w:rPr>
        <w:t> </w:t>
      </w:r>
      <w:r>
        <w:rPr>
          <w:rFonts w:ascii="Arial" w:hAnsi="Arial"/>
          <w:color w:val="231F20"/>
          <w:w w:val="90"/>
          <w:sz w:val="16"/>
        </w:rPr>
        <w:t>signal</w:t>
      </w:r>
      <w:r>
        <w:rPr>
          <w:rFonts w:ascii="Arial" w:hAnsi="Arial"/>
          <w:color w:val="231F20"/>
          <w:spacing w:val="-12"/>
          <w:w w:val="90"/>
          <w:sz w:val="16"/>
        </w:rPr>
        <w:t> </w:t>
      </w:r>
      <w:r>
        <w:rPr>
          <w:rFonts w:ascii="Arial" w:hAnsi="Arial"/>
          <w:color w:val="231F20"/>
          <w:w w:val="90"/>
          <w:sz w:val="16"/>
        </w:rPr>
        <w:t>lost</w:t>
      </w:r>
      <w:r>
        <w:rPr>
          <w:rFonts w:ascii="Arial" w:hAnsi="Arial"/>
          <w:color w:val="231F20"/>
          <w:spacing w:val="-12"/>
          <w:w w:val="90"/>
          <w:sz w:val="16"/>
        </w:rPr>
        <w:t> </w:t>
      </w:r>
      <w:r>
        <w:rPr>
          <w:rFonts w:ascii="Arial" w:hAnsi="Arial"/>
          <w:color w:val="231F20"/>
          <w:w w:val="90"/>
          <w:sz w:val="16"/>
        </w:rPr>
        <w:t>in</w:t>
      </w:r>
      <w:r>
        <w:rPr>
          <w:rFonts w:ascii="Arial" w:hAnsi="Arial"/>
          <w:color w:val="231F20"/>
          <w:spacing w:val="-12"/>
          <w:w w:val="90"/>
          <w:sz w:val="16"/>
        </w:rPr>
        <w:t> </w:t>
      </w:r>
      <w:r>
        <w:rPr>
          <w:rFonts w:ascii="Arial" w:hAnsi="Arial"/>
          <w:color w:val="231F20"/>
          <w:w w:val="90"/>
          <w:sz w:val="16"/>
        </w:rPr>
        <w:t>static</w:t>
      </w:r>
      <w:r>
        <w:rPr>
          <w:rFonts w:ascii="Arial" w:hAnsi="Arial"/>
          <w:color w:val="231F20"/>
          <w:spacing w:val="-12"/>
          <w:w w:val="90"/>
          <w:sz w:val="16"/>
        </w:rPr>
        <w:t> </w:t>
      </w:r>
      <w:r>
        <w:rPr>
          <w:rFonts w:ascii="Arial" w:hAnsi="Arial"/>
          <w:color w:val="231F20"/>
          <w:w w:val="90"/>
          <w:sz w:val="16"/>
        </w:rPr>
        <w:t>noise.</w:t>
      </w:r>
      <w:r>
        <w:rPr>
          <w:rFonts w:ascii="Arial" w:hAnsi="Arial"/>
          <w:color w:val="231F20"/>
          <w:spacing w:val="-12"/>
          <w:w w:val="90"/>
          <w:sz w:val="16"/>
        </w:rPr>
        <w:t> </w:t>
      </w:r>
      <w:r>
        <w:rPr>
          <w:rFonts w:ascii="Arial" w:hAnsi="Arial"/>
          <w:color w:val="231F20"/>
          <w:w w:val="90"/>
          <w:sz w:val="16"/>
        </w:rPr>
        <w:t>The</w:t>
      </w:r>
      <w:r>
        <w:rPr>
          <w:rFonts w:ascii="Arial" w:hAnsi="Arial"/>
          <w:color w:val="231F20"/>
          <w:spacing w:val="-12"/>
          <w:w w:val="90"/>
          <w:sz w:val="16"/>
        </w:rPr>
        <w:t> </w:t>
      </w:r>
      <w:r>
        <w:rPr>
          <w:rFonts w:ascii="Arial" w:hAnsi="Arial"/>
          <w:color w:val="231F20"/>
          <w:w w:val="90"/>
          <w:sz w:val="16"/>
        </w:rPr>
        <w:t>signal-to-noise</w:t>
      </w:r>
      <w:r>
        <w:rPr>
          <w:rFonts w:ascii="Arial" w:hAnsi="Arial"/>
          <w:color w:val="231F20"/>
          <w:spacing w:val="-12"/>
          <w:w w:val="90"/>
          <w:sz w:val="16"/>
        </w:rPr>
        <w:t> </w:t>
      </w:r>
      <w:r>
        <w:rPr>
          <w:rFonts w:ascii="Arial" w:hAnsi="Arial"/>
          <w:color w:val="231F20"/>
          <w:w w:val="90"/>
          <w:sz w:val="16"/>
        </w:rPr>
        <w:t>ratio</w:t>
      </w:r>
      <w:r>
        <w:rPr>
          <w:rFonts w:ascii="Arial" w:hAnsi="Arial"/>
          <w:color w:val="231F20"/>
          <w:spacing w:val="-12"/>
          <w:w w:val="90"/>
          <w:sz w:val="16"/>
        </w:rPr>
        <w:t> </w:t>
      </w:r>
      <w:r>
        <w:rPr>
          <w:rFonts w:ascii="Arial" w:hAnsi="Arial"/>
          <w:color w:val="231F20"/>
          <w:w w:val="90"/>
          <w:sz w:val="16"/>
        </w:rPr>
        <w:t>for</w:t>
      </w:r>
      <w:r>
        <w:rPr>
          <w:rFonts w:ascii="Arial" w:hAnsi="Arial"/>
          <w:color w:val="231F20"/>
          <w:spacing w:val="-12"/>
          <w:w w:val="90"/>
          <w:sz w:val="16"/>
        </w:rPr>
        <w:t> </w:t>
      </w:r>
      <w:r>
        <w:rPr>
          <w:rFonts w:ascii="Arial" w:hAnsi="Arial"/>
          <w:color w:val="231F20"/>
          <w:w w:val="90"/>
          <w:sz w:val="16"/>
        </w:rPr>
        <w:t>syndromic surveillance</w:t>
      </w:r>
      <w:r>
        <w:rPr>
          <w:rFonts w:ascii="Arial" w:hAnsi="Arial"/>
          <w:color w:val="231F20"/>
          <w:spacing w:val="-15"/>
          <w:w w:val="90"/>
          <w:sz w:val="16"/>
        </w:rPr>
        <w:t> </w:t>
      </w:r>
      <w:r>
        <w:rPr>
          <w:rFonts w:ascii="Arial" w:hAnsi="Arial"/>
          <w:color w:val="231F20"/>
          <w:w w:val="90"/>
          <w:sz w:val="16"/>
        </w:rPr>
        <w:t>is</w:t>
      </w:r>
      <w:r>
        <w:rPr>
          <w:rFonts w:ascii="Arial" w:hAnsi="Arial"/>
          <w:color w:val="231F20"/>
          <w:spacing w:val="-15"/>
          <w:w w:val="90"/>
          <w:sz w:val="16"/>
        </w:rPr>
        <w:t> </w:t>
      </w:r>
      <w:r>
        <w:rPr>
          <w:rFonts w:ascii="Arial" w:hAnsi="Arial"/>
          <w:color w:val="231F20"/>
          <w:w w:val="90"/>
          <w:sz w:val="16"/>
        </w:rPr>
        <w:t>lowest</w:t>
      </w:r>
      <w:r>
        <w:rPr>
          <w:rFonts w:ascii="Arial" w:hAnsi="Arial"/>
          <w:color w:val="231F20"/>
          <w:spacing w:val="-15"/>
          <w:w w:val="90"/>
          <w:sz w:val="16"/>
        </w:rPr>
        <w:t> </w:t>
      </w:r>
      <w:r>
        <w:rPr>
          <w:rFonts w:ascii="Arial" w:hAnsi="Arial"/>
          <w:color w:val="231F20"/>
          <w:w w:val="90"/>
          <w:sz w:val="16"/>
        </w:rPr>
        <w:t>for</w:t>
      </w:r>
      <w:r>
        <w:rPr>
          <w:rFonts w:ascii="Arial" w:hAnsi="Arial"/>
          <w:color w:val="231F20"/>
          <w:spacing w:val="-15"/>
          <w:w w:val="90"/>
          <w:sz w:val="16"/>
        </w:rPr>
        <w:t> </w:t>
      </w:r>
      <w:r>
        <w:rPr>
          <w:rFonts w:ascii="Arial" w:hAnsi="Arial"/>
          <w:color w:val="231F20"/>
          <w:w w:val="90"/>
          <w:sz w:val="16"/>
        </w:rPr>
        <w:t>nonspecific</w:t>
      </w:r>
      <w:r>
        <w:rPr>
          <w:rFonts w:ascii="Arial" w:hAnsi="Arial"/>
          <w:color w:val="231F20"/>
          <w:spacing w:val="-15"/>
          <w:w w:val="90"/>
          <w:sz w:val="16"/>
        </w:rPr>
        <w:t> </w:t>
      </w:r>
      <w:r>
        <w:rPr>
          <w:rFonts w:ascii="Arial" w:hAnsi="Arial"/>
          <w:color w:val="231F20"/>
          <w:w w:val="90"/>
          <w:sz w:val="16"/>
        </w:rPr>
        <w:t>health</w:t>
      </w:r>
      <w:r>
        <w:rPr>
          <w:rFonts w:ascii="Arial" w:hAnsi="Arial"/>
          <w:color w:val="231F20"/>
          <w:spacing w:val="-15"/>
          <w:w w:val="90"/>
          <w:sz w:val="16"/>
        </w:rPr>
        <w:t> </w:t>
      </w:r>
      <w:r>
        <w:rPr>
          <w:rFonts w:ascii="Arial" w:hAnsi="Arial"/>
          <w:color w:val="231F20"/>
          <w:w w:val="90"/>
          <w:sz w:val="16"/>
        </w:rPr>
        <w:t>indicators,</w:t>
      </w:r>
      <w:r>
        <w:rPr>
          <w:rFonts w:ascii="Arial" w:hAnsi="Arial"/>
          <w:color w:val="231F20"/>
          <w:spacing w:val="-15"/>
          <w:w w:val="90"/>
          <w:sz w:val="16"/>
        </w:rPr>
        <w:t> </w:t>
      </w:r>
      <w:r>
        <w:rPr>
          <w:rFonts w:ascii="Arial" w:hAnsi="Arial"/>
          <w:color w:val="231F20"/>
          <w:w w:val="90"/>
          <w:sz w:val="16"/>
        </w:rPr>
        <w:t>such</w:t>
      </w:r>
      <w:r>
        <w:rPr>
          <w:rFonts w:ascii="Arial" w:hAnsi="Arial"/>
          <w:color w:val="231F20"/>
          <w:spacing w:val="-15"/>
          <w:w w:val="90"/>
          <w:sz w:val="16"/>
        </w:rPr>
        <w:t> </w:t>
      </w:r>
      <w:r>
        <w:rPr>
          <w:rFonts w:ascii="Arial" w:hAnsi="Arial"/>
          <w:color w:val="231F20"/>
          <w:w w:val="90"/>
          <w:sz w:val="16"/>
        </w:rPr>
        <w:t>as</w:t>
      </w:r>
      <w:r>
        <w:rPr>
          <w:rFonts w:ascii="Arial" w:hAnsi="Arial"/>
          <w:color w:val="231F20"/>
          <w:spacing w:val="-15"/>
          <w:w w:val="90"/>
          <w:sz w:val="16"/>
        </w:rPr>
        <w:t> </w:t>
      </w:r>
      <w:r>
        <w:rPr>
          <w:rFonts w:ascii="Arial" w:hAnsi="Arial"/>
          <w:color w:val="231F20"/>
          <w:w w:val="90"/>
          <w:sz w:val="16"/>
        </w:rPr>
        <w:t>loperamide</w:t>
      </w:r>
      <w:r>
        <w:rPr>
          <w:rFonts w:ascii="Arial" w:hAnsi="Arial"/>
          <w:color w:val="231F20"/>
          <w:spacing w:val="-15"/>
          <w:w w:val="90"/>
          <w:sz w:val="16"/>
        </w:rPr>
        <w:t> </w:t>
      </w:r>
      <w:r>
        <w:rPr>
          <w:rFonts w:ascii="Arial" w:hAnsi="Arial"/>
          <w:color w:val="231F20"/>
          <w:w w:val="90"/>
          <w:sz w:val="16"/>
        </w:rPr>
        <w:t>use</w:t>
      </w:r>
      <w:r>
        <w:rPr>
          <w:rFonts w:ascii="Arial" w:hAnsi="Arial"/>
          <w:color w:val="231F20"/>
          <w:spacing w:val="-15"/>
          <w:w w:val="90"/>
          <w:sz w:val="16"/>
        </w:rPr>
        <w:t> </w:t>
      </w:r>
      <w:r>
        <w:rPr>
          <w:rFonts w:ascii="Arial" w:hAnsi="Arial"/>
          <w:color w:val="231F20"/>
          <w:w w:val="90"/>
          <w:sz w:val="16"/>
        </w:rPr>
        <w:t>or</w:t>
      </w:r>
      <w:r>
        <w:rPr>
          <w:rFonts w:ascii="Arial" w:hAnsi="Arial"/>
          <w:color w:val="231F20"/>
          <w:spacing w:val="-15"/>
          <w:w w:val="90"/>
          <w:sz w:val="16"/>
        </w:rPr>
        <w:t> </w:t>
      </w:r>
      <w:r>
        <w:rPr>
          <w:rFonts w:ascii="Arial" w:hAnsi="Arial"/>
          <w:color w:val="231F20"/>
          <w:w w:val="90"/>
          <w:sz w:val="16"/>
        </w:rPr>
        <w:t>visits </w:t>
      </w:r>
      <w:r>
        <w:rPr>
          <w:rFonts w:ascii="Arial" w:hAnsi="Arial"/>
          <w:color w:val="231F20"/>
          <w:w w:val="95"/>
          <w:sz w:val="16"/>
        </w:rPr>
        <w:t>to</w:t>
      </w:r>
      <w:r>
        <w:rPr>
          <w:rFonts w:ascii="Arial" w:hAnsi="Arial"/>
          <w:color w:val="231F20"/>
          <w:spacing w:val="-29"/>
          <w:w w:val="95"/>
          <w:sz w:val="16"/>
        </w:rPr>
        <w:t> </w:t>
      </w:r>
      <w:r>
        <w:rPr>
          <w:rFonts w:ascii="Arial" w:hAnsi="Arial"/>
          <w:color w:val="231F20"/>
          <w:w w:val="95"/>
          <w:sz w:val="16"/>
        </w:rPr>
        <w:t>the</w:t>
      </w:r>
      <w:r>
        <w:rPr>
          <w:rFonts w:ascii="Arial" w:hAnsi="Arial"/>
          <w:color w:val="231F20"/>
          <w:spacing w:val="-29"/>
          <w:w w:val="95"/>
          <w:sz w:val="16"/>
        </w:rPr>
        <w:t> </w:t>
      </w:r>
      <w:r>
        <w:rPr>
          <w:rFonts w:ascii="Arial" w:hAnsi="Arial"/>
          <w:color w:val="231F20"/>
          <w:w w:val="95"/>
          <w:sz w:val="16"/>
        </w:rPr>
        <w:t>emergency</w:t>
      </w:r>
      <w:r>
        <w:rPr>
          <w:rFonts w:ascii="Arial" w:hAnsi="Arial"/>
          <w:color w:val="231F20"/>
          <w:spacing w:val="-29"/>
          <w:w w:val="95"/>
          <w:sz w:val="16"/>
        </w:rPr>
        <w:t> </w:t>
      </w:r>
      <w:r>
        <w:rPr>
          <w:rFonts w:ascii="Arial" w:hAnsi="Arial"/>
          <w:color w:val="231F20"/>
          <w:w w:val="95"/>
          <w:sz w:val="16"/>
        </w:rPr>
        <w:t>department</w:t>
      </w:r>
      <w:r>
        <w:rPr>
          <w:rFonts w:ascii="Arial" w:hAnsi="Arial"/>
          <w:color w:val="231F20"/>
          <w:spacing w:val="-29"/>
          <w:w w:val="95"/>
          <w:sz w:val="16"/>
        </w:rPr>
        <w:t> </w:t>
      </w:r>
      <w:r>
        <w:rPr>
          <w:rFonts w:ascii="Arial" w:hAnsi="Arial"/>
          <w:color w:val="231F20"/>
          <w:w w:val="95"/>
          <w:sz w:val="16"/>
        </w:rPr>
        <w:t>with</w:t>
      </w:r>
      <w:r>
        <w:rPr>
          <w:rFonts w:ascii="Arial" w:hAnsi="Arial"/>
          <w:color w:val="231F20"/>
          <w:spacing w:val="-29"/>
          <w:w w:val="95"/>
          <w:sz w:val="16"/>
        </w:rPr>
        <w:t> </w:t>
      </w:r>
      <w:r>
        <w:rPr>
          <w:rFonts w:ascii="Arial" w:hAnsi="Arial"/>
          <w:color w:val="231F20"/>
          <w:w w:val="95"/>
          <w:sz w:val="16"/>
        </w:rPr>
        <w:t>diarrheal</w:t>
      </w:r>
      <w:r>
        <w:rPr>
          <w:rFonts w:ascii="Arial" w:hAnsi="Arial"/>
          <w:color w:val="231F20"/>
          <w:spacing w:val="-29"/>
          <w:w w:val="95"/>
          <w:sz w:val="16"/>
        </w:rPr>
        <w:t> </w:t>
      </w:r>
      <w:r>
        <w:rPr>
          <w:rFonts w:ascii="Arial" w:hAnsi="Arial"/>
          <w:color w:val="231F20"/>
          <w:w w:val="95"/>
          <w:sz w:val="16"/>
        </w:rPr>
        <w:t>disease</w:t>
      </w:r>
      <w:r>
        <w:rPr>
          <w:rFonts w:ascii="Arial" w:hAnsi="Arial"/>
          <w:color w:val="231F20"/>
          <w:spacing w:val="-29"/>
          <w:w w:val="95"/>
          <w:sz w:val="16"/>
        </w:rPr>
        <w:t> </w:t>
      </w:r>
      <w:r>
        <w:rPr>
          <w:rFonts w:ascii="Arial" w:hAnsi="Arial"/>
          <w:color w:val="231F20"/>
          <w:w w:val="95"/>
          <w:sz w:val="16"/>
        </w:rPr>
        <w:t>complaints.</w:t>
      </w:r>
      <w:r>
        <w:rPr>
          <w:rFonts w:ascii="Arial" w:hAnsi="Arial"/>
          <w:color w:val="231F20"/>
          <w:spacing w:val="-29"/>
          <w:w w:val="95"/>
          <w:sz w:val="16"/>
        </w:rPr>
        <w:t> </w:t>
      </w:r>
      <w:r>
        <w:rPr>
          <w:rFonts w:ascii="Arial" w:hAnsi="Arial"/>
          <w:color w:val="231F20"/>
          <w:w w:val="95"/>
          <w:sz w:val="16"/>
        </w:rPr>
        <w:t>The</w:t>
      </w:r>
      <w:r>
        <w:rPr>
          <w:rFonts w:ascii="Arial" w:hAnsi="Arial"/>
          <w:color w:val="231F20"/>
          <w:spacing w:val="-29"/>
          <w:w w:val="95"/>
          <w:sz w:val="16"/>
        </w:rPr>
        <w:t> </w:t>
      </w:r>
      <w:r>
        <w:rPr>
          <w:rFonts w:ascii="Arial" w:hAnsi="Arial"/>
          <w:color w:val="231F20"/>
          <w:w w:val="95"/>
          <w:sz w:val="16"/>
        </w:rPr>
        <w:t>ratio</w:t>
      </w:r>
      <w:r>
        <w:rPr>
          <w:rFonts w:ascii="Arial" w:hAnsi="Arial"/>
          <w:color w:val="231F20"/>
          <w:spacing w:val="-29"/>
          <w:w w:val="95"/>
          <w:sz w:val="16"/>
        </w:rPr>
        <w:t> </w:t>
      </w:r>
      <w:r>
        <w:rPr>
          <w:rFonts w:ascii="Arial" w:hAnsi="Arial"/>
          <w:color w:val="231F20"/>
          <w:w w:val="95"/>
          <w:sz w:val="16"/>
        </w:rPr>
        <w:t>increases with</w:t>
      </w:r>
      <w:r>
        <w:rPr>
          <w:rFonts w:ascii="Arial" w:hAnsi="Arial"/>
          <w:color w:val="231F20"/>
          <w:spacing w:val="-26"/>
          <w:w w:val="95"/>
          <w:sz w:val="16"/>
        </w:rPr>
        <w:t> </w:t>
      </w:r>
      <w:r>
        <w:rPr>
          <w:rFonts w:ascii="Arial" w:hAnsi="Arial"/>
          <w:color w:val="231F20"/>
          <w:w w:val="95"/>
          <w:sz w:val="16"/>
        </w:rPr>
        <w:t>increasing</w:t>
      </w:r>
      <w:r>
        <w:rPr>
          <w:rFonts w:ascii="Arial" w:hAnsi="Arial"/>
          <w:color w:val="231F20"/>
          <w:spacing w:val="-26"/>
          <w:w w:val="95"/>
          <w:sz w:val="16"/>
        </w:rPr>
        <w:t> </w:t>
      </w:r>
      <w:r>
        <w:rPr>
          <w:rFonts w:ascii="Arial" w:hAnsi="Arial"/>
          <w:color w:val="231F20"/>
          <w:w w:val="95"/>
          <w:sz w:val="16"/>
        </w:rPr>
        <w:t>specificity</w:t>
      </w:r>
      <w:r>
        <w:rPr>
          <w:rFonts w:ascii="Arial" w:hAnsi="Arial"/>
          <w:color w:val="231F20"/>
          <w:spacing w:val="-26"/>
          <w:w w:val="95"/>
          <w:sz w:val="16"/>
        </w:rPr>
        <w:t> </w:t>
      </w:r>
      <w:r>
        <w:rPr>
          <w:rFonts w:ascii="Arial" w:hAnsi="Arial"/>
          <w:color w:val="231F20"/>
          <w:w w:val="95"/>
          <w:sz w:val="16"/>
        </w:rPr>
        <w:t>of</w:t>
      </w:r>
      <w:r>
        <w:rPr>
          <w:rFonts w:ascii="Arial" w:hAnsi="Arial"/>
          <w:color w:val="231F20"/>
          <w:spacing w:val="-26"/>
          <w:w w:val="95"/>
          <w:sz w:val="16"/>
        </w:rPr>
        <w:t> </w:t>
      </w:r>
      <w:r>
        <w:rPr>
          <w:rFonts w:ascii="Arial" w:hAnsi="Arial"/>
          <w:color w:val="231F20"/>
          <w:w w:val="95"/>
          <w:sz w:val="16"/>
        </w:rPr>
        <w:t>agent</w:t>
      </w:r>
      <w:r>
        <w:rPr>
          <w:rFonts w:ascii="Arial" w:hAnsi="Arial"/>
          <w:color w:val="231F20"/>
          <w:spacing w:val="-26"/>
          <w:w w:val="95"/>
          <w:sz w:val="16"/>
        </w:rPr>
        <w:t> </w:t>
      </w:r>
      <w:r>
        <w:rPr>
          <w:rFonts w:ascii="Arial" w:hAnsi="Arial"/>
          <w:color w:val="231F20"/>
          <w:w w:val="95"/>
          <w:sz w:val="16"/>
        </w:rPr>
        <w:t>or</w:t>
      </w:r>
      <w:r>
        <w:rPr>
          <w:rFonts w:ascii="Arial" w:hAnsi="Arial"/>
          <w:color w:val="231F20"/>
          <w:spacing w:val="-26"/>
          <w:w w:val="95"/>
          <w:sz w:val="16"/>
        </w:rPr>
        <w:t> </w:t>
      </w:r>
      <w:r>
        <w:rPr>
          <w:rFonts w:ascii="Arial" w:hAnsi="Arial"/>
          <w:color w:val="231F20"/>
          <w:w w:val="95"/>
          <w:sz w:val="16"/>
        </w:rPr>
        <w:t>syndrome</w:t>
      </w:r>
      <w:r>
        <w:rPr>
          <w:rFonts w:ascii="Arial" w:hAnsi="Arial"/>
          <w:color w:val="231F20"/>
          <w:spacing w:val="-26"/>
          <w:w w:val="95"/>
          <w:sz w:val="16"/>
        </w:rPr>
        <w:t> </w:t>
      </w:r>
      <w:r>
        <w:rPr>
          <w:rFonts w:ascii="Arial" w:hAnsi="Arial"/>
          <w:color w:val="231F20"/>
          <w:w w:val="95"/>
          <w:sz w:val="16"/>
        </w:rPr>
        <w:t>information.</w:t>
      </w:r>
      <w:r>
        <w:rPr>
          <w:rFonts w:ascii="Arial" w:hAnsi="Arial"/>
          <w:color w:val="231F20"/>
          <w:spacing w:val="-26"/>
          <w:w w:val="95"/>
          <w:sz w:val="16"/>
        </w:rPr>
        <w:t> </w:t>
      </w:r>
      <w:r>
        <w:rPr>
          <w:rFonts w:ascii="Arial" w:hAnsi="Arial"/>
          <w:color w:val="231F20"/>
          <w:w w:val="95"/>
          <w:sz w:val="16"/>
        </w:rPr>
        <w:t>For</w:t>
      </w:r>
      <w:r>
        <w:rPr>
          <w:rFonts w:ascii="Arial" w:hAnsi="Arial"/>
          <w:color w:val="231F20"/>
          <w:spacing w:val="-26"/>
          <w:w w:val="95"/>
          <w:sz w:val="16"/>
        </w:rPr>
        <w:t> </w:t>
      </w:r>
      <w:r>
        <w:rPr>
          <w:rFonts w:ascii="Arial" w:hAnsi="Arial"/>
          <w:color w:val="231F20"/>
          <w:w w:val="95"/>
          <w:sz w:val="16"/>
        </w:rPr>
        <w:t>highly</w:t>
      </w:r>
      <w:r>
        <w:rPr>
          <w:rFonts w:ascii="Arial" w:hAnsi="Arial"/>
          <w:color w:val="231F20"/>
          <w:spacing w:val="-26"/>
          <w:w w:val="95"/>
          <w:sz w:val="16"/>
        </w:rPr>
        <w:t> </w:t>
      </w:r>
      <w:r>
        <w:rPr>
          <w:rFonts w:ascii="Arial" w:hAnsi="Arial"/>
          <w:color w:val="231F20"/>
          <w:w w:val="95"/>
          <w:sz w:val="16"/>
        </w:rPr>
        <w:t>specific,</w:t>
      </w:r>
      <w:r>
        <w:rPr>
          <w:rFonts w:ascii="Arial" w:hAnsi="Arial"/>
          <w:color w:val="231F20"/>
          <w:spacing w:val="-26"/>
          <w:w w:val="95"/>
          <w:sz w:val="16"/>
        </w:rPr>
        <w:t> </w:t>
      </w:r>
      <w:r>
        <w:rPr>
          <w:rFonts w:ascii="Arial" w:hAnsi="Arial"/>
          <w:color w:val="231F20"/>
          <w:w w:val="95"/>
          <w:sz w:val="16"/>
        </w:rPr>
        <w:t>rare </w:t>
      </w:r>
      <w:r>
        <w:rPr>
          <w:rFonts w:ascii="Arial" w:hAnsi="Arial"/>
          <w:color w:val="231F20"/>
          <w:w w:val="90"/>
          <w:sz w:val="16"/>
        </w:rPr>
        <w:t>syndromes, such as botulism-like syndrome, the signal-to-noise ratio would approach that</w:t>
      </w:r>
      <w:r>
        <w:rPr>
          <w:rFonts w:ascii="Arial" w:hAnsi="Arial"/>
          <w:color w:val="231F20"/>
          <w:spacing w:val="-22"/>
          <w:w w:val="90"/>
          <w:sz w:val="16"/>
        </w:rPr>
        <w:t> </w:t>
      </w:r>
      <w:r>
        <w:rPr>
          <w:rFonts w:ascii="Arial" w:hAnsi="Arial"/>
          <w:color w:val="231F20"/>
          <w:w w:val="90"/>
          <w:sz w:val="16"/>
        </w:rPr>
        <w:t>of</w:t>
      </w:r>
      <w:r>
        <w:rPr>
          <w:rFonts w:ascii="Arial" w:hAnsi="Arial"/>
          <w:color w:val="231F20"/>
          <w:spacing w:val="-22"/>
          <w:w w:val="90"/>
          <w:sz w:val="16"/>
        </w:rPr>
        <w:t> </w:t>
      </w:r>
      <w:r>
        <w:rPr>
          <w:rFonts w:ascii="Arial" w:hAnsi="Arial"/>
          <w:color w:val="231F20"/>
          <w:w w:val="90"/>
          <w:sz w:val="16"/>
        </w:rPr>
        <w:t>pathogen-specific</w:t>
      </w:r>
      <w:r>
        <w:rPr>
          <w:rFonts w:ascii="Arial" w:hAnsi="Arial"/>
          <w:color w:val="231F20"/>
          <w:spacing w:val="-22"/>
          <w:w w:val="90"/>
          <w:sz w:val="16"/>
        </w:rPr>
        <w:t> </w:t>
      </w:r>
      <w:r>
        <w:rPr>
          <w:rFonts w:ascii="Arial" w:hAnsi="Arial"/>
          <w:color w:val="231F20"/>
          <w:w w:val="90"/>
          <w:sz w:val="16"/>
        </w:rPr>
        <w:t>surveillance.</w:t>
      </w:r>
    </w:p>
    <w:p>
      <w:pPr>
        <w:spacing w:after="0" w:line="180" w:lineRule="exact"/>
        <w:jc w:val="left"/>
        <w:rPr>
          <w:rFonts w:ascii="Arial" w:hAnsi="Arial"/>
          <w:sz w:val="16"/>
        </w:rPr>
        <w:sectPr>
          <w:type w:val="continuous"/>
          <w:pgSz w:w="14400" w:h="10080" w:orient="landscape"/>
          <w:pgMar w:top="0" w:bottom="0" w:left="600" w:right="0"/>
          <w:cols w:num="2" w:equalWidth="0">
            <w:col w:w="5735" w:space="115"/>
            <w:col w:w="7950"/>
          </w:cols>
        </w:sectPr>
      </w:pPr>
    </w:p>
    <w:p>
      <w:pPr>
        <w:pStyle w:val="BodyText"/>
        <w:spacing w:before="2" w:after="1"/>
        <w:rPr>
          <w:rFonts w:ascii="Arial"/>
          <w:sz w:val="29"/>
        </w:rPr>
      </w:pPr>
      <w:r>
        <w:rPr/>
        <w:pict>
          <v:group style="position:absolute;margin-left:670.400024pt;margin-top:-.5pt;width:50.6pt;height:505pt;mso-position-horizontal-relative:page;mso-position-vertical-relative:page;z-index:1312" coordorigin="13408,-10" coordsize="1012,10100">
            <v:shape style="position:absolute;left:13500;top:0;width:900;height:10080" type="#_x0000_t75" stroked="false">
              <v:imagedata r:id="rId10" o:title=""/>
            </v:shape>
            <v:shape style="position:absolute;left:13680;top:9360;width:360;height:360" type="#_x0000_t75" stroked="false">
              <v:imagedata r:id="rId11" o:title=""/>
            </v:shape>
            <v:line style="position:absolute" from="13428,9020" to="14400,9020" stroked="true" strokeweight="2pt" strokecolor="#ffffff">
              <v:stroke dashstyle="solid"/>
            </v:line>
            <v:line style="position:absolute" from="13490,0" to="13490,10080" stroked="true" strokeweight="1pt" strokecolor="#1c3e94">
              <v:stroke dashstyle="solid"/>
            </v:line>
            <w10:wrap type="none"/>
          </v:group>
        </w:pict>
      </w:r>
      <w:r>
        <w:rPr/>
        <w:pict>
          <v:shape style="position:absolute;margin-left:633.000122pt;margin-top:35pt;width:18.4pt;height:88.65pt;mso-position-horizontal-relative:page;mso-position-vertical-relative:page;z-index:1432" type="#_x0000_t202" filled="false" stroked="false">
            <v:textbox inset="0,0,0,0" style="layout-flow:vertical">
              <w:txbxContent>
                <w:p>
                  <w:pPr>
                    <w:spacing w:before="9"/>
                    <w:ind w:left="20" w:right="-861" w:firstLine="0"/>
                    <w:jc w:val="left"/>
                    <w:rPr>
                      <w:rFonts w:ascii="Lucida Sans"/>
                      <w:sz w:val="28"/>
                    </w:rPr>
                  </w:pPr>
                  <w:r>
                    <w:rPr>
                      <w:rFonts w:ascii="Lucida Sans"/>
                      <w:color w:val="00A94F"/>
                      <w:w w:val="87"/>
                      <w:sz w:val="28"/>
                    </w:rPr>
                    <w:t>4.1.</w:t>
                  </w:r>
                  <w:r>
                    <w:rPr>
                      <w:rFonts w:ascii="Lucida Sans"/>
                      <w:color w:val="00A94F"/>
                      <w:spacing w:val="-11"/>
                      <w:sz w:val="28"/>
                    </w:rPr>
                    <w:t> </w:t>
                  </w:r>
                  <w:r>
                    <w:rPr>
                      <w:rFonts w:ascii="Lucida Sans"/>
                      <w:color w:val="00A94F"/>
                      <w:w w:val="96"/>
                      <w:sz w:val="28"/>
                    </w:rPr>
                    <w:t>Overview</w:t>
                  </w:r>
                </w:p>
              </w:txbxContent>
            </v:textbox>
            <w10:wrap type="none"/>
          </v:shape>
        </w:pict>
      </w:r>
    </w:p>
    <w:p>
      <w:pPr>
        <w:pStyle w:val="BodyText"/>
        <w:spacing w:line="20" w:lineRule="exact"/>
        <w:ind w:left="4941"/>
        <w:rPr>
          <w:rFonts w:ascii="Arial"/>
          <w:sz w:val="2"/>
        </w:rPr>
      </w:pPr>
      <w:r>
        <w:rPr>
          <w:rFonts w:ascii="Arial"/>
          <w:sz w:val="2"/>
        </w:rPr>
        <w:pict>
          <v:group style="width:203.45pt;height:1pt;mso-position-horizontal-relative:char;mso-position-vertical-relative:line" coordorigin="0,0" coordsize="4069,20">
            <v:line style="position:absolute" from="4058,10" to="10,10" stroked="true" strokeweight="1pt" strokecolor="#0079c1">
              <v:stroke dashstyle="solid"/>
            </v:line>
          </v:group>
        </w:pict>
      </w:r>
      <w:r>
        <w:rPr>
          <w:rFonts w:ascii="Arial"/>
          <w:sz w:val="2"/>
        </w:rPr>
      </w:r>
    </w:p>
    <w:p>
      <w:pPr>
        <w:spacing w:after="0" w:line="20" w:lineRule="exact"/>
        <w:rPr>
          <w:rFonts w:ascii="Arial"/>
          <w:sz w:val="2"/>
        </w:rPr>
        <w:sectPr>
          <w:type w:val="continuous"/>
          <w:pgSz w:w="14400" w:h="10080" w:orient="landscape"/>
          <w:pgMar w:top="0" w:bottom="0" w:left="600" w:right="0"/>
        </w:sectPr>
      </w:pPr>
    </w:p>
    <w:p>
      <w:pPr>
        <w:pStyle w:val="BodyText"/>
        <w:spacing w:before="5"/>
        <w:rPr>
          <w:rFonts w:ascii="Arial"/>
          <w:sz w:val="10"/>
        </w:rPr>
      </w:pPr>
    </w:p>
    <w:p>
      <w:pPr>
        <w:pStyle w:val="Heading1"/>
        <w:numPr>
          <w:ilvl w:val="1"/>
          <w:numId w:val="4"/>
        </w:numPr>
        <w:tabs>
          <w:tab w:pos="1985" w:val="left" w:leader="none"/>
        </w:tabs>
        <w:spacing w:line="240" w:lineRule="auto" w:before="90" w:after="0"/>
        <w:ind w:left="1984" w:right="0" w:hanging="544"/>
        <w:jc w:val="left"/>
      </w:pPr>
      <w:r>
        <w:rPr/>
        <w:pict>
          <v:line style="position:absolute;mso-position-horizontal-relative:page;mso-position-vertical-relative:paragraph;z-index:1528;mso-wrap-distance-left:0;mso-wrap-distance-right:0" from="72pt,24.045164pt" to="468pt,24.045164pt" stroked="true" strokeweight=".5pt" strokecolor="#00a94f">
            <v:stroke dashstyle="solid"/>
            <w10:wrap type="topAndBottom"/>
          </v:line>
        </w:pict>
      </w:r>
      <w:r>
        <w:rPr>
          <w:color w:val="00A94F"/>
        </w:rPr>
        <w:t>Overview</w:t>
      </w:r>
    </w:p>
    <w:p>
      <w:pPr>
        <w:pStyle w:val="BodyText"/>
        <w:spacing w:before="7"/>
        <w:rPr>
          <w:rFonts w:ascii="Lucida Sans"/>
          <w:sz w:val="17"/>
        </w:rPr>
      </w:pPr>
    </w:p>
    <w:p>
      <w:pPr>
        <w:spacing w:after="0"/>
        <w:rPr>
          <w:rFonts w:ascii="Lucida Sans"/>
          <w:sz w:val="17"/>
        </w:rPr>
        <w:sectPr>
          <w:headerReference w:type="even" r:id="rId12"/>
          <w:headerReference w:type="default" r:id="rId13"/>
          <w:pgSz w:w="10080" w:h="14400"/>
          <w:pgMar w:header="0" w:footer="0" w:top="1160" w:bottom="280" w:left="0" w:right="0"/>
          <w:pgNumType w:start="114"/>
        </w:sectPr>
      </w:pPr>
    </w:p>
    <w:p>
      <w:pPr>
        <w:pStyle w:val="BodyText"/>
        <w:spacing w:line="266" w:lineRule="auto" w:before="108"/>
        <w:ind w:left="1630" w:right="25"/>
      </w:pPr>
      <w:r>
        <w:rPr>
          <w:color w:val="231F20"/>
        </w:rPr>
        <w:t>for Foodborne Disease Surveillance System (PulseNet) are examples of pathogen-specific surveillance.</w:t>
      </w:r>
    </w:p>
    <w:p>
      <w:pPr>
        <w:pStyle w:val="ListParagraph"/>
        <w:numPr>
          <w:ilvl w:val="1"/>
          <w:numId w:val="3"/>
        </w:numPr>
        <w:tabs>
          <w:tab w:pos="1631" w:val="left" w:leader="none"/>
        </w:tabs>
        <w:spacing w:line="240" w:lineRule="auto" w:before="88" w:after="0"/>
        <w:ind w:left="1630" w:right="0" w:hanging="190"/>
        <w:jc w:val="left"/>
        <w:rPr>
          <w:rFonts w:ascii="Lucida Sans"/>
          <w:sz w:val="18"/>
        </w:rPr>
      </w:pPr>
      <w:r>
        <w:rPr>
          <w:rFonts w:ascii="Lucida Sans"/>
          <w:color w:val="00A94F"/>
          <w:w w:val="90"/>
          <w:sz w:val="18"/>
        </w:rPr>
        <w:t>Complaint</w:t>
      </w:r>
      <w:r>
        <w:rPr>
          <w:rFonts w:ascii="Lucida Sans"/>
          <w:color w:val="00A94F"/>
          <w:spacing w:val="29"/>
          <w:w w:val="90"/>
          <w:sz w:val="18"/>
        </w:rPr>
        <w:t> </w:t>
      </w:r>
      <w:r>
        <w:rPr>
          <w:rFonts w:ascii="Lucida Sans"/>
          <w:color w:val="00A94F"/>
          <w:w w:val="90"/>
          <w:sz w:val="18"/>
        </w:rPr>
        <w:t>systems</w:t>
      </w:r>
    </w:p>
    <w:p>
      <w:pPr>
        <w:pStyle w:val="BodyText"/>
        <w:spacing w:line="266" w:lineRule="auto" w:before="39"/>
        <w:ind w:left="1630" w:right="91"/>
        <w:jc w:val="both"/>
      </w:pPr>
      <w:r>
        <w:rPr>
          <w:color w:val="231F20"/>
          <w:w w:val="105"/>
        </w:rPr>
        <w:t>Health-care</w:t>
      </w:r>
      <w:r>
        <w:rPr>
          <w:color w:val="231F20"/>
          <w:spacing w:val="-13"/>
          <w:w w:val="105"/>
        </w:rPr>
        <w:t> </w:t>
      </w:r>
      <w:r>
        <w:rPr>
          <w:color w:val="231F20"/>
          <w:w w:val="105"/>
        </w:rPr>
        <w:t>providers</w:t>
      </w:r>
      <w:r>
        <w:rPr>
          <w:color w:val="231F20"/>
          <w:spacing w:val="-14"/>
          <w:w w:val="105"/>
        </w:rPr>
        <w:t> </w:t>
      </w:r>
      <w:r>
        <w:rPr>
          <w:color w:val="231F20"/>
          <w:w w:val="105"/>
        </w:rPr>
        <w:t>or</w:t>
      </w:r>
      <w:r>
        <w:rPr>
          <w:color w:val="231F20"/>
          <w:spacing w:val="-13"/>
          <w:w w:val="105"/>
        </w:rPr>
        <w:t> </w:t>
      </w:r>
      <w:r>
        <w:rPr>
          <w:color w:val="231F20"/>
          <w:w w:val="105"/>
        </w:rPr>
        <w:t>the</w:t>
      </w:r>
      <w:r>
        <w:rPr>
          <w:color w:val="231F20"/>
          <w:spacing w:val="-14"/>
          <w:w w:val="105"/>
        </w:rPr>
        <w:t> </w:t>
      </w:r>
      <w:r>
        <w:rPr>
          <w:color w:val="231F20"/>
          <w:w w:val="105"/>
        </w:rPr>
        <w:t>public</w:t>
      </w:r>
      <w:r>
        <w:rPr>
          <w:color w:val="231F20"/>
          <w:spacing w:val="-14"/>
          <w:w w:val="105"/>
        </w:rPr>
        <w:t> </w:t>
      </w:r>
      <w:r>
        <w:rPr>
          <w:color w:val="231F20"/>
          <w:w w:val="105"/>
        </w:rPr>
        <w:t>identify and</w:t>
      </w:r>
      <w:r>
        <w:rPr>
          <w:color w:val="231F20"/>
          <w:spacing w:val="-21"/>
          <w:w w:val="105"/>
        </w:rPr>
        <w:t> </w:t>
      </w:r>
      <w:r>
        <w:rPr>
          <w:color w:val="231F20"/>
          <w:w w:val="105"/>
        </w:rPr>
        <w:t>report</w:t>
      </w:r>
      <w:r>
        <w:rPr>
          <w:color w:val="231F20"/>
          <w:spacing w:val="-20"/>
          <w:w w:val="105"/>
        </w:rPr>
        <w:t> </w:t>
      </w:r>
      <w:r>
        <w:rPr>
          <w:color w:val="231F20"/>
          <w:w w:val="105"/>
        </w:rPr>
        <w:t>suspected</w:t>
      </w:r>
      <w:r>
        <w:rPr>
          <w:color w:val="231F20"/>
          <w:spacing w:val="-19"/>
          <w:w w:val="105"/>
        </w:rPr>
        <w:t> </w:t>
      </w:r>
      <w:r>
        <w:rPr>
          <w:color w:val="231F20"/>
          <w:w w:val="105"/>
        </w:rPr>
        <w:t>disease</w:t>
      </w:r>
      <w:r>
        <w:rPr>
          <w:color w:val="231F20"/>
          <w:spacing w:val="-20"/>
          <w:w w:val="105"/>
        </w:rPr>
        <w:t> </w:t>
      </w:r>
      <w:r>
        <w:rPr>
          <w:color w:val="231F20"/>
          <w:w w:val="105"/>
        </w:rPr>
        <w:t>clusters</w:t>
      </w:r>
      <w:r>
        <w:rPr>
          <w:color w:val="231F20"/>
          <w:spacing w:val="-21"/>
          <w:w w:val="105"/>
        </w:rPr>
        <w:t> </w:t>
      </w:r>
      <w:r>
        <w:rPr>
          <w:color w:val="231F20"/>
          <w:w w:val="105"/>
        </w:rPr>
        <w:t>(group notifications)</w:t>
      </w:r>
      <w:r>
        <w:rPr>
          <w:color w:val="231F20"/>
          <w:spacing w:val="-25"/>
          <w:w w:val="105"/>
        </w:rPr>
        <w:t> </w:t>
      </w:r>
      <w:r>
        <w:rPr>
          <w:color w:val="231F20"/>
          <w:w w:val="105"/>
        </w:rPr>
        <w:t>or</w:t>
      </w:r>
      <w:r>
        <w:rPr>
          <w:color w:val="231F20"/>
          <w:spacing w:val="-25"/>
          <w:w w:val="105"/>
        </w:rPr>
        <w:t> </w:t>
      </w:r>
      <w:r>
        <w:rPr>
          <w:color w:val="231F20"/>
          <w:w w:val="105"/>
        </w:rPr>
        <w:t>individual</w:t>
      </w:r>
      <w:r>
        <w:rPr>
          <w:color w:val="231F20"/>
          <w:spacing w:val="-25"/>
          <w:w w:val="105"/>
        </w:rPr>
        <w:t> </w:t>
      </w:r>
      <w:r>
        <w:rPr>
          <w:color w:val="231F20"/>
          <w:w w:val="105"/>
        </w:rPr>
        <w:t>complaints.</w:t>
      </w:r>
    </w:p>
    <w:p>
      <w:pPr>
        <w:pStyle w:val="BodyText"/>
        <w:spacing w:line="266" w:lineRule="auto"/>
        <w:ind w:left="1630" w:right="585"/>
      </w:pPr>
      <w:r>
        <w:rPr>
          <w:color w:val="231F20"/>
          <w:w w:val="105"/>
        </w:rPr>
        <w:t>Exposure information is acquired by interviews with cases.</w:t>
      </w:r>
    </w:p>
    <w:p>
      <w:pPr>
        <w:pStyle w:val="ListParagraph"/>
        <w:numPr>
          <w:ilvl w:val="1"/>
          <w:numId w:val="3"/>
        </w:numPr>
        <w:tabs>
          <w:tab w:pos="1631" w:val="left" w:leader="none"/>
        </w:tabs>
        <w:spacing w:line="240" w:lineRule="auto" w:before="88" w:after="0"/>
        <w:ind w:left="1630" w:right="0" w:hanging="190"/>
        <w:jc w:val="left"/>
        <w:rPr>
          <w:rFonts w:ascii="Lucida Sans"/>
          <w:sz w:val="18"/>
        </w:rPr>
      </w:pPr>
      <w:r>
        <w:rPr>
          <w:rFonts w:ascii="Lucida Sans"/>
          <w:color w:val="00A94F"/>
          <w:w w:val="90"/>
          <w:sz w:val="18"/>
        </w:rPr>
        <w:t>Syndromic</w:t>
      </w:r>
      <w:r>
        <w:rPr>
          <w:rFonts w:ascii="Lucida Sans"/>
          <w:color w:val="00A94F"/>
          <w:spacing w:val="33"/>
          <w:w w:val="90"/>
          <w:sz w:val="18"/>
        </w:rPr>
        <w:t> </w:t>
      </w:r>
      <w:r>
        <w:rPr>
          <w:rFonts w:ascii="Lucida Sans"/>
          <w:color w:val="00A94F"/>
          <w:w w:val="90"/>
          <w:sz w:val="18"/>
        </w:rPr>
        <w:t>surveillance</w:t>
      </w:r>
    </w:p>
    <w:p>
      <w:pPr>
        <w:pStyle w:val="BodyText"/>
        <w:spacing w:line="266" w:lineRule="auto" w:before="39"/>
        <w:ind w:left="1630" w:right="25"/>
      </w:pPr>
      <w:r>
        <w:rPr/>
        <w:pict>
          <v:rect style="position:absolute;margin-left:0pt;margin-top:1.849353pt;width:45pt;height:18pt;mso-position-horizontal-relative:page;mso-position-vertical-relative:paragraph;z-index:1576" filled="true" fillcolor="#0079c1" stroked="false">
            <v:fill type="solid"/>
            <w10:wrap type="none"/>
          </v:rect>
        </w:pict>
      </w:r>
      <w:r>
        <w:rPr/>
        <w:pict>
          <v:line style="position:absolute;mso-position-horizontal-relative:page;mso-position-vertical-relative:paragraph;z-index:1600" from="54.5pt,1.846953pt" to="54.5pt,204.255953pt" stroked="true" strokeweight="1pt" strokecolor="#0079c1">
            <v:stroke dashstyle="solid"/>
            <w10:wrap type="none"/>
          </v:line>
        </w:pict>
      </w:r>
      <w:r>
        <w:rPr/>
        <w:pict>
          <v:shape style="position:absolute;margin-left:16.402201pt;margin-top:22.872646pt;width:22.3pt;height:183.2pt;mso-position-horizontal-relative:page;mso-position-vertical-relative:paragraph;z-index:1696"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18.200388pt;margin-top:6.600306pt;width:15.85pt;height:8.5pt;mso-position-horizontal-relative:page;mso-position-vertical-relative:paragraph;z-index:1720"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105"/>
        </w:rPr>
        <w:t>This surveillance method generally involves systematic (usually automated) gathering of</w:t>
      </w:r>
    </w:p>
    <w:p>
      <w:pPr>
        <w:pStyle w:val="BodyText"/>
        <w:spacing w:line="266" w:lineRule="auto" w:before="108"/>
        <w:ind w:left="520" w:right="836"/>
      </w:pPr>
      <w:r>
        <w:rPr/>
        <w:br w:type="column"/>
      </w:r>
      <w:r>
        <w:rPr>
          <w:color w:val="231F20"/>
          <w:w w:val="105"/>
        </w:rPr>
        <w:t>data on nonspecific health indicators that might reflect increased disease occurrence, such as purchase of loperamide (an antidiarrheal agent), visits to emergency departments for diarrheal complaints, or calls to poison control hotlines. Exposure information is not routinely collected.</w:t>
      </w:r>
    </w:p>
    <w:p>
      <w:pPr>
        <w:pStyle w:val="BodyText"/>
        <w:spacing w:line="266" w:lineRule="auto" w:before="180"/>
        <w:ind w:left="330" w:right="698"/>
      </w:pPr>
      <w:r>
        <w:rPr>
          <w:color w:val="231F20"/>
          <w:w w:val="105"/>
        </w:rPr>
        <w:t>This chapter reviews major features, strengths, and limitations of each surveillance method and provides recommendations for increasing the effectiveness of each.</w:t>
      </w:r>
    </w:p>
    <w:p>
      <w:pPr>
        <w:spacing w:after="0" w:line="266" w:lineRule="auto"/>
        <w:sectPr>
          <w:type w:val="continuous"/>
          <w:pgSz w:w="10080" w:h="14400"/>
          <w:pgMar w:top="0" w:bottom="0" w:left="0" w:right="0"/>
          <w:cols w:num="2" w:equalWidth="0">
            <w:col w:w="5210" w:space="40"/>
            <w:col w:w="4830"/>
          </w:cols>
        </w:sectPr>
      </w:pPr>
    </w:p>
    <w:p>
      <w:pPr>
        <w:pStyle w:val="BodyText"/>
        <w:spacing w:before="7"/>
        <w:rPr>
          <w:sz w:val="19"/>
        </w:rPr>
      </w:pPr>
    </w:p>
    <w:p>
      <w:pPr>
        <w:pStyle w:val="Heading1"/>
        <w:numPr>
          <w:ilvl w:val="1"/>
          <w:numId w:val="4"/>
        </w:numPr>
        <w:tabs>
          <w:tab w:pos="1985" w:val="left" w:leader="none"/>
        </w:tabs>
        <w:spacing w:line="240" w:lineRule="auto" w:before="89" w:after="0"/>
        <w:ind w:left="1984" w:right="0" w:hanging="544"/>
        <w:jc w:val="left"/>
      </w:pPr>
      <w:r>
        <w:rPr/>
        <w:pict>
          <v:line style="position:absolute;mso-position-horizontal-relative:page;mso-position-vertical-relative:paragraph;z-index:1552;mso-wrap-distance-left:0;mso-wrap-distance-right:0" from="72pt,23.995163pt" to="468pt,23.995163pt" stroked="true" strokeweight=".5pt" strokecolor="#00a94f">
            <v:stroke dashstyle="solid"/>
            <w10:wrap type="topAndBottom"/>
          </v:line>
        </w:pict>
      </w:r>
      <w:r>
        <w:rPr>
          <w:color w:val="00A94F"/>
          <w:w w:val="95"/>
        </w:rPr>
        <w:t>Pathogen-Specific</w:t>
      </w:r>
      <w:r>
        <w:rPr>
          <w:color w:val="00A94F"/>
          <w:spacing w:val="-36"/>
          <w:w w:val="95"/>
        </w:rPr>
        <w:t> </w:t>
      </w:r>
      <w:r>
        <w:rPr>
          <w:color w:val="00A94F"/>
          <w:w w:val="95"/>
        </w:rPr>
        <w:t>Surveillance</w:t>
      </w:r>
    </w:p>
    <w:p>
      <w:pPr>
        <w:pStyle w:val="ListParagraph"/>
        <w:numPr>
          <w:ilvl w:val="2"/>
          <w:numId w:val="4"/>
        </w:numPr>
        <w:tabs>
          <w:tab w:pos="1996" w:val="left" w:leader="none"/>
        </w:tabs>
        <w:spacing w:line="240" w:lineRule="auto" w:before="286" w:after="0"/>
        <w:ind w:left="1996" w:right="0" w:hanging="556"/>
        <w:jc w:val="left"/>
        <w:rPr>
          <w:rFonts w:ascii="Lucida Sans"/>
          <w:sz w:val="20"/>
        </w:rPr>
      </w:pPr>
      <w:r>
        <w:rPr>
          <w:rFonts w:ascii="Lucida Sans"/>
          <w:color w:val="1C3E94"/>
          <w:sz w:val="20"/>
        </w:rPr>
        <w:t>Purpose</w:t>
      </w:r>
    </w:p>
    <w:p>
      <w:pPr>
        <w:pStyle w:val="BodyText"/>
        <w:spacing w:before="3"/>
        <w:rPr>
          <w:rFonts w:ascii="Lucida Sans"/>
          <w:sz w:val="18"/>
        </w:rPr>
      </w:pPr>
    </w:p>
    <w:p>
      <w:pPr>
        <w:pStyle w:val="BodyText"/>
        <w:spacing w:line="266" w:lineRule="auto"/>
        <w:ind w:left="1440" w:right="4970"/>
      </w:pPr>
      <w:r>
        <w:rPr/>
        <w:pict>
          <v:group style="position:absolute;margin-left:280.450104pt;margin-top:-20.481741pt;width:188.2pt;height:365.6pt;mso-position-horizontal-relative:page;mso-position-vertical-relative:paragraph;z-index:1672" coordorigin="5609,-410" coordsize="3764,7312">
            <v:rect style="position:absolute;left:5619;top:-405;width:3744;height:552" filled="true" fillcolor="#c4e3ca" stroked="false">
              <v:fill type="solid"/>
            </v:rect>
            <v:rect style="position:absolute;left:5619;top:147;width:3744;height:6750" filled="true" fillcolor="#daeddd" stroked="false">
              <v:fill type="solid"/>
            </v:rect>
            <v:line style="position:absolute" from="5614,-405" to="9368,-405" stroked="true" strokeweight=".5pt" strokecolor="#1c3e94">
              <v:stroke dashstyle="solid"/>
            </v:line>
            <v:line style="position:absolute" from="5619,142" to="5619,-400" stroked="true" strokeweight=".5pt" strokecolor="#1c3e94">
              <v:stroke dashstyle="solid"/>
            </v:line>
            <v:line style="position:absolute" from="9363,142" to="9363,-400" stroked="true" strokeweight=".5pt" strokecolor="#1c3e94">
              <v:stroke dashstyle="solid"/>
            </v:line>
            <v:line style="position:absolute" from="5614,147" to="9368,147" stroked="true" strokeweight=".5pt" strokecolor="#1c3e94">
              <v:stroke dashstyle="solid"/>
            </v:line>
            <v:line style="position:absolute" from="5619,6892" to="5619,152" stroked="true" strokeweight=".5pt" strokecolor="#1c3e94">
              <v:stroke dashstyle="solid"/>
            </v:line>
            <v:line style="position:absolute" from="9363,6892" to="9363,152" stroked="true" strokeweight=".5pt" strokecolor="#1c3e94">
              <v:stroke dashstyle="solid"/>
            </v:line>
            <v:line style="position:absolute" from="5614,6897" to="9368,6897" stroked="true" strokeweight=".5pt" strokecolor="#1c3e94">
              <v:stroke dashstyle="solid"/>
            </v:line>
            <v:shape style="position:absolute;left:5619;top:-405;width:3744;height:552" type="#_x0000_t202" filled="false" stroked="false">
              <v:textbox inset="0,0,0,0">
                <w:txbxContent>
                  <w:p>
                    <w:pPr>
                      <w:spacing w:line="244" w:lineRule="auto" w:before="37"/>
                      <w:ind w:left="879" w:right="73" w:hanging="800"/>
                      <w:jc w:val="left"/>
                      <w:rPr>
                        <w:rFonts w:ascii="Lucida Sans"/>
                        <w:b/>
                        <w:sz w:val="20"/>
                      </w:rPr>
                    </w:pPr>
                    <w:r>
                      <w:rPr>
                        <w:rFonts w:ascii="Lucida Sans"/>
                        <w:b/>
                        <w:color w:val="E36F1E"/>
                        <w:w w:val="95"/>
                        <w:sz w:val="20"/>
                      </w:rPr>
                      <w:t>Box</w:t>
                    </w:r>
                    <w:r>
                      <w:rPr>
                        <w:rFonts w:ascii="Lucida Sans"/>
                        <w:b/>
                        <w:color w:val="E36F1E"/>
                        <w:spacing w:val="-40"/>
                        <w:w w:val="95"/>
                        <w:sz w:val="20"/>
                      </w:rPr>
                      <w:t> </w:t>
                    </w:r>
                    <w:r>
                      <w:rPr>
                        <w:rFonts w:ascii="Lucida Sans"/>
                        <w:b/>
                        <w:color w:val="E36F1E"/>
                        <w:w w:val="95"/>
                        <w:sz w:val="20"/>
                      </w:rPr>
                      <w:t>4.1.</w:t>
                    </w:r>
                    <w:r>
                      <w:rPr>
                        <w:rFonts w:ascii="Lucida Sans"/>
                        <w:b/>
                        <w:color w:val="E36F1E"/>
                        <w:spacing w:val="-18"/>
                        <w:w w:val="95"/>
                        <w:sz w:val="20"/>
                      </w:rPr>
                      <w:t> </w:t>
                    </w:r>
                    <w:r>
                      <w:rPr>
                        <w:rFonts w:ascii="Lucida Sans"/>
                        <w:b/>
                        <w:color w:val="1C3E94"/>
                        <w:w w:val="95"/>
                        <w:sz w:val="20"/>
                      </w:rPr>
                      <w:t>Selected</w:t>
                    </w:r>
                    <w:r>
                      <w:rPr>
                        <w:rFonts w:ascii="Lucida Sans"/>
                        <w:b/>
                        <w:color w:val="1C3E94"/>
                        <w:spacing w:val="-40"/>
                        <w:w w:val="95"/>
                        <w:sz w:val="20"/>
                      </w:rPr>
                      <w:t> </w:t>
                    </w:r>
                    <w:r>
                      <w:rPr>
                        <w:rFonts w:ascii="Lucida Sans"/>
                        <w:b/>
                        <w:color w:val="1C3E94"/>
                        <w:w w:val="95"/>
                        <w:sz w:val="20"/>
                      </w:rPr>
                      <w:t>nationally</w:t>
                    </w:r>
                    <w:r>
                      <w:rPr>
                        <w:rFonts w:ascii="Lucida Sans"/>
                        <w:b/>
                        <w:color w:val="1C3E94"/>
                        <w:spacing w:val="-40"/>
                        <w:w w:val="95"/>
                        <w:sz w:val="20"/>
                      </w:rPr>
                      <w:t> </w:t>
                    </w:r>
                    <w:r>
                      <w:rPr>
                        <w:rFonts w:ascii="Lucida Sans"/>
                        <w:b/>
                        <w:color w:val="1C3E94"/>
                        <w:w w:val="95"/>
                        <w:sz w:val="20"/>
                      </w:rPr>
                      <w:t>notifiable </w:t>
                    </w:r>
                    <w:r>
                      <w:rPr>
                        <w:rFonts w:ascii="Lucida Sans"/>
                        <w:b/>
                        <w:color w:val="1C3E94"/>
                        <w:w w:val="90"/>
                        <w:sz w:val="20"/>
                      </w:rPr>
                      <w:t>diseases</w:t>
                    </w:r>
                    <w:r>
                      <w:rPr>
                        <w:rFonts w:ascii="Lucida Sans"/>
                        <w:b/>
                        <w:color w:val="1C3E94"/>
                        <w:spacing w:val="-34"/>
                        <w:w w:val="90"/>
                        <w:sz w:val="20"/>
                      </w:rPr>
                      <w:t> </w:t>
                    </w:r>
                    <w:r>
                      <w:rPr>
                        <w:rFonts w:ascii="Lucida Sans"/>
                        <w:b/>
                        <w:color w:val="1C3E94"/>
                        <w:w w:val="90"/>
                        <w:sz w:val="20"/>
                      </w:rPr>
                      <w:t>that</w:t>
                    </w:r>
                    <w:r>
                      <w:rPr>
                        <w:rFonts w:ascii="Lucida Sans"/>
                        <w:b/>
                        <w:color w:val="1C3E94"/>
                        <w:spacing w:val="-34"/>
                        <w:w w:val="90"/>
                        <w:sz w:val="20"/>
                      </w:rPr>
                      <w:t> </w:t>
                    </w:r>
                    <w:r>
                      <w:rPr>
                        <w:rFonts w:ascii="Lucida Sans"/>
                        <w:b/>
                        <w:color w:val="1C3E94"/>
                        <w:w w:val="90"/>
                        <w:sz w:val="20"/>
                      </w:rPr>
                      <w:t>can</w:t>
                    </w:r>
                    <w:r>
                      <w:rPr>
                        <w:rFonts w:ascii="Lucida Sans"/>
                        <w:b/>
                        <w:color w:val="1C3E94"/>
                        <w:spacing w:val="-34"/>
                        <w:w w:val="90"/>
                        <w:sz w:val="20"/>
                      </w:rPr>
                      <w:t> </w:t>
                    </w:r>
                    <w:r>
                      <w:rPr>
                        <w:rFonts w:ascii="Lucida Sans"/>
                        <w:b/>
                        <w:color w:val="1C3E94"/>
                        <w:w w:val="90"/>
                        <w:sz w:val="20"/>
                      </w:rPr>
                      <w:t>be</w:t>
                    </w:r>
                    <w:r>
                      <w:rPr>
                        <w:rFonts w:ascii="Lucida Sans"/>
                        <w:b/>
                        <w:color w:val="1C3E94"/>
                        <w:spacing w:val="-34"/>
                        <w:w w:val="90"/>
                        <w:sz w:val="20"/>
                      </w:rPr>
                      <w:t> </w:t>
                    </w:r>
                    <w:r>
                      <w:rPr>
                        <w:rFonts w:ascii="Lucida Sans"/>
                        <w:b/>
                        <w:color w:val="1C3E94"/>
                        <w:w w:val="90"/>
                        <w:sz w:val="20"/>
                      </w:rPr>
                      <w:t>foodborne</w:t>
                    </w:r>
                  </w:p>
                </w:txbxContent>
              </v:textbox>
              <w10:wrap type="none"/>
            </v:shape>
            <v:shape style="position:absolute;left:5619;top:147;width:3744;height:6750" type="#_x0000_t202" filled="false" stroked="false">
              <v:textbox inset="0,0,0,0">
                <w:txbxContent>
                  <w:p>
                    <w:pPr>
                      <w:numPr>
                        <w:ilvl w:val="0"/>
                        <w:numId w:val="5"/>
                      </w:numPr>
                      <w:tabs>
                        <w:tab w:pos="315" w:val="left" w:leader="none"/>
                      </w:tabs>
                      <w:spacing w:before="168"/>
                      <w:ind w:left="314" w:right="0" w:hanging="171"/>
                      <w:jc w:val="left"/>
                      <w:rPr>
                        <w:rFonts w:ascii="Arial"/>
                        <w:sz w:val="18"/>
                      </w:rPr>
                    </w:pPr>
                    <w:r>
                      <w:rPr>
                        <w:rFonts w:ascii="Arial"/>
                        <w:color w:val="231F20"/>
                        <w:w w:val="90"/>
                        <w:sz w:val="18"/>
                      </w:rPr>
                      <w:t>Anthrax</w:t>
                    </w:r>
                    <w:r>
                      <w:rPr>
                        <w:rFonts w:ascii="Arial"/>
                        <w:color w:val="231F20"/>
                        <w:spacing w:val="-11"/>
                        <w:w w:val="90"/>
                        <w:sz w:val="18"/>
                      </w:rPr>
                      <w:t> </w:t>
                    </w:r>
                    <w:r>
                      <w:rPr>
                        <w:rFonts w:ascii="Arial"/>
                        <w:color w:val="231F20"/>
                        <w:w w:val="90"/>
                        <w:sz w:val="18"/>
                      </w:rPr>
                      <w:t>(gastrointestinal)</w:t>
                    </w:r>
                  </w:p>
                  <w:p>
                    <w:pPr>
                      <w:numPr>
                        <w:ilvl w:val="0"/>
                        <w:numId w:val="5"/>
                      </w:numPr>
                      <w:tabs>
                        <w:tab w:pos="315" w:val="left" w:leader="none"/>
                      </w:tabs>
                      <w:spacing w:before="39"/>
                      <w:ind w:left="314" w:right="0" w:hanging="171"/>
                      <w:jc w:val="left"/>
                      <w:rPr>
                        <w:rFonts w:ascii="Arial"/>
                        <w:sz w:val="18"/>
                      </w:rPr>
                    </w:pPr>
                    <w:r>
                      <w:rPr>
                        <w:rFonts w:ascii="Arial"/>
                        <w:color w:val="231F20"/>
                        <w:w w:val="90"/>
                        <w:sz w:val="18"/>
                      </w:rPr>
                      <w:t>Botulism</w:t>
                    </w:r>
                    <w:r>
                      <w:rPr>
                        <w:rFonts w:ascii="Arial"/>
                        <w:color w:val="231F20"/>
                        <w:spacing w:val="22"/>
                        <w:w w:val="90"/>
                        <w:sz w:val="18"/>
                      </w:rPr>
                      <w:t> </w:t>
                    </w:r>
                    <w:r>
                      <w:rPr>
                        <w:rFonts w:ascii="Arial"/>
                        <w:color w:val="231F20"/>
                        <w:w w:val="90"/>
                        <w:sz w:val="18"/>
                      </w:rPr>
                      <w:t>(foodborne)</w:t>
                    </w:r>
                  </w:p>
                  <w:p>
                    <w:pPr>
                      <w:numPr>
                        <w:ilvl w:val="0"/>
                        <w:numId w:val="5"/>
                      </w:numPr>
                      <w:tabs>
                        <w:tab w:pos="315" w:val="left" w:leader="none"/>
                      </w:tabs>
                      <w:spacing w:before="39"/>
                      <w:ind w:left="314" w:right="0" w:hanging="171"/>
                      <w:jc w:val="left"/>
                      <w:rPr>
                        <w:rFonts w:ascii="Arial"/>
                        <w:sz w:val="18"/>
                      </w:rPr>
                    </w:pPr>
                    <w:r>
                      <w:rPr>
                        <w:rFonts w:ascii="Arial"/>
                        <w:color w:val="231F20"/>
                        <w:sz w:val="18"/>
                      </w:rPr>
                      <w:t>Cholera</w:t>
                    </w:r>
                  </w:p>
                  <w:p>
                    <w:pPr>
                      <w:numPr>
                        <w:ilvl w:val="0"/>
                        <w:numId w:val="5"/>
                      </w:numPr>
                      <w:tabs>
                        <w:tab w:pos="315" w:val="left" w:leader="none"/>
                      </w:tabs>
                      <w:spacing w:before="39"/>
                      <w:ind w:left="314" w:right="0" w:hanging="171"/>
                      <w:jc w:val="left"/>
                      <w:rPr>
                        <w:rFonts w:ascii="Arial"/>
                        <w:sz w:val="18"/>
                      </w:rPr>
                    </w:pPr>
                    <w:r>
                      <w:rPr>
                        <w:rFonts w:ascii="Arial"/>
                        <w:color w:val="231F20"/>
                        <w:sz w:val="18"/>
                      </w:rPr>
                      <w:t>Cryptosporidiosis</w:t>
                    </w:r>
                  </w:p>
                  <w:p>
                    <w:pPr>
                      <w:numPr>
                        <w:ilvl w:val="0"/>
                        <w:numId w:val="5"/>
                      </w:numPr>
                      <w:tabs>
                        <w:tab w:pos="315" w:val="left" w:leader="none"/>
                      </w:tabs>
                      <w:spacing w:before="39"/>
                      <w:ind w:left="314" w:right="0" w:hanging="171"/>
                      <w:jc w:val="left"/>
                      <w:rPr>
                        <w:rFonts w:ascii="Arial"/>
                        <w:sz w:val="18"/>
                      </w:rPr>
                    </w:pPr>
                    <w:r>
                      <w:rPr>
                        <w:rFonts w:ascii="Arial"/>
                        <w:color w:val="231F20"/>
                        <w:sz w:val="18"/>
                      </w:rPr>
                      <w:t>Cyclosporiasis</w:t>
                    </w:r>
                  </w:p>
                  <w:p>
                    <w:pPr>
                      <w:numPr>
                        <w:ilvl w:val="0"/>
                        <w:numId w:val="5"/>
                      </w:numPr>
                      <w:tabs>
                        <w:tab w:pos="315" w:val="left" w:leader="none"/>
                      </w:tabs>
                      <w:spacing w:before="39"/>
                      <w:ind w:left="314" w:right="0" w:hanging="171"/>
                      <w:jc w:val="left"/>
                      <w:rPr>
                        <w:rFonts w:ascii="Arial"/>
                        <w:sz w:val="18"/>
                      </w:rPr>
                    </w:pPr>
                    <w:r>
                      <w:rPr>
                        <w:rFonts w:ascii="Arial"/>
                        <w:color w:val="231F20"/>
                        <w:sz w:val="18"/>
                      </w:rPr>
                      <w:t>Giardiasis</w:t>
                    </w:r>
                  </w:p>
                  <w:p>
                    <w:pPr>
                      <w:numPr>
                        <w:ilvl w:val="0"/>
                        <w:numId w:val="5"/>
                      </w:numPr>
                      <w:tabs>
                        <w:tab w:pos="315" w:val="left" w:leader="none"/>
                      </w:tabs>
                      <w:spacing w:before="39"/>
                      <w:ind w:left="314" w:right="0" w:hanging="171"/>
                      <w:jc w:val="left"/>
                      <w:rPr>
                        <w:rFonts w:ascii="Arial"/>
                        <w:sz w:val="18"/>
                      </w:rPr>
                    </w:pPr>
                    <w:r>
                      <w:rPr>
                        <w:rFonts w:ascii="Arial"/>
                        <w:color w:val="231F20"/>
                        <w:w w:val="90"/>
                        <w:sz w:val="18"/>
                      </w:rPr>
                      <w:t>Hemolytic uremic syndrome,</w:t>
                    </w:r>
                    <w:r>
                      <w:rPr>
                        <w:rFonts w:ascii="Arial"/>
                        <w:color w:val="231F20"/>
                        <w:spacing w:val="31"/>
                        <w:w w:val="90"/>
                        <w:sz w:val="18"/>
                      </w:rPr>
                      <w:t> </w:t>
                    </w:r>
                    <w:r>
                      <w:rPr>
                        <w:rFonts w:ascii="Arial"/>
                        <w:color w:val="231F20"/>
                        <w:w w:val="90"/>
                        <w:sz w:val="18"/>
                      </w:rPr>
                      <w:t>postdiarrheal</w:t>
                    </w:r>
                  </w:p>
                  <w:p>
                    <w:pPr>
                      <w:numPr>
                        <w:ilvl w:val="0"/>
                        <w:numId w:val="5"/>
                      </w:numPr>
                      <w:tabs>
                        <w:tab w:pos="315" w:val="left" w:leader="none"/>
                      </w:tabs>
                      <w:spacing w:before="39"/>
                      <w:ind w:left="314" w:right="0" w:hanging="171"/>
                      <w:jc w:val="left"/>
                      <w:rPr>
                        <w:rFonts w:ascii="Arial"/>
                        <w:sz w:val="18"/>
                      </w:rPr>
                    </w:pPr>
                    <w:r>
                      <w:rPr>
                        <w:rFonts w:ascii="Arial"/>
                        <w:color w:val="231F20"/>
                        <w:w w:val="95"/>
                        <w:sz w:val="18"/>
                      </w:rPr>
                      <w:t>Hepatitis</w:t>
                    </w:r>
                    <w:r>
                      <w:rPr>
                        <w:rFonts w:ascii="Arial"/>
                        <w:color w:val="231F20"/>
                        <w:spacing w:val="-26"/>
                        <w:w w:val="95"/>
                        <w:sz w:val="18"/>
                      </w:rPr>
                      <w:t> </w:t>
                    </w:r>
                    <w:r>
                      <w:rPr>
                        <w:rFonts w:ascii="Arial"/>
                        <w:color w:val="231F20"/>
                        <w:w w:val="95"/>
                        <w:sz w:val="18"/>
                      </w:rPr>
                      <w:t>A</w:t>
                    </w:r>
                    <w:r>
                      <w:rPr>
                        <w:rFonts w:ascii="Arial"/>
                        <w:color w:val="231F20"/>
                        <w:spacing w:val="-26"/>
                        <w:w w:val="95"/>
                        <w:sz w:val="18"/>
                      </w:rPr>
                      <w:t> </w:t>
                    </w:r>
                    <w:r>
                      <w:rPr>
                        <w:rFonts w:ascii="Arial"/>
                        <w:color w:val="231F20"/>
                        <w:w w:val="95"/>
                        <w:sz w:val="18"/>
                      </w:rPr>
                      <w:t>virus</w:t>
                    </w:r>
                    <w:r>
                      <w:rPr>
                        <w:rFonts w:ascii="Arial"/>
                        <w:color w:val="231F20"/>
                        <w:spacing w:val="-26"/>
                        <w:w w:val="95"/>
                        <w:sz w:val="18"/>
                      </w:rPr>
                      <w:t> </w:t>
                    </w:r>
                    <w:r>
                      <w:rPr>
                        <w:rFonts w:ascii="Arial"/>
                        <w:color w:val="231F20"/>
                        <w:w w:val="95"/>
                        <w:sz w:val="18"/>
                      </w:rPr>
                      <w:t>infection,</w:t>
                    </w:r>
                    <w:r>
                      <w:rPr>
                        <w:rFonts w:ascii="Arial"/>
                        <w:color w:val="231F20"/>
                        <w:spacing w:val="-26"/>
                        <w:w w:val="95"/>
                        <w:sz w:val="18"/>
                      </w:rPr>
                      <w:t> </w:t>
                    </w:r>
                    <w:r>
                      <w:rPr>
                        <w:rFonts w:ascii="Arial"/>
                        <w:color w:val="231F20"/>
                        <w:w w:val="95"/>
                        <w:sz w:val="18"/>
                      </w:rPr>
                      <w:t>acute</w:t>
                    </w:r>
                  </w:p>
                  <w:p>
                    <w:pPr>
                      <w:numPr>
                        <w:ilvl w:val="0"/>
                        <w:numId w:val="5"/>
                      </w:numPr>
                      <w:tabs>
                        <w:tab w:pos="315" w:val="left" w:leader="none"/>
                      </w:tabs>
                      <w:spacing w:before="39"/>
                      <w:ind w:left="314" w:right="0" w:hanging="171"/>
                      <w:jc w:val="left"/>
                      <w:rPr>
                        <w:rFonts w:ascii="Arial"/>
                        <w:sz w:val="18"/>
                      </w:rPr>
                    </w:pPr>
                    <w:r>
                      <w:rPr>
                        <w:rFonts w:ascii="Arial"/>
                        <w:color w:val="231F20"/>
                        <w:w w:val="95"/>
                        <w:sz w:val="18"/>
                      </w:rPr>
                      <w:t>Listeriosis</w:t>
                    </w:r>
                  </w:p>
                  <w:p>
                    <w:pPr>
                      <w:numPr>
                        <w:ilvl w:val="0"/>
                        <w:numId w:val="5"/>
                      </w:numPr>
                      <w:tabs>
                        <w:tab w:pos="315" w:val="left" w:leader="none"/>
                      </w:tabs>
                      <w:spacing w:before="39"/>
                      <w:ind w:left="314" w:right="0" w:hanging="171"/>
                      <w:jc w:val="left"/>
                      <w:rPr>
                        <w:rFonts w:ascii="Arial"/>
                        <w:sz w:val="18"/>
                      </w:rPr>
                    </w:pPr>
                    <w:r>
                      <w:rPr>
                        <w:rFonts w:ascii="Arial"/>
                        <w:color w:val="231F20"/>
                        <w:sz w:val="18"/>
                      </w:rPr>
                      <w:t>Salmonellosis</w:t>
                    </w:r>
                  </w:p>
                  <w:p>
                    <w:pPr>
                      <w:numPr>
                        <w:ilvl w:val="0"/>
                        <w:numId w:val="5"/>
                      </w:numPr>
                      <w:tabs>
                        <w:tab w:pos="315" w:val="left" w:leader="none"/>
                      </w:tabs>
                      <w:spacing w:before="39"/>
                      <w:ind w:left="314" w:right="0" w:hanging="171"/>
                      <w:jc w:val="left"/>
                      <w:rPr>
                        <w:rFonts w:ascii="Calibri" w:hAnsi="Calibri"/>
                        <w:i/>
                        <w:sz w:val="18"/>
                      </w:rPr>
                    </w:pPr>
                    <w:r>
                      <w:rPr>
                        <w:rFonts w:ascii="Arial" w:hAnsi="Arial"/>
                        <w:color w:val="231F20"/>
                        <w:w w:val="95"/>
                        <w:sz w:val="18"/>
                      </w:rPr>
                      <w:t>Shiga toxin–producing </w:t>
                    </w:r>
                    <w:r>
                      <w:rPr>
                        <w:rFonts w:ascii="Calibri" w:hAnsi="Calibri"/>
                        <w:i/>
                        <w:color w:val="231F20"/>
                        <w:w w:val="95"/>
                        <w:sz w:val="18"/>
                      </w:rPr>
                      <w:t>Escherichia</w:t>
                    </w:r>
                    <w:r>
                      <w:rPr>
                        <w:rFonts w:ascii="Calibri" w:hAnsi="Calibri"/>
                        <w:i/>
                        <w:color w:val="231F20"/>
                        <w:spacing w:val="-17"/>
                        <w:w w:val="95"/>
                        <w:sz w:val="18"/>
                      </w:rPr>
                      <w:t> </w:t>
                    </w:r>
                    <w:r>
                      <w:rPr>
                        <w:rFonts w:ascii="Calibri" w:hAnsi="Calibri"/>
                        <w:i/>
                        <w:color w:val="231F20"/>
                        <w:w w:val="95"/>
                        <w:sz w:val="18"/>
                      </w:rPr>
                      <w:t>coli</w:t>
                    </w:r>
                  </w:p>
                  <w:p>
                    <w:pPr>
                      <w:spacing w:before="42"/>
                      <w:ind w:left="314" w:right="0" w:firstLine="0"/>
                      <w:jc w:val="left"/>
                      <w:rPr>
                        <w:rFonts w:ascii="Arial"/>
                        <w:sz w:val="18"/>
                      </w:rPr>
                    </w:pPr>
                    <w:r>
                      <w:rPr>
                        <w:rFonts w:ascii="Arial"/>
                        <w:color w:val="231F20"/>
                        <w:w w:val="85"/>
                        <w:sz w:val="18"/>
                      </w:rPr>
                      <w:t>(STEC) infection</w:t>
                    </w:r>
                  </w:p>
                  <w:p>
                    <w:pPr>
                      <w:numPr>
                        <w:ilvl w:val="0"/>
                        <w:numId w:val="5"/>
                      </w:numPr>
                      <w:tabs>
                        <w:tab w:pos="315" w:val="left" w:leader="none"/>
                      </w:tabs>
                      <w:spacing w:before="50"/>
                      <w:ind w:left="314" w:right="0" w:hanging="171"/>
                      <w:jc w:val="left"/>
                      <w:rPr>
                        <w:rFonts w:ascii="Arial"/>
                        <w:sz w:val="18"/>
                      </w:rPr>
                    </w:pPr>
                    <w:r>
                      <w:rPr>
                        <w:rFonts w:ascii="Arial"/>
                        <w:color w:val="231F20"/>
                        <w:sz w:val="18"/>
                      </w:rPr>
                      <w:t>Shigellosis</w:t>
                    </w:r>
                  </w:p>
                  <w:p>
                    <w:pPr>
                      <w:numPr>
                        <w:ilvl w:val="0"/>
                        <w:numId w:val="5"/>
                      </w:numPr>
                      <w:tabs>
                        <w:tab w:pos="315" w:val="left" w:leader="none"/>
                      </w:tabs>
                      <w:spacing w:before="40"/>
                      <w:ind w:left="314" w:right="0" w:hanging="171"/>
                      <w:jc w:val="left"/>
                      <w:rPr>
                        <w:rFonts w:ascii="Arial"/>
                        <w:sz w:val="18"/>
                      </w:rPr>
                    </w:pPr>
                    <w:r>
                      <w:rPr>
                        <w:rFonts w:ascii="Arial"/>
                        <w:color w:val="231F20"/>
                        <w:spacing w:val="-1"/>
                        <w:w w:val="85"/>
                        <w:sz w:val="18"/>
                      </w:rPr>
                      <w:t>Trichinellosis</w:t>
                    </w:r>
                    <w:r>
                      <w:rPr>
                        <w:rFonts w:ascii="Arial"/>
                        <w:color w:val="231F20"/>
                        <w:spacing w:val="32"/>
                        <w:w w:val="85"/>
                        <w:sz w:val="18"/>
                      </w:rPr>
                      <w:t> </w:t>
                    </w:r>
                    <w:r>
                      <w:rPr>
                        <w:rFonts w:ascii="Arial"/>
                        <w:color w:val="231F20"/>
                        <w:w w:val="85"/>
                        <w:sz w:val="18"/>
                      </w:rPr>
                      <w:t>(Trichinosis)</w:t>
                    </w:r>
                  </w:p>
                  <w:p>
                    <w:pPr>
                      <w:numPr>
                        <w:ilvl w:val="0"/>
                        <w:numId w:val="5"/>
                      </w:numPr>
                      <w:tabs>
                        <w:tab w:pos="315" w:val="left" w:leader="none"/>
                      </w:tabs>
                      <w:spacing w:before="40"/>
                      <w:ind w:left="314" w:right="0" w:hanging="171"/>
                      <w:jc w:val="left"/>
                      <w:rPr>
                        <w:rFonts w:ascii="Arial"/>
                        <w:sz w:val="18"/>
                      </w:rPr>
                    </w:pPr>
                    <w:r>
                      <w:rPr>
                        <w:rFonts w:ascii="Arial"/>
                        <w:color w:val="231F20"/>
                        <w:spacing w:val="-3"/>
                        <w:w w:val="90"/>
                        <w:sz w:val="18"/>
                      </w:rPr>
                      <w:t>Typhoid</w:t>
                    </w:r>
                    <w:r>
                      <w:rPr>
                        <w:rFonts w:ascii="Arial"/>
                        <w:color w:val="231F20"/>
                        <w:spacing w:val="20"/>
                        <w:w w:val="90"/>
                        <w:sz w:val="18"/>
                      </w:rPr>
                      <w:t> </w:t>
                    </w:r>
                    <w:r>
                      <w:rPr>
                        <w:rFonts w:ascii="Arial"/>
                        <w:color w:val="231F20"/>
                        <w:w w:val="90"/>
                        <w:sz w:val="18"/>
                      </w:rPr>
                      <w:t>fever</w:t>
                    </w:r>
                  </w:p>
                  <w:p>
                    <w:pPr>
                      <w:numPr>
                        <w:ilvl w:val="0"/>
                        <w:numId w:val="5"/>
                      </w:numPr>
                      <w:tabs>
                        <w:tab w:pos="315" w:val="left" w:leader="none"/>
                      </w:tabs>
                      <w:spacing w:before="20"/>
                      <w:ind w:left="314" w:right="0" w:hanging="171"/>
                      <w:jc w:val="left"/>
                      <w:rPr>
                        <w:rFonts w:ascii="Arial"/>
                        <w:sz w:val="18"/>
                      </w:rPr>
                    </w:pPr>
                    <w:r>
                      <w:rPr>
                        <w:rFonts w:ascii="Calibri"/>
                        <w:i/>
                        <w:color w:val="231F20"/>
                        <w:w w:val="95"/>
                        <w:sz w:val="18"/>
                      </w:rPr>
                      <w:t>Vibrio</w:t>
                    </w:r>
                    <w:r>
                      <w:rPr>
                        <w:rFonts w:ascii="Calibri"/>
                        <w:i/>
                        <w:color w:val="231F20"/>
                        <w:spacing w:val="8"/>
                        <w:w w:val="95"/>
                        <w:sz w:val="18"/>
                      </w:rPr>
                      <w:t> </w:t>
                    </w:r>
                    <w:r>
                      <w:rPr>
                        <w:rFonts w:ascii="Arial"/>
                        <w:color w:val="231F20"/>
                        <w:w w:val="95"/>
                        <w:sz w:val="18"/>
                      </w:rPr>
                      <w:t>infection</w:t>
                    </w:r>
                  </w:p>
                  <w:p>
                    <w:pPr>
                      <w:spacing w:line="240" w:lineRule="auto" w:before="9"/>
                      <w:rPr>
                        <w:sz w:val="19"/>
                      </w:rPr>
                    </w:pPr>
                  </w:p>
                  <w:p>
                    <w:pPr>
                      <w:spacing w:before="0"/>
                      <w:ind w:left="142" w:right="0" w:firstLine="0"/>
                      <w:jc w:val="left"/>
                      <w:rPr>
                        <w:rFonts w:ascii="Arial"/>
                        <w:sz w:val="18"/>
                      </w:rPr>
                    </w:pPr>
                    <w:r>
                      <w:rPr>
                        <w:rFonts w:ascii="Arial"/>
                        <w:color w:val="231F20"/>
                        <w:w w:val="95"/>
                        <w:sz w:val="18"/>
                      </w:rPr>
                      <w:t>In</w:t>
                    </w:r>
                    <w:r>
                      <w:rPr>
                        <w:rFonts w:ascii="Arial"/>
                        <w:color w:val="231F20"/>
                        <w:spacing w:val="-30"/>
                        <w:w w:val="95"/>
                        <w:sz w:val="18"/>
                      </w:rPr>
                      <w:t> </w:t>
                    </w:r>
                    <w:r>
                      <w:rPr>
                        <w:rFonts w:ascii="Arial"/>
                        <w:color w:val="231F20"/>
                        <w:w w:val="95"/>
                        <w:sz w:val="18"/>
                      </w:rPr>
                      <w:t>addition,</w:t>
                    </w:r>
                    <w:r>
                      <w:rPr>
                        <w:rFonts w:ascii="Arial"/>
                        <w:color w:val="231F20"/>
                        <w:spacing w:val="-30"/>
                        <w:w w:val="95"/>
                        <w:sz w:val="18"/>
                      </w:rPr>
                      <w:t> </w:t>
                    </w:r>
                    <w:r>
                      <w:rPr>
                        <w:rFonts w:ascii="Arial"/>
                        <w:color w:val="231F20"/>
                        <w:w w:val="95"/>
                        <w:sz w:val="18"/>
                      </w:rPr>
                      <w:t>the</w:t>
                    </w:r>
                    <w:r>
                      <w:rPr>
                        <w:rFonts w:ascii="Arial"/>
                        <w:color w:val="231F20"/>
                        <w:spacing w:val="-30"/>
                        <w:w w:val="95"/>
                        <w:sz w:val="18"/>
                      </w:rPr>
                      <w:t> </w:t>
                    </w:r>
                    <w:r>
                      <w:rPr>
                        <w:rFonts w:ascii="Arial"/>
                        <w:color w:val="231F20"/>
                        <w:w w:val="95"/>
                        <w:sz w:val="18"/>
                      </w:rPr>
                      <w:t>following</w:t>
                    </w:r>
                    <w:r>
                      <w:rPr>
                        <w:rFonts w:ascii="Arial"/>
                        <w:color w:val="231F20"/>
                        <w:spacing w:val="-30"/>
                        <w:w w:val="95"/>
                        <w:sz w:val="18"/>
                      </w:rPr>
                      <w:t> </w:t>
                    </w:r>
                    <w:r>
                      <w:rPr>
                        <w:rFonts w:ascii="Arial"/>
                        <w:color w:val="231F20"/>
                        <w:w w:val="95"/>
                        <w:sz w:val="18"/>
                      </w:rPr>
                      <w:t>are</w:t>
                    </w:r>
                    <w:r>
                      <w:rPr>
                        <w:rFonts w:ascii="Arial"/>
                        <w:color w:val="231F20"/>
                        <w:spacing w:val="-30"/>
                        <w:w w:val="95"/>
                        <w:sz w:val="18"/>
                      </w:rPr>
                      <w:t> </w:t>
                    </w:r>
                    <w:r>
                      <w:rPr>
                        <w:rFonts w:ascii="Arial"/>
                        <w:color w:val="231F20"/>
                        <w:w w:val="95"/>
                        <w:sz w:val="18"/>
                      </w:rPr>
                      <w:t>nationally</w:t>
                    </w:r>
                    <w:r>
                      <w:rPr>
                        <w:rFonts w:ascii="Arial"/>
                        <w:color w:val="231F20"/>
                        <w:spacing w:val="-30"/>
                        <w:w w:val="95"/>
                        <w:sz w:val="18"/>
                      </w:rPr>
                      <w:t> </w:t>
                    </w:r>
                    <w:r>
                      <w:rPr>
                        <w:rFonts w:ascii="Arial"/>
                        <w:color w:val="231F20"/>
                        <w:w w:val="95"/>
                        <w:sz w:val="18"/>
                      </w:rPr>
                      <w:t>notifiable:</w:t>
                    </w:r>
                  </w:p>
                  <w:p>
                    <w:pPr>
                      <w:numPr>
                        <w:ilvl w:val="0"/>
                        <w:numId w:val="5"/>
                      </w:numPr>
                      <w:tabs>
                        <w:tab w:pos="315" w:val="left" w:leader="none"/>
                      </w:tabs>
                      <w:spacing w:before="50"/>
                      <w:ind w:left="314" w:right="0" w:hanging="171"/>
                      <w:jc w:val="left"/>
                      <w:rPr>
                        <w:rFonts w:ascii="Arial"/>
                        <w:sz w:val="18"/>
                      </w:rPr>
                    </w:pPr>
                    <w:r>
                      <w:rPr>
                        <w:rFonts w:ascii="Arial"/>
                        <w:color w:val="231F20"/>
                        <w:w w:val="90"/>
                        <w:sz w:val="18"/>
                      </w:rPr>
                      <w:t>Foodborne disease</w:t>
                    </w:r>
                    <w:r>
                      <w:rPr>
                        <w:rFonts w:ascii="Arial"/>
                        <w:color w:val="231F20"/>
                        <w:spacing w:val="9"/>
                        <w:w w:val="90"/>
                        <w:sz w:val="18"/>
                      </w:rPr>
                      <w:t> </w:t>
                    </w:r>
                    <w:r>
                      <w:rPr>
                        <w:rFonts w:ascii="Arial"/>
                        <w:color w:val="231F20"/>
                        <w:w w:val="90"/>
                        <w:sz w:val="18"/>
                      </w:rPr>
                      <w:t>outbreaks</w:t>
                    </w:r>
                  </w:p>
                  <w:p>
                    <w:pPr>
                      <w:numPr>
                        <w:ilvl w:val="0"/>
                        <w:numId w:val="5"/>
                      </w:numPr>
                      <w:tabs>
                        <w:tab w:pos="315" w:val="left" w:leader="none"/>
                      </w:tabs>
                      <w:spacing w:before="20"/>
                      <w:ind w:left="314" w:right="0" w:hanging="171"/>
                      <w:jc w:val="left"/>
                      <w:rPr>
                        <w:rFonts w:ascii="Arial"/>
                        <w:sz w:val="18"/>
                      </w:rPr>
                    </w:pPr>
                    <w:r>
                      <w:rPr>
                        <w:rFonts w:ascii="Arial"/>
                        <w:color w:val="231F20"/>
                        <w:w w:val="90"/>
                        <w:sz w:val="18"/>
                      </w:rPr>
                      <w:t>Waterborne disease</w:t>
                    </w:r>
                    <w:r>
                      <w:rPr>
                        <w:rFonts w:ascii="Arial"/>
                        <w:color w:val="231F20"/>
                        <w:spacing w:val="-6"/>
                        <w:w w:val="90"/>
                        <w:sz w:val="18"/>
                      </w:rPr>
                      <w:t> </w:t>
                    </w:r>
                    <w:r>
                      <w:rPr>
                        <w:rFonts w:ascii="Arial"/>
                        <w:color w:val="231F20"/>
                        <w:w w:val="90"/>
                        <w:sz w:val="18"/>
                      </w:rPr>
                      <w:t>outbreaks</w:t>
                    </w:r>
                  </w:p>
                  <w:p>
                    <w:pPr>
                      <w:spacing w:line="240" w:lineRule="auto" w:before="10"/>
                      <w:rPr>
                        <w:sz w:val="18"/>
                      </w:rPr>
                    </w:pPr>
                  </w:p>
                  <w:p>
                    <w:pPr>
                      <w:spacing w:line="290" w:lineRule="auto" w:before="0"/>
                      <w:ind w:left="142" w:right="495" w:firstLine="0"/>
                      <w:jc w:val="left"/>
                      <w:rPr>
                        <w:rFonts w:ascii="Arial"/>
                        <w:sz w:val="18"/>
                      </w:rPr>
                    </w:pPr>
                    <w:r>
                      <w:rPr>
                        <w:rFonts w:ascii="Arial"/>
                        <w:color w:val="231F20"/>
                        <w:w w:val="95"/>
                        <w:sz w:val="18"/>
                      </w:rPr>
                      <w:t>From</w:t>
                    </w:r>
                    <w:r>
                      <w:rPr>
                        <w:rFonts w:ascii="Arial"/>
                        <w:color w:val="231F20"/>
                        <w:spacing w:val="-29"/>
                        <w:w w:val="95"/>
                        <w:sz w:val="18"/>
                      </w:rPr>
                      <w:t> </w:t>
                    </w:r>
                    <w:r>
                      <w:rPr>
                        <w:rFonts w:ascii="Arial"/>
                        <w:color w:val="231F20"/>
                        <w:w w:val="95"/>
                        <w:sz w:val="18"/>
                      </w:rPr>
                      <w:t>CDC.</w:t>
                    </w:r>
                    <w:r>
                      <w:rPr>
                        <w:rFonts w:ascii="Arial"/>
                        <w:color w:val="231F20"/>
                        <w:spacing w:val="-29"/>
                        <w:w w:val="95"/>
                        <w:sz w:val="18"/>
                      </w:rPr>
                      <w:t> </w:t>
                    </w:r>
                    <w:r>
                      <w:rPr>
                        <w:rFonts w:ascii="Arial"/>
                        <w:color w:val="231F20"/>
                        <w:w w:val="95"/>
                        <w:sz w:val="18"/>
                      </w:rPr>
                      <w:t>Nationally</w:t>
                    </w:r>
                    <w:r>
                      <w:rPr>
                        <w:rFonts w:ascii="Arial"/>
                        <w:color w:val="231F20"/>
                        <w:spacing w:val="-29"/>
                        <w:w w:val="95"/>
                        <w:sz w:val="18"/>
                      </w:rPr>
                      <w:t> </w:t>
                    </w:r>
                    <w:r>
                      <w:rPr>
                        <w:rFonts w:ascii="Arial"/>
                        <w:color w:val="231F20"/>
                        <w:w w:val="95"/>
                        <w:sz w:val="18"/>
                      </w:rPr>
                      <w:t>Notifiable</w:t>
                    </w:r>
                    <w:r>
                      <w:rPr>
                        <w:rFonts w:ascii="Arial"/>
                        <w:color w:val="231F20"/>
                        <w:spacing w:val="-29"/>
                        <w:w w:val="95"/>
                        <w:sz w:val="18"/>
                      </w:rPr>
                      <w:t> </w:t>
                    </w:r>
                    <w:r>
                      <w:rPr>
                        <w:rFonts w:ascii="Arial"/>
                        <w:color w:val="231F20"/>
                        <w:w w:val="95"/>
                        <w:sz w:val="18"/>
                      </w:rPr>
                      <w:t>Infectious</w:t>
                    </w:r>
                    <w:r>
                      <w:rPr>
                        <w:rFonts w:ascii="Arial"/>
                        <w:color w:val="231F20"/>
                        <w:w w:val="90"/>
                        <w:sz w:val="18"/>
                      </w:rPr>
                      <w:t> </w:t>
                    </w:r>
                    <w:r>
                      <w:rPr>
                        <w:rFonts w:ascii="Arial"/>
                        <w:color w:val="231F20"/>
                        <w:w w:val="90"/>
                        <w:sz w:val="18"/>
                      </w:rPr>
                      <w:t>Diseases.</w:t>
                    </w:r>
                    <w:r>
                      <w:rPr>
                        <w:rFonts w:ascii="Arial"/>
                        <w:color w:val="231F20"/>
                        <w:spacing w:val="-16"/>
                        <w:w w:val="90"/>
                        <w:sz w:val="18"/>
                      </w:rPr>
                      <w:t> </w:t>
                    </w:r>
                    <w:r>
                      <w:rPr>
                        <w:rFonts w:ascii="Arial"/>
                        <w:color w:val="231F20"/>
                        <w:w w:val="90"/>
                        <w:sz w:val="18"/>
                      </w:rPr>
                      <w:t>United</w:t>
                    </w:r>
                    <w:r>
                      <w:rPr>
                        <w:rFonts w:ascii="Arial"/>
                        <w:color w:val="231F20"/>
                        <w:spacing w:val="-16"/>
                        <w:w w:val="90"/>
                        <w:sz w:val="18"/>
                      </w:rPr>
                      <w:t> </w:t>
                    </w:r>
                    <w:r>
                      <w:rPr>
                        <w:rFonts w:ascii="Arial"/>
                        <w:color w:val="231F20"/>
                        <w:w w:val="90"/>
                        <w:sz w:val="18"/>
                      </w:rPr>
                      <w:t>States</w:t>
                    </w:r>
                    <w:r>
                      <w:rPr>
                        <w:rFonts w:ascii="Arial"/>
                        <w:color w:val="231F20"/>
                        <w:spacing w:val="-16"/>
                        <w:w w:val="90"/>
                        <w:sz w:val="18"/>
                      </w:rPr>
                      <w:t> </w:t>
                    </w:r>
                    <w:r>
                      <w:rPr>
                        <w:rFonts w:ascii="Arial"/>
                        <w:color w:val="231F20"/>
                        <w:w w:val="90"/>
                        <w:sz w:val="18"/>
                      </w:rPr>
                      <w:t>2008.</w:t>
                    </w:r>
                    <w:r>
                      <w:rPr>
                        <w:rFonts w:ascii="Arial"/>
                        <w:color w:val="231F20"/>
                        <w:spacing w:val="-16"/>
                        <w:w w:val="90"/>
                        <w:sz w:val="18"/>
                      </w:rPr>
                      <w:t> </w:t>
                    </w:r>
                    <w:r>
                      <w:rPr>
                        <w:rFonts w:ascii="Arial"/>
                        <w:color w:val="231F20"/>
                        <w:w w:val="90"/>
                        <w:sz w:val="18"/>
                      </w:rPr>
                      <w:t>Revised.</w:t>
                    </w:r>
                  </w:p>
                  <w:p>
                    <w:pPr>
                      <w:spacing w:line="290" w:lineRule="auto" w:before="0"/>
                      <w:ind w:left="142" w:right="73" w:firstLine="0"/>
                      <w:jc w:val="left"/>
                      <w:rPr>
                        <w:rFonts w:ascii="Arial"/>
                        <w:sz w:val="18"/>
                      </w:rPr>
                    </w:pPr>
                    <w:r>
                      <w:rPr>
                        <w:rFonts w:ascii="Arial"/>
                        <w:color w:val="231F20"/>
                        <w:sz w:val="18"/>
                      </w:rPr>
                      <w:t>Available at </w:t>
                    </w:r>
                    <w:hyperlink r:id="rId14">
                      <w:r>
                        <w:rPr>
                          <w:rFonts w:ascii="Arial"/>
                          <w:color w:val="0079C1"/>
                          <w:sz w:val="18"/>
                        </w:rPr>
                        <w:t>www.cdc.gov/nndss/</w:t>
                      </w:r>
                    </w:hyperlink>
                    <w:r>
                      <w:rPr>
                        <w:rFonts w:ascii="Arial"/>
                        <w:color w:val="0079C1"/>
                        <w:sz w:val="18"/>
                      </w:rPr>
                      <w:t> </w:t>
                    </w:r>
                    <w:r>
                      <w:rPr>
                        <w:rFonts w:ascii="Arial"/>
                        <w:color w:val="0079C1"/>
                        <w:w w:val="90"/>
                        <w:sz w:val="18"/>
                      </w:rPr>
                      <w:t>document/2012_Case%20Definitions.pdf</w:t>
                    </w:r>
                  </w:p>
                </w:txbxContent>
              </v:textbox>
              <w10:wrap type="none"/>
            </v:shape>
            <w10:wrap type="none"/>
          </v:group>
        </w:pict>
      </w:r>
      <w:r>
        <w:rPr>
          <w:color w:val="231F20"/>
          <w:spacing w:val="-11"/>
          <w:w w:val="105"/>
        </w:rPr>
        <w:t>To </w:t>
      </w:r>
      <w:r>
        <w:rPr>
          <w:color w:val="231F20"/>
          <w:w w:val="105"/>
        </w:rPr>
        <w:t>systematically collect, analyze, and disseminate information about laboratory- confirmed</w:t>
      </w:r>
      <w:r>
        <w:rPr>
          <w:color w:val="231F20"/>
          <w:spacing w:val="-28"/>
          <w:w w:val="105"/>
        </w:rPr>
        <w:t> </w:t>
      </w:r>
      <w:r>
        <w:rPr>
          <w:color w:val="231F20"/>
          <w:w w:val="105"/>
        </w:rPr>
        <w:t>illnesses</w:t>
      </w:r>
      <w:r>
        <w:rPr>
          <w:color w:val="231F20"/>
          <w:spacing w:val="-28"/>
          <w:w w:val="105"/>
        </w:rPr>
        <w:t> </w:t>
      </w:r>
      <w:r>
        <w:rPr>
          <w:color w:val="231F20"/>
          <w:w w:val="105"/>
        </w:rPr>
        <w:t>or</w:t>
      </w:r>
      <w:r>
        <w:rPr>
          <w:color w:val="231F20"/>
          <w:spacing w:val="-28"/>
          <w:w w:val="105"/>
        </w:rPr>
        <w:t> </w:t>
      </w:r>
      <w:r>
        <w:rPr>
          <w:color w:val="231F20"/>
          <w:w w:val="105"/>
        </w:rPr>
        <w:t>well-defined</w:t>
      </w:r>
      <w:r>
        <w:rPr>
          <w:color w:val="231F20"/>
          <w:spacing w:val="-28"/>
          <w:w w:val="105"/>
        </w:rPr>
        <w:t> </w:t>
      </w:r>
      <w:r>
        <w:rPr>
          <w:color w:val="231F20"/>
          <w:w w:val="105"/>
        </w:rPr>
        <w:t>syndromes</w:t>
      </w:r>
      <w:r>
        <w:rPr>
          <w:color w:val="231F20"/>
          <w:w w:val="100"/>
        </w:rPr>
        <w:t> </w:t>
      </w:r>
      <w:r>
        <w:rPr>
          <w:color w:val="231F20"/>
          <w:w w:val="105"/>
        </w:rPr>
        <w:t>as</w:t>
      </w:r>
      <w:r>
        <w:rPr>
          <w:color w:val="231F20"/>
          <w:spacing w:val="-15"/>
          <w:w w:val="105"/>
        </w:rPr>
        <w:t> </w:t>
      </w:r>
      <w:r>
        <w:rPr>
          <w:color w:val="231F20"/>
          <w:w w:val="105"/>
        </w:rPr>
        <w:t>part</w:t>
      </w:r>
      <w:r>
        <w:rPr>
          <w:color w:val="231F20"/>
          <w:spacing w:val="-14"/>
          <w:w w:val="105"/>
        </w:rPr>
        <w:t> </w:t>
      </w:r>
      <w:r>
        <w:rPr>
          <w:color w:val="231F20"/>
          <w:w w:val="105"/>
        </w:rPr>
        <w:t>of</w:t>
      </w:r>
      <w:r>
        <w:rPr>
          <w:color w:val="231F20"/>
          <w:spacing w:val="8"/>
          <w:w w:val="105"/>
        </w:rPr>
        <w:t> </w:t>
      </w:r>
      <w:r>
        <w:rPr>
          <w:color w:val="231F20"/>
          <w:w w:val="105"/>
        </w:rPr>
        <w:t>prevention</w:t>
      </w:r>
      <w:r>
        <w:rPr>
          <w:color w:val="231F20"/>
          <w:spacing w:val="-15"/>
          <w:w w:val="105"/>
        </w:rPr>
        <w:t> </w:t>
      </w:r>
      <w:r>
        <w:rPr>
          <w:color w:val="231F20"/>
          <w:w w:val="105"/>
        </w:rPr>
        <w:t>and</w:t>
      </w:r>
      <w:r>
        <w:rPr>
          <w:color w:val="231F20"/>
          <w:spacing w:val="-15"/>
          <w:w w:val="105"/>
        </w:rPr>
        <w:t> </w:t>
      </w:r>
      <w:r>
        <w:rPr>
          <w:color w:val="231F20"/>
          <w:w w:val="105"/>
        </w:rPr>
        <w:t>control</w:t>
      </w:r>
      <w:r>
        <w:rPr>
          <w:color w:val="231F20"/>
          <w:spacing w:val="-14"/>
          <w:w w:val="105"/>
        </w:rPr>
        <w:t> </w:t>
      </w:r>
      <w:r>
        <w:rPr>
          <w:color w:val="231F20"/>
          <w:w w:val="105"/>
        </w:rPr>
        <w:t>activities.</w:t>
      </w:r>
    </w:p>
    <w:p>
      <w:pPr>
        <w:pStyle w:val="ListParagraph"/>
        <w:numPr>
          <w:ilvl w:val="2"/>
          <w:numId w:val="4"/>
        </w:numPr>
        <w:tabs>
          <w:tab w:pos="1996" w:val="left" w:leader="none"/>
        </w:tabs>
        <w:spacing w:line="240" w:lineRule="auto" w:before="159" w:after="0"/>
        <w:ind w:left="1996" w:right="0" w:hanging="556"/>
        <w:jc w:val="left"/>
        <w:rPr>
          <w:rFonts w:ascii="Lucida Sans"/>
          <w:sz w:val="20"/>
        </w:rPr>
      </w:pPr>
      <w:r>
        <w:rPr>
          <w:rFonts w:ascii="Lucida Sans"/>
          <w:color w:val="1C3E94"/>
          <w:sz w:val="20"/>
        </w:rPr>
        <w:t>Background</w:t>
      </w:r>
    </w:p>
    <w:p>
      <w:pPr>
        <w:pStyle w:val="BodyText"/>
        <w:spacing w:before="3"/>
        <w:rPr>
          <w:rFonts w:ascii="Lucida Sans"/>
          <w:sz w:val="18"/>
        </w:rPr>
      </w:pPr>
    </w:p>
    <w:p>
      <w:pPr>
        <w:pStyle w:val="BodyText"/>
        <w:spacing w:line="266" w:lineRule="auto"/>
        <w:ind w:left="1440" w:right="4928"/>
      </w:pPr>
      <w:r>
        <w:rPr>
          <w:color w:val="231F20"/>
        </w:rPr>
        <w:t>Surveillance for typhoid fever began in 1912 and was extended to all </w:t>
      </w:r>
      <w:r>
        <w:rPr>
          <w:i/>
          <w:color w:val="231F20"/>
        </w:rPr>
        <w:t>Salmonella </w:t>
      </w:r>
      <w:r>
        <w:rPr>
          <w:color w:val="231F20"/>
          <w:spacing w:val="-3"/>
        </w:rPr>
        <w:t>spp.  </w:t>
      </w:r>
      <w:r>
        <w:rPr>
          <w:color w:val="231F20"/>
        </w:rPr>
        <w:t>in   1942. National serotype-based surveillance of </w:t>
      </w:r>
      <w:r>
        <w:rPr>
          <w:i/>
          <w:color w:val="231F20"/>
        </w:rPr>
        <w:t>Salmonella </w:t>
      </w:r>
      <w:r>
        <w:rPr>
          <w:color w:val="231F20"/>
        </w:rPr>
        <w:t>began in 1963, making it one of the oldest pathogen-specific surveillance programs and the oldest public health laboratory subtype-based surveillance system. The usefulness of  pathogen-specific</w:t>
      </w:r>
      <w:r>
        <w:rPr>
          <w:color w:val="231F20"/>
          <w:spacing w:val="27"/>
        </w:rPr>
        <w:t> </w:t>
      </w:r>
      <w:r>
        <w:rPr>
          <w:color w:val="231F20"/>
        </w:rPr>
        <w:t>surveillance</w:t>
      </w:r>
    </w:p>
    <w:p>
      <w:pPr>
        <w:pStyle w:val="BodyText"/>
        <w:spacing w:line="266" w:lineRule="auto"/>
        <w:ind w:left="1440" w:right="4962"/>
      </w:pPr>
      <w:r>
        <w:rPr>
          <w:color w:val="231F20"/>
          <w:w w:val="105"/>
        </w:rPr>
        <w:t>is related to the specificity with which agents are classified (i.e., use of subtyping and method), permitting individual cases of disease to be grouped with other cases most likely</w:t>
      </w:r>
      <w:r>
        <w:rPr>
          <w:color w:val="231F20"/>
          <w:spacing w:val="-16"/>
          <w:w w:val="105"/>
        </w:rPr>
        <w:t> </w:t>
      </w:r>
      <w:r>
        <w:rPr>
          <w:color w:val="231F20"/>
          <w:w w:val="105"/>
        </w:rPr>
        <w:t>to</w:t>
      </w:r>
      <w:r>
        <w:rPr>
          <w:color w:val="231F20"/>
          <w:spacing w:val="-16"/>
          <w:w w:val="105"/>
        </w:rPr>
        <w:t> </w:t>
      </w:r>
      <w:r>
        <w:rPr>
          <w:color w:val="231F20"/>
          <w:w w:val="105"/>
        </w:rPr>
        <w:t>share</w:t>
      </w:r>
      <w:r>
        <w:rPr>
          <w:color w:val="231F20"/>
          <w:spacing w:val="-15"/>
          <w:w w:val="105"/>
        </w:rPr>
        <w:t> </w:t>
      </w:r>
      <w:r>
        <w:rPr>
          <w:color w:val="231F20"/>
          <w:w w:val="105"/>
        </w:rPr>
        <w:t>a</w:t>
      </w:r>
      <w:r>
        <w:rPr>
          <w:color w:val="231F20"/>
          <w:spacing w:val="-15"/>
          <w:w w:val="105"/>
        </w:rPr>
        <w:t> </w:t>
      </w:r>
      <w:r>
        <w:rPr>
          <w:color w:val="231F20"/>
          <w:w w:val="105"/>
        </w:rPr>
        <w:t>common</w:t>
      </w:r>
      <w:r>
        <w:rPr>
          <w:color w:val="231F20"/>
          <w:spacing w:val="-15"/>
          <w:w w:val="105"/>
        </w:rPr>
        <w:t> </w:t>
      </w:r>
      <w:r>
        <w:rPr>
          <w:color w:val="231F20"/>
          <w:w w:val="105"/>
        </w:rPr>
        <w:t>food</w:t>
      </w:r>
      <w:r>
        <w:rPr>
          <w:color w:val="231F20"/>
          <w:spacing w:val="-15"/>
          <w:w w:val="105"/>
        </w:rPr>
        <w:t> </w:t>
      </w:r>
      <w:r>
        <w:rPr>
          <w:color w:val="231F20"/>
          <w:w w:val="105"/>
        </w:rPr>
        <w:t>source</w:t>
      </w:r>
      <w:r>
        <w:rPr>
          <w:color w:val="231F20"/>
          <w:spacing w:val="-15"/>
          <w:w w:val="105"/>
        </w:rPr>
        <w:t> </w:t>
      </w:r>
      <w:r>
        <w:rPr>
          <w:color w:val="231F20"/>
          <w:w w:val="105"/>
        </w:rPr>
        <w:t>or</w:t>
      </w:r>
      <w:r>
        <w:rPr>
          <w:color w:val="231F20"/>
          <w:spacing w:val="-15"/>
          <w:w w:val="105"/>
        </w:rPr>
        <w:t> </w:t>
      </w:r>
      <w:r>
        <w:rPr>
          <w:color w:val="231F20"/>
          <w:w w:val="105"/>
        </w:rPr>
        <w:t>other exposure (Box 4.1). The utility of bacterial surveillance increased during the 1990s with the development of PulseNet and molecular subtyping of selected foodborne pathogens, including </w:t>
      </w:r>
      <w:r>
        <w:rPr>
          <w:i/>
          <w:color w:val="231F20"/>
          <w:w w:val="105"/>
        </w:rPr>
        <w:t>Salmonella</w:t>
      </w:r>
      <w:r>
        <w:rPr>
          <w:color w:val="231F20"/>
          <w:w w:val="105"/>
        </w:rPr>
        <w:t>, Shiga toxin–producing </w:t>
      </w:r>
      <w:r>
        <w:rPr>
          <w:i/>
          <w:color w:val="231F20"/>
          <w:w w:val="105"/>
        </w:rPr>
        <w:t>Escherichia coli </w:t>
      </w:r>
      <w:r>
        <w:rPr>
          <w:color w:val="231F20"/>
          <w:w w:val="105"/>
        </w:rPr>
        <w:t>(STEC) O157:H7, </w:t>
      </w:r>
      <w:r>
        <w:rPr>
          <w:i/>
          <w:color w:val="231F20"/>
          <w:w w:val="105"/>
        </w:rPr>
        <w:t>Shigella</w:t>
      </w:r>
      <w:r>
        <w:rPr>
          <w:color w:val="231F20"/>
          <w:w w:val="105"/>
        </w:rPr>
        <w:t>, </w:t>
      </w:r>
      <w:r>
        <w:rPr>
          <w:i/>
          <w:color w:val="231F20"/>
          <w:w w:val="105"/>
        </w:rPr>
        <w:t>Listeria</w:t>
      </w:r>
      <w:r>
        <w:rPr>
          <w:color w:val="231F20"/>
          <w:w w:val="105"/>
        </w:rPr>
        <w:t>,</w:t>
      </w:r>
      <w:r>
        <w:rPr>
          <w:color w:val="231F20"/>
          <w:spacing w:val="-25"/>
          <w:w w:val="105"/>
        </w:rPr>
        <w:t> </w:t>
      </w:r>
      <w:r>
        <w:rPr>
          <w:color w:val="231F20"/>
          <w:w w:val="105"/>
        </w:rPr>
        <w:t>and</w:t>
      </w:r>
      <w:r>
        <w:rPr>
          <w:color w:val="231F20"/>
          <w:spacing w:val="-25"/>
          <w:w w:val="105"/>
        </w:rPr>
        <w:t> </w:t>
      </w:r>
      <w:r>
        <w:rPr>
          <w:i/>
          <w:color w:val="231F20"/>
          <w:w w:val="105"/>
        </w:rPr>
        <w:t>Campylobacter</w:t>
      </w:r>
      <w:r>
        <w:rPr>
          <w:color w:val="231F20"/>
          <w:w w:val="105"/>
        </w:rPr>
        <w:t>.</w:t>
      </w:r>
    </w:p>
    <w:p>
      <w:pPr>
        <w:spacing w:after="0" w:line="266" w:lineRule="auto"/>
        <w:sectPr>
          <w:type w:val="continuous"/>
          <w:pgSz w:w="10080" w:h="14400"/>
          <w:pgMar w:top="0" w:bottom="0" w:left="0" w:right="0"/>
        </w:sectPr>
      </w:pPr>
    </w:p>
    <w:p>
      <w:pPr>
        <w:pStyle w:val="BodyText"/>
        <w:spacing w:before="8"/>
        <w:rPr>
          <w:sz w:val="26"/>
        </w:rPr>
      </w:pPr>
    </w:p>
    <w:p>
      <w:pPr>
        <w:pStyle w:val="Heading1"/>
        <w:numPr>
          <w:ilvl w:val="1"/>
          <w:numId w:val="6"/>
        </w:numPr>
        <w:tabs>
          <w:tab w:pos="1265" w:val="left" w:leader="none"/>
        </w:tabs>
        <w:spacing w:line="240" w:lineRule="auto" w:before="89" w:after="0"/>
        <w:ind w:left="1264" w:right="0" w:hanging="544"/>
        <w:jc w:val="left"/>
      </w:pPr>
      <w:r>
        <w:rPr/>
        <w:pict>
          <v:line style="position:absolute;mso-position-horizontal-relative:page;mso-position-vertical-relative:paragraph;z-index:1744;mso-wrap-distance-left:0;mso-wrap-distance-right:0" from="36pt,23.995163pt" to="432pt,23.995163pt" stroked="true" strokeweight=".5pt" strokecolor="#00a94f">
            <v:stroke dashstyle="solid"/>
            <w10:wrap type="topAndBottom"/>
          </v:line>
        </w:pict>
      </w:r>
      <w:r>
        <w:rPr>
          <w:color w:val="00A94F"/>
          <w:w w:val="95"/>
        </w:rPr>
        <w:t>Pathogen-Specific</w:t>
      </w:r>
      <w:r>
        <w:rPr>
          <w:color w:val="00A94F"/>
          <w:spacing w:val="-36"/>
          <w:w w:val="95"/>
        </w:rPr>
        <w:t> </w:t>
      </w:r>
      <w:r>
        <w:rPr>
          <w:color w:val="00A94F"/>
          <w:w w:val="95"/>
        </w:rPr>
        <w:t>Surveillance</w:t>
      </w:r>
    </w:p>
    <w:p>
      <w:pPr>
        <w:pStyle w:val="BodyText"/>
        <w:spacing w:before="7"/>
        <w:rPr>
          <w:rFonts w:ascii="Lucida Sans"/>
          <w:sz w:val="18"/>
        </w:rPr>
      </w:pPr>
    </w:p>
    <w:p>
      <w:pPr>
        <w:spacing w:after="0"/>
        <w:rPr>
          <w:rFonts w:ascii="Lucida Sans"/>
          <w:sz w:val="18"/>
        </w:rPr>
        <w:sectPr>
          <w:pgSz w:w="10080" w:h="14400"/>
          <w:pgMar w:header="0" w:footer="0" w:top="980" w:bottom="280" w:left="0" w:right="0"/>
        </w:sectPr>
      </w:pPr>
    </w:p>
    <w:p>
      <w:pPr>
        <w:pStyle w:val="ListParagraph"/>
        <w:numPr>
          <w:ilvl w:val="2"/>
          <w:numId w:val="6"/>
        </w:numPr>
        <w:tabs>
          <w:tab w:pos="1276" w:val="left" w:leader="none"/>
        </w:tabs>
        <w:spacing w:line="254" w:lineRule="auto" w:before="92" w:after="0"/>
        <w:ind w:left="720" w:right="405" w:firstLine="0"/>
        <w:jc w:val="left"/>
        <w:rPr>
          <w:rFonts w:ascii="Lucida Sans"/>
          <w:sz w:val="20"/>
        </w:rPr>
      </w:pPr>
      <w:r>
        <w:rPr>
          <w:rFonts w:ascii="Lucida Sans"/>
          <w:color w:val="1C3E94"/>
          <w:w w:val="95"/>
          <w:sz w:val="20"/>
        </w:rPr>
        <w:t>Case Reporting and</w:t>
      </w:r>
      <w:r>
        <w:rPr>
          <w:rFonts w:ascii="Lucida Sans"/>
          <w:color w:val="1C3E94"/>
          <w:spacing w:val="-38"/>
          <w:w w:val="95"/>
          <w:sz w:val="20"/>
        </w:rPr>
        <w:t> </w:t>
      </w:r>
      <w:r>
        <w:rPr>
          <w:rFonts w:ascii="Lucida Sans"/>
          <w:color w:val="1C3E94"/>
          <w:w w:val="95"/>
          <w:sz w:val="20"/>
        </w:rPr>
        <w:t>Laboratory </w:t>
      </w:r>
      <w:r>
        <w:rPr>
          <w:rFonts w:ascii="Lucida Sans"/>
          <w:color w:val="1C3E94"/>
          <w:w w:val="90"/>
          <w:sz w:val="20"/>
        </w:rPr>
        <w:t>Submission</w:t>
      </w:r>
      <w:r>
        <w:rPr>
          <w:rFonts w:ascii="Lucida Sans"/>
          <w:color w:val="1C3E94"/>
          <w:spacing w:val="32"/>
          <w:w w:val="90"/>
          <w:sz w:val="20"/>
        </w:rPr>
        <w:t> </w:t>
      </w:r>
      <w:r>
        <w:rPr>
          <w:rFonts w:ascii="Lucida Sans"/>
          <w:color w:val="1C3E94"/>
          <w:w w:val="90"/>
          <w:sz w:val="20"/>
        </w:rPr>
        <w:t>Process</w:t>
      </w:r>
    </w:p>
    <w:p>
      <w:pPr>
        <w:pStyle w:val="BodyText"/>
        <w:rPr>
          <w:rFonts w:ascii="Lucida Sans"/>
          <w:sz w:val="17"/>
        </w:rPr>
      </w:pPr>
    </w:p>
    <w:p>
      <w:pPr>
        <w:pStyle w:val="BodyText"/>
        <w:spacing w:line="266" w:lineRule="auto" w:before="1"/>
        <w:ind w:left="720" w:right="-4"/>
      </w:pPr>
      <w:r>
        <w:rPr>
          <w:color w:val="231F20"/>
          <w:w w:val="105"/>
        </w:rPr>
        <w:t>Most diseases included under pathogen- specific surveillance are reportable (i.e., notifiable) diseases. State or local health agencies establish criteria for voluntary or mandatory reporting of infectious diseases, including</w:t>
      </w:r>
      <w:r>
        <w:rPr>
          <w:color w:val="231F20"/>
          <w:spacing w:val="-14"/>
          <w:w w:val="105"/>
        </w:rPr>
        <w:t> </w:t>
      </w:r>
      <w:r>
        <w:rPr>
          <w:color w:val="231F20"/>
          <w:w w:val="105"/>
        </w:rPr>
        <w:t>those</w:t>
      </w:r>
      <w:r>
        <w:rPr>
          <w:color w:val="231F20"/>
          <w:spacing w:val="-14"/>
          <w:w w:val="105"/>
        </w:rPr>
        <w:t> </w:t>
      </w:r>
      <w:r>
        <w:rPr>
          <w:color w:val="231F20"/>
          <w:w w:val="105"/>
        </w:rPr>
        <w:t>that</w:t>
      </w:r>
      <w:r>
        <w:rPr>
          <w:color w:val="231F20"/>
          <w:spacing w:val="-13"/>
          <w:w w:val="105"/>
        </w:rPr>
        <w:t> </w:t>
      </w:r>
      <w:r>
        <w:rPr>
          <w:color w:val="231F20"/>
          <w:w w:val="105"/>
        </w:rPr>
        <w:t>might</w:t>
      </w:r>
      <w:r>
        <w:rPr>
          <w:color w:val="231F20"/>
          <w:spacing w:val="-13"/>
          <w:w w:val="105"/>
        </w:rPr>
        <w:t> </w:t>
      </w:r>
      <w:r>
        <w:rPr>
          <w:color w:val="231F20"/>
          <w:w w:val="105"/>
        </w:rPr>
        <w:t>be</w:t>
      </w:r>
      <w:r>
        <w:rPr>
          <w:color w:val="231F20"/>
          <w:spacing w:val="-13"/>
          <w:w w:val="105"/>
        </w:rPr>
        <w:t> </w:t>
      </w:r>
      <w:r>
        <w:rPr>
          <w:color w:val="231F20"/>
          <w:w w:val="105"/>
        </w:rPr>
        <w:t>foodborne</w:t>
      </w:r>
      <w:r>
        <w:rPr>
          <w:color w:val="231F20"/>
          <w:spacing w:val="-13"/>
          <w:w w:val="105"/>
        </w:rPr>
        <w:t> </w:t>
      </w:r>
      <w:r>
        <w:rPr>
          <w:color w:val="231F20"/>
          <w:spacing w:val="-4"/>
          <w:w w:val="105"/>
        </w:rPr>
        <w:t>(Table </w:t>
      </w:r>
      <w:r>
        <w:rPr>
          <w:color w:val="231F20"/>
          <w:w w:val="105"/>
        </w:rPr>
        <w:t>4.2). These criteria describe the diseases to report,</w:t>
      </w:r>
      <w:r>
        <w:rPr>
          <w:color w:val="231F20"/>
          <w:spacing w:val="-8"/>
          <w:w w:val="105"/>
        </w:rPr>
        <w:t> </w:t>
      </w:r>
      <w:r>
        <w:rPr>
          <w:color w:val="231F20"/>
          <w:w w:val="105"/>
        </w:rPr>
        <w:t>to</w:t>
      </w:r>
      <w:r>
        <w:rPr>
          <w:color w:val="231F20"/>
          <w:spacing w:val="-9"/>
          <w:w w:val="105"/>
        </w:rPr>
        <w:t> </w:t>
      </w:r>
      <w:r>
        <w:rPr>
          <w:color w:val="231F20"/>
          <w:w w:val="105"/>
        </w:rPr>
        <w:t>whom,</w:t>
      </w:r>
      <w:r>
        <w:rPr>
          <w:color w:val="231F20"/>
          <w:spacing w:val="-8"/>
          <w:w w:val="105"/>
        </w:rPr>
        <w:t> </w:t>
      </w:r>
      <w:r>
        <w:rPr>
          <w:color w:val="231F20"/>
          <w:spacing w:val="-7"/>
          <w:w w:val="105"/>
        </w:rPr>
        <w:t>how,</w:t>
      </w:r>
      <w:r>
        <w:rPr>
          <w:color w:val="231F20"/>
          <w:spacing w:val="-8"/>
          <w:w w:val="105"/>
        </w:rPr>
        <w:t> </w:t>
      </w:r>
      <w:r>
        <w:rPr>
          <w:color w:val="231F20"/>
          <w:w w:val="105"/>
        </w:rPr>
        <w:t>and</w:t>
      </w:r>
      <w:r>
        <w:rPr>
          <w:color w:val="231F20"/>
          <w:spacing w:val="-9"/>
          <w:w w:val="105"/>
        </w:rPr>
        <w:t> </w:t>
      </w:r>
      <w:r>
        <w:rPr>
          <w:color w:val="231F20"/>
          <w:w w:val="105"/>
        </w:rPr>
        <w:t>in</w:t>
      </w:r>
      <w:r>
        <w:rPr>
          <w:color w:val="231F20"/>
          <w:spacing w:val="-9"/>
          <w:w w:val="105"/>
        </w:rPr>
        <w:t> </w:t>
      </w:r>
      <w:r>
        <w:rPr>
          <w:color w:val="231F20"/>
          <w:w w:val="105"/>
        </w:rPr>
        <w:t>what</w:t>
      </w:r>
      <w:r>
        <w:rPr>
          <w:color w:val="231F20"/>
          <w:spacing w:val="-8"/>
          <w:w w:val="105"/>
        </w:rPr>
        <w:t> </w:t>
      </w:r>
      <w:r>
        <w:rPr>
          <w:color w:val="231F20"/>
          <w:w w:val="105"/>
        </w:rPr>
        <w:t>time</w:t>
      </w:r>
      <w:r>
        <w:rPr>
          <w:color w:val="231F20"/>
          <w:spacing w:val="-9"/>
          <w:w w:val="105"/>
        </w:rPr>
        <w:t> </w:t>
      </w:r>
      <w:r>
        <w:rPr>
          <w:color w:val="231F20"/>
          <w:w w:val="105"/>
        </w:rPr>
        <w:t>frame. </w:t>
      </w:r>
      <w:r>
        <w:rPr>
          <w:color w:val="231F20"/>
          <w:spacing w:val="-7"/>
          <w:w w:val="105"/>
        </w:rPr>
        <w:t>For </w:t>
      </w:r>
      <w:r>
        <w:rPr>
          <w:color w:val="231F20"/>
          <w:w w:val="105"/>
        </w:rPr>
        <w:t>this type of surveillance, diseases are defined</w:t>
      </w:r>
      <w:r>
        <w:rPr>
          <w:color w:val="231F20"/>
          <w:spacing w:val="-18"/>
          <w:w w:val="105"/>
        </w:rPr>
        <w:t> </w:t>
      </w:r>
      <w:r>
        <w:rPr>
          <w:color w:val="231F20"/>
          <w:spacing w:val="-3"/>
          <w:w w:val="105"/>
        </w:rPr>
        <w:t>by</w:t>
      </w:r>
      <w:r>
        <w:rPr>
          <w:color w:val="231F20"/>
          <w:spacing w:val="-18"/>
          <w:w w:val="105"/>
        </w:rPr>
        <w:t> </w:t>
      </w:r>
      <w:r>
        <w:rPr>
          <w:color w:val="231F20"/>
          <w:w w:val="105"/>
        </w:rPr>
        <w:t>specific</w:t>
      </w:r>
      <w:r>
        <w:rPr>
          <w:color w:val="231F20"/>
          <w:spacing w:val="-18"/>
          <w:w w:val="105"/>
        </w:rPr>
        <w:t> </w:t>
      </w:r>
      <w:r>
        <w:rPr>
          <w:color w:val="231F20"/>
          <w:w w:val="105"/>
        </w:rPr>
        <w:t>laboratory</w:t>
      </w:r>
      <w:r>
        <w:rPr>
          <w:color w:val="231F20"/>
          <w:spacing w:val="-18"/>
          <w:w w:val="105"/>
        </w:rPr>
        <w:t> </w:t>
      </w:r>
      <w:r>
        <w:rPr>
          <w:color w:val="231F20"/>
          <w:w w:val="105"/>
        </w:rPr>
        <w:t>findings,</w:t>
      </w:r>
      <w:r>
        <w:rPr>
          <w:color w:val="231F20"/>
          <w:spacing w:val="-18"/>
          <w:w w:val="105"/>
        </w:rPr>
        <w:t> </w:t>
      </w:r>
      <w:r>
        <w:rPr>
          <w:color w:val="231F20"/>
          <w:w w:val="105"/>
        </w:rPr>
        <w:t>such</w:t>
      </w:r>
    </w:p>
    <w:p>
      <w:pPr>
        <w:pStyle w:val="BodyText"/>
        <w:spacing w:line="266" w:lineRule="auto"/>
        <w:ind w:left="720" w:right="169"/>
      </w:pPr>
      <w:r>
        <w:rPr>
          <w:color w:val="231F20"/>
        </w:rPr>
        <w:t>as isolation of </w:t>
      </w:r>
      <w:r>
        <w:rPr>
          <w:i/>
          <w:color w:val="231F20"/>
        </w:rPr>
        <w:t>Salmonella enterica</w:t>
      </w:r>
      <w:r>
        <w:rPr>
          <w:color w:val="231F20"/>
        </w:rPr>
        <w:t>, or </w:t>
      </w:r>
      <w:r>
        <w:rPr>
          <w:color w:val="231F20"/>
          <w:spacing w:val="-3"/>
        </w:rPr>
        <w:t>by </w:t>
      </w:r>
      <w:r>
        <w:rPr>
          <w:color w:val="231F20"/>
        </w:rPr>
        <w:t>well- defined syndromes, such as hemolytic uremic syndrome.  Diseases  are  reported  primarily </w:t>
      </w:r>
      <w:r>
        <w:rPr>
          <w:color w:val="231F20"/>
          <w:spacing w:val="-3"/>
        </w:rPr>
        <w:t>by </w:t>
      </w:r>
      <w:r>
        <w:rPr>
          <w:color w:val="231F20"/>
        </w:rPr>
        <w:t>laboratories, medical staff </w:t>
      </w:r>
      <w:r>
        <w:rPr>
          <w:color w:val="231F20"/>
          <w:spacing w:val="-4"/>
        </w:rPr>
        <w:t>(e.g., </w:t>
      </w:r>
      <w:r>
        <w:rPr>
          <w:color w:val="231F20"/>
        </w:rPr>
        <w:t>physicians, infection-control practitioners, medical records clerks), or both. Disease reports</w:t>
      </w:r>
      <w:r>
        <w:rPr>
          <w:color w:val="231F20"/>
          <w:spacing w:val="45"/>
        </w:rPr>
        <w:t> </w:t>
      </w:r>
      <w:r>
        <w:rPr>
          <w:color w:val="231F20"/>
        </w:rPr>
        <w:t>can</w:t>
      </w:r>
    </w:p>
    <w:p>
      <w:pPr>
        <w:pStyle w:val="BodyText"/>
        <w:spacing w:line="266" w:lineRule="auto"/>
        <w:ind w:left="720" w:right="32"/>
      </w:pPr>
      <w:r>
        <w:rPr>
          <w:color w:val="231F20"/>
          <w:w w:val="105"/>
        </w:rPr>
        <w:t>be automatically generated from an electronic medical record or laboratory information system or reported through a secure website. Legacy systems, such as telephone, mail, or fax reporting, also are used but are slower and more labor intensive and error prone. Isolates or other clinical materials are forwarded</w:t>
      </w:r>
    </w:p>
    <w:p>
      <w:pPr>
        <w:pStyle w:val="BodyText"/>
        <w:spacing w:line="266" w:lineRule="auto"/>
        <w:ind w:left="720" w:right="106"/>
      </w:pPr>
      <w:r>
        <w:rPr>
          <w:color w:val="231F20"/>
          <w:w w:val="105"/>
        </w:rPr>
        <w:t>from laboratories serving primary health- care facilities to public health laboratories for confirmation and further characterization, as</w:t>
      </w:r>
      <w:r>
        <w:rPr>
          <w:color w:val="231F20"/>
        </w:rPr>
        <w:t> </w:t>
      </w:r>
      <w:r>
        <w:rPr>
          <w:color w:val="231F20"/>
          <w:w w:val="105"/>
        </w:rPr>
        <w:t>required by state laws or regulations or as requested by the local jurisdiction.</w:t>
      </w:r>
    </w:p>
    <w:p>
      <w:pPr>
        <w:pStyle w:val="BodyText"/>
        <w:spacing w:line="266" w:lineRule="auto" w:before="180"/>
        <w:ind w:left="720" w:right="-6"/>
      </w:pPr>
      <w:r>
        <w:rPr>
          <w:color w:val="231F20"/>
          <w:w w:val="105"/>
        </w:rPr>
        <w:t>States</w:t>
      </w:r>
      <w:r>
        <w:rPr>
          <w:color w:val="231F20"/>
          <w:spacing w:val="-15"/>
          <w:w w:val="105"/>
        </w:rPr>
        <w:t> </w:t>
      </w:r>
      <w:r>
        <w:rPr>
          <w:color w:val="231F20"/>
          <w:w w:val="105"/>
        </w:rPr>
        <w:t>and</w:t>
      </w:r>
      <w:r>
        <w:rPr>
          <w:color w:val="231F20"/>
          <w:spacing w:val="-15"/>
          <w:w w:val="105"/>
        </w:rPr>
        <w:t> </w:t>
      </w:r>
      <w:r>
        <w:rPr>
          <w:color w:val="231F20"/>
          <w:w w:val="105"/>
        </w:rPr>
        <w:t>territories</w:t>
      </w:r>
      <w:r>
        <w:rPr>
          <w:color w:val="231F20"/>
          <w:spacing w:val="-15"/>
          <w:w w:val="105"/>
        </w:rPr>
        <w:t> </w:t>
      </w:r>
      <w:r>
        <w:rPr>
          <w:color w:val="231F20"/>
          <w:w w:val="105"/>
        </w:rPr>
        <w:t>(or</w:t>
      </w:r>
      <w:r>
        <w:rPr>
          <w:color w:val="231F20"/>
          <w:spacing w:val="-15"/>
          <w:w w:val="105"/>
        </w:rPr>
        <w:t> </w:t>
      </w:r>
      <w:r>
        <w:rPr>
          <w:color w:val="231F20"/>
          <w:w w:val="105"/>
        </w:rPr>
        <w:t>sometimes</w:t>
      </w:r>
      <w:r>
        <w:rPr>
          <w:color w:val="231F20"/>
          <w:spacing w:val="-14"/>
          <w:w w:val="105"/>
        </w:rPr>
        <w:t> </w:t>
      </w:r>
      <w:r>
        <w:rPr>
          <w:color w:val="231F20"/>
          <w:w w:val="105"/>
        </w:rPr>
        <w:t>local</w:t>
      </w:r>
      <w:r>
        <w:rPr>
          <w:color w:val="231F20"/>
          <w:spacing w:val="-15"/>
          <w:w w:val="105"/>
        </w:rPr>
        <w:t> </w:t>
      </w:r>
      <w:r>
        <w:rPr>
          <w:color w:val="231F20"/>
          <w:w w:val="105"/>
        </w:rPr>
        <w:t>public health agencies) voluntarily share pathogen- specific</w:t>
      </w:r>
      <w:r>
        <w:rPr>
          <w:color w:val="231F20"/>
          <w:spacing w:val="-25"/>
          <w:w w:val="105"/>
        </w:rPr>
        <w:t> </w:t>
      </w:r>
      <w:r>
        <w:rPr>
          <w:color w:val="231F20"/>
          <w:w w:val="105"/>
        </w:rPr>
        <w:t>disease</w:t>
      </w:r>
      <w:r>
        <w:rPr>
          <w:color w:val="231F20"/>
          <w:spacing w:val="-25"/>
          <w:w w:val="105"/>
        </w:rPr>
        <w:t> </w:t>
      </w:r>
      <w:r>
        <w:rPr>
          <w:color w:val="231F20"/>
          <w:w w:val="105"/>
        </w:rPr>
        <w:t>surveillance</w:t>
      </w:r>
      <w:r>
        <w:rPr>
          <w:color w:val="231F20"/>
          <w:spacing w:val="-25"/>
          <w:w w:val="105"/>
        </w:rPr>
        <w:t> </w:t>
      </w:r>
      <w:r>
        <w:rPr>
          <w:color w:val="231F20"/>
          <w:w w:val="105"/>
        </w:rPr>
        <w:t>information</w:t>
      </w:r>
    </w:p>
    <w:p>
      <w:pPr>
        <w:pStyle w:val="BodyText"/>
        <w:spacing w:line="266" w:lineRule="auto"/>
        <w:ind w:left="720" w:right="93"/>
      </w:pPr>
      <w:r>
        <w:rPr>
          <w:color w:val="231F20"/>
          <w:w w:val="105"/>
        </w:rPr>
        <w:t>with the Centers for Disease Control and Prevention (CDC). No personal identifiers are forwarded, and only minimal information is available about cases (e.g., date of onset, age, sex, race/ethnicity, county of residence). CDC works with states to compile national surveillance data.</w:t>
      </w:r>
    </w:p>
    <w:p>
      <w:pPr>
        <w:pStyle w:val="BodyText"/>
        <w:spacing w:line="266" w:lineRule="auto" w:before="180"/>
        <w:ind w:left="720" w:right="576"/>
      </w:pPr>
      <w:r>
        <w:rPr>
          <w:color w:val="231F20"/>
          <w:w w:val="105"/>
        </w:rPr>
        <w:t>State-specific reporting requirements can be viewed at </w:t>
      </w:r>
      <w:hyperlink r:id="rId15">
        <w:r>
          <w:rPr>
            <w:color w:val="0079C1"/>
            <w:w w:val="105"/>
          </w:rPr>
          <w:t>www.cste.org/group/</w:t>
        </w:r>
      </w:hyperlink>
      <w:r>
        <w:rPr>
          <w:color w:val="0079C1"/>
          <w:w w:val="105"/>
        </w:rPr>
        <w:t> SRCAQueryRes.</w:t>
      </w:r>
    </w:p>
    <w:p>
      <w:pPr>
        <w:pStyle w:val="ListParagraph"/>
        <w:numPr>
          <w:ilvl w:val="2"/>
          <w:numId w:val="6"/>
        </w:numPr>
        <w:tabs>
          <w:tab w:pos="876" w:val="left" w:leader="none"/>
        </w:tabs>
        <w:spacing w:line="240" w:lineRule="auto" w:before="92" w:after="0"/>
        <w:ind w:left="875" w:right="0" w:hanging="556"/>
        <w:jc w:val="left"/>
        <w:rPr>
          <w:rFonts w:ascii="Lucida Sans"/>
          <w:sz w:val="20"/>
        </w:rPr>
      </w:pPr>
      <w:r>
        <w:rPr>
          <w:rFonts w:ascii="Lucida Sans"/>
          <w:color w:val="1C3E94"/>
          <w:w w:val="95"/>
          <w:sz w:val="20"/>
        </w:rPr>
        <w:br w:type="column"/>
      </w:r>
      <w:r>
        <w:rPr>
          <w:rFonts w:ascii="Lucida Sans"/>
          <w:color w:val="1C3E94"/>
          <w:w w:val="95"/>
          <w:sz w:val="20"/>
        </w:rPr>
        <w:t>Epidemiology</w:t>
      </w:r>
      <w:r>
        <w:rPr>
          <w:rFonts w:ascii="Lucida Sans"/>
          <w:color w:val="1C3E94"/>
          <w:spacing w:val="-16"/>
          <w:w w:val="95"/>
          <w:sz w:val="20"/>
        </w:rPr>
        <w:t> </w:t>
      </w:r>
      <w:r>
        <w:rPr>
          <w:rFonts w:ascii="Lucida Sans"/>
          <w:color w:val="1C3E94"/>
          <w:w w:val="95"/>
          <w:sz w:val="20"/>
        </w:rPr>
        <w:t>Process</w:t>
      </w:r>
    </w:p>
    <w:p>
      <w:pPr>
        <w:pStyle w:val="BodyText"/>
        <w:spacing w:before="2"/>
        <w:rPr>
          <w:rFonts w:ascii="Lucida Sans"/>
          <w:sz w:val="18"/>
        </w:rPr>
      </w:pPr>
    </w:p>
    <w:p>
      <w:pPr>
        <w:pStyle w:val="BodyText"/>
        <w:spacing w:line="266" w:lineRule="auto" w:before="1"/>
        <w:ind w:left="319" w:right="1490"/>
      </w:pPr>
      <w:r>
        <w:rPr/>
        <w:pict>
          <v:rect style="position:absolute;margin-left:459pt;margin-top:111.566185pt;width:45pt;height:18pt;mso-position-horizontal-relative:page;mso-position-vertical-relative:paragraph;z-index:1768" filled="true" fillcolor="#0079c1" stroked="false">
            <v:fill type="solid"/>
            <w10:wrap type="none"/>
          </v:rect>
        </w:pict>
      </w:r>
      <w:r>
        <w:rPr/>
        <w:pict>
          <v:line style="position:absolute;mso-position-horizontal-relative:page;mso-position-vertical-relative:paragraph;z-index:1792" from="450.5pt,111.565788pt" to="450.5pt,313.971788pt" stroked="true" strokeweight="1pt" strokecolor="#0079c1">
            <v:stroke dashstyle="solid"/>
            <w10:wrap type="none"/>
          </v:line>
        </w:pict>
      </w:r>
      <w:r>
        <w:rPr/>
        <w:pict>
          <v:shape style="position:absolute;margin-left:465.346802pt;margin-top:133.562592pt;width:22.25pt;height:183.2pt;mso-position-horizontal-relative:page;mso-position-vertical-relative:paragraph;z-index:1816" type="#_x0000_t202" filled="false" stroked="false">
            <v:textbox inset="0,0,0,0" style="layout-flow:vertical">
              <w:txbxContent>
                <w:p>
                  <w:pPr>
                    <w:spacing w:before="12"/>
                    <w:ind w:left="20" w:right="-1014" w:firstLine="0"/>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468.849609pt;margin-top:116.316788pt;width:15.85pt;height:8.5pt;mso-position-horizontal-relative:page;mso-position-vertical-relative:paragraph;z-index:1840" type="#_x0000_t202" filled="false" stroked="false">
            <v:textbox inset="0,0,0,0" style="layout-flow:vertical">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105"/>
        </w:rPr>
        <w:t>Information received by the public health agency through multiple avenues, including basic clinical and demographic data from individual cases of specific laboratory- confirmed illness or well-defined syndromes, is reconciled and linked with case isolates or other clinical materials received in the public health laboratory. Reconciled case reports are forwarded to higher jurisdictional levels (local health agency to state agency, state agency to federal agency) by a variety of mechanisms.</w:t>
      </w:r>
    </w:p>
    <w:p>
      <w:pPr>
        <w:pStyle w:val="BodyText"/>
        <w:spacing w:line="266" w:lineRule="auto"/>
        <w:ind w:left="319" w:right="1654"/>
      </w:pPr>
      <w:r>
        <w:rPr>
          <w:color w:val="231F20"/>
        </w:rPr>
        <w:t>In  general,  records  are  redacted  (stripped of individual identifiers) when they are sent outside the reporting states.</w:t>
      </w:r>
    </w:p>
    <w:p>
      <w:pPr>
        <w:pStyle w:val="BodyText"/>
        <w:spacing w:line="266" w:lineRule="auto" w:before="180"/>
        <w:ind w:left="319" w:right="1416"/>
      </w:pPr>
      <w:r>
        <w:rPr>
          <w:color w:val="231F20"/>
          <w:w w:val="105"/>
        </w:rPr>
        <w:t>Cases are usually interviewed one or more times about potential exposures and additional clinical and demographic information.</w:t>
      </w:r>
    </w:p>
    <w:p>
      <w:pPr>
        <w:pStyle w:val="BodyText"/>
        <w:spacing w:line="266" w:lineRule="auto"/>
        <w:ind w:left="319" w:right="1502"/>
      </w:pPr>
      <w:r>
        <w:rPr>
          <w:color w:val="231F20"/>
          <w:w w:val="105"/>
        </w:rPr>
        <w:t>The scope of these interviews varies </w:t>
      </w:r>
      <w:r>
        <w:rPr>
          <w:color w:val="231F20"/>
          <w:spacing w:val="-3"/>
          <w:w w:val="105"/>
        </w:rPr>
        <w:t>by </w:t>
      </w:r>
      <w:r>
        <w:rPr>
          <w:color w:val="231F20"/>
          <w:w w:val="105"/>
        </w:rPr>
        <w:t>jurisdiction. Interviews typically </w:t>
      </w:r>
      <w:r>
        <w:rPr>
          <w:color w:val="231F20"/>
          <w:spacing w:val="-3"/>
          <w:w w:val="105"/>
        </w:rPr>
        <w:t>cover </w:t>
      </w:r>
      <w:r>
        <w:rPr>
          <w:color w:val="231F20"/>
          <w:w w:val="105"/>
        </w:rPr>
        <w:t>basic descriptive</w:t>
      </w:r>
      <w:r>
        <w:rPr>
          <w:color w:val="231F20"/>
          <w:spacing w:val="-18"/>
          <w:w w:val="105"/>
        </w:rPr>
        <w:t> </w:t>
      </w:r>
      <w:r>
        <w:rPr>
          <w:color w:val="231F20"/>
          <w:w w:val="105"/>
        </w:rPr>
        <w:t>information</w:t>
      </w:r>
      <w:r>
        <w:rPr>
          <w:color w:val="231F20"/>
          <w:spacing w:val="-19"/>
          <w:w w:val="105"/>
        </w:rPr>
        <w:t> </w:t>
      </w:r>
      <w:r>
        <w:rPr>
          <w:color w:val="231F20"/>
          <w:w w:val="105"/>
        </w:rPr>
        <w:t>and</w:t>
      </w:r>
      <w:r>
        <w:rPr>
          <w:color w:val="231F20"/>
          <w:spacing w:val="-19"/>
          <w:w w:val="105"/>
        </w:rPr>
        <w:t> </w:t>
      </w:r>
      <w:r>
        <w:rPr>
          <w:color w:val="231F20"/>
          <w:w w:val="105"/>
        </w:rPr>
        <w:t>exposures</w:t>
      </w:r>
      <w:r>
        <w:rPr>
          <w:color w:val="231F20"/>
          <w:spacing w:val="-19"/>
          <w:w w:val="105"/>
        </w:rPr>
        <w:t> </w:t>
      </w:r>
      <w:r>
        <w:rPr>
          <w:color w:val="231F20"/>
          <w:w w:val="105"/>
        </w:rPr>
        <w:t>of</w:t>
      </w:r>
      <w:r>
        <w:rPr>
          <w:color w:val="231F20"/>
          <w:spacing w:val="2"/>
          <w:w w:val="105"/>
        </w:rPr>
        <w:t> </w:t>
      </w:r>
      <w:r>
        <w:rPr>
          <w:color w:val="231F20"/>
          <w:w w:val="105"/>
        </w:rPr>
        <w:t>local importance, such as attendance at a child- care</w:t>
      </w:r>
      <w:r>
        <w:rPr>
          <w:color w:val="231F20"/>
          <w:spacing w:val="-9"/>
          <w:w w:val="105"/>
        </w:rPr>
        <w:t> </w:t>
      </w:r>
      <w:r>
        <w:rPr>
          <w:color w:val="231F20"/>
          <w:spacing w:val="-3"/>
          <w:w w:val="105"/>
        </w:rPr>
        <w:t>facility,</w:t>
      </w:r>
      <w:r>
        <w:rPr>
          <w:color w:val="231F20"/>
          <w:spacing w:val="-9"/>
          <w:w w:val="105"/>
        </w:rPr>
        <w:t> </w:t>
      </w:r>
      <w:r>
        <w:rPr>
          <w:color w:val="231F20"/>
          <w:w w:val="105"/>
        </w:rPr>
        <w:t>occupation</w:t>
      </w:r>
      <w:r>
        <w:rPr>
          <w:color w:val="231F20"/>
          <w:spacing w:val="-10"/>
          <w:w w:val="105"/>
        </w:rPr>
        <w:t> </w:t>
      </w:r>
      <w:r>
        <w:rPr>
          <w:color w:val="231F20"/>
          <w:w w:val="105"/>
        </w:rPr>
        <w:t>as</w:t>
      </w:r>
      <w:r>
        <w:rPr>
          <w:color w:val="231F20"/>
          <w:spacing w:val="-10"/>
          <w:w w:val="105"/>
        </w:rPr>
        <w:t> </w:t>
      </w:r>
      <w:r>
        <w:rPr>
          <w:color w:val="231F20"/>
          <w:w w:val="105"/>
        </w:rPr>
        <w:t>a</w:t>
      </w:r>
      <w:r>
        <w:rPr>
          <w:color w:val="231F20"/>
          <w:spacing w:val="-9"/>
          <w:w w:val="105"/>
        </w:rPr>
        <w:t> </w:t>
      </w:r>
      <w:r>
        <w:rPr>
          <w:color w:val="231F20"/>
          <w:w w:val="105"/>
        </w:rPr>
        <w:t>food</w:t>
      </w:r>
      <w:r>
        <w:rPr>
          <w:color w:val="231F20"/>
          <w:spacing w:val="-9"/>
          <w:w w:val="105"/>
        </w:rPr>
        <w:t> </w:t>
      </w:r>
      <w:r>
        <w:rPr>
          <w:color w:val="231F20"/>
          <w:spacing w:val="-5"/>
          <w:w w:val="105"/>
        </w:rPr>
        <w:t>worker,</w:t>
      </w:r>
    </w:p>
    <w:p>
      <w:pPr>
        <w:pStyle w:val="BodyText"/>
        <w:spacing w:line="266" w:lineRule="auto"/>
        <w:ind w:left="319" w:right="1558"/>
      </w:pPr>
      <w:r>
        <w:rPr>
          <w:color w:val="231F20"/>
          <w:w w:val="105"/>
        </w:rPr>
        <w:t>and medical follow-up information. Whereas many local agencies collect information about a limited set of high-risk exposures, more detailed exposure interviews might be collected only when clusters are investigated or outbreaks are recognized (Chapter 5).</w:t>
      </w:r>
    </w:p>
    <w:p>
      <w:pPr>
        <w:pStyle w:val="BodyText"/>
        <w:spacing w:line="266" w:lineRule="auto"/>
        <w:ind w:left="319" w:right="1549"/>
      </w:pPr>
      <w:r>
        <w:rPr>
          <w:color w:val="231F20"/>
          <w:spacing w:val="-4"/>
          <w:w w:val="105"/>
        </w:rPr>
        <w:t>However, </w:t>
      </w:r>
      <w:r>
        <w:rPr>
          <w:color w:val="231F20"/>
          <w:w w:val="105"/>
        </w:rPr>
        <w:t>routine collection of detailed exposure</w:t>
      </w:r>
      <w:r>
        <w:rPr>
          <w:color w:val="231F20"/>
          <w:spacing w:val="-20"/>
          <w:w w:val="105"/>
        </w:rPr>
        <w:t> </w:t>
      </w:r>
      <w:r>
        <w:rPr>
          <w:color w:val="231F20"/>
          <w:w w:val="105"/>
        </w:rPr>
        <w:t>information</w:t>
      </w:r>
      <w:r>
        <w:rPr>
          <w:color w:val="231F20"/>
          <w:spacing w:val="-21"/>
          <w:w w:val="105"/>
        </w:rPr>
        <w:t> </w:t>
      </w:r>
      <w:r>
        <w:rPr>
          <w:color w:val="231F20"/>
          <w:w w:val="105"/>
        </w:rPr>
        <w:t>as</w:t>
      </w:r>
      <w:r>
        <w:rPr>
          <w:color w:val="231F20"/>
          <w:spacing w:val="-21"/>
          <w:w w:val="105"/>
        </w:rPr>
        <w:t> </w:t>
      </w:r>
      <w:r>
        <w:rPr>
          <w:color w:val="231F20"/>
          <w:w w:val="105"/>
        </w:rPr>
        <w:t>soon</w:t>
      </w:r>
      <w:r>
        <w:rPr>
          <w:color w:val="231F20"/>
          <w:spacing w:val="-20"/>
          <w:w w:val="105"/>
        </w:rPr>
        <w:t> </w:t>
      </w:r>
      <w:r>
        <w:rPr>
          <w:color w:val="231F20"/>
          <w:w w:val="105"/>
        </w:rPr>
        <w:t>as</w:t>
      </w:r>
      <w:r>
        <w:rPr>
          <w:color w:val="231F20"/>
          <w:spacing w:val="-21"/>
          <w:w w:val="105"/>
        </w:rPr>
        <w:t> </w:t>
      </w:r>
      <w:r>
        <w:rPr>
          <w:color w:val="231F20"/>
          <w:w w:val="105"/>
        </w:rPr>
        <w:t>possible</w:t>
      </w:r>
      <w:r>
        <w:rPr>
          <w:color w:val="231F20"/>
          <w:spacing w:val="-20"/>
          <w:w w:val="105"/>
        </w:rPr>
        <w:t> </w:t>
      </w:r>
      <w:r>
        <w:rPr>
          <w:color w:val="231F20"/>
          <w:w w:val="105"/>
        </w:rPr>
        <w:t>after reporting</w:t>
      </w:r>
      <w:r>
        <w:rPr>
          <w:color w:val="231F20"/>
          <w:spacing w:val="-19"/>
          <w:w w:val="105"/>
        </w:rPr>
        <w:t> </w:t>
      </w:r>
      <w:r>
        <w:rPr>
          <w:color w:val="231F20"/>
          <w:w w:val="105"/>
        </w:rPr>
        <w:t>maximizes</w:t>
      </w:r>
      <w:r>
        <w:rPr>
          <w:color w:val="231F20"/>
          <w:spacing w:val="-20"/>
          <w:w w:val="105"/>
        </w:rPr>
        <w:t> </w:t>
      </w:r>
      <w:r>
        <w:rPr>
          <w:color w:val="231F20"/>
          <w:w w:val="105"/>
        </w:rPr>
        <w:t>exposure</w:t>
      </w:r>
      <w:r>
        <w:rPr>
          <w:color w:val="231F20"/>
          <w:spacing w:val="-19"/>
          <w:w w:val="105"/>
        </w:rPr>
        <w:t> </w:t>
      </w:r>
      <w:r>
        <w:rPr>
          <w:color w:val="231F20"/>
          <w:w w:val="105"/>
        </w:rPr>
        <w:t>recall,</w:t>
      </w:r>
      <w:r>
        <w:rPr>
          <w:color w:val="231F20"/>
          <w:spacing w:val="-20"/>
          <w:w w:val="105"/>
        </w:rPr>
        <w:t> </w:t>
      </w:r>
      <w:r>
        <w:rPr>
          <w:color w:val="231F20"/>
          <w:w w:val="105"/>
        </w:rPr>
        <w:t>provides a basis for rapid cluster investigation, and is strongly</w:t>
      </w:r>
      <w:r>
        <w:rPr>
          <w:color w:val="231F20"/>
          <w:spacing w:val="-24"/>
          <w:w w:val="105"/>
        </w:rPr>
        <w:t> </w:t>
      </w:r>
      <w:r>
        <w:rPr>
          <w:color w:val="231F20"/>
          <w:w w:val="105"/>
        </w:rPr>
        <w:t>recommended</w:t>
      </w:r>
      <w:r>
        <w:rPr>
          <w:color w:val="231F20"/>
          <w:spacing w:val="-25"/>
          <w:w w:val="105"/>
        </w:rPr>
        <w:t> </w:t>
      </w:r>
      <w:r>
        <w:rPr>
          <w:color w:val="231F20"/>
          <w:w w:val="105"/>
        </w:rPr>
        <w:t>for</w:t>
      </w:r>
      <w:r>
        <w:rPr>
          <w:color w:val="231F20"/>
          <w:spacing w:val="-23"/>
          <w:w w:val="105"/>
        </w:rPr>
        <w:t> </w:t>
      </w:r>
      <w:r>
        <w:rPr>
          <w:color w:val="231F20"/>
          <w:w w:val="105"/>
        </w:rPr>
        <w:t>high-consequence enteric pathogens, such as STEC O157:H7 and </w:t>
      </w:r>
      <w:r>
        <w:rPr>
          <w:i/>
          <w:color w:val="231F20"/>
          <w:w w:val="105"/>
        </w:rPr>
        <w:t>Listeria monocytogenes</w:t>
      </w:r>
      <w:r>
        <w:rPr>
          <w:color w:val="231F20"/>
          <w:w w:val="105"/>
        </w:rPr>
        <w:t>. (See Chapter 5 for </w:t>
      </w:r>
      <w:r>
        <w:rPr>
          <w:color w:val="231F20"/>
        </w:rPr>
        <w:t>further</w:t>
      </w:r>
      <w:r>
        <w:rPr>
          <w:color w:val="231F20"/>
          <w:spacing w:val="17"/>
        </w:rPr>
        <w:t> </w:t>
      </w:r>
      <w:r>
        <w:rPr>
          <w:color w:val="231F20"/>
        </w:rPr>
        <w:t>discussion.)</w:t>
      </w:r>
    </w:p>
    <w:p>
      <w:pPr>
        <w:pStyle w:val="BodyText"/>
        <w:spacing w:line="266" w:lineRule="auto" w:before="180"/>
        <w:ind w:left="319" w:right="1512"/>
      </w:pPr>
      <w:r>
        <w:rPr>
          <w:color w:val="231F20"/>
          <w:w w:val="105"/>
        </w:rPr>
        <w:t>Initial cluster identification and cluster assessment might occur as two processes conducted, </w:t>
      </w:r>
      <w:r>
        <w:rPr>
          <w:color w:val="231F20"/>
          <w:spacing w:val="-3"/>
          <w:w w:val="105"/>
        </w:rPr>
        <w:t>respectively, by </w:t>
      </w:r>
      <w:r>
        <w:rPr>
          <w:color w:val="231F20"/>
          <w:w w:val="105"/>
        </w:rPr>
        <w:t>the laboratory and epidemiology departments or might occur as a single process within epidemiology. Agent, time, and place are examined individually and in</w:t>
      </w:r>
      <w:r>
        <w:rPr>
          <w:color w:val="231F20"/>
          <w:spacing w:val="-19"/>
          <w:w w:val="105"/>
        </w:rPr>
        <w:t> </w:t>
      </w:r>
      <w:r>
        <w:rPr>
          <w:color w:val="231F20"/>
          <w:w w:val="105"/>
        </w:rPr>
        <w:t>combination</w:t>
      </w:r>
      <w:r>
        <w:rPr>
          <w:color w:val="231F20"/>
          <w:spacing w:val="-19"/>
          <w:w w:val="105"/>
        </w:rPr>
        <w:t> </w:t>
      </w:r>
      <w:r>
        <w:rPr>
          <w:color w:val="231F20"/>
          <w:w w:val="105"/>
        </w:rPr>
        <w:t>to</w:t>
      </w:r>
      <w:r>
        <w:rPr>
          <w:color w:val="231F20"/>
          <w:spacing w:val="-19"/>
          <w:w w:val="105"/>
        </w:rPr>
        <w:t> </w:t>
      </w:r>
      <w:r>
        <w:rPr>
          <w:color w:val="231F20"/>
          <w:w w:val="105"/>
        </w:rPr>
        <w:t>identify</w:t>
      </w:r>
      <w:r>
        <w:rPr>
          <w:color w:val="231F20"/>
          <w:spacing w:val="-19"/>
          <w:w w:val="105"/>
        </w:rPr>
        <w:t> </w:t>
      </w:r>
      <w:r>
        <w:rPr>
          <w:color w:val="231F20"/>
          <w:w w:val="105"/>
        </w:rPr>
        <w:t>possibly</w:t>
      </w:r>
      <w:r>
        <w:rPr>
          <w:color w:val="231F20"/>
          <w:spacing w:val="-19"/>
          <w:w w:val="105"/>
        </w:rPr>
        <w:t> </w:t>
      </w:r>
      <w:r>
        <w:rPr>
          <w:color w:val="231F20"/>
          <w:w w:val="105"/>
        </w:rPr>
        <w:t>significant</w:t>
      </w:r>
    </w:p>
    <w:p>
      <w:pPr>
        <w:spacing w:after="0" w:line="266" w:lineRule="auto"/>
        <w:sectPr>
          <w:type w:val="continuous"/>
          <w:pgSz w:w="10080" w:h="14400"/>
          <w:pgMar w:top="0" w:bottom="0" w:left="0" w:right="0"/>
          <w:cols w:num="2" w:equalWidth="0">
            <w:col w:w="4501" w:space="40"/>
            <w:col w:w="5539"/>
          </w:cols>
        </w:sectPr>
      </w:pPr>
    </w:p>
    <w:p>
      <w:pPr>
        <w:pStyle w:val="BodyText"/>
        <w:spacing w:before="8"/>
        <w:rPr>
          <w:sz w:val="10"/>
        </w:rPr>
      </w:pPr>
    </w:p>
    <w:p>
      <w:pPr>
        <w:pStyle w:val="Heading1"/>
      </w:pPr>
      <w:r>
        <w:rPr/>
        <w:pict>
          <v:line style="position:absolute;mso-position-horizontal-relative:page;mso-position-vertical-relative:paragraph;z-index:1864;mso-wrap-distance-left:0;mso-wrap-distance-right:0" from="72pt,23.995163pt" to="468pt,23.995163pt" stroked="true" strokeweight=".5pt" strokecolor="#00a94f">
            <v:stroke dashstyle="solid"/>
            <w10:wrap type="topAndBottom"/>
          </v:line>
        </w:pict>
      </w:r>
      <w:r>
        <w:rPr>
          <w:color w:val="00A94F"/>
          <w:w w:val="95"/>
        </w:rPr>
        <w:t>4.2. Pathogen-Specific Surveillance</w:t>
      </w:r>
    </w:p>
    <w:p>
      <w:pPr>
        <w:pStyle w:val="BodyText"/>
        <w:spacing w:before="7"/>
        <w:rPr>
          <w:rFonts w:ascii="Lucida Sans"/>
          <w:sz w:val="17"/>
        </w:rPr>
      </w:pPr>
    </w:p>
    <w:p>
      <w:pPr>
        <w:spacing w:after="0"/>
        <w:rPr>
          <w:rFonts w:ascii="Lucida Sans"/>
          <w:sz w:val="17"/>
        </w:rPr>
        <w:sectPr>
          <w:pgSz w:w="10080" w:h="14400"/>
          <w:pgMar w:header="0" w:footer="0" w:top="1160" w:bottom="280" w:left="0" w:right="0"/>
        </w:sectPr>
      </w:pPr>
    </w:p>
    <w:p>
      <w:pPr>
        <w:pStyle w:val="BodyText"/>
        <w:spacing w:line="266" w:lineRule="auto" w:before="108"/>
        <w:ind w:left="1440" w:right="161"/>
      </w:pPr>
      <w:r>
        <w:rPr>
          <w:color w:val="231F20"/>
          <w:w w:val="105"/>
        </w:rPr>
        <w:t>clusters</w:t>
      </w:r>
      <w:r>
        <w:rPr>
          <w:color w:val="231F20"/>
          <w:spacing w:val="-12"/>
          <w:w w:val="105"/>
        </w:rPr>
        <w:t> </w:t>
      </w:r>
      <w:r>
        <w:rPr>
          <w:color w:val="231F20"/>
          <w:w w:val="105"/>
        </w:rPr>
        <w:t>or</w:t>
      </w:r>
      <w:r>
        <w:rPr>
          <w:color w:val="231F20"/>
          <w:spacing w:val="-12"/>
          <w:w w:val="105"/>
        </w:rPr>
        <w:t> </w:t>
      </w:r>
      <w:r>
        <w:rPr>
          <w:color w:val="231F20"/>
          <w:w w:val="105"/>
        </w:rPr>
        <w:t>trends.</w:t>
      </w:r>
      <w:r>
        <w:rPr>
          <w:color w:val="231F20"/>
          <w:spacing w:val="-12"/>
          <w:w w:val="105"/>
        </w:rPr>
        <w:t> </w:t>
      </w:r>
      <w:r>
        <w:rPr>
          <w:color w:val="231F20"/>
          <w:w w:val="105"/>
        </w:rPr>
        <w:t>This</w:t>
      </w:r>
      <w:r>
        <w:rPr>
          <w:color w:val="231F20"/>
          <w:spacing w:val="-12"/>
          <w:w w:val="105"/>
        </w:rPr>
        <w:t> </w:t>
      </w:r>
      <w:r>
        <w:rPr>
          <w:color w:val="231F20"/>
          <w:w w:val="105"/>
        </w:rPr>
        <w:t>is</w:t>
      </w:r>
      <w:r>
        <w:rPr>
          <w:color w:val="231F20"/>
          <w:spacing w:val="-12"/>
          <w:w w:val="105"/>
        </w:rPr>
        <w:t> </w:t>
      </w:r>
      <w:r>
        <w:rPr>
          <w:color w:val="231F20"/>
          <w:w w:val="105"/>
        </w:rPr>
        <w:t>the</w:t>
      </w:r>
      <w:r>
        <w:rPr>
          <w:color w:val="231F20"/>
          <w:spacing w:val="-12"/>
          <w:w w:val="105"/>
        </w:rPr>
        <w:t> </w:t>
      </w:r>
      <w:r>
        <w:rPr>
          <w:color w:val="231F20"/>
          <w:w w:val="105"/>
        </w:rPr>
        <w:t>critical</w:t>
      </w:r>
      <w:r>
        <w:rPr>
          <w:color w:val="231F20"/>
          <w:spacing w:val="-12"/>
          <w:w w:val="105"/>
        </w:rPr>
        <w:t> </w:t>
      </w:r>
      <w:r>
        <w:rPr>
          <w:color w:val="231F20"/>
          <w:w w:val="105"/>
        </w:rPr>
        <w:t>first</w:t>
      </w:r>
      <w:r>
        <w:rPr>
          <w:color w:val="231F20"/>
          <w:spacing w:val="-12"/>
          <w:w w:val="105"/>
        </w:rPr>
        <w:t> </w:t>
      </w:r>
      <w:r>
        <w:rPr>
          <w:color w:val="231F20"/>
          <w:w w:val="105"/>
        </w:rPr>
        <w:t>step in</w:t>
      </w:r>
      <w:r>
        <w:rPr>
          <w:color w:val="231F20"/>
          <w:spacing w:val="-15"/>
          <w:w w:val="105"/>
        </w:rPr>
        <w:t> </w:t>
      </w:r>
      <w:r>
        <w:rPr>
          <w:color w:val="231F20"/>
          <w:w w:val="105"/>
        </w:rPr>
        <w:t>hypothesis</w:t>
      </w:r>
      <w:r>
        <w:rPr>
          <w:color w:val="231F20"/>
          <w:spacing w:val="-14"/>
          <w:w w:val="105"/>
        </w:rPr>
        <w:t> </w:t>
      </w:r>
      <w:r>
        <w:rPr>
          <w:color w:val="231F20"/>
          <w:w w:val="105"/>
        </w:rPr>
        <w:t>generation.</w:t>
      </w:r>
      <w:r>
        <w:rPr>
          <w:color w:val="231F20"/>
          <w:spacing w:val="-15"/>
          <w:w w:val="105"/>
        </w:rPr>
        <w:t> </w:t>
      </w:r>
      <w:r>
        <w:rPr>
          <w:color w:val="231F20"/>
          <w:w w:val="105"/>
        </w:rPr>
        <w:t>Clusters</w:t>
      </w:r>
      <w:r>
        <w:rPr>
          <w:color w:val="231F20"/>
          <w:spacing w:val="-15"/>
          <w:w w:val="105"/>
        </w:rPr>
        <w:t> </w:t>
      </w:r>
      <w:r>
        <w:rPr>
          <w:color w:val="231F20"/>
          <w:w w:val="105"/>
        </w:rPr>
        <w:t>of</w:t>
      </w:r>
      <w:r>
        <w:rPr>
          <w:color w:val="231F20"/>
          <w:spacing w:val="7"/>
          <w:w w:val="105"/>
        </w:rPr>
        <w:t> </w:t>
      </w:r>
      <w:r>
        <w:rPr>
          <w:color w:val="231F20"/>
          <w:w w:val="105"/>
        </w:rPr>
        <w:t>unusual exposures, abnormal exposure frequencies, unusual demographic distributions </w:t>
      </w:r>
      <w:r>
        <w:rPr>
          <w:color w:val="231F20"/>
          <w:spacing w:val="-4"/>
          <w:w w:val="105"/>
        </w:rPr>
        <w:t>(e.g., </w:t>
      </w:r>
      <w:r>
        <w:rPr>
          <w:color w:val="231F20"/>
          <w:w w:val="105"/>
        </w:rPr>
        <w:t>predominance of cases in a particular age group), or connection to food, animal, or environmental monitoring studies might be identified. Clusters of cases are examined as a</w:t>
      </w:r>
      <w:r>
        <w:rPr>
          <w:color w:val="231F20"/>
          <w:spacing w:val="-11"/>
          <w:w w:val="105"/>
        </w:rPr>
        <w:t> </w:t>
      </w:r>
      <w:r>
        <w:rPr>
          <w:color w:val="231F20"/>
          <w:w w:val="105"/>
        </w:rPr>
        <w:t>group</w:t>
      </w:r>
      <w:r>
        <w:rPr>
          <w:color w:val="231F20"/>
          <w:spacing w:val="-11"/>
          <w:w w:val="105"/>
        </w:rPr>
        <w:t> </w:t>
      </w:r>
      <w:r>
        <w:rPr>
          <w:color w:val="231F20"/>
          <w:w w:val="105"/>
        </w:rPr>
        <w:t>and,</w:t>
      </w:r>
      <w:r>
        <w:rPr>
          <w:color w:val="231F20"/>
          <w:spacing w:val="-12"/>
          <w:w w:val="105"/>
        </w:rPr>
        <w:t> </w:t>
      </w:r>
      <w:r>
        <w:rPr>
          <w:color w:val="231F20"/>
          <w:w w:val="105"/>
        </w:rPr>
        <w:t>if</w:t>
      </w:r>
      <w:r>
        <w:rPr>
          <w:color w:val="231F20"/>
          <w:spacing w:val="12"/>
          <w:w w:val="105"/>
        </w:rPr>
        <w:t> </w:t>
      </w:r>
      <w:r>
        <w:rPr>
          <w:color w:val="231F20"/>
          <w:w w:val="105"/>
        </w:rPr>
        <w:t>a</w:t>
      </w:r>
      <w:r>
        <w:rPr>
          <w:color w:val="231F20"/>
          <w:spacing w:val="-11"/>
          <w:w w:val="105"/>
        </w:rPr>
        <w:t> </w:t>
      </w:r>
      <w:r>
        <w:rPr>
          <w:color w:val="231F20"/>
          <w:w w:val="105"/>
        </w:rPr>
        <w:t>common</w:t>
      </w:r>
      <w:r>
        <w:rPr>
          <w:color w:val="231F20"/>
          <w:spacing w:val="-11"/>
          <w:w w:val="105"/>
        </w:rPr>
        <w:t> </w:t>
      </w:r>
      <w:r>
        <w:rPr>
          <w:color w:val="231F20"/>
          <w:w w:val="105"/>
        </w:rPr>
        <w:t>exposure</w:t>
      </w:r>
      <w:r>
        <w:rPr>
          <w:color w:val="231F20"/>
          <w:spacing w:val="-11"/>
          <w:w w:val="105"/>
        </w:rPr>
        <w:t> </w:t>
      </w:r>
      <w:r>
        <w:rPr>
          <w:color w:val="231F20"/>
          <w:w w:val="105"/>
        </w:rPr>
        <w:t>seems</w:t>
      </w:r>
    </w:p>
    <w:p>
      <w:pPr>
        <w:pStyle w:val="BodyText"/>
        <w:spacing w:line="266" w:lineRule="auto"/>
        <w:ind w:left="1440" w:right="30"/>
      </w:pPr>
      <w:r>
        <w:rPr/>
        <w:pict>
          <v:rect style="position:absolute;margin-left:0pt;margin-top:21.399353pt;width:45pt;height:18pt;mso-position-horizontal-relative:page;mso-position-vertical-relative:paragraph;z-index:1888" filled="true" fillcolor="#0079c1" stroked="false">
            <v:fill type="solid"/>
            <w10:wrap type="none"/>
          </v:rect>
        </w:pict>
      </w:r>
      <w:r>
        <w:rPr/>
        <w:pict>
          <v:line style="position:absolute;mso-position-horizontal-relative:page;mso-position-vertical-relative:paragraph;z-index:1912" from="54.5pt,21.396954pt" to="54.5pt,223.805954pt" stroked="true" strokeweight="1pt" strokecolor="#0079c1">
            <v:stroke dashstyle="solid"/>
            <w10:wrap type="none"/>
          </v:line>
        </w:pict>
      </w:r>
      <w:r>
        <w:rPr/>
        <w:pict>
          <v:shape style="position:absolute;margin-left:18.200388pt;margin-top:26.150305pt;width:15.85pt;height:8.5pt;mso-position-horizontal-relative:page;mso-position-vertical-relative:paragraph;z-index:1960"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spacing w:val="-4"/>
          <w:w w:val="105"/>
        </w:rPr>
        <w:t>likely,</w:t>
      </w:r>
      <w:r>
        <w:rPr>
          <w:color w:val="231F20"/>
          <w:spacing w:val="-13"/>
          <w:w w:val="105"/>
        </w:rPr>
        <w:t> </w:t>
      </w:r>
      <w:r>
        <w:rPr>
          <w:color w:val="231F20"/>
          <w:w w:val="105"/>
        </w:rPr>
        <w:t>investigated</w:t>
      </w:r>
      <w:r>
        <w:rPr>
          <w:color w:val="231F20"/>
          <w:spacing w:val="-14"/>
          <w:w w:val="105"/>
        </w:rPr>
        <w:t> </w:t>
      </w:r>
      <w:r>
        <w:rPr>
          <w:color w:val="231F20"/>
          <w:w w:val="105"/>
        </w:rPr>
        <w:t>further</w:t>
      </w:r>
      <w:r>
        <w:rPr>
          <w:color w:val="231F20"/>
          <w:spacing w:val="-13"/>
          <w:w w:val="105"/>
        </w:rPr>
        <w:t> </w:t>
      </w:r>
      <w:r>
        <w:rPr>
          <w:color w:val="231F20"/>
          <w:w w:val="105"/>
        </w:rPr>
        <w:t>(Chapter</w:t>
      </w:r>
      <w:r>
        <w:rPr>
          <w:color w:val="231F20"/>
          <w:spacing w:val="-14"/>
          <w:w w:val="105"/>
        </w:rPr>
        <w:t> </w:t>
      </w:r>
      <w:r>
        <w:rPr>
          <w:color w:val="231F20"/>
          <w:w w:val="105"/>
        </w:rPr>
        <w:t>5).</w:t>
      </w:r>
      <w:r>
        <w:rPr>
          <w:color w:val="231F20"/>
          <w:spacing w:val="-13"/>
          <w:w w:val="105"/>
        </w:rPr>
        <w:t> </w:t>
      </w:r>
      <w:r>
        <w:rPr>
          <w:color w:val="231F20"/>
          <w:w w:val="105"/>
        </w:rPr>
        <w:t>In</w:t>
      </w:r>
      <w:r>
        <w:rPr>
          <w:color w:val="231F20"/>
          <w:spacing w:val="-14"/>
          <w:w w:val="105"/>
        </w:rPr>
        <w:t> </w:t>
      </w:r>
      <w:r>
        <w:rPr>
          <w:color w:val="231F20"/>
          <w:w w:val="105"/>
        </w:rPr>
        <w:t>some jurisdictions, cluster detection and triage is a laboratory</w:t>
      </w:r>
      <w:r>
        <w:rPr>
          <w:color w:val="231F20"/>
          <w:spacing w:val="-21"/>
          <w:w w:val="105"/>
        </w:rPr>
        <w:t> </w:t>
      </w:r>
      <w:r>
        <w:rPr>
          <w:color w:val="231F20"/>
          <w:w w:val="105"/>
        </w:rPr>
        <w:t>function</w:t>
      </w:r>
      <w:r>
        <w:rPr>
          <w:color w:val="231F20"/>
          <w:spacing w:val="-21"/>
          <w:w w:val="105"/>
        </w:rPr>
        <w:t> </w:t>
      </w:r>
      <w:r>
        <w:rPr>
          <w:color w:val="231F20"/>
          <w:w w:val="105"/>
        </w:rPr>
        <w:t>(see</w:t>
      </w:r>
      <w:r>
        <w:rPr>
          <w:color w:val="231F20"/>
          <w:spacing w:val="-21"/>
          <w:w w:val="105"/>
        </w:rPr>
        <w:t> </w:t>
      </w:r>
      <w:r>
        <w:rPr>
          <w:color w:val="231F20"/>
          <w:w w:val="105"/>
        </w:rPr>
        <w:t>section</w:t>
      </w:r>
      <w:r>
        <w:rPr>
          <w:color w:val="231F20"/>
          <w:spacing w:val="-20"/>
          <w:w w:val="105"/>
        </w:rPr>
        <w:t> </w:t>
      </w:r>
      <w:r>
        <w:rPr>
          <w:color w:val="231F20"/>
          <w:w w:val="105"/>
        </w:rPr>
        <w:t>4.2.5</w:t>
      </w:r>
      <w:r>
        <w:rPr>
          <w:color w:val="231F20"/>
          <w:spacing w:val="-20"/>
          <w:w w:val="105"/>
        </w:rPr>
        <w:t> </w:t>
      </w:r>
      <w:r>
        <w:rPr>
          <w:color w:val="231F20"/>
          <w:w w:val="105"/>
        </w:rPr>
        <w:t>below).</w:t>
      </w:r>
    </w:p>
    <w:p>
      <w:pPr>
        <w:pStyle w:val="BodyText"/>
        <w:spacing w:line="266" w:lineRule="auto" w:before="180"/>
        <w:ind w:left="1440" w:right="161"/>
      </w:pPr>
      <w:r>
        <w:rPr/>
        <w:pict>
          <v:shape style="position:absolute;margin-left:16.402201pt;margin-top:4.922646pt;width:22.3pt;height:183.2pt;mso-position-horizontal-relative:page;mso-position-vertical-relative:paragraph;z-index:1936"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color w:val="231F20"/>
        </w:rPr>
        <w:t>Hypotheses to explain the cluster can be developed in several ways. If trawling questionnaires  (i.e.,  ‘hypothesis-generating” or “shotgun” questionnaires, or extensive interviews of possibly exposed persons, including food histories) are routinely administered after a case is reported, hypotheses can be generated through examination of previously obtained exposure data based on common exposures above what would be expected. This approach can be followed </w:t>
      </w:r>
      <w:r>
        <w:rPr>
          <w:color w:val="231F20"/>
          <w:spacing w:val="-3"/>
        </w:rPr>
        <w:t>by </w:t>
      </w:r>
      <w:r>
        <w:rPr>
          <w:color w:val="231F20"/>
        </w:rPr>
        <w:t>an iterative follow-up interview (see below). In jurisdictions where trawling questionnaires are not used </w:t>
      </w:r>
      <w:r>
        <w:rPr>
          <w:color w:val="231F20"/>
          <w:spacing w:val="-4"/>
        </w:rPr>
        <w:t>routinely, </w:t>
      </w:r>
      <w:r>
        <w:rPr>
          <w:color w:val="231F20"/>
        </w:rPr>
        <w:t>such interviews might be used only for cases suspected to be part of a common-source </w:t>
      </w:r>
      <w:r>
        <w:rPr>
          <w:color w:val="231F20"/>
          <w:spacing w:val="-4"/>
        </w:rPr>
        <w:t>cluster. </w:t>
      </w:r>
      <w:r>
        <w:rPr>
          <w:color w:val="231F20"/>
        </w:rPr>
        <w:t>Unless these interviews identify </w:t>
      </w:r>
      <w:r>
        <w:rPr>
          <w:color w:val="231F20"/>
          <w:spacing w:val="13"/>
        </w:rPr>
        <w:t> </w:t>
      </w:r>
      <w:r>
        <w:rPr>
          <w:color w:val="231F20"/>
        </w:rPr>
        <w:t>an</w:t>
      </w:r>
    </w:p>
    <w:p>
      <w:pPr>
        <w:pStyle w:val="BodyText"/>
        <w:spacing w:line="266" w:lineRule="auto"/>
        <w:ind w:left="1440"/>
      </w:pPr>
      <w:r>
        <w:rPr>
          <w:color w:val="231F20"/>
        </w:rPr>
        <w:t>obvious exposure leading to direct public health intervention, hypotheses are tested during the ensuing investigation (see Chapter 5).</w:t>
      </w:r>
    </w:p>
    <w:p>
      <w:pPr>
        <w:pStyle w:val="BodyText"/>
        <w:spacing w:line="266" w:lineRule="auto" w:before="180"/>
        <w:ind w:left="1440" w:right="48"/>
      </w:pPr>
      <w:r>
        <w:rPr>
          <w:color w:val="231F20"/>
          <w:w w:val="105"/>
        </w:rPr>
        <w:t>Questionnaire data are not the sole source of information available to investigators. The basic demographic profile of cases (age, sex, occasionally racial or ethnic composition) often provides important clues to the identity of commercial food sources. The geographic and temporal distribution of cases likewise can suggest (or rule out) certain kinds of exposures.</w:t>
      </w:r>
      <w:r>
        <w:rPr>
          <w:color w:val="231F20"/>
          <w:spacing w:val="-23"/>
          <w:w w:val="105"/>
        </w:rPr>
        <w:t> </w:t>
      </w:r>
      <w:r>
        <w:rPr>
          <w:color w:val="231F20"/>
          <w:w w:val="105"/>
        </w:rPr>
        <w:t>Investigators</w:t>
      </w:r>
      <w:r>
        <w:rPr>
          <w:color w:val="231F20"/>
          <w:spacing w:val="-23"/>
          <w:w w:val="105"/>
        </w:rPr>
        <w:t> </w:t>
      </w:r>
      <w:r>
        <w:rPr>
          <w:color w:val="231F20"/>
          <w:w w:val="105"/>
        </w:rPr>
        <w:t>should</w:t>
      </w:r>
      <w:r>
        <w:rPr>
          <w:color w:val="231F20"/>
          <w:spacing w:val="-23"/>
          <w:w w:val="105"/>
        </w:rPr>
        <w:t> </w:t>
      </w:r>
      <w:r>
        <w:rPr>
          <w:color w:val="231F20"/>
          <w:w w:val="105"/>
        </w:rPr>
        <w:t>take</w:t>
      </w:r>
      <w:r>
        <w:rPr>
          <w:color w:val="231F20"/>
          <w:spacing w:val="-23"/>
          <w:w w:val="105"/>
        </w:rPr>
        <w:t> </w:t>
      </w:r>
      <w:r>
        <w:rPr>
          <w:color w:val="231F20"/>
          <w:w w:val="105"/>
        </w:rPr>
        <w:t>advantage of</w:t>
      </w:r>
      <w:r>
        <w:rPr>
          <w:color w:val="231F20"/>
          <w:spacing w:val="7"/>
          <w:w w:val="105"/>
        </w:rPr>
        <w:t> </w:t>
      </w:r>
      <w:r>
        <w:rPr>
          <w:color w:val="231F20"/>
          <w:w w:val="105"/>
        </w:rPr>
        <w:t>product</w:t>
      </w:r>
      <w:r>
        <w:rPr>
          <w:color w:val="231F20"/>
          <w:spacing w:val="-15"/>
          <w:w w:val="105"/>
        </w:rPr>
        <w:t> </w:t>
      </w:r>
      <w:r>
        <w:rPr>
          <w:color w:val="231F20"/>
          <w:w w:val="105"/>
        </w:rPr>
        <w:t>distribution</w:t>
      </w:r>
      <w:r>
        <w:rPr>
          <w:color w:val="231F20"/>
          <w:spacing w:val="-15"/>
          <w:w w:val="105"/>
        </w:rPr>
        <w:t> </w:t>
      </w:r>
      <w:r>
        <w:rPr>
          <w:color w:val="231F20"/>
          <w:w w:val="105"/>
        </w:rPr>
        <w:t>data</w:t>
      </w:r>
      <w:r>
        <w:rPr>
          <w:color w:val="231F20"/>
          <w:spacing w:val="-16"/>
          <w:w w:val="105"/>
        </w:rPr>
        <w:t> </w:t>
      </w:r>
      <w:r>
        <w:rPr>
          <w:color w:val="231F20"/>
          <w:w w:val="105"/>
        </w:rPr>
        <w:t>obtained</w:t>
      </w:r>
      <w:r>
        <w:rPr>
          <w:color w:val="231F20"/>
          <w:spacing w:val="-15"/>
          <w:w w:val="105"/>
        </w:rPr>
        <w:t> </w:t>
      </w:r>
      <w:r>
        <w:rPr>
          <w:color w:val="231F20"/>
          <w:w w:val="105"/>
        </w:rPr>
        <w:t>from</w:t>
      </w:r>
      <w:r>
        <w:rPr>
          <w:color w:val="231F20"/>
          <w:spacing w:val="-16"/>
          <w:w w:val="105"/>
        </w:rPr>
        <w:t> </w:t>
      </w:r>
      <w:r>
        <w:rPr>
          <w:color w:val="231F20"/>
          <w:w w:val="105"/>
        </w:rPr>
        <w:t>the food distributors or noteworthy outliers (i.e., the cases that do not fit an otherwise well- established</w:t>
      </w:r>
      <w:r>
        <w:rPr>
          <w:color w:val="231F20"/>
          <w:spacing w:val="-16"/>
          <w:w w:val="105"/>
        </w:rPr>
        <w:t> </w:t>
      </w:r>
      <w:r>
        <w:rPr>
          <w:color w:val="231F20"/>
          <w:w w:val="105"/>
        </w:rPr>
        <w:t>pattern).</w:t>
      </w:r>
      <w:r>
        <w:rPr>
          <w:color w:val="231F20"/>
          <w:spacing w:val="-16"/>
          <w:w w:val="105"/>
        </w:rPr>
        <w:t> </w:t>
      </w:r>
      <w:r>
        <w:rPr>
          <w:color w:val="231F20"/>
          <w:w w:val="105"/>
        </w:rPr>
        <w:t>Other</w:t>
      </w:r>
      <w:r>
        <w:rPr>
          <w:color w:val="231F20"/>
          <w:spacing w:val="-16"/>
          <w:w w:val="105"/>
        </w:rPr>
        <w:t> </w:t>
      </w:r>
      <w:r>
        <w:rPr>
          <w:color w:val="231F20"/>
          <w:w w:val="105"/>
        </w:rPr>
        <w:t>potentially</w:t>
      </w:r>
      <w:r>
        <w:rPr>
          <w:color w:val="231F20"/>
          <w:spacing w:val="-16"/>
          <w:w w:val="105"/>
        </w:rPr>
        <w:t> </w:t>
      </w:r>
      <w:r>
        <w:rPr>
          <w:color w:val="231F20"/>
          <w:w w:val="105"/>
        </w:rPr>
        <w:t>useful</w:t>
      </w:r>
    </w:p>
    <w:p>
      <w:pPr>
        <w:pStyle w:val="BodyText"/>
        <w:spacing w:line="266" w:lineRule="auto" w:before="108"/>
        <w:ind w:left="320" w:right="749"/>
      </w:pPr>
      <w:r>
        <w:rPr/>
        <w:br w:type="column"/>
      </w:r>
      <w:r>
        <w:rPr>
          <w:color w:val="231F20"/>
        </w:rPr>
        <w:t>information includes routine food-monitoring test results (see section 4.2.5.2) or concurrent group or individual complaints (see section  4.3). The most successful investigators consider information from as wide a variety of  sources as</w:t>
      </w:r>
      <w:r>
        <w:rPr>
          <w:color w:val="231F20"/>
          <w:spacing w:val="3"/>
        </w:rPr>
        <w:t> </w:t>
      </w:r>
      <w:r>
        <w:rPr>
          <w:color w:val="231F20"/>
        </w:rPr>
        <w:t>possible.</w:t>
      </w:r>
    </w:p>
    <w:p>
      <w:pPr>
        <w:pStyle w:val="BodyText"/>
        <w:spacing w:line="266" w:lineRule="auto" w:before="180"/>
        <w:ind w:left="320" w:right="749"/>
      </w:pPr>
      <w:r>
        <w:rPr>
          <w:color w:val="231F20"/>
          <w:spacing w:val="-4"/>
          <w:w w:val="105"/>
        </w:rPr>
        <w:t>Finally, </w:t>
      </w:r>
      <w:r>
        <w:rPr>
          <w:color w:val="231F20"/>
          <w:w w:val="105"/>
        </w:rPr>
        <w:t>pathogen-specific data are ideally compared routinely with complaint data, which</w:t>
      </w:r>
      <w:r>
        <w:rPr>
          <w:color w:val="231F20"/>
          <w:spacing w:val="-19"/>
          <w:w w:val="105"/>
        </w:rPr>
        <w:t> </w:t>
      </w:r>
      <w:r>
        <w:rPr>
          <w:color w:val="231F20"/>
          <w:w w:val="105"/>
        </w:rPr>
        <w:t>offer</w:t>
      </w:r>
      <w:r>
        <w:rPr>
          <w:color w:val="231F20"/>
          <w:spacing w:val="-19"/>
          <w:w w:val="105"/>
        </w:rPr>
        <w:t> </w:t>
      </w:r>
      <w:r>
        <w:rPr>
          <w:color w:val="231F20"/>
          <w:w w:val="105"/>
        </w:rPr>
        <w:t>significant</w:t>
      </w:r>
      <w:r>
        <w:rPr>
          <w:color w:val="231F20"/>
          <w:spacing w:val="-19"/>
          <w:w w:val="105"/>
        </w:rPr>
        <w:t> </w:t>
      </w:r>
      <w:r>
        <w:rPr>
          <w:color w:val="231F20"/>
          <w:w w:val="105"/>
        </w:rPr>
        <w:t>advantages</w:t>
      </w:r>
      <w:r>
        <w:rPr>
          <w:color w:val="231F20"/>
          <w:spacing w:val="-19"/>
          <w:w w:val="105"/>
        </w:rPr>
        <w:t> </w:t>
      </w:r>
      <w:r>
        <w:rPr>
          <w:color w:val="231F20"/>
          <w:w w:val="105"/>
        </w:rPr>
        <w:t>in</w:t>
      </w:r>
      <w:r>
        <w:rPr>
          <w:color w:val="231F20"/>
          <w:spacing w:val="-19"/>
          <w:w w:val="105"/>
        </w:rPr>
        <w:t> </w:t>
      </w:r>
      <w:r>
        <w:rPr>
          <w:color w:val="231F20"/>
          <w:w w:val="105"/>
        </w:rPr>
        <w:t>sensitivity and</w:t>
      </w:r>
      <w:r>
        <w:rPr>
          <w:color w:val="231F20"/>
          <w:spacing w:val="-12"/>
          <w:w w:val="105"/>
        </w:rPr>
        <w:t> </w:t>
      </w:r>
      <w:r>
        <w:rPr>
          <w:color w:val="231F20"/>
          <w:w w:val="105"/>
        </w:rPr>
        <w:t>specificity</w:t>
      </w:r>
      <w:r>
        <w:rPr>
          <w:color w:val="231F20"/>
          <w:spacing w:val="-12"/>
          <w:w w:val="105"/>
        </w:rPr>
        <w:t> </w:t>
      </w:r>
      <w:r>
        <w:rPr>
          <w:color w:val="231F20"/>
          <w:spacing w:val="-3"/>
          <w:w w:val="105"/>
        </w:rPr>
        <w:t>over</w:t>
      </w:r>
      <w:r>
        <w:rPr>
          <w:color w:val="231F20"/>
          <w:spacing w:val="-12"/>
          <w:w w:val="105"/>
        </w:rPr>
        <w:t> </w:t>
      </w:r>
      <w:r>
        <w:rPr>
          <w:color w:val="231F20"/>
          <w:w w:val="105"/>
        </w:rPr>
        <w:t>either</w:t>
      </w:r>
      <w:r>
        <w:rPr>
          <w:color w:val="231F20"/>
          <w:spacing w:val="-12"/>
          <w:w w:val="105"/>
        </w:rPr>
        <w:t> </w:t>
      </w:r>
      <w:r>
        <w:rPr>
          <w:color w:val="231F20"/>
          <w:w w:val="105"/>
        </w:rPr>
        <w:t>system</w:t>
      </w:r>
      <w:r>
        <w:rPr>
          <w:color w:val="231F20"/>
          <w:spacing w:val="-12"/>
          <w:w w:val="105"/>
        </w:rPr>
        <w:t> </w:t>
      </w:r>
      <w:r>
        <w:rPr>
          <w:color w:val="231F20"/>
          <w:w w:val="105"/>
        </w:rPr>
        <w:t>alone</w:t>
      </w:r>
    </w:p>
    <w:p>
      <w:pPr>
        <w:pStyle w:val="BodyText"/>
        <w:ind w:left="320"/>
      </w:pPr>
      <w:r>
        <w:rPr>
          <w:color w:val="231F20"/>
        </w:rPr>
        <w:t>(see section 4.3.6).</w:t>
      </w:r>
    </w:p>
    <w:p>
      <w:pPr>
        <w:pStyle w:val="ListParagraph"/>
        <w:numPr>
          <w:ilvl w:val="2"/>
          <w:numId w:val="6"/>
        </w:numPr>
        <w:tabs>
          <w:tab w:pos="876" w:val="left" w:leader="none"/>
        </w:tabs>
        <w:spacing w:line="240" w:lineRule="auto" w:before="184" w:after="0"/>
        <w:ind w:left="876" w:right="0" w:hanging="556"/>
        <w:jc w:val="left"/>
        <w:rPr>
          <w:rFonts w:ascii="Lucida Sans"/>
          <w:sz w:val="20"/>
        </w:rPr>
      </w:pPr>
      <w:r>
        <w:rPr>
          <w:rFonts w:ascii="Lucida Sans"/>
          <w:color w:val="1C3E94"/>
          <w:w w:val="95"/>
          <w:sz w:val="20"/>
        </w:rPr>
        <w:t>Laboratory</w:t>
      </w:r>
      <w:r>
        <w:rPr>
          <w:rFonts w:ascii="Lucida Sans"/>
          <w:color w:val="1C3E94"/>
          <w:spacing w:val="-35"/>
          <w:w w:val="95"/>
          <w:sz w:val="20"/>
        </w:rPr>
        <w:t> </w:t>
      </w:r>
      <w:r>
        <w:rPr>
          <w:rFonts w:ascii="Lucida Sans"/>
          <w:color w:val="1C3E94"/>
          <w:w w:val="95"/>
          <w:sz w:val="20"/>
        </w:rPr>
        <w:t>Process</w:t>
      </w:r>
    </w:p>
    <w:p>
      <w:pPr>
        <w:pStyle w:val="BodyText"/>
        <w:spacing w:before="3"/>
        <w:rPr>
          <w:rFonts w:ascii="Lucida Sans"/>
          <w:sz w:val="18"/>
        </w:rPr>
      </w:pPr>
    </w:p>
    <w:p>
      <w:pPr>
        <w:pStyle w:val="BodyText"/>
        <w:spacing w:line="266" w:lineRule="auto"/>
        <w:ind w:left="320" w:right="873"/>
      </w:pPr>
      <w:r>
        <w:rPr>
          <w:color w:val="231F20"/>
          <w:w w:val="105"/>
        </w:rPr>
        <w:t>Clinical diagnostic laboratories forward case isolates, specimens that were positive for a reportable enteric pathogen </w:t>
      </w:r>
      <w:r>
        <w:rPr>
          <w:color w:val="231F20"/>
          <w:spacing w:val="-3"/>
          <w:w w:val="105"/>
        </w:rPr>
        <w:t>by </w:t>
      </w:r>
      <w:r>
        <w:rPr>
          <w:color w:val="231F20"/>
          <w:w w:val="105"/>
        </w:rPr>
        <w:t>a culture- independent test, or other clinical materials to public health laboratories as part of mandated or voluntary reporting rules. Such problems</w:t>
      </w:r>
      <w:r>
        <w:rPr>
          <w:color w:val="231F20"/>
          <w:spacing w:val="-22"/>
          <w:w w:val="105"/>
        </w:rPr>
        <w:t> </w:t>
      </w:r>
      <w:r>
        <w:rPr>
          <w:color w:val="231F20"/>
          <w:w w:val="105"/>
        </w:rPr>
        <w:t>as</w:t>
      </w:r>
      <w:r>
        <w:rPr>
          <w:color w:val="231F20"/>
          <w:spacing w:val="-22"/>
          <w:w w:val="105"/>
        </w:rPr>
        <w:t> </w:t>
      </w:r>
      <w:r>
        <w:rPr>
          <w:color w:val="231F20"/>
          <w:w w:val="105"/>
        </w:rPr>
        <w:t>mislabeling,</w:t>
      </w:r>
      <w:r>
        <w:rPr>
          <w:color w:val="231F20"/>
          <w:spacing w:val="-21"/>
          <w:w w:val="105"/>
        </w:rPr>
        <w:t> </w:t>
      </w:r>
      <w:r>
        <w:rPr>
          <w:color w:val="231F20"/>
          <w:w w:val="105"/>
        </w:rPr>
        <w:t>broken-in-transit,</w:t>
      </w:r>
      <w:r>
        <w:rPr>
          <w:color w:val="231F20"/>
          <w:spacing w:val="-21"/>
          <w:w w:val="105"/>
        </w:rPr>
        <w:t> </w:t>
      </w:r>
      <w:r>
        <w:rPr>
          <w:color w:val="231F20"/>
          <w:w w:val="105"/>
        </w:rPr>
        <w:t>or</w:t>
      </w:r>
    </w:p>
    <w:p>
      <w:pPr>
        <w:pStyle w:val="BodyText"/>
        <w:spacing w:line="266" w:lineRule="auto"/>
        <w:ind w:left="320" w:right="764"/>
      </w:pPr>
      <w:r>
        <w:rPr>
          <w:color w:val="231F20"/>
          <w:w w:val="105"/>
        </w:rPr>
        <w:t>quantity-not-sufficient</w:t>
      </w:r>
      <w:r>
        <w:rPr>
          <w:color w:val="231F20"/>
          <w:spacing w:val="-20"/>
          <w:w w:val="105"/>
        </w:rPr>
        <w:t> </w:t>
      </w:r>
      <w:r>
        <w:rPr>
          <w:color w:val="231F20"/>
          <w:w w:val="105"/>
        </w:rPr>
        <w:t>are</w:t>
      </w:r>
      <w:r>
        <w:rPr>
          <w:color w:val="231F20"/>
          <w:spacing w:val="-20"/>
          <w:w w:val="105"/>
        </w:rPr>
        <w:t> </w:t>
      </w:r>
      <w:r>
        <w:rPr>
          <w:color w:val="231F20"/>
          <w:w w:val="105"/>
        </w:rPr>
        <w:t>resolved.</w:t>
      </w:r>
      <w:r>
        <w:rPr>
          <w:color w:val="231F20"/>
          <w:spacing w:val="-20"/>
          <w:w w:val="105"/>
        </w:rPr>
        <w:t> </w:t>
      </w:r>
      <w:r>
        <w:rPr>
          <w:color w:val="231F20"/>
          <w:w w:val="105"/>
        </w:rPr>
        <w:t>Receipt</w:t>
      </w:r>
      <w:r>
        <w:rPr>
          <w:color w:val="231F20"/>
          <w:spacing w:val="-20"/>
          <w:w w:val="105"/>
        </w:rPr>
        <w:t> </w:t>
      </w:r>
      <w:r>
        <w:rPr>
          <w:color w:val="231F20"/>
          <w:w w:val="105"/>
        </w:rPr>
        <w:t>of samples is recorded, and sample information is</w:t>
      </w:r>
      <w:r>
        <w:rPr>
          <w:color w:val="231F20"/>
          <w:spacing w:val="-8"/>
          <w:w w:val="105"/>
        </w:rPr>
        <w:t> </w:t>
      </w:r>
      <w:r>
        <w:rPr>
          <w:color w:val="231F20"/>
          <w:w w:val="105"/>
        </w:rPr>
        <w:t>entered</w:t>
      </w:r>
      <w:r>
        <w:rPr>
          <w:color w:val="231F20"/>
          <w:spacing w:val="-8"/>
          <w:w w:val="105"/>
        </w:rPr>
        <w:t> </w:t>
      </w:r>
      <w:r>
        <w:rPr>
          <w:color w:val="231F20"/>
          <w:w w:val="105"/>
        </w:rPr>
        <w:t>into</w:t>
      </w:r>
      <w:r>
        <w:rPr>
          <w:color w:val="231F20"/>
          <w:spacing w:val="-7"/>
          <w:w w:val="105"/>
        </w:rPr>
        <w:t> </w:t>
      </w:r>
      <w:r>
        <w:rPr>
          <w:color w:val="231F20"/>
          <w:w w:val="105"/>
        </w:rPr>
        <w:t>the</w:t>
      </w:r>
      <w:r>
        <w:rPr>
          <w:color w:val="231F20"/>
          <w:spacing w:val="-8"/>
          <w:w w:val="105"/>
        </w:rPr>
        <w:t> </w:t>
      </w:r>
      <w:r>
        <w:rPr>
          <w:color w:val="231F20"/>
          <w:w w:val="105"/>
        </w:rPr>
        <w:t>laboratory</w:t>
      </w:r>
      <w:r>
        <w:rPr>
          <w:color w:val="231F20"/>
          <w:spacing w:val="-8"/>
          <w:w w:val="105"/>
        </w:rPr>
        <w:t> </w:t>
      </w:r>
      <w:r>
        <w:rPr>
          <w:color w:val="231F20"/>
          <w:w w:val="105"/>
        </w:rPr>
        <w:t>database.</w:t>
      </w:r>
      <w:r>
        <w:rPr>
          <w:color w:val="231F20"/>
          <w:spacing w:val="-7"/>
          <w:w w:val="105"/>
        </w:rPr>
        <w:t> </w:t>
      </w:r>
      <w:r>
        <w:rPr>
          <w:color w:val="231F20"/>
          <w:w w:val="105"/>
        </w:rPr>
        <w:t>Patient information submitted with the sample may be provided to the epidemiology department for comparison with information from cases already reported and to enable reconciliation of case reports and laboratory samples and identification</w:t>
      </w:r>
      <w:r>
        <w:rPr>
          <w:color w:val="231F20"/>
          <w:spacing w:val="-21"/>
          <w:w w:val="105"/>
        </w:rPr>
        <w:t> </w:t>
      </w:r>
      <w:r>
        <w:rPr>
          <w:color w:val="231F20"/>
          <w:w w:val="105"/>
        </w:rPr>
        <w:t>of</w:t>
      </w:r>
      <w:r>
        <w:rPr>
          <w:color w:val="231F20"/>
          <w:spacing w:val="-4"/>
          <w:w w:val="105"/>
        </w:rPr>
        <w:t> </w:t>
      </w:r>
      <w:r>
        <w:rPr>
          <w:color w:val="231F20"/>
          <w:w w:val="105"/>
        </w:rPr>
        <w:t>previously</w:t>
      </w:r>
      <w:r>
        <w:rPr>
          <w:color w:val="231F20"/>
          <w:spacing w:val="-21"/>
          <w:w w:val="105"/>
        </w:rPr>
        <w:t> </w:t>
      </w:r>
      <w:r>
        <w:rPr>
          <w:color w:val="231F20"/>
          <w:w w:val="105"/>
        </w:rPr>
        <w:t>unreported</w:t>
      </w:r>
      <w:r>
        <w:rPr>
          <w:color w:val="231F20"/>
          <w:spacing w:val="-21"/>
          <w:w w:val="105"/>
        </w:rPr>
        <w:t> </w:t>
      </w:r>
      <w:r>
        <w:rPr>
          <w:color w:val="231F20"/>
          <w:w w:val="105"/>
        </w:rPr>
        <w:t>cases.</w:t>
      </w:r>
    </w:p>
    <w:p>
      <w:pPr>
        <w:pStyle w:val="BodyText"/>
        <w:spacing w:line="266" w:lineRule="auto" w:before="180"/>
        <w:ind w:left="320" w:right="1046"/>
      </w:pPr>
      <w:r>
        <w:rPr>
          <w:color w:val="231F20"/>
          <w:w w:val="105"/>
        </w:rPr>
        <w:t>The agent identification is confirmed, and tests</w:t>
      </w:r>
      <w:r>
        <w:rPr>
          <w:color w:val="231F20"/>
          <w:spacing w:val="-24"/>
          <w:w w:val="105"/>
        </w:rPr>
        <w:t> </w:t>
      </w:r>
      <w:r>
        <w:rPr>
          <w:color w:val="231F20"/>
          <w:w w:val="105"/>
        </w:rPr>
        <w:t>used</w:t>
      </w:r>
      <w:r>
        <w:rPr>
          <w:color w:val="231F20"/>
          <w:spacing w:val="-24"/>
          <w:w w:val="105"/>
        </w:rPr>
        <w:t> </w:t>
      </w:r>
      <w:r>
        <w:rPr>
          <w:color w:val="231F20"/>
          <w:w w:val="105"/>
        </w:rPr>
        <w:t>for</w:t>
      </w:r>
      <w:r>
        <w:rPr>
          <w:color w:val="231F20"/>
          <w:spacing w:val="-24"/>
          <w:w w:val="105"/>
        </w:rPr>
        <w:t> </w:t>
      </w:r>
      <w:r>
        <w:rPr>
          <w:color w:val="231F20"/>
          <w:w w:val="105"/>
        </w:rPr>
        <w:t>subtyping</w:t>
      </w:r>
      <w:r>
        <w:rPr>
          <w:color w:val="231F20"/>
          <w:spacing w:val="-23"/>
          <w:w w:val="105"/>
        </w:rPr>
        <w:t> </w:t>
      </w:r>
      <w:r>
        <w:rPr>
          <w:color w:val="231F20"/>
          <w:w w:val="105"/>
        </w:rPr>
        <w:t>(such</w:t>
      </w:r>
      <w:r>
        <w:rPr>
          <w:color w:val="231F20"/>
          <w:spacing w:val="-24"/>
          <w:w w:val="105"/>
        </w:rPr>
        <w:t> </w:t>
      </w:r>
      <w:r>
        <w:rPr>
          <w:color w:val="231F20"/>
          <w:w w:val="105"/>
        </w:rPr>
        <w:t>as</w:t>
      </w:r>
      <w:r>
        <w:rPr>
          <w:color w:val="231F20"/>
          <w:spacing w:val="-24"/>
          <w:w w:val="105"/>
        </w:rPr>
        <w:t> </w:t>
      </w:r>
      <w:r>
        <w:rPr>
          <w:color w:val="231F20"/>
          <w:w w:val="105"/>
        </w:rPr>
        <w:t>serotyping, virulence</w:t>
      </w:r>
      <w:r>
        <w:rPr>
          <w:color w:val="231F20"/>
          <w:spacing w:val="-17"/>
          <w:w w:val="105"/>
        </w:rPr>
        <w:t> </w:t>
      </w:r>
      <w:r>
        <w:rPr>
          <w:color w:val="231F20"/>
          <w:w w:val="105"/>
        </w:rPr>
        <w:t>assays,</w:t>
      </w:r>
      <w:r>
        <w:rPr>
          <w:color w:val="231F20"/>
          <w:spacing w:val="-17"/>
          <w:w w:val="105"/>
        </w:rPr>
        <w:t> </w:t>
      </w:r>
      <w:r>
        <w:rPr>
          <w:color w:val="231F20"/>
          <w:w w:val="105"/>
        </w:rPr>
        <w:t>molecular</w:t>
      </w:r>
      <w:r>
        <w:rPr>
          <w:color w:val="231F20"/>
          <w:spacing w:val="-17"/>
          <w:w w:val="105"/>
        </w:rPr>
        <w:t> </w:t>
      </w:r>
      <w:r>
        <w:rPr>
          <w:color w:val="231F20"/>
          <w:w w:val="105"/>
        </w:rPr>
        <w:t>subtyping,</w:t>
      </w:r>
      <w:r>
        <w:rPr>
          <w:color w:val="231F20"/>
          <w:spacing w:val="-17"/>
          <w:w w:val="105"/>
        </w:rPr>
        <w:t> </w:t>
      </w:r>
      <w:r>
        <w:rPr>
          <w:color w:val="231F20"/>
          <w:w w:val="105"/>
        </w:rPr>
        <w:t>or</w:t>
      </w:r>
    </w:p>
    <w:p>
      <w:pPr>
        <w:pStyle w:val="BodyText"/>
        <w:spacing w:line="266" w:lineRule="auto"/>
        <w:ind w:left="320" w:right="639"/>
      </w:pPr>
      <w:r>
        <w:rPr>
          <w:color w:val="231F20"/>
          <w:w w:val="105"/>
        </w:rPr>
        <w:t>antimicrobial susceptibility tests) are conducted to further characterize the agent. Reports</w:t>
      </w:r>
    </w:p>
    <w:p>
      <w:pPr>
        <w:pStyle w:val="BodyText"/>
        <w:spacing w:line="266" w:lineRule="auto"/>
        <w:ind w:left="320" w:right="717"/>
      </w:pPr>
      <w:r>
        <w:rPr>
          <w:color w:val="231F20"/>
          <w:w w:val="105"/>
        </w:rPr>
        <w:t>are issued either singly or in groups to the epidemiology department. Reports also may be issued to submitters as permitted </w:t>
      </w:r>
      <w:r>
        <w:rPr>
          <w:color w:val="231F20"/>
          <w:spacing w:val="-3"/>
          <w:w w:val="105"/>
        </w:rPr>
        <w:t>by </w:t>
      </w:r>
      <w:r>
        <w:rPr>
          <w:color w:val="231F20"/>
          <w:w w:val="105"/>
        </w:rPr>
        <w:t>local </w:t>
      </w:r>
      <w:r>
        <w:rPr>
          <w:color w:val="231F20"/>
        </w:rPr>
        <w:t>policies. Pulsed-field gel electrophoresis (PFGE) </w:t>
      </w:r>
      <w:r>
        <w:rPr>
          <w:color w:val="231F20"/>
          <w:w w:val="105"/>
        </w:rPr>
        <w:t>or other subtype patterns and accompanying metadata are uploaded to local and national databases.</w:t>
      </w:r>
      <w:r>
        <w:rPr>
          <w:color w:val="231F20"/>
          <w:spacing w:val="-12"/>
          <w:w w:val="105"/>
        </w:rPr>
        <w:t> </w:t>
      </w:r>
      <w:r>
        <w:rPr>
          <w:color w:val="231F20"/>
          <w:w w:val="105"/>
        </w:rPr>
        <w:t>Consolidated</w:t>
      </w:r>
      <w:r>
        <w:rPr>
          <w:color w:val="231F20"/>
          <w:spacing w:val="-13"/>
          <w:w w:val="105"/>
        </w:rPr>
        <w:t> </w:t>
      </w:r>
      <w:r>
        <w:rPr>
          <w:color w:val="231F20"/>
          <w:w w:val="105"/>
        </w:rPr>
        <w:t>daily</w:t>
      </w:r>
      <w:r>
        <w:rPr>
          <w:color w:val="231F20"/>
          <w:spacing w:val="-12"/>
          <w:w w:val="105"/>
        </w:rPr>
        <w:t> </w:t>
      </w:r>
      <w:r>
        <w:rPr>
          <w:color w:val="231F20"/>
          <w:w w:val="105"/>
        </w:rPr>
        <w:t>reports,</w:t>
      </w:r>
      <w:r>
        <w:rPr>
          <w:color w:val="231F20"/>
          <w:spacing w:val="-12"/>
          <w:w w:val="105"/>
        </w:rPr>
        <w:t> </w:t>
      </w:r>
      <w:r>
        <w:rPr>
          <w:color w:val="231F20"/>
          <w:w w:val="105"/>
        </w:rPr>
        <w:t>such</w:t>
      </w:r>
    </w:p>
    <w:p>
      <w:pPr>
        <w:pStyle w:val="BodyText"/>
        <w:spacing w:line="266" w:lineRule="auto"/>
        <w:ind w:left="320" w:right="1004"/>
      </w:pPr>
      <w:r>
        <w:rPr>
          <w:color w:val="231F20"/>
          <w:w w:val="105"/>
        </w:rPr>
        <w:t>as subtype frequency reports, are often used to facilitate cluster recognition. These reports may be automatically generated by</w:t>
      </w:r>
    </w:p>
    <w:p>
      <w:pPr>
        <w:spacing w:after="0" w:line="266" w:lineRule="auto"/>
        <w:sectPr>
          <w:type w:val="continuous"/>
          <w:pgSz w:w="10080" w:h="14400"/>
          <w:pgMar w:top="0" w:bottom="0" w:left="0" w:right="0"/>
          <w:cols w:num="2" w:equalWidth="0">
            <w:col w:w="5220" w:space="40"/>
            <w:col w:w="4820"/>
          </w:cols>
        </w:sectPr>
      </w:pPr>
    </w:p>
    <w:p>
      <w:pPr>
        <w:pStyle w:val="BodyText"/>
        <w:spacing w:before="8"/>
        <w:rPr>
          <w:sz w:val="26"/>
        </w:rPr>
      </w:pPr>
    </w:p>
    <w:p>
      <w:pPr>
        <w:pStyle w:val="Heading1"/>
        <w:ind w:left="720"/>
      </w:pPr>
      <w:r>
        <w:rPr/>
        <w:pict>
          <v:line style="position:absolute;mso-position-horizontal-relative:page;mso-position-vertical-relative:paragraph;z-index:1984;mso-wrap-distance-left:0;mso-wrap-distance-right:0" from="36pt,23.995163pt" to="432pt,23.995163pt" stroked="true" strokeweight=".5pt" strokecolor="#00a94f">
            <v:stroke dashstyle="solid"/>
            <w10:wrap type="topAndBottom"/>
          </v:line>
        </w:pict>
      </w:r>
      <w:r>
        <w:rPr>
          <w:color w:val="00A94F"/>
          <w:w w:val="95"/>
        </w:rPr>
        <w:t>4.2. Pathogen-Specific Surveillance</w:t>
      </w:r>
    </w:p>
    <w:p>
      <w:pPr>
        <w:pStyle w:val="BodyText"/>
        <w:spacing w:before="7"/>
        <w:rPr>
          <w:rFonts w:ascii="Lucida Sans"/>
          <w:sz w:val="17"/>
        </w:rPr>
      </w:pPr>
    </w:p>
    <w:p>
      <w:pPr>
        <w:spacing w:after="0"/>
        <w:rPr>
          <w:rFonts w:ascii="Lucida Sans"/>
          <w:sz w:val="17"/>
        </w:rPr>
        <w:sectPr>
          <w:pgSz w:w="10080" w:h="14400"/>
          <w:pgMar w:header="0" w:footer="0" w:top="980" w:bottom="280" w:left="0" w:right="0"/>
        </w:sectPr>
      </w:pPr>
    </w:p>
    <w:p>
      <w:pPr>
        <w:pStyle w:val="BodyText"/>
        <w:spacing w:line="266" w:lineRule="auto" w:before="108"/>
        <w:ind w:left="720" w:right="25"/>
      </w:pPr>
      <w:r>
        <w:rPr>
          <w:color w:val="231F20"/>
          <w:w w:val="105"/>
        </w:rPr>
        <w:t>laboratory or epidemiology information systems;</w:t>
      </w:r>
      <w:r>
        <w:rPr>
          <w:color w:val="231F20"/>
          <w:spacing w:val="-18"/>
          <w:w w:val="105"/>
        </w:rPr>
        <w:t> </w:t>
      </w:r>
      <w:r>
        <w:rPr>
          <w:color w:val="231F20"/>
          <w:w w:val="105"/>
        </w:rPr>
        <w:t>extracted</w:t>
      </w:r>
      <w:r>
        <w:rPr>
          <w:color w:val="231F20"/>
          <w:spacing w:val="-19"/>
          <w:w w:val="105"/>
        </w:rPr>
        <w:t> </w:t>
      </w:r>
      <w:r>
        <w:rPr>
          <w:color w:val="231F20"/>
          <w:w w:val="105"/>
        </w:rPr>
        <w:t>from</w:t>
      </w:r>
      <w:r>
        <w:rPr>
          <w:color w:val="231F20"/>
          <w:spacing w:val="-19"/>
          <w:w w:val="105"/>
        </w:rPr>
        <w:t> </w:t>
      </w:r>
      <w:r>
        <w:rPr>
          <w:color w:val="231F20"/>
          <w:w w:val="105"/>
        </w:rPr>
        <w:t>the</w:t>
      </w:r>
      <w:r>
        <w:rPr>
          <w:color w:val="231F20"/>
          <w:spacing w:val="-19"/>
          <w:w w:val="105"/>
        </w:rPr>
        <w:t> </w:t>
      </w:r>
      <w:r>
        <w:rPr>
          <w:color w:val="231F20"/>
          <w:w w:val="105"/>
        </w:rPr>
        <w:t>PulseNet</w:t>
      </w:r>
      <w:r>
        <w:rPr>
          <w:color w:val="231F20"/>
          <w:spacing w:val="-18"/>
          <w:w w:val="105"/>
        </w:rPr>
        <w:t> </w:t>
      </w:r>
      <w:r>
        <w:rPr>
          <w:color w:val="231F20"/>
          <w:w w:val="105"/>
        </w:rPr>
        <w:t>database;</w:t>
      </w:r>
      <w:r>
        <w:rPr>
          <w:color w:val="231F20"/>
          <w:spacing w:val="-1"/>
        </w:rPr>
        <w:t> </w:t>
      </w:r>
      <w:r>
        <w:rPr>
          <w:color w:val="231F20"/>
          <w:w w:val="105"/>
        </w:rPr>
        <w:t>or facilitated </w:t>
      </w:r>
      <w:r>
        <w:rPr>
          <w:color w:val="231F20"/>
          <w:spacing w:val="-3"/>
          <w:w w:val="105"/>
        </w:rPr>
        <w:t>by </w:t>
      </w:r>
      <w:r>
        <w:rPr>
          <w:color w:val="231F20"/>
          <w:w w:val="105"/>
        </w:rPr>
        <w:t>software, such as the CIFOR laboratory/epidemiology reporting program </w:t>
      </w:r>
      <w:r>
        <w:rPr>
          <w:color w:val="231F20"/>
          <w:spacing w:val="-3"/>
          <w:w w:val="105"/>
        </w:rPr>
        <w:t>(</w:t>
      </w:r>
      <w:hyperlink r:id="rId16">
        <w:r>
          <w:rPr>
            <w:color w:val="0079C1"/>
            <w:spacing w:val="-3"/>
            <w:w w:val="105"/>
          </w:rPr>
          <w:t>http://www.cifor.us/projelr.cfm</w:t>
        </w:r>
        <w:r>
          <w:rPr>
            <w:color w:val="231F20"/>
            <w:spacing w:val="-3"/>
            <w:w w:val="105"/>
          </w:rPr>
          <w:t>).</w:t>
        </w:r>
      </w:hyperlink>
    </w:p>
    <w:p>
      <w:pPr>
        <w:pStyle w:val="BodyText"/>
        <w:spacing w:line="266" w:lineRule="auto"/>
        <w:ind w:left="720" w:right="95"/>
      </w:pPr>
      <w:r>
        <w:rPr>
          <w:color w:val="231F20"/>
          <w:w w:val="105"/>
        </w:rPr>
        <w:t>Case cluster data are enhanced by inclusion of information about matching isolates or outbreaks through PulseNet from other jurisdictions and by matching isolates from food, animal, or environmental monitoring tests that provide information for hypothesis generation. Specimen data (including detailed subtyping results) are additionally uploaded to national surveillance systems, such as the</w:t>
      </w:r>
    </w:p>
    <w:p>
      <w:pPr>
        <w:pStyle w:val="BodyText"/>
        <w:spacing w:line="266" w:lineRule="auto"/>
        <w:ind w:left="720" w:right="25"/>
      </w:pPr>
      <w:r>
        <w:rPr>
          <w:color w:val="231F20"/>
          <w:w w:val="105"/>
        </w:rPr>
        <w:t>U.S. Laboratory-based Enteric-Diseases Surveillance (LEDS [in the United States] or TESSy [in Europe]).</w:t>
      </w:r>
    </w:p>
    <w:p>
      <w:pPr>
        <w:spacing w:before="180"/>
        <w:ind w:left="720" w:right="0" w:firstLine="0"/>
        <w:jc w:val="left"/>
        <w:rPr>
          <w:i/>
          <w:sz w:val="20"/>
        </w:rPr>
      </w:pPr>
      <w:r>
        <w:rPr>
          <w:i/>
          <w:color w:val="E36F1E"/>
          <w:sz w:val="20"/>
        </w:rPr>
        <w:t>4.2.5.1 Cluster definition and  triage</w:t>
      </w:r>
    </w:p>
    <w:p>
      <w:pPr>
        <w:pStyle w:val="BodyText"/>
        <w:spacing w:line="266" w:lineRule="auto" w:before="24"/>
        <w:ind w:left="720" w:right="-6"/>
      </w:pPr>
      <w:r>
        <w:rPr>
          <w:color w:val="231F20"/>
          <w:w w:val="105"/>
        </w:rPr>
        <w:t>Although, in practice, the term may be used somewhat </w:t>
      </w:r>
      <w:r>
        <w:rPr>
          <w:color w:val="231F20"/>
          <w:spacing w:val="-3"/>
          <w:w w:val="105"/>
        </w:rPr>
        <w:t>casually, </w:t>
      </w:r>
      <w:r>
        <w:rPr>
          <w:color w:val="231F20"/>
          <w:w w:val="105"/>
        </w:rPr>
        <w:t>a “cluster” can be defined as</w:t>
      </w:r>
      <w:r>
        <w:rPr>
          <w:color w:val="231F20"/>
          <w:spacing w:val="-12"/>
          <w:w w:val="105"/>
        </w:rPr>
        <w:t> </w:t>
      </w:r>
      <w:r>
        <w:rPr>
          <w:color w:val="231F20"/>
          <w:w w:val="105"/>
        </w:rPr>
        <w:t>two</w:t>
      </w:r>
      <w:r>
        <w:rPr>
          <w:color w:val="231F20"/>
          <w:spacing w:val="-12"/>
          <w:w w:val="105"/>
        </w:rPr>
        <w:t> </w:t>
      </w:r>
      <w:r>
        <w:rPr>
          <w:color w:val="231F20"/>
          <w:w w:val="105"/>
        </w:rPr>
        <w:t>or</w:t>
      </w:r>
      <w:r>
        <w:rPr>
          <w:color w:val="231F20"/>
          <w:spacing w:val="-12"/>
          <w:w w:val="105"/>
        </w:rPr>
        <w:t> </w:t>
      </w:r>
      <w:r>
        <w:rPr>
          <w:color w:val="231F20"/>
          <w:w w:val="105"/>
        </w:rPr>
        <w:t>more</w:t>
      </w:r>
      <w:r>
        <w:rPr>
          <w:color w:val="231F20"/>
          <w:spacing w:val="-12"/>
          <w:w w:val="105"/>
        </w:rPr>
        <w:t> </w:t>
      </w:r>
      <w:r>
        <w:rPr>
          <w:color w:val="231F20"/>
          <w:w w:val="105"/>
        </w:rPr>
        <w:t>cases</w:t>
      </w:r>
      <w:r>
        <w:rPr>
          <w:color w:val="231F20"/>
          <w:spacing w:val="-12"/>
          <w:w w:val="105"/>
        </w:rPr>
        <w:t> </w:t>
      </w:r>
      <w:r>
        <w:rPr>
          <w:color w:val="231F20"/>
          <w:w w:val="105"/>
        </w:rPr>
        <w:t>of</w:t>
      </w:r>
      <w:r>
        <w:rPr>
          <w:color w:val="231F20"/>
          <w:spacing w:val="12"/>
          <w:w w:val="105"/>
        </w:rPr>
        <w:t> </w:t>
      </w:r>
      <w:r>
        <w:rPr>
          <w:color w:val="231F20"/>
          <w:w w:val="105"/>
        </w:rPr>
        <w:t>disease</w:t>
      </w:r>
      <w:r>
        <w:rPr>
          <w:color w:val="231F20"/>
          <w:spacing w:val="-12"/>
          <w:w w:val="105"/>
        </w:rPr>
        <w:t> </w:t>
      </w:r>
      <w:r>
        <w:rPr>
          <w:color w:val="231F20"/>
          <w:w w:val="105"/>
        </w:rPr>
        <w:t>linked</w:t>
      </w:r>
      <w:r>
        <w:rPr>
          <w:color w:val="231F20"/>
          <w:spacing w:val="-12"/>
          <w:w w:val="105"/>
        </w:rPr>
        <w:t> </w:t>
      </w:r>
      <w:r>
        <w:rPr>
          <w:color w:val="231F20"/>
          <w:spacing w:val="-3"/>
          <w:w w:val="105"/>
        </w:rPr>
        <w:t>by</w:t>
      </w:r>
      <w:r>
        <w:rPr>
          <w:color w:val="231F20"/>
          <w:spacing w:val="-12"/>
          <w:w w:val="105"/>
        </w:rPr>
        <w:t> </w:t>
      </w:r>
      <w:r>
        <w:rPr>
          <w:color w:val="231F20"/>
          <w:w w:val="105"/>
        </w:rPr>
        <w:t>place, time,</w:t>
      </w:r>
      <w:r>
        <w:rPr>
          <w:color w:val="231F20"/>
          <w:spacing w:val="-14"/>
          <w:w w:val="105"/>
        </w:rPr>
        <w:t> </w:t>
      </w:r>
      <w:r>
        <w:rPr>
          <w:color w:val="231F20"/>
          <w:w w:val="105"/>
        </w:rPr>
        <w:t>pathogen</w:t>
      </w:r>
      <w:r>
        <w:rPr>
          <w:color w:val="231F20"/>
          <w:spacing w:val="-15"/>
          <w:w w:val="105"/>
        </w:rPr>
        <w:t> </w:t>
      </w:r>
      <w:r>
        <w:rPr>
          <w:color w:val="231F20"/>
          <w:w w:val="105"/>
        </w:rPr>
        <w:t>subtype,</w:t>
      </w:r>
      <w:r>
        <w:rPr>
          <w:color w:val="231F20"/>
          <w:spacing w:val="-14"/>
          <w:w w:val="105"/>
        </w:rPr>
        <w:t> </w:t>
      </w:r>
      <w:r>
        <w:rPr>
          <w:color w:val="231F20"/>
          <w:w w:val="105"/>
        </w:rPr>
        <w:t>or</w:t>
      </w:r>
      <w:r>
        <w:rPr>
          <w:color w:val="231F20"/>
          <w:spacing w:val="-14"/>
          <w:w w:val="105"/>
        </w:rPr>
        <w:t> </w:t>
      </w:r>
      <w:r>
        <w:rPr>
          <w:color w:val="231F20"/>
          <w:w w:val="105"/>
        </w:rPr>
        <w:t>other</w:t>
      </w:r>
      <w:r>
        <w:rPr>
          <w:color w:val="231F20"/>
          <w:spacing w:val="-14"/>
          <w:w w:val="105"/>
        </w:rPr>
        <w:t> </w:t>
      </w:r>
      <w:r>
        <w:rPr>
          <w:color w:val="231F20"/>
          <w:w w:val="105"/>
        </w:rPr>
        <w:t>characteristic.</w:t>
      </w:r>
    </w:p>
    <w:p>
      <w:pPr>
        <w:pStyle w:val="BodyText"/>
        <w:spacing w:line="266" w:lineRule="auto"/>
        <w:ind w:left="720" w:right="145"/>
      </w:pPr>
      <w:r>
        <w:rPr>
          <w:color w:val="231F20"/>
        </w:rPr>
        <w:t>Our interest in clusters stems from the fact  that some clusters represent common-source outbreaks. An ill-defined transition in use of  the terms “cluster” to “outbreak” reflects the certainty that similar cases are in fact related. Sometimes transition is immediately and trivially apparent; at other times, doubts linger indefinitely.</w:t>
      </w:r>
    </w:p>
    <w:p>
      <w:pPr>
        <w:pStyle w:val="BodyText"/>
        <w:spacing w:line="266" w:lineRule="auto" w:before="180"/>
        <w:ind w:left="720" w:right="406"/>
      </w:pPr>
      <w:r>
        <w:rPr>
          <w:color w:val="231F20"/>
          <w:w w:val="105"/>
        </w:rPr>
        <w:t>Clusters</w:t>
      </w:r>
      <w:r>
        <w:rPr>
          <w:color w:val="231F20"/>
          <w:spacing w:val="-11"/>
          <w:w w:val="105"/>
        </w:rPr>
        <w:t> </w:t>
      </w:r>
      <w:r>
        <w:rPr>
          <w:color w:val="231F20"/>
          <w:w w:val="105"/>
        </w:rPr>
        <w:t>may</w:t>
      </w:r>
      <w:r>
        <w:rPr>
          <w:color w:val="231F20"/>
          <w:spacing w:val="-11"/>
          <w:w w:val="105"/>
        </w:rPr>
        <w:t> </w:t>
      </w:r>
      <w:r>
        <w:rPr>
          <w:color w:val="231F20"/>
          <w:w w:val="105"/>
        </w:rPr>
        <w:t>be</w:t>
      </w:r>
      <w:r>
        <w:rPr>
          <w:color w:val="231F20"/>
          <w:spacing w:val="-10"/>
          <w:w w:val="105"/>
        </w:rPr>
        <w:t> </w:t>
      </w:r>
      <w:r>
        <w:rPr>
          <w:color w:val="231F20"/>
          <w:w w:val="105"/>
        </w:rPr>
        <w:t>more</w:t>
      </w:r>
      <w:r>
        <w:rPr>
          <w:color w:val="231F20"/>
          <w:spacing w:val="-10"/>
          <w:w w:val="105"/>
        </w:rPr>
        <w:t> </w:t>
      </w:r>
      <w:r>
        <w:rPr>
          <w:color w:val="231F20"/>
          <w:w w:val="105"/>
        </w:rPr>
        <w:t>or</w:t>
      </w:r>
      <w:r>
        <w:rPr>
          <w:color w:val="231F20"/>
          <w:spacing w:val="-10"/>
          <w:w w:val="105"/>
        </w:rPr>
        <w:t> </w:t>
      </w:r>
      <w:r>
        <w:rPr>
          <w:color w:val="231F20"/>
          <w:w w:val="105"/>
        </w:rPr>
        <w:t>less</w:t>
      </w:r>
      <w:r>
        <w:rPr>
          <w:color w:val="231F20"/>
          <w:spacing w:val="-11"/>
          <w:w w:val="105"/>
        </w:rPr>
        <w:t> </w:t>
      </w:r>
      <w:r>
        <w:rPr>
          <w:color w:val="231F20"/>
          <w:w w:val="105"/>
        </w:rPr>
        <w:t>recognizable and more or less actionable. Although this chapter focuses on case clusters and outbreaks,</w:t>
      </w:r>
      <w:r>
        <w:rPr>
          <w:color w:val="231F20"/>
          <w:spacing w:val="-15"/>
          <w:w w:val="105"/>
        </w:rPr>
        <w:t> </w:t>
      </w:r>
      <w:r>
        <w:rPr>
          <w:color w:val="231F20"/>
          <w:w w:val="105"/>
        </w:rPr>
        <w:t>it</w:t>
      </w:r>
      <w:r>
        <w:rPr>
          <w:color w:val="231F20"/>
          <w:spacing w:val="-15"/>
          <w:w w:val="105"/>
        </w:rPr>
        <w:t> </w:t>
      </w:r>
      <w:r>
        <w:rPr>
          <w:color w:val="231F20"/>
          <w:w w:val="105"/>
        </w:rPr>
        <w:t>should</w:t>
      </w:r>
      <w:r>
        <w:rPr>
          <w:color w:val="231F20"/>
          <w:spacing w:val="-15"/>
          <w:w w:val="105"/>
        </w:rPr>
        <w:t> </w:t>
      </w:r>
      <w:r>
        <w:rPr>
          <w:color w:val="231F20"/>
          <w:w w:val="105"/>
        </w:rPr>
        <w:t>be</w:t>
      </w:r>
      <w:r>
        <w:rPr>
          <w:color w:val="231F20"/>
          <w:spacing w:val="-15"/>
          <w:w w:val="105"/>
        </w:rPr>
        <w:t> </w:t>
      </w:r>
      <w:r>
        <w:rPr>
          <w:color w:val="231F20"/>
          <w:w w:val="105"/>
        </w:rPr>
        <w:t>clear</w:t>
      </w:r>
      <w:r>
        <w:rPr>
          <w:color w:val="231F20"/>
          <w:spacing w:val="-15"/>
          <w:w w:val="105"/>
        </w:rPr>
        <w:t> </w:t>
      </w:r>
      <w:r>
        <w:rPr>
          <w:color w:val="231F20"/>
          <w:w w:val="105"/>
        </w:rPr>
        <w:t>that</w:t>
      </w:r>
      <w:r>
        <w:rPr>
          <w:color w:val="231F20"/>
          <w:spacing w:val="-15"/>
          <w:w w:val="105"/>
        </w:rPr>
        <w:t> </w:t>
      </w:r>
      <w:r>
        <w:rPr>
          <w:color w:val="231F20"/>
          <w:w w:val="105"/>
        </w:rPr>
        <w:t>for</w:t>
      </w:r>
      <w:r>
        <w:rPr>
          <w:color w:val="231F20"/>
          <w:spacing w:val="-15"/>
          <w:w w:val="105"/>
        </w:rPr>
        <w:t> </w:t>
      </w:r>
      <w:r>
        <w:rPr>
          <w:color w:val="231F20"/>
          <w:w w:val="105"/>
        </w:rPr>
        <w:t>some</w:t>
      </w:r>
    </w:p>
    <w:p>
      <w:pPr>
        <w:pStyle w:val="BodyText"/>
        <w:spacing w:line="266" w:lineRule="auto"/>
        <w:ind w:left="720" w:right="-1"/>
      </w:pPr>
      <w:r>
        <w:rPr>
          <w:color w:val="231F20"/>
          <w:w w:val="105"/>
        </w:rPr>
        <w:t>high-consequence agents or syndromes </w:t>
      </w:r>
      <w:r>
        <w:rPr>
          <w:color w:val="231F20"/>
          <w:spacing w:val="-4"/>
          <w:w w:val="105"/>
        </w:rPr>
        <w:t>(e.g., </w:t>
      </w:r>
      <w:r>
        <w:rPr>
          <w:color w:val="231F20"/>
          <w:w w:val="105"/>
        </w:rPr>
        <w:t>botulism</w:t>
      </w:r>
      <w:r>
        <w:rPr>
          <w:color w:val="231F20"/>
          <w:spacing w:val="-16"/>
          <w:w w:val="105"/>
        </w:rPr>
        <w:t> </w:t>
      </w:r>
      <w:r>
        <w:rPr>
          <w:color w:val="231F20"/>
          <w:w w:val="105"/>
        </w:rPr>
        <w:t>or</w:t>
      </w:r>
      <w:r>
        <w:rPr>
          <w:color w:val="231F20"/>
          <w:spacing w:val="-16"/>
          <w:w w:val="105"/>
        </w:rPr>
        <w:t> </w:t>
      </w:r>
      <w:r>
        <w:rPr>
          <w:color w:val="231F20"/>
          <w:w w:val="105"/>
        </w:rPr>
        <w:t>paralytic</w:t>
      </w:r>
      <w:r>
        <w:rPr>
          <w:color w:val="231F20"/>
          <w:spacing w:val="-16"/>
          <w:w w:val="105"/>
        </w:rPr>
        <w:t> </w:t>
      </w:r>
      <w:r>
        <w:rPr>
          <w:color w:val="231F20"/>
          <w:w w:val="105"/>
        </w:rPr>
        <w:t>shellfish</w:t>
      </w:r>
      <w:r>
        <w:rPr>
          <w:color w:val="231F20"/>
          <w:spacing w:val="-16"/>
          <w:w w:val="105"/>
        </w:rPr>
        <w:t> </w:t>
      </w:r>
      <w:r>
        <w:rPr>
          <w:color w:val="231F20"/>
          <w:w w:val="105"/>
        </w:rPr>
        <w:t>poisoning),</w:t>
      </w:r>
      <w:r>
        <w:rPr>
          <w:color w:val="231F20"/>
          <w:spacing w:val="-16"/>
          <w:w w:val="105"/>
        </w:rPr>
        <w:t> </w:t>
      </w:r>
      <w:r>
        <w:rPr>
          <w:color w:val="231F20"/>
          <w:w w:val="105"/>
        </w:rPr>
        <w:t>even single</w:t>
      </w:r>
      <w:r>
        <w:rPr>
          <w:color w:val="231F20"/>
          <w:spacing w:val="-9"/>
          <w:w w:val="105"/>
        </w:rPr>
        <w:t> </w:t>
      </w:r>
      <w:r>
        <w:rPr>
          <w:color w:val="231F20"/>
          <w:w w:val="105"/>
        </w:rPr>
        <w:t>cases</w:t>
      </w:r>
      <w:r>
        <w:rPr>
          <w:color w:val="231F20"/>
          <w:spacing w:val="-9"/>
          <w:w w:val="105"/>
        </w:rPr>
        <w:t> </w:t>
      </w:r>
      <w:r>
        <w:rPr>
          <w:color w:val="231F20"/>
          <w:w w:val="105"/>
        </w:rPr>
        <w:t>may</w:t>
      </w:r>
      <w:r>
        <w:rPr>
          <w:color w:val="231F20"/>
          <w:spacing w:val="-10"/>
          <w:w w:val="105"/>
        </w:rPr>
        <w:t> </w:t>
      </w:r>
      <w:r>
        <w:rPr>
          <w:color w:val="231F20"/>
          <w:w w:val="105"/>
        </w:rPr>
        <w:t>merit</w:t>
      </w:r>
      <w:r>
        <w:rPr>
          <w:color w:val="231F20"/>
          <w:spacing w:val="-9"/>
          <w:w w:val="105"/>
        </w:rPr>
        <w:t> </w:t>
      </w:r>
      <w:r>
        <w:rPr>
          <w:color w:val="231F20"/>
          <w:w w:val="105"/>
        </w:rPr>
        <w:t>a</w:t>
      </w:r>
      <w:r>
        <w:rPr>
          <w:color w:val="231F20"/>
          <w:spacing w:val="-9"/>
          <w:w w:val="105"/>
        </w:rPr>
        <w:t> </w:t>
      </w:r>
      <w:r>
        <w:rPr>
          <w:color w:val="231F20"/>
          <w:w w:val="105"/>
        </w:rPr>
        <w:t>prompt</w:t>
      </w:r>
      <w:r>
        <w:rPr>
          <w:color w:val="231F20"/>
          <w:spacing w:val="-9"/>
          <w:w w:val="105"/>
        </w:rPr>
        <w:t> </w:t>
      </w:r>
      <w:r>
        <w:rPr>
          <w:color w:val="231F20"/>
          <w:w w:val="105"/>
        </w:rPr>
        <w:t>and</w:t>
      </w:r>
      <w:r>
        <w:rPr>
          <w:color w:val="231F20"/>
          <w:spacing w:val="-10"/>
          <w:w w:val="105"/>
        </w:rPr>
        <w:t> </w:t>
      </w:r>
      <w:r>
        <w:rPr>
          <w:color w:val="231F20"/>
          <w:w w:val="105"/>
        </w:rPr>
        <w:t>aggressive public</w:t>
      </w:r>
      <w:r>
        <w:rPr>
          <w:color w:val="231F20"/>
          <w:spacing w:val="-25"/>
          <w:w w:val="105"/>
        </w:rPr>
        <w:t> </w:t>
      </w:r>
      <w:r>
        <w:rPr>
          <w:color w:val="231F20"/>
          <w:w w:val="105"/>
        </w:rPr>
        <w:t>health</w:t>
      </w:r>
      <w:r>
        <w:rPr>
          <w:color w:val="231F20"/>
          <w:spacing w:val="-24"/>
          <w:w w:val="105"/>
        </w:rPr>
        <w:t> </w:t>
      </w:r>
      <w:r>
        <w:rPr>
          <w:color w:val="231F20"/>
          <w:w w:val="105"/>
        </w:rPr>
        <w:t>response.</w:t>
      </w:r>
    </w:p>
    <w:p>
      <w:pPr>
        <w:pStyle w:val="BodyText"/>
        <w:spacing w:line="266" w:lineRule="auto" w:before="180"/>
        <w:ind w:left="720" w:right="95"/>
      </w:pPr>
      <w:r>
        <w:rPr>
          <w:color w:val="231F20"/>
        </w:rPr>
        <w:t>Clusters are common, and pursuing them all with equal vigor is not practical or productive. The cluster triage process is primarily manual.</w:t>
      </w:r>
    </w:p>
    <w:p>
      <w:pPr>
        <w:pStyle w:val="BodyText"/>
        <w:spacing w:line="266" w:lineRule="auto"/>
        <w:ind w:left="720" w:right="404"/>
      </w:pPr>
      <w:r>
        <w:rPr>
          <w:color w:val="231F20"/>
        </w:rPr>
        <w:t>Incoming surveillance data are evaluated for unusual case counts based on historical frequencies (accounting for seasonality),</w:t>
      </w:r>
      <w:r>
        <w:rPr>
          <w:color w:val="231F20"/>
          <w:spacing w:val="-36"/>
        </w:rPr>
        <w:t> </w:t>
      </w:r>
      <w:r>
        <w:rPr>
          <w:color w:val="231F20"/>
        </w:rPr>
        <w:t>the</w:t>
      </w:r>
    </w:p>
    <w:p>
      <w:pPr>
        <w:pStyle w:val="BodyText"/>
        <w:spacing w:line="266" w:lineRule="auto" w:before="108"/>
        <w:ind w:left="324" w:right="1588"/>
      </w:pPr>
      <w:r>
        <w:rPr/>
        <w:br w:type="column"/>
      </w:r>
      <w:r>
        <w:rPr>
          <w:color w:val="231F20"/>
        </w:rPr>
        <w:t>severity of disease, matches between human cases and food or animal monitoring samples, and competing demands for investigators’ time. The time window used to delimit</w:t>
      </w:r>
      <w:r>
        <w:rPr>
          <w:color w:val="231F20"/>
          <w:spacing w:val="-17"/>
        </w:rPr>
        <w:t> </w:t>
      </w:r>
      <w:r>
        <w:rPr>
          <w:color w:val="231F20"/>
        </w:rPr>
        <w:t>clusters varies </w:t>
      </w:r>
      <w:r>
        <w:rPr>
          <w:color w:val="231F20"/>
          <w:spacing w:val="-3"/>
        </w:rPr>
        <w:t>by </w:t>
      </w:r>
      <w:r>
        <w:rPr>
          <w:color w:val="231F20"/>
        </w:rPr>
        <w:t>agent. </w:t>
      </w:r>
      <w:r>
        <w:rPr>
          <w:color w:val="231F20"/>
          <w:spacing w:val="-6"/>
        </w:rPr>
        <w:t>For </w:t>
      </w:r>
      <w:r>
        <w:rPr>
          <w:color w:val="231F20"/>
        </w:rPr>
        <w:t>example, a wider window is used to evaluate clustering of listeriosis cases than to evaluate salmonellosis cases</w:t>
      </w:r>
      <w:r>
        <w:rPr>
          <w:color w:val="231F20"/>
          <w:spacing w:val="-26"/>
        </w:rPr>
        <w:t> </w:t>
      </w:r>
      <w:r>
        <w:rPr>
          <w:color w:val="231F20"/>
        </w:rPr>
        <w:t>because</w:t>
      </w:r>
    </w:p>
    <w:p>
      <w:pPr>
        <w:pStyle w:val="BodyText"/>
        <w:spacing w:line="266" w:lineRule="auto"/>
        <w:ind w:left="324" w:right="1464"/>
      </w:pPr>
      <w:r>
        <w:rPr/>
        <w:pict>
          <v:rect style="position:absolute;margin-left:459pt;margin-top:46.397354pt;width:45pt;height:18pt;mso-position-horizontal-relative:page;mso-position-vertical-relative:paragraph;z-index:2008" filled="true" fillcolor="#0079c1" stroked="false">
            <v:fill type="solid"/>
            <w10:wrap type="none"/>
          </v:rect>
        </w:pict>
      </w:r>
      <w:r>
        <w:rPr/>
        <w:pict>
          <v:line style="position:absolute;mso-position-horizontal-relative:page;mso-position-vertical-relative:paragraph;z-index:2032" from="450.5pt,46.396954pt" to="450.5pt,248.802954pt" stroked="true" strokeweight="1pt" strokecolor="#0079c1">
            <v:stroke dashstyle="solid"/>
            <w10:wrap type="none"/>
          </v:line>
        </w:pict>
      </w:r>
      <w:r>
        <w:rPr/>
        <w:pict>
          <v:shape style="position:absolute;margin-left:465.346802pt;margin-top:68.393753pt;width:22.25pt;height:183.2pt;mso-position-horizontal-relative:page;mso-position-vertical-relative:paragraph;z-index:2056" type="#_x0000_t202" filled="false" stroked="false">
            <v:textbox inset="0,0,0,0" style="layout-flow:vertical">
              <w:txbxContent>
                <w:p>
                  <w:pPr>
                    <w:spacing w:before="12"/>
                    <w:ind w:left="20" w:right="-1014" w:firstLine="0"/>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468.849609pt;margin-top:51.147953pt;width:15.85pt;height:8.5pt;mso-position-horizontal-relative:page;mso-position-vertical-relative:paragraph;z-index:2080" type="#_x0000_t202" filled="false" stroked="false">
            <v:textbox inset="0,0,0,0" style="layout-flow:vertical">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rPr>
        <w:t>of differences in the natural history of the diseases. Although cluster recognition software, such as SaTScan</w:t>
      </w:r>
      <w:r>
        <w:rPr>
          <w:color w:val="231F20"/>
          <w:position w:val="7"/>
          <w:sz w:val="11"/>
        </w:rPr>
        <w:t>TM</w:t>
      </w:r>
      <w:r>
        <w:rPr>
          <w:color w:val="231F20"/>
        </w:rPr>
        <w:t>, cusum outbreak detection algorithms, and query algorithms in the PulseNet </w:t>
      </w:r>
      <w:r>
        <w:rPr>
          <w:color w:val="231F20"/>
          <w:spacing w:val="-6"/>
        </w:rPr>
        <w:t>Web </w:t>
      </w:r>
      <w:r>
        <w:rPr>
          <w:color w:val="231F20"/>
        </w:rPr>
        <w:t>Portal </w:t>
      </w:r>
      <w:r>
        <w:rPr>
          <w:color w:val="231F20"/>
          <w:spacing w:val="-3"/>
        </w:rPr>
        <w:t>have </w:t>
      </w:r>
      <w:r>
        <w:rPr>
          <w:color w:val="231F20"/>
        </w:rPr>
        <w:t>been developed,</w:t>
      </w:r>
      <w:r>
        <w:rPr>
          <w:color w:val="231F20"/>
          <w:spacing w:val="-14"/>
        </w:rPr>
        <w:t> </w:t>
      </w:r>
      <w:r>
        <w:rPr>
          <w:color w:val="231F20"/>
        </w:rPr>
        <w:t>none </w:t>
      </w:r>
      <w:r>
        <w:rPr>
          <w:color w:val="231F20"/>
          <w:spacing w:val="-3"/>
        </w:rPr>
        <w:t>have </w:t>
      </w:r>
      <w:r>
        <w:rPr>
          <w:color w:val="231F20"/>
        </w:rPr>
        <w:t>yet been validated for broad-based enteric disease data. The decision to report or</w:t>
      </w:r>
      <w:r>
        <w:rPr>
          <w:color w:val="231F20"/>
          <w:spacing w:val="5"/>
        </w:rPr>
        <w:t> </w:t>
      </w:r>
      <w:r>
        <w:rPr>
          <w:color w:val="231F20"/>
        </w:rPr>
        <w:t>pursue</w:t>
      </w:r>
    </w:p>
    <w:p>
      <w:pPr>
        <w:pStyle w:val="BodyText"/>
        <w:spacing w:line="266" w:lineRule="auto"/>
        <w:ind w:left="324" w:right="1512"/>
      </w:pPr>
      <w:r>
        <w:rPr>
          <w:color w:val="231F20"/>
        </w:rPr>
        <w:t>a cluster is an important part of the outbreak detection process but not one that is easily distilled into simple best practices. An increase in frequency of  a strain is only one indication of a potentially significant </w:t>
      </w:r>
      <w:r>
        <w:rPr>
          <w:color w:val="231F20"/>
          <w:spacing w:val="-3"/>
        </w:rPr>
        <w:t>cluster. </w:t>
      </w:r>
      <w:r>
        <w:rPr>
          <w:color w:val="231F20"/>
        </w:rPr>
        <w:t>Furthermore, absence of an increase in case numbers from expected values does not rule out</w:t>
      </w:r>
      <w:r>
        <w:rPr>
          <w:color w:val="231F20"/>
          <w:spacing w:val="-27"/>
        </w:rPr>
        <w:t> </w:t>
      </w:r>
      <w:r>
        <w:rPr>
          <w:color w:val="231F20"/>
        </w:rPr>
        <w:t>significance.</w:t>
      </w:r>
    </w:p>
    <w:p>
      <w:pPr>
        <w:pStyle w:val="BodyText"/>
        <w:spacing w:line="266" w:lineRule="auto" w:before="180"/>
        <w:ind w:left="324" w:right="1645"/>
      </w:pPr>
      <w:r>
        <w:rPr>
          <w:color w:val="231F20"/>
          <w:w w:val="105"/>
        </w:rPr>
        <w:t>The subject of cluster evaluation will be covered in more detail in Chapter 5. As whole-genome sequencing becomes part of routine public health surveillance activities, new</w:t>
      </w:r>
      <w:r>
        <w:rPr>
          <w:color w:val="231F20"/>
          <w:spacing w:val="-14"/>
          <w:w w:val="105"/>
        </w:rPr>
        <w:t> </w:t>
      </w:r>
      <w:r>
        <w:rPr>
          <w:color w:val="231F20"/>
          <w:w w:val="105"/>
        </w:rPr>
        <w:t>approaches</w:t>
      </w:r>
      <w:r>
        <w:rPr>
          <w:color w:val="231F20"/>
          <w:spacing w:val="-14"/>
          <w:w w:val="105"/>
        </w:rPr>
        <w:t> </w:t>
      </w:r>
      <w:r>
        <w:rPr>
          <w:color w:val="231F20"/>
          <w:w w:val="105"/>
        </w:rPr>
        <w:t>will</w:t>
      </w:r>
      <w:r>
        <w:rPr>
          <w:color w:val="231F20"/>
          <w:spacing w:val="-14"/>
          <w:w w:val="105"/>
        </w:rPr>
        <w:t> </w:t>
      </w:r>
      <w:r>
        <w:rPr>
          <w:color w:val="231F20"/>
          <w:w w:val="105"/>
        </w:rPr>
        <w:t>need</w:t>
      </w:r>
      <w:r>
        <w:rPr>
          <w:color w:val="231F20"/>
          <w:spacing w:val="-14"/>
          <w:w w:val="105"/>
        </w:rPr>
        <w:t> </w:t>
      </w:r>
      <w:r>
        <w:rPr>
          <w:color w:val="231F20"/>
          <w:w w:val="105"/>
        </w:rPr>
        <w:t>to</w:t>
      </w:r>
      <w:r>
        <w:rPr>
          <w:color w:val="231F20"/>
          <w:spacing w:val="-15"/>
          <w:w w:val="105"/>
        </w:rPr>
        <w:t> </w:t>
      </w:r>
      <w:r>
        <w:rPr>
          <w:color w:val="231F20"/>
          <w:w w:val="105"/>
        </w:rPr>
        <w:t>be</w:t>
      </w:r>
      <w:r>
        <w:rPr>
          <w:color w:val="231F20"/>
          <w:spacing w:val="-14"/>
          <w:w w:val="105"/>
        </w:rPr>
        <w:t> </w:t>
      </w:r>
      <w:r>
        <w:rPr>
          <w:color w:val="231F20"/>
          <w:w w:val="105"/>
        </w:rPr>
        <w:t>developed</w:t>
      </w:r>
      <w:r>
        <w:rPr>
          <w:color w:val="231F20"/>
          <w:spacing w:val="-15"/>
          <w:w w:val="105"/>
        </w:rPr>
        <w:t> </w:t>
      </w:r>
      <w:r>
        <w:rPr>
          <w:color w:val="231F20"/>
          <w:w w:val="105"/>
        </w:rPr>
        <w:t>to define</w:t>
      </w:r>
      <w:r>
        <w:rPr>
          <w:color w:val="231F20"/>
          <w:spacing w:val="-13"/>
          <w:w w:val="105"/>
        </w:rPr>
        <w:t> </w:t>
      </w:r>
      <w:r>
        <w:rPr>
          <w:color w:val="231F20"/>
          <w:w w:val="105"/>
        </w:rPr>
        <w:t>and</w:t>
      </w:r>
      <w:r>
        <w:rPr>
          <w:color w:val="231F20"/>
          <w:spacing w:val="-13"/>
          <w:w w:val="105"/>
        </w:rPr>
        <w:t> </w:t>
      </w:r>
      <w:r>
        <w:rPr>
          <w:color w:val="231F20"/>
          <w:w w:val="105"/>
        </w:rPr>
        <w:t>evaluate</w:t>
      </w:r>
      <w:r>
        <w:rPr>
          <w:color w:val="231F20"/>
          <w:spacing w:val="-13"/>
          <w:w w:val="105"/>
        </w:rPr>
        <w:t> </w:t>
      </w:r>
      <w:r>
        <w:rPr>
          <w:color w:val="231F20"/>
          <w:w w:val="105"/>
        </w:rPr>
        <w:t>clusters</w:t>
      </w:r>
      <w:r>
        <w:rPr>
          <w:color w:val="231F20"/>
          <w:spacing w:val="-13"/>
          <w:w w:val="105"/>
        </w:rPr>
        <w:t> </w:t>
      </w:r>
      <w:r>
        <w:rPr>
          <w:color w:val="231F20"/>
          <w:w w:val="105"/>
        </w:rPr>
        <w:t>(also</w:t>
      </w:r>
      <w:r>
        <w:rPr>
          <w:color w:val="231F20"/>
          <w:spacing w:val="-13"/>
          <w:w w:val="105"/>
        </w:rPr>
        <w:t> </w:t>
      </w:r>
      <w:r>
        <w:rPr>
          <w:color w:val="231F20"/>
          <w:w w:val="105"/>
        </w:rPr>
        <w:t>see</w:t>
      </w:r>
      <w:r>
        <w:rPr>
          <w:color w:val="231F20"/>
          <w:spacing w:val="-13"/>
          <w:w w:val="105"/>
        </w:rPr>
        <w:t> </w:t>
      </w:r>
      <w:r>
        <w:rPr>
          <w:color w:val="231F20"/>
          <w:w w:val="105"/>
        </w:rPr>
        <w:t>section 4.2.9.2).</w:t>
      </w:r>
      <w:r>
        <w:rPr>
          <w:color w:val="231F20"/>
          <w:spacing w:val="-12"/>
          <w:w w:val="105"/>
        </w:rPr>
        <w:t> </w:t>
      </w:r>
      <w:r>
        <w:rPr>
          <w:color w:val="231F20"/>
          <w:w w:val="105"/>
        </w:rPr>
        <w:t>At</w:t>
      </w:r>
      <w:r>
        <w:rPr>
          <w:color w:val="231F20"/>
          <w:spacing w:val="-12"/>
          <w:w w:val="105"/>
        </w:rPr>
        <w:t> </w:t>
      </w:r>
      <w:r>
        <w:rPr>
          <w:color w:val="231F20"/>
          <w:w w:val="105"/>
        </w:rPr>
        <w:t>this</w:t>
      </w:r>
      <w:r>
        <w:rPr>
          <w:color w:val="231F20"/>
          <w:spacing w:val="-13"/>
          <w:w w:val="105"/>
        </w:rPr>
        <w:t> </w:t>
      </w:r>
      <w:r>
        <w:rPr>
          <w:color w:val="231F20"/>
          <w:w w:val="105"/>
        </w:rPr>
        <w:t>writing,</w:t>
      </w:r>
      <w:r>
        <w:rPr>
          <w:color w:val="231F20"/>
          <w:spacing w:val="-12"/>
          <w:w w:val="105"/>
        </w:rPr>
        <w:t> </w:t>
      </w:r>
      <w:r>
        <w:rPr>
          <w:color w:val="231F20"/>
          <w:w w:val="105"/>
        </w:rPr>
        <w:t>real-time</w:t>
      </w:r>
      <w:r>
        <w:rPr>
          <w:color w:val="231F20"/>
          <w:spacing w:val="-13"/>
          <w:w w:val="105"/>
        </w:rPr>
        <w:t> </w:t>
      </w:r>
      <w:r>
        <w:rPr>
          <w:color w:val="231F20"/>
          <w:w w:val="105"/>
        </w:rPr>
        <w:t>whole-</w:t>
      </w:r>
    </w:p>
    <w:p>
      <w:pPr>
        <w:pStyle w:val="BodyText"/>
        <w:spacing w:line="266" w:lineRule="auto"/>
        <w:ind w:left="324" w:right="1376"/>
      </w:pPr>
      <w:r>
        <w:rPr>
          <w:color w:val="231F20"/>
          <w:w w:val="105"/>
        </w:rPr>
        <w:t>genome sequencing for outbreak detection and investigation has been initiated on a pilot basis. Full transition to genome-based molecular surveillance is anticipated in the near future.</w:t>
      </w:r>
    </w:p>
    <w:p>
      <w:pPr>
        <w:pStyle w:val="BodyText"/>
        <w:spacing w:line="266" w:lineRule="auto" w:before="180"/>
        <w:ind w:left="324" w:right="1613"/>
      </w:pPr>
      <w:r>
        <w:rPr>
          <w:i/>
          <w:color w:val="E36F1E"/>
          <w:w w:val="105"/>
        </w:rPr>
        <w:t>4.2.5.2. Microbiological Screening </w:t>
      </w:r>
      <w:r>
        <w:rPr>
          <w:color w:val="231F20"/>
          <w:w w:val="105"/>
        </w:rPr>
        <w:t>Microbiological screening of food or other environmental</w:t>
      </w:r>
      <w:r>
        <w:rPr>
          <w:color w:val="231F20"/>
          <w:spacing w:val="-23"/>
          <w:w w:val="105"/>
        </w:rPr>
        <w:t> </w:t>
      </w:r>
      <w:r>
        <w:rPr>
          <w:color w:val="231F20"/>
          <w:w w:val="105"/>
        </w:rPr>
        <w:t>specimens</w:t>
      </w:r>
      <w:r>
        <w:rPr>
          <w:color w:val="231F20"/>
          <w:spacing w:val="-23"/>
          <w:w w:val="105"/>
        </w:rPr>
        <w:t> </w:t>
      </w:r>
      <w:r>
        <w:rPr>
          <w:color w:val="231F20"/>
          <w:w w:val="105"/>
        </w:rPr>
        <w:t>can</w:t>
      </w:r>
      <w:r>
        <w:rPr>
          <w:color w:val="231F20"/>
          <w:spacing w:val="-23"/>
          <w:w w:val="105"/>
        </w:rPr>
        <w:t> </w:t>
      </w:r>
      <w:r>
        <w:rPr>
          <w:color w:val="231F20"/>
          <w:w w:val="105"/>
        </w:rPr>
        <w:t>be</w:t>
      </w:r>
      <w:r>
        <w:rPr>
          <w:color w:val="231F20"/>
          <w:spacing w:val="-23"/>
          <w:w w:val="105"/>
        </w:rPr>
        <w:t> </w:t>
      </w:r>
      <w:r>
        <w:rPr>
          <w:color w:val="231F20"/>
          <w:w w:val="105"/>
        </w:rPr>
        <w:t>useful</w:t>
      </w:r>
      <w:r>
        <w:rPr>
          <w:color w:val="231F20"/>
          <w:spacing w:val="-23"/>
          <w:w w:val="105"/>
        </w:rPr>
        <w:t> </w:t>
      </w:r>
      <w:r>
        <w:rPr>
          <w:color w:val="231F20"/>
          <w:w w:val="105"/>
        </w:rPr>
        <w:t>for</w:t>
      </w:r>
      <w:r>
        <w:rPr>
          <w:color w:val="231F20"/>
          <w:spacing w:val="-23"/>
          <w:w w:val="105"/>
        </w:rPr>
        <w:t> </w:t>
      </w:r>
      <w:r>
        <w:rPr>
          <w:color w:val="231F20"/>
          <w:w w:val="105"/>
        </w:rPr>
        <w:t>an individual case of botulism and for certain high-risk exposures reported even </w:t>
      </w:r>
      <w:r>
        <w:rPr>
          <w:color w:val="231F20"/>
          <w:spacing w:val="-3"/>
          <w:w w:val="105"/>
        </w:rPr>
        <w:t>by </w:t>
      </w:r>
      <w:r>
        <w:rPr>
          <w:color w:val="231F20"/>
          <w:w w:val="105"/>
        </w:rPr>
        <w:t>single cases of other diseases </w:t>
      </w:r>
      <w:r>
        <w:rPr>
          <w:color w:val="231F20"/>
          <w:spacing w:val="-4"/>
          <w:w w:val="105"/>
        </w:rPr>
        <w:t>(e.g., </w:t>
      </w:r>
      <w:r>
        <w:rPr>
          <w:color w:val="231F20"/>
          <w:w w:val="105"/>
        </w:rPr>
        <w:t>pet reptiles for </w:t>
      </w:r>
      <w:r>
        <w:rPr>
          <w:i/>
          <w:color w:val="231F20"/>
          <w:w w:val="105"/>
        </w:rPr>
        <w:t>Salmonella </w:t>
      </w:r>
      <w:r>
        <w:rPr>
          <w:color w:val="231F20"/>
          <w:w w:val="105"/>
        </w:rPr>
        <w:t>or raw milk or ground beef for STEC). </w:t>
      </w:r>
      <w:r>
        <w:rPr>
          <w:color w:val="231F20"/>
          <w:spacing w:val="-3"/>
          <w:w w:val="105"/>
        </w:rPr>
        <w:t>Targeted </w:t>
      </w:r>
      <w:r>
        <w:rPr>
          <w:color w:val="231F20"/>
          <w:w w:val="105"/>
        </w:rPr>
        <w:t>screening also might be warranted</w:t>
      </w:r>
      <w:r>
        <w:rPr>
          <w:color w:val="231F20"/>
          <w:spacing w:val="-20"/>
          <w:w w:val="105"/>
        </w:rPr>
        <w:t> </w:t>
      </w:r>
      <w:r>
        <w:rPr>
          <w:color w:val="231F20"/>
          <w:w w:val="105"/>
        </w:rPr>
        <w:t>when</w:t>
      </w:r>
      <w:r>
        <w:rPr>
          <w:color w:val="231F20"/>
          <w:spacing w:val="-20"/>
          <w:w w:val="105"/>
        </w:rPr>
        <w:t> </w:t>
      </w:r>
      <w:r>
        <w:rPr>
          <w:color w:val="231F20"/>
          <w:w w:val="105"/>
        </w:rPr>
        <w:t>specific</w:t>
      </w:r>
      <w:r>
        <w:rPr>
          <w:color w:val="231F20"/>
          <w:spacing w:val="-20"/>
          <w:w w:val="105"/>
        </w:rPr>
        <w:t> </w:t>
      </w:r>
      <w:r>
        <w:rPr>
          <w:color w:val="231F20"/>
          <w:w w:val="105"/>
        </w:rPr>
        <w:t>foods</w:t>
      </w:r>
      <w:r>
        <w:rPr>
          <w:color w:val="231F20"/>
          <w:spacing w:val="-20"/>
          <w:w w:val="105"/>
        </w:rPr>
        <w:t> </w:t>
      </w:r>
      <w:r>
        <w:rPr>
          <w:color w:val="231F20"/>
          <w:w w:val="105"/>
        </w:rPr>
        <w:t>are</w:t>
      </w:r>
      <w:r>
        <w:rPr>
          <w:color w:val="231F20"/>
          <w:spacing w:val="-20"/>
          <w:w w:val="105"/>
        </w:rPr>
        <w:t> </w:t>
      </w:r>
      <w:r>
        <w:rPr>
          <w:color w:val="231F20"/>
          <w:w w:val="105"/>
        </w:rPr>
        <w:t>suspected and</w:t>
      </w:r>
      <w:r>
        <w:rPr>
          <w:color w:val="231F20"/>
          <w:spacing w:val="-12"/>
          <w:w w:val="105"/>
        </w:rPr>
        <w:t> </w:t>
      </w:r>
      <w:r>
        <w:rPr>
          <w:color w:val="231F20"/>
          <w:w w:val="105"/>
        </w:rPr>
        <w:t>reasonable</w:t>
      </w:r>
      <w:r>
        <w:rPr>
          <w:color w:val="231F20"/>
          <w:spacing w:val="-12"/>
          <w:w w:val="105"/>
        </w:rPr>
        <w:t> </w:t>
      </w:r>
      <w:r>
        <w:rPr>
          <w:color w:val="231F20"/>
          <w:w w:val="105"/>
        </w:rPr>
        <w:t>samples</w:t>
      </w:r>
      <w:r>
        <w:rPr>
          <w:color w:val="231F20"/>
          <w:spacing w:val="-12"/>
          <w:w w:val="105"/>
        </w:rPr>
        <w:t> </w:t>
      </w:r>
      <w:r>
        <w:rPr>
          <w:color w:val="231F20"/>
          <w:w w:val="105"/>
        </w:rPr>
        <w:t>are</w:t>
      </w:r>
      <w:r>
        <w:rPr>
          <w:color w:val="231F20"/>
          <w:spacing w:val="-12"/>
          <w:w w:val="105"/>
        </w:rPr>
        <w:t> </w:t>
      </w:r>
      <w:r>
        <w:rPr>
          <w:color w:val="231F20"/>
          <w:w w:val="105"/>
        </w:rPr>
        <w:t>available.</w:t>
      </w:r>
    </w:p>
    <w:p>
      <w:pPr>
        <w:pStyle w:val="BodyText"/>
        <w:spacing w:line="266" w:lineRule="auto"/>
        <w:ind w:left="324" w:right="1445"/>
      </w:pPr>
      <w:r>
        <w:rPr>
          <w:color w:val="231F20"/>
        </w:rPr>
        <w:t>Unfocused microbiological screening of  multiple foods to investigate clusters is generally unproductive and always </w:t>
      </w:r>
      <w:r>
        <w:rPr>
          <w:color w:val="231F20"/>
          <w:spacing w:val="6"/>
        </w:rPr>
        <w:t> </w:t>
      </w:r>
      <w:r>
        <w:rPr>
          <w:color w:val="231F20"/>
        </w:rPr>
        <w:t>resource-intensive.</w:t>
      </w:r>
    </w:p>
    <w:p>
      <w:pPr>
        <w:spacing w:after="0" w:line="266" w:lineRule="auto"/>
        <w:sectPr>
          <w:type w:val="continuous"/>
          <w:pgSz w:w="10080" w:h="14400"/>
          <w:pgMar w:top="0" w:bottom="0" w:left="0" w:right="0"/>
          <w:cols w:num="2" w:equalWidth="0">
            <w:col w:w="4496" w:space="40"/>
            <w:col w:w="5544"/>
          </w:cols>
        </w:sectPr>
      </w:pPr>
    </w:p>
    <w:p>
      <w:pPr>
        <w:pStyle w:val="BodyText"/>
        <w:spacing w:before="8"/>
        <w:rPr>
          <w:sz w:val="10"/>
        </w:rPr>
      </w:pPr>
    </w:p>
    <w:p>
      <w:pPr>
        <w:pStyle w:val="Heading1"/>
      </w:pPr>
      <w:r>
        <w:rPr/>
        <w:pict>
          <v:line style="position:absolute;mso-position-horizontal-relative:page;mso-position-vertical-relative:paragraph;z-index:2104;mso-wrap-distance-left:0;mso-wrap-distance-right:0" from="72pt,23.995163pt" to="468pt,23.995163pt" stroked="true" strokeweight=".5pt" strokecolor="#00a94f">
            <v:stroke dashstyle="solid"/>
            <w10:wrap type="topAndBottom"/>
          </v:line>
        </w:pict>
      </w:r>
      <w:r>
        <w:rPr>
          <w:color w:val="00A94F"/>
          <w:w w:val="95"/>
        </w:rPr>
        <w:t>4.2. Pathogen-Specific Surveillance</w:t>
      </w:r>
    </w:p>
    <w:p>
      <w:pPr>
        <w:pStyle w:val="BodyText"/>
        <w:spacing w:before="7"/>
        <w:rPr>
          <w:rFonts w:ascii="Lucida Sans"/>
          <w:sz w:val="17"/>
        </w:rPr>
      </w:pPr>
    </w:p>
    <w:p>
      <w:pPr>
        <w:spacing w:after="0"/>
        <w:rPr>
          <w:rFonts w:ascii="Lucida Sans"/>
          <w:sz w:val="17"/>
        </w:rPr>
        <w:sectPr>
          <w:pgSz w:w="10080" w:h="14400"/>
          <w:pgMar w:header="0" w:footer="0" w:top="1160" w:bottom="280" w:left="0" w:right="0"/>
        </w:sectPr>
      </w:pPr>
    </w:p>
    <w:p>
      <w:pPr>
        <w:pStyle w:val="BodyText"/>
        <w:spacing w:line="266" w:lineRule="auto" w:before="108"/>
        <w:ind w:left="1440" w:right="388"/>
      </w:pPr>
      <w:r>
        <w:rPr>
          <w:color w:val="231F20"/>
        </w:rPr>
        <w:t>Routine food screening is conducted as part of larger food safety verification programs operated </w:t>
      </w:r>
      <w:r>
        <w:rPr>
          <w:color w:val="231F20"/>
          <w:spacing w:val="-3"/>
        </w:rPr>
        <w:t>by </w:t>
      </w:r>
      <w:r>
        <w:rPr>
          <w:color w:val="231F20"/>
        </w:rPr>
        <w:t>the </w:t>
      </w:r>
      <w:r>
        <w:rPr>
          <w:color w:val="231F20"/>
          <w:spacing w:val="-5"/>
        </w:rPr>
        <w:t>Food </w:t>
      </w:r>
      <w:r>
        <w:rPr>
          <w:color w:val="231F20"/>
        </w:rPr>
        <w:t>and Drug Administration </w:t>
      </w:r>
      <w:r>
        <w:rPr>
          <w:color w:val="231F20"/>
          <w:spacing w:val="-3"/>
        </w:rPr>
        <w:t>(FDA), </w:t>
      </w:r>
      <w:r>
        <w:rPr>
          <w:color w:val="231F20"/>
          <w:spacing w:val="-7"/>
        </w:rPr>
        <w:t>U.S. </w:t>
      </w:r>
      <w:r>
        <w:rPr>
          <w:color w:val="231F20"/>
        </w:rPr>
        <w:t>Department of Agriculture </w:t>
      </w:r>
      <w:r>
        <w:rPr>
          <w:color w:val="231F20"/>
          <w:spacing w:val="-3"/>
        </w:rPr>
        <w:t>(USDA), </w:t>
      </w:r>
      <w:r>
        <w:rPr>
          <w:color w:val="231F20"/>
        </w:rPr>
        <w:t>and state  agriculture</w:t>
      </w:r>
    </w:p>
    <w:p>
      <w:pPr>
        <w:pStyle w:val="BodyText"/>
        <w:spacing w:line="266" w:lineRule="auto"/>
        <w:ind w:left="1440"/>
      </w:pPr>
      <w:r>
        <w:rPr/>
        <w:pict>
          <v:rect style="position:absolute;margin-left:0pt;margin-top:71.399353pt;width:45pt;height:18pt;mso-position-horizontal-relative:page;mso-position-vertical-relative:paragraph;z-index:2128" filled="true" fillcolor="#0079c1" stroked="false">
            <v:fill type="solid"/>
            <w10:wrap type="none"/>
          </v:rect>
        </w:pict>
      </w:r>
      <w:r>
        <w:rPr/>
        <w:pict>
          <v:line style="position:absolute;mso-position-horizontal-relative:page;mso-position-vertical-relative:paragraph;z-index:2152" from="54.5pt,71.39695pt" to="54.5pt,273.80595pt" stroked="true" strokeweight="1pt" strokecolor="#0079c1">
            <v:stroke dashstyle="solid"/>
            <w10:wrap type="none"/>
          </v:line>
        </w:pict>
      </w:r>
      <w:r>
        <w:rPr/>
        <w:pict>
          <v:shape style="position:absolute;margin-left:16.402201pt;margin-top:92.422646pt;width:22.3pt;height:183.2pt;mso-position-horizontal-relative:page;mso-position-vertical-relative:paragraph;z-index:2416"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18.200388pt;margin-top:76.150307pt;width:15.85pt;height:8.5pt;mso-position-horizontal-relative:page;mso-position-vertical-relative:paragraph;z-index:2440"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rPr>
        <w:t>agencies. Screening information also might be available from the food industry. Incorporating this routine food or animal monitoring or regulatory surveillance test data into the disease surveillance information stream enhances hypothesis generation and improves the sensitivity and timeliness of outbreak detection. In the United States, data streams from human disease surveillance, food-testing programs,</w:t>
      </w:r>
    </w:p>
    <w:p>
      <w:pPr>
        <w:pStyle w:val="BodyText"/>
        <w:spacing w:line="266" w:lineRule="auto"/>
        <w:ind w:left="1440" w:right="61"/>
      </w:pPr>
      <w:r>
        <w:rPr>
          <w:color w:val="231F20"/>
          <w:w w:val="105"/>
        </w:rPr>
        <w:t>and</w:t>
      </w:r>
      <w:r>
        <w:rPr>
          <w:color w:val="231F20"/>
          <w:spacing w:val="-24"/>
          <w:w w:val="105"/>
        </w:rPr>
        <w:t> </w:t>
      </w:r>
      <w:r>
        <w:rPr>
          <w:color w:val="231F20"/>
          <w:w w:val="105"/>
        </w:rPr>
        <w:t>selected</w:t>
      </w:r>
      <w:r>
        <w:rPr>
          <w:color w:val="231F20"/>
          <w:spacing w:val="-24"/>
          <w:w w:val="105"/>
        </w:rPr>
        <w:t> </w:t>
      </w:r>
      <w:r>
        <w:rPr>
          <w:color w:val="231F20"/>
          <w:w w:val="105"/>
        </w:rPr>
        <w:t>live-animal</w:t>
      </w:r>
      <w:r>
        <w:rPr>
          <w:color w:val="231F20"/>
          <w:spacing w:val="-24"/>
          <w:w w:val="105"/>
        </w:rPr>
        <w:t> </w:t>
      </w:r>
      <w:r>
        <w:rPr>
          <w:color w:val="231F20"/>
          <w:w w:val="105"/>
        </w:rPr>
        <w:t>testing</w:t>
      </w:r>
      <w:r>
        <w:rPr>
          <w:color w:val="231F20"/>
          <w:spacing w:val="-24"/>
          <w:w w:val="105"/>
        </w:rPr>
        <w:t> </w:t>
      </w:r>
      <w:r>
        <w:rPr>
          <w:color w:val="231F20"/>
          <w:w w:val="105"/>
        </w:rPr>
        <w:t>are</w:t>
      </w:r>
      <w:r>
        <w:rPr>
          <w:color w:val="231F20"/>
          <w:spacing w:val="-24"/>
          <w:w w:val="105"/>
        </w:rPr>
        <w:t> </w:t>
      </w:r>
      <w:r>
        <w:rPr>
          <w:color w:val="231F20"/>
          <w:w w:val="105"/>
        </w:rPr>
        <w:t>co-mingled in</w:t>
      </w:r>
      <w:r>
        <w:rPr>
          <w:color w:val="231F20"/>
          <w:spacing w:val="-20"/>
          <w:w w:val="105"/>
        </w:rPr>
        <w:t> </w:t>
      </w:r>
      <w:r>
        <w:rPr>
          <w:color w:val="231F20"/>
          <w:w w:val="105"/>
        </w:rPr>
        <w:t>the</w:t>
      </w:r>
      <w:r>
        <w:rPr>
          <w:color w:val="231F20"/>
          <w:spacing w:val="-19"/>
          <w:w w:val="105"/>
        </w:rPr>
        <w:t> </w:t>
      </w:r>
      <w:r>
        <w:rPr>
          <w:color w:val="231F20"/>
          <w:w w:val="105"/>
        </w:rPr>
        <w:t>PulseNet</w:t>
      </w:r>
      <w:r>
        <w:rPr>
          <w:color w:val="231F20"/>
          <w:spacing w:val="-19"/>
          <w:w w:val="105"/>
        </w:rPr>
        <w:t> </w:t>
      </w:r>
      <w:r>
        <w:rPr>
          <w:color w:val="231F20"/>
          <w:w w:val="105"/>
        </w:rPr>
        <w:t>database,</w:t>
      </w:r>
      <w:r>
        <w:rPr>
          <w:color w:val="231F20"/>
          <w:spacing w:val="-19"/>
          <w:w w:val="105"/>
        </w:rPr>
        <w:t> </w:t>
      </w:r>
      <w:r>
        <w:rPr>
          <w:color w:val="231F20"/>
          <w:w w:val="105"/>
        </w:rPr>
        <w:t>although</w:t>
      </w:r>
      <w:r>
        <w:rPr>
          <w:color w:val="231F20"/>
          <w:spacing w:val="-19"/>
          <w:w w:val="105"/>
        </w:rPr>
        <w:t> </w:t>
      </w:r>
      <w:r>
        <w:rPr>
          <w:color w:val="231F20"/>
          <w:w w:val="105"/>
        </w:rPr>
        <w:t>important product</w:t>
      </w:r>
      <w:r>
        <w:rPr>
          <w:color w:val="231F20"/>
          <w:spacing w:val="-19"/>
          <w:w w:val="105"/>
        </w:rPr>
        <w:t> </w:t>
      </w:r>
      <w:r>
        <w:rPr>
          <w:color w:val="231F20"/>
          <w:w w:val="105"/>
        </w:rPr>
        <w:t>details</w:t>
      </w:r>
      <w:r>
        <w:rPr>
          <w:color w:val="231F20"/>
          <w:spacing w:val="-20"/>
          <w:w w:val="105"/>
        </w:rPr>
        <w:t> </w:t>
      </w:r>
      <w:r>
        <w:rPr>
          <w:color w:val="231F20"/>
          <w:w w:val="105"/>
        </w:rPr>
        <w:t>might</w:t>
      </w:r>
      <w:r>
        <w:rPr>
          <w:color w:val="231F20"/>
          <w:spacing w:val="-19"/>
          <w:w w:val="105"/>
        </w:rPr>
        <w:t> </w:t>
      </w:r>
      <w:r>
        <w:rPr>
          <w:color w:val="231F20"/>
          <w:w w:val="105"/>
        </w:rPr>
        <w:t>not</w:t>
      </w:r>
      <w:r>
        <w:rPr>
          <w:color w:val="231F20"/>
          <w:spacing w:val="-19"/>
          <w:w w:val="105"/>
        </w:rPr>
        <w:t> </w:t>
      </w:r>
      <w:r>
        <w:rPr>
          <w:color w:val="231F20"/>
          <w:w w:val="105"/>
        </w:rPr>
        <w:t>be</w:t>
      </w:r>
      <w:r>
        <w:rPr>
          <w:color w:val="231F20"/>
          <w:spacing w:val="-19"/>
          <w:w w:val="105"/>
        </w:rPr>
        <w:t> </w:t>
      </w:r>
      <w:r>
        <w:rPr>
          <w:color w:val="231F20"/>
          <w:w w:val="105"/>
        </w:rPr>
        <w:t>readily</w:t>
      </w:r>
      <w:r>
        <w:rPr>
          <w:color w:val="231F20"/>
          <w:spacing w:val="-20"/>
          <w:w w:val="105"/>
        </w:rPr>
        <w:t> </w:t>
      </w:r>
      <w:r>
        <w:rPr>
          <w:color w:val="231F20"/>
          <w:w w:val="105"/>
        </w:rPr>
        <w:t>available.</w:t>
      </w:r>
    </w:p>
    <w:p>
      <w:pPr>
        <w:pStyle w:val="BodyText"/>
        <w:spacing w:line="254" w:lineRule="auto" w:before="159"/>
        <w:ind w:left="1440" w:right="249"/>
        <w:rPr>
          <w:rFonts w:ascii="Lucida Sans"/>
        </w:rPr>
      </w:pPr>
      <w:r>
        <w:rPr>
          <w:rFonts w:ascii="Lucida Sans"/>
          <w:color w:val="1C3E94"/>
          <w:w w:val="95"/>
        </w:rPr>
        <w:t>4.2.6.</w:t>
      </w:r>
      <w:r>
        <w:rPr>
          <w:rFonts w:ascii="Lucida Sans"/>
          <w:color w:val="1C3E94"/>
          <w:spacing w:val="-23"/>
          <w:w w:val="95"/>
        </w:rPr>
        <w:t> </w:t>
      </w:r>
      <w:r>
        <w:rPr>
          <w:rFonts w:ascii="Lucida Sans"/>
          <w:color w:val="1C3E94"/>
          <w:w w:val="95"/>
        </w:rPr>
        <w:t>Timeline</w:t>
      </w:r>
      <w:r>
        <w:rPr>
          <w:rFonts w:ascii="Lucida Sans"/>
          <w:color w:val="1C3E94"/>
          <w:spacing w:val="-23"/>
          <w:w w:val="95"/>
        </w:rPr>
        <w:t> </w:t>
      </w:r>
      <w:r>
        <w:rPr>
          <w:rFonts w:ascii="Lucida Sans"/>
          <w:color w:val="1C3E94"/>
          <w:w w:val="95"/>
        </w:rPr>
        <w:t>for</w:t>
      </w:r>
      <w:r>
        <w:rPr>
          <w:rFonts w:ascii="Lucida Sans"/>
          <w:color w:val="1C3E94"/>
          <w:spacing w:val="-23"/>
          <w:w w:val="95"/>
        </w:rPr>
        <w:t> </w:t>
      </w:r>
      <w:r>
        <w:rPr>
          <w:rFonts w:ascii="Lucida Sans"/>
          <w:color w:val="1C3E94"/>
          <w:w w:val="95"/>
        </w:rPr>
        <w:t>Case</w:t>
      </w:r>
      <w:r>
        <w:rPr>
          <w:rFonts w:ascii="Lucida Sans"/>
          <w:color w:val="1C3E94"/>
          <w:spacing w:val="-23"/>
          <w:w w:val="95"/>
        </w:rPr>
        <w:t> </w:t>
      </w:r>
      <w:r>
        <w:rPr>
          <w:rFonts w:ascii="Lucida Sans"/>
          <w:color w:val="1C3E94"/>
          <w:w w:val="95"/>
        </w:rPr>
        <w:t>Reporting</w:t>
      </w:r>
      <w:r>
        <w:rPr>
          <w:rFonts w:ascii="Lucida Sans"/>
          <w:color w:val="1C3E94"/>
          <w:spacing w:val="-23"/>
          <w:w w:val="95"/>
        </w:rPr>
        <w:t> </w:t>
      </w:r>
      <w:r>
        <w:rPr>
          <w:rFonts w:ascii="Lucida Sans"/>
          <w:color w:val="1C3E94"/>
          <w:w w:val="95"/>
        </w:rPr>
        <w:t>and Cluster</w:t>
      </w:r>
      <w:r>
        <w:rPr>
          <w:rFonts w:ascii="Lucida Sans"/>
          <w:color w:val="1C3E94"/>
          <w:spacing w:val="-37"/>
          <w:w w:val="95"/>
        </w:rPr>
        <w:t> </w:t>
      </w:r>
      <w:r>
        <w:rPr>
          <w:rFonts w:ascii="Lucida Sans"/>
          <w:color w:val="1C3E94"/>
          <w:w w:val="95"/>
        </w:rPr>
        <w:t>Recognition</w:t>
      </w:r>
    </w:p>
    <w:p>
      <w:pPr>
        <w:pStyle w:val="BodyText"/>
        <w:spacing w:before="1"/>
        <w:rPr>
          <w:rFonts w:ascii="Lucida Sans"/>
          <w:sz w:val="17"/>
        </w:rPr>
      </w:pPr>
    </w:p>
    <w:p>
      <w:pPr>
        <w:pStyle w:val="BodyText"/>
        <w:spacing w:line="266" w:lineRule="auto"/>
        <w:ind w:left="1440" w:right="61"/>
      </w:pPr>
      <w:r>
        <w:rPr/>
        <w:pict>
          <v:group style="position:absolute;margin-left:70.081299pt;margin-top:132.199356pt;width:188.2pt;height:190.1pt;mso-position-horizontal-relative:page;mso-position-vertical-relative:paragraph;z-index:-35776" coordorigin="1402,2644" coordsize="3764,3802">
            <v:rect style="position:absolute;left:1412;top:2649;width:3744;height:552" filled="true" fillcolor="#bad0ec" stroked="false">
              <v:fill type="solid"/>
            </v:rect>
            <v:rect style="position:absolute;left:1412;top:3201;width:3744;height:3240" filled="true" fillcolor="#d4e0f3" stroked="false">
              <v:fill type="solid"/>
            </v:rect>
            <v:line style="position:absolute" from="1407,2649" to="5161,2649" stroked="true" strokeweight=".5pt" strokecolor="#1c3e94">
              <v:stroke dashstyle="solid"/>
            </v:line>
            <v:line style="position:absolute" from="1412,3196" to="1412,2654" stroked="true" strokeweight=".5pt" strokecolor="#1c3e94">
              <v:stroke dashstyle="solid"/>
            </v:line>
            <v:line style="position:absolute" from="5156,3196" to="5156,2654" stroked="true" strokeweight=".5pt" strokecolor="#1c3e94">
              <v:stroke dashstyle="solid"/>
            </v:line>
            <v:line style="position:absolute" from="1407,3201" to="5161,3201" stroked="true" strokeweight=".5pt" strokecolor="#1c3e94">
              <v:stroke dashstyle="solid"/>
            </v:line>
            <v:line style="position:absolute" from="1412,6436" to="1412,3206" stroked="true" strokeweight=".5pt" strokecolor="#1c3e94">
              <v:stroke dashstyle="solid"/>
            </v:line>
            <v:line style="position:absolute" from="5156,6436" to="5156,3206" stroked="true" strokeweight=".5pt" strokecolor="#1c3e94">
              <v:stroke dashstyle="solid"/>
            </v:line>
            <v:line style="position:absolute" from="1407,6441" to="5161,6441" stroked="true" strokeweight=".5pt" strokecolor="#1c3e94">
              <v:stroke dashstyle="solid"/>
            </v:line>
            <v:shape style="position:absolute;left:2432;top:4566;width:2035;height:137" coordorigin="2432,4566" coordsize="2035,137" path="m2432,4566l4467,4566,4467,4703e" filled="false" stroked="true" strokeweight=".4pt" strokecolor="#0079c1">
              <v:path arrowok="t"/>
              <v:stroke dashstyle="solid"/>
            </v:shape>
            <v:shape style="position:absolute;left:4446;top:4689;width:41;height:68" coordorigin="4446,4689" coordsize="41,68" path="m4487,4689l4446,4689,4448,4693,4454,4708,4463,4736,4466,4749,4467,4757,4468,4749,4471,4736,4479,4708,4483,4700,4487,4689xe" filled="true" fillcolor="#0079c1" stroked="false">
              <v:path arrowok="t"/>
              <v:fill type="solid"/>
            </v:shape>
            <v:shape style="position:absolute;left:2132;top:5009;width:2035;height:137" coordorigin="2132,5009" coordsize="2035,137" path="m4167,5009l2132,5009,2132,5145e" filled="false" stroked="true" strokeweight=".4pt" strokecolor="#0079c1">
              <v:path arrowok="t"/>
              <v:stroke dashstyle="solid"/>
            </v:shape>
            <v:shape style="position:absolute;left:2112;top:5132;width:41;height:68" coordorigin="2112,5132" coordsize="41,68" path="m2153,5132l2112,5132,2114,5135,2120,5151,2128,5178,2131,5191,2132,5199,2133,5191,2136,5178,2145,5151,2148,5142,2153,5132xe" filled="true" fillcolor="#0079c1" stroked="false">
              <v:path arrowok="t"/>
              <v:fill type="solid"/>
            </v:shape>
            <v:rect style="position:absolute;left:4038;top:4779;width:872;height:428" filled="true" fillcolor="#cfe8d4" stroked="false">
              <v:fill type="solid"/>
            </v:rect>
            <v:rect style="position:absolute;left:4038;top:4779;width:872;height:428" filled="false" stroked="true" strokeweight=".42pt" strokecolor="#0079c1">
              <v:stroke dashstyle="solid"/>
            </v:rect>
            <v:shape style="position:absolute;left:2432;top:5502;width:2035;height:137" coordorigin="2432,5502" coordsize="2035,137" path="m2432,5502l4467,5502,4467,5638e" filled="false" stroked="true" strokeweight=".4pt" strokecolor="#0079c1">
              <v:path arrowok="t"/>
              <v:stroke dashstyle="solid"/>
            </v:shape>
            <v:shape style="position:absolute;left:4446;top:5625;width:41;height:68" coordorigin="4446,5625" coordsize="41,68" path="m4487,5625l4446,5625,4448,5628,4454,5644,4462,5671,4465,5684,4466,5692,4468,5684,4470,5671,4475,5657,4479,5644,4482,5635,4487,5625xe" filled="true" fillcolor="#0079c1" stroked="false">
              <v:path arrowok="t"/>
              <v:fill type="solid"/>
            </v:shape>
            <v:rect style="position:absolute;left:1683;top:5227;width:976;height:727" filled="true" fillcolor="#cfe8d4" stroked="false">
              <v:fill type="solid"/>
            </v:rect>
            <v:rect style="position:absolute;left:1683;top:5227;width:976;height:727" filled="false" stroked="true" strokeweight=".580pt" strokecolor="#0079c1">
              <v:stroke dashstyle="solid"/>
            </v:rect>
            <v:rect style="position:absolute;left:1731;top:4314;width:872;height:535" filled="true" fillcolor="#cfe8d4" stroked="false">
              <v:fill type="solid"/>
            </v:rect>
            <v:rect style="position:absolute;left:1731;top:4314;width:872;height:535" filled="false" stroked="true" strokeweight=".47pt" strokecolor="#0079c1">
              <v:stroke dashstyle="solid"/>
            </v:rect>
            <v:shape style="position:absolute;left:1683;top:5502;width:977;height:453" type="#_x0000_t202" filled="false" stroked="false">
              <v:textbox inset="0,0,0,0">
                <w:txbxContent>
                  <w:p>
                    <w:pPr>
                      <w:spacing w:line="78" w:lineRule="exact" w:before="0"/>
                      <w:ind w:left="56" w:right="69" w:firstLine="0"/>
                      <w:jc w:val="center"/>
                      <w:rPr>
                        <w:rFonts w:ascii="Arial"/>
                        <w:sz w:val="12"/>
                      </w:rPr>
                    </w:pPr>
                    <w:r>
                      <w:rPr>
                        <w:rFonts w:ascii="Arial"/>
                        <w:color w:val="231F20"/>
                        <w:w w:val="85"/>
                        <w:sz w:val="12"/>
                      </w:rPr>
                      <w:t>Reports Received</w:t>
                    </w:r>
                  </w:p>
                  <w:p>
                    <w:pPr>
                      <w:spacing w:line="247" w:lineRule="auto" w:before="4"/>
                      <w:ind w:left="130" w:right="143" w:firstLine="0"/>
                      <w:jc w:val="center"/>
                      <w:rPr>
                        <w:rFonts w:ascii="Arial"/>
                        <w:sz w:val="12"/>
                      </w:rPr>
                    </w:pPr>
                    <w:r>
                      <w:rPr>
                        <w:rFonts w:ascii="Arial"/>
                        <w:color w:val="231F20"/>
                        <w:w w:val="95"/>
                        <w:sz w:val="12"/>
                      </w:rPr>
                      <w:t>by Public </w:t>
                    </w:r>
                    <w:r>
                      <w:rPr>
                        <w:rFonts w:ascii="Arial"/>
                        <w:color w:val="231F20"/>
                        <w:w w:val="85"/>
                        <w:sz w:val="12"/>
                      </w:rPr>
                      <w:t>Health Agency</w:t>
                    </w:r>
                  </w:p>
                </w:txbxContent>
              </v:textbox>
              <w10:wrap type="none"/>
            </v:shape>
            <v:shape style="position:absolute;left:1412;top:2649;width:3744;height:552" type="#_x0000_t202" filled="false" stroked="false">
              <v:textbox inset="0,0,0,0">
                <w:txbxContent>
                  <w:p>
                    <w:pPr>
                      <w:spacing w:line="240" w:lineRule="exact" w:before="37"/>
                      <w:ind w:left="80" w:right="0" w:firstLine="0"/>
                      <w:jc w:val="left"/>
                      <w:rPr>
                        <w:rFonts w:ascii="Lucida Sans"/>
                        <w:b/>
                        <w:sz w:val="20"/>
                      </w:rPr>
                    </w:pPr>
                    <w:r>
                      <w:rPr>
                        <w:rFonts w:ascii="Lucida Sans"/>
                        <w:b/>
                        <w:color w:val="E36F1E"/>
                        <w:w w:val="95"/>
                        <w:sz w:val="20"/>
                      </w:rPr>
                      <w:t>Figure 4.1. </w:t>
                    </w:r>
                    <w:r>
                      <w:rPr>
                        <w:rFonts w:ascii="Lucida Sans"/>
                        <w:b/>
                        <w:color w:val="1C3E94"/>
                        <w:w w:val="95"/>
                        <w:sz w:val="20"/>
                      </w:rPr>
                      <w:t>Sample </w:t>
                    </w:r>
                    <w:r>
                      <w:rPr>
                        <w:rFonts w:ascii="Gill Sans MT"/>
                        <w:b/>
                        <w:i/>
                        <w:color w:val="1C3E94"/>
                        <w:w w:val="95"/>
                        <w:sz w:val="20"/>
                      </w:rPr>
                      <w:t>Salmonella </w:t>
                    </w:r>
                    <w:r>
                      <w:rPr>
                        <w:rFonts w:ascii="Lucida Sans"/>
                        <w:b/>
                        <w:color w:val="1C3E94"/>
                        <w:w w:val="95"/>
                        <w:sz w:val="20"/>
                      </w:rPr>
                      <w:t>case</w:t>
                    </w:r>
                  </w:p>
                  <w:p>
                    <w:pPr>
                      <w:spacing w:line="235" w:lineRule="exact" w:before="0"/>
                      <w:ind w:left="1099" w:right="0" w:firstLine="0"/>
                      <w:jc w:val="left"/>
                      <w:rPr>
                        <w:rFonts w:ascii="Lucida Sans"/>
                        <w:b/>
                        <w:sz w:val="20"/>
                      </w:rPr>
                    </w:pPr>
                    <w:r>
                      <w:rPr>
                        <w:rFonts w:ascii="Lucida Sans"/>
                        <w:b/>
                        <w:color w:val="1C3E94"/>
                        <w:w w:val="85"/>
                        <w:sz w:val="20"/>
                      </w:rPr>
                      <w:t>reporting timeline</w:t>
                    </w:r>
                  </w:p>
                </w:txbxContent>
              </v:textbox>
              <w10:wrap type="none"/>
            </v:shape>
            <v:shape style="position:absolute;left:2437;top:3943;width:1515;height:147" type="#_x0000_t202" filled="false" stroked="false">
              <v:textbox inset="0,0,0,0">
                <w:txbxContent>
                  <w:p>
                    <w:pPr>
                      <w:spacing w:line="147" w:lineRule="exact" w:before="0"/>
                      <w:ind w:left="0" w:right="0" w:firstLine="0"/>
                      <w:jc w:val="left"/>
                      <w:rPr>
                        <w:rFonts w:ascii="Arial"/>
                        <w:sz w:val="12"/>
                      </w:rPr>
                    </w:pPr>
                    <w:r>
                      <w:rPr>
                        <w:rFonts w:ascii="Arial"/>
                        <w:color w:val="231F20"/>
                        <w:w w:val="85"/>
                        <w:sz w:val="12"/>
                      </w:rPr>
                      <w:t>Time to contact with healthcare</w:t>
                    </w:r>
                  </w:p>
                </w:txbxContent>
              </v:textbox>
              <w10:wrap type="none"/>
            </v:shape>
            <v:shape style="position:absolute;left:1936;top:4364;width:476;height:458" type="#_x0000_t202" filled="false" stroked="false">
              <v:textbox inset="0,0,0,0">
                <w:txbxContent>
                  <w:p>
                    <w:pPr>
                      <w:spacing w:line="247" w:lineRule="auto" w:before="0"/>
                      <w:ind w:left="0" w:right="18" w:firstLine="0"/>
                      <w:jc w:val="center"/>
                      <w:rPr>
                        <w:rFonts w:ascii="Arial"/>
                        <w:sz w:val="12"/>
                      </w:rPr>
                    </w:pPr>
                    <w:r>
                      <w:rPr>
                        <w:rFonts w:ascii="Arial"/>
                        <w:color w:val="231F20"/>
                        <w:w w:val="95"/>
                        <w:sz w:val="12"/>
                      </w:rPr>
                      <w:t>Stool </w:t>
                    </w:r>
                    <w:r>
                      <w:rPr>
                        <w:rFonts w:ascii="Arial"/>
                        <w:color w:val="231F20"/>
                        <w:w w:val="90"/>
                        <w:sz w:val="12"/>
                      </w:rPr>
                      <w:t>Sample </w:t>
                    </w:r>
                    <w:r>
                      <w:rPr>
                        <w:rFonts w:ascii="Arial"/>
                        <w:color w:val="231F20"/>
                        <w:w w:val="85"/>
                        <w:sz w:val="12"/>
                      </w:rPr>
                      <w:t>Collected</w:t>
                    </w:r>
                  </w:p>
                </w:txbxContent>
              </v:textbox>
              <w10:wrap type="none"/>
            </v:shape>
            <v:shape style="position:absolute;left:2703;top:4414;width:1411;height:147" type="#_x0000_t202" filled="false" stroked="false">
              <v:textbox inset="0,0,0,0">
                <w:txbxContent>
                  <w:p>
                    <w:pPr>
                      <w:spacing w:line="147" w:lineRule="exact" w:before="0"/>
                      <w:ind w:left="0" w:right="0" w:firstLine="0"/>
                      <w:jc w:val="left"/>
                      <w:rPr>
                        <w:rFonts w:ascii="Arial"/>
                        <w:sz w:val="12"/>
                      </w:rPr>
                    </w:pPr>
                    <w:r>
                      <w:rPr>
                        <w:rFonts w:ascii="Arial"/>
                        <w:color w:val="231F20"/>
                        <w:w w:val="90"/>
                        <w:sz w:val="12"/>
                      </w:rPr>
                      <w:t>Time to diagnosis = 1-3 days</w:t>
                    </w:r>
                  </w:p>
                </w:txbxContent>
              </v:textbox>
              <w10:wrap type="none"/>
            </v:shape>
            <v:shape style="position:absolute;left:2748;top:4845;width:2016;height:304" type="#_x0000_t202" filled="false" stroked="false">
              <v:textbox inset="0,0,0,0">
                <w:txbxContent>
                  <w:p>
                    <w:pPr>
                      <w:tabs>
                        <w:tab w:pos="1449" w:val="left" w:leader="none"/>
                      </w:tabs>
                      <w:spacing w:line="155" w:lineRule="exact" w:before="3"/>
                      <w:ind w:left="0" w:right="18" w:firstLine="0"/>
                      <w:jc w:val="right"/>
                      <w:rPr>
                        <w:rFonts w:ascii="Arial"/>
                        <w:i/>
                        <w:sz w:val="12"/>
                      </w:rPr>
                    </w:pPr>
                    <w:r>
                      <w:rPr>
                        <w:rFonts w:ascii="Arial"/>
                        <w:color w:val="231F20"/>
                        <w:w w:val="95"/>
                        <w:sz w:val="12"/>
                      </w:rPr>
                      <w:t>Shipping</w:t>
                    </w:r>
                    <w:r>
                      <w:rPr>
                        <w:rFonts w:ascii="Arial"/>
                        <w:color w:val="231F20"/>
                        <w:spacing w:val="-22"/>
                        <w:w w:val="95"/>
                        <w:sz w:val="12"/>
                      </w:rPr>
                      <w:t> </w:t>
                    </w:r>
                    <w:r>
                      <w:rPr>
                        <w:rFonts w:ascii="Arial"/>
                        <w:color w:val="231F20"/>
                        <w:w w:val="95"/>
                        <w:sz w:val="12"/>
                      </w:rPr>
                      <w:t>time</w:t>
                    </w:r>
                    <w:r>
                      <w:rPr>
                        <w:rFonts w:ascii="Arial"/>
                        <w:color w:val="231F20"/>
                        <w:spacing w:val="-22"/>
                        <w:w w:val="95"/>
                        <w:sz w:val="12"/>
                      </w:rPr>
                      <w:t> </w:t>
                    </w:r>
                    <w:r>
                      <w:rPr>
                        <w:rFonts w:ascii="Arial"/>
                        <w:color w:val="231F20"/>
                        <w:w w:val="95"/>
                        <w:sz w:val="12"/>
                      </w:rPr>
                      <w:t>=</w:t>
                    </w:r>
                    <w:r>
                      <w:rPr>
                        <w:rFonts w:ascii="Arial"/>
                        <w:color w:val="231F20"/>
                        <w:spacing w:val="-22"/>
                        <w:w w:val="95"/>
                        <w:sz w:val="12"/>
                      </w:rPr>
                      <w:t> </w:t>
                    </w:r>
                    <w:r>
                      <w:rPr>
                        <w:rFonts w:ascii="Arial"/>
                        <w:color w:val="231F20"/>
                        <w:w w:val="95"/>
                        <w:sz w:val="12"/>
                      </w:rPr>
                      <w:t>1-3</w:t>
                    </w:r>
                    <w:r>
                      <w:rPr>
                        <w:rFonts w:ascii="Arial"/>
                        <w:color w:val="231F20"/>
                        <w:spacing w:val="-22"/>
                        <w:w w:val="95"/>
                        <w:sz w:val="12"/>
                      </w:rPr>
                      <w:t> </w:t>
                    </w:r>
                    <w:r>
                      <w:rPr>
                        <w:rFonts w:ascii="Arial"/>
                        <w:color w:val="231F20"/>
                        <w:w w:val="95"/>
                        <w:sz w:val="12"/>
                      </w:rPr>
                      <w:t>days</w:t>
                      <w:tab/>
                    </w:r>
                    <w:r>
                      <w:rPr>
                        <w:rFonts w:ascii="Arial"/>
                        <w:i/>
                        <w:color w:val="231F20"/>
                        <w:w w:val="80"/>
                        <w:position w:val="1"/>
                        <w:sz w:val="12"/>
                      </w:rPr>
                      <w:t>Salmonella</w:t>
                    </w:r>
                  </w:p>
                  <w:p>
                    <w:pPr>
                      <w:spacing w:line="145" w:lineRule="exact" w:before="0"/>
                      <w:ind w:left="0" w:right="60" w:firstLine="0"/>
                      <w:jc w:val="right"/>
                      <w:rPr>
                        <w:rFonts w:ascii="Arial"/>
                        <w:sz w:val="12"/>
                      </w:rPr>
                    </w:pPr>
                    <w:r>
                      <w:rPr>
                        <w:rFonts w:ascii="Arial"/>
                        <w:color w:val="231F20"/>
                        <w:w w:val="85"/>
                        <w:sz w:val="12"/>
                      </w:rPr>
                      <w:t>Identified</w:t>
                    </w:r>
                  </w:p>
                </w:txbxContent>
              </v:textbox>
              <w10:wrap type="none"/>
            </v:shape>
            <v:shape style="position:absolute;left:1786;top:5277;width:775;height:150" type="#_x0000_t202" filled="false" stroked="false">
              <v:textbox inset="0,0,0,0">
                <w:txbxContent>
                  <w:p>
                    <w:pPr>
                      <w:spacing w:before="0"/>
                      <w:ind w:left="0" w:right="0" w:firstLine="0"/>
                      <w:jc w:val="left"/>
                      <w:rPr>
                        <w:rFonts w:ascii="Arial"/>
                        <w:sz w:val="12"/>
                      </w:rPr>
                    </w:pPr>
                    <w:r>
                      <w:rPr>
                        <w:rFonts w:ascii="Arial"/>
                        <w:color w:val="231F20"/>
                        <w:w w:val="85"/>
                        <w:sz w:val="12"/>
                      </w:rPr>
                      <w:t>Isolates &amp; Case</w:t>
                    </w:r>
                  </w:p>
                </w:txbxContent>
              </v:textbox>
              <w10:wrap type="none"/>
            </v:shape>
            <v:shape style="position:absolute;left:2691;top:5542;width:1318;height:301" type="#_x0000_t202" filled="false" stroked="false">
              <v:textbox inset="0,0,0,0">
                <w:txbxContent>
                  <w:p>
                    <w:pPr>
                      <w:spacing w:line="247" w:lineRule="auto" w:before="0"/>
                      <w:ind w:left="0" w:right="0" w:firstLine="152"/>
                      <w:jc w:val="left"/>
                      <w:rPr>
                        <w:rFonts w:ascii="Arial"/>
                        <w:sz w:val="12"/>
                      </w:rPr>
                    </w:pPr>
                    <w:r>
                      <w:rPr>
                        <w:rFonts w:ascii="Arial"/>
                        <w:color w:val="231F20"/>
                        <w:w w:val="95"/>
                        <w:sz w:val="12"/>
                      </w:rPr>
                      <w:t>Serotyping and *DNA </w:t>
                    </w:r>
                    <w:r>
                      <w:rPr>
                        <w:rFonts w:ascii="Arial"/>
                        <w:color w:val="231F20"/>
                        <w:w w:val="85"/>
                        <w:sz w:val="12"/>
                      </w:rPr>
                      <w:t>fingerprinting* = 2-10 days</w:t>
                    </w:r>
                  </w:p>
                </w:txbxContent>
              </v:textbox>
              <w10:wrap type="none"/>
            </v:shape>
            <v:shape style="position:absolute;left:4060;top:5708;width:898;height:592" type="#_x0000_t202" filled="true" fillcolor="#cfe8d4" stroked="true" strokeweight=".501pt" strokecolor="#0079c1">
              <v:textbox inset="0,0,0,0">
                <w:txbxContent>
                  <w:p>
                    <w:pPr>
                      <w:spacing w:line="247" w:lineRule="auto" w:before="77"/>
                      <w:ind w:left="37" w:right="18" w:firstLine="0"/>
                      <w:jc w:val="center"/>
                      <w:rPr>
                        <w:rFonts w:ascii="Arial"/>
                        <w:sz w:val="12"/>
                      </w:rPr>
                    </w:pPr>
                    <w:r>
                      <w:rPr>
                        <w:rFonts w:ascii="Arial"/>
                        <w:color w:val="231F20"/>
                        <w:w w:val="85"/>
                        <w:sz w:val="12"/>
                      </w:rPr>
                      <w:t>Case Confirmed </w:t>
                    </w:r>
                    <w:r>
                      <w:rPr>
                        <w:rFonts w:ascii="Arial"/>
                        <w:color w:val="231F20"/>
                        <w:w w:val="90"/>
                        <w:sz w:val="12"/>
                      </w:rPr>
                      <w:t>as Part of Cluster</w:t>
                    </w:r>
                  </w:p>
                </w:txbxContent>
              </v:textbox>
              <v:fill type="solid"/>
              <v:stroke dashstyle="solid"/>
              <w10:wrap type="none"/>
            </v:shape>
            <w10:wrap type="none"/>
          </v:group>
        </w:pict>
      </w:r>
      <w:r>
        <w:rPr>
          <w:color w:val="231F20"/>
        </w:rPr>
        <w:t>Pathogen-specific surveillance requires a series of events from the time a patient is infected through the time public health officials determine the patient is part of  a disease  </w:t>
      </w:r>
      <w:r>
        <w:rPr>
          <w:color w:val="231F20"/>
          <w:spacing w:val="-4"/>
        </w:rPr>
        <w:t>cluster. </w:t>
      </w:r>
      <w:r>
        <w:rPr>
          <w:color w:val="231F20"/>
        </w:rPr>
        <w:t>This delay is one of the limiting factors of this type of surveillance. Minimizing delays </w:t>
      </w:r>
      <w:r>
        <w:rPr>
          <w:color w:val="231F20"/>
          <w:spacing w:val="-3"/>
        </w:rPr>
        <w:t>by </w:t>
      </w:r>
      <w:r>
        <w:rPr>
          <w:color w:val="231F20"/>
        </w:rPr>
        <w:t>streamlining the individual processes improves the likelihood of overall success. A sample timeline for </w:t>
      </w:r>
      <w:r>
        <w:rPr>
          <w:i/>
          <w:color w:val="231F20"/>
        </w:rPr>
        <w:t>Salmonella </w:t>
      </w:r>
      <w:r>
        <w:rPr>
          <w:color w:val="231F20"/>
        </w:rPr>
        <w:t>case reporting is presented in Figure </w:t>
      </w:r>
      <w:r>
        <w:rPr>
          <w:color w:val="231F20"/>
          <w:spacing w:val="19"/>
        </w:rPr>
        <w:t> </w:t>
      </w:r>
      <w:r>
        <w:rPr>
          <w:color w:val="231F20"/>
        </w:rPr>
        <w:t>4.1.</w:t>
      </w:r>
    </w:p>
    <w:p>
      <w:pPr>
        <w:pStyle w:val="BodyText"/>
      </w:pPr>
    </w:p>
    <w:p>
      <w:pPr>
        <w:pStyle w:val="BodyText"/>
      </w:pPr>
    </w:p>
    <w:p>
      <w:pPr>
        <w:pStyle w:val="BodyText"/>
      </w:pPr>
    </w:p>
    <w:p>
      <w:pPr>
        <w:pStyle w:val="BodyText"/>
        <w:rPr>
          <w:sz w:val="18"/>
        </w:rPr>
      </w:pPr>
    </w:p>
    <w:tbl>
      <w:tblPr>
        <w:tblW w:w="0" w:type="auto"/>
        <w:jc w:val="left"/>
        <w:tblInd w:w="1726" w:type="dxa"/>
        <w:tblBorders>
          <w:top w:val="single" w:sz="4" w:space="0" w:color="0079C1"/>
          <w:left w:val="single" w:sz="4" w:space="0" w:color="0079C1"/>
          <w:bottom w:val="single" w:sz="4" w:space="0" w:color="0079C1"/>
          <w:right w:val="single" w:sz="4" w:space="0" w:color="0079C1"/>
          <w:insideH w:val="single" w:sz="4" w:space="0" w:color="0079C1"/>
          <w:insideV w:val="single" w:sz="4" w:space="0" w:color="0079C1"/>
        </w:tblBorders>
        <w:tblLayout w:type="fixed"/>
        <w:tblCellMar>
          <w:top w:w="0" w:type="dxa"/>
          <w:left w:w="0" w:type="dxa"/>
          <w:bottom w:w="0" w:type="dxa"/>
          <w:right w:w="0" w:type="dxa"/>
        </w:tblCellMar>
        <w:tblLook w:val="01E0"/>
      </w:tblPr>
      <w:tblGrid>
        <w:gridCol w:w="872"/>
        <w:gridCol w:w="1848"/>
      </w:tblGrid>
      <w:tr>
        <w:trPr>
          <w:trHeight w:val="251" w:hRule="exact"/>
        </w:trPr>
        <w:tc>
          <w:tcPr>
            <w:tcW w:w="872" w:type="dxa"/>
            <w:tcBorders>
              <w:bottom w:val="single" w:sz="3" w:space="0" w:color="0079C1"/>
            </w:tcBorders>
            <w:shd w:val="clear" w:color="auto" w:fill="CFE8D4"/>
          </w:tcPr>
          <w:p>
            <w:pPr>
              <w:pStyle w:val="TableParagraph"/>
              <w:spacing w:before="45"/>
              <w:ind w:left="137"/>
              <w:rPr>
                <w:sz w:val="12"/>
              </w:rPr>
            </w:pPr>
            <w:r>
              <w:rPr>
                <w:color w:val="231F20"/>
                <w:w w:val="85"/>
                <w:sz w:val="12"/>
              </w:rPr>
              <w:t>Person Eats</w:t>
            </w:r>
          </w:p>
        </w:tc>
        <w:tc>
          <w:tcPr>
            <w:tcW w:w="1848" w:type="dxa"/>
            <w:tcBorders>
              <w:top w:val="nil"/>
              <w:bottom w:val="single" w:sz="3" w:space="0" w:color="0079C1"/>
              <w:right w:val="nil"/>
            </w:tcBorders>
            <w:shd w:val="clear" w:color="auto" w:fill="D4E0F3"/>
          </w:tcPr>
          <w:p>
            <w:pPr>
              <w:pStyle w:val="TableParagraph"/>
              <w:spacing w:before="98"/>
              <w:ind w:left="409"/>
              <w:rPr>
                <w:sz w:val="12"/>
              </w:rPr>
            </w:pPr>
            <w:r>
              <w:rPr>
                <w:color w:val="231F20"/>
                <w:w w:val="90"/>
                <w:sz w:val="12"/>
              </w:rPr>
              <w:t>Incubation time = 1-3</w:t>
            </w:r>
          </w:p>
        </w:tc>
      </w:tr>
      <w:tr>
        <w:trPr>
          <w:trHeight w:val="284" w:hRule="exact"/>
        </w:trPr>
        <w:tc>
          <w:tcPr>
            <w:tcW w:w="872" w:type="dxa"/>
            <w:tcBorders>
              <w:top w:val="single" w:sz="3" w:space="0" w:color="0079C1"/>
            </w:tcBorders>
            <w:shd w:val="clear" w:color="auto" w:fill="CFE8D4"/>
          </w:tcPr>
          <w:p>
            <w:pPr>
              <w:pStyle w:val="TableParagraph"/>
              <w:spacing w:line="98" w:lineRule="exact"/>
              <w:ind w:left="72" w:right="78"/>
              <w:jc w:val="center"/>
              <w:rPr>
                <w:sz w:val="12"/>
              </w:rPr>
            </w:pPr>
            <w:r>
              <w:rPr>
                <w:color w:val="231F20"/>
                <w:w w:val="90"/>
                <w:sz w:val="12"/>
              </w:rPr>
              <w:t>Contaminated</w:t>
            </w:r>
          </w:p>
          <w:p>
            <w:pPr>
              <w:pStyle w:val="TableParagraph"/>
              <w:spacing w:before="4"/>
              <w:ind w:left="72" w:right="78"/>
              <w:jc w:val="center"/>
              <w:rPr>
                <w:sz w:val="12"/>
              </w:rPr>
            </w:pPr>
            <w:r>
              <w:rPr>
                <w:color w:val="231F20"/>
                <w:w w:val="90"/>
                <w:sz w:val="12"/>
              </w:rPr>
              <w:t>Food</w:t>
            </w:r>
          </w:p>
        </w:tc>
        <w:tc>
          <w:tcPr>
            <w:tcW w:w="1848" w:type="dxa"/>
            <w:tcBorders>
              <w:top w:val="single" w:sz="3" w:space="0" w:color="0079C1"/>
              <w:bottom w:val="nil"/>
              <w:right w:val="single" w:sz="3" w:space="0" w:color="0079C1"/>
            </w:tcBorders>
            <w:shd w:val="clear" w:color="auto" w:fill="D4E0F3"/>
          </w:tcPr>
          <w:p>
            <w:pPr/>
          </w:p>
        </w:tc>
      </w:tr>
    </w:tbl>
    <w:p>
      <w:pPr>
        <w:pStyle w:val="ListParagraph"/>
        <w:numPr>
          <w:ilvl w:val="0"/>
          <w:numId w:val="7"/>
        </w:numPr>
        <w:tabs>
          <w:tab w:pos="615" w:val="left" w:leader="none"/>
        </w:tabs>
        <w:spacing w:line="240" w:lineRule="auto" w:before="108" w:after="0"/>
        <w:ind w:left="614" w:right="0" w:hanging="250"/>
        <w:jc w:val="left"/>
        <w:rPr>
          <w:rFonts w:ascii="Lucida Sans"/>
          <w:sz w:val="18"/>
        </w:rPr>
      </w:pPr>
      <w:r>
        <w:rPr>
          <w:rFonts w:ascii="Lucida Sans"/>
          <w:color w:val="00A94F"/>
          <w:w w:val="92"/>
          <w:sz w:val="18"/>
        </w:rPr>
        <w:br w:type="column"/>
      </w:r>
      <w:r>
        <w:rPr>
          <w:rFonts w:ascii="Lucida Sans"/>
          <w:color w:val="00A94F"/>
          <w:w w:val="90"/>
          <w:sz w:val="18"/>
        </w:rPr>
        <w:t>Incubation</w:t>
      </w:r>
      <w:r>
        <w:rPr>
          <w:rFonts w:ascii="Lucida Sans"/>
          <w:color w:val="00A94F"/>
          <w:spacing w:val="29"/>
          <w:w w:val="90"/>
          <w:sz w:val="18"/>
        </w:rPr>
        <w:t> </w:t>
      </w:r>
      <w:r>
        <w:rPr>
          <w:rFonts w:ascii="Lucida Sans"/>
          <w:color w:val="00A94F"/>
          <w:w w:val="90"/>
          <w:sz w:val="18"/>
        </w:rPr>
        <w:t>time:</w:t>
      </w:r>
    </w:p>
    <w:p>
      <w:pPr>
        <w:pStyle w:val="BodyText"/>
        <w:spacing w:line="266" w:lineRule="auto" w:before="39"/>
        <w:ind w:left="614" w:right="715"/>
      </w:pPr>
      <w:r>
        <w:rPr>
          <w:color w:val="231F20"/>
          <w:w w:val="105"/>
        </w:rPr>
        <w:t>The time from ingestion of a contaminated food to beginning of symptoms. For </w:t>
      </w:r>
      <w:r>
        <w:rPr>
          <w:i/>
          <w:color w:val="231F20"/>
          <w:w w:val="105"/>
        </w:rPr>
        <w:t>Salmonella</w:t>
      </w:r>
      <w:r>
        <w:rPr>
          <w:color w:val="231F20"/>
          <w:w w:val="105"/>
        </w:rPr>
        <w:t>, this typically is 1–3 days, </w:t>
      </w:r>
      <w:r>
        <w:rPr>
          <w:color w:val="231F20"/>
        </w:rPr>
        <w:t>sometimes longer.</w:t>
      </w:r>
    </w:p>
    <w:p>
      <w:pPr>
        <w:pStyle w:val="ListParagraph"/>
        <w:numPr>
          <w:ilvl w:val="0"/>
          <w:numId w:val="7"/>
        </w:numPr>
        <w:tabs>
          <w:tab w:pos="615" w:val="left" w:leader="none"/>
        </w:tabs>
        <w:spacing w:line="283" w:lineRule="auto" w:before="88" w:after="0"/>
        <w:ind w:left="614" w:right="905" w:hanging="250"/>
        <w:jc w:val="left"/>
        <w:rPr>
          <w:rFonts w:ascii="Lucida Sans"/>
          <w:sz w:val="18"/>
        </w:rPr>
      </w:pPr>
      <w:r>
        <w:rPr>
          <w:rFonts w:ascii="Lucida Sans"/>
          <w:color w:val="00A94F"/>
          <w:w w:val="95"/>
          <w:sz w:val="18"/>
        </w:rPr>
        <w:t>Time</w:t>
      </w:r>
      <w:r>
        <w:rPr>
          <w:rFonts w:ascii="Lucida Sans"/>
          <w:color w:val="00A94F"/>
          <w:spacing w:val="-17"/>
          <w:w w:val="95"/>
          <w:sz w:val="18"/>
        </w:rPr>
        <w:t> </w:t>
      </w:r>
      <w:r>
        <w:rPr>
          <w:rFonts w:ascii="Lucida Sans"/>
          <w:color w:val="00A94F"/>
          <w:w w:val="95"/>
          <w:sz w:val="18"/>
        </w:rPr>
        <w:t>to</w:t>
      </w:r>
      <w:r>
        <w:rPr>
          <w:rFonts w:ascii="Lucida Sans"/>
          <w:color w:val="00A94F"/>
          <w:spacing w:val="-17"/>
          <w:w w:val="95"/>
          <w:sz w:val="18"/>
        </w:rPr>
        <w:t> </w:t>
      </w:r>
      <w:r>
        <w:rPr>
          <w:rFonts w:ascii="Lucida Sans"/>
          <w:color w:val="00A94F"/>
          <w:w w:val="95"/>
          <w:sz w:val="18"/>
        </w:rPr>
        <w:t>contact</w:t>
      </w:r>
      <w:r>
        <w:rPr>
          <w:rFonts w:ascii="Lucida Sans"/>
          <w:color w:val="00A94F"/>
          <w:spacing w:val="-17"/>
          <w:w w:val="95"/>
          <w:sz w:val="18"/>
        </w:rPr>
        <w:t> </w:t>
      </w:r>
      <w:r>
        <w:rPr>
          <w:rFonts w:ascii="Lucida Sans"/>
          <w:color w:val="00A94F"/>
          <w:w w:val="95"/>
          <w:sz w:val="18"/>
        </w:rPr>
        <w:t>with</w:t>
      </w:r>
      <w:r>
        <w:rPr>
          <w:rFonts w:ascii="Lucida Sans"/>
          <w:color w:val="00A94F"/>
          <w:spacing w:val="-17"/>
          <w:w w:val="95"/>
          <w:sz w:val="18"/>
        </w:rPr>
        <w:t> </w:t>
      </w:r>
      <w:r>
        <w:rPr>
          <w:rFonts w:ascii="Lucida Sans"/>
          <w:color w:val="00A94F"/>
          <w:w w:val="95"/>
          <w:sz w:val="18"/>
        </w:rPr>
        <w:t>health-care</w:t>
      </w:r>
      <w:r>
        <w:rPr>
          <w:rFonts w:ascii="Lucida Sans"/>
          <w:color w:val="00A94F"/>
          <w:spacing w:val="-17"/>
          <w:w w:val="95"/>
          <w:sz w:val="18"/>
        </w:rPr>
        <w:t> </w:t>
      </w:r>
      <w:r>
        <w:rPr>
          <w:rFonts w:ascii="Lucida Sans"/>
          <w:color w:val="00A94F"/>
          <w:w w:val="95"/>
          <w:sz w:val="18"/>
        </w:rPr>
        <w:t>provider or</w:t>
      </w:r>
      <w:r>
        <w:rPr>
          <w:rFonts w:ascii="Lucida Sans"/>
          <w:color w:val="00A94F"/>
          <w:spacing w:val="-15"/>
          <w:w w:val="95"/>
          <w:sz w:val="18"/>
        </w:rPr>
        <w:t> </w:t>
      </w:r>
      <w:r>
        <w:rPr>
          <w:rFonts w:ascii="Lucida Sans"/>
          <w:color w:val="00A94F"/>
          <w:w w:val="95"/>
          <w:sz w:val="18"/>
        </w:rPr>
        <w:t>doctor:</w:t>
      </w:r>
    </w:p>
    <w:p>
      <w:pPr>
        <w:pStyle w:val="BodyText"/>
        <w:spacing w:line="266" w:lineRule="auto" w:before="2"/>
        <w:ind w:left="614" w:right="729"/>
      </w:pPr>
      <w:r>
        <w:rPr>
          <w:color w:val="231F20"/>
          <w:w w:val="105"/>
        </w:rPr>
        <w:t>The</w:t>
      </w:r>
      <w:r>
        <w:rPr>
          <w:color w:val="231F20"/>
          <w:spacing w:val="-13"/>
          <w:w w:val="105"/>
        </w:rPr>
        <w:t> </w:t>
      </w:r>
      <w:r>
        <w:rPr>
          <w:color w:val="231F20"/>
          <w:w w:val="105"/>
        </w:rPr>
        <w:t>time</w:t>
      </w:r>
      <w:r>
        <w:rPr>
          <w:color w:val="231F20"/>
          <w:spacing w:val="-13"/>
          <w:w w:val="105"/>
        </w:rPr>
        <w:t> </w:t>
      </w:r>
      <w:r>
        <w:rPr>
          <w:color w:val="231F20"/>
          <w:w w:val="105"/>
        </w:rPr>
        <w:t>from</w:t>
      </w:r>
      <w:r>
        <w:rPr>
          <w:color w:val="231F20"/>
          <w:spacing w:val="-13"/>
          <w:w w:val="105"/>
        </w:rPr>
        <w:t> </w:t>
      </w:r>
      <w:r>
        <w:rPr>
          <w:color w:val="231F20"/>
          <w:w w:val="105"/>
        </w:rPr>
        <w:t>the</w:t>
      </w:r>
      <w:r>
        <w:rPr>
          <w:color w:val="231F20"/>
          <w:spacing w:val="-13"/>
          <w:w w:val="105"/>
        </w:rPr>
        <w:t> </w:t>
      </w:r>
      <w:r>
        <w:rPr>
          <w:color w:val="231F20"/>
          <w:w w:val="105"/>
        </w:rPr>
        <w:t>first</w:t>
      </w:r>
      <w:r>
        <w:rPr>
          <w:color w:val="231F20"/>
          <w:spacing w:val="-13"/>
          <w:w w:val="105"/>
        </w:rPr>
        <w:t> </w:t>
      </w:r>
      <w:r>
        <w:rPr>
          <w:color w:val="231F20"/>
          <w:w w:val="105"/>
        </w:rPr>
        <w:t>symptom</w:t>
      </w:r>
      <w:r>
        <w:rPr>
          <w:color w:val="231F20"/>
          <w:spacing w:val="-13"/>
          <w:w w:val="105"/>
        </w:rPr>
        <w:t> </w:t>
      </w:r>
      <w:r>
        <w:rPr>
          <w:color w:val="231F20"/>
          <w:w w:val="105"/>
        </w:rPr>
        <w:t>to</w:t>
      </w:r>
      <w:r>
        <w:rPr>
          <w:color w:val="231F20"/>
          <w:spacing w:val="-13"/>
          <w:w w:val="105"/>
        </w:rPr>
        <w:t> </w:t>
      </w:r>
      <w:r>
        <w:rPr>
          <w:color w:val="231F20"/>
          <w:w w:val="105"/>
        </w:rPr>
        <w:t>medical care (when a stool sample is collected for laboratory testing). This time may be an additional</w:t>
      </w:r>
      <w:r>
        <w:rPr>
          <w:color w:val="231F20"/>
          <w:spacing w:val="-13"/>
          <w:w w:val="105"/>
        </w:rPr>
        <w:t> </w:t>
      </w:r>
      <w:r>
        <w:rPr>
          <w:color w:val="231F20"/>
          <w:w w:val="105"/>
        </w:rPr>
        <w:t>1–3</w:t>
      </w:r>
      <w:r>
        <w:rPr>
          <w:color w:val="231F20"/>
          <w:spacing w:val="-12"/>
          <w:w w:val="105"/>
        </w:rPr>
        <w:t> </w:t>
      </w:r>
      <w:r>
        <w:rPr>
          <w:color w:val="231F20"/>
          <w:w w:val="105"/>
        </w:rPr>
        <w:t>days,</w:t>
      </w:r>
      <w:r>
        <w:rPr>
          <w:color w:val="231F20"/>
          <w:spacing w:val="-12"/>
          <w:w w:val="105"/>
        </w:rPr>
        <w:t> </w:t>
      </w:r>
      <w:r>
        <w:rPr>
          <w:color w:val="231F20"/>
          <w:w w:val="105"/>
        </w:rPr>
        <w:t>sometimes</w:t>
      </w:r>
      <w:r>
        <w:rPr>
          <w:color w:val="231F20"/>
          <w:spacing w:val="-11"/>
          <w:w w:val="105"/>
        </w:rPr>
        <w:t> </w:t>
      </w:r>
      <w:r>
        <w:rPr>
          <w:color w:val="231F20"/>
          <w:spacing w:val="-3"/>
          <w:w w:val="105"/>
        </w:rPr>
        <w:t>longer.</w:t>
      </w:r>
    </w:p>
    <w:p>
      <w:pPr>
        <w:pStyle w:val="ListParagraph"/>
        <w:numPr>
          <w:ilvl w:val="0"/>
          <w:numId w:val="7"/>
        </w:numPr>
        <w:tabs>
          <w:tab w:pos="615" w:val="left" w:leader="none"/>
        </w:tabs>
        <w:spacing w:line="240" w:lineRule="auto" w:before="88" w:after="0"/>
        <w:ind w:left="614" w:right="0" w:hanging="250"/>
        <w:jc w:val="left"/>
        <w:rPr>
          <w:rFonts w:ascii="Lucida Sans"/>
          <w:sz w:val="18"/>
        </w:rPr>
      </w:pPr>
      <w:r>
        <w:rPr>
          <w:rFonts w:ascii="Lucida Sans"/>
          <w:color w:val="00A94F"/>
          <w:w w:val="95"/>
          <w:sz w:val="18"/>
        </w:rPr>
        <w:t>Time</w:t>
      </w:r>
      <w:r>
        <w:rPr>
          <w:rFonts w:ascii="Lucida Sans"/>
          <w:color w:val="00A94F"/>
          <w:spacing w:val="-29"/>
          <w:w w:val="95"/>
          <w:sz w:val="18"/>
        </w:rPr>
        <w:t> </w:t>
      </w:r>
      <w:r>
        <w:rPr>
          <w:rFonts w:ascii="Lucida Sans"/>
          <w:color w:val="00A94F"/>
          <w:w w:val="95"/>
          <w:sz w:val="18"/>
        </w:rPr>
        <w:t>to</w:t>
      </w:r>
      <w:r>
        <w:rPr>
          <w:rFonts w:ascii="Lucida Sans"/>
          <w:color w:val="00A94F"/>
          <w:spacing w:val="-29"/>
          <w:w w:val="95"/>
          <w:sz w:val="18"/>
        </w:rPr>
        <w:t> </w:t>
      </w:r>
      <w:r>
        <w:rPr>
          <w:rFonts w:ascii="Lucida Sans"/>
          <w:color w:val="00A94F"/>
          <w:w w:val="95"/>
          <w:sz w:val="18"/>
        </w:rPr>
        <w:t>diagnosis:</w:t>
      </w:r>
    </w:p>
    <w:p>
      <w:pPr>
        <w:pStyle w:val="BodyText"/>
        <w:spacing w:line="266" w:lineRule="auto" w:before="39"/>
        <w:ind w:left="614" w:right="715"/>
      </w:pPr>
      <w:r>
        <w:rPr>
          <w:color w:val="231F20"/>
          <w:w w:val="105"/>
        </w:rPr>
        <w:t>The time from provision of a sample to lab identification of the agent in the sample as </w:t>
      </w:r>
      <w:r>
        <w:rPr>
          <w:i/>
          <w:color w:val="231F20"/>
          <w:w w:val="105"/>
        </w:rPr>
        <w:t>Salmonella</w:t>
      </w:r>
      <w:r>
        <w:rPr>
          <w:color w:val="231F20"/>
          <w:w w:val="105"/>
        </w:rPr>
        <w:t>. This may be 1–3 days from the time the lab receives the sample.</w:t>
      </w:r>
    </w:p>
    <w:p>
      <w:pPr>
        <w:pStyle w:val="ListParagraph"/>
        <w:numPr>
          <w:ilvl w:val="0"/>
          <w:numId w:val="7"/>
        </w:numPr>
        <w:tabs>
          <w:tab w:pos="615" w:val="left" w:leader="none"/>
        </w:tabs>
        <w:spacing w:line="240" w:lineRule="auto" w:before="88" w:after="0"/>
        <w:ind w:left="614" w:right="0" w:hanging="250"/>
        <w:jc w:val="left"/>
        <w:rPr>
          <w:rFonts w:ascii="Lucida Sans"/>
          <w:sz w:val="18"/>
        </w:rPr>
      </w:pPr>
      <w:r>
        <w:rPr>
          <w:rFonts w:ascii="Lucida Sans"/>
          <w:color w:val="00A94F"/>
          <w:w w:val="95"/>
          <w:sz w:val="18"/>
        </w:rPr>
        <w:t>Sample</w:t>
      </w:r>
      <w:r>
        <w:rPr>
          <w:rFonts w:ascii="Lucida Sans"/>
          <w:color w:val="00A94F"/>
          <w:spacing w:val="-23"/>
          <w:w w:val="95"/>
          <w:sz w:val="18"/>
        </w:rPr>
        <w:t> </w:t>
      </w:r>
      <w:r>
        <w:rPr>
          <w:rFonts w:ascii="Lucida Sans"/>
          <w:color w:val="00A94F"/>
          <w:w w:val="95"/>
          <w:sz w:val="18"/>
        </w:rPr>
        <w:t>shipping</w:t>
      </w:r>
      <w:r>
        <w:rPr>
          <w:rFonts w:ascii="Lucida Sans"/>
          <w:color w:val="00A94F"/>
          <w:spacing w:val="-23"/>
          <w:w w:val="95"/>
          <w:sz w:val="18"/>
        </w:rPr>
        <w:t> </w:t>
      </w:r>
      <w:r>
        <w:rPr>
          <w:rFonts w:ascii="Lucida Sans"/>
          <w:color w:val="00A94F"/>
          <w:w w:val="95"/>
          <w:sz w:val="18"/>
        </w:rPr>
        <w:t>time:</w:t>
      </w:r>
    </w:p>
    <w:p>
      <w:pPr>
        <w:pStyle w:val="BodyText"/>
        <w:spacing w:line="266" w:lineRule="auto" w:before="39"/>
        <w:ind w:left="614" w:right="752"/>
      </w:pPr>
      <w:r>
        <w:rPr>
          <w:color w:val="231F20"/>
          <w:w w:val="105"/>
        </w:rPr>
        <w:t>The time required to ship the </w:t>
      </w:r>
      <w:r>
        <w:rPr>
          <w:i/>
          <w:color w:val="231F20"/>
          <w:w w:val="105"/>
        </w:rPr>
        <w:t>Salmonella </w:t>
      </w:r>
      <w:r>
        <w:rPr>
          <w:color w:val="231F20"/>
          <w:w w:val="105"/>
        </w:rPr>
        <w:t>isolate from the lab to the state public health authorities who will perform serotyping and DNA fingerprinting. This usually takes 1-3 days or longer, depending on transportation arrangements within</w:t>
      </w:r>
    </w:p>
    <w:p>
      <w:pPr>
        <w:pStyle w:val="BodyText"/>
        <w:spacing w:line="266" w:lineRule="auto"/>
        <w:ind w:left="614" w:right="815"/>
      </w:pPr>
      <w:r>
        <w:rPr>
          <w:color w:val="231F20"/>
          <w:w w:val="105"/>
        </w:rPr>
        <w:t>a state and distance between the clinical lab and the public health department. Diagnostic labs are not required by law in many jurisdictions to forward </w:t>
      </w:r>
      <w:r>
        <w:rPr>
          <w:i/>
          <w:color w:val="231F20"/>
          <w:w w:val="105"/>
        </w:rPr>
        <w:t>Salmonella </w:t>
      </w:r>
      <w:r>
        <w:rPr>
          <w:color w:val="231F20"/>
          <w:w w:val="105"/>
        </w:rPr>
        <w:t>isolates to public health labs, and not all diagnostic labs forward any isolates unless specifically requested to do so.</w:t>
      </w:r>
    </w:p>
    <w:p>
      <w:pPr>
        <w:pStyle w:val="ListParagraph"/>
        <w:numPr>
          <w:ilvl w:val="0"/>
          <w:numId w:val="7"/>
        </w:numPr>
        <w:tabs>
          <w:tab w:pos="615" w:val="left" w:leader="none"/>
        </w:tabs>
        <w:spacing w:line="276" w:lineRule="auto" w:before="88" w:after="0"/>
        <w:ind w:left="614" w:right="719" w:hanging="250"/>
        <w:jc w:val="both"/>
        <w:rPr>
          <w:sz w:val="20"/>
        </w:rPr>
      </w:pPr>
      <w:r>
        <w:rPr>
          <w:rFonts w:ascii="Lucida Sans"/>
          <w:color w:val="00A94F"/>
          <w:w w:val="95"/>
          <w:sz w:val="18"/>
        </w:rPr>
        <w:t>Time</w:t>
      </w:r>
      <w:r>
        <w:rPr>
          <w:rFonts w:ascii="Lucida Sans"/>
          <w:color w:val="00A94F"/>
          <w:spacing w:val="-18"/>
          <w:w w:val="95"/>
          <w:sz w:val="18"/>
        </w:rPr>
        <w:t> </w:t>
      </w:r>
      <w:r>
        <w:rPr>
          <w:rFonts w:ascii="Lucida Sans"/>
          <w:color w:val="00A94F"/>
          <w:w w:val="95"/>
          <w:sz w:val="18"/>
        </w:rPr>
        <w:t>to</w:t>
      </w:r>
      <w:r>
        <w:rPr>
          <w:rFonts w:ascii="Lucida Sans"/>
          <w:color w:val="00A94F"/>
          <w:spacing w:val="-18"/>
          <w:w w:val="95"/>
          <w:sz w:val="18"/>
        </w:rPr>
        <w:t> </w:t>
      </w:r>
      <w:r>
        <w:rPr>
          <w:rFonts w:ascii="Lucida Sans"/>
          <w:color w:val="00A94F"/>
          <w:w w:val="95"/>
          <w:sz w:val="18"/>
        </w:rPr>
        <w:t>serotyping</w:t>
      </w:r>
      <w:r>
        <w:rPr>
          <w:rFonts w:ascii="Lucida Sans"/>
          <w:color w:val="00A94F"/>
          <w:spacing w:val="-18"/>
          <w:w w:val="95"/>
          <w:sz w:val="18"/>
        </w:rPr>
        <w:t> </w:t>
      </w:r>
      <w:r>
        <w:rPr>
          <w:rFonts w:ascii="Lucida Sans"/>
          <w:color w:val="00A94F"/>
          <w:w w:val="95"/>
          <w:sz w:val="18"/>
        </w:rPr>
        <w:t>and</w:t>
      </w:r>
      <w:r>
        <w:rPr>
          <w:rFonts w:ascii="Lucida Sans"/>
          <w:color w:val="00A94F"/>
          <w:spacing w:val="-18"/>
          <w:w w:val="95"/>
          <w:sz w:val="18"/>
        </w:rPr>
        <w:t> </w:t>
      </w:r>
      <w:r>
        <w:rPr>
          <w:rFonts w:ascii="Lucida Sans"/>
          <w:color w:val="00A94F"/>
          <w:w w:val="95"/>
          <w:sz w:val="18"/>
        </w:rPr>
        <w:t>DNA</w:t>
      </w:r>
      <w:r>
        <w:rPr>
          <w:rFonts w:ascii="Lucida Sans"/>
          <w:color w:val="00A94F"/>
          <w:spacing w:val="-18"/>
          <w:w w:val="95"/>
          <w:sz w:val="18"/>
        </w:rPr>
        <w:t> </w:t>
      </w:r>
      <w:r>
        <w:rPr>
          <w:rFonts w:ascii="Lucida Sans"/>
          <w:color w:val="00A94F"/>
          <w:w w:val="95"/>
          <w:sz w:val="18"/>
        </w:rPr>
        <w:t>fingerprinting:</w:t>
      </w:r>
      <w:r>
        <w:rPr>
          <w:rFonts w:ascii="Lucida Sans"/>
          <w:color w:val="00A94F"/>
          <w:w w:val="91"/>
          <w:sz w:val="18"/>
        </w:rPr>
        <w:t> </w:t>
      </w:r>
      <w:r>
        <w:rPr>
          <w:color w:val="231F20"/>
          <w:sz w:val="20"/>
        </w:rPr>
        <w:t>The time required for the state public health authorities to serotype and to</w:t>
      </w:r>
      <w:r>
        <w:rPr>
          <w:color w:val="231F20"/>
          <w:spacing w:val="40"/>
          <w:sz w:val="20"/>
        </w:rPr>
        <w:t> </w:t>
      </w:r>
      <w:r>
        <w:rPr>
          <w:color w:val="231F20"/>
          <w:sz w:val="20"/>
        </w:rPr>
        <w:t>perform</w:t>
      </w:r>
    </w:p>
    <w:p>
      <w:pPr>
        <w:pStyle w:val="BodyText"/>
        <w:spacing w:line="266" w:lineRule="auto"/>
        <w:ind w:left="614" w:right="759"/>
      </w:pPr>
      <w:r>
        <w:rPr/>
        <w:pict>
          <v:shape style="position:absolute;margin-left:107.334pt;margin-top:19.014168pt;width:137pt;height:22.1pt;mso-position-horizontal-relative:page;mso-position-vertical-relative:paragraph;z-index:2464" type="#_x0000_t202" filled="false" stroked="false">
            <v:textbox inset="0,0,0,0">
              <w:txbxContent>
                <w:tbl>
                  <w:tblPr>
                    <w:tblW w:w="0" w:type="auto"/>
                    <w:jc w:val="left"/>
                    <w:tblBorders>
                      <w:top w:val="single" w:sz="3" w:space="0" w:color="0079C1"/>
                      <w:left w:val="single" w:sz="3" w:space="0" w:color="0079C1"/>
                      <w:bottom w:val="single" w:sz="3" w:space="0" w:color="0079C1"/>
                      <w:right w:val="single" w:sz="3" w:space="0" w:color="0079C1"/>
                      <w:insideH w:val="single" w:sz="3" w:space="0" w:color="0079C1"/>
                      <w:insideV w:val="single" w:sz="3" w:space="0" w:color="0079C1"/>
                    </w:tblBorders>
                    <w:tblLayout w:type="fixed"/>
                    <w:tblCellMar>
                      <w:top w:w="0" w:type="dxa"/>
                      <w:left w:w="0" w:type="dxa"/>
                      <w:bottom w:w="0" w:type="dxa"/>
                      <w:right w:w="0" w:type="dxa"/>
                    </w:tblCellMar>
                    <w:tblLook w:val="01E0"/>
                  </w:tblPr>
                  <w:tblGrid>
                    <w:gridCol w:w="1855"/>
                    <w:gridCol w:w="179"/>
                    <w:gridCol w:w="693"/>
                  </w:tblGrid>
                  <w:tr>
                    <w:trPr>
                      <w:trHeight w:val="214" w:hRule="exact"/>
                    </w:trPr>
                    <w:tc>
                      <w:tcPr>
                        <w:tcW w:w="1855" w:type="dxa"/>
                        <w:tcBorders>
                          <w:top w:val="nil"/>
                          <w:left w:val="nil"/>
                          <w:right w:val="single" w:sz="3" w:space="0" w:color="0079C1"/>
                        </w:tcBorders>
                        <w:shd w:val="clear" w:color="auto" w:fill="D4E0F3"/>
                      </w:tcPr>
                      <w:p>
                        <w:pPr/>
                      </w:p>
                    </w:tc>
                    <w:tc>
                      <w:tcPr>
                        <w:tcW w:w="179" w:type="dxa"/>
                        <w:tcBorders>
                          <w:top w:val="single" w:sz="3" w:space="0" w:color="0079C1"/>
                          <w:left w:val="single" w:sz="3" w:space="0" w:color="0079C1"/>
                          <w:right w:val="nil"/>
                        </w:tcBorders>
                        <w:shd w:val="clear" w:color="auto" w:fill="CFE8D4"/>
                      </w:tcPr>
                      <w:p>
                        <w:pPr/>
                      </w:p>
                    </w:tc>
                    <w:tc>
                      <w:tcPr>
                        <w:tcW w:w="693" w:type="dxa"/>
                        <w:tcBorders>
                          <w:top w:val="single" w:sz="3" w:space="0" w:color="0079C1"/>
                          <w:left w:val="nil"/>
                          <w:bottom w:val="nil"/>
                          <w:right w:val="single" w:sz="3" w:space="0" w:color="0079C1"/>
                        </w:tcBorders>
                        <w:shd w:val="clear" w:color="auto" w:fill="CFE8D4"/>
                      </w:tcPr>
                      <w:p>
                        <w:pPr>
                          <w:pStyle w:val="TableParagraph"/>
                          <w:spacing w:before="45"/>
                          <w:ind w:left="65"/>
                          <w:rPr>
                            <w:sz w:val="12"/>
                          </w:rPr>
                        </w:pPr>
                        <w:r>
                          <w:rPr>
                            <w:color w:val="231F20"/>
                            <w:w w:val="95"/>
                            <w:sz w:val="12"/>
                          </w:rPr>
                          <w:t>Patient</w:t>
                        </w:r>
                      </w:p>
                    </w:tc>
                  </w:tr>
                  <w:tr>
                    <w:trPr>
                      <w:trHeight w:val="218" w:hRule="exact"/>
                    </w:trPr>
                    <w:tc>
                      <w:tcPr>
                        <w:tcW w:w="1855" w:type="dxa"/>
                        <w:tcBorders>
                          <w:bottom w:val="nil"/>
                          <w:right w:val="single" w:sz="3" w:space="0" w:color="0079C1"/>
                        </w:tcBorders>
                        <w:shd w:val="clear" w:color="auto" w:fill="D4E0F3"/>
                      </w:tcPr>
                      <w:p>
                        <w:pPr>
                          <w:pStyle w:val="TableParagraph"/>
                          <w:spacing w:line="138" w:lineRule="exact"/>
                          <w:ind w:left="596"/>
                          <w:rPr>
                            <w:sz w:val="12"/>
                          </w:rPr>
                        </w:pPr>
                        <w:r>
                          <w:rPr>
                            <w:color w:val="231F20"/>
                            <w:w w:val="90"/>
                            <w:sz w:val="12"/>
                          </w:rPr>
                          <w:t>system = 1-3 days</w:t>
                        </w:r>
                      </w:p>
                    </w:tc>
                    <w:tc>
                      <w:tcPr>
                        <w:tcW w:w="872" w:type="dxa"/>
                        <w:gridSpan w:val="2"/>
                        <w:tcBorders>
                          <w:top w:val="nil"/>
                          <w:left w:val="single" w:sz="3" w:space="0" w:color="0079C1"/>
                          <w:bottom w:val="single" w:sz="3" w:space="0" w:color="0079C1"/>
                          <w:right w:val="single" w:sz="3" w:space="0" w:color="0079C1"/>
                        </w:tcBorders>
                        <w:shd w:val="clear" w:color="auto" w:fill="CFE8D4"/>
                      </w:tcPr>
                      <w:p>
                        <w:pPr>
                          <w:pStyle w:val="TableParagraph"/>
                          <w:spacing w:line="139" w:lineRule="exact"/>
                          <w:ind w:left="143"/>
                          <w:rPr>
                            <w:sz w:val="12"/>
                          </w:rPr>
                        </w:pPr>
                        <w:r>
                          <w:rPr>
                            <w:color w:val="231F20"/>
                            <w:w w:val="85"/>
                            <w:sz w:val="12"/>
                          </w:rPr>
                          <w:t>Becomes ill</w:t>
                        </w:r>
                      </w:p>
                    </w:tc>
                  </w:tr>
                </w:tbl>
                <w:p>
                  <w:pPr>
                    <w:pStyle w:val="BodyText"/>
                  </w:pPr>
                </w:p>
              </w:txbxContent>
            </v:textbox>
            <w10:wrap type="none"/>
          </v:shape>
        </w:pict>
      </w:r>
      <w:r>
        <w:rPr>
          <w:color w:val="231F20"/>
          <w:w w:val="105"/>
        </w:rPr>
        <w:t>DNA</w:t>
      </w:r>
      <w:r>
        <w:rPr>
          <w:color w:val="231F20"/>
          <w:spacing w:val="-26"/>
          <w:w w:val="105"/>
        </w:rPr>
        <w:t> </w:t>
      </w:r>
      <w:r>
        <w:rPr>
          <w:color w:val="231F20"/>
          <w:w w:val="105"/>
        </w:rPr>
        <w:t>fingerprinting</w:t>
      </w:r>
      <w:r>
        <w:rPr>
          <w:color w:val="231F20"/>
          <w:spacing w:val="-26"/>
          <w:w w:val="105"/>
        </w:rPr>
        <w:t> </w:t>
      </w:r>
      <w:r>
        <w:rPr>
          <w:color w:val="231F20"/>
          <w:w w:val="105"/>
        </w:rPr>
        <w:t>on</w:t>
      </w:r>
      <w:r>
        <w:rPr>
          <w:color w:val="231F20"/>
          <w:spacing w:val="-26"/>
          <w:w w:val="105"/>
        </w:rPr>
        <w:t> </w:t>
      </w:r>
      <w:r>
        <w:rPr>
          <w:color w:val="231F20"/>
          <w:w w:val="105"/>
        </w:rPr>
        <w:t>the</w:t>
      </w:r>
      <w:r>
        <w:rPr>
          <w:color w:val="231F20"/>
          <w:spacing w:val="-26"/>
          <w:w w:val="105"/>
        </w:rPr>
        <w:t> </w:t>
      </w:r>
      <w:r>
        <w:rPr>
          <w:i/>
          <w:color w:val="231F20"/>
          <w:w w:val="105"/>
        </w:rPr>
        <w:t>Salmonella</w:t>
      </w:r>
      <w:r>
        <w:rPr>
          <w:i/>
          <w:color w:val="231F20"/>
          <w:spacing w:val="-26"/>
          <w:w w:val="105"/>
        </w:rPr>
        <w:t> </w:t>
      </w:r>
      <w:r>
        <w:rPr>
          <w:color w:val="231F20"/>
          <w:w w:val="105"/>
        </w:rPr>
        <w:t>isolate and compare it with the outbreak pattern. Serotyping typically takes 3 working days but can take </w:t>
      </w:r>
      <w:r>
        <w:rPr>
          <w:color w:val="231F20"/>
          <w:spacing w:val="-4"/>
          <w:w w:val="105"/>
        </w:rPr>
        <w:t>longer. </w:t>
      </w:r>
      <w:r>
        <w:rPr>
          <w:color w:val="231F20"/>
          <w:w w:val="105"/>
        </w:rPr>
        <w:t>DNA fingerprinting can</w:t>
      </w:r>
      <w:r>
        <w:rPr>
          <w:color w:val="231F20"/>
          <w:spacing w:val="-13"/>
          <w:w w:val="105"/>
        </w:rPr>
        <w:t> </w:t>
      </w:r>
      <w:r>
        <w:rPr>
          <w:color w:val="231F20"/>
          <w:w w:val="105"/>
        </w:rPr>
        <w:t>be</w:t>
      </w:r>
      <w:r>
        <w:rPr>
          <w:color w:val="231F20"/>
          <w:spacing w:val="-13"/>
          <w:w w:val="105"/>
        </w:rPr>
        <w:t> </w:t>
      </w:r>
      <w:r>
        <w:rPr>
          <w:color w:val="231F20"/>
          <w:w w:val="105"/>
        </w:rPr>
        <w:t>accomplished</w:t>
      </w:r>
      <w:r>
        <w:rPr>
          <w:color w:val="231F20"/>
          <w:spacing w:val="-13"/>
          <w:w w:val="105"/>
        </w:rPr>
        <w:t> </w:t>
      </w:r>
      <w:r>
        <w:rPr>
          <w:color w:val="231F20"/>
          <w:w w:val="105"/>
        </w:rPr>
        <w:t>in</w:t>
      </w:r>
      <w:r>
        <w:rPr>
          <w:color w:val="231F20"/>
          <w:spacing w:val="-13"/>
          <w:w w:val="105"/>
        </w:rPr>
        <w:t> </w:t>
      </w:r>
      <w:r>
        <w:rPr>
          <w:color w:val="231F20"/>
          <w:w w:val="105"/>
        </w:rPr>
        <w:t>2</w:t>
      </w:r>
      <w:r>
        <w:rPr>
          <w:color w:val="231F20"/>
          <w:spacing w:val="-13"/>
          <w:w w:val="105"/>
        </w:rPr>
        <w:t> </w:t>
      </w:r>
      <w:r>
        <w:rPr>
          <w:color w:val="231F20"/>
          <w:w w:val="105"/>
        </w:rPr>
        <w:t>working</w:t>
      </w:r>
      <w:r>
        <w:rPr>
          <w:color w:val="231F20"/>
          <w:spacing w:val="-12"/>
          <w:w w:val="105"/>
        </w:rPr>
        <w:t> </w:t>
      </w:r>
      <w:r>
        <w:rPr>
          <w:color w:val="231F20"/>
          <w:w w:val="105"/>
        </w:rPr>
        <w:t>days</w:t>
      </w:r>
      <w:r>
        <w:rPr>
          <w:color w:val="231F20"/>
          <w:spacing w:val="-13"/>
          <w:w w:val="105"/>
        </w:rPr>
        <w:t> </w:t>
      </w:r>
      <w:r>
        <w:rPr>
          <w:color w:val="231F20"/>
          <w:w w:val="105"/>
        </w:rPr>
        <w:t>(24 hours). </w:t>
      </w:r>
      <w:r>
        <w:rPr>
          <w:color w:val="231F20"/>
          <w:spacing w:val="-4"/>
          <w:w w:val="105"/>
        </w:rPr>
        <w:t>However, </w:t>
      </w:r>
      <w:r>
        <w:rPr>
          <w:color w:val="231F20"/>
          <w:w w:val="105"/>
        </w:rPr>
        <w:t>many public health labs </w:t>
      </w:r>
      <w:r>
        <w:rPr>
          <w:color w:val="231F20"/>
          <w:spacing w:val="-3"/>
          <w:w w:val="105"/>
        </w:rPr>
        <w:t>have</w:t>
      </w:r>
      <w:r>
        <w:rPr>
          <w:color w:val="231F20"/>
          <w:spacing w:val="-13"/>
          <w:w w:val="105"/>
        </w:rPr>
        <w:t> </w:t>
      </w:r>
      <w:r>
        <w:rPr>
          <w:color w:val="231F20"/>
          <w:w w:val="105"/>
        </w:rPr>
        <w:t>limited</w:t>
      </w:r>
      <w:r>
        <w:rPr>
          <w:color w:val="231F20"/>
          <w:spacing w:val="-13"/>
          <w:w w:val="105"/>
        </w:rPr>
        <w:t> </w:t>
      </w:r>
      <w:r>
        <w:rPr>
          <w:color w:val="231F20"/>
          <w:w w:val="105"/>
        </w:rPr>
        <w:t>staff</w:t>
      </w:r>
      <w:r>
        <w:rPr>
          <w:color w:val="231F20"/>
          <w:spacing w:val="-13"/>
          <w:w w:val="105"/>
        </w:rPr>
        <w:t> </w:t>
      </w:r>
      <w:r>
        <w:rPr>
          <w:color w:val="231F20"/>
          <w:w w:val="105"/>
        </w:rPr>
        <w:t>and</w:t>
      </w:r>
      <w:r>
        <w:rPr>
          <w:color w:val="231F20"/>
          <w:spacing w:val="-13"/>
          <w:w w:val="105"/>
        </w:rPr>
        <w:t> </w:t>
      </w:r>
      <w:r>
        <w:rPr>
          <w:color w:val="231F20"/>
          <w:w w:val="105"/>
        </w:rPr>
        <w:t>space</w:t>
      </w:r>
      <w:r>
        <w:rPr>
          <w:color w:val="231F20"/>
          <w:spacing w:val="-13"/>
          <w:w w:val="105"/>
        </w:rPr>
        <w:t> </w:t>
      </w:r>
      <w:r>
        <w:rPr>
          <w:color w:val="231F20"/>
          <w:w w:val="105"/>
        </w:rPr>
        <w:t>and</w:t>
      </w:r>
      <w:r>
        <w:rPr>
          <w:color w:val="231F20"/>
          <w:spacing w:val="-13"/>
          <w:w w:val="105"/>
        </w:rPr>
        <w:t> </w:t>
      </w:r>
      <w:r>
        <w:rPr>
          <w:color w:val="231F20"/>
          <w:w w:val="105"/>
        </w:rPr>
        <w:t>experience multiple emergencies </w:t>
      </w:r>
      <w:r>
        <w:rPr>
          <w:color w:val="231F20"/>
          <w:spacing w:val="-3"/>
          <w:w w:val="105"/>
        </w:rPr>
        <w:t>simultaneously. </w:t>
      </w:r>
      <w:r>
        <w:rPr>
          <w:color w:val="231F20"/>
          <w:w w:val="105"/>
        </w:rPr>
        <w:t>In practice, serotyping and PFGE subtyping may take several days to several weeks; faster</w:t>
      </w:r>
      <w:r>
        <w:rPr>
          <w:color w:val="231F20"/>
          <w:spacing w:val="-13"/>
          <w:w w:val="105"/>
        </w:rPr>
        <w:t> </w:t>
      </w:r>
      <w:r>
        <w:rPr>
          <w:color w:val="231F20"/>
          <w:w w:val="105"/>
        </w:rPr>
        <w:t>turnarounds</w:t>
      </w:r>
      <w:r>
        <w:rPr>
          <w:color w:val="231F20"/>
          <w:spacing w:val="-13"/>
          <w:w w:val="105"/>
        </w:rPr>
        <w:t> </w:t>
      </w:r>
      <w:r>
        <w:rPr>
          <w:color w:val="231F20"/>
          <w:w w:val="105"/>
        </w:rPr>
        <w:t>are</w:t>
      </w:r>
      <w:r>
        <w:rPr>
          <w:color w:val="231F20"/>
          <w:spacing w:val="-13"/>
          <w:w w:val="105"/>
        </w:rPr>
        <w:t> </w:t>
      </w:r>
      <w:r>
        <w:rPr>
          <w:color w:val="231F20"/>
          <w:w w:val="105"/>
        </w:rPr>
        <w:t>highly</w:t>
      </w:r>
      <w:r>
        <w:rPr>
          <w:color w:val="231F20"/>
          <w:spacing w:val="-13"/>
          <w:w w:val="105"/>
        </w:rPr>
        <w:t> </w:t>
      </w:r>
      <w:r>
        <w:rPr>
          <w:color w:val="231F20"/>
          <w:w w:val="105"/>
        </w:rPr>
        <w:t>desirable.</w:t>
      </w:r>
      <w:r>
        <w:rPr>
          <w:color w:val="231F20"/>
          <w:spacing w:val="-13"/>
          <w:w w:val="105"/>
        </w:rPr>
        <w:t> </w:t>
      </w:r>
      <w:r>
        <w:rPr>
          <w:color w:val="231F20"/>
          <w:w w:val="105"/>
        </w:rPr>
        <w:t>The transition</w:t>
      </w:r>
      <w:r>
        <w:rPr>
          <w:color w:val="231F20"/>
          <w:spacing w:val="-28"/>
          <w:w w:val="105"/>
        </w:rPr>
        <w:t> </w:t>
      </w:r>
      <w:r>
        <w:rPr>
          <w:color w:val="231F20"/>
          <w:w w:val="105"/>
        </w:rPr>
        <w:t>to</w:t>
      </w:r>
      <w:r>
        <w:rPr>
          <w:color w:val="231F20"/>
          <w:spacing w:val="-27"/>
          <w:w w:val="105"/>
        </w:rPr>
        <w:t> </w:t>
      </w:r>
      <w:r>
        <w:rPr>
          <w:color w:val="231F20"/>
          <w:w w:val="105"/>
        </w:rPr>
        <w:t>whole</w:t>
      </w:r>
      <w:r>
        <w:rPr>
          <w:color w:val="231F20"/>
          <w:spacing w:val="-27"/>
          <w:w w:val="105"/>
        </w:rPr>
        <w:t> </w:t>
      </w:r>
      <w:r>
        <w:rPr>
          <w:color w:val="231F20"/>
          <w:w w:val="105"/>
        </w:rPr>
        <w:t>genome</w:t>
      </w:r>
      <w:r>
        <w:rPr>
          <w:color w:val="231F20"/>
          <w:spacing w:val="-27"/>
          <w:w w:val="105"/>
        </w:rPr>
        <w:t> </w:t>
      </w:r>
      <w:r>
        <w:rPr>
          <w:color w:val="231F20"/>
          <w:w w:val="105"/>
        </w:rPr>
        <w:t>sequencing</w:t>
      </w:r>
      <w:r>
        <w:rPr>
          <w:color w:val="231F20"/>
          <w:spacing w:val="-27"/>
          <w:w w:val="105"/>
        </w:rPr>
        <w:t> </w:t>
      </w:r>
      <w:r>
        <w:rPr>
          <w:color w:val="231F20"/>
          <w:w w:val="105"/>
        </w:rPr>
        <w:t>for</w:t>
      </w:r>
    </w:p>
    <w:p>
      <w:pPr>
        <w:spacing w:after="0" w:line="266" w:lineRule="auto"/>
        <w:sectPr>
          <w:type w:val="continuous"/>
          <w:pgSz w:w="10080" w:h="14400"/>
          <w:pgMar w:top="0" w:bottom="0" w:left="0" w:right="0"/>
          <w:cols w:num="2" w:equalWidth="0">
            <w:col w:w="5176" w:space="40"/>
            <w:col w:w="4864"/>
          </w:cols>
        </w:sectPr>
      </w:pPr>
    </w:p>
    <w:p>
      <w:pPr>
        <w:pStyle w:val="BodyText"/>
        <w:spacing w:before="8"/>
        <w:rPr>
          <w:sz w:val="26"/>
        </w:rPr>
      </w:pPr>
    </w:p>
    <w:p>
      <w:pPr>
        <w:pStyle w:val="Heading1"/>
        <w:numPr>
          <w:ilvl w:val="1"/>
          <w:numId w:val="8"/>
        </w:numPr>
        <w:tabs>
          <w:tab w:pos="1265" w:val="left" w:leader="none"/>
        </w:tabs>
        <w:spacing w:line="240" w:lineRule="auto" w:before="89" w:after="0"/>
        <w:ind w:left="1264" w:right="0" w:hanging="544"/>
        <w:jc w:val="left"/>
      </w:pPr>
      <w:r>
        <w:rPr/>
        <w:pict>
          <v:line style="position:absolute;mso-position-horizontal-relative:page;mso-position-vertical-relative:paragraph;z-index:2488;mso-wrap-distance-left:0;mso-wrap-distance-right:0" from="36pt,23.995163pt" to="432pt,23.995163pt" stroked="true" strokeweight=".5pt" strokecolor="#00a94f">
            <v:stroke dashstyle="solid"/>
            <w10:wrap type="topAndBottom"/>
          </v:line>
        </w:pict>
      </w:r>
      <w:r>
        <w:rPr>
          <w:color w:val="00A94F"/>
          <w:w w:val="95"/>
        </w:rPr>
        <w:t>Pathogen-Specific</w:t>
      </w:r>
      <w:r>
        <w:rPr>
          <w:color w:val="00A94F"/>
          <w:spacing w:val="-36"/>
          <w:w w:val="95"/>
        </w:rPr>
        <w:t> </w:t>
      </w:r>
      <w:r>
        <w:rPr>
          <w:color w:val="00A94F"/>
          <w:w w:val="95"/>
        </w:rPr>
        <w:t>Surveillance</w:t>
      </w:r>
    </w:p>
    <w:p>
      <w:pPr>
        <w:pStyle w:val="BodyText"/>
        <w:spacing w:before="7"/>
        <w:rPr>
          <w:rFonts w:ascii="Lucida Sans"/>
          <w:sz w:val="17"/>
        </w:rPr>
      </w:pPr>
    </w:p>
    <w:p>
      <w:pPr>
        <w:spacing w:after="0"/>
        <w:rPr>
          <w:rFonts w:ascii="Lucida Sans"/>
          <w:sz w:val="17"/>
        </w:rPr>
        <w:sectPr>
          <w:pgSz w:w="10080" w:h="14400"/>
          <w:pgMar w:header="0" w:footer="0" w:top="980" w:bottom="280" w:left="0" w:right="0"/>
        </w:sectPr>
      </w:pPr>
    </w:p>
    <w:p>
      <w:pPr>
        <w:pStyle w:val="BodyText"/>
        <w:spacing w:line="266" w:lineRule="auto" w:before="108"/>
        <w:ind w:left="970" w:right="-4"/>
      </w:pPr>
      <w:r>
        <w:rPr>
          <w:color w:val="231F20"/>
        </w:rPr>
        <w:t>subtyping and serotyping will likely reduce turnaround time for this process.</w:t>
      </w:r>
    </w:p>
    <w:p>
      <w:pPr>
        <w:pStyle w:val="BodyText"/>
        <w:spacing w:line="266" w:lineRule="auto" w:before="90"/>
        <w:ind w:left="720" w:right="746"/>
        <w:jc w:val="both"/>
      </w:pPr>
      <w:r>
        <w:rPr>
          <w:color w:val="231F20"/>
        </w:rPr>
        <w:t>The total time from onset of illness to confirmation of the case as part of an outbreak is typically 2–3  weeks.</w:t>
      </w:r>
    </w:p>
    <w:p>
      <w:pPr>
        <w:pStyle w:val="ListParagraph"/>
        <w:numPr>
          <w:ilvl w:val="2"/>
          <w:numId w:val="8"/>
        </w:numPr>
        <w:tabs>
          <w:tab w:pos="1276" w:val="left" w:leader="none"/>
        </w:tabs>
        <w:spacing w:line="254" w:lineRule="auto" w:before="159" w:after="0"/>
        <w:ind w:left="720" w:right="442" w:firstLine="0"/>
        <w:jc w:val="left"/>
        <w:rPr>
          <w:rFonts w:ascii="Lucida Sans"/>
          <w:sz w:val="20"/>
        </w:rPr>
      </w:pPr>
      <w:r>
        <w:rPr>
          <w:rFonts w:ascii="Lucida Sans"/>
          <w:color w:val="1C3E94"/>
          <w:w w:val="95"/>
          <w:sz w:val="20"/>
        </w:rPr>
        <w:t>Strengths of</w:t>
      </w:r>
      <w:r>
        <w:rPr>
          <w:rFonts w:ascii="Lucida Sans"/>
          <w:color w:val="1C3E94"/>
          <w:spacing w:val="-29"/>
          <w:w w:val="95"/>
          <w:sz w:val="20"/>
        </w:rPr>
        <w:t> </w:t>
      </w:r>
      <w:r>
        <w:rPr>
          <w:rFonts w:ascii="Lucida Sans"/>
          <w:color w:val="1C3E94"/>
          <w:w w:val="95"/>
          <w:sz w:val="20"/>
        </w:rPr>
        <w:t>Pathogen-Specific Surveillance</w:t>
      </w:r>
      <w:r>
        <w:rPr>
          <w:rFonts w:ascii="Lucida Sans"/>
          <w:color w:val="1C3E94"/>
          <w:spacing w:val="-18"/>
          <w:w w:val="95"/>
          <w:sz w:val="20"/>
        </w:rPr>
        <w:t> </w:t>
      </w:r>
      <w:r>
        <w:rPr>
          <w:rFonts w:ascii="Lucida Sans"/>
          <w:color w:val="1C3E94"/>
          <w:w w:val="95"/>
          <w:sz w:val="20"/>
        </w:rPr>
        <w:t>for</w:t>
      </w:r>
      <w:r>
        <w:rPr>
          <w:rFonts w:ascii="Lucida Sans"/>
          <w:color w:val="1C3E94"/>
          <w:spacing w:val="-18"/>
          <w:w w:val="95"/>
          <w:sz w:val="20"/>
        </w:rPr>
        <w:t> </w:t>
      </w:r>
      <w:r>
        <w:rPr>
          <w:rFonts w:ascii="Lucida Sans"/>
          <w:color w:val="1C3E94"/>
          <w:w w:val="95"/>
          <w:sz w:val="20"/>
        </w:rPr>
        <w:t>Outbreak</w:t>
      </w:r>
      <w:r>
        <w:rPr>
          <w:rFonts w:ascii="Lucida Sans"/>
          <w:color w:val="1C3E94"/>
          <w:spacing w:val="-18"/>
          <w:w w:val="95"/>
          <w:sz w:val="20"/>
        </w:rPr>
        <w:t> </w:t>
      </w:r>
      <w:r>
        <w:rPr>
          <w:rFonts w:ascii="Lucida Sans"/>
          <w:color w:val="1C3E94"/>
          <w:w w:val="95"/>
          <w:sz w:val="20"/>
        </w:rPr>
        <w:t>Detection</w:t>
      </w:r>
    </w:p>
    <w:p>
      <w:pPr>
        <w:pStyle w:val="BodyText"/>
        <w:spacing w:before="1"/>
        <w:rPr>
          <w:rFonts w:ascii="Lucida Sans"/>
          <w:sz w:val="17"/>
        </w:rPr>
      </w:pPr>
    </w:p>
    <w:p>
      <w:pPr>
        <w:pStyle w:val="ListParagraph"/>
        <w:numPr>
          <w:ilvl w:val="1"/>
          <w:numId w:val="7"/>
        </w:numPr>
        <w:tabs>
          <w:tab w:pos="891" w:val="left" w:leader="none"/>
        </w:tabs>
        <w:spacing w:line="266" w:lineRule="auto" w:before="0" w:after="0"/>
        <w:ind w:left="890" w:right="109" w:hanging="170"/>
        <w:jc w:val="left"/>
        <w:rPr>
          <w:sz w:val="20"/>
        </w:rPr>
      </w:pPr>
      <w:r>
        <w:rPr>
          <w:color w:val="231F20"/>
          <w:w w:val="105"/>
          <w:sz w:val="20"/>
        </w:rPr>
        <w:t>Permits detection of widespread disease clusters initially linked only </w:t>
      </w:r>
      <w:r>
        <w:rPr>
          <w:color w:val="231F20"/>
          <w:spacing w:val="-3"/>
          <w:w w:val="105"/>
          <w:sz w:val="20"/>
        </w:rPr>
        <w:t>by </w:t>
      </w:r>
      <w:r>
        <w:rPr>
          <w:color w:val="231F20"/>
          <w:w w:val="105"/>
          <w:sz w:val="20"/>
        </w:rPr>
        <w:t>a common agent. Most national and international foodborne</w:t>
      </w:r>
      <w:r>
        <w:rPr>
          <w:color w:val="231F20"/>
          <w:spacing w:val="-15"/>
          <w:w w:val="105"/>
          <w:sz w:val="20"/>
        </w:rPr>
        <w:t> </w:t>
      </w:r>
      <w:r>
        <w:rPr>
          <w:color w:val="231F20"/>
          <w:w w:val="105"/>
          <w:sz w:val="20"/>
        </w:rPr>
        <w:t>disease</w:t>
      </w:r>
      <w:r>
        <w:rPr>
          <w:color w:val="231F20"/>
          <w:spacing w:val="-15"/>
          <w:w w:val="105"/>
          <w:sz w:val="20"/>
        </w:rPr>
        <w:t> </w:t>
      </w:r>
      <w:r>
        <w:rPr>
          <w:color w:val="231F20"/>
          <w:w w:val="105"/>
          <w:sz w:val="20"/>
        </w:rPr>
        <w:t>outbreaks</w:t>
      </w:r>
      <w:r>
        <w:rPr>
          <w:color w:val="231F20"/>
          <w:spacing w:val="-16"/>
          <w:w w:val="105"/>
          <w:sz w:val="20"/>
        </w:rPr>
        <w:t> </w:t>
      </w:r>
      <w:r>
        <w:rPr>
          <w:color w:val="231F20"/>
          <w:w w:val="105"/>
          <w:sz w:val="20"/>
        </w:rPr>
        <w:t>are</w:t>
      </w:r>
      <w:r>
        <w:rPr>
          <w:color w:val="231F20"/>
          <w:spacing w:val="-15"/>
          <w:w w:val="105"/>
          <w:sz w:val="20"/>
        </w:rPr>
        <w:t> </w:t>
      </w:r>
      <w:r>
        <w:rPr>
          <w:color w:val="231F20"/>
          <w:w w:val="105"/>
          <w:sz w:val="20"/>
        </w:rPr>
        <w:t>detected</w:t>
      </w:r>
      <w:r>
        <w:rPr>
          <w:color w:val="231F20"/>
          <w:spacing w:val="-15"/>
          <w:w w:val="105"/>
          <w:sz w:val="20"/>
        </w:rPr>
        <w:t> </w:t>
      </w:r>
      <w:r>
        <w:rPr>
          <w:color w:val="231F20"/>
          <w:w w:val="105"/>
          <w:sz w:val="20"/>
        </w:rPr>
        <w:t>in this</w:t>
      </w:r>
      <w:r>
        <w:rPr>
          <w:color w:val="231F20"/>
          <w:spacing w:val="-2"/>
          <w:w w:val="105"/>
          <w:sz w:val="20"/>
        </w:rPr>
        <w:t> </w:t>
      </w:r>
      <w:r>
        <w:rPr>
          <w:color w:val="231F20"/>
          <w:spacing w:val="-4"/>
          <w:w w:val="105"/>
          <w:sz w:val="20"/>
        </w:rPr>
        <w:t>manner.</w:t>
      </w:r>
    </w:p>
    <w:p>
      <w:pPr>
        <w:pStyle w:val="ListParagraph"/>
        <w:numPr>
          <w:ilvl w:val="1"/>
          <w:numId w:val="7"/>
        </w:numPr>
        <w:tabs>
          <w:tab w:pos="891" w:val="left" w:leader="none"/>
        </w:tabs>
        <w:spacing w:line="266" w:lineRule="auto" w:before="89" w:after="0"/>
        <w:ind w:left="890" w:right="79" w:hanging="170"/>
        <w:jc w:val="left"/>
        <w:rPr>
          <w:sz w:val="20"/>
        </w:rPr>
      </w:pPr>
      <w:r>
        <w:rPr>
          <w:color w:val="231F20"/>
          <w:w w:val="105"/>
          <w:sz w:val="20"/>
        </w:rPr>
        <w:t>When combined with case information from</w:t>
      </w:r>
      <w:r>
        <w:rPr>
          <w:color w:val="231F20"/>
          <w:spacing w:val="-23"/>
          <w:w w:val="105"/>
          <w:sz w:val="20"/>
        </w:rPr>
        <w:t> </w:t>
      </w:r>
      <w:r>
        <w:rPr>
          <w:color w:val="231F20"/>
          <w:w w:val="105"/>
          <w:sz w:val="20"/>
        </w:rPr>
        <w:t>clusters</w:t>
      </w:r>
      <w:r>
        <w:rPr>
          <w:color w:val="231F20"/>
          <w:spacing w:val="-23"/>
          <w:w w:val="105"/>
          <w:sz w:val="20"/>
        </w:rPr>
        <w:t> </w:t>
      </w:r>
      <w:r>
        <w:rPr>
          <w:color w:val="231F20"/>
          <w:w w:val="105"/>
          <w:sz w:val="20"/>
        </w:rPr>
        <w:t>recognized</w:t>
      </w:r>
      <w:r>
        <w:rPr>
          <w:color w:val="231F20"/>
          <w:spacing w:val="-23"/>
          <w:w w:val="105"/>
          <w:sz w:val="20"/>
        </w:rPr>
        <w:t> </w:t>
      </w:r>
      <w:r>
        <w:rPr>
          <w:color w:val="231F20"/>
          <w:w w:val="105"/>
          <w:sz w:val="20"/>
        </w:rPr>
        <w:t>though</w:t>
      </w:r>
      <w:r>
        <w:rPr>
          <w:color w:val="231F20"/>
          <w:spacing w:val="-23"/>
          <w:w w:val="105"/>
          <w:sz w:val="20"/>
        </w:rPr>
        <w:t> </w:t>
      </w:r>
      <w:r>
        <w:rPr>
          <w:color w:val="231F20"/>
          <w:w w:val="105"/>
          <w:sz w:val="20"/>
        </w:rPr>
        <w:t>complaints (section 4.3), and when specific exposure information is obtained, is arguably the most sensitive single method for detecting unforeseen problems in food and water supply systems caused </w:t>
      </w:r>
      <w:r>
        <w:rPr>
          <w:color w:val="231F20"/>
          <w:spacing w:val="-3"/>
          <w:w w:val="105"/>
          <w:sz w:val="20"/>
        </w:rPr>
        <w:t>by </w:t>
      </w:r>
      <w:r>
        <w:rPr>
          <w:color w:val="231F20"/>
          <w:w w:val="105"/>
          <w:sz w:val="20"/>
        </w:rPr>
        <w:t>the agents under surveillance. The specificity of agent or syndrome information combined with specific exposure information obtained </w:t>
      </w:r>
      <w:r>
        <w:rPr>
          <w:color w:val="231F20"/>
          <w:spacing w:val="-3"/>
          <w:w w:val="105"/>
          <w:sz w:val="20"/>
        </w:rPr>
        <w:t>by </w:t>
      </w:r>
      <w:r>
        <w:rPr>
          <w:color w:val="231F20"/>
          <w:w w:val="105"/>
          <w:sz w:val="20"/>
        </w:rPr>
        <w:t>interviews</w:t>
      </w:r>
      <w:r>
        <w:rPr>
          <w:color w:val="231F20"/>
          <w:spacing w:val="-23"/>
          <w:w w:val="105"/>
          <w:sz w:val="20"/>
        </w:rPr>
        <w:t> </w:t>
      </w:r>
      <w:r>
        <w:rPr>
          <w:color w:val="231F20"/>
          <w:w w:val="105"/>
          <w:sz w:val="20"/>
        </w:rPr>
        <w:t>enables</w:t>
      </w:r>
      <w:r>
        <w:rPr>
          <w:color w:val="231F20"/>
          <w:spacing w:val="-24"/>
          <w:w w:val="105"/>
          <w:sz w:val="20"/>
        </w:rPr>
        <w:t> </w:t>
      </w:r>
      <w:r>
        <w:rPr>
          <w:color w:val="231F20"/>
          <w:w w:val="105"/>
          <w:sz w:val="20"/>
        </w:rPr>
        <w:t>the</w:t>
      </w:r>
      <w:r>
        <w:rPr>
          <w:color w:val="231F20"/>
          <w:spacing w:val="-24"/>
          <w:w w:val="105"/>
          <w:sz w:val="20"/>
        </w:rPr>
        <w:t> </w:t>
      </w:r>
      <w:r>
        <w:rPr>
          <w:color w:val="231F20"/>
          <w:w w:val="105"/>
          <w:sz w:val="20"/>
        </w:rPr>
        <w:t>positive</w:t>
      </w:r>
      <w:r>
        <w:rPr>
          <w:color w:val="231F20"/>
          <w:spacing w:val="-23"/>
          <w:w w:val="105"/>
          <w:sz w:val="20"/>
        </w:rPr>
        <w:t> </w:t>
      </w:r>
      <w:r>
        <w:rPr>
          <w:color w:val="231F20"/>
          <w:w w:val="105"/>
          <w:sz w:val="20"/>
        </w:rPr>
        <w:t>association</w:t>
      </w:r>
      <w:r>
        <w:rPr>
          <w:color w:val="231F20"/>
          <w:spacing w:val="-24"/>
          <w:w w:val="105"/>
          <w:sz w:val="20"/>
        </w:rPr>
        <w:t> </w:t>
      </w:r>
      <w:r>
        <w:rPr>
          <w:color w:val="231F20"/>
          <w:w w:val="105"/>
          <w:sz w:val="20"/>
        </w:rPr>
        <w:t>of small</w:t>
      </w:r>
      <w:r>
        <w:rPr>
          <w:color w:val="231F20"/>
          <w:spacing w:val="-20"/>
          <w:w w:val="105"/>
          <w:sz w:val="20"/>
        </w:rPr>
        <w:t> </w:t>
      </w:r>
      <w:r>
        <w:rPr>
          <w:color w:val="231F20"/>
          <w:w w:val="105"/>
          <w:sz w:val="20"/>
        </w:rPr>
        <w:t>numbers</w:t>
      </w:r>
      <w:r>
        <w:rPr>
          <w:color w:val="231F20"/>
          <w:spacing w:val="-21"/>
          <w:w w:val="105"/>
          <w:sz w:val="20"/>
        </w:rPr>
        <w:t> </w:t>
      </w:r>
      <w:r>
        <w:rPr>
          <w:color w:val="231F20"/>
          <w:w w:val="105"/>
          <w:sz w:val="20"/>
        </w:rPr>
        <w:t>of</w:t>
      </w:r>
      <w:r>
        <w:rPr>
          <w:color w:val="231F20"/>
          <w:spacing w:val="-2"/>
          <w:w w:val="105"/>
          <w:sz w:val="20"/>
        </w:rPr>
        <w:t> </w:t>
      </w:r>
      <w:r>
        <w:rPr>
          <w:color w:val="231F20"/>
          <w:w w:val="105"/>
          <w:sz w:val="20"/>
        </w:rPr>
        <w:t>cases</w:t>
      </w:r>
      <w:r>
        <w:rPr>
          <w:color w:val="231F20"/>
          <w:spacing w:val="-20"/>
          <w:w w:val="105"/>
          <w:sz w:val="20"/>
        </w:rPr>
        <w:t> </w:t>
      </w:r>
      <w:r>
        <w:rPr>
          <w:color w:val="231F20"/>
          <w:w w:val="105"/>
          <w:sz w:val="20"/>
        </w:rPr>
        <w:t>with</w:t>
      </w:r>
      <w:r>
        <w:rPr>
          <w:color w:val="231F20"/>
          <w:spacing w:val="-20"/>
          <w:w w:val="105"/>
          <w:sz w:val="20"/>
        </w:rPr>
        <w:t> </w:t>
      </w:r>
      <w:r>
        <w:rPr>
          <w:color w:val="231F20"/>
          <w:w w:val="105"/>
          <w:sz w:val="20"/>
        </w:rPr>
        <w:t>exposures.</w:t>
      </w:r>
    </w:p>
    <w:p>
      <w:pPr>
        <w:pStyle w:val="ListParagraph"/>
        <w:numPr>
          <w:ilvl w:val="2"/>
          <w:numId w:val="8"/>
        </w:numPr>
        <w:tabs>
          <w:tab w:pos="1276" w:val="left" w:leader="none"/>
        </w:tabs>
        <w:spacing w:line="254" w:lineRule="auto" w:before="158" w:after="0"/>
        <w:ind w:left="720" w:right="328" w:firstLine="0"/>
        <w:jc w:val="left"/>
        <w:rPr>
          <w:rFonts w:ascii="Lucida Sans"/>
          <w:sz w:val="20"/>
        </w:rPr>
      </w:pPr>
      <w:r>
        <w:rPr>
          <w:rFonts w:ascii="Lucida Sans"/>
          <w:color w:val="1C3E94"/>
          <w:w w:val="95"/>
          <w:sz w:val="20"/>
        </w:rPr>
        <w:t>Limitations</w:t>
      </w:r>
      <w:r>
        <w:rPr>
          <w:rFonts w:ascii="Lucida Sans"/>
          <w:color w:val="1C3E94"/>
          <w:spacing w:val="-28"/>
          <w:w w:val="95"/>
          <w:sz w:val="20"/>
        </w:rPr>
        <w:t> </w:t>
      </w:r>
      <w:r>
        <w:rPr>
          <w:rFonts w:ascii="Lucida Sans"/>
          <w:color w:val="1C3E94"/>
          <w:w w:val="95"/>
          <w:sz w:val="20"/>
        </w:rPr>
        <w:t>of</w:t>
      </w:r>
      <w:r>
        <w:rPr>
          <w:rFonts w:ascii="Lucida Sans"/>
          <w:color w:val="1C3E94"/>
          <w:spacing w:val="-28"/>
          <w:w w:val="95"/>
          <w:sz w:val="20"/>
        </w:rPr>
        <w:t> </w:t>
      </w:r>
      <w:r>
        <w:rPr>
          <w:rFonts w:ascii="Lucida Sans"/>
          <w:color w:val="1C3E94"/>
          <w:w w:val="95"/>
          <w:sz w:val="20"/>
        </w:rPr>
        <w:t>Pathogen-Specific </w:t>
      </w:r>
      <w:r>
        <w:rPr>
          <w:rFonts w:ascii="Lucida Sans"/>
          <w:color w:val="1C3E94"/>
          <w:sz w:val="20"/>
        </w:rPr>
        <w:t>Surveillance</w:t>
      </w:r>
    </w:p>
    <w:p>
      <w:pPr>
        <w:pStyle w:val="BodyText"/>
        <w:rPr>
          <w:rFonts w:ascii="Lucida Sans"/>
          <w:sz w:val="17"/>
        </w:rPr>
      </w:pPr>
    </w:p>
    <w:p>
      <w:pPr>
        <w:pStyle w:val="ListParagraph"/>
        <w:numPr>
          <w:ilvl w:val="1"/>
          <w:numId w:val="7"/>
        </w:numPr>
        <w:tabs>
          <w:tab w:pos="891" w:val="left" w:leader="none"/>
        </w:tabs>
        <w:spacing w:line="266" w:lineRule="auto" w:before="0" w:after="0"/>
        <w:ind w:left="890" w:right="174" w:hanging="170"/>
        <w:jc w:val="left"/>
        <w:rPr>
          <w:sz w:val="20"/>
        </w:rPr>
      </w:pPr>
      <w:r>
        <w:rPr>
          <w:color w:val="231F20"/>
          <w:spacing w:val="-5"/>
          <w:w w:val="105"/>
          <w:sz w:val="20"/>
        </w:rPr>
        <w:t>Works</w:t>
      </w:r>
      <w:r>
        <w:rPr>
          <w:color w:val="231F20"/>
          <w:spacing w:val="-15"/>
          <w:w w:val="105"/>
          <w:sz w:val="20"/>
        </w:rPr>
        <w:t> </w:t>
      </w:r>
      <w:r>
        <w:rPr>
          <w:color w:val="231F20"/>
          <w:w w:val="105"/>
          <w:sz w:val="20"/>
        </w:rPr>
        <w:t>only</w:t>
      </w:r>
      <w:r>
        <w:rPr>
          <w:color w:val="231F20"/>
          <w:spacing w:val="-16"/>
          <w:w w:val="105"/>
          <w:sz w:val="20"/>
        </w:rPr>
        <w:t> </w:t>
      </w:r>
      <w:r>
        <w:rPr>
          <w:color w:val="231F20"/>
          <w:w w:val="105"/>
          <w:sz w:val="20"/>
        </w:rPr>
        <w:t>for</w:t>
      </w:r>
      <w:r>
        <w:rPr>
          <w:color w:val="231F20"/>
          <w:spacing w:val="-15"/>
          <w:w w:val="105"/>
          <w:sz w:val="20"/>
        </w:rPr>
        <w:t> </w:t>
      </w:r>
      <w:r>
        <w:rPr>
          <w:color w:val="231F20"/>
          <w:w w:val="105"/>
          <w:sz w:val="20"/>
        </w:rPr>
        <w:t>diseases</w:t>
      </w:r>
      <w:r>
        <w:rPr>
          <w:color w:val="231F20"/>
          <w:spacing w:val="-16"/>
          <w:w w:val="105"/>
          <w:sz w:val="20"/>
        </w:rPr>
        <w:t> </w:t>
      </w:r>
      <w:r>
        <w:rPr>
          <w:color w:val="231F20"/>
          <w:w w:val="105"/>
          <w:sz w:val="20"/>
        </w:rPr>
        <w:t>detected</w:t>
      </w:r>
      <w:r>
        <w:rPr>
          <w:color w:val="231F20"/>
          <w:spacing w:val="-15"/>
          <w:w w:val="105"/>
          <w:sz w:val="20"/>
        </w:rPr>
        <w:t> </w:t>
      </w:r>
      <w:r>
        <w:rPr>
          <w:color w:val="231F20"/>
          <w:spacing w:val="-4"/>
          <w:w w:val="105"/>
          <w:sz w:val="20"/>
        </w:rPr>
        <w:t>by</w:t>
      </w:r>
      <w:r>
        <w:rPr>
          <w:color w:val="231F20"/>
          <w:spacing w:val="-16"/>
          <w:w w:val="105"/>
          <w:sz w:val="20"/>
        </w:rPr>
        <w:t> </w:t>
      </w:r>
      <w:r>
        <w:rPr>
          <w:color w:val="231F20"/>
          <w:w w:val="105"/>
          <w:sz w:val="20"/>
        </w:rPr>
        <w:t>routine testing and reported to a public health </w:t>
      </w:r>
      <w:r>
        <w:rPr>
          <w:color w:val="231F20"/>
          <w:spacing w:val="-4"/>
          <w:w w:val="105"/>
          <w:sz w:val="20"/>
        </w:rPr>
        <w:t>agency.</w:t>
      </w:r>
    </w:p>
    <w:p>
      <w:pPr>
        <w:pStyle w:val="ListParagraph"/>
        <w:numPr>
          <w:ilvl w:val="1"/>
          <w:numId w:val="7"/>
        </w:numPr>
        <w:tabs>
          <w:tab w:pos="891" w:val="left" w:leader="none"/>
        </w:tabs>
        <w:spacing w:line="266" w:lineRule="auto" w:before="89" w:after="0"/>
        <w:ind w:left="890" w:right="152" w:hanging="170"/>
        <w:jc w:val="left"/>
        <w:rPr>
          <w:sz w:val="20"/>
        </w:rPr>
      </w:pPr>
      <w:r>
        <w:rPr>
          <w:color w:val="231F20"/>
          <w:w w:val="105"/>
          <w:sz w:val="20"/>
        </w:rPr>
        <w:t>Is</w:t>
      </w:r>
      <w:r>
        <w:rPr>
          <w:color w:val="231F20"/>
          <w:spacing w:val="-15"/>
          <w:w w:val="105"/>
          <w:sz w:val="20"/>
        </w:rPr>
        <w:t> </w:t>
      </w:r>
      <w:r>
        <w:rPr>
          <w:color w:val="231F20"/>
          <w:w w:val="105"/>
          <w:sz w:val="20"/>
        </w:rPr>
        <w:t>relatively</w:t>
      </w:r>
      <w:r>
        <w:rPr>
          <w:color w:val="231F20"/>
          <w:spacing w:val="-15"/>
          <w:w w:val="105"/>
          <w:sz w:val="20"/>
        </w:rPr>
        <w:t> </w:t>
      </w:r>
      <w:r>
        <w:rPr>
          <w:color w:val="231F20"/>
          <w:w w:val="105"/>
          <w:sz w:val="20"/>
        </w:rPr>
        <w:t>slow</w:t>
      </w:r>
      <w:r>
        <w:rPr>
          <w:color w:val="231F20"/>
          <w:spacing w:val="-15"/>
          <w:w w:val="105"/>
          <w:sz w:val="20"/>
        </w:rPr>
        <w:t> </w:t>
      </w:r>
      <w:r>
        <w:rPr>
          <w:color w:val="231F20"/>
          <w:w w:val="105"/>
          <w:sz w:val="20"/>
        </w:rPr>
        <w:t>because</w:t>
      </w:r>
      <w:r>
        <w:rPr>
          <w:color w:val="231F20"/>
          <w:spacing w:val="-15"/>
          <w:w w:val="105"/>
          <w:sz w:val="20"/>
        </w:rPr>
        <w:t> </w:t>
      </w:r>
      <w:r>
        <w:rPr>
          <w:color w:val="231F20"/>
          <w:w w:val="105"/>
          <w:sz w:val="20"/>
        </w:rPr>
        <w:t>of</w:t>
      </w:r>
      <w:r>
        <w:rPr>
          <w:color w:val="231F20"/>
          <w:spacing w:val="7"/>
          <w:w w:val="105"/>
          <w:sz w:val="20"/>
        </w:rPr>
        <w:t> </w:t>
      </w:r>
      <w:r>
        <w:rPr>
          <w:color w:val="231F20"/>
          <w:w w:val="105"/>
          <w:sz w:val="20"/>
        </w:rPr>
        <w:t>the</w:t>
      </w:r>
      <w:r>
        <w:rPr>
          <w:color w:val="231F20"/>
          <w:spacing w:val="-15"/>
          <w:w w:val="105"/>
          <w:sz w:val="20"/>
        </w:rPr>
        <w:t> </w:t>
      </w:r>
      <w:r>
        <w:rPr>
          <w:color w:val="231F20"/>
          <w:w w:val="105"/>
          <w:sz w:val="20"/>
        </w:rPr>
        <w:t>many</w:t>
      </w:r>
      <w:r>
        <w:rPr>
          <w:color w:val="231F20"/>
          <w:spacing w:val="-15"/>
          <w:w w:val="105"/>
          <w:sz w:val="20"/>
        </w:rPr>
        <w:t> </w:t>
      </w:r>
      <w:r>
        <w:rPr>
          <w:color w:val="231F20"/>
          <w:w w:val="105"/>
          <w:sz w:val="20"/>
        </w:rPr>
        <w:t>steps required, as described in figure</w:t>
      </w:r>
      <w:r>
        <w:rPr>
          <w:color w:val="231F20"/>
          <w:spacing w:val="-17"/>
          <w:w w:val="105"/>
          <w:sz w:val="20"/>
        </w:rPr>
        <w:t> </w:t>
      </w:r>
      <w:r>
        <w:rPr>
          <w:color w:val="231F20"/>
          <w:w w:val="105"/>
          <w:sz w:val="20"/>
        </w:rPr>
        <w:t>4.1.</w:t>
      </w:r>
    </w:p>
    <w:p>
      <w:pPr>
        <w:pStyle w:val="ListParagraph"/>
        <w:numPr>
          <w:ilvl w:val="2"/>
          <w:numId w:val="8"/>
        </w:numPr>
        <w:tabs>
          <w:tab w:pos="1276" w:val="left" w:leader="none"/>
        </w:tabs>
        <w:spacing w:line="254" w:lineRule="auto" w:before="159" w:after="0"/>
        <w:ind w:left="720" w:right="409" w:firstLine="0"/>
        <w:jc w:val="left"/>
        <w:rPr>
          <w:rFonts w:ascii="Lucida Sans"/>
          <w:sz w:val="20"/>
        </w:rPr>
      </w:pPr>
      <w:r>
        <w:rPr>
          <w:rFonts w:ascii="Lucida Sans"/>
          <w:color w:val="1C3E94"/>
          <w:w w:val="95"/>
          <w:sz w:val="20"/>
        </w:rPr>
        <w:t>Key</w:t>
      </w:r>
      <w:r>
        <w:rPr>
          <w:rFonts w:ascii="Lucida Sans"/>
          <w:color w:val="1C3E94"/>
          <w:spacing w:val="-28"/>
          <w:w w:val="95"/>
          <w:sz w:val="20"/>
        </w:rPr>
        <w:t> </w:t>
      </w:r>
      <w:r>
        <w:rPr>
          <w:rFonts w:ascii="Lucida Sans"/>
          <w:color w:val="1C3E94"/>
          <w:w w:val="95"/>
          <w:sz w:val="20"/>
        </w:rPr>
        <w:t>Determinants</w:t>
      </w:r>
      <w:r>
        <w:rPr>
          <w:rFonts w:ascii="Lucida Sans"/>
          <w:color w:val="1C3E94"/>
          <w:spacing w:val="-28"/>
          <w:w w:val="95"/>
          <w:sz w:val="20"/>
        </w:rPr>
        <w:t> </w:t>
      </w:r>
      <w:r>
        <w:rPr>
          <w:rFonts w:ascii="Lucida Sans"/>
          <w:color w:val="1C3E94"/>
          <w:w w:val="95"/>
          <w:sz w:val="20"/>
        </w:rPr>
        <w:t>of</w:t>
      </w:r>
      <w:r>
        <w:rPr>
          <w:rFonts w:ascii="Lucida Sans"/>
          <w:color w:val="1C3E94"/>
          <w:spacing w:val="-28"/>
          <w:w w:val="95"/>
          <w:sz w:val="20"/>
        </w:rPr>
        <w:t> </w:t>
      </w:r>
      <w:r>
        <w:rPr>
          <w:rFonts w:ascii="Lucida Sans"/>
          <w:color w:val="1C3E94"/>
          <w:w w:val="95"/>
          <w:sz w:val="20"/>
        </w:rPr>
        <w:t>Successful Pathogen-Specific</w:t>
      </w:r>
      <w:r>
        <w:rPr>
          <w:rFonts w:ascii="Lucida Sans"/>
          <w:color w:val="1C3E94"/>
          <w:spacing w:val="-26"/>
          <w:w w:val="95"/>
          <w:sz w:val="20"/>
        </w:rPr>
        <w:t> </w:t>
      </w:r>
      <w:r>
        <w:rPr>
          <w:rFonts w:ascii="Lucida Sans"/>
          <w:color w:val="1C3E94"/>
          <w:w w:val="95"/>
          <w:sz w:val="20"/>
        </w:rPr>
        <w:t>Surveillance</w:t>
      </w:r>
    </w:p>
    <w:p>
      <w:pPr>
        <w:pStyle w:val="BodyText"/>
        <w:spacing w:before="1"/>
        <w:rPr>
          <w:rFonts w:ascii="Lucida Sans"/>
          <w:sz w:val="17"/>
        </w:rPr>
      </w:pPr>
    </w:p>
    <w:p>
      <w:pPr>
        <w:pStyle w:val="BodyText"/>
        <w:spacing w:line="266" w:lineRule="auto"/>
        <w:ind w:left="720" w:right="-5"/>
      </w:pPr>
      <w:r>
        <w:rPr>
          <w:color w:val="231F20"/>
          <w:w w:val="105"/>
        </w:rPr>
        <w:t>The</w:t>
      </w:r>
      <w:r>
        <w:rPr>
          <w:color w:val="231F20"/>
          <w:spacing w:val="-10"/>
          <w:w w:val="105"/>
        </w:rPr>
        <w:t> </w:t>
      </w:r>
      <w:r>
        <w:rPr>
          <w:color w:val="231F20"/>
          <w:w w:val="105"/>
        </w:rPr>
        <w:t>following</w:t>
      </w:r>
      <w:r>
        <w:rPr>
          <w:color w:val="231F20"/>
          <w:spacing w:val="-10"/>
          <w:w w:val="105"/>
        </w:rPr>
        <w:t> </w:t>
      </w:r>
      <w:r>
        <w:rPr>
          <w:color w:val="231F20"/>
          <w:w w:val="105"/>
        </w:rPr>
        <w:t>interrelated</w:t>
      </w:r>
      <w:r>
        <w:rPr>
          <w:color w:val="231F20"/>
          <w:spacing w:val="-11"/>
          <w:w w:val="105"/>
        </w:rPr>
        <w:t> </w:t>
      </w:r>
      <w:r>
        <w:rPr>
          <w:color w:val="231F20"/>
          <w:w w:val="105"/>
        </w:rPr>
        <w:t>factors</w:t>
      </w:r>
      <w:r>
        <w:rPr>
          <w:color w:val="231F20"/>
          <w:spacing w:val="-11"/>
          <w:w w:val="105"/>
        </w:rPr>
        <w:t> </w:t>
      </w:r>
      <w:r>
        <w:rPr>
          <w:color w:val="231F20"/>
          <w:w w:val="105"/>
        </w:rPr>
        <w:t>are</w:t>
      </w:r>
      <w:r>
        <w:rPr>
          <w:color w:val="231F20"/>
          <w:spacing w:val="-10"/>
          <w:w w:val="105"/>
        </w:rPr>
        <w:t> </w:t>
      </w:r>
      <w:r>
        <w:rPr>
          <w:color w:val="231F20"/>
          <w:w w:val="105"/>
        </w:rPr>
        <w:t>critical</w:t>
      </w:r>
      <w:r>
        <w:rPr>
          <w:color w:val="231F20"/>
          <w:spacing w:val="-10"/>
          <w:w w:val="105"/>
        </w:rPr>
        <w:t> </w:t>
      </w:r>
      <w:r>
        <w:rPr>
          <w:color w:val="231F20"/>
          <w:w w:val="105"/>
        </w:rPr>
        <w:t>to understanding the use of surveillance data to identify</w:t>
      </w:r>
      <w:r>
        <w:rPr>
          <w:color w:val="231F20"/>
          <w:spacing w:val="-11"/>
          <w:w w:val="105"/>
        </w:rPr>
        <w:t> </w:t>
      </w:r>
      <w:r>
        <w:rPr>
          <w:color w:val="231F20"/>
          <w:w w:val="105"/>
        </w:rPr>
        <w:t>potential</w:t>
      </w:r>
      <w:r>
        <w:rPr>
          <w:color w:val="231F20"/>
          <w:spacing w:val="-11"/>
          <w:w w:val="105"/>
        </w:rPr>
        <w:t> </w:t>
      </w:r>
      <w:r>
        <w:rPr>
          <w:color w:val="231F20"/>
          <w:w w:val="105"/>
        </w:rPr>
        <w:t>outbreaks</w:t>
      </w:r>
      <w:r>
        <w:rPr>
          <w:color w:val="231F20"/>
          <w:spacing w:val="-12"/>
          <w:w w:val="105"/>
        </w:rPr>
        <w:t> </w:t>
      </w:r>
      <w:r>
        <w:rPr>
          <w:color w:val="231F20"/>
          <w:w w:val="105"/>
        </w:rPr>
        <w:t>and</w:t>
      </w:r>
      <w:r>
        <w:rPr>
          <w:color w:val="231F20"/>
          <w:spacing w:val="-12"/>
          <w:w w:val="105"/>
        </w:rPr>
        <w:t> </w:t>
      </w:r>
      <w:r>
        <w:rPr>
          <w:color w:val="231F20"/>
          <w:w w:val="105"/>
        </w:rPr>
        <w:t>form</w:t>
      </w:r>
      <w:r>
        <w:rPr>
          <w:color w:val="231F20"/>
          <w:spacing w:val="-12"/>
          <w:w w:val="105"/>
        </w:rPr>
        <w:t> </w:t>
      </w:r>
      <w:r>
        <w:rPr>
          <w:color w:val="231F20"/>
          <w:w w:val="105"/>
        </w:rPr>
        <w:t>the</w:t>
      </w:r>
      <w:r>
        <w:rPr>
          <w:color w:val="231F20"/>
          <w:spacing w:val="-12"/>
          <w:w w:val="105"/>
        </w:rPr>
        <w:t> </w:t>
      </w:r>
      <w:r>
        <w:rPr>
          <w:color w:val="231F20"/>
          <w:w w:val="105"/>
        </w:rPr>
        <w:t>basis for best practices of cluster investigations (see Chapter</w:t>
      </w:r>
      <w:r>
        <w:rPr>
          <w:color w:val="231F20"/>
          <w:spacing w:val="3"/>
          <w:w w:val="105"/>
        </w:rPr>
        <w:t> </w:t>
      </w:r>
      <w:r>
        <w:rPr>
          <w:color w:val="231F20"/>
          <w:w w:val="105"/>
        </w:rPr>
        <w:t>5).</w:t>
      </w:r>
    </w:p>
    <w:p>
      <w:pPr>
        <w:pStyle w:val="ListParagraph"/>
        <w:numPr>
          <w:ilvl w:val="3"/>
          <w:numId w:val="8"/>
        </w:numPr>
        <w:tabs>
          <w:tab w:pos="1362" w:val="left" w:leader="none"/>
        </w:tabs>
        <w:spacing w:line="240" w:lineRule="auto" w:before="179" w:after="0"/>
        <w:ind w:left="319" w:right="0" w:firstLine="401"/>
        <w:jc w:val="left"/>
        <w:rPr>
          <w:i/>
          <w:sz w:val="20"/>
        </w:rPr>
      </w:pPr>
      <w:r>
        <w:rPr>
          <w:i/>
          <w:color w:val="E36F1E"/>
          <w:w w:val="105"/>
          <w:sz w:val="20"/>
        </w:rPr>
        <w:t>Sensitivity of case detection</w:t>
      </w:r>
    </w:p>
    <w:p>
      <w:pPr>
        <w:pStyle w:val="BodyText"/>
        <w:spacing w:before="24"/>
        <w:ind w:left="720"/>
      </w:pPr>
      <w:r>
        <w:rPr>
          <w:color w:val="231F20"/>
          <w:w w:val="105"/>
        </w:rPr>
        <w:t>Surveillance represents a sampling of the</w:t>
      </w:r>
    </w:p>
    <w:p>
      <w:pPr>
        <w:pStyle w:val="BodyText"/>
        <w:spacing w:line="256" w:lineRule="auto" w:before="108"/>
        <w:ind w:left="319" w:right="1654"/>
      </w:pPr>
      <w:r>
        <w:rPr/>
        <w:br w:type="column"/>
      </w:r>
      <w:r>
        <w:rPr>
          <w:color w:val="231F20"/>
        </w:rPr>
        <w:t>true population of affected persons because most cases of foodborne disease are not </w:t>
      </w:r>
      <w:r>
        <w:rPr>
          <w:color w:val="231F20"/>
          <w:w w:val="95"/>
        </w:rPr>
        <w:t>diagnosed</w:t>
      </w:r>
      <w:r>
        <w:rPr>
          <w:color w:val="231F20"/>
          <w:spacing w:val="-12"/>
          <w:w w:val="95"/>
        </w:rPr>
        <w:t> </w:t>
      </w:r>
      <w:r>
        <w:rPr>
          <w:color w:val="231F20"/>
          <w:w w:val="95"/>
        </w:rPr>
        <w:t>and</w:t>
      </w:r>
      <w:r>
        <w:rPr>
          <w:color w:val="231F20"/>
          <w:spacing w:val="-13"/>
          <w:w w:val="95"/>
        </w:rPr>
        <w:t> </w:t>
      </w:r>
      <w:r>
        <w:rPr>
          <w:color w:val="231F20"/>
          <w:w w:val="95"/>
        </w:rPr>
        <w:t>reported.</w:t>
      </w:r>
      <w:r>
        <w:rPr>
          <w:color w:val="231F20"/>
          <w:spacing w:val="-12"/>
          <w:w w:val="95"/>
        </w:rPr>
        <w:t> </w:t>
      </w:r>
      <w:r>
        <w:rPr>
          <w:rFonts w:ascii="Bookman Old Style"/>
          <w:b/>
          <w:color w:val="231F20"/>
          <w:w w:val="95"/>
        </w:rPr>
        <w:t>The</w:t>
      </w:r>
      <w:r>
        <w:rPr>
          <w:rFonts w:ascii="Bookman Old Style"/>
          <w:b/>
          <w:color w:val="231F20"/>
          <w:spacing w:val="-33"/>
          <w:w w:val="95"/>
        </w:rPr>
        <w:t> </w:t>
      </w:r>
      <w:r>
        <w:rPr>
          <w:rFonts w:ascii="Bookman Old Style"/>
          <w:b/>
          <w:color w:val="231F20"/>
          <w:w w:val="95"/>
        </w:rPr>
        <w:t>completeness </w:t>
      </w:r>
      <w:r>
        <w:rPr>
          <w:rFonts w:ascii="Bookman Old Style"/>
          <w:b/>
          <w:color w:val="231F20"/>
          <w:w w:val="90"/>
        </w:rPr>
        <w:t>of</w:t>
      </w:r>
      <w:r>
        <w:rPr>
          <w:rFonts w:ascii="Bookman Old Style"/>
          <w:b/>
          <w:color w:val="231F20"/>
          <w:spacing w:val="-33"/>
          <w:w w:val="90"/>
        </w:rPr>
        <w:t> </w:t>
      </w:r>
      <w:r>
        <w:rPr>
          <w:rFonts w:ascii="Bookman Old Style"/>
          <w:b/>
          <w:color w:val="231F20"/>
          <w:w w:val="90"/>
        </w:rPr>
        <w:t>the</w:t>
      </w:r>
      <w:r>
        <w:rPr>
          <w:rFonts w:ascii="Bookman Old Style"/>
          <w:b/>
          <w:color w:val="231F20"/>
          <w:spacing w:val="-44"/>
          <w:w w:val="90"/>
        </w:rPr>
        <w:t> </w:t>
      </w:r>
      <w:r>
        <w:rPr>
          <w:rFonts w:ascii="Bookman Old Style"/>
          <w:b/>
          <w:color w:val="231F20"/>
          <w:w w:val="90"/>
        </w:rPr>
        <w:t>reporting</w:t>
      </w:r>
      <w:r>
        <w:rPr>
          <w:rFonts w:ascii="Bookman Old Style"/>
          <w:b/>
          <w:color w:val="231F20"/>
          <w:spacing w:val="-44"/>
          <w:w w:val="90"/>
        </w:rPr>
        <w:t> </w:t>
      </w:r>
      <w:r>
        <w:rPr>
          <w:rFonts w:ascii="Bookman Old Style"/>
          <w:b/>
          <w:color w:val="231F20"/>
          <w:w w:val="90"/>
        </w:rPr>
        <w:t>and</w:t>
      </w:r>
      <w:r>
        <w:rPr>
          <w:rFonts w:ascii="Bookman Old Style"/>
          <w:b/>
          <w:color w:val="231F20"/>
          <w:spacing w:val="-44"/>
          <w:w w:val="90"/>
        </w:rPr>
        <w:t> </w:t>
      </w:r>
      <w:r>
        <w:rPr>
          <w:rFonts w:ascii="Bookman Old Style"/>
          <w:b/>
          <w:color w:val="231F20"/>
          <w:w w:val="90"/>
        </w:rPr>
        <w:t>isolate</w:t>
      </w:r>
      <w:r>
        <w:rPr>
          <w:rFonts w:ascii="Bookman Old Style"/>
          <w:b/>
          <w:color w:val="231F20"/>
          <w:spacing w:val="-43"/>
          <w:w w:val="90"/>
        </w:rPr>
        <w:t> </w:t>
      </w:r>
      <w:r>
        <w:rPr>
          <w:rFonts w:ascii="Bookman Old Style"/>
          <w:b/>
          <w:color w:val="231F20"/>
          <w:w w:val="90"/>
        </w:rPr>
        <w:t>submission </w:t>
      </w:r>
      <w:r>
        <w:rPr>
          <w:rFonts w:ascii="Bookman Old Style"/>
          <w:b/>
          <w:color w:val="231F20"/>
          <w:w w:val="85"/>
        </w:rPr>
        <w:t>processes</w:t>
      </w:r>
      <w:r>
        <w:rPr>
          <w:rFonts w:ascii="Bookman Old Style"/>
          <w:b/>
          <w:color w:val="231F20"/>
          <w:spacing w:val="-38"/>
          <w:w w:val="85"/>
        </w:rPr>
        <w:t> </w:t>
      </w:r>
      <w:r>
        <w:rPr>
          <w:rFonts w:ascii="Bookman Old Style"/>
          <w:b/>
          <w:color w:val="231F20"/>
          <w:w w:val="85"/>
        </w:rPr>
        <w:t>affects</w:t>
      </w:r>
      <w:r>
        <w:rPr>
          <w:rFonts w:ascii="Bookman Old Style"/>
          <w:b/>
          <w:color w:val="231F20"/>
          <w:spacing w:val="-38"/>
          <w:w w:val="85"/>
        </w:rPr>
        <w:t> </w:t>
      </w:r>
      <w:r>
        <w:rPr>
          <w:rFonts w:ascii="Bookman Old Style"/>
          <w:b/>
          <w:color w:val="231F20"/>
          <w:w w:val="85"/>
        </w:rPr>
        <w:t>the</w:t>
      </w:r>
      <w:r>
        <w:rPr>
          <w:rFonts w:ascii="Bookman Old Style"/>
          <w:b/>
          <w:color w:val="231F20"/>
          <w:spacing w:val="-38"/>
          <w:w w:val="85"/>
        </w:rPr>
        <w:t> </w:t>
      </w:r>
      <w:r>
        <w:rPr>
          <w:rFonts w:ascii="Bookman Old Style"/>
          <w:b/>
          <w:color w:val="231F20"/>
          <w:w w:val="85"/>
        </w:rPr>
        <w:t>representativeness </w:t>
      </w:r>
      <w:r>
        <w:rPr>
          <w:rFonts w:ascii="Bookman Old Style"/>
          <w:b/>
          <w:color w:val="231F20"/>
          <w:w w:val="90"/>
        </w:rPr>
        <w:t>of</w:t>
      </w:r>
      <w:r>
        <w:rPr>
          <w:rFonts w:ascii="Bookman Old Style"/>
          <w:b/>
          <w:color w:val="231F20"/>
          <w:spacing w:val="-28"/>
          <w:w w:val="90"/>
        </w:rPr>
        <w:t> </w:t>
      </w:r>
      <w:r>
        <w:rPr>
          <w:rFonts w:ascii="Bookman Old Style"/>
          <w:b/>
          <w:color w:val="231F20"/>
          <w:w w:val="90"/>
        </w:rPr>
        <w:t>the</w:t>
      </w:r>
      <w:r>
        <w:rPr>
          <w:rFonts w:ascii="Bookman Old Style"/>
          <w:b/>
          <w:color w:val="231F20"/>
          <w:spacing w:val="-41"/>
          <w:w w:val="90"/>
        </w:rPr>
        <w:t> </w:t>
      </w:r>
      <w:r>
        <w:rPr>
          <w:rFonts w:ascii="Bookman Old Style"/>
          <w:b/>
          <w:color w:val="231F20"/>
          <w:w w:val="90"/>
        </w:rPr>
        <w:t>reported</w:t>
      </w:r>
      <w:r>
        <w:rPr>
          <w:rFonts w:ascii="Bookman Old Style"/>
          <w:b/>
          <w:color w:val="231F20"/>
          <w:spacing w:val="-41"/>
          <w:w w:val="90"/>
        </w:rPr>
        <w:t> </w:t>
      </w:r>
      <w:r>
        <w:rPr>
          <w:rFonts w:ascii="Bookman Old Style"/>
          <w:b/>
          <w:color w:val="231F20"/>
          <w:w w:val="90"/>
        </w:rPr>
        <w:t>cases</w:t>
      </w:r>
      <w:r>
        <w:rPr>
          <w:rFonts w:ascii="Bookman Old Style"/>
          <w:b/>
          <w:color w:val="231F20"/>
          <w:spacing w:val="-41"/>
          <w:w w:val="90"/>
        </w:rPr>
        <w:t> </w:t>
      </w:r>
      <w:r>
        <w:rPr>
          <w:rFonts w:ascii="Bookman Old Style"/>
          <w:b/>
          <w:color w:val="231F20"/>
          <w:w w:val="90"/>
        </w:rPr>
        <w:t>and</w:t>
      </w:r>
      <w:r>
        <w:rPr>
          <w:rFonts w:ascii="Bookman Old Style"/>
          <w:b/>
          <w:color w:val="231F20"/>
          <w:spacing w:val="-41"/>
          <w:w w:val="90"/>
        </w:rPr>
        <w:t> </w:t>
      </w:r>
      <w:r>
        <w:rPr>
          <w:rFonts w:ascii="Bookman Old Style"/>
          <w:b/>
          <w:color w:val="231F20"/>
          <w:w w:val="90"/>
        </w:rPr>
        <w:t>the</w:t>
      </w:r>
      <w:r>
        <w:rPr>
          <w:rFonts w:ascii="Bookman Old Style"/>
          <w:b/>
          <w:color w:val="231F20"/>
          <w:spacing w:val="-41"/>
          <w:w w:val="90"/>
        </w:rPr>
        <w:t> </w:t>
      </w:r>
      <w:r>
        <w:rPr>
          <w:rFonts w:ascii="Bookman Old Style"/>
          <w:b/>
          <w:color w:val="231F20"/>
          <w:w w:val="90"/>
        </w:rPr>
        <w:t>potential </w:t>
      </w:r>
      <w:r>
        <w:rPr>
          <w:rFonts w:ascii="Bookman Old Style"/>
          <w:b/>
          <w:color w:val="231F20"/>
          <w:w w:val="85"/>
        </w:rPr>
        <w:t>number</w:t>
      </w:r>
      <w:r>
        <w:rPr>
          <w:rFonts w:ascii="Bookman Old Style"/>
          <w:b/>
          <w:color w:val="231F20"/>
          <w:spacing w:val="-24"/>
          <w:w w:val="85"/>
        </w:rPr>
        <w:t> </w:t>
      </w:r>
      <w:r>
        <w:rPr>
          <w:rFonts w:ascii="Bookman Old Style"/>
          <w:b/>
          <w:color w:val="231F20"/>
          <w:w w:val="85"/>
        </w:rPr>
        <w:t>and</w:t>
      </w:r>
      <w:r>
        <w:rPr>
          <w:rFonts w:ascii="Bookman Old Style"/>
          <w:b/>
          <w:color w:val="231F20"/>
          <w:spacing w:val="-25"/>
          <w:w w:val="85"/>
        </w:rPr>
        <w:t> </w:t>
      </w:r>
      <w:r>
        <w:rPr>
          <w:rFonts w:ascii="Bookman Old Style"/>
          <w:b/>
          <w:color w:val="231F20"/>
          <w:w w:val="85"/>
        </w:rPr>
        <w:t>size</w:t>
      </w:r>
      <w:r>
        <w:rPr>
          <w:rFonts w:ascii="Bookman Old Style"/>
          <w:b/>
          <w:color w:val="231F20"/>
          <w:spacing w:val="-24"/>
          <w:w w:val="85"/>
        </w:rPr>
        <w:t> </w:t>
      </w:r>
      <w:r>
        <w:rPr>
          <w:rFonts w:ascii="Bookman Old Style"/>
          <w:b/>
          <w:color w:val="231F20"/>
          <w:w w:val="85"/>
        </w:rPr>
        <w:t>of</w:t>
      </w:r>
      <w:r>
        <w:rPr>
          <w:rFonts w:ascii="Bookman Old Style"/>
          <w:b/>
          <w:color w:val="231F20"/>
          <w:spacing w:val="-4"/>
          <w:w w:val="85"/>
        </w:rPr>
        <w:t> </w:t>
      </w:r>
      <w:r>
        <w:rPr>
          <w:rFonts w:ascii="Bookman Old Style"/>
          <w:b/>
          <w:color w:val="231F20"/>
          <w:w w:val="85"/>
        </w:rPr>
        <w:t>outbreaks</w:t>
      </w:r>
      <w:r>
        <w:rPr>
          <w:rFonts w:ascii="Bookman Old Style"/>
          <w:b/>
          <w:color w:val="231F20"/>
          <w:spacing w:val="-24"/>
          <w:w w:val="85"/>
        </w:rPr>
        <w:t> </w:t>
      </w:r>
      <w:r>
        <w:rPr>
          <w:rFonts w:ascii="Bookman Old Style"/>
          <w:b/>
          <w:color w:val="231F20"/>
          <w:w w:val="85"/>
        </w:rPr>
        <w:t>detected.</w:t>
      </w:r>
      <w:r>
        <w:rPr>
          <w:rFonts w:ascii="Bookman Old Style"/>
          <w:b/>
          <w:color w:val="231F20"/>
          <w:spacing w:val="-29"/>
          <w:w w:val="85"/>
        </w:rPr>
        <w:t> </w:t>
      </w:r>
      <w:r>
        <w:rPr>
          <w:color w:val="231F20"/>
          <w:w w:val="85"/>
        </w:rPr>
        <w:t>If </w:t>
      </w:r>
      <w:r>
        <w:rPr>
          <w:color w:val="231F20"/>
        </w:rPr>
        <w:t>the percentage of cases reported or isolates submitted is low (i.e., sensitivity is low),</w:t>
      </w:r>
      <w:r>
        <w:rPr>
          <w:color w:val="231F20"/>
          <w:spacing w:val="28"/>
        </w:rPr>
        <w:t> </w:t>
      </w:r>
      <w:r>
        <w:rPr>
          <w:color w:val="231F20"/>
        </w:rPr>
        <w:t>small</w:t>
      </w:r>
    </w:p>
    <w:p>
      <w:pPr>
        <w:pStyle w:val="BodyText"/>
        <w:spacing w:line="266" w:lineRule="auto" w:before="9"/>
        <w:ind w:left="319" w:right="1534"/>
      </w:pPr>
      <w:r>
        <w:rPr/>
        <w:pict>
          <v:rect style="position:absolute;margin-left:459pt;margin-top:21.847353pt;width:45pt;height:18pt;mso-position-horizontal-relative:page;mso-position-vertical-relative:paragraph;z-index:2512" filled="true" fillcolor="#0079c1" stroked="false">
            <v:fill type="solid"/>
            <w10:wrap type="none"/>
          </v:rect>
        </w:pict>
      </w:r>
      <w:r>
        <w:rPr/>
        <w:pict>
          <v:line style="position:absolute;mso-position-horizontal-relative:page;mso-position-vertical-relative:paragraph;z-index:2536" from="450.5pt,21.846952pt" to="450.5pt,224.252952pt" stroked="true" strokeweight="1pt" strokecolor="#0079c1">
            <v:stroke dashstyle="solid"/>
            <w10:wrap type="none"/>
          </v:line>
        </w:pict>
      </w:r>
      <w:r>
        <w:rPr/>
        <w:pict>
          <v:shape style="position:absolute;margin-left:465.346802pt;margin-top:43.843754pt;width:22.25pt;height:183.2pt;mso-position-horizontal-relative:page;mso-position-vertical-relative:paragraph;z-index:2560" type="#_x0000_t202" filled="false" stroked="false">
            <v:textbox inset="0,0,0,0" style="layout-flow:vertical">
              <w:txbxContent>
                <w:p>
                  <w:pPr>
                    <w:spacing w:before="12"/>
                    <w:ind w:left="20" w:right="-1014" w:firstLine="0"/>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468.849609pt;margin-top:26.597954pt;width:15.85pt;height:8.5pt;mso-position-horizontal-relative:page;mso-position-vertical-relative:paragraph;z-index:2584" type="#_x0000_t202" filled="false" stroked="false">
            <v:textbox inset="0,0,0,0" style="layout-flow:vertical">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105"/>
        </w:rPr>
        <w:t>outbreaks</w:t>
      </w:r>
      <w:r>
        <w:rPr>
          <w:color w:val="231F20"/>
          <w:spacing w:val="-13"/>
          <w:w w:val="105"/>
        </w:rPr>
        <w:t> </w:t>
      </w:r>
      <w:r>
        <w:rPr>
          <w:color w:val="231F20"/>
          <w:w w:val="105"/>
        </w:rPr>
        <w:t>or</w:t>
      </w:r>
      <w:r>
        <w:rPr>
          <w:color w:val="231F20"/>
          <w:spacing w:val="-12"/>
          <w:w w:val="105"/>
        </w:rPr>
        <w:t> </w:t>
      </w:r>
      <w:r>
        <w:rPr>
          <w:color w:val="231F20"/>
          <w:w w:val="105"/>
        </w:rPr>
        <w:t>outbreaks</w:t>
      </w:r>
      <w:r>
        <w:rPr>
          <w:color w:val="231F20"/>
          <w:spacing w:val="-13"/>
          <w:w w:val="105"/>
        </w:rPr>
        <w:t> </w:t>
      </w:r>
      <w:r>
        <w:rPr>
          <w:color w:val="231F20"/>
          <w:w w:val="105"/>
        </w:rPr>
        <w:t>spread</w:t>
      </w:r>
      <w:r>
        <w:rPr>
          <w:color w:val="231F20"/>
          <w:spacing w:val="-13"/>
          <w:w w:val="105"/>
        </w:rPr>
        <w:t> </w:t>
      </w:r>
      <w:r>
        <w:rPr>
          <w:color w:val="231F20"/>
          <w:spacing w:val="-3"/>
          <w:w w:val="105"/>
        </w:rPr>
        <w:t>over</w:t>
      </w:r>
      <w:r>
        <w:rPr>
          <w:color w:val="231F20"/>
          <w:spacing w:val="-13"/>
          <w:w w:val="105"/>
        </w:rPr>
        <w:t> </w:t>
      </w:r>
      <w:r>
        <w:rPr>
          <w:color w:val="231F20"/>
          <w:w w:val="105"/>
        </w:rPr>
        <w:t>space</w:t>
      </w:r>
      <w:r>
        <w:rPr>
          <w:color w:val="231F20"/>
          <w:spacing w:val="-12"/>
          <w:w w:val="105"/>
        </w:rPr>
        <w:t> </w:t>
      </w:r>
      <w:r>
        <w:rPr>
          <w:color w:val="231F20"/>
          <w:w w:val="105"/>
        </w:rPr>
        <w:t>and time are likely to be missed. Furthermore, if sensitivity is </w:t>
      </w:r>
      <w:r>
        <w:rPr>
          <w:color w:val="231F20"/>
          <w:spacing w:val="-7"/>
          <w:w w:val="105"/>
        </w:rPr>
        <w:t>low, </w:t>
      </w:r>
      <w:r>
        <w:rPr>
          <w:color w:val="231F20"/>
          <w:w w:val="105"/>
        </w:rPr>
        <w:t>reported cases might differ significantly from cases not reported. This bias</w:t>
      </w:r>
      <w:r>
        <w:rPr>
          <w:color w:val="231F20"/>
          <w:spacing w:val="-14"/>
          <w:w w:val="105"/>
        </w:rPr>
        <w:t> </w:t>
      </w:r>
      <w:r>
        <w:rPr>
          <w:color w:val="231F20"/>
          <w:w w:val="105"/>
        </w:rPr>
        <w:t>is</w:t>
      </w:r>
      <w:r>
        <w:rPr>
          <w:color w:val="231F20"/>
          <w:spacing w:val="-14"/>
          <w:w w:val="105"/>
        </w:rPr>
        <w:t> </w:t>
      </w:r>
      <w:r>
        <w:rPr>
          <w:color w:val="231F20"/>
          <w:w w:val="105"/>
        </w:rPr>
        <w:t>more</w:t>
      </w:r>
      <w:r>
        <w:rPr>
          <w:color w:val="231F20"/>
          <w:spacing w:val="-14"/>
          <w:w w:val="105"/>
        </w:rPr>
        <w:t> </w:t>
      </w:r>
      <w:r>
        <w:rPr>
          <w:color w:val="231F20"/>
          <w:w w:val="105"/>
        </w:rPr>
        <w:t>likely</w:t>
      </w:r>
      <w:r>
        <w:rPr>
          <w:color w:val="231F20"/>
          <w:spacing w:val="-14"/>
          <w:w w:val="105"/>
        </w:rPr>
        <w:t> </w:t>
      </w:r>
      <w:r>
        <w:rPr>
          <w:color w:val="231F20"/>
          <w:w w:val="105"/>
        </w:rPr>
        <w:t>to</w:t>
      </w:r>
      <w:r>
        <w:rPr>
          <w:color w:val="231F20"/>
          <w:spacing w:val="-14"/>
          <w:w w:val="105"/>
        </w:rPr>
        <w:t> </w:t>
      </w:r>
      <w:r>
        <w:rPr>
          <w:color w:val="231F20"/>
          <w:w w:val="105"/>
        </w:rPr>
        <w:t>influence</w:t>
      </w:r>
      <w:r>
        <w:rPr>
          <w:color w:val="231F20"/>
          <w:spacing w:val="-14"/>
          <w:w w:val="105"/>
        </w:rPr>
        <w:t> </w:t>
      </w:r>
      <w:r>
        <w:rPr>
          <w:color w:val="231F20"/>
          <w:w w:val="105"/>
        </w:rPr>
        <w:t>descriptions</w:t>
      </w:r>
      <w:r>
        <w:rPr>
          <w:color w:val="231F20"/>
          <w:spacing w:val="-14"/>
          <w:w w:val="105"/>
        </w:rPr>
        <w:t> </w:t>
      </w:r>
      <w:r>
        <w:rPr>
          <w:color w:val="231F20"/>
          <w:w w:val="105"/>
        </w:rPr>
        <w:t>of clinical illness or the magnitude and severity of</w:t>
      </w:r>
      <w:r>
        <w:rPr>
          <w:color w:val="231F20"/>
          <w:spacing w:val="13"/>
          <w:w w:val="105"/>
        </w:rPr>
        <w:t> </w:t>
      </w:r>
      <w:r>
        <w:rPr>
          <w:color w:val="231F20"/>
          <w:w w:val="105"/>
        </w:rPr>
        <w:t>illness</w:t>
      </w:r>
      <w:r>
        <w:rPr>
          <w:color w:val="231F20"/>
          <w:spacing w:val="-12"/>
          <w:w w:val="105"/>
        </w:rPr>
        <w:t> </w:t>
      </w:r>
      <w:r>
        <w:rPr>
          <w:color w:val="231F20"/>
          <w:w w:val="105"/>
        </w:rPr>
        <w:t>than</w:t>
      </w:r>
      <w:r>
        <w:rPr>
          <w:color w:val="231F20"/>
          <w:spacing w:val="-12"/>
          <w:w w:val="105"/>
        </w:rPr>
        <w:t> </w:t>
      </w:r>
      <w:r>
        <w:rPr>
          <w:color w:val="231F20"/>
          <w:w w:val="105"/>
        </w:rPr>
        <w:t>associations</w:t>
      </w:r>
      <w:r>
        <w:rPr>
          <w:color w:val="231F20"/>
          <w:spacing w:val="-12"/>
          <w:w w:val="105"/>
        </w:rPr>
        <w:t> </w:t>
      </w:r>
      <w:r>
        <w:rPr>
          <w:color w:val="231F20"/>
          <w:w w:val="105"/>
        </w:rPr>
        <w:t>with</w:t>
      </w:r>
      <w:r>
        <w:rPr>
          <w:color w:val="231F20"/>
          <w:spacing w:val="-11"/>
          <w:w w:val="105"/>
        </w:rPr>
        <w:t> </w:t>
      </w:r>
      <w:r>
        <w:rPr>
          <w:color w:val="231F20"/>
          <w:w w:val="105"/>
        </w:rPr>
        <w:t>any</w:t>
      </w:r>
      <w:r>
        <w:rPr>
          <w:color w:val="231F20"/>
          <w:spacing w:val="-12"/>
          <w:w w:val="105"/>
        </w:rPr>
        <w:t> </w:t>
      </w:r>
      <w:r>
        <w:rPr>
          <w:color w:val="231F20"/>
          <w:w w:val="105"/>
        </w:rPr>
        <w:t>particular vehicle,</w:t>
      </w:r>
      <w:r>
        <w:rPr>
          <w:color w:val="231F20"/>
          <w:spacing w:val="-10"/>
          <w:w w:val="105"/>
        </w:rPr>
        <w:t> </w:t>
      </w:r>
      <w:r>
        <w:rPr>
          <w:color w:val="231F20"/>
          <w:w w:val="105"/>
        </w:rPr>
        <w:t>but</w:t>
      </w:r>
      <w:r>
        <w:rPr>
          <w:color w:val="231F20"/>
          <w:spacing w:val="-10"/>
          <w:w w:val="105"/>
        </w:rPr>
        <w:t> </w:t>
      </w:r>
      <w:r>
        <w:rPr>
          <w:color w:val="231F20"/>
          <w:w w:val="105"/>
        </w:rPr>
        <w:t>it</w:t>
      </w:r>
      <w:r>
        <w:rPr>
          <w:color w:val="231F20"/>
          <w:spacing w:val="-10"/>
          <w:w w:val="105"/>
        </w:rPr>
        <w:t> </w:t>
      </w:r>
      <w:r>
        <w:rPr>
          <w:color w:val="231F20"/>
          <w:w w:val="105"/>
        </w:rPr>
        <w:t>is</w:t>
      </w:r>
      <w:r>
        <w:rPr>
          <w:color w:val="231F20"/>
          <w:spacing w:val="-11"/>
          <w:w w:val="105"/>
        </w:rPr>
        <w:t> </w:t>
      </w:r>
      <w:r>
        <w:rPr>
          <w:color w:val="231F20"/>
          <w:w w:val="105"/>
        </w:rPr>
        <w:t>worth</w:t>
      </w:r>
      <w:r>
        <w:rPr>
          <w:color w:val="231F20"/>
          <w:spacing w:val="-10"/>
          <w:w w:val="105"/>
        </w:rPr>
        <w:t> </w:t>
      </w:r>
      <w:r>
        <w:rPr>
          <w:color w:val="231F20"/>
          <w:w w:val="105"/>
        </w:rPr>
        <w:t>keeping</w:t>
      </w:r>
      <w:r>
        <w:rPr>
          <w:color w:val="231F20"/>
          <w:spacing w:val="-10"/>
          <w:w w:val="105"/>
        </w:rPr>
        <w:t> </w:t>
      </w:r>
      <w:r>
        <w:rPr>
          <w:color w:val="231F20"/>
          <w:w w:val="105"/>
        </w:rPr>
        <w:t>in</w:t>
      </w:r>
      <w:r>
        <w:rPr>
          <w:color w:val="231F20"/>
          <w:spacing w:val="-11"/>
          <w:w w:val="105"/>
        </w:rPr>
        <w:t> </w:t>
      </w:r>
      <w:r>
        <w:rPr>
          <w:color w:val="231F20"/>
          <w:w w:val="105"/>
        </w:rPr>
        <w:t>mind</w:t>
      </w:r>
      <w:r>
        <w:rPr>
          <w:color w:val="231F20"/>
          <w:spacing w:val="-10"/>
          <w:w w:val="105"/>
        </w:rPr>
        <w:t> </w:t>
      </w:r>
      <w:r>
        <w:rPr>
          <w:color w:val="231F20"/>
          <w:w w:val="105"/>
        </w:rPr>
        <w:t>as</w:t>
      </w:r>
      <w:r>
        <w:rPr>
          <w:color w:val="231F20"/>
          <w:spacing w:val="-11"/>
          <w:w w:val="105"/>
        </w:rPr>
        <w:t> </w:t>
      </w:r>
      <w:r>
        <w:rPr>
          <w:color w:val="231F20"/>
          <w:w w:val="105"/>
        </w:rPr>
        <w:t>one develops hypotheses about the source (see Chapter</w:t>
      </w:r>
      <w:r>
        <w:rPr>
          <w:color w:val="231F20"/>
          <w:spacing w:val="3"/>
          <w:w w:val="105"/>
        </w:rPr>
        <w:t> </w:t>
      </w:r>
      <w:r>
        <w:rPr>
          <w:color w:val="231F20"/>
          <w:w w:val="105"/>
        </w:rPr>
        <w:t>5).</w:t>
      </w:r>
    </w:p>
    <w:p>
      <w:pPr>
        <w:pStyle w:val="ListParagraph"/>
        <w:numPr>
          <w:ilvl w:val="3"/>
          <w:numId w:val="8"/>
        </w:numPr>
        <w:tabs>
          <w:tab w:pos="962" w:val="left" w:leader="none"/>
        </w:tabs>
        <w:spacing w:line="266" w:lineRule="auto" w:before="180" w:after="0"/>
        <w:ind w:left="319" w:right="1856" w:firstLine="0"/>
        <w:jc w:val="left"/>
        <w:rPr>
          <w:i/>
          <w:sz w:val="20"/>
        </w:rPr>
      </w:pPr>
      <w:r>
        <w:rPr>
          <w:i/>
          <w:color w:val="E36F1E"/>
          <w:w w:val="105"/>
          <w:sz w:val="20"/>
        </w:rPr>
        <w:t>Prevalence of the agent and specificity of </w:t>
      </w:r>
      <w:r>
        <w:rPr>
          <w:i/>
          <w:color w:val="E36F1E"/>
          <w:w w:val="105"/>
          <w:sz w:val="20"/>
        </w:rPr>
        <w:t>agent</w:t>
      </w:r>
      <w:r>
        <w:rPr>
          <w:i/>
          <w:color w:val="E36F1E"/>
          <w:spacing w:val="-13"/>
          <w:w w:val="105"/>
          <w:sz w:val="20"/>
        </w:rPr>
        <w:t> </w:t>
      </w:r>
      <w:r>
        <w:rPr>
          <w:i/>
          <w:color w:val="E36F1E"/>
          <w:w w:val="105"/>
          <w:sz w:val="20"/>
        </w:rPr>
        <w:t>classification</w:t>
      </w:r>
    </w:p>
    <w:p>
      <w:pPr>
        <w:pStyle w:val="BodyText"/>
        <w:spacing w:line="219" w:lineRule="exact"/>
        <w:ind w:left="319"/>
        <w:rPr>
          <w:rFonts w:ascii="Bookman Old Style"/>
          <w:b/>
        </w:rPr>
      </w:pPr>
      <w:r>
        <w:rPr>
          <w:rFonts w:ascii="Bookman Old Style"/>
          <w:b/>
          <w:color w:val="231F20"/>
          <w:w w:val="85"/>
        </w:rPr>
        <w:t>The more common the agent, the more</w:t>
      </w:r>
    </w:p>
    <w:p>
      <w:pPr>
        <w:pStyle w:val="BodyText"/>
        <w:spacing w:line="264" w:lineRule="auto" w:before="15"/>
        <w:ind w:left="319" w:right="1650"/>
      </w:pPr>
      <w:r>
        <w:rPr>
          <w:rFonts w:ascii="Bookman Old Style" w:hAnsi="Bookman Old Style"/>
          <w:b/>
          <w:color w:val="231F20"/>
          <w:w w:val="85"/>
        </w:rPr>
        <w:t>difficult</w:t>
      </w:r>
      <w:r>
        <w:rPr>
          <w:rFonts w:ascii="Bookman Old Style" w:hAnsi="Bookman Old Style"/>
          <w:b/>
          <w:color w:val="231F20"/>
          <w:spacing w:val="-35"/>
          <w:w w:val="85"/>
        </w:rPr>
        <w:t> </w:t>
      </w:r>
      <w:r>
        <w:rPr>
          <w:rFonts w:ascii="Bookman Old Style" w:hAnsi="Bookman Old Style"/>
          <w:b/>
          <w:color w:val="231F20"/>
          <w:w w:val="85"/>
        </w:rPr>
        <w:t>it</w:t>
      </w:r>
      <w:r>
        <w:rPr>
          <w:rFonts w:ascii="Bookman Old Style" w:hAnsi="Bookman Old Style"/>
          <w:b/>
          <w:color w:val="231F20"/>
          <w:spacing w:val="-35"/>
          <w:w w:val="85"/>
        </w:rPr>
        <w:t> </w:t>
      </w:r>
      <w:r>
        <w:rPr>
          <w:rFonts w:ascii="Bookman Old Style" w:hAnsi="Bookman Old Style"/>
          <w:b/>
          <w:color w:val="231F20"/>
          <w:w w:val="85"/>
        </w:rPr>
        <w:t>is</w:t>
      </w:r>
      <w:r>
        <w:rPr>
          <w:rFonts w:ascii="Bookman Old Style" w:hAnsi="Bookman Old Style"/>
          <w:b/>
          <w:color w:val="231F20"/>
          <w:spacing w:val="-35"/>
          <w:w w:val="85"/>
        </w:rPr>
        <w:t> </w:t>
      </w:r>
      <w:r>
        <w:rPr>
          <w:rFonts w:ascii="Bookman Old Style" w:hAnsi="Bookman Old Style"/>
          <w:b/>
          <w:color w:val="231F20"/>
          <w:w w:val="85"/>
        </w:rPr>
        <w:t>to</w:t>
      </w:r>
      <w:r>
        <w:rPr>
          <w:rFonts w:ascii="Bookman Old Style" w:hAnsi="Bookman Old Style"/>
          <w:b/>
          <w:color w:val="231F20"/>
          <w:spacing w:val="-35"/>
          <w:w w:val="85"/>
        </w:rPr>
        <w:t> </w:t>
      </w:r>
      <w:r>
        <w:rPr>
          <w:rFonts w:ascii="Bookman Old Style" w:hAnsi="Bookman Old Style"/>
          <w:b/>
          <w:color w:val="231F20"/>
          <w:w w:val="85"/>
        </w:rPr>
        <w:t>identify</w:t>
      </w:r>
      <w:r>
        <w:rPr>
          <w:rFonts w:ascii="Bookman Old Style" w:hAnsi="Bookman Old Style"/>
          <w:b/>
          <w:color w:val="231F20"/>
          <w:spacing w:val="-35"/>
          <w:w w:val="85"/>
        </w:rPr>
        <w:t> </w:t>
      </w:r>
      <w:r>
        <w:rPr>
          <w:rFonts w:ascii="Bookman Old Style" w:hAnsi="Bookman Old Style"/>
          <w:b/>
          <w:color w:val="231F20"/>
          <w:w w:val="85"/>
        </w:rPr>
        <w:t>outbreaks</w:t>
      </w:r>
      <w:r>
        <w:rPr>
          <w:rFonts w:ascii="Bookman Old Style" w:hAnsi="Bookman Old Style"/>
          <w:b/>
          <w:color w:val="231F20"/>
          <w:spacing w:val="-35"/>
          <w:w w:val="85"/>
        </w:rPr>
        <w:t> </w:t>
      </w:r>
      <w:r>
        <w:rPr>
          <w:rFonts w:ascii="Bookman Old Style" w:hAnsi="Bookman Old Style"/>
          <w:b/>
          <w:color w:val="231F20"/>
          <w:w w:val="85"/>
        </w:rPr>
        <w:t>and</w:t>
      </w:r>
      <w:r>
        <w:rPr>
          <w:rFonts w:ascii="Bookman Old Style" w:hAnsi="Bookman Old Style"/>
          <w:b/>
          <w:color w:val="231F20"/>
          <w:spacing w:val="-35"/>
          <w:w w:val="85"/>
        </w:rPr>
        <w:t> </w:t>
      </w:r>
      <w:r>
        <w:rPr>
          <w:rFonts w:ascii="Bookman Old Style" w:hAnsi="Bookman Old Style"/>
          <w:b/>
          <w:color w:val="231F20"/>
          <w:w w:val="85"/>
        </w:rPr>
        <w:t>the </w:t>
      </w:r>
      <w:r>
        <w:rPr>
          <w:rFonts w:ascii="Bookman Old Style" w:hAnsi="Bookman Old Style"/>
          <w:b/>
          <w:color w:val="231F20"/>
          <w:w w:val="90"/>
        </w:rPr>
        <w:t>more likely sporadic (unrelated) cases will</w:t>
      </w:r>
      <w:r>
        <w:rPr>
          <w:rFonts w:ascii="Bookman Old Style" w:hAnsi="Bookman Old Style"/>
          <w:b/>
          <w:color w:val="231F20"/>
          <w:spacing w:val="-40"/>
          <w:w w:val="90"/>
        </w:rPr>
        <w:t> </w:t>
      </w:r>
      <w:r>
        <w:rPr>
          <w:rFonts w:ascii="Bookman Old Style" w:hAnsi="Bookman Old Style"/>
          <w:b/>
          <w:color w:val="231F20"/>
          <w:w w:val="90"/>
        </w:rPr>
        <w:t>be</w:t>
      </w:r>
      <w:r>
        <w:rPr>
          <w:rFonts w:ascii="Bookman Old Style" w:hAnsi="Bookman Old Style"/>
          <w:b/>
          <w:color w:val="231F20"/>
          <w:spacing w:val="-40"/>
          <w:w w:val="90"/>
        </w:rPr>
        <w:t> </w:t>
      </w:r>
      <w:r>
        <w:rPr>
          <w:rFonts w:ascii="Bookman Old Style" w:hAnsi="Bookman Old Style"/>
          <w:b/>
          <w:color w:val="231F20"/>
          <w:w w:val="90"/>
        </w:rPr>
        <w:t>misclassified</w:t>
      </w:r>
      <w:r>
        <w:rPr>
          <w:rFonts w:ascii="Bookman Old Style" w:hAnsi="Bookman Old Style"/>
          <w:b/>
          <w:color w:val="231F20"/>
          <w:spacing w:val="-40"/>
          <w:w w:val="90"/>
        </w:rPr>
        <w:t> </w:t>
      </w:r>
      <w:r>
        <w:rPr>
          <w:rFonts w:ascii="Bookman Old Style" w:hAnsi="Bookman Old Style"/>
          <w:b/>
          <w:color w:val="231F20"/>
          <w:w w:val="90"/>
        </w:rPr>
        <w:t>as</w:t>
      </w:r>
      <w:r>
        <w:rPr>
          <w:rFonts w:ascii="Bookman Old Style" w:hAnsi="Bookman Old Style"/>
          <w:b/>
          <w:color w:val="231F20"/>
          <w:spacing w:val="-40"/>
          <w:w w:val="90"/>
        </w:rPr>
        <w:t> </w:t>
      </w:r>
      <w:r>
        <w:rPr>
          <w:rFonts w:ascii="Bookman Old Style" w:hAnsi="Bookman Old Style"/>
          <w:b/>
          <w:color w:val="231F20"/>
          <w:w w:val="90"/>
        </w:rPr>
        <w:t>outbreak</w:t>
      </w:r>
      <w:r>
        <w:rPr>
          <w:rFonts w:ascii="Bookman Old Style" w:hAnsi="Bookman Old Style"/>
          <w:b/>
          <w:color w:val="231F20"/>
          <w:spacing w:val="-40"/>
          <w:w w:val="90"/>
        </w:rPr>
        <w:t> </w:t>
      </w:r>
      <w:r>
        <w:rPr>
          <w:rFonts w:ascii="Bookman Old Style" w:hAnsi="Bookman Old Style"/>
          <w:b/>
          <w:color w:val="231F20"/>
          <w:w w:val="90"/>
        </w:rPr>
        <w:t>cases. </w:t>
      </w:r>
      <w:r>
        <w:rPr>
          <w:color w:val="231F20"/>
        </w:rPr>
        <w:t>Misclassification reduces the power of the investigation, obscuring trends and diluting outbreak measures of association (type 2 probability error or the possibility of missing an exposure–disease association when one truly exists). </w:t>
      </w:r>
      <w:r>
        <w:rPr>
          <w:color w:val="231F20"/>
          <w:spacing w:val="-3"/>
        </w:rPr>
        <w:t>Consequently,  </w:t>
      </w:r>
      <w:r>
        <w:rPr>
          <w:color w:val="231F20"/>
        </w:rPr>
        <w:t>a larger number  of outbreak cases are needed to significantly associate illness with</w:t>
      </w:r>
      <w:r>
        <w:rPr>
          <w:color w:val="231F20"/>
          <w:spacing w:val="43"/>
        </w:rPr>
        <w:t> </w:t>
      </w:r>
      <w:r>
        <w:rPr>
          <w:color w:val="231F20"/>
        </w:rPr>
        <w:t>exposure.</w:t>
      </w:r>
    </w:p>
    <w:p>
      <w:pPr>
        <w:pStyle w:val="BodyText"/>
        <w:spacing w:line="254" w:lineRule="auto" w:before="166"/>
        <w:ind w:left="319" w:right="1581"/>
        <w:rPr>
          <w:rFonts w:ascii="Bookman Old Style"/>
          <w:b/>
        </w:rPr>
      </w:pPr>
      <w:r>
        <w:rPr>
          <w:rFonts w:ascii="Bookman Old Style"/>
          <w:b/>
          <w:color w:val="231F20"/>
          <w:w w:val="90"/>
        </w:rPr>
        <w:t>Examination of subsets of cases using case</w:t>
      </w:r>
      <w:r>
        <w:rPr>
          <w:rFonts w:ascii="Bookman Old Style"/>
          <w:b/>
          <w:color w:val="231F20"/>
          <w:spacing w:val="-44"/>
          <w:w w:val="90"/>
        </w:rPr>
        <w:t> </w:t>
      </w:r>
      <w:r>
        <w:rPr>
          <w:rFonts w:ascii="Bookman Old Style"/>
          <w:b/>
          <w:color w:val="231F20"/>
          <w:w w:val="90"/>
        </w:rPr>
        <w:t>definitions</w:t>
      </w:r>
      <w:r>
        <w:rPr>
          <w:rFonts w:ascii="Bookman Old Style"/>
          <w:b/>
          <w:color w:val="231F20"/>
          <w:spacing w:val="-44"/>
          <w:w w:val="90"/>
        </w:rPr>
        <w:t> </w:t>
      </w:r>
      <w:r>
        <w:rPr>
          <w:rFonts w:ascii="Bookman Old Style"/>
          <w:b/>
          <w:color w:val="231F20"/>
          <w:w w:val="90"/>
        </w:rPr>
        <w:t>based</w:t>
      </w:r>
      <w:r>
        <w:rPr>
          <w:rFonts w:ascii="Bookman Old Style"/>
          <w:b/>
          <w:color w:val="231F20"/>
          <w:spacing w:val="-44"/>
          <w:w w:val="90"/>
        </w:rPr>
        <w:t> </w:t>
      </w:r>
      <w:r>
        <w:rPr>
          <w:rFonts w:ascii="Bookman Old Style"/>
          <w:b/>
          <w:color w:val="231F20"/>
          <w:w w:val="90"/>
        </w:rPr>
        <w:t>on</w:t>
      </w:r>
      <w:r>
        <w:rPr>
          <w:rFonts w:ascii="Bookman Old Style"/>
          <w:b/>
          <w:color w:val="231F20"/>
          <w:spacing w:val="-44"/>
          <w:w w:val="90"/>
        </w:rPr>
        <w:t> </w:t>
      </w:r>
      <w:r>
        <w:rPr>
          <w:rFonts w:ascii="Bookman Old Style"/>
          <w:b/>
          <w:color w:val="231F20"/>
          <w:w w:val="90"/>
        </w:rPr>
        <w:t>specific</w:t>
      </w:r>
      <w:r>
        <w:rPr>
          <w:rFonts w:ascii="Bookman Old Style"/>
          <w:b/>
          <w:color w:val="231F20"/>
          <w:spacing w:val="-44"/>
          <w:w w:val="90"/>
        </w:rPr>
        <w:t> </w:t>
      </w:r>
      <w:r>
        <w:rPr>
          <w:rFonts w:ascii="Bookman Old Style"/>
          <w:b/>
          <w:color w:val="231F20"/>
          <w:w w:val="90"/>
        </w:rPr>
        <w:t>agent </w:t>
      </w:r>
      <w:r>
        <w:rPr>
          <w:rFonts w:ascii="Bookman Old Style"/>
          <w:b/>
          <w:color w:val="231F20"/>
          <w:w w:val="85"/>
        </w:rPr>
        <w:t>classifications</w:t>
      </w:r>
      <w:r>
        <w:rPr>
          <w:rFonts w:ascii="Bookman Old Style"/>
          <w:b/>
          <w:color w:val="231F20"/>
          <w:spacing w:val="-38"/>
          <w:w w:val="85"/>
        </w:rPr>
        <w:t> </w:t>
      </w:r>
      <w:r>
        <w:rPr>
          <w:rFonts w:ascii="Bookman Old Style"/>
          <w:b/>
          <w:color w:val="231F20"/>
          <w:spacing w:val="-3"/>
          <w:w w:val="85"/>
        </w:rPr>
        <w:t>(e.g.,</w:t>
      </w:r>
      <w:r>
        <w:rPr>
          <w:rFonts w:ascii="Bookman Old Style"/>
          <w:b/>
          <w:color w:val="231F20"/>
          <w:spacing w:val="-38"/>
          <w:w w:val="85"/>
        </w:rPr>
        <w:t> </w:t>
      </w:r>
      <w:r>
        <w:rPr>
          <w:rFonts w:ascii="Bookman Old Style"/>
          <w:b/>
          <w:color w:val="231F20"/>
          <w:w w:val="85"/>
        </w:rPr>
        <w:t>inclusion</w:t>
      </w:r>
      <w:r>
        <w:rPr>
          <w:rFonts w:ascii="Bookman Old Style"/>
          <w:b/>
          <w:color w:val="231F20"/>
          <w:spacing w:val="-38"/>
          <w:w w:val="85"/>
        </w:rPr>
        <w:t> </w:t>
      </w:r>
      <w:r>
        <w:rPr>
          <w:rFonts w:ascii="Bookman Old Style"/>
          <w:b/>
          <w:color w:val="231F20"/>
          <w:w w:val="85"/>
        </w:rPr>
        <w:t>of</w:t>
      </w:r>
      <w:r>
        <w:rPr>
          <w:rFonts w:ascii="Bookman Old Style"/>
          <w:b/>
          <w:color w:val="231F20"/>
          <w:spacing w:val="-27"/>
          <w:w w:val="85"/>
        </w:rPr>
        <w:t> </w:t>
      </w:r>
      <w:r>
        <w:rPr>
          <w:rFonts w:ascii="Bookman Old Style"/>
          <w:b/>
          <w:color w:val="231F20"/>
          <w:w w:val="85"/>
        </w:rPr>
        <w:t>subtyping</w:t>
      </w:r>
      <w:r>
        <w:rPr>
          <w:rFonts w:ascii="Bookman Old Style"/>
          <w:b/>
          <w:color w:val="231F20"/>
          <w:w w:val="82"/>
        </w:rPr>
        <w:t> </w:t>
      </w:r>
      <w:r>
        <w:rPr>
          <w:rFonts w:ascii="Bookman Old Style"/>
          <w:b/>
          <w:color w:val="231F20"/>
          <w:w w:val="85"/>
        </w:rPr>
        <w:t>results)</w:t>
      </w:r>
      <w:r>
        <w:rPr>
          <w:rFonts w:ascii="Bookman Old Style"/>
          <w:b/>
          <w:color w:val="231F20"/>
          <w:spacing w:val="-26"/>
          <w:w w:val="85"/>
        </w:rPr>
        <w:t> </w:t>
      </w:r>
      <w:r>
        <w:rPr>
          <w:rFonts w:ascii="Bookman Old Style"/>
          <w:b/>
          <w:color w:val="231F20"/>
          <w:w w:val="85"/>
        </w:rPr>
        <w:t>or</w:t>
      </w:r>
      <w:r>
        <w:rPr>
          <w:rFonts w:ascii="Bookman Old Style"/>
          <w:b/>
          <w:color w:val="231F20"/>
          <w:spacing w:val="-26"/>
          <w:w w:val="85"/>
        </w:rPr>
        <w:t> </w:t>
      </w:r>
      <w:r>
        <w:rPr>
          <w:rFonts w:ascii="Bookman Old Style"/>
          <w:b/>
          <w:color w:val="231F20"/>
          <w:w w:val="85"/>
        </w:rPr>
        <w:t>restricting</w:t>
      </w:r>
      <w:r>
        <w:rPr>
          <w:rFonts w:ascii="Bookman Old Style"/>
          <w:b/>
          <w:color w:val="231F20"/>
          <w:spacing w:val="-26"/>
          <w:w w:val="85"/>
        </w:rPr>
        <w:t> </w:t>
      </w:r>
      <w:r>
        <w:rPr>
          <w:rFonts w:ascii="Bookman Old Style"/>
          <w:b/>
          <w:color w:val="231F20"/>
          <w:w w:val="85"/>
        </w:rPr>
        <w:t>cases</w:t>
      </w:r>
      <w:r>
        <w:rPr>
          <w:rFonts w:ascii="Bookman Old Style"/>
          <w:b/>
          <w:color w:val="231F20"/>
          <w:spacing w:val="-26"/>
          <w:w w:val="85"/>
        </w:rPr>
        <w:t> </w:t>
      </w:r>
      <w:r>
        <w:rPr>
          <w:rFonts w:ascii="Bookman Old Style"/>
          <w:b/>
          <w:color w:val="231F20"/>
          <w:w w:val="85"/>
        </w:rPr>
        <w:t>using</w:t>
      </w:r>
      <w:r>
        <w:rPr>
          <w:rFonts w:ascii="Bookman Old Style"/>
          <w:b/>
          <w:color w:val="231F20"/>
          <w:spacing w:val="-26"/>
          <w:w w:val="85"/>
        </w:rPr>
        <w:t> </w:t>
      </w:r>
      <w:r>
        <w:rPr>
          <w:rFonts w:ascii="Bookman Old Style"/>
          <w:b/>
          <w:color w:val="231F20"/>
          <w:w w:val="85"/>
        </w:rPr>
        <w:t>certain time,</w:t>
      </w:r>
      <w:r>
        <w:rPr>
          <w:rFonts w:ascii="Bookman Old Style"/>
          <w:b/>
          <w:color w:val="231F20"/>
          <w:spacing w:val="-39"/>
          <w:w w:val="85"/>
        </w:rPr>
        <w:t> </w:t>
      </w:r>
      <w:r>
        <w:rPr>
          <w:rFonts w:ascii="Bookman Old Style"/>
          <w:b/>
          <w:color w:val="231F20"/>
          <w:w w:val="85"/>
        </w:rPr>
        <w:t>place,</w:t>
      </w:r>
      <w:r>
        <w:rPr>
          <w:rFonts w:ascii="Bookman Old Style"/>
          <w:b/>
          <w:color w:val="231F20"/>
          <w:spacing w:val="-39"/>
          <w:w w:val="85"/>
        </w:rPr>
        <w:t> </w:t>
      </w:r>
      <w:r>
        <w:rPr>
          <w:rFonts w:ascii="Bookman Old Style"/>
          <w:b/>
          <w:color w:val="231F20"/>
          <w:w w:val="85"/>
        </w:rPr>
        <w:t>or</w:t>
      </w:r>
      <w:r>
        <w:rPr>
          <w:rFonts w:ascii="Bookman Old Style"/>
          <w:b/>
          <w:color w:val="231F20"/>
          <w:spacing w:val="-39"/>
          <w:w w:val="85"/>
        </w:rPr>
        <w:t> </w:t>
      </w:r>
      <w:r>
        <w:rPr>
          <w:rFonts w:ascii="Bookman Old Style"/>
          <w:b/>
          <w:color w:val="231F20"/>
          <w:w w:val="85"/>
        </w:rPr>
        <w:t>person</w:t>
      </w:r>
      <w:r>
        <w:rPr>
          <w:rFonts w:ascii="Bookman Old Style"/>
          <w:b/>
          <w:color w:val="231F20"/>
          <w:spacing w:val="-38"/>
          <w:w w:val="85"/>
        </w:rPr>
        <w:t> </w:t>
      </w:r>
      <w:r>
        <w:rPr>
          <w:rFonts w:ascii="Bookman Old Style"/>
          <w:b/>
          <w:color w:val="231F20"/>
          <w:w w:val="85"/>
        </w:rPr>
        <w:t>characteristics</w:t>
      </w:r>
    </w:p>
    <w:p>
      <w:pPr>
        <w:pStyle w:val="BodyText"/>
        <w:spacing w:line="266" w:lineRule="auto" w:before="1"/>
        <w:ind w:left="319" w:right="1515"/>
      </w:pPr>
      <w:r>
        <w:rPr>
          <w:rFonts w:ascii="Bookman Old Style"/>
          <w:b/>
          <w:color w:val="231F20"/>
        </w:rPr>
        <w:t>can</w:t>
      </w:r>
      <w:r>
        <w:rPr>
          <w:rFonts w:ascii="Bookman Old Style"/>
          <w:b/>
          <w:color w:val="231F20"/>
          <w:spacing w:val="-53"/>
        </w:rPr>
        <w:t> </w:t>
      </w:r>
      <w:r>
        <w:rPr>
          <w:rFonts w:ascii="Bookman Old Style"/>
          <w:b/>
          <w:color w:val="231F20"/>
        </w:rPr>
        <w:t>minimize</w:t>
      </w:r>
      <w:r>
        <w:rPr>
          <w:rFonts w:ascii="Bookman Old Style"/>
          <w:b/>
          <w:color w:val="231F20"/>
          <w:spacing w:val="-53"/>
        </w:rPr>
        <w:t> </w:t>
      </w:r>
      <w:r>
        <w:rPr>
          <w:rFonts w:ascii="Bookman Old Style"/>
          <w:b/>
          <w:color w:val="231F20"/>
        </w:rPr>
        <w:t>this</w:t>
      </w:r>
      <w:r>
        <w:rPr>
          <w:rFonts w:ascii="Bookman Old Style"/>
          <w:b/>
          <w:color w:val="231F20"/>
          <w:spacing w:val="-54"/>
        </w:rPr>
        <w:t> </w:t>
      </w:r>
      <w:r>
        <w:rPr>
          <w:rFonts w:ascii="Bookman Old Style"/>
          <w:b/>
          <w:color w:val="231F20"/>
        </w:rPr>
        <w:t>impact.</w:t>
      </w:r>
      <w:r>
        <w:rPr>
          <w:rFonts w:ascii="Bookman Old Style"/>
          <w:b/>
          <w:color w:val="231F20"/>
          <w:spacing w:val="-55"/>
        </w:rPr>
        <w:t> </w:t>
      </w:r>
      <w:r>
        <w:rPr>
          <w:color w:val="231F20"/>
          <w:spacing w:val="-7"/>
        </w:rPr>
        <w:t>For </w:t>
      </w:r>
      <w:r>
        <w:rPr>
          <w:color w:val="231F20"/>
        </w:rPr>
        <w:t>example, </w:t>
      </w:r>
      <w:r>
        <w:rPr>
          <w:i/>
          <w:color w:val="231F20"/>
        </w:rPr>
        <w:t>Salmonella </w:t>
      </w:r>
      <w:r>
        <w:rPr>
          <w:color w:val="231F20"/>
          <w:spacing w:val="-3"/>
        </w:rPr>
        <w:t>Typhimurium, </w:t>
      </w:r>
      <w:r>
        <w:rPr>
          <w:color w:val="231F20"/>
        </w:rPr>
        <w:t>a common serotype, provides the opportunity for misclassification (i.e., grouping together cases resulting from different exposures). </w:t>
      </w:r>
      <w:r>
        <w:rPr>
          <w:color w:val="231F20"/>
          <w:spacing w:val="-4"/>
        </w:rPr>
        <w:t>However, </w:t>
      </w:r>
      <w:r>
        <w:rPr>
          <w:i/>
          <w:color w:val="231F20"/>
        </w:rPr>
        <w:t>Salmonella </w:t>
      </w:r>
      <w:r>
        <w:rPr>
          <w:color w:val="231F20"/>
          <w:spacing w:val="-3"/>
        </w:rPr>
        <w:t>Typhimurium </w:t>
      </w:r>
      <w:r>
        <w:rPr>
          <w:color w:val="231F20"/>
        </w:rPr>
        <w:t>cases that are part of a common-source outbreak are more likely   than</w:t>
      </w:r>
    </w:p>
    <w:p>
      <w:pPr>
        <w:spacing w:after="0" w:line="266" w:lineRule="auto"/>
        <w:sectPr>
          <w:type w:val="continuous"/>
          <w:pgSz w:w="10080" w:h="14400"/>
          <w:pgMar w:top="0" w:bottom="0" w:left="0" w:right="0"/>
          <w:cols w:num="2" w:equalWidth="0">
            <w:col w:w="4501" w:space="40"/>
            <w:col w:w="5539"/>
          </w:cols>
        </w:sectPr>
      </w:pPr>
    </w:p>
    <w:p>
      <w:pPr>
        <w:pStyle w:val="BodyText"/>
        <w:spacing w:before="8"/>
        <w:rPr>
          <w:sz w:val="10"/>
        </w:rPr>
      </w:pPr>
    </w:p>
    <w:p>
      <w:pPr>
        <w:pStyle w:val="Heading1"/>
      </w:pPr>
      <w:r>
        <w:rPr/>
        <w:pict>
          <v:line style="position:absolute;mso-position-horizontal-relative:page;mso-position-vertical-relative:paragraph;z-index:2608;mso-wrap-distance-left:0;mso-wrap-distance-right:0" from="72pt,23.995163pt" to="468pt,23.995163pt" stroked="true" strokeweight=".5pt" strokecolor="#00a94f">
            <v:stroke dashstyle="solid"/>
            <w10:wrap type="topAndBottom"/>
          </v:line>
        </w:pict>
      </w:r>
      <w:r>
        <w:rPr>
          <w:color w:val="00A94F"/>
          <w:w w:val="95"/>
        </w:rPr>
        <w:t>4.2. Pathogen-Specific Surveillance</w:t>
      </w:r>
    </w:p>
    <w:p>
      <w:pPr>
        <w:pStyle w:val="BodyText"/>
        <w:spacing w:before="7"/>
        <w:rPr>
          <w:rFonts w:ascii="Lucida Sans"/>
          <w:sz w:val="17"/>
        </w:rPr>
      </w:pPr>
    </w:p>
    <w:p>
      <w:pPr>
        <w:spacing w:after="0"/>
        <w:rPr>
          <w:rFonts w:ascii="Lucida Sans"/>
          <w:sz w:val="17"/>
        </w:rPr>
        <w:sectPr>
          <w:pgSz w:w="10080" w:h="14400"/>
          <w:pgMar w:header="0" w:footer="0" w:top="1160" w:bottom="280" w:left="0" w:right="0"/>
        </w:sectPr>
      </w:pPr>
    </w:p>
    <w:p>
      <w:pPr>
        <w:pStyle w:val="BodyText"/>
        <w:spacing w:line="266" w:lineRule="auto" w:before="108"/>
        <w:ind w:left="1440" w:right="76"/>
      </w:pPr>
      <w:r>
        <w:rPr>
          <w:color w:val="231F20"/>
        </w:rPr>
        <w:t>cases not associated with the outbreak to share a PFGE subtype. Therefore, using the PFGE subtype in the case definition will decrease misclassification (i.e., exclude cases not related to the outbreak) and increase the chance of finding a statistically significant association between illness and exposure. This is the basic principle  behind</w:t>
      </w:r>
      <w:r>
        <w:rPr>
          <w:color w:val="231F20"/>
          <w:spacing w:val="17"/>
        </w:rPr>
        <w:t> </w:t>
      </w:r>
      <w:r>
        <w:rPr>
          <w:color w:val="231F20"/>
        </w:rPr>
        <w:t>PulseNet.</w:t>
      </w:r>
    </w:p>
    <w:p>
      <w:pPr>
        <w:pStyle w:val="BodyText"/>
        <w:spacing w:line="266" w:lineRule="auto" w:before="180"/>
        <w:ind w:left="1440" w:right="48"/>
      </w:pPr>
      <w:r>
        <w:rPr/>
        <w:pict>
          <v:rect style="position:absolute;margin-left:0pt;margin-top:33.899353pt;width:45pt;height:18pt;mso-position-horizontal-relative:page;mso-position-vertical-relative:paragraph;z-index:2632" filled="true" fillcolor="#0079c1" stroked="false">
            <v:fill type="solid"/>
            <w10:wrap type="none"/>
          </v:rect>
        </w:pict>
      </w:r>
      <w:r>
        <w:rPr/>
        <w:pict>
          <v:line style="position:absolute;mso-position-horizontal-relative:page;mso-position-vertical-relative:paragraph;z-index:2656" from="54.5pt,33.896954pt" to="54.5pt,236.305954pt" stroked="true" strokeweight="1pt" strokecolor="#0079c1">
            <v:stroke dashstyle="solid"/>
            <w10:wrap type="none"/>
          </v:line>
        </w:pict>
      </w:r>
      <w:r>
        <w:rPr/>
        <w:pict>
          <v:shape style="position:absolute;margin-left:18.200388pt;margin-top:38.650307pt;width:15.85pt;height:8.5pt;mso-position-horizontal-relative:page;mso-position-vertical-relative:paragraph;z-index:2704"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rPr>
        <w:t>Increasing the specificity of strain classification, for example </w:t>
      </w:r>
      <w:r>
        <w:rPr>
          <w:color w:val="231F20"/>
          <w:spacing w:val="-3"/>
        </w:rPr>
        <w:t>by </w:t>
      </w:r>
      <w:r>
        <w:rPr>
          <w:color w:val="231F20"/>
        </w:rPr>
        <w:t>using serotypes, PFGE results, or whole-genome sequencing, is useful</w:t>
      </w:r>
      <w:r>
        <w:rPr>
          <w:color w:val="231F20"/>
          <w:spacing w:val="19"/>
        </w:rPr>
        <w:t> </w:t>
      </w:r>
      <w:r>
        <w:rPr>
          <w:color w:val="231F20"/>
        </w:rPr>
        <w:t>but</w:t>
      </w:r>
    </w:p>
    <w:p>
      <w:pPr>
        <w:pStyle w:val="BodyText"/>
        <w:spacing w:line="266" w:lineRule="auto"/>
        <w:ind w:left="1440" w:right="137"/>
      </w:pPr>
      <w:r>
        <w:rPr/>
        <w:pict>
          <v:shape style="position:absolute;margin-left:16.402201pt;margin-top:8.422646pt;width:22.3pt;height:183.2pt;mso-position-horizontal-relative:page;mso-position-vertical-relative:paragraph;z-index:2680"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color w:val="231F20"/>
          <w:w w:val="105"/>
        </w:rPr>
        <w:t>has drawbacks. Some outbreaks are caused </w:t>
      </w:r>
      <w:r>
        <w:rPr>
          <w:color w:val="231F20"/>
          <w:spacing w:val="-3"/>
          <w:w w:val="105"/>
        </w:rPr>
        <w:t>by</w:t>
      </w:r>
      <w:r>
        <w:rPr>
          <w:color w:val="231F20"/>
          <w:spacing w:val="-14"/>
          <w:w w:val="105"/>
        </w:rPr>
        <w:t> </w:t>
      </w:r>
      <w:r>
        <w:rPr>
          <w:color w:val="231F20"/>
          <w:w w:val="105"/>
        </w:rPr>
        <w:t>more</w:t>
      </w:r>
      <w:r>
        <w:rPr>
          <w:color w:val="231F20"/>
          <w:spacing w:val="-14"/>
          <w:w w:val="105"/>
        </w:rPr>
        <w:t> </w:t>
      </w:r>
      <w:r>
        <w:rPr>
          <w:color w:val="231F20"/>
          <w:w w:val="105"/>
        </w:rPr>
        <w:t>than</w:t>
      </w:r>
      <w:r>
        <w:rPr>
          <w:color w:val="231F20"/>
          <w:spacing w:val="-14"/>
          <w:w w:val="105"/>
        </w:rPr>
        <w:t> </w:t>
      </w:r>
      <w:r>
        <w:rPr>
          <w:color w:val="231F20"/>
          <w:w w:val="105"/>
        </w:rPr>
        <w:t>one</w:t>
      </w:r>
      <w:r>
        <w:rPr>
          <w:color w:val="231F20"/>
          <w:spacing w:val="-14"/>
          <w:w w:val="105"/>
        </w:rPr>
        <w:t> </w:t>
      </w:r>
      <w:r>
        <w:rPr>
          <w:color w:val="231F20"/>
          <w:w w:val="105"/>
        </w:rPr>
        <w:t>pathogen</w:t>
      </w:r>
      <w:r>
        <w:rPr>
          <w:color w:val="231F20"/>
          <w:spacing w:val="-14"/>
          <w:w w:val="105"/>
        </w:rPr>
        <w:t> </w:t>
      </w:r>
      <w:r>
        <w:rPr>
          <w:color w:val="231F20"/>
          <w:w w:val="105"/>
        </w:rPr>
        <w:t>or</w:t>
      </w:r>
      <w:r>
        <w:rPr>
          <w:color w:val="231F20"/>
          <w:spacing w:val="-14"/>
          <w:w w:val="105"/>
        </w:rPr>
        <w:t> </w:t>
      </w:r>
      <w:r>
        <w:rPr>
          <w:color w:val="231F20"/>
          <w:w w:val="105"/>
        </w:rPr>
        <w:t>more</w:t>
      </w:r>
      <w:r>
        <w:rPr>
          <w:color w:val="231F20"/>
          <w:spacing w:val="-14"/>
          <w:w w:val="105"/>
        </w:rPr>
        <w:t> </w:t>
      </w:r>
      <w:r>
        <w:rPr>
          <w:color w:val="231F20"/>
          <w:w w:val="105"/>
        </w:rPr>
        <w:t>than</w:t>
      </w:r>
      <w:r>
        <w:rPr>
          <w:color w:val="231F20"/>
          <w:spacing w:val="-14"/>
          <w:w w:val="105"/>
        </w:rPr>
        <w:t> </w:t>
      </w:r>
      <w:r>
        <w:rPr>
          <w:color w:val="231F20"/>
          <w:w w:val="105"/>
        </w:rPr>
        <w:t>one</w:t>
      </w:r>
    </w:p>
    <w:p>
      <w:pPr>
        <w:pStyle w:val="BodyText"/>
        <w:spacing w:line="266" w:lineRule="auto"/>
        <w:ind w:left="1440" w:right="161"/>
      </w:pPr>
      <w:r>
        <w:rPr>
          <w:color w:val="231F20"/>
        </w:rPr>
        <w:t>subtype of a pathogen. If the strain associated with an outbreak is defined too  narrowly</w:t>
      </w:r>
    </w:p>
    <w:p>
      <w:pPr>
        <w:pStyle w:val="BodyText"/>
        <w:spacing w:line="266" w:lineRule="auto"/>
        <w:ind w:left="1440" w:right="6"/>
      </w:pPr>
      <w:r>
        <w:rPr>
          <w:color w:val="231F20"/>
          <w:spacing w:val="-3"/>
        </w:rPr>
        <w:t>by </w:t>
      </w:r>
      <w:r>
        <w:rPr>
          <w:color w:val="231F20"/>
        </w:rPr>
        <w:t>investigators, truly associated cases with different subtypes (or no subtyping at all) will be eliminated from the investigation. Elimination  of  these cases may become</w:t>
      </w:r>
      <w:r>
        <w:rPr>
          <w:color w:val="231F20"/>
          <w:spacing w:val="9"/>
        </w:rPr>
        <w:t> </w:t>
      </w:r>
      <w:r>
        <w:rPr>
          <w:color w:val="231F20"/>
        </w:rPr>
        <w:t>problematic</w:t>
      </w:r>
    </w:p>
    <w:p>
      <w:pPr>
        <w:pStyle w:val="BodyText"/>
        <w:spacing w:line="266" w:lineRule="auto"/>
        <w:ind w:left="1440" w:right="58"/>
      </w:pPr>
      <w:r>
        <w:rPr>
          <w:color w:val="231F20"/>
          <w:w w:val="105"/>
        </w:rPr>
        <w:t>when the number of cases associated with an outbreak is small. It can result in overlooking an</w:t>
      </w:r>
      <w:r>
        <w:rPr>
          <w:color w:val="231F20"/>
          <w:spacing w:val="-14"/>
          <w:w w:val="105"/>
        </w:rPr>
        <w:t> </w:t>
      </w:r>
      <w:r>
        <w:rPr>
          <w:color w:val="231F20"/>
          <w:w w:val="105"/>
        </w:rPr>
        <w:t>outbreak</w:t>
      </w:r>
      <w:r>
        <w:rPr>
          <w:color w:val="231F20"/>
          <w:spacing w:val="-14"/>
          <w:w w:val="105"/>
        </w:rPr>
        <w:t> </w:t>
      </w:r>
      <w:r>
        <w:rPr>
          <w:color w:val="231F20"/>
          <w:w w:val="105"/>
        </w:rPr>
        <w:t>altogether,</w:t>
      </w:r>
      <w:r>
        <w:rPr>
          <w:color w:val="231F20"/>
          <w:spacing w:val="-14"/>
          <w:w w:val="105"/>
        </w:rPr>
        <w:t> </w:t>
      </w:r>
      <w:r>
        <w:rPr>
          <w:color w:val="231F20"/>
          <w:w w:val="105"/>
        </w:rPr>
        <w:t>but</w:t>
      </w:r>
      <w:r>
        <w:rPr>
          <w:color w:val="231F20"/>
          <w:spacing w:val="-14"/>
          <w:w w:val="105"/>
        </w:rPr>
        <w:t> </w:t>
      </w:r>
      <w:r>
        <w:rPr>
          <w:color w:val="231F20"/>
          <w:w w:val="105"/>
        </w:rPr>
        <w:t>it</w:t>
      </w:r>
      <w:r>
        <w:rPr>
          <w:color w:val="231F20"/>
          <w:spacing w:val="-14"/>
          <w:w w:val="105"/>
        </w:rPr>
        <w:t> </w:t>
      </w:r>
      <w:r>
        <w:rPr>
          <w:color w:val="231F20"/>
          <w:w w:val="105"/>
        </w:rPr>
        <w:t>also</w:t>
      </w:r>
      <w:r>
        <w:rPr>
          <w:color w:val="231F20"/>
          <w:spacing w:val="-14"/>
          <w:w w:val="105"/>
        </w:rPr>
        <w:t> </w:t>
      </w:r>
      <w:r>
        <w:rPr>
          <w:color w:val="231F20"/>
          <w:w w:val="105"/>
        </w:rPr>
        <w:t>can</w:t>
      </w:r>
      <w:r>
        <w:rPr>
          <w:color w:val="231F20"/>
          <w:spacing w:val="-14"/>
          <w:w w:val="105"/>
        </w:rPr>
        <w:t> </w:t>
      </w:r>
      <w:r>
        <w:rPr>
          <w:color w:val="231F20"/>
          <w:w w:val="105"/>
        </w:rPr>
        <w:t>decrease study power and the likelihood of implicating a specific food as the source of the outbreak. In addition, genetic changes can occur as pathogens multiply </w:t>
      </w:r>
      <w:r>
        <w:rPr>
          <w:color w:val="231F20"/>
          <w:spacing w:val="-3"/>
          <w:w w:val="105"/>
        </w:rPr>
        <w:t>over </w:t>
      </w:r>
      <w:r>
        <w:rPr>
          <w:color w:val="231F20"/>
          <w:w w:val="105"/>
        </w:rPr>
        <w:t>time in food, the human </w:t>
      </w:r>
      <w:r>
        <w:rPr>
          <w:color w:val="231F20"/>
          <w:spacing w:val="-6"/>
          <w:w w:val="105"/>
        </w:rPr>
        <w:t>body, </w:t>
      </w:r>
      <w:r>
        <w:rPr>
          <w:color w:val="231F20"/>
          <w:w w:val="105"/>
        </w:rPr>
        <w:t>or the environment. Pathogens and strains differ in the rate of change. As a result, isolates deriving from the same source </w:t>
      </w:r>
      <w:r>
        <w:rPr>
          <w:color w:val="231F20"/>
          <w:spacing w:val="-4"/>
          <w:w w:val="105"/>
        </w:rPr>
        <w:t>(e.g., </w:t>
      </w:r>
      <w:r>
        <w:rPr>
          <w:color w:val="231F20"/>
          <w:w w:val="105"/>
        </w:rPr>
        <w:t>a contaminated food) can </w:t>
      </w:r>
      <w:r>
        <w:rPr>
          <w:color w:val="231F20"/>
          <w:spacing w:val="-3"/>
          <w:w w:val="105"/>
        </w:rPr>
        <w:t>have </w:t>
      </w:r>
      <w:r>
        <w:rPr>
          <w:color w:val="231F20"/>
          <w:w w:val="105"/>
        </w:rPr>
        <w:t>slightly </w:t>
      </w:r>
      <w:r>
        <w:rPr>
          <w:color w:val="231F20"/>
        </w:rPr>
        <w:t>different genome</w:t>
      </w:r>
      <w:r>
        <w:rPr>
          <w:color w:val="231F20"/>
          <w:spacing w:val="18"/>
        </w:rPr>
        <w:t> </w:t>
      </w:r>
      <w:r>
        <w:rPr>
          <w:color w:val="231F20"/>
        </w:rPr>
        <w:t>sequences.</w:t>
      </w:r>
    </w:p>
    <w:p>
      <w:pPr>
        <w:pStyle w:val="BodyText"/>
        <w:spacing w:line="266" w:lineRule="auto" w:before="180"/>
        <w:ind w:left="1440" w:right="320"/>
        <w:rPr>
          <w:sz w:val="11"/>
        </w:rPr>
      </w:pPr>
      <w:r>
        <w:rPr>
          <w:color w:val="231F20"/>
          <w:spacing w:val="-7"/>
          <w:w w:val="105"/>
        </w:rPr>
        <w:t>For </w:t>
      </w:r>
      <w:r>
        <w:rPr>
          <w:color w:val="231F20"/>
          <w:w w:val="105"/>
        </w:rPr>
        <w:t>these reasons, use of several different levels</w:t>
      </w:r>
      <w:r>
        <w:rPr>
          <w:color w:val="231F20"/>
          <w:spacing w:val="-14"/>
          <w:w w:val="105"/>
        </w:rPr>
        <w:t> </w:t>
      </w:r>
      <w:r>
        <w:rPr>
          <w:color w:val="231F20"/>
          <w:w w:val="105"/>
        </w:rPr>
        <w:t>of</w:t>
      </w:r>
      <w:r>
        <w:rPr>
          <w:color w:val="231F20"/>
          <w:spacing w:val="8"/>
          <w:w w:val="105"/>
        </w:rPr>
        <w:t> </w:t>
      </w:r>
      <w:r>
        <w:rPr>
          <w:color w:val="231F20"/>
          <w:w w:val="105"/>
        </w:rPr>
        <w:t>agent</w:t>
      </w:r>
      <w:r>
        <w:rPr>
          <w:color w:val="231F20"/>
          <w:spacing w:val="-14"/>
          <w:w w:val="105"/>
        </w:rPr>
        <w:t> </w:t>
      </w:r>
      <w:r>
        <w:rPr>
          <w:color w:val="231F20"/>
          <w:w w:val="105"/>
        </w:rPr>
        <w:t>specificity</w:t>
      </w:r>
      <w:r>
        <w:rPr>
          <w:color w:val="231F20"/>
          <w:spacing w:val="-14"/>
          <w:w w:val="105"/>
        </w:rPr>
        <w:t> </w:t>
      </w:r>
      <w:r>
        <w:rPr>
          <w:color w:val="231F20"/>
          <w:w w:val="105"/>
        </w:rPr>
        <w:t>during</w:t>
      </w:r>
      <w:r>
        <w:rPr>
          <w:color w:val="231F20"/>
          <w:spacing w:val="-14"/>
          <w:w w:val="105"/>
        </w:rPr>
        <w:t> </w:t>
      </w:r>
      <w:r>
        <w:rPr>
          <w:color w:val="231F20"/>
          <w:w w:val="105"/>
        </w:rPr>
        <w:t>analysis</w:t>
      </w:r>
      <w:r>
        <w:rPr>
          <w:color w:val="231F20"/>
          <w:spacing w:val="-14"/>
          <w:w w:val="105"/>
        </w:rPr>
        <w:t> </w:t>
      </w:r>
      <w:r>
        <w:rPr>
          <w:color w:val="231F20"/>
          <w:w w:val="105"/>
        </w:rPr>
        <w:t>of surveillance data and in the investigation of a cluster might be helpful. In addition, epidemiologic</w:t>
      </w:r>
      <w:r>
        <w:rPr>
          <w:color w:val="231F20"/>
          <w:spacing w:val="-24"/>
          <w:w w:val="105"/>
        </w:rPr>
        <w:t> </w:t>
      </w:r>
      <w:r>
        <w:rPr>
          <w:color w:val="231F20"/>
          <w:w w:val="105"/>
        </w:rPr>
        <w:t>evaluation</w:t>
      </w:r>
      <w:r>
        <w:rPr>
          <w:color w:val="231F20"/>
          <w:spacing w:val="-24"/>
          <w:w w:val="105"/>
        </w:rPr>
        <w:t> </w:t>
      </w:r>
      <w:r>
        <w:rPr>
          <w:color w:val="231F20"/>
          <w:w w:val="105"/>
        </w:rPr>
        <w:t>of</w:t>
      </w:r>
      <w:r>
        <w:rPr>
          <w:color w:val="231F20"/>
          <w:spacing w:val="-7"/>
          <w:w w:val="105"/>
        </w:rPr>
        <w:t> </w:t>
      </w:r>
      <w:r>
        <w:rPr>
          <w:color w:val="231F20"/>
          <w:w w:val="105"/>
        </w:rPr>
        <w:t>whole-genome sequences usually involves clustering of pathogens with closely related genome sequences into larger groupings. Initial discussions are under way to develop international</w:t>
      </w:r>
      <w:r>
        <w:rPr>
          <w:color w:val="231F20"/>
          <w:spacing w:val="-22"/>
          <w:w w:val="105"/>
        </w:rPr>
        <w:t> </w:t>
      </w:r>
      <w:r>
        <w:rPr>
          <w:color w:val="231F20"/>
          <w:w w:val="105"/>
        </w:rPr>
        <w:t>conventions</w:t>
      </w:r>
      <w:r>
        <w:rPr>
          <w:color w:val="231F20"/>
          <w:spacing w:val="-22"/>
          <w:w w:val="105"/>
        </w:rPr>
        <w:t> </w:t>
      </w:r>
      <w:r>
        <w:rPr>
          <w:color w:val="231F20"/>
          <w:w w:val="105"/>
        </w:rPr>
        <w:t>for</w:t>
      </w:r>
      <w:r>
        <w:rPr>
          <w:color w:val="231F20"/>
          <w:spacing w:val="-21"/>
          <w:w w:val="105"/>
        </w:rPr>
        <w:t> </w:t>
      </w:r>
      <w:r>
        <w:rPr>
          <w:color w:val="231F20"/>
          <w:w w:val="105"/>
        </w:rPr>
        <w:t>use</w:t>
      </w:r>
      <w:r>
        <w:rPr>
          <w:color w:val="231F20"/>
          <w:spacing w:val="-21"/>
          <w:w w:val="105"/>
        </w:rPr>
        <w:t> </w:t>
      </w:r>
      <w:r>
        <w:rPr>
          <w:color w:val="231F20"/>
          <w:w w:val="105"/>
        </w:rPr>
        <w:t>of</w:t>
      </w:r>
      <w:r>
        <w:rPr>
          <w:color w:val="231F20"/>
          <w:spacing w:val="-3"/>
          <w:w w:val="105"/>
        </w:rPr>
        <w:t> </w:t>
      </w:r>
      <w:r>
        <w:rPr>
          <w:color w:val="231F20"/>
          <w:w w:val="105"/>
        </w:rPr>
        <w:t>whole- genome sequence</w:t>
      </w:r>
      <w:r>
        <w:rPr>
          <w:color w:val="231F20"/>
          <w:spacing w:val="-15"/>
          <w:w w:val="105"/>
        </w:rPr>
        <w:t> </w:t>
      </w:r>
      <w:r>
        <w:rPr>
          <w:color w:val="231F20"/>
          <w:w w:val="105"/>
        </w:rPr>
        <w:t>data.</w:t>
      </w:r>
      <w:r>
        <w:rPr>
          <w:color w:val="231F20"/>
          <w:w w:val="105"/>
          <w:position w:val="7"/>
          <w:sz w:val="11"/>
        </w:rPr>
        <w:t>1</w:t>
      </w:r>
    </w:p>
    <w:p>
      <w:pPr>
        <w:spacing w:before="180"/>
        <w:ind w:left="1440" w:right="0" w:firstLine="0"/>
        <w:jc w:val="left"/>
        <w:rPr>
          <w:i/>
          <w:sz w:val="20"/>
        </w:rPr>
      </w:pPr>
      <w:r>
        <w:rPr>
          <w:i/>
          <w:color w:val="E36F1E"/>
          <w:w w:val="105"/>
          <w:sz w:val="20"/>
        </w:rPr>
        <w:t>4.2.9.3. Sensitivity and specificity of interviews of</w:t>
      </w:r>
      <w:r>
        <w:rPr>
          <w:i/>
          <w:color w:val="E36F1E"/>
          <w:spacing w:val="-13"/>
          <w:w w:val="105"/>
          <w:sz w:val="20"/>
        </w:rPr>
        <w:t> </w:t>
      </w:r>
      <w:r>
        <w:rPr>
          <w:i/>
          <w:color w:val="E36F1E"/>
          <w:w w:val="105"/>
          <w:sz w:val="20"/>
        </w:rPr>
        <w:t>cases</w:t>
      </w:r>
    </w:p>
    <w:p>
      <w:pPr>
        <w:pStyle w:val="BodyText"/>
        <w:spacing w:before="24"/>
        <w:ind w:left="1440"/>
      </w:pPr>
      <w:r>
        <w:rPr>
          <w:color w:val="231F20"/>
          <w:w w:val="105"/>
        </w:rPr>
        <w:t>One reason an ill person seeks medical</w:t>
      </w:r>
    </w:p>
    <w:p>
      <w:pPr>
        <w:pStyle w:val="BodyText"/>
        <w:spacing w:line="266" w:lineRule="auto" w:before="108"/>
        <w:ind w:left="320" w:right="651"/>
      </w:pPr>
      <w:r>
        <w:rPr/>
        <w:br w:type="column"/>
      </w:r>
      <w:r>
        <w:rPr>
          <w:color w:val="231F20"/>
          <w:w w:val="105"/>
        </w:rPr>
        <w:t>attention is suspicion that he or she might </w:t>
      </w:r>
      <w:r>
        <w:rPr>
          <w:color w:val="231F20"/>
          <w:spacing w:val="-3"/>
          <w:w w:val="105"/>
        </w:rPr>
        <w:t>have </w:t>
      </w:r>
      <w:r>
        <w:rPr>
          <w:color w:val="231F20"/>
          <w:w w:val="105"/>
        </w:rPr>
        <w:t>been part of a foodborne disease outbreak.</w:t>
      </w:r>
    </w:p>
    <w:p>
      <w:pPr>
        <w:pStyle w:val="BodyText"/>
        <w:spacing w:line="266" w:lineRule="auto"/>
        <w:ind w:left="320" w:right="738"/>
      </w:pPr>
      <w:r>
        <w:rPr>
          <w:color w:val="231F20"/>
          <w:w w:val="105"/>
        </w:rPr>
        <w:t>Routine case interviews should always identify group exposures, such as a banquet, after which other persons might have been ill. For these persons, the event itself largely (but not entirely) defines the exposures of interest, such as menu items. However, exposures</w:t>
      </w:r>
    </w:p>
    <w:p>
      <w:pPr>
        <w:pStyle w:val="BodyText"/>
        <w:spacing w:line="266" w:lineRule="auto"/>
        <w:ind w:left="320" w:right="906"/>
      </w:pPr>
      <w:r>
        <w:rPr>
          <w:color w:val="231F20"/>
          <w:w w:val="105"/>
        </w:rPr>
        <w:t>that need to be considered in pathogen- specific surveillance usually are open-ended; they include all exposures in a time frame appropriate to the disease.</w:t>
      </w:r>
    </w:p>
    <w:p>
      <w:pPr>
        <w:pStyle w:val="BodyText"/>
        <w:spacing w:line="266" w:lineRule="auto" w:before="180"/>
        <w:ind w:left="320" w:right="871"/>
      </w:pPr>
      <w:r>
        <w:rPr>
          <w:color w:val="231F20"/>
          <w:w w:val="105"/>
        </w:rPr>
        <w:t>As noted above, many local agencies collect information about a limited set of high-risk exposures when the case is initially reported, and routine collection of detailed exposure information can provide a basis for real- time evaluation of clusters that might be justified for enteric pathogens of sufficient public health importance. Lack of a list of specific exposures, such as a menu, makes prompting cases during the interview more</w:t>
      </w:r>
    </w:p>
    <w:p>
      <w:pPr>
        <w:pStyle w:val="BodyText"/>
        <w:spacing w:line="256" w:lineRule="auto"/>
        <w:ind w:left="320" w:right="761"/>
        <w:rPr>
          <w:rFonts w:ascii="Bookman Old Style"/>
          <w:b/>
        </w:rPr>
      </w:pPr>
      <w:r>
        <w:rPr>
          <w:color w:val="231F20"/>
        </w:rPr>
        <w:t>difficult. Furthermore, cases identified through pathogen-specific surveillance usually are interviewed later after the exposure than are those reported as part of specific events.</w:t>
      </w:r>
      <w:r>
        <w:rPr>
          <w:color w:val="231F20"/>
          <w:spacing w:val="-25"/>
        </w:rPr>
        <w:t> </w:t>
      </w:r>
      <w:r>
        <w:rPr>
          <w:rFonts w:ascii="Bookman Old Style"/>
          <w:b/>
          <w:color w:val="231F20"/>
        </w:rPr>
        <w:t>Thus, </w:t>
      </w:r>
      <w:r>
        <w:rPr>
          <w:rFonts w:ascii="Bookman Old Style"/>
          <w:b/>
          <w:color w:val="231F20"/>
          <w:w w:val="85"/>
        </w:rPr>
        <w:t>greater</w:t>
      </w:r>
      <w:r>
        <w:rPr>
          <w:rFonts w:ascii="Bookman Old Style"/>
          <w:b/>
          <w:color w:val="231F20"/>
          <w:spacing w:val="-28"/>
          <w:w w:val="85"/>
        </w:rPr>
        <w:t> </w:t>
      </w:r>
      <w:r>
        <w:rPr>
          <w:rFonts w:ascii="Bookman Old Style"/>
          <w:b/>
          <w:color w:val="231F20"/>
          <w:w w:val="85"/>
        </w:rPr>
        <w:t>attention</w:t>
      </w:r>
      <w:r>
        <w:rPr>
          <w:rFonts w:ascii="Bookman Old Style"/>
          <w:b/>
          <w:color w:val="231F20"/>
          <w:spacing w:val="-28"/>
          <w:w w:val="85"/>
        </w:rPr>
        <w:t> </w:t>
      </w:r>
      <w:r>
        <w:rPr>
          <w:rFonts w:ascii="Bookman Old Style"/>
          <w:b/>
          <w:color w:val="231F20"/>
          <w:w w:val="85"/>
        </w:rPr>
        <w:t>must</w:t>
      </w:r>
      <w:r>
        <w:rPr>
          <w:rFonts w:ascii="Bookman Old Style"/>
          <w:b/>
          <w:color w:val="231F20"/>
          <w:spacing w:val="-28"/>
          <w:w w:val="85"/>
        </w:rPr>
        <w:t> </w:t>
      </w:r>
      <w:r>
        <w:rPr>
          <w:rFonts w:ascii="Bookman Old Style"/>
          <w:b/>
          <w:color w:val="231F20"/>
          <w:w w:val="85"/>
        </w:rPr>
        <w:t>be</w:t>
      </w:r>
      <w:r>
        <w:rPr>
          <w:rFonts w:ascii="Bookman Old Style"/>
          <w:b/>
          <w:color w:val="231F20"/>
          <w:spacing w:val="-28"/>
          <w:w w:val="85"/>
        </w:rPr>
        <w:t> </w:t>
      </w:r>
      <w:r>
        <w:rPr>
          <w:rFonts w:ascii="Bookman Old Style"/>
          <w:b/>
          <w:color w:val="231F20"/>
          <w:w w:val="85"/>
        </w:rPr>
        <w:t>paid</w:t>
      </w:r>
      <w:r>
        <w:rPr>
          <w:rFonts w:ascii="Bookman Old Style"/>
          <w:b/>
          <w:color w:val="231F20"/>
          <w:spacing w:val="-28"/>
          <w:w w:val="85"/>
        </w:rPr>
        <w:t> </w:t>
      </w:r>
      <w:r>
        <w:rPr>
          <w:rFonts w:ascii="Bookman Old Style"/>
          <w:b/>
          <w:color w:val="231F20"/>
          <w:w w:val="85"/>
        </w:rPr>
        <w:t>to</w:t>
      </w:r>
      <w:r>
        <w:rPr>
          <w:rFonts w:ascii="Bookman Old Style"/>
          <w:b/>
          <w:color w:val="231F20"/>
          <w:spacing w:val="-28"/>
          <w:w w:val="85"/>
        </w:rPr>
        <w:t> </w:t>
      </w:r>
      <w:r>
        <w:rPr>
          <w:rFonts w:ascii="Bookman Old Style"/>
          <w:b/>
          <w:color w:val="231F20"/>
          <w:w w:val="85"/>
        </w:rPr>
        <w:t>interview </w:t>
      </w:r>
      <w:r>
        <w:rPr>
          <w:rFonts w:ascii="Bookman Old Style"/>
          <w:b/>
          <w:color w:val="231F20"/>
          <w:w w:val="80"/>
        </w:rPr>
        <w:t>timing and</w:t>
      </w:r>
      <w:r>
        <w:rPr>
          <w:rFonts w:ascii="Bookman Old Style"/>
          <w:b/>
          <w:color w:val="231F20"/>
          <w:spacing w:val="-3"/>
          <w:w w:val="80"/>
        </w:rPr>
        <w:t> </w:t>
      </w:r>
      <w:r>
        <w:rPr>
          <w:rFonts w:ascii="Bookman Old Style"/>
          <w:b/>
          <w:color w:val="231F20"/>
          <w:w w:val="80"/>
        </w:rPr>
        <w:t>content.</w:t>
      </w:r>
    </w:p>
    <w:p>
      <w:pPr>
        <w:pStyle w:val="ListParagraph"/>
        <w:numPr>
          <w:ilvl w:val="4"/>
          <w:numId w:val="9"/>
        </w:numPr>
        <w:tabs>
          <w:tab w:pos="1111" w:val="left" w:leader="none"/>
        </w:tabs>
        <w:spacing w:line="240" w:lineRule="auto" w:before="195" w:after="0"/>
        <w:ind w:left="1110" w:right="0" w:hanging="790"/>
        <w:jc w:val="left"/>
        <w:rPr>
          <w:i/>
          <w:sz w:val="20"/>
        </w:rPr>
      </w:pPr>
      <w:r>
        <w:rPr>
          <w:i/>
          <w:color w:val="0079C1"/>
          <w:w w:val="105"/>
          <w:sz w:val="20"/>
        </w:rPr>
        <w:t>Timing</w:t>
      </w:r>
    </w:p>
    <w:p>
      <w:pPr>
        <w:pStyle w:val="BodyText"/>
        <w:spacing w:line="266" w:lineRule="auto" w:before="24"/>
        <w:ind w:left="320" w:right="1138"/>
        <w:jc w:val="both"/>
      </w:pPr>
      <w:r>
        <w:rPr>
          <w:color w:val="231F20"/>
          <w:spacing w:val="-11"/>
          <w:w w:val="105"/>
        </w:rPr>
        <w:t>To </w:t>
      </w:r>
      <w:r>
        <w:rPr>
          <w:color w:val="231F20"/>
          <w:w w:val="105"/>
        </w:rPr>
        <w:t>decrease</w:t>
      </w:r>
      <w:r>
        <w:rPr>
          <w:color w:val="231F20"/>
          <w:spacing w:val="-12"/>
          <w:w w:val="105"/>
        </w:rPr>
        <w:t> </w:t>
      </w:r>
      <w:r>
        <w:rPr>
          <w:color w:val="231F20"/>
          <w:w w:val="105"/>
        </w:rPr>
        <w:t>the</w:t>
      </w:r>
      <w:r>
        <w:rPr>
          <w:color w:val="231F20"/>
          <w:spacing w:val="-12"/>
          <w:w w:val="105"/>
        </w:rPr>
        <w:t> </w:t>
      </w:r>
      <w:r>
        <w:rPr>
          <w:color w:val="231F20"/>
          <w:w w:val="105"/>
        </w:rPr>
        <w:t>time</w:t>
      </w:r>
      <w:r>
        <w:rPr>
          <w:color w:val="231F20"/>
          <w:spacing w:val="-12"/>
          <w:w w:val="105"/>
        </w:rPr>
        <w:t> </w:t>
      </w:r>
      <w:r>
        <w:rPr>
          <w:color w:val="231F20"/>
          <w:w w:val="105"/>
        </w:rPr>
        <w:t>between</w:t>
      </w:r>
      <w:r>
        <w:rPr>
          <w:color w:val="231F20"/>
          <w:spacing w:val="-12"/>
          <w:w w:val="105"/>
        </w:rPr>
        <w:t> </w:t>
      </w:r>
      <w:r>
        <w:rPr>
          <w:color w:val="231F20"/>
          <w:w w:val="105"/>
        </w:rPr>
        <w:t>exposure</w:t>
      </w:r>
      <w:r>
        <w:rPr>
          <w:color w:val="231F20"/>
          <w:spacing w:val="-11"/>
          <w:w w:val="105"/>
        </w:rPr>
        <w:t> </w:t>
      </w:r>
      <w:r>
        <w:rPr>
          <w:color w:val="231F20"/>
          <w:w w:val="105"/>
        </w:rPr>
        <w:t>to the</w:t>
      </w:r>
      <w:r>
        <w:rPr>
          <w:color w:val="231F20"/>
          <w:spacing w:val="-11"/>
          <w:w w:val="105"/>
        </w:rPr>
        <w:t> </w:t>
      </w:r>
      <w:r>
        <w:rPr>
          <w:color w:val="231F20"/>
          <w:w w:val="105"/>
        </w:rPr>
        <w:t>disease-causing</w:t>
      </w:r>
      <w:r>
        <w:rPr>
          <w:color w:val="231F20"/>
          <w:spacing w:val="-10"/>
          <w:w w:val="105"/>
        </w:rPr>
        <w:t> </w:t>
      </w:r>
      <w:r>
        <w:rPr>
          <w:color w:val="231F20"/>
          <w:w w:val="105"/>
        </w:rPr>
        <w:t>agent</w:t>
      </w:r>
      <w:r>
        <w:rPr>
          <w:color w:val="231F20"/>
          <w:spacing w:val="-11"/>
          <w:w w:val="105"/>
        </w:rPr>
        <w:t> </w:t>
      </w:r>
      <w:r>
        <w:rPr>
          <w:color w:val="231F20"/>
          <w:w w:val="105"/>
        </w:rPr>
        <w:t>and</w:t>
      </w:r>
      <w:r>
        <w:rPr>
          <w:color w:val="231F20"/>
          <w:spacing w:val="-11"/>
          <w:w w:val="105"/>
        </w:rPr>
        <w:t> </w:t>
      </w:r>
      <w:r>
        <w:rPr>
          <w:color w:val="231F20"/>
          <w:w w:val="105"/>
        </w:rPr>
        <w:t>interview</w:t>
      </w:r>
      <w:r>
        <w:rPr>
          <w:color w:val="231F20"/>
          <w:spacing w:val="-10"/>
          <w:w w:val="105"/>
        </w:rPr>
        <w:t> </w:t>
      </w:r>
      <w:r>
        <w:rPr>
          <w:color w:val="231F20"/>
          <w:w w:val="105"/>
        </w:rPr>
        <w:t>of the</w:t>
      </w:r>
      <w:r>
        <w:rPr>
          <w:color w:val="231F20"/>
          <w:spacing w:val="-13"/>
          <w:w w:val="105"/>
        </w:rPr>
        <w:t> </w:t>
      </w:r>
      <w:r>
        <w:rPr>
          <w:color w:val="231F20"/>
          <w:w w:val="105"/>
        </w:rPr>
        <w:t>case,</w:t>
      </w:r>
      <w:r>
        <w:rPr>
          <w:color w:val="231F20"/>
          <w:spacing w:val="-12"/>
          <w:w w:val="105"/>
        </w:rPr>
        <w:t> </w:t>
      </w:r>
      <w:r>
        <w:rPr>
          <w:color w:val="231F20"/>
          <w:w w:val="105"/>
        </w:rPr>
        <w:t>reporting</w:t>
      </w:r>
      <w:r>
        <w:rPr>
          <w:color w:val="231F20"/>
          <w:spacing w:val="-12"/>
          <w:w w:val="105"/>
        </w:rPr>
        <w:t> </w:t>
      </w:r>
      <w:r>
        <w:rPr>
          <w:color w:val="231F20"/>
          <w:w w:val="105"/>
        </w:rPr>
        <w:t>of</w:t>
      </w:r>
      <w:r>
        <w:rPr>
          <w:color w:val="231F20"/>
          <w:spacing w:val="11"/>
          <w:w w:val="105"/>
        </w:rPr>
        <w:t> </w:t>
      </w:r>
      <w:r>
        <w:rPr>
          <w:color w:val="231F20"/>
          <w:w w:val="105"/>
        </w:rPr>
        <w:t>cases</w:t>
      </w:r>
      <w:r>
        <w:rPr>
          <w:color w:val="231F20"/>
          <w:spacing w:val="-12"/>
          <w:w w:val="105"/>
        </w:rPr>
        <w:t> </w:t>
      </w:r>
      <w:r>
        <w:rPr>
          <w:color w:val="231F20"/>
          <w:spacing w:val="-3"/>
          <w:w w:val="105"/>
        </w:rPr>
        <w:t>by</w:t>
      </w:r>
      <w:r>
        <w:rPr>
          <w:color w:val="231F20"/>
          <w:spacing w:val="-13"/>
          <w:w w:val="105"/>
        </w:rPr>
        <w:t> </w:t>
      </w:r>
      <w:r>
        <w:rPr>
          <w:color w:val="231F20"/>
          <w:w w:val="105"/>
        </w:rPr>
        <w:t>health-care</w:t>
      </w:r>
    </w:p>
    <w:p>
      <w:pPr>
        <w:pStyle w:val="BodyText"/>
        <w:spacing w:line="266" w:lineRule="auto"/>
        <w:ind w:left="320" w:right="792"/>
      </w:pPr>
      <w:r>
        <w:rPr>
          <w:color w:val="231F20"/>
        </w:rPr>
        <w:t>providers and laboratories should be as easy as possible. Case interviews should be conducted as soon as possible because recall will be better closer to the time of  the exposure and cases will be more motivated to share information with investigators closer to the time of their illness.  Acquiring  timely  interviews  might entail working outside regular office </w:t>
      </w:r>
      <w:r>
        <w:rPr>
          <w:color w:val="231F20"/>
          <w:spacing w:val="35"/>
        </w:rPr>
        <w:t> </w:t>
      </w:r>
      <w:r>
        <w:rPr>
          <w:color w:val="231F20"/>
        </w:rPr>
        <w:t>hours.</w:t>
      </w:r>
    </w:p>
    <w:p>
      <w:pPr>
        <w:pStyle w:val="ListParagraph"/>
        <w:numPr>
          <w:ilvl w:val="4"/>
          <w:numId w:val="9"/>
        </w:numPr>
        <w:tabs>
          <w:tab w:pos="1111" w:val="left" w:leader="none"/>
        </w:tabs>
        <w:spacing w:line="240" w:lineRule="auto" w:before="180" w:after="0"/>
        <w:ind w:left="1110" w:right="0" w:hanging="790"/>
        <w:jc w:val="left"/>
        <w:rPr>
          <w:i/>
          <w:sz w:val="20"/>
        </w:rPr>
      </w:pPr>
      <w:r>
        <w:rPr>
          <w:i/>
          <w:color w:val="0079C1"/>
          <w:sz w:val="20"/>
        </w:rPr>
        <w:t>Content</w:t>
      </w:r>
    </w:p>
    <w:p>
      <w:pPr>
        <w:pStyle w:val="BodyText"/>
        <w:spacing w:line="266" w:lineRule="auto" w:before="24"/>
        <w:ind w:left="320" w:right="749"/>
      </w:pPr>
      <w:r>
        <w:rPr>
          <w:color w:val="231F20"/>
        </w:rPr>
        <w:t>In pathogen-specific surveillance, the interview form itself must include a broader range of possible exposures than interview forms for</w:t>
      </w:r>
    </w:p>
    <w:p>
      <w:pPr>
        <w:spacing w:after="0" w:line="266" w:lineRule="auto"/>
        <w:sectPr>
          <w:type w:val="continuous"/>
          <w:pgSz w:w="10080" w:h="14400"/>
          <w:pgMar w:top="0" w:bottom="0" w:left="0" w:right="0"/>
          <w:cols w:num="2" w:equalWidth="0">
            <w:col w:w="5220" w:space="40"/>
            <w:col w:w="4820"/>
          </w:cols>
        </w:sectPr>
      </w:pPr>
    </w:p>
    <w:p>
      <w:pPr>
        <w:pStyle w:val="BodyText"/>
        <w:spacing w:before="8"/>
        <w:rPr>
          <w:sz w:val="26"/>
        </w:rPr>
      </w:pPr>
    </w:p>
    <w:p>
      <w:pPr>
        <w:pStyle w:val="Heading1"/>
        <w:ind w:left="720"/>
      </w:pPr>
      <w:r>
        <w:rPr/>
        <w:pict>
          <v:line style="position:absolute;mso-position-horizontal-relative:page;mso-position-vertical-relative:paragraph;z-index:2728;mso-wrap-distance-left:0;mso-wrap-distance-right:0" from="36pt,23.995163pt" to="432pt,23.995163pt" stroked="true" strokeweight=".5pt" strokecolor="#00a94f">
            <v:stroke dashstyle="solid"/>
            <w10:wrap type="topAndBottom"/>
          </v:line>
        </w:pict>
      </w:r>
      <w:r>
        <w:rPr>
          <w:color w:val="00A94F"/>
          <w:w w:val="95"/>
        </w:rPr>
        <w:t>4.2. Pathogen-Specific Surveillance</w:t>
      </w:r>
    </w:p>
    <w:p>
      <w:pPr>
        <w:pStyle w:val="BodyText"/>
        <w:spacing w:before="7"/>
        <w:rPr>
          <w:rFonts w:ascii="Lucida Sans"/>
          <w:sz w:val="17"/>
        </w:rPr>
      </w:pPr>
    </w:p>
    <w:p>
      <w:pPr>
        <w:spacing w:after="0"/>
        <w:rPr>
          <w:rFonts w:ascii="Lucida Sans"/>
          <w:sz w:val="17"/>
        </w:rPr>
        <w:sectPr>
          <w:pgSz w:w="10080" w:h="14400"/>
          <w:pgMar w:header="0" w:footer="0" w:top="980" w:bottom="280" w:left="0" w:right="0"/>
        </w:sectPr>
      </w:pPr>
    </w:p>
    <w:p>
      <w:pPr>
        <w:pStyle w:val="BodyText"/>
        <w:spacing w:line="266" w:lineRule="auto" w:before="108"/>
        <w:ind w:left="720" w:right="38"/>
      </w:pPr>
      <w:r>
        <w:rPr>
          <w:color w:val="231F20"/>
          <w:w w:val="105"/>
        </w:rPr>
        <w:t>event-driven investigations. Interview forms that use a combination of question types will increase</w:t>
      </w:r>
      <w:r>
        <w:rPr>
          <w:color w:val="231F20"/>
          <w:spacing w:val="-14"/>
          <w:w w:val="105"/>
        </w:rPr>
        <w:t> </w:t>
      </w:r>
      <w:r>
        <w:rPr>
          <w:color w:val="231F20"/>
          <w:w w:val="105"/>
        </w:rPr>
        <w:t>the</w:t>
      </w:r>
      <w:r>
        <w:rPr>
          <w:color w:val="231F20"/>
          <w:spacing w:val="-14"/>
          <w:w w:val="105"/>
        </w:rPr>
        <w:t> </w:t>
      </w:r>
      <w:r>
        <w:rPr>
          <w:color w:val="231F20"/>
          <w:w w:val="105"/>
        </w:rPr>
        <w:t>likelihood</w:t>
      </w:r>
      <w:r>
        <w:rPr>
          <w:color w:val="231F20"/>
          <w:spacing w:val="-14"/>
          <w:w w:val="105"/>
        </w:rPr>
        <w:t> </w:t>
      </w:r>
      <w:r>
        <w:rPr>
          <w:color w:val="231F20"/>
          <w:w w:val="105"/>
        </w:rPr>
        <w:t>of</w:t>
      </w:r>
      <w:r>
        <w:rPr>
          <w:color w:val="231F20"/>
          <w:spacing w:val="10"/>
          <w:w w:val="105"/>
        </w:rPr>
        <w:t> </w:t>
      </w:r>
      <w:r>
        <w:rPr>
          <w:color w:val="231F20"/>
          <w:w w:val="105"/>
        </w:rPr>
        <w:t>detecting</w:t>
      </w:r>
      <w:r>
        <w:rPr>
          <w:color w:val="231F20"/>
          <w:spacing w:val="-13"/>
          <w:w w:val="105"/>
        </w:rPr>
        <w:t> </w:t>
      </w:r>
      <w:r>
        <w:rPr>
          <w:color w:val="231F20"/>
          <w:w w:val="105"/>
        </w:rPr>
        <w:t>the</w:t>
      </w:r>
      <w:r>
        <w:rPr>
          <w:color w:val="231F20"/>
          <w:spacing w:val="-14"/>
          <w:w w:val="105"/>
        </w:rPr>
        <w:t> </w:t>
      </w:r>
      <w:r>
        <w:rPr>
          <w:color w:val="231F20"/>
          <w:w w:val="105"/>
        </w:rPr>
        <w:t>desired exposure information and should be used, as appropriate</w:t>
      </w:r>
      <w:r>
        <w:rPr>
          <w:color w:val="231F20"/>
          <w:spacing w:val="-17"/>
          <w:w w:val="105"/>
        </w:rPr>
        <w:t> </w:t>
      </w:r>
      <w:r>
        <w:rPr>
          <w:color w:val="231F20"/>
          <w:w w:val="105"/>
        </w:rPr>
        <w:t>to</w:t>
      </w:r>
      <w:r>
        <w:rPr>
          <w:color w:val="231F20"/>
          <w:spacing w:val="-18"/>
          <w:w w:val="105"/>
        </w:rPr>
        <w:t> </w:t>
      </w:r>
      <w:r>
        <w:rPr>
          <w:color w:val="231F20"/>
          <w:w w:val="105"/>
        </w:rPr>
        <w:t>the</w:t>
      </w:r>
      <w:r>
        <w:rPr>
          <w:color w:val="231F20"/>
          <w:spacing w:val="-18"/>
          <w:w w:val="105"/>
        </w:rPr>
        <w:t> </w:t>
      </w:r>
      <w:r>
        <w:rPr>
          <w:color w:val="231F20"/>
          <w:w w:val="105"/>
        </w:rPr>
        <w:t>outbreak</w:t>
      </w:r>
      <w:r>
        <w:rPr>
          <w:color w:val="231F20"/>
          <w:spacing w:val="-18"/>
          <w:w w:val="105"/>
        </w:rPr>
        <w:t> </w:t>
      </w:r>
      <w:r>
        <w:rPr>
          <w:color w:val="231F20"/>
          <w:w w:val="105"/>
        </w:rPr>
        <w:t>circumstances.</w:t>
      </w:r>
    </w:p>
    <w:p>
      <w:pPr>
        <w:pStyle w:val="BodyText"/>
        <w:ind w:left="720"/>
      </w:pPr>
      <w:r>
        <w:rPr>
          <w:color w:val="231F20"/>
          <w:w w:val="105"/>
        </w:rPr>
        <w:t>Interview forms can include questions that:</w:t>
      </w:r>
    </w:p>
    <w:p>
      <w:pPr>
        <w:pStyle w:val="BodyText"/>
        <w:spacing w:before="2"/>
        <w:rPr>
          <w:sz w:val="18"/>
        </w:rPr>
      </w:pPr>
    </w:p>
    <w:p>
      <w:pPr>
        <w:pStyle w:val="ListParagraph"/>
        <w:numPr>
          <w:ilvl w:val="5"/>
          <w:numId w:val="9"/>
        </w:numPr>
        <w:tabs>
          <w:tab w:pos="891" w:val="left" w:leader="none"/>
        </w:tabs>
        <w:spacing w:line="266" w:lineRule="auto" w:before="0" w:after="0"/>
        <w:ind w:left="890" w:right="4" w:hanging="170"/>
        <w:jc w:val="left"/>
        <w:rPr>
          <w:sz w:val="20"/>
        </w:rPr>
      </w:pPr>
      <w:r>
        <w:rPr>
          <w:color w:val="231F20"/>
          <w:w w:val="105"/>
          <w:sz w:val="20"/>
        </w:rPr>
        <w:t>Collect</w:t>
      </w:r>
      <w:r>
        <w:rPr>
          <w:color w:val="231F20"/>
          <w:spacing w:val="-23"/>
          <w:w w:val="105"/>
          <w:sz w:val="20"/>
        </w:rPr>
        <w:t> </w:t>
      </w:r>
      <w:r>
        <w:rPr>
          <w:color w:val="231F20"/>
          <w:w w:val="105"/>
          <w:sz w:val="20"/>
        </w:rPr>
        <w:t>information</w:t>
      </w:r>
      <w:r>
        <w:rPr>
          <w:color w:val="231F20"/>
          <w:spacing w:val="-23"/>
          <w:w w:val="105"/>
          <w:sz w:val="20"/>
        </w:rPr>
        <w:t> </w:t>
      </w:r>
      <w:r>
        <w:rPr>
          <w:color w:val="231F20"/>
          <w:w w:val="105"/>
          <w:sz w:val="20"/>
        </w:rPr>
        <w:t>about</w:t>
      </w:r>
      <w:r>
        <w:rPr>
          <w:color w:val="231F20"/>
          <w:spacing w:val="-23"/>
          <w:w w:val="105"/>
          <w:sz w:val="20"/>
        </w:rPr>
        <w:t> </w:t>
      </w:r>
      <w:r>
        <w:rPr>
          <w:color w:val="231F20"/>
          <w:w w:val="105"/>
          <w:sz w:val="20"/>
        </w:rPr>
        <w:t>specific</w:t>
      </w:r>
      <w:r>
        <w:rPr>
          <w:color w:val="231F20"/>
          <w:spacing w:val="-23"/>
          <w:w w:val="105"/>
          <w:sz w:val="20"/>
        </w:rPr>
        <w:t> </w:t>
      </w:r>
      <w:r>
        <w:rPr>
          <w:color w:val="231F20"/>
          <w:w w:val="105"/>
          <w:sz w:val="20"/>
        </w:rPr>
        <w:t>exposures, such</w:t>
      </w:r>
      <w:r>
        <w:rPr>
          <w:color w:val="231F20"/>
          <w:spacing w:val="-14"/>
          <w:w w:val="105"/>
          <w:sz w:val="20"/>
        </w:rPr>
        <w:t> </w:t>
      </w:r>
      <w:r>
        <w:rPr>
          <w:color w:val="231F20"/>
          <w:w w:val="105"/>
          <w:sz w:val="20"/>
        </w:rPr>
        <w:t>as</w:t>
      </w:r>
      <w:r>
        <w:rPr>
          <w:color w:val="231F20"/>
          <w:spacing w:val="-14"/>
          <w:w w:val="105"/>
          <w:sz w:val="20"/>
        </w:rPr>
        <w:t> </w:t>
      </w:r>
      <w:r>
        <w:rPr>
          <w:color w:val="231F20"/>
          <w:w w:val="105"/>
          <w:sz w:val="20"/>
        </w:rPr>
        <w:t>a</w:t>
      </w:r>
      <w:r>
        <w:rPr>
          <w:color w:val="231F20"/>
          <w:spacing w:val="-14"/>
          <w:w w:val="105"/>
          <w:sz w:val="20"/>
        </w:rPr>
        <w:t> </w:t>
      </w:r>
      <w:r>
        <w:rPr>
          <w:color w:val="231F20"/>
          <w:w w:val="105"/>
          <w:sz w:val="20"/>
        </w:rPr>
        <w:t>broad</w:t>
      </w:r>
      <w:r>
        <w:rPr>
          <w:color w:val="231F20"/>
          <w:spacing w:val="-14"/>
          <w:w w:val="105"/>
          <w:sz w:val="20"/>
        </w:rPr>
        <w:t> </w:t>
      </w:r>
      <w:r>
        <w:rPr>
          <w:color w:val="231F20"/>
          <w:w w:val="105"/>
          <w:sz w:val="20"/>
        </w:rPr>
        <w:t>range</w:t>
      </w:r>
      <w:r>
        <w:rPr>
          <w:color w:val="231F20"/>
          <w:spacing w:val="-14"/>
          <w:w w:val="105"/>
          <w:sz w:val="20"/>
        </w:rPr>
        <w:t> </w:t>
      </w:r>
      <w:r>
        <w:rPr>
          <w:color w:val="231F20"/>
          <w:w w:val="105"/>
          <w:sz w:val="20"/>
        </w:rPr>
        <w:t>of</w:t>
      </w:r>
      <w:r>
        <w:rPr>
          <w:color w:val="231F20"/>
          <w:spacing w:val="8"/>
          <w:w w:val="105"/>
          <w:sz w:val="20"/>
        </w:rPr>
        <w:t> </w:t>
      </w:r>
      <w:r>
        <w:rPr>
          <w:color w:val="231F20"/>
          <w:w w:val="105"/>
          <w:sz w:val="20"/>
        </w:rPr>
        <w:t>specific</w:t>
      </w:r>
      <w:r>
        <w:rPr>
          <w:color w:val="231F20"/>
          <w:spacing w:val="-14"/>
          <w:w w:val="105"/>
          <w:sz w:val="20"/>
        </w:rPr>
        <w:t> </w:t>
      </w:r>
      <w:r>
        <w:rPr>
          <w:color w:val="231F20"/>
          <w:w w:val="105"/>
          <w:sz w:val="20"/>
        </w:rPr>
        <w:t>food</w:t>
      </w:r>
    </w:p>
    <w:p>
      <w:pPr>
        <w:pStyle w:val="BodyText"/>
        <w:spacing w:line="266" w:lineRule="auto"/>
        <w:ind w:left="890" w:right="121"/>
      </w:pPr>
      <w:r>
        <w:rPr>
          <w:color w:val="231F20"/>
          <w:w w:val="105"/>
        </w:rPr>
        <w:t>items and nonfood exposures previously (or plausibly) associated with the pathogen </w:t>
      </w:r>
      <w:r>
        <w:rPr>
          <w:color w:val="231F20"/>
        </w:rPr>
        <w:t>through closed-ended  questions;</w:t>
      </w:r>
    </w:p>
    <w:p>
      <w:pPr>
        <w:pStyle w:val="ListParagraph"/>
        <w:numPr>
          <w:ilvl w:val="5"/>
          <w:numId w:val="9"/>
        </w:numPr>
        <w:tabs>
          <w:tab w:pos="891" w:val="left" w:leader="none"/>
        </w:tabs>
        <w:spacing w:line="266" w:lineRule="auto" w:before="90" w:after="0"/>
        <w:ind w:left="890" w:right="144" w:hanging="170"/>
        <w:jc w:val="left"/>
        <w:rPr>
          <w:sz w:val="20"/>
        </w:rPr>
      </w:pPr>
      <w:r>
        <w:rPr>
          <w:color w:val="231F20"/>
          <w:w w:val="105"/>
          <w:sz w:val="20"/>
        </w:rPr>
        <w:t>Prompt</w:t>
      </w:r>
      <w:r>
        <w:rPr>
          <w:color w:val="231F20"/>
          <w:spacing w:val="-22"/>
          <w:w w:val="105"/>
          <w:sz w:val="20"/>
        </w:rPr>
        <w:t> </w:t>
      </w:r>
      <w:r>
        <w:rPr>
          <w:color w:val="231F20"/>
          <w:w w:val="105"/>
          <w:sz w:val="20"/>
        </w:rPr>
        <w:t>cases</w:t>
      </w:r>
      <w:r>
        <w:rPr>
          <w:color w:val="231F20"/>
          <w:spacing w:val="-22"/>
          <w:w w:val="105"/>
          <w:sz w:val="20"/>
        </w:rPr>
        <w:t> </w:t>
      </w:r>
      <w:r>
        <w:rPr>
          <w:color w:val="231F20"/>
          <w:w w:val="105"/>
          <w:sz w:val="20"/>
        </w:rPr>
        <w:t>to</w:t>
      </w:r>
      <w:r>
        <w:rPr>
          <w:color w:val="231F20"/>
          <w:spacing w:val="-23"/>
          <w:w w:val="105"/>
          <w:sz w:val="20"/>
        </w:rPr>
        <w:t> </w:t>
      </w:r>
      <w:r>
        <w:rPr>
          <w:color w:val="231F20"/>
          <w:w w:val="105"/>
          <w:sz w:val="20"/>
        </w:rPr>
        <w:t>further</w:t>
      </w:r>
      <w:r>
        <w:rPr>
          <w:color w:val="231F20"/>
          <w:spacing w:val="-22"/>
          <w:w w:val="105"/>
          <w:sz w:val="20"/>
        </w:rPr>
        <w:t> </w:t>
      </w:r>
      <w:r>
        <w:rPr>
          <w:color w:val="231F20"/>
          <w:w w:val="105"/>
          <w:sz w:val="20"/>
        </w:rPr>
        <w:t>describe</w:t>
      </w:r>
      <w:r>
        <w:rPr>
          <w:color w:val="231F20"/>
          <w:spacing w:val="-22"/>
          <w:w w:val="105"/>
          <w:sz w:val="20"/>
        </w:rPr>
        <w:t> </w:t>
      </w:r>
      <w:r>
        <w:rPr>
          <w:color w:val="231F20"/>
          <w:w w:val="105"/>
          <w:sz w:val="20"/>
        </w:rPr>
        <w:t>exposures, such as brand information and place of purchase</w:t>
      </w:r>
      <w:r>
        <w:rPr>
          <w:color w:val="231F20"/>
          <w:spacing w:val="-19"/>
          <w:w w:val="105"/>
          <w:sz w:val="20"/>
        </w:rPr>
        <w:t> </w:t>
      </w:r>
      <w:r>
        <w:rPr>
          <w:color w:val="231F20"/>
          <w:w w:val="105"/>
          <w:sz w:val="20"/>
        </w:rPr>
        <w:t>or</w:t>
      </w:r>
      <w:r>
        <w:rPr>
          <w:color w:val="231F20"/>
          <w:spacing w:val="-19"/>
          <w:w w:val="105"/>
          <w:sz w:val="20"/>
        </w:rPr>
        <w:t> </w:t>
      </w:r>
      <w:r>
        <w:rPr>
          <w:color w:val="231F20"/>
          <w:w w:val="105"/>
          <w:sz w:val="20"/>
        </w:rPr>
        <w:t>consumption;</w:t>
      </w:r>
      <w:r>
        <w:rPr>
          <w:color w:val="231F20"/>
          <w:spacing w:val="-19"/>
          <w:w w:val="105"/>
          <w:sz w:val="20"/>
        </w:rPr>
        <w:t> </w:t>
      </w:r>
      <w:r>
        <w:rPr>
          <w:color w:val="231F20"/>
          <w:w w:val="105"/>
          <w:sz w:val="20"/>
        </w:rPr>
        <w:t>and</w:t>
      </w:r>
    </w:p>
    <w:p>
      <w:pPr>
        <w:pStyle w:val="ListParagraph"/>
        <w:numPr>
          <w:ilvl w:val="5"/>
          <w:numId w:val="9"/>
        </w:numPr>
        <w:tabs>
          <w:tab w:pos="891" w:val="left" w:leader="none"/>
        </w:tabs>
        <w:spacing w:line="266" w:lineRule="auto" w:before="90" w:after="0"/>
        <w:ind w:left="890" w:right="271" w:hanging="170"/>
        <w:jc w:val="left"/>
        <w:rPr>
          <w:sz w:val="20"/>
        </w:rPr>
      </w:pPr>
      <w:r>
        <w:rPr>
          <w:color w:val="231F20"/>
          <w:w w:val="105"/>
          <w:sz w:val="20"/>
        </w:rPr>
        <w:t>Enable cases to identify unanticipated exposures</w:t>
      </w:r>
      <w:r>
        <w:rPr>
          <w:color w:val="231F20"/>
          <w:spacing w:val="-23"/>
          <w:w w:val="105"/>
          <w:sz w:val="20"/>
        </w:rPr>
        <w:t> </w:t>
      </w:r>
      <w:r>
        <w:rPr>
          <w:color w:val="231F20"/>
          <w:w w:val="105"/>
          <w:sz w:val="20"/>
        </w:rPr>
        <w:t>through</w:t>
      </w:r>
      <w:r>
        <w:rPr>
          <w:color w:val="231F20"/>
          <w:spacing w:val="-22"/>
          <w:w w:val="105"/>
          <w:sz w:val="20"/>
        </w:rPr>
        <w:t> </w:t>
      </w:r>
      <w:r>
        <w:rPr>
          <w:color w:val="231F20"/>
          <w:w w:val="105"/>
          <w:sz w:val="20"/>
        </w:rPr>
        <w:t>open-ended</w:t>
      </w:r>
      <w:r>
        <w:rPr>
          <w:color w:val="231F20"/>
          <w:spacing w:val="-22"/>
          <w:w w:val="105"/>
          <w:sz w:val="20"/>
        </w:rPr>
        <w:t> </w:t>
      </w:r>
      <w:r>
        <w:rPr>
          <w:color w:val="231F20"/>
          <w:w w:val="105"/>
          <w:sz w:val="20"/>
        </w:rPr>
        <w:t>questions </w:t>
      </w:r>
      <w:r>
        <w:rPr>
          <w:color w:val="231F20"/>
          <w:spacing w:val="-4"/>
          <w:w w:val="105"/>
          <w:sz w:val="20"/>
        </w:rPr>
        <w:t>(e.g.,</w:t>
      </w:r>
      <w:r>
        <w:rPr>
          <w:color w:val="231F20"/>
          <w:spacing w:val="-10"/>
          <w:w w:val="105"/>
          <w:sz w:val="20"/>
        </w:rPr>
        <w:t> </w:t>
      </w:r>
      <w:r>
        <w:rPr>
          <w:color w:val="231F20"/>
          <w:spacing w:val="-11"/>
          <w:w w:val="105"/>
          <w:sz w:val="20"/>
        </w:rPr>
        <w:t>“At</w:t>
      </w:r>
      <w:r>
        <w:rPr>
          <w:color w:val="231F20"/>
          <w:spacing w:val="-10"/>
          <w:w w:val="105"/>
          <w:sz w:val="20"/>
        </w:rPr>
        <w:t> </w:t>
      </w:r>
      <w:r>
        <w:rPr>
          <w:color w:val="231F20"/>
          <w:w w:val="105"/>
          <w:sz w:val="20"/>
        </w:rPr>
        <w:t>which</w:t>
      </w:r>
      <w:r>
        <w:rPr>
          <w:color w:val="231F20"/>
          <w:spacing w:val="-11"/>
          <w:w w:val="105"/>
          <w:sz w:val="20"/>
        </w:rPr>
        <w:t> </w:t>
      </w:r>
      <w:r>
        <w:rPr>
          <w:color w:val="231F20"/>
          <w:w w:val="105"/>
          <w:sz w:val="20"/>
        </w:rPr>
        <w:t>restaurants</w:t>
      </w:r>
      <w:r>
        <w:rPr>
          <w:color w:val="231F20"/>
          <w:spacing w:val="-11"/>
          <w:w w:val="105"/>
          <w:sz w:val="20"/>
        </w:rPr>
        <w:t> </w:t>
      </w:r>
      <w:r>
        <w:rPr>
          <w:color w:val="231F20"/>
          <w:w w:val="105"/>
          <w:sz w:val="20"/>
        </w:rPr>
        <w:t>did</w:t>
      </w:r>
      <w:r>
        <w:rPr>
          <w:color w:val="231F20"/>
          <w:spacing w:val="-10"/>
          <w:w w:val="105"/>
          <w:sz w:val="20"/>
        </w:rPr>
        <w:t> </w:t>
      </w:r>
      <w:r>
        <w:rPr>
          <w:color w:val="231F20"/>
          <w:w w:val="105"/>
          <w:sz w:val="20"/>
        </w:rPr>
        <w:t>you</w:t>
      </w:r>
      <w:r>
        <w:rPr>
          <w:color w:val="231F20"/>
          <w:spacing w:val="-10"/>
          <w:w w:val="105"/>
          <w:sz w:val="20"/>
        </w:rPr>
        <w:t> </w:t>
      </w:r>
      <w:r>
        <w:rPr>
          <w:color w:val="231F20"/>
          <w:w w:val="105"/>
          <w:sz w:val="20"/>
        </w:rPr>
        <w:t>eat?”).</w:t>
      </w:r>
    </w:p>
    <w:p>
      <w:pPr>
        <w:pStyle w:val="BodyText"/>
        <w:spacing w:line="266" w:lineRule="auto" w:before="180"/>
        <w:ind w:left="720" w:right="6"/>
      </w:pPr>
      <w:r>
        <w:rPr>
          <w:color w:val="231F20"/>
        </w:rPr>
        <w:t>Questionnaire design involves balancing a number of  competing demands; the end result is always a compromise. Questionnaires with many open-ended questions require more highly trained and skilled personnel than do interviews using more predefined lists</w:t>
      </w:r>
      <w:r>
        <w:rPr>
          <w:color w:val="231F20"/>
          <w:spacing w:val="-36"/>
        </w:rPr>
        <w:t> </w:t>
      </w:r>
      <w:r>
        <w:rPr>
          <w:color w:val="231F20"/>
        </w:rPr>
        <w:t>of exposures.</w:t>
      </w:r>
    </w:p>
    <w:p>
      <w:pPr>
        <w:pStyle w:val="BodyText"/>
        <w:spacing w:line="266" w:lineRule="auto"/>
        <w:ind w:left="720" w:right="15"/>
      </w:pPr>
      <w:r>
        <w:rPr>
          <w:color w:val="231F20"/>
        </w:rPr>
        <w:t>Longer questionnaires can cover more possible exposures but can task the patience of both case and interviewer; cases might quit the interview before it is completed. Open-ended questions generally are more difficult and time-consuming to abstract and for data entry.</w:t>
      </w:r>
    </w:p>
    <w:p>
      <w:pPr>
        <w:pStyle w:val="BodyText"/>
        <w:spacing w:line="266" w:lineRule="auto" w:before="180"/>
        <w:ind w:left="720" w:right="48"/>
      </w:pPr>
      <w:r>
        <w:rPr>
          <w:color w:val="231F20"/>
        </w:rPr>
        <w:t>No one questionnaire will work for all investigations or surveillance systems. Investigators should consider the specifics of the outbreak and setting, the importance of collecting the information, and the likely trade- offs before deciding on the content of the interview</w:t>
      </w:r>
      <w:r>
        <w:rPr>
          <w:color w:val="231F20"/>
          <w:spacing w:val="35"/>
        </w:rPr>
        <w:t> </w:t>
      </w:r>
      <w:r>
        <w:rPr>
          <w:color w:val="231F20"/>
        </w:rPr>
        <w:t>form.</w:t>
      </w:r>
    </w:p>
    <w:p>
      <w:pPr>
        <w:pStyle w:val="BodyText"/>
        <w:spacing w:line="266" w:lineRule="auto" w:before="180"/>
        <w:ind w:left="720" w:right="48"/>
      </w:pPr>
      <w:r>
        <w:rPr>
          <w:color w:val="231F20"/>
          <w:w w:val="105"/>
        </w:rPr>
        <w:t>Regardless of interview content, use of a standardized interview form with which the interviewer</w:t>
      </w:r>
      <w:r>
        <w:rPr>
          <w:color w:val="231F20"/>
          <w:spacing w:val="-10"/>
          <w:w w:val="105"/>
        </w:rPr>
        <w:t> </w:t>
      </w:r>
      <w:r>
        <w:rPr>
          <w:color w:val="231F20"/>
          <w:w w:val="105"/>
        </w:rPr>
        <w:t>is</w:t>
      </w:r>
      <w:r>
        <w:rPr>
          <w:color w:val="231F20"/>
          <w:spacing w:val="-10"/>
          <w:w w:val="105"/>
        </w:rPr>
        <w:t> </w:t>
      </w:r>
      <w:r>
        <w:rPr>
          <w:color w:val="231F20"/>
          <w:w w:val="105"/>
        </w:rPr>
        <w:t>familiar</w:t>
      </w:r>
      <w:r>
        <w:rPr>
          <w:color w:val="231F20"/>
          <w:spacing w:val="-9"/>
          <w:w w:val="105"/>
        </w:rPr>
        <w:t> </w:t>
      </w:r>
      <w:r>
        <w:rPr>
          <w:color w:val="231F20"/>
          <w:w w:val="105"/>
        </w:rPr>
        <w:t>will</w:t>
      </w:r>
      <w:r>
        <w:rPr>
          <w:color w:val="231F20"/>
          <w:spacing w:val="-9"/>
          <w:w w:val="105"/>
        </w:rPr>
        <w:t> </w:t>
      </w:r>
      <w:r>
        <w:rPr>
          <w:color w:val="231F20"/>
          <w:w w:val="105"/>
        </w:rPr>
        <w:t>decrease</w:t>
      </w:r>
      <w:r>
        <w:rPr>
          <w:color w:val="231F20"/>
          <w:spacing w:val="-10"/>
          <w:w w:val="105"/>
        </w:rPr>
        <w:t> </w:t>
      </w:r>
      <w:r>
        <w:rPr>
          <w:color w:val="231F20"/>
          <w:w w:val="105"/>
        </w:rPr>
        <w:t>time</w:t>
      </w:r>
      <w:r>
        <w:rPr>
          <w:color w:val="231F20"/>
          <w:spacing w:val="-10"/>
          <w:w w:val="105"/>
        </w:rPr>
        <w:t> </w:t>
      </w:r>
      <w:r>
        <w:rPr>
          <w:color w:val="231F20"/>
          <w:w w:val="105"/>
        </w:rPr>
        <w:t>spent on staff training and decrease errors in data collection. In addition, use of standardized core questions (i.e., questions that use the same</w:t>
      </w:r>
      <w:r>
        <w:rPr>
          <w:color w:val="231F20"/>
          <w:spacing w:val="-19"/>
          <w:w w:val="105"/>
        </w:rPr>
        <w:t> </w:t>
      </w:r>
      <w:r>
        <w:rPr>
          <w:color w:val="231F20"/>
          <w:w w:val="105"/>
        </w:rPr>
        <w:t>wording</w:t>
      </w:r>
      <w:r>
        <w:rPr>
          <w:color w:val="231F20"/>
          <w:spacing w:val="-19"/>
          <w:w w:val="105"/>
        </w:rPr>
        <w:t> </w:t>
      </w:r>
      <w:r>
        <w:rPr>
          <w:color w:val="231F20"/>
          <w:w w:val="105"/>
        </w:rPr>
        <w:t>for</w:t>
      </w:r>
      <w:r>
        <w:rPr>
          <w:color w:val="231F20"/>
          <w:spacing w:val="-19"/>
          <w:w w:val="105"/>
        </w:rPr>
        <w:t> </w:t>
      </w:r>
      <w:r>
        <w:rPr>
          <w:color w:val="231F20"/>
          <w:w w:val="105"/>
        </w:rPr>
        <w:t>collecting</w:t>
      </w:r>
      <w:r>
        <w:rPr>
          <w:color w:val="231F20"/>
          <w:spacing w:val="-19"/>
          <w:w w:val="105"/>
        </w:rPr>
        <w:t> </w:t>
      </w:r>
      <w:r>
        <w:rPr>
          <w:color w:val="231F20"/>
          <w:w w:val="105"/>
        </w:rPr>
        <w:t>information</w:t>
      </w:r>
      <w:r>
        <w:rPr>
          <w:color w:val="231F20"/>
          <w:spacing w:val="-20"/>
          <w:w w:val="105"/>
        </w:rPr>
        <w:t> </w:t>
      </w:r>
      <w:r>
        <w:rPr>
          <w:color w:val="231F20"/>
          <w:w w:val="105"/>
        </w:rPr>
        <w:t>about</w:t>
      </w:r>
    </w:p>
    <w:p>
      <w:pPr>
        <w:pStyle w:val="BodyText"/>
        <w:spacing w:line="266" w:lineRule="auto" w:before="108"/>
        <w:ind w:left="326" w:right="1652"/>
      </w:pPr>
      <w:r>
        <w:rPr/>
        <w:br w:type="column"/>
      </w:r>
      <w:r>
        <w:rPr>
          <w:color w:val="231F20"/>
          <w:w w:val="105"/>
        </w:rPr>
        <w:t>certain exposures) and data elements </w:t>
      </w:r>
      <w:r>
        <w:rPr>
          <w:color w:val="231F20"/>
          <w:spacing w:val="-4"/>
          <w:w w:val="105"/>
        </w:rPr>
        <w:t>(e.g., </w:t>
      </w:r>
      <w:r>
        <w:rPr>
          <w:color w:val="231F20"/>
          <w:w w:val="105"/>
        </w:rPr>
        <w:t>ask</w:t>
      </w:r>
      <w:r>
        <w:rPr>
          <w:color w:val="231F20"/>
          <w:spacing w:val="-18"/>
          <w:w w:val="105"/>
        </w:rPr>
        <w:t> </w:t>
      </w:r>
      <w:r>
        <w:rPr>
          <w:color w:val="231F20"/>
          <w:w w:val="105"/>
        </w:rPr>
        <w:t>about</w:t>
      </w:r>
      <w:r>
        <w:rPr>
          <w:color w:val="231F20"/>
          <w:spacing w:val="-18"/>
          <w:w w:val="105"/>
        </w:rPr>
        <w:t> </w:t>
      </w:r>
      <w:r>
        <w:rPr>
          <w:color w:val="231F20"/>
          <w:w w:val="105"/>
        </w:rPr>
        <w:t>the</w:t>
      </w:r>
      <w:r>
        <w:rPr>
          <w:color w:val="231F20"/>
          <w:spacing w:val="-18"/>
          <w:w w:val="105"/>
        </w:rPr>
        <w:t> </w:t>
      </w:r>
      <w:r>
        <w:rPr>
          <w:color w:val="231F20"/>
          <w:w w:val="105"/>
        </w:rPr>
        <w:t>same</w:t>
      </w:r>
      <w:r>
        <w:rPr>
          <w:color w:val="231F20"/>
          <w:spacing w:val="-17"/>
          <w:w w:val="105"/>
        </w:rPr>
        <w:t> </w:t>
      </w:r>
      <w:r>
        <w:rPr>
          <w:color w:val="231F20"/>
          <w:w w:val="105"/>
        </w:rPr>
        <w:t>high-risk</w:t>
      </w:r>
      <w:r>
        <w:rPr>
          <w:color w:val="231F20"/>
          <w:spacing w:val="-17"/>
          <w:w w:val="105"/>
        </w:rPr>
        <w:t> </w:t>
      </w:r>
      <w:r>
        <w:rPr>
          <w:color w:val="231F20"/>
          <w:w w:val="105"/>
        </w:rPr>
        <w:t>exposures,</w:t>
      </w:r>
      <w:r>
        <w:rPr>
          <w:color w:val="231F20"/>
          <w:spacing w:val="-17"/>
          <w:w w:val="105"/>
        </w:rPr>
        <w:t> </w:t>
      </w:r>
      <w:r>
        <w:rPr>
          <w:color w:val="231F20"/>
          <w:w w:val="105"/>
        </w:rPr>
        <w:t>such as sprouts, raw milk, ground beef, and leafy green vegetables) will enhance data sharing and</w:t>
      </w:r>
      <w:r>
        <w:rPr>
          <w:color w:val="231F20"/>
          <w:spacing w:val="-17"/>
          <w:w w:val="105"/>
        </w:rPr>
        <w:t> </w:t>
      </w:r>
      <w:r>
        <w:rPr>
          <w:color w:val="231F20"/>
          <w:w w:val="105"/>
        </w:rPr>
        <w:t>enable</w:t>
      </w:r>
      <w:r>
        <w:rPr>
          <w:color w:val="231F20"/>
          <w:spacing w:val="-16"/>
          <w:w w:val="105"/>
        </w:rPr>
        <w:t> </w:t>
      </w:r>
      <w:r>
        <w:rPr>
          <w:color w:val="231F20"/>
          <w:w w:val="105"/>
        </w:rPr>
        <w:t>comparisons</w:t>
      </w:r>
      <w:r>
        <w:rPr>
          <w:color w:val="231F20"/>
          <w:spacing w:val="-16"/>
          <w:w w:val="105"/>
        </w:rPr>
        <w:t> </w:t>
      </w:r>
      <w:r>
        <w:rPr>
          <w:color w:val="231F20"/>
          <w:w w:val="105"/>
        </w:rPr>
        <w:t>among</w:t>
      </w:r>
      <w:r>
        <w:rPr>
          <w:color w:val="231F20"/>
          <w:spacing w:val="-17"/>
          <w:w w:val="105"/>
        </w:rPr>
        <w:t> </w:t>
      </w:r>
      <w:r>
        <w:rPr>
          <w:color w:val="231F20"/>
          <w:w w:val="105"/>
        </w:rPr>
        <w:t>jurisdictions</w:t>
      </w:r>
    </w:p>
    <w:p>
      <w:pPr>
        <w:pStyle w:val="BodyText"/>
        <w:spacing w:line="266" w:lineRule="auto"/>
        <w:ind w:left="326" w:right="1459"/>
      </w:pPr>
      <w:r>
        <w:rPr>
          <w:color w:val="231F20"/>
          <w:w w:val="105"/>
        </w:rPr>
        <w:t>in multijurisdictional outbreaks—and possibly speed the resolution of commercial product outbreaks.</w:t>
      </w:r>
    </w:p>
    <w:p>
      <w:pPr>
        <w:spacing w:line="266" w:lineRule="auto" w:before="180"/>
        <w:ind w:left="326" w:right="2074" w:firstLine="0"/>
        <w:jc w:val="left"/>
        <w:rPr>
          <w:i/>
          <w:sz w:val="20"/>
        </w:rPr>
      </w:pPr>
      <w:r>
        <w:rPr/>
        <w:pict>
          <v:rect style="position:absolute;margin-left:459pt;margin-top:33.897354pt;width:45pt;height:18pt;mso-position-horizontal-relative:page;mso-position-vertical-relative:paragraph;z-index:2752" filled="true" fillcolor="#0079c1" stroked="false">
            <v:fill type="solid"/>
            <w10:wrap type="none"/>
          </v:rect>
        </w:pict>
      </w:r>
      <w:r>
        <w:rPr/>
        <w:pict>
          <v:line style="position:absolute;mso-position-horizontal-relative:page;mso-position-vertical-relative:paragraph;z-index:2776" from="450.5pt,33.896954pt" to="450.5pt,236.302954pt" stroked="true" strokeweight="1pt" strokecolor="#0079c1">
            <v:stroke dashstyle="solid"/>
            <w10:wrap type="none"/>
          </v:line>
        </w:pict>
      </w:r>
      <w:r>
        <w:rPr>
          <w:i/>
          <w:color w:val="E36F1E"/>
          <w:w w:val="105"/>
          <w:sz w:val="20"/>
        </w:rPr>
        <w:t>4.2.9.4. Overall speed of the surveillance and </w:t>
      </w:r>
      <w:r>
        <w:rPr>
          <w:i/>
          <w:color w:val="E36F1E"/>
          <w:w w:val="105"/>
          <w:sz w:val="20"/>
        </w:rPr>
        <w:t>investigation processes</w:t>
      </w:r>
    </w:p>
    <w:p>
      <w:pPr>
        <w:pStyle w:val="BodyText"/>
        <w:spacing w:line="252" w:lineRule="auto"/>
        <w:ind w:left="326" w:right="1479"/>
        <w:rPr>
          <w:rFonts w:ascii="Bookman Old Style"/>
          <w:b/>
        </w:rPr>
      </w:pPr>
      <w:r>
        <w:rPr/>
        <w:pict>
          <v:shape style="position:absolute;margin-left:465.346802pt;margin-top:21.893753pt;width:22.25pt;height:183.2pt;mso-position-horizontal-relative:page;mso-position-vertical-relative:paragraph;z-index:2800" type="#_x0000_t202" filled="false" stroked="false">
            <v:textbox inset="0,0,0,0" style="layout-flow:vertical">
              <w:txbxContent>
                <w:p>
                  <w:pPr>
                    <w:spacing w:before="12"/>
                    <w:ind w:left="20" w:right="-1014" w:firstLine="0"/>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468.849609pt;margin-top:4.647953pt;width:15.85pt;height:8.5pt;mso-position-horizontal-relative:page;mso-position-vertical-relative:paragraph;z-index:2824" type="#_x0000_t202" filled="false" stroked="false">
            <v:textbox inset="0,0,0,0" style="layout-flow:vertical">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rPr>
        <w:t>Delays are inherent in pathogen-specific </w:t>
      </w:r>
      <w:r>
        <w:rPr>
          <w:color w:val="231F20"/>
          <w:w w:val="95"/>
        </w:rPr>
        <w:t>surveillance. </w:t>
      </w:r>
      <w:r>
        <w:rPr>
          <w:rFonts w:ascii="Bookman Old Style"/>
          <w:b/>
          <w:color w:val="231F20"/>
          <w:w w:val="95"/>
        </w:rPr>
        <w:t>The usefulness of pathogen- </w:t>
      </w:r>
      <w:r>
        <w:rPr>
          <w:rFonts w:ascii="Bookman Old Style"/>
          <w:b/>
          <w:color w:val="231F20"/>
          <w:w w:val="85"/>
        </w:rPr>
        <w:t>specific</w:t>
      </w:r>
      <w:r>
        <w:rPr>
          <w:rFonts w:ascii="Bookman Old Style"/>
          <w:b/>
          <w:color w:val="231F20"/>
          <w:spacing w:val="-37"/>
          <w:w w:val="85"/>
        </w:rPr>
        <w:t> </w:t>
      </w:r>
      <w:r>
        <w:rPr>
          <w:rFonts w:ascii="Bookman Old Style"/>
          <w:b/>
          <w:color w:val="231F20"/>
          <w:w w:val="85"/>
        </w:rPr>
        <w:t>surveillance</w:t>
      </w:r>
      <w:r>
        <w:rPr>
          <w:rFonts w:ascii="Bookman Old Style"/>
          <w:b/>
          <w:color w:val="231F20"/>
          <w:spacing w:val="-37"/>
          <w:w w:val="85"/>
        </w:rPr>
        <w:t> </w:t>
      </w:r>
      <w:r>
        <w:rPr>
          <w:rFonts w:ascii="Bookman Old Style"/>
          <w:b/>
          <w:color w:val="231F20"/>
          <w:w w:val="85"/>
        </w:rPr>
        <w:t>in</w:t>
      </w:r>
      <w:r>
        <w:rPr>
          <w:rFonts w:ascii="Bookman Old Style"/>
          <w:b/>
          <w:color w:val="231F20"/>
          <w:spacing w:val="-37"/>
          <w:w w:val="85"/>
        </w:rPr>
        <w:t> </w:t>
      </w:r>
      <w:r>
        <w:rPr>
          <w:rFonts w:ascii="Bookman Old Style"/>
          <w:b/>
          <w:color w:val="231F20"/>
          <w:w w:val="85"/>
        </w:rPr>
        <w:t>preventing</w:t>
      </w:r>
      <w:r>
        <w:rPr>
          <w:rFonts w:ascii="Bookman Old Style"/>
          <w:b/>
          <w:color w:val="231F20"/>
          <w:spacing w:val="-37"/>
          <w:w w:val="85"/>
        </w:rPr>
        <w:t> </w:t>
      </w:r>
      <w:r>
        <w:rPr>
          <w:rFonts w:ascii="Bookman Old Style"/>
          <w:b/>
          <w:color w:val="231F20"/>
          <w:w w:val="85"/>
        </w:rPr>
        <w:t>ongoing transmission</w:t>
      </w:r>
      <w:r>
        <w:rPr>
          <w:rFonts w:ascii="Bookman Old Style"/>
          <w:b/>
          <w:color w:val="231F20"/>
          <w:spacing w:val="-34"/>
          <w:w w:val="85"/>
        </w:rPr>
        <w:t> </w:t>
      </w:r>
      <w:r>
        <w:rPr>
          <w:rFonts w:ascii="Bookman Old Style"/>
          <w:b/>
          <w:color w:val="231F20"/>
          <w:w w:val="85"/>
        </w:rPr>
        <w:t>of</w:t>
      </w:r>
      <w:r>
        <w:rPr>
          <w:rFonts w:ascii="Bookman Old Style"/>
          <w:b/>
          <w:color w:val="231F20"/>
          <w:spacing w:val="-18"/>
          <w:w w:val="85"/>
        </w:rPr>
        <w:t> </w:t>
      </w:r>
      <w:r>
        <w:rPr>
          <w:rFonts w:ascii="Bookman Old Style"/>
          <w:b/>
          <w:color w:val="231F20"/>
          <w:w w:val="85"/>
        </w:rPr>
        <w:t>disease</w:t>
      </w:r>
      <w:r>
        <w:rPr>
          <w:rFonts w:ascii="Bookman Old Style"/>
          <w:b/>
          <w:color w:val="231F20"/>
          <w:spacing w:val="-33"/>
          <w:w w:val="85"/>
        </w:rPr>
        <w:t> </w:t>
      </w:r>
      <w:r>
        <w:rPr>
          <w:rFonts w:ascii="Bookman Old Style"/>
          <w:b/>
          <w:color w:val="231F20"/>
          <w:w w:val="85"/>
        </w:rPr>
        <w:t>from</w:t>
      </w:r>
      <w:r>
        <w:rPr>
          <w:rFonts w:ascii="Bookman Old Style"/>
          <w:b/>
          <w:color w:val="231F20"/>
          <w:spacing w:val="-33"/>
          <w:w w:val="85"/>
        </w:rPr>
        <w:t> </w:t>
      </w:r>
      <w:r>
        <w:rPr>
          <w:rFonts w:ascii="Bookman Old Style"/>
          <w:b/>
          <w:color w:val="231F20"/>
          <w:w w:val="85"/>
        </w:rPr>
        <w:t>contaminated food,</w:t>
      </w:r>
      <w:r>
        <w:rPr>
          <w:rFonts w:ascii="Bookman Old Style"/>
          <w:b/>
          <w:color w:val="231F20"/>
          <w:spacing w:val="-29"/>
          <w:w w:val="85"/>
        </w:rPr>
        <w:t> </w:t>
      </w:r>
      <w:r>
        <w:rPr>
          <w:rFonts w:ascii="Bookman Old Style"/>
          <w:b/>
          <w:color w:val="231F20"/>
          <w:w w:val="85"/>
        </w:rPr>
        <w:t>especially</w:t>
      </w:r>
      <w:r>
        <w:rPr>
          <w:rFonts w:ascii="Bookman Old Style"/>
          <w:b/>
          <w:color w:val="231F20"/>
          <w:spacing w:val="-29"/>
          <w:w w:val="85"/>
        </w:rPr>
        <w:t> </w:t>
      </w:r>
      <w:r>
        <w:rPr>
          <w:rFonts w:ascii="Bookman Old Style"/>
          <w:b/>
          <w:color w:val="231F20"/>
          <w:w w:val="85"/>
        </w:rPr>
        <w:t>perishable</w:t>
      </w:r>
      <w:r>
        <w:rPr>
          <w:rFonts w:ascii="Bookman Old Style"/>
          <w:b/>
          <w:color w:val="231F20"/>
          <w:spacing w:val="-29"/>
          <w:w w:val="85"/>
        </w:rPr>
        <w:t> </w:t>
      </w:r>
      <w:r>
        <w:rPr>
          <w:rFonts w:ascii="Bookman Old Style"/>
          <w:b/>
          <w:color w:val="231F20"/>
          <w:w w:val="85"/>
        </w:rPr>
        <w:t>commodities,</w:t>
      </w:r>
      <w:r>
        <w:rPr>
          <w:rFonts w:ascii="Bookman Old Style"/>
          <w:b/>
          <w:color w:val="231F20"/>
          <w:spacing w:val="-29"/>
          <w:w w:val="85"/>
        </w:rPr>
        <w:t> </w:t>
      </w:r>
      <w:r>
        <w:rPr>
          <w:rFonts w:ascii="Bookman Old Style"/>
          <w:b/>
          <w:color w:val="231F20"/>
          <w:w w:val="85"/>
        </w:rPr>
        <w:t>is directly</w:t>
      </w:r>
      <w:r>
        <w:rPr>
          <w:rFonts w:ascii="Bookman Old Style"/>
          <w:b/>
          <w:color w:val="231F20"/>
          <w:spacing w:val="-33"/>
          <w:w w:val="85"/>
        </w:rPr>
        <w:t> </w:t>
      </w:r>
      <w:r>
        <w:rPr>
          <w:rFonts w:ascii="Bookman Old Style"/>
          <w:b/>
          <w:color w:val="231F20"/>
          <w:w w:val="85"/>
        </w:rPr>
        <w:t>related</w:t>
      </w:r>
      <w:r>
        <w:rPr>
          <w:rFonts w:ascii="Bookman Old Style"/>
          <w:b/>
          <w:color w:val="231F20"/>
          <w:spacing w:val="-33"/>
          <w:w w:val="85"/>
        </w:rPr>
        <w:t> </w:t>
      </w:r>
      <w:r>
        <w:rPr>
          <w:rFonts w:ascii="Bookman Old Style"/>
          <w:b/>
          <w:color w:val="231F20"/>
          <w:w w:val="85"/>
        </w:rPr>
        <w:t>to</w:t>
      </w:r>
      <w:r>
        <w:rPr>
          <w:rFonts w:ascii="Bookman Old Style"/>
          <w:b/>
          <w:color w:val="231F20"/>
          <w:spacing w:val="-33"/>
          <w:w w:val="85"/>
        </w:rPr>
        <w:t> </w:t>
      </w:r>
      <w:r>
        <w:rPr>
          <w:rFonts w:ascii="Bookman Old Style"/>
          <w:b/>
          <w:color w:val="231F20"/>
          <w:w w:val="85"/>
        </w:rPr>
        <w:t>the</w:t>
      </w:r>
      <w:r>
        <w:rPr>
          <w:rFonts w:ascii="Bookman Old Style"/>
          <w:b/>
          <w:color w:val="231F20"/>
          <w:spacing w:val="-33"/>
          <w:w w:val="85"/>
        </w:rPr>
        <w:t> </w:t>
      </w:r>
      <w:r>
        <w:rPr>
          <w:rFonts w:ascii="Bookman Old Style"/>
          <w:b/>
          <w:color w:val="231F20"/>
          <w:w w:val="85"/>
        </w:rPr>
        <w:t>speed</w:t>
      </w:r>
      <w:r>
        <w:rPr>
          <w:rFonts w:ascii="Bookman Old Style"/>
          <w:b/>
          <w:color w:val="231F20"/>
          <w:spacing w:val="-33"/>
          <w:w w:val="85"/>
        </w:rPr>
        <w:t> </w:t>
      </w:r>
      <w:r>
        <w:rPr>
          <w:rFonts w:ascii="Bookman Old Style"/>
          <w:b/>
          <w:color w:val="231F20"/>
          <w:w w:val="85"/>
        </w:rPr>
        <w:t>of</w:t>
      </w:r>
      <w:r>
        <w:rPr>
          <w:rFonts w:ascii="Bookman Old Style"/>
          <w:b/>
          <w:color w:val="231F20"/>
          <w:spacing w:val="-19"/>
          <w:w w:val="85"/>
        </w:rPr>
        <w:t> </w:t>
      </w:r>
      <w:r>
        <w:rPr>
          <w:rFonts w:ascii="Bookman Old Style"/>
          <w:b/>
          <w:color w:val="231F20"/>
          <w:w w:val="85"/>
        </w:rPr>
        <w:t>the</w:t>
      </w:r>
      <w:r>
        <w:rPr>
          <w:rFonts w:ascii="Bookman Old Style"/>
          <w:b/>
          <w:color w:val="231F20"/>
          <w:spacing w:val="-33"/>
          <w:w w:val="85"/>
        </w:rPr>
        <w:t> </w:t>
      </w:r>
      <w:r>
        <w:rPr>
          <w:rFonts w:ascii="Bookman Old Style"/>
          <w:b/>
          <w:color w:val="231F20"/>
          <w:w w:val="85"/>
        </w:rPr>
        <w:t>process.</w:t>
      </w:r>
    </w:p>
    <w:p>
      <w:pPr>
        <w:pStyle w:val="BodyText"/>
        <w:spacing w:before="11"/>
        <w:rPr>
          <w:rFonts w:ascii="Bookman Old Style"/>
          <w:b/>
          <w:sz w:val="16"/>
        </w:rPr>
      </w:pPr>
    </w:p>
    <w:p>
      <w:pPr>
        <w:pStyle w:val="BodyText"/>
        <w:spacing w:line="266" w:lineRule="auto"/>
        <w:ind w:left="326" w:right="1678"/>
      </w:pPr>
      <w:r>
        <w:rPr>
          <w:color w:val="231F20"/>
          <w:w w:val="105"/>
        </w:rPr>
        <w:t>Once an outbreak investigation is under </w:t>
      </w:r>
      <w:r>
        <w:rPr>
          <w:color w:val="231F20"/>
          <w:spacing w:val="-8"/>
          <w:w w:val="105"/>
        </w:rPr>
        <w:t>way, </w:t>
      </w:r>
      <w:r>
        <w:rPr>
          <w:color w:val="231F20"/>
          <w:w w:val="105"/>
        </w:rPr>
        <w:t>routine surveillance practices and</w:t>
      </w:r>
      <w:r>
        <w:rPr>
          <w:color w:val="231F20"/>
          <w:spacing w:val="-32"/>
          <w:w w:val="105"/>
        </w:rPr>
        <w:t> </w:t>
      </w:r>
      <w:r>
        <w:rPr>
          <w:color w:val="231F20"/>
          <w:w w:val="105"/>
        </w:rPr>
        <w:t>work schedules must be changed to match the urgency</w:t>
      </w:r>
      <w:r>
        <w:rPr>
          <w:color w:val="231F20"/>
          <w:spacing w:val="-14"/>
          <w:w w:val="105"/>
        </w:rPr>
        <w:t> </w:t>
      </w:r>
      <w:r>
        <w:rPr>
          <w:color w:val="231F20"/>
          <w:w w:val="105"/>
        </w:rPr>
        <w:t>of</w:t>
      </w:r>
      <w:r>
        <w:rPr>
          <w:color w:val="231F20"/>
          <w:spacing w:val="9"/>
          <w:w w:val="105"/>
        </w:rPr>
        <w:t> </w:t>
      </w:r>
      <w:r>
        <w:rPr>
          <w:color w:val="231F20"/>
          <w:w w:val="105"/>
        </w:rPr>
        <w:t>the</w:t>
      </w:r>
      <w:r>
        <w:rPr>
          <w:color w:val="231F20"/>
          <w:spacing w:val="-14"/>
          <w:w w:val="105"/>
        </w:rPr>
        <w:t> </w:t>
      </w:r>
      <w:r>
        <w:rPr>
          <w:color w:val="231F20"/>
          <w:w w:val="105"/>
        </w:rPr>
        <w:t>investigation</w:t>
      </w:r>
      <w:r>
        <w:rPr>
          <w:color w:val="231F20"/>
          <w:spacing w:val="-14"/>
          <w:w w:val="105"/>
        </w:rPr>
        <w:t> </w:t>
      </w:r>
      <w:r>
        <w:rPr>
          <w:color w:val="231F20"/>
          <w:w w:val="105"/>
        </w:rPr>
        <w:t>(see</w:t>
      </w:r>
      <w:r>
        <w:rPr>
          <w:color w:val="231F20"/>
          <w:spacing w:val="-14"/>
          <w:w w:val="105"/>
        </w:rPr>
        <w:t> </w:t>
      </w:r>
      <w:r>
        <w:rPr>
          <w:color w:val="231F20"/>
          <w:w w:val="105"/>
        </w:rPr>
        <w:t>Chapter</w:t>
      </w:r>
      <w:r>
        <w:rPr>
          <w:color w:val="231F20"/>
          <w:spacing w:val="-14"/>
          <w:w w:val="105"/>
        </w:rPr>
        <w:t> </w:t>
      </w:r>
      <w:r>
        <w:rPr>
          <w:color w:val="231F20"/>
          <w:w w:val="105"/>
        </w:rPr>
        <w:t>5).</w:t>
      </w:r>
    </w:p>
    <w:p>
      <w:pPr>
        <w:pStyle w:val="BodyText"/>
        <w:spacing w:line="254" w:lineRule="auto" w:before="158"/>
        <w:ind w:left="326" w:right="2092"/>
        <w:rPr>
          <w:rFonts w:ascii="Lucida Sans" w:hAnsi="Lucida Sans"/>
        </w:rPr>
      </w:pPr>
      <w:r>
        <w:rPr>
          <w:rFonts w:ascii="Lucida Sans" w:hAnsi="Lucida Sans"/>
          <w:color w:val="1C3E94"/>
          <w:w w:val="95"/>
        </w:rPr>
        <w:t>4.2.10. Routine Pathogen-Specific</w:t>
      </w:r>
      <w:r>
        <w:rPr>
          <w:rFonts w:ascii="Lucida Sans" w:hAnsi="Lucida Sans"/>
          <w:color w:val="1C3E94"/>
          <w:w w:val="95"/>
        </w:rPr>
        <w:t> </w:t>
      </w:r>
      <w:r>
        <w:rPr>
          <w:rFonts w:ascii="Lucida Sans" w:hAnsi="Lucida Sans"/>
          <w:color w:val="1C3E94"/>
          <w:w w:val="95"/>
        </w:rPr>
        <w:t>Surveillance—Model Practices</w:t>
      </w:r>
    </w:p>
    <w:p>
      <w:pPr>
        <w:pStyle w:val="BodyText"/>
        <w:rPr>
          <w:rFonts w:ascii="Lucida Sans"/>
          <w:sz w:val="17"/>
        </w:rPr>
      </w:pPr>
    </w:p>
    <w:p>
      <w:pPr>
        <w:pStyle w:val="BodyText"/>
        <w:spacing w:line="266" w:lineRule="auto"/>
        <w:ind w:left="326" w:right="1732"/>
      </w:pPr>
      <w:r>
        <w:rPr>
          <w:color w:val="231F20"/>
          <w:w w:val="105"/>
        </w:rPr>
        <w:t>This</w:t>
      </w:r>
      <w:r>
        <w:rPr>
          <w:color w:val="231F20"/>
          <w:spacing w:val="-24"/>
          <w:w w:val="105"/>
        </w:rPr>
        <w:t> </w:t>
      </w:r>
      <w:r>
        <w:rPr>
          <w:color w:val="231F20"/>
          <w:w w:val="105"/>
        </w:rPr>
        <w:t>section</w:t>
      </w:r>
      <w:r>
        <w:rPr>
          <w:color w:val="231F20"/>
          <w:spacing w:val="-24"/>
          <w:w w:val="105"/>
        </w:rPr>
        <w:t> </w:t>
      </w:r>
      <w:r>
        <w:rPr>
          <w:color w:val="231F20"/>
          <w:w w:val="105"/>
        </w:rPr>
        <w:t>lists</w:t>
      </w:r>
      <w:r>
        <w:rPr>
          <w:color w:val="231F20"/>
          <w:spacing w:val="-24"/>
          <w:w w:val="105"/>
        </w:rPr>
        <w:t> </w:t>
      </w:r>
      <w:r>
        <w:rPr>
          <w:color w:val="231F20"/>
          <w:w w:val="105"/>
        </w:rPr>
        <w:t>model</w:t>
      </w:r>
      <w:r>
        <w:rPr>
          <w:color w:val="231F20"/>
          <w:spacing w:val="-24"/>
          <w:w w:val="105"/>
        </w:rPr>
        <w:t> </w:t>
      </w:r>
      <w:r>
        <w:rPr>
          <w:color w:val="231F20"/>
          <w:w w:val="105"/>
        </w:rPr>
        <w:t>practices</w:t>
      </w:r>
      <w:r>
        <w:rPr>
          <w:color w:val="231F20"/>
          <w:spacing w:val="-24"/>
          <w:w w:val="105"/>
        </w:rPr>
        <w:t> </w:t>
      </w:r>
      <w:r>
        <w:rPr>
          <w:color w:val="231F20"/>
          <w:w w:val="105"/>
        </w:rPr>
        <w:t>for</w:t>
      </w:r>
      <w:r>
        <w:rPr>
          <w:color w:val="231F20"/>
          <w:spacing w:val="-24"/>
          <w:w w:val="105"/>
        </w:rPr>
        <w:t> </w:t>
      </w:r>
      <w:r>
        <w:rPr>
          <w:color w:val="231F20"/>
          <w:w w:val="105"/>
        </w:rPr>
        <w:t>routine surveillance programs. Practices used in any</w:t>
      </w:r>
      <w:r>
        <w:rPr>
          <w:color w:val="231F20"/>
          <w:spacing w:val="-14"/>
          <w:w w:val="105"/>
        </w:rPr>
        <w:t> </w:t>
      </w:r>
      <w:r>
        <w:rPr>
          <w:color w:val="231F20"/>
          <w:w w:val="105"/>
        </w:rPr>
        <w:t>particular</w:t>
      </w:r>
      <w:r>
        <w:rPr>
          <w:color w:val="231F20"/>
          <w:spacing w:val="-14"/>
          <w:w w:val="105"/>
        </w:rPr>
        <w:t> </w:t>
      </w:r>
      <w:r>
        <w:rPr>
          <w:color w:val="231F20"/>
          <w:w w:val="105"/>
        </w:rPr>
        <w:t>situation</w:t>
      </w:r>
      <w:r>
        <w:rPr>
          <w:color w:val="231F20"/>
          <w:spacing w:val="-14"/>
          <w:w w:val="105"/>
        </w:rPr>
        <w:t> </w:t>
      </w:r>
      <w:r>
        <w:rPr>
          <w:color w:val="231F20"/>
          <w:w w:val="105"/>
        </w:rPr>
        <w:t>depend</w:t>
      </w:r>
      <w:r>
        <w:rPr>
          <w:color w:val="231F20"/>
          <w:spacing w:val="-14"/>
          <w:w w:val="105"/>
        </w:rPr>
        <w:t> </w:t>
      </w:r>
      <w:r>
        <w:rPr>
          <w:color w:val="231F20"/>
          <w:w w:val="105"/>
        </w:rPr>
        <w:t>on</w:t>
      </w:r>
      <w:r>
        <w:rPr>
          <w:color w:val="231F20"/>
          <w:spacing w:val="-14"/>
          <w:w w:val="105"/>
        </w:rPr>
        <w:t> </w:t>
      </w:r>
      <w:r>
        <w:rPr>
          <w:color w:val="231F20"/>
          <w:w w:val="105"/>
        </w:rPr>
        <w:t>a</w:t>
      </w:r>
      <w:r>
        <w:rPr>
          <w:color w:val="231F20"/>
          <w:spacing w:val="-14"/>
          <w:w w:val="105"/>
        </w:rPr>
        <w:t> </w:t>
      </w:r>
      <w:r>
        <w:rPr>
          <w:color w:val="231F20"/>
          <w:w w:val="105"/>
        </w:rPr>
        <w:t>host</w:t>
      </w:r>
      <w:r>
        <w:rPr>
          <w:color w:val="231F20"/>
          <w:spacing w:val="-14"/>
          <w:w w:val="105"/>
        </w:rPr>
        <w:t> </w:t>
      </w:r>
      <w:r>
        <w:rPr>
          <w:color w:val="231F20"/>
          <w:w w:val="105"/>
        </w:rPr>
        <w:t>of</w:t>
      </w:r>
    </w:p>
    <w:p>
      <w:pPr>
        <w:pStyle w:val="BodyText"/>
        <w:spacing w:line="266" w:lineRule="auto"/>
        <w:ind w:left="326" w:right="1438"/>
      </w:pPr>
      <w:r>
        <w:rPr>
          <w:color w:val="231F20"/>
        </w:rPr>
        <w:t>factors, including circumstances specific to the outbreak (e.g., the pathogen and number and distribution of  cases), staff expertise, structure of  the investigating agency, and agency resources. For example, aggressive identification and investigation of  STEC O157:H7  cases</w:t>
      </w:r>
    </w:p>
    <w:p>
      <w:pPr>
        <w:pStyle w:val="BodyText"/>
        <w:spacing w:line="266" w:lineRule="auto"/>
        <w:ind w:left="326" w:right="1461"/>
      </w:pPr>
      <w:r>
        <w:rPr>
          <w:color w:val="231F20"/>
          <w:w w:val="105"/>
        </w:rPr>
        <w:t>can identify outbreaks and enable the implementation</w:t>
      </w:r>
      <w:r>
        <w:rPr>
          <w:color w:val="231F20"/>
          <w:spacing w:val="-24"/>
          <w:w w:val="105"/>
        </w:rPr>
        <w:t> </w:t>
      </w:r>
      <w:r>
        <w:rPr>
          <w:color w:val="231F20"/>
          <w:w w:val="105"/>
        </w:rPr>
        <w:t>of</w:t>
      </w:r>
      <w:r>
        <w:rPr>
          <w:color w:val="231F20"/>
          <w:spacing w:val="-6"/>
          <w:w w:val="105"/>
        </w:rPr>
        <w:t> </w:t>
      </w:r>
      <w:r>
        <w:rPr>
          <w:color w:val="231F20"/>
          <w:w w:val="105"/>
        </w:rPr>
        <w:t>control</w:t>
      </w:r>
      <w:r>
        <w:rPr>
          <w:color w:val="231F20"/>
          <w:spacing w:val="-24"/>
          <w:w w:val="105"/>
        </w:rPr>
        <w:t> </w:t>
      </w:r>
      <w:r>
        <w:rPr>
          <w:color w:val="231F20"/>
          <w:w w:val="105"/>
        </w:rPr>
        <w:t>measures</w:t>
      </w:r>
      <w:r>
        <w:rPr>
          <w:color w:val="231F20"/>
          <w:spacing w:val="-24"/>
          <w:w w:val="105"/>
        </w:rPr>
        <w:t> </w:t>
      </w:r>
      <w:r>
        <w:rPr>
          <w:color w:val="231F20"/>
          <w:w w:val="105"/>
        </w:rPr>
        <w:t>that</w:t>
      </w:r>
      <w:r>
        <w:rPr>
          <w:color w:val="231F20"/>
          <w:spacing w:val="-24"/>
          <w:w w:val="105"/>
        </w:rPr>
        <w:t> </w:t>
      </w:r>
      <w:r>
        <w:rPr>
          <w:color w:val="231F20"/>
          <w:w w:val="105"/>
        </w:rPr>
        <w:t>might minimize serious illness and death, whereas investigation of more numerous </w:t>
      </w:r>
      <w:r>
        <w:rPr>
          <w:i/>
          <w:color w:val="231F20"/>
          <w:w w:val="105"/>
        </w:rPr>
        <w:t>Campylobacter </w:t>
      </w:r>
      <w:r>
        <w:rPr>
          <w:color w:val="231F20"/>
          <w:w w:val="105"/>
        </w:rPr>
        <w:t>cases is not as likely to lead to public health interventions.</w:t>
      </w:r>
      <w:r>
        <w:rPr>
          <w:color w:val="231F20"/>
          <w:spacing w:val="-27"/>
          <w:w w:val="105"/>
        </w:rPr>
        <w:t> </w:t>
      </w:r>
      <w:r>
        <w:rPr>
          <w:color w:val="231F20"/>
          <w:w w:val="105"/>
        </w:rPr>
        <w:t>Although</w:t>
      </w:r>
      <w:r>
        <w:rPr>
          <w:color w:val="231F20"/>
          <w:spacing w:val="-27"/>
          <w:w w:val="105"/>
        </w:rPr>
        <w:t> </w:t>
      </w:r>
      <w:r>
        <w:rPr>
          <w:color w:val="231F20"/>
          <w:w w:val="105"/>
        </w:rPr>
        <w:t>a</w:t>
      </w:r>
      <w:r>
        <w:rPr>
          <w:color w:val="231F20"/>
          <w:spacing w:val="-27"/>
          <w:w w:val="105"/>
        </w:rPr>
        <w:t> </w:t>
      </w:r>
      <w:r>
        <w:rPr>
          <w:color w:val="231F20"/>
          <w:w w:val="105"/>
        </w:rPr>
        <w:t>systematic</w:t>
      </w:r>
      <w:r>
        <w:rPr>
          <w:color w:val="231F20"/>
          <w:spacing w:val="-27"/>
          <w:w w:val="105"/>
        </w:rPr>
        <w:t> </w:t>
      </w:r>
      <w:r>
        <w:rPr>
          <w:color w:val="231F20"/>
          <w:w w:val="105"/>
        </w:rPr>
        <w:t>evaluation of the following practices under different circumstances has not been performed, experiences from successful investigations support their value. Investigators are encouraged to use a combination of practices as</w:t>
      </w:r>
      <w:r>
        <w:rPr>
          <w:color w:val="231F20"/>
          <w:spacing w:val="-20"/>
          <w:w w:val="105"/>
        </w:rPr>
        <w:t> </w:t>
      </w:r>
      <w:r>
        <w:rPr>
          <w:color w:val="231F20"/>
          <w:w w:val="105"/>
        </w:rPr>
        <w:t>appropriate</w:t>
      </w:r>
      <w:r>
        <w:rPr>
          <w:color w:val="231F20"/>
          <w:spacing w:val="-20"/>
          <w:w w:val="105"/>
        </w:rPr>
        <w:t> </w:t>
      </w:r>
      <w:r>
        <w:rPr>
          <w:color w:val="231F20"/>
          <w:w w:val="105"/>
        </w:rPr>
        <w:t>to</w:t>
      </w:r>
      <w:r>
        <w:rPr>
          <w:color w:val="231F20"/>
          <w:spacing w:val="-20"/>
          <w:w w:val="105"/>
        </w:rPr>
        <w:t> </w:t>
      </w:r>
      <w:r>
        <w:rPr>
          <w:color w:val="231F20"/>
          <w:w w:val="105"/>
        </w:rPr>
        <w:t>the</w:t>
      </w:r>
      <w:r>
        <w:rPr>
          <w:color w:val="231F20"/>
          <w:spacing w:val="-20"/>
          <w:w w:val="105"/>
        </w:rPr>
        <w:t> </w:t>
      </w:r>
      <w:r>
        <w:rPr>
          <w:color w:val="231F20"/>
          <w:w w:val="105"/>
        </w:rPr>
        <w:t>specific</w:t>
      </w:r>
      <w:r>
        <w:rPr>
          <w:color w:val="231F20"/>
          <w:spacing w:val="-20"/>
          <w:w w:val="105"/>
        </w:rPr>
        <w:t> </w:t>
      </w:r>
      <w:r>
        <w:rPr>
          <w:color w:val="231F20"/>
          <w:w w:val="105"/>
        </w:rPr>
        <w:t>outbreak.</w:t>
      </w:r>
    </w:p>
    <w:p>
      <w:pPr>
        <w:spacing w:after="0" w:line="266" w:lineRule="auto"/>
        <w:sectPr>
          <w:type w:val="continuous"/>
          <w:pgSz w:w="10080" w:h="14400"/>
          <w:pgMar w:top="0" w:bottom="0" w:left="0" w:right="0"/>
          <w:cols w:num="2" w:equalWidth="0">
            <w:col w:w="4494" w:space="40"/>
            <w:col w:w="5546"/>
          </w:cols>
        </w:sectPr>
      </w:pPr>
    </w:p>
    <w:p>
      <w:pPr>
        <w:pStyle w:val="BodyText"/>
        <w:spacing w:before="8"/>
        <w:rPr>
          <w:sz w:val="10"/>
        </w:rPr>
      </w:pPr>
    </w:p>
    <w:p>
      <w:pPr>
        <w:pStyle w:val="Heading1"/>
      </w:pPr>
      <w:r>
        <w:rPr/>
        <w:pict>
          <v:line style="position:absolute;mso-position-horizontal-relative:page;mso-position-vertical-relative:paragraph;z-index:2848;mso-wrap-distance-left:0;mso-wrap-distance-right:0" from="72pt,23.995163pt" to="468pt,23.995163pt" stroked="true" strokeweight=".5pt" strokecolor="#00a94f">
            <v:stroke dashstyle="solid"/>
            <w10:wrap type="topAndBottom"/>
          </v:line>
        </w:pict>
      </w:r>
      <w:r>
        <w:rPr>
          <w:color w:val="00A94F"/>
          <w:w w:val="95"/>
        </w:rPr>
        <w:t>4.2. Pathogen-Specific Surveillance</w:t>
      </w:r>
    </w:p>
    <w:p>
      <w:pPr>
        <w:pStyle w:val="BodyText"/>
        <w:spacing w:before="8"/>
        <w:rPr>
          <w:rFonts w:ascii="Lucida Sans"/>
          <w:sz w:val="17"/>
        </w:rPr>
      </w:pPr>
    </w:p>
    <w:p>
      <w:pPr>
        <w:spacing w:after="0"/>
        <w:rPr>
          <w:rFonts w:ascii="Lucida Sans"/>
          <w:sz w:val="17"/>
        </w:rPr>
        <w:sectPr>
          <w:pgSz w:w="10080" w:h="14400"/>
          <w:pgMar w:header="0" w:footer="0" w:top="1160" w:bottom="280" w:left="0" w:right="0"/>
        </w:sectPr>
      </w:pPr>
    </w:p>
    <w:p>
      <w:pPr>
        <w:pStyle w:val="ListParagraph"/>
        <w:numPr>
          <w:ilvl w:val="3"/>
          <w:numId w:val="10"/>
        </w:numPr>
        <w:tabs>
          <w:tab w:pos="2182" w:val="left" w:leader="none"/>
        </w:tabs>
        <w:spacing w:line="266" w:lineRule="auto" w:before="106" w:after="0"/>
        <w:ind w:left="1440" w:right="70" w:firstLine="0"/>
        <w:jc w:val="left"/>
        <w:rPr>
          <w:sz w:val="20"/>
        </w:rPr>
      </w:pPr>
      <w:r>
        <w:rPr>
          <w:i/>
          <w:color w:val="E36F1E"/>
          <w:w w:val="105"/>
          <w:sz w:val="20"/>
        </w:rPr>
        <w:t>Reporting and isolate submission </w:t>
      </w:r>
      <w:r>
        <w:rPr>
          <w:color w:val="231F20"/>
          <w:w w:val="105"/>
          <w:sz w:val="20"/>
        </w:rPr>
        <w:t>Increasingly clinicians are diagnosing and treating</w:t>
      </w:r>
      <w:r>
        <w:rPr>
          <w:color w:val="231F20"/>
          <w:spacing w:val="-15"/>
          <w:w w:val="105"/>
          <w:sz w:val="20"/>
        </w:rPr>
        <w:t> </w:t>
      </w:r>
      <w:r>
        <w:rPr>
          <w:color w:val="231F20"/>
          <w:w w:val="105"/>
          <w:sz w:val="20"/>
        </w:rPr>
        <w:t>patients</w:t>
      </w:r>
      <w:r>
        <w:rPr>
          <w:color w:val="231F20"/>
          <w:spacing w:val="-15"/>
          <w:w w:val="105"/>
          <w:sz w:val="20"/>
        </w:rPr>
        <w:t> </w:t>
      </w:r>
      <w:r>
        <w:rPr>
          <w:color w:val="231F20"/>
          <w:w w:val="105"/>
          <w:sz w:val="20"/>
        </w:rPr>
        <w:t>without</w:t>
      </w:r>
      <w:r>
        <w:rPr>
          <w:color w:val="231F20"/>
          <w:spacing w:val="-15"/>
          <w:w w:val="105"/>
          <w:sz w:val="20"/>
        </w:rPr>
        <w:t> </w:t>
      </w:r>
      <w:r>
        <w:rPr>
          <w:color w:val="231F20"/>
          <w:w w:val="105"/>
          <w:sz w:val="20"/>
        </w:rPr>
        <w:t>collecting</w:t>
      </w:r>
      <w:r>
        <w:rPr>
          <w:color w:val="231F20"/>
          <w:spacing w:val="-14"/>
          <w:w w:val="105"/>
          <w:sz w:val="20"/>
        </w:rPr>
        <w:t> </w:t>
      </w:r>
      <w:r>
        <w:rPr>
          <w:color w:val="231F20"/>
          <w:w w:val="105"/>
          <w:sz w:val="20"/>
        </w:rPr>
        <w:t>and</w:t>
      </w:r>
      <w:r>
        <w:rPr>
          <w:color w:val="231F20"/>
          <w:spacing w:val="-15"/>
          <w:w w:val="105"/>
          <w:sz w:val="20"/>
        </w:rPr>
        <w:t> </w:t>
      </w:r>
      <w:r>
        <w:rPr>
          <w:color w:val="231F20"/>
          <w:w w:val="105"/>
          <w:sz w:val="20"/>
        </w:rPr>
        <w:t>testing clinical specimens. Ongoing communication between public health agencies and clinicians is critical to reinforce the value of collecting and submitting specimens to public health laboratories for tracking and responding to diseases</w:t>
      </w:r>
      <w:r>
        <w:rPr>
          <w:color w:val="231F20"/>
          <w:spacing w:val="-17"/>
          <w:w w:val="105"/>
          <w:sz w:val="20"/>
        </w:rPr>
        <w:t> </w:t>
      </w:r>
      <w:r>
        <w:rPr>
          <w:color w:val="231F20"/>
          <w:w w:val="105"/>
          <w:sz w:val="20"/>
        </w:rPr>
        <w:t>of</w:t>
      </w:r>
      <w:r>
        <w:rPr>
          <w:color w:val="231F20"/>
          <w:spacing w:val="4"/>
          <w:w w:val="105"/>
          <w:sz w:val="20"/>
        </w:rPr>
        <w:t> </w:t>
      </w:r>
      <w:r>
        <w:rPr>
          <w:color w:val="231F20"/>
          <w:w w:val="105"/>
          <w:sz w:val="20"/>
        </w:rPr>
        <w:t>public</w:t>
      </w:r>
      <w:r>
        <w:rPr>
          <w:color w:val="231F20"/>
          <w:spacing w:val="-17"/>
          <w:w w:val="105"/>
          <w:sz w:val="20"/>
        </w:rPr>
        <w:t> </w:t>
      </w:r>
      <w:r>
        <w:rPr>
          <w:color w:val="231F20"/>
          <w:w w:val="105"/>
          <w:sz w:val="20"/>
        </w:rPr>
        <w:t>health</w:t>
      </w:r>
      <w:r>
        <w:rPr>
          <w:color w:val="231F20"/>
          <w:spacing w:val="-16"/>
          <w:w w:val="105"/>
          <w:sz w:val="20"/>
        </w:rPr>
        <w:t> </w:t>
      </w:r>
      <w:r>
        <w:rPr>
          <w:color w:val="231F20"/>
          <w:w w:val="105"/>
          <w:sz w:val="20"/>
        </w:rPr>
        <w:t>interest.</w:t>
      </w:r>
    </w:p>
    <w:p>
      <w:pPr>
        <w:pStyle w:val="BodyText"/>
        <w:spacing w:line="264" w:lineRule="auto" w:before="163"/>
        <w:ind w:left="1440" w:right="63"/>
      </w:pPr>
      <w:r>
        <w:rPr/>
        <w:pict>
          <v:rect style="position:absolute;margin-left:0pt;margin-top:21.364813pt;width:45pt;height:18pt;mso-position-horizontal-relative:page;mso-position-vertical-relative:paragraph;z-index:2872" filled="true" fillcolor="#0079c1" stroked="false">
            <v:fill type="solid"/>
            <w10:wrap type="none"/>
          </v:rect>
        </w:pict>
      </w:r>
      <w:r>
        <w:rPr/>
        <w:pict>
          <v:line style="position:absolute;mso-position-horizontal-relative:page;mso-position-vertical-relative:paragraph;z-index:2896" from="54.5pt,21.362413pt" to="54.5pt,223.771413pt" stroked="true" strokeweight="1pt" strokecolor="#0079c1">
            <v:stroke dashstyle="solid"/>
            <w10:wrap type="none"/>
          </v:line>
        </w:pict>
      </w:r>
      <w:r>
        <w:rPr/>
        <w:pict>
          <v:shape style="position:absolute;margin-left:16.402201pt;margin-top:42.388107pt;width:22.3pt;height:183.2pt;mso-position-horizontal-relative:page;mso-position-vertical-relative:paragraph;z-index:2920"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18.200388pt;margin-top:26.115767pt;width:15.85pt;height:8.5pt;mso-position-horizontal-relative:page;mso-position-vertical-relative:paragraph;z-index:2944"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rFonts w:ascii="Bookman Old Style"/>
          <w:b/>
          <w:color w:val="231F20"/>
          <w:w w:val="90"/>
        </w:rPr>
        <w:t>Encourage</w:t>
      </w:r>
      <w:r>
        <w:rPr>
          <w:rFonts w:ascii="Bookman Old Style"/>
          <w:b/>
          <w:color w:val="231F20"/>
          <w:spacing w:val="-42"/>
          <w:w w:val="90"/>
        </w:rPr>
        <w:t> </w:t>
      </w:r>
      <w:r>
        <w:rPr>
          <w:rFonts w:ascii="Bookman Old Style"/>
          <w:b/>
          <w:color w:val="231F20"/>
          <w:w w:val="90"/>
        </w:rPr>
        <w:t>health-care</w:t>
      </w:r>
      <w:r>
        <w:rPr>
          <w:rFonts w:ascii="Bookman Old Style"/>
          <w:b/>
          <w:color w:val="231F20"/>
          <w:spacing w:val="-42"/>
          <w:w w:val="90"/>
        </w:rPr>
        <w:t> </w:t>
      </w:r>
      <w:r>
        <w:rPr>
          <w:rFonts w:ascii="Bookman Old Style"/>
          <w:b/>
          <w:color w:val="231F20"/>
          <w:w w:val="90"/>
        </w:rPr>
        <w:t>providers</w:t>
      </w:r>
      <w:r>
        <w:rPr>
          <w:rFonts w:ascii="Bookman Old Style"/>
          <w:b/>
          <w:color w:val="231F20"/>
          <w:spacing w:val="-42"/>
          <w:w w:val="90"/>
        </w:rPr>
        <w:t> </w:t>
      </w:r>
      <w:r>
        <w:rPr>
          <w:rFonts w:ascii="Bookman Old Style"/>
          <w:b/>
          <w:color w:val="231F20"/>
          <w:w w:val="90"/>
        </w:rPr>
        <w:t>to</w:t>
      </w:r>
      <w:r>
        <w:rPr>
          <w:rFonts w:ascii="Bookman Old Style"/>
          <w:b/>
          <w:color w:val="231F20"/>
          <w:spacing w:val="-42"/>
          <w:w w:val="90"/>
        </w:rPr>
        <w:t> </w:t>
      </w:r>
      <w:r>
        <w:rPr>
          <w:rFonts w:ascii="Bookman Old Style"/>
          <w:b/>
          <w:color w:val="231F20"/>
          <w:w w:val="90"/>
        </w:rPr>
        <w:t>test patient</w:t>
      </w:r>
      <w:r>
        <w:rPr>
          <w:rFonts w:ascii="Bookman Old Style"/>
          <w:b/>
          <w:color w:val="231F20"/>
          <w:spacing w:val="-40"/>
          <w:w w:val="90"/>
        </w:rPr>
        <w:t> </w:t>
      </w:r>
      <w:r>
        <w:rPr>
          <w:rFonts w:ascii="Bookman Old Style"/>
          <w:b/>
          <w:color w:val="231F20"/>
          <w:w w:val="90"/>
        </w:rPr>
        <w:t>specimens</w:t>
      </w:r>
      <w:r>
        <w:rPr>
          <w:rFonts w:ascii="Bookman Old Style"/>
          <w:b/>
          <w:color w:val="231F20"/>
          <w:spacing w:val="-40"/>
          <w:w w:val="90"/>
        </w:rPr>
        <w:t> </w:t>
      </w:r>
      <w:r>
        <w:rPr>
          <w:rFonts w:ascii="Bookman Old Style"/>
          <w:b/>
          <w:color w:val="231F20"/>
          <w:w w:val="90"/>
        </w:rPr>
        <w:t>as</w:t>
      </w:r>
      <w:r>
        <w:rPr>
          <w:rFonts w:ascii="Bookman Old Style"/>
          <w:b/>
          <w:color w:val="231F20"/>
          <w:spacing w:val="-40"/>
          <w:w w:val="90"/>
        </w:rPr>
        <w:t> </w:t>
      </w:r>
      <w:r>
        <w:rPr>
          <w:rFonts w:ascii="Bookman Old Style"/>
          <w:b/>
          <w:color w:val="231F20"/>
          <w:w w:val="90"/>
        </w:rPr>
        <w:t>part</w:t>
      </w:r>
      <w:r>
        <w:rPr>
          <w:rFonts w:ascii="Bookman Old Style"/>
          <w:b/>
          <w:color w:val="231F20"/>
          <w:spacing w:val="-40"/>
          <w:w w:val="90"/>
        </w:rPr>
        <w:t> </w:t>
      </w:r>
      <w:r>
        <w:rPr>
          <w:rFonts w:ascii="Bookman Old Style"/>
          <w:b/>
          <w:color w:val="231F20"/>
          <w:w w:val="90"/>
        </w:rPr>
        <w:t>of</w:t>
      </w:r>
      <w:r>
        <w:rPr>
          <w:rFonts w:ascii="Bookman Old Style"/>
          <w:b/>
          <w:color w:val="231F20"/>
          <w:spacing w:val="-27"/>
          <w:w w:val="90"/>
        </w:rPr>
        <w:t> </w:t>
      </w:r>
      <w:r>
        <w:rPr>
          <w:rFonts w:ascii="Bookman Old Style"/>
          <w:b/>
          <w:color w:val="231F20"/>
          <w:w w:val="90"/>
        </w:rPr>
        <w:t>the</w:t>
      </w:r>
      <w:r>
        <w:rPr>
          <w:rFonts w:ascii="Bookman Old Style"/>
          <w:b/>
          <w:color w:val="231F20"/>
          <w:spacing w:val="-40"/>
          <w:w w:val="90"/>
        </w:rPr>
        <w:t> </w:t>
      </w:r>
      <w:r>
        <w:rPr>
          <w:rFonts w:ascii="Bookman Old Style"/>
          <w:b/>
          <w:color w:val="231F20"/>
          <w:w w:val="90"/>
        </w:rPr>
        <w:t>routine </w:t>
      </w:r>
      <w:r>
        <w:rPr>
          <w:rFonts w:ascii="Bookman Old Style"/>
          <w:b/>
          <w:color w:val="231F20"/>
          <w:w w:val="85"/>
        </w:rPr>
        <w:t>diagnostic process for possible foodborne </w:t>
      </w:r>
      <w:r>
        <w:rPr>
          <w:rFonts w:ascii="Bookman Old Style"/>
          <w:b/>
          <w:color w:val="231F20"/>
        </w:rPr>
        <w:t>diseases. </w:t>
      </w:r>
      <w:r>
        <w:rPr>
          <w:color w:val="231F20"/>
        </w:rPr>
        <w:t>Increase reporting and isolate submission </w:t>
      </w:r>
      <w:r>
        <w:rPr>
          <w:color w:val="231F20"/>
          <w:spacing w:val="-3"/>
        </w:rPr>
        <w:t>by </w:t>
      </w:r>
      <w:r>
        <w:rPr>
          <w:color w:val="231F20"/>
        </w:rPr>
        <w:t>clinical laboratories and health- care providers through: a) education about the value of testing and reporting mechanisms; b) regulatory action (such as modifying reporting rules to mandate isolate submission); c) laboratory audits; and d) provision of easier methods  for  compliance,  such  as  automated or Web-based reporting, isolate-transport systems, more consistent reporting across reporting areas, and limitation of  the amount  of information initially requested. Educate physicians,  laboratorians,  and</w:t>
      </w:r>
      <w:r>
        <w:rPr>
          <w:color w:val="231F20"/>
          <w:spacing w:val="17"/>
        </w:rPr>
        <w:t> </w:t>
      </w:r>
      <w:r>
        <w:rPr>
          <w:color w:val="231F20"/>
        </w:rPr>
        <w:t>medical</w:t>
      </w:r>
    </w:p>
    <w:p>
      <w:pPr>
        <w:pStyle w:val="BodyText"/>
        <w:spacing w:line="266" w:lineRule="auto" w:before="2"/>
        <w:ind w:left="1440" w:right="74"/>
      </w:pPr>
      <w:r>
        <w:rPr>
          <w:color w:val="231F20"/>
          <w:w w:val="105"/>
        </w:rPr>
        <w:t>records clerks by workshops or conferences, newsletters, electronic health alerts, and regular feedback from public health agencies.</w:t>
      </w:r>
    </w:p>
    <w:p>
      <w:pPr>
        <w:pStyle w:val="BodyText"/>
        <w:spacing w:line="266" w:lineRule="auto" w:before="180"/>
        <w:ind w:left="1440" w:right="-16"/>
      </w:pPr>
      <w:r>
        <w:rPr>
          <w:color w:val="231F20"/>
          <w:w w:val="105"/>
        </w:rPr>
        <w:t>The medical rationale and specific recommendations for testing can be found in </w:t>
      </w:r>
      <w:r>
        <w:rPr>
          <w:i/>
          <w:color w:val="231F20"/>
          <w:w w:val="105"/>
        </w:rPr>
        <w:t>Practical Guidelines for the Management of Infectious </w:t>
      </w:r>
      <w:r>
        <w:rPr>
          <w:i/>
          <w:color w:val="231F20"/>
          <w:w w:val="105"/>
        </w:rPr>
        <w:t>Diarrhea</w:t>
      </w:r>
      <w:r>
        <w:rPr>
          <w:i/>
          <w:color w:val="231F20"/>
          <w:w w:val="105"/>
          <w:position w:val="7"/>
          <w:sz w:val="11"/>
        </w:rPr>
        <w:t>2 </w:t>
      </w:r>
      <w:r>
        <w:rPr>
          <w:color w:val="231F20"/>
          <w:w w:val="105"/>
        </w:rPr>
        <w:t>and “Diagnosis and management of foodborne illnesses: a primer for physicians and other health-care professionals.”</w:t>
      </w:r>
      <w:r>
        <w:rPr>
          <w:color w:val="231F20"/>
          <w:w w:val="105"/>
          <w:position w:val="7"/>
          <w:sz w:val="11"/>
        </w:rPr>
        <w:t>3 </w:t>
      </w:r>
      <w:r>
        <w:rPr>
          <w:color w:val="231F20"/>
          <w:w w:val="105"/>
        </w:rPr>
        <w:t>The latter</w:t>
      </w:r>
      <w:r>
        <w:rPr>
          <w:color w:val="231F20"/>
          <w:spacing w:val="-14"/>
          <w:w w:val="105"/>
        </w:rPr>
        <w:t> </w:t>
      </w:r>
      <w:r>
        <w:rPr>
          <w:color w:val="231F20"/>
          <w:w w:val="105"/>
        </w:rPr>
        <w:t>document</w:t>
      </w:r>
      <w:r>
        <w:rPr>
          <w:color w:val="231F20"/>
          <w:spacing w:val="-14"/>
          <w:w w:val="105"/>
        </w:rPr>
        <w:t> </w:t>
      </w:r>
      <w:r>
        <w:rPr>
          <w:color w:val="231F20"/>
          <w:w w:val="105"/>
        </w:rPr>
        <w:t>provides</w:t>
      </w:r>
      <w:r>
        <w:rPr>
          <w:color w:val="231F20"/>
          <w:spacing w:val="-14"/>
          <w:w w:val="105"/>
        </w:rPr>
        <w:t> </w:t>
      </w:r>
      <w:r>
        <w:rPr>
          <w:color w:val="231F20"/>
          <w:w w:val="105"/>
        </w:rPr>
        <w:t>a</w:t>
      </w:r>
      <w:r>
        <w:rPr>
          <w:color w:val="231F20"/>
          <w:spacing w:val="-14"/>
          <w:w w:val="105"/>
        </w:rPr>
        <w:t> </w:t>
      </w:r>
      <w:r>
        <w:rPr>
          <w:color w:val="231F20"/>
          <w:w w:val="105"/>
        </w:rPr>
        <w:t>series</w:t>
      </w:r>
      <w:r>
        <w:rPr>
          <w:color w:val="231F20"/>
          <w:spacing w:val="-13"/>
          <w:w w:val="105"/>
        </w:rPr>
        <w:t> </w:t>
      </w:r>
      <w:r>
        <w:rPr>
          <w:color w:val="231F20"/>
          <w:w w:val="105"/>
        </w:rPr>
        <w:t>of</w:t>
      </w:r>
      <w:r>
        <w:rPr>
          <w:color w:val="231F20"/>
          <w:spacing w:val="9"/>
          <w:w w:val="105"/>
        </w:rPr>
        <w:t> </w:t>
      </w:r>
      <w:r>
        <w:rPr>
          <w:color w:val="231F20"/>
          <w:w w:val="105"/>
        </w:rPr>
        <w:t>tables</w:t>
      </w:r>
      <w:r>
        <w:rPr>
          <w:color w:val="231F20"/>
          <w:spacing w:val="-14"/>
          <w:w w:val="105"/>
        </w:rPr>
        <w:t> </w:t>
      </w:r>
      <w:r>
        <w:rPr>
          <w:color w:val="231F20"/>
          <w:w w:val="105"/>
        </w:rPr>
        <w:t>that give</w:t>
      </w:r>
      <w:r>
        <w:rPr>
          <w:color w:val="231F20"/>
          <w:spacing w:val="-19"/>
          <w:w w:val="105"/>
        </w:rPr>
        <w:t> </w:t>
      </w:r>
      <w:r>
        <w:rPr>
          <w:color w:val="231F20"/>
          <w:w w:val="105"/>
        </w:rPr>
        <w:t>useful</w:t>
      </w:r>
      <w:r>
        <w:rPr>
          <w:color w:val="231F20"/>
          <w:spacing w:val="-19"/>
          <w:w w:val="105"/>
        </w:rPr>
        <w:t> </w:t>
      </w:r>
      <w:r>
        <w:rPr>
          <w:color w:val="231F20"/>
          <w:w w:val="105"/>
        </w:rPr>
        <w:t>information</w:t>
      </w:r>
      <w:r>
        <w:rPr>
          <w:color w:val="231F20"/>
          <w:spacing w:val="-20"/>
          <w:w w:val="105"/>
        </w:rPr>
        <w:t> </w:t>
      </w:r>
      <w:r>
        <w:rPr>
          <w:color w:val="231F20"/>
          <w:w w:val="105"/>
        </w:rPr>
        <w:t>about</w:t>
      </w:r>
      <w:r>
        <w:rPr>
          <w:color w:val="231F20"/>
          <w:spacing w:val="-20"/>
          <w:w w:val="105"/>
        </w:rPr>
        <w:t> </w:t>
      </w:r>
      <w:r>
        <w:rPr>
          <w:color w:val="231F20"/>
          <w:w w:val="105"/>
        </w:rPr>
        <w:t>major</w:t>
      </w:r>
      <w:r>
        <w:rPr>
          <w:color w:val="231F20"/>
          <w:spacing w:val="-19"/>
          <w:w w:val="105"/>
        </w:rPr>
        <w:t> </w:t>
      </w:r>
      <w:r>
        <w:rPr>
          <w:color w:val="231F20"/>
          <w:w w:val="105"/>
        </w:rPr>
        <w:t>foodborne pathogens, including signs and symptoms, incubation periods, and appropriate</w:t>
      </w:r>
      <w:r>
        <w:rPr>
          <w:color w:val="231F20"/>
          <w:spacing w:val="-22"/>
          <w:w w:val="105"/>
        </w:rPr>
        <w:t> </w:t>
      </w:r>
      <w:r>
        <w:rPr>
          <w:color w:val="231F20"/>
          <w:w w:val="105"/>
        </w:rPr>
        <w:t>laboratory tests,</w:t>
      </w:r>
      <w:r>
        <w:rPr>
          <w:color w:val="231F20"/>
          <w:spacing w:val="-15"/>
          <w:w w:val="105"/>
        </w:rPr>
        <w:t> </w:t>
      </w:r>
      <w:r>
        <w:rPr>
          <w:color w:val="231F20"/>
          <w:w w:val="105"/>
        </w:rPr>
        <w:t>and</w:t>
      </w:r>
      <w:r>
        <w:rPr>
          <w:color w:val="231F20"/>
          <w:spacing w:val="-16"/>
          <w:w w:val="105"/>
        </w:rPr>
        <w:t> </w:t>
      </w:r>
      <w:r>
        <w:rPr>
          <w:color w:val="231F20"/>
          <w:w w:val="105"/>
        </w:rPr>
        <w:t>describes</w:t>
      </w:r>
      <w:r>
        <w:rPr>
          <w:color w:val="231F20"/>
          <w:spacing w:val="-15"/>
          <w:w w:val="105"/>
        </w:rPr>
        <w:t> </w:t>
      </w:r>
      <w:r>
        <w:rPr>
          <w:color w:val="231F20"/>
          <w:w w:val="105"/>
        </w:rPr>
        <w:t>sample</w:t>
      </w:r>
      <w:r>
        <w:rPr>
          <w:color w:val="231F20"/>
          <w:spacing w:val="-14"/>
          <w:w w:val="105"/>
        </w:rPr>
        <w:t> </w:t>
      </w:r>
      <w:r>
        <w:rPr>
          <w:color w:val="231F20"/>
          <w:w w:val="105"/>
        </w:rPr>
        <w:t>patient</w:t>
      </w:r>
      <w:r>
        <w:rPr>
          <w:color w:val="231F20"/>
          <w:spacing w:val="-16"/>
          <w:w w:val="105"/>
        </w:rPr>
        <w:t> </w:t>
      </w:r>
      <w:r>
        <w:rPr>
          <w:color w:val="231F20"/>
          <w:w w:val="105"/>
        </w:rPr>
        <w:t>scenarios</w:t>
      </w:r>
      <w:r>
        <w:rPr>
          <w:color w:val="231F20"/>
          <w:spacing w:val="-14"/>
          <w:w w:val="105"/>
        </w:rPr>
        <w:t> </w:t>
      </w:r>
      <w:r>
        <w:rPr>
          <w:color w:val="231F20"/>
          <w:w w:val="105"/>
        </w:rPr>
        <w:t>to help</w:t>
      </w:r>
      <w:r>
        <w:rPr>
          <w:color w:val="231F20"/>
          <w:spacing w:val="-20"/>
          <w:w w:val="105"/>
        </w:rPr>
        <w:t> </w:t>
      </w:r>
      <w:r>
        <w:rPr>
          <w:color w:val="231F20"/>
          <w:w w:val="105"/>
        </w:rPr>
        <w:t>with</w:t>
      </w:r>
      <w:r>
        <w:rPr>
          <w:color w:val="231F20"/>
          <w:spacing w:val="-20"/>
          <w:w w:val="105"/>
        </w:rPr>
        <w:t> </w:t>
      </w:r>
      <w:r>
        <w:rPr>
          <w:color w:val="231F20"/>
          <w:w w:val="105"/>
        </w:rPr>
        <w:t>the</w:t>
      </w:r>
      <w:r>
        <w:rPr>
          <w:color w:val="231F20"/>
          <w:spacing w:val="-20"/>
          <w:w w:val="105"/>
        </w:rPr>
        <w:t> </w:t>
      </w:r>
      <w:r>
        <w:rPr>
          <w:color w:val="231F20"/>
          <w:w w:val="105"/>
        </w:rPr>
        <w:t>diagnostic</w:t>
      </w:r>
      <w:r>
        <w:rPr>
          <w:color w:val="231F20"/>
          <w:spacing w:val="-20"/>
          <w:w w:val="105"/>
        </w:rPr>
        <w:t> </w:t>
      </w:r>
      <w:r>
        <w:rPr>
          <w:color w:val="231F20"/>
          <w:w w:val="105"/>
        </w:rPr>
        <w:t>process.</w:t>
      </w:r>
    </w:p>
    <w:p>
      <w:pPr>
        <w:pStyle w:val="ListParagraph"/>
        <w:numPr>
          <w:ilvl w:val="3"/>
          <w:numId w:val="10"/>
        </w:numPr>
        <w:tabs>
          <w:tab w:pos="2182" w:val="left" w:leader="none"/>
        </w:tabs>
        <w:spacing w:line="266" w:lineRule="auto" w:before="180" w:after="0"/>
        <w:ind w:left="1440" w:right="789" w:firstLine="0"/>
        <w:jc w:val="left"/>
        <w:rPr>
          <w:i/>
          <w:sz w:val="20"/>
        </w:rPr>
      </w:pPr>
      <w:r>
        <w:rPr>
          <w:i/>
          <w:color w:val="E36F1E"/>
          <w:w w:val="105"/>
          <w:sz w:val="20"/>
        </w:rPr>
        <w:t>Isolate/specimen submission</w:t>
      </w:r>
      <w:r>
        <w:rPr>
          <w:i/>
          <w:color w:val="E36F1E"/>
          <w:spacing w:val="-37"/>
          <w:w w:val="105"/>
          <w:sz w:val="20"/>
        </w:rPr>
        <w:t> </w:t>
      </w:r>
      <w:r>
        <w:rPr>
          <w:i/>
          <w:color w:val="E36F1E"/>
          <w:w w:val="105"/>
          <w:sz w:val="20"/>
        </w:rPr>
        <w:t>and </w:t>
      </w:r>
      <w:r>
        <w:rPr>
          <w:i/>
          <w:color w:val="E36F1E"/>
          <w:w w:val="105"/>
          <w:sz w:val="20"/>
        </w:rPr>
        <w:t>characterization</w:t>
      </w:r>
    </w:p>
    <w:p>
      <w:pPr>
        <w:pStyle w:val="BodyText"/>
        <w:spacing w:line="219" w:lineRule="exact"/>
        <w:ind w:left="1440"/>
        <w:rPr>
          <w:rFonts w:ascii="Bookman Old Style"/>
          <w:b/>
        </w:rPr>
      </w:pPr>
      <w:r>
        <w:rPr>
          <w:rFonts w:ascii="Bookman Old Style"/>
          <w:b/>
          <w:color w:val="231F20"/>
          <w:w w:val="85"/>
        </w:rPr>
        <w:t>Confer with the laboratory to determine</w:t>
      </w:r>
    </w:p>
    <w:p>
      <w:pPr>
        <w:pStyle w:val="BodyText"/>
        <w:spacing w:before="15"/>
        <w:ind w:left="1440"/>
        <w:rPr>
          <w:rFonts w:ascii="Bookman Old Style"/>
          <w:b/>
        </w:rPr>
      </w:pPr>
      <w:r>
        <w:rPr>
          <w:rFonts w:ascii="Bookman Old Style"/>
          <w:b/>
          <w:color w:val="231F20"/>
          <w:w w:val="85"/>
        </w:rPr>
        <w:t>subtyping methods available for the</w:t>
      </w:r>
    </w:p>
    <w:p>
      <w:pPr>
        <w:pStyle w:val="BodyText"/>
        <w:spacing w:line="264" w:lineRule="auto" w:before="91"/>
        <w:ind w:left="336" w:right="751"/>
      </w:pPr>
      <w:r>
        <w:rPr/>
        <w:br w:type="column"/>
      </w:r>
      <w:r>
        <w:rPr>
          <w:rFonts w:ascii="Bookman Old Style" w:hAnsi="Bookman Old Style"/>
          <w:b/>
          <w:color w:val="231F20"/>
          <w:w w:val="90"/>
        </w:rPr>
        <w:t>pathogen under study. </w:t>
      </w:r>
      <w:r>
        <w:rPr>
          <w:color w:val="231F20"/>
          <w:w w:val="90"/>
        </w:rPr>
        <w:t>Undertake subtyping </w:t>
      </w:r>
      <w:r>
        <w:rPr>
          <w:color w:val="231F20"/>
        </w:rPr>
        <w:t>as the isolates are submitted—do  not</w:t>
      </w:r>
    </w:p>
    <w:p>
      <w:pPr>
        <w:pStyle w:val="BodyText"/>
        <w:spacing w:line="266" w:lineRule="auto" w:before="2"/>
        <w:ind w:left="336" w:right="1268"/>
        <w:jc w:val="both"/>
      </w:pPr>
      <w:r>
        <w:rPr>
          <w:color w:val="231F20"/>
          <w:w w:val="105"/>
        </w:rPr>
        <w:t>wait</w:t>
      </w:r>
      <w:r>
        <w:rPr>
          <w:color w:val="231F20"/>
          <w:spacing w:val="-14"/>
          <w:w w:val="105"/>
        </w:rPr>
        <w:t> </w:t>
      </w:r>
      <w:r>
        <w:rPr>
          <w:color w:val="231F20"/>
          <w:w w:val="105"/>
        </w:rPr>
        <w:t>for</w:t>
      </w:r>
      <w:r>
        <w:rPr>
          <w:color w:val="231F20"/>
          <w:spacing w:val="-14"/>
          <w:w w:val="105"/>
        </w:rPr>
        <w:t> </w:t>
      </w:r>
      <w:r>
        <w:rPr>
          <w:color w:val="231F20"/>
          <w:w w:val="105"/>
        </w:rPr>
        <w:t>a</w:t>
      </w:r>
      <w:r>
        <w:rPr>
          <w:color w:val="231F20"/>
          <w:spacing w:val="-14"/>
          <w:w w:val="105"/>
        </w:rPr>
        <w:t> </w:t>
      </w:r>
      <w:r>
        <w:rPr>
          <w:color w:val="231F20"/>
          <w:w w:val="105"/>
        </w:rPr>
        <w:t>specific</w:t>
      </w:r>
      <w:r>
        <w:rPr>
          <w:color w:val="231F20"/>
          <w:spacing w:val="-14"/>
          <w:w w:val="105"/>
        </w:rPr>
        <w:t> </w:t>
      </w:r>
      <w:r>
        <w:rPr>
          <w:color w:val="231F20"/>
          <w:w w:val="105"/>
        </w:rPr>
        <w:t>number</w:t>
      </w:r>
      <w:r>
        <w:rPr>
          <w:color w:val="231F20"/>
          <w:spacing w:val="-14"/>
          <w:w w:val="105"/>
        </w:rPr>
        <w:t> </w:t>
      </w:r>
      <w:r>
        <w:rPr>
          <w:color w:val="231F20"/>
          <w:w w:val="105"/>
        </w:rPr>
        <w:t>of</w:t>
      </w:r>
      <w:r>
        <w:rPr>
          <w:color w:val="231F20"/>
          <w:spacing w:val="8"/>
          <w:w w:val="105"/>
        </w:rPr>
        <w:t> </w:t>
      </w:r>
      <w:r>
        <w:rPr>
          <w:color w:val="231F20"/>
          <w:w w:val="105"/>
        </w:rPr>
        <w:t>specimens to</w:t>
      </w:r>
      <w:r>
        <w:rPr>
          <w:color w:val="231F20"/>
          <w:spacing w:val="-14"/>
          <w:w w:val="105"/>
        </w:rPr>
        <w:t> </w:t>
      </w:r>
      <w:r>
        <w:rPr>
          <w:color w:val="231F20"/>
          <w:w w:val="105"/>
        </w:rPr>
        <w:t>accumulate</w:t>
      </w:r>
      <w:r>
        <w:rPr>
          <w:color w:val="231F20"/>
          <w:spacing w:val="-13"/>
          <w:w w:val="105"/>
        </w:rPr>
        <w:t> </w:t>
      </w:r>
      <w:r>
        <w:rPr>
          <w:color w:val="231F20"/>
          <w:w w:val="105"/>
        </w:rPr>
        <w:t>before</w:t>
      </w:r>
      <w:r>
        <w:rPr>
          <w:color w:val="231F20"/>
          <w:spacing w:val="-13"/>
          <w:w w:val="105"/>
        </w:rPr>
        <w:t> </w:t>
      </w:r>
      <w:r>
        <w:rPr>
          <w:color w:val="231F20"/>
          <w:w w:val="105"/>
        </w:rPr>
        <w:t>testing</w:t>
      </w:r>
      <w:r>
        <w:rPr>
          <w:color w:val="231F20"/>
          <w:spacing w:val="-14"/>
          <w:w w:val="105"/>
        </w:rPr>
        <w:t> </w:t>
      </w:r>
      <w:r>
        <w:rPr>
          <w:color w:val="231F20"/>
          <w:w w:val="105"/>
        </w:rPr>
        <w:t>them.</w:t>
      </w:r>
      <w:r>
        <w:rPr>
          <w:color w:val="231F20"/>
          <w:spacing w:val="-14"/>
          <w:w w:val="105"/>
        </w:rPr>
        <w:t> </w:t>
      </w:r>
      <w:r>
        <w:rPr>
          <w:color w:val="231F20"/>
          <w:spacing w:val="-5"/>
          <w:w w:val="105"/>
        </w:rPr>
        <w:t>Tests </w:t>
      </w:r>
      <w:r>
        <w:rPr>
          <w:color w:val="231F20"/>
          <w:w w:val="105"/>
        </w:rPr>
        <w:t>such</w:t>
      </w:r>
      <w:r>
        <w:rPr>
          <w:color w:val="231F20"/>
          <w:spacing w:val="-11"/>
          <w:w w:val="105"/>
        </w:rPr>
        <w:t> </w:t>
      </w:r>
      <w:r>
        <w:rPr>
          <w:color w:val="231F20"/>
          <w:w w:val="105"/>
        </w:rPr>
        <w:t>as</w:t>
      </w:r>
      <w:r>
        <w:rPr>
          <w:color w:val="231F20"/>
          <w:spacing w:val="-11"/>
          <w:w w:val="105"/>
        </w:rPr>
        <w:t> </w:t>
      </w:r>
      <w:r>
        <w:rPr>
          <w:color w:val="231F20"/>
          <w:w w:val="105"/>
        </w:rPr>
        <w:t>PFGE</w:t>
      </w:r>
      <w:r>
        <w:rPr>
          <w:color w:val="231F20"/>
          <w:spacing w:val="-11"/>
          <w:w w:val="105"/>
        </w:rPr>
        <w:t> </w:t>
      </w:r>
      <w:r>
        <w:rPr>
          <w:color w:val="231F20"/>
          <w:w w:val="105"/>
        </w:rPr>
        <w:t>and</w:t>
      </w:r>
      <w:r>
        <w:rPr>
          <w:color w:val="231F20"/>
          <w:spacing w:val="-11"/>
          <w:w w:val="105"/>
        </w:rPr>
        <w:t> </w:t>
      </w:r>
      <w:r>
        <w:rPr>
          <w:color w:val="231F20"/>
          <w:w w:val="105"/>
        </w:rPr>
        <w:t>serotyping</w:t>
      </w:r>
      <w:r>
        <w:rPr>
          <w:color w:val="231F20"/>
          <w:spacing w:val="-10"/>
          <w:w w:val="105"/>
        </w:rPr>
        <w:t> </w:t>
      </w:r>
      <w:r>
        <w:rPr>
          <w:color w:val="231F20"/>
          <w:w w:val="105"/>
        </w:rPr>
        <w:t>ideally</w:t>
      </w:r>
      <w:r>
        <w:rPr>
          <w:color w:val="231F20"/>
          <w:spacing w:val="-10"/>
          <w:w w:val="105"/>
        </w:rPr>
        <w:t> </w:t>
      </w:r>
      <w:r>
        <w:rPr>
          <w:color w:val="231F20"/>
          <w:w w:val="105"/>
        </w:rPr>
        <w:t>are</w:t>
      </w:r>
    </w:p>
    <w:p>
      <w:pPr>
        <w:pStyle w:val="BodyText"/>
        <w:spacing w:line="266" w:lineRule="auto"/>
        <w:ind w:left="336" w:right="751"/>
      </w:pPr>
      <w:r>
        <w:rPr>
          <w:color w:val="231F20"/>
          <w:w w:val="105"/>
        </w:rPr>
        <w:t>performed concurrently to reduce turnaround time. Recommended turnaround times are described in the Association of Public Health Laboratories/CIFOR “yardstick” project (</w:t>
      </w:r>
      <w:hyperlink r:id="rId17">
        <w:r>
          <w:rPr>
            <w:color w:val="0079C1"/>
            <w:w w:val="105"/>
          </w:rPr>
          <w:t>http://www.aphl.org/aphlprograms/food/</w:t>
        </w:r>
      </w:hyperlink>
      <w:r>
        <w:rPr>
          <w:color w:val="0079C1"/>
          <w:w w:val="105"/>
        </w:rPr>
        <w:t> initiatives/Documents/FS_2012_Yardstick- Self-Assessment-Tool-for-Public-Health-</w:t>
      </w:r>
    </w:p>
    <w:p>
      <w:pPr>
        <w:pStyle w:val="BodyText"/>
        <w:spacing w:line="266" w:lineRule="auto"/>
        <w:ind w:left="336" w:right="812"/>
      </w:pPr>
      <w:r>
        <w:rPr>
          <w:color w:val="0079C1"/>
          <w:spacing w:val="-3"/>
          <w:w w:val="105"/>
        </w:rPr>
        <w:t>Food-Safety-Testing.pdf</w:t>
      </w:r>
      <w:r>
        <w:rPr>
          <w:color w:val="231F20"/>
          <w:spacing w:val="-3"/>
          <w:w w:val="105"/>
        </w:rPr>
        <w:t>). Post </w:t>
      </w:r>
      <w:r>
        <w:rPr>
          <w:color w:val="231F20"/>
          <w:w w:val="105"/>
        </w:rPr>
        <w:t>results to national databases as quickly as possible. </w:t>
      </w:r>
      <w:r>
        <w:rPr>
          <w:color w:val="231F20"/>
          <w:spacing w:val="-5"/>
          <w:w w:val="105"/>
        </w:rPr>
        <w:t>Tests</w:t>
      </w:r>
      <w:r>
        <w:rPr>
          <w:color w:val="231F20"/>
          <w:spacing w:val="-11"/>
          <w:w w:val="105"/>
        </w:rPr>
        <w:t> </w:t>
      </w:r>
      <w:r>
        <w:rPr>
          <w:color w:val="231F20"/>
          <w:w w:val="105"/>
        </w:rPr>
        <w:t>conducted</w:t>
      </w:r>
      <w:r>
        <w:rPr>
          <w:color w:val="231F20"/>
          <w:spacing w:val="-10"/>
          <w:w w:val="105"/>
        </w:rPr>
        <w:t> </w:t>
      </w:r>
      <w:r>
        <w:rPr>
          <w:color w:val="231F20"/>
          <w:w w:val="105"/>
        </w:rPr>
        <w:t>on</w:t>
      </w:r>
      <w:r>
        <w:rPr>
          <w:color w:val="231F20"/>
          <w:spacing w:val="-11"/>
          <w:w w:val="105"/>
        </w:rPr>
        <w:t> </w:t>
      </w:r>
      <w:r>
        <w:rPr>
          <w:color w:val="231F20"/>
          <w:w w:val="105"/>
        </w:rPr>
        <w:t>an</w:t>
      </w:r>
      <w:r>
        <w:rPr>
          <w:color w:val="231F20"/>
          <w:spacing w:val="-11"/>
          <w:w w:val="105"/>
        </w:rPr>
        <w:t> </w:t>
      </w:r>
      <w:r>
        <w:rPr>
          <w:color w:val="231F20"/>
          <w:w w:val="105"/>
        </w:rPr>
        <w:t>as-needed</w:t>
      </w:r>
      <w:r>
        <w:rPr>
          <w:color w:val="231F20"/>
          <w:spacing w:val="-11"/>
          <w:w w:val="105"/>
        </w:rPr>
        <w:t> </w:t>
      </w:r>
      <w:r>
        <w:rPr>
          <w:color w:val="231F20"/>
          <w:w w:val="105"/>
        </w:rPr>
        <w:t>basis</w:t>
      </w:r>
      <w:r>
        <w:rPr>
          <w:color w:val="231F20"/>
          <w:spacing w:val="-11"/>
          <w:w w:val="105"/>
        </w:rPr>
        <w:t> </w:t>
      </w:r>
      <w:r>
        <w:rPr>
          <w:color w:val="231F20"/>
          <w:w w:val="105"/>
        </w:rPr>
        <w:t>during a cluster investigation, such as multilocus variable number tandem repeat analysis or whole-genome</w:t>
      </w:r>
      <w:r>
        <w:rPr>
          <w:color w:val="231F20"/>
          <w:spacing w:val="-20"/>
          <w:w w:val="105"/>
        </w:rPr>
        <w:t> </w:t>
      </w:r>
      <w:r>
        <w:rPr>
          <w:color w:val="231F20"/>
          <w:w w:val="105"/>
        </w:rPr>
        <w:t>sequencing,</w:t>
      </w:r>
      <w:r>
        <w:rPr>
          <w:color w:val="231F20"/>
          <w:spacing w:val="-21"/>
          <w:w w:val="105"/>
        </w:rPr>
        <w:t> </w:t>
      </w:r>
      <w:r>
        <w:rPr>
          <w:color w:val="231F20"/>
          <w:w w:val="105"/>
        </w:rPr>
        <w:t>should</w:t>
      </w:r>
      <w:r>
        <w:rPr>
          <w:color w:val="231F20"/>
          <w:spacing w:val="-21"/>
          <w:w w:val="105"/>
        </w:rPr>
        <w:t> </w:t>
      </w:r>
      <w:r>
        <w:rPr>
          <w:color w:val="231F20"/>
          <w:w w:val="105"/>
        </w:rPr>
        <w:t>be</w:t>
      </w:r>
      <w:r>
        <w:rPr>
          <w:color w:val="231F20"/>
          <w:spacing w:val="-21"/>
          <w:w w:val="105"/>
        </w:rPr>
        <w:t> </w:t>
      </w:r>
      <w:r>
        <w:rPr>
          <w:color w:val="231F20"/>
          <w:w w:val="105"/>
        </w:rPr>
        <w:t>initiated as</w:t>
      </w:r>
      <w:r>
        <w:rPr>
          <w:color w:val="231F20"/>
          <w:spacing w:val="-14"/>
          <w:w w:val="105"/>
        </w:rPr>
        <w:t> </w:t>
      </w:r>
      <w:r>
        <w:rPr>
          <w:color w:val="231F20"/>
          <w:w w:val="105"/>
        </w:rPr>
        <w:t>soon</w:t>
      </w:r>
      <w:r>
        <w:rPr>
          <w:color w:val="231F20"/>
          <w:spacing w:val="-13"/>
          <w:w w:val="105"/>
        </w:rPr>
        <w:t> </w:t>
      </w:r>
      <w:r>
        <w:rPr>
          <w:color w:val="231F20"/>
          <w:w w:val="105"/>
        </w:rPr>
        <w:t>as</w:t>
      </w:r>
      <w:r>
        <w:rPr>
          <w:color w:val="231F20"/>
          <w:spacing w:val="-14"/>
          <w:w w:val="105"/>
        </w:rPr>
        <w:t> </w:t>
      </w:r>
      <w:r>
        <w:rPr>
          <w:color w:val="231F20"/>
          <w:w w:val="105"/>
        </w:rPr>
        <w:t>the</w:t>
      </w:r>
      <w:r>
        <w:rPr>
          <w:color w:val="231F20"/>
          <w:spacing w:val="-14"/>
          <w:w w:val="105"/>
        </w:rPr>
        <w:t> </w:t>
      </w:r>
      <w:r>
        <w:rPr>
          <w:color w:val="231F20"/>
          <w:w w:val="105"/>
        </w:rPr>
        <w:t>need</w:t>
      </w:r>
      <w:r>
        <w:rPr>
          <w:color w:val="231F20"/>
          <w:spacing w:val="-13"/>
          <w:w w:val="105"/>
        </w:rPr>
        <w:t> </w:t>
      </w:r>
      <w:r>
        <w:rPr>
          <w:color w:val="231F20"/>
          <w:w w:val="105"/>
        </w:rPr>
        <w:t>is</w:t>
      </w:r>
      <w:r>
        <w:rPr>
          <w:color w:val="231F20"/>
          <w:spacing w:val="-14"/>
          <w:w w:val="105"/>
        </w:rPr>
        <w:t> </w:t>
      </w:r>
      <w:r>
        <w:rPr>
          <w:color w:val="231F20"/>
          <w:w w:val="105"/>
        </w:rPr>
        <w:t>recognized.</w:t>
      </w:r>
    </w:p>
    <w:p>
      <w:pPr>
        <w:pStyle w:val="BodyText"/>
        <w:spacing w:line="266" w:lineRule="auto" w:before="180"/>
        <w:ind w:left="336" w:right="1172"/>
      </w:pPr>
      <w:r>
        <w:rPr>
          <w:color w:val="231F20"/>
          <w:w w:val="105"/>
        </w:rPr>
        <w:t>Use of culture-independent diagnostics in</w:t>
      </w:r>
      <w:r>
        <w:rPr>
          <w:color w:val="231F20"/>
          <w:spacing w:val="-8"/>
          <w:w w:val="105"/>
        </w:rPr>
        <w:t> </w:t>
      </w:r>
      <w:r>
        <w:rPr>
          <w:color w:val="231F20"/>
          <w:w w:val="105"/>
        </w:rPr>
        <w:t>clinical</w:t>
      </w:r>
      <w:r>
        <w:rPr>
          <w:color w:val="231F20"/>
          <w:spacing w:val="-7"/>
          <w:w w:val="105"/>
        </w:rPr>
        <w:t> </w:t>
      </w:r>
      <w:r>
        <w:rPr>
          <w:color w:val="231F20"/>
          <w:w w:val="105"/>
        </w:rPr>
        <w:t>laboratories</w:t>
      </w:r>
      <w:r>
        <w:rPr>
          <w:color w:val="231F20"/>
          <w:spacing w:val="-8"/>
          <w:w w:val="105"/>
        </w:rPr>
        <w:t> </w:t>
      </w:r>
      <w:r>
        <w:rPr>
          <w:color w:val="231F20"/>
          <w:w w:val="105"/>
        </w:rPr>
        <w:t>is</w:t>
      </w:r>
      <w:r>
        <w:rPr>
          <w:color w:val="231F20"/>
          <w:spacing w:val="-8"/>
          <w:w w:val="105"/>
        </w:rPr>
        <w:t> </w:t>
      </w:r>
      <w:r>
        <w:rPr>
          <w:color w:val="231F20"/>
          <w:w w:val="105"/>
        </w:rPr>
        <w:t>anticipated</w:t>
      </w:r>
      <w:r>
        <w:rPr>
          <w:color w:val="231F20"/>
          <w:spacing w:val="-8"/>
          <w:w w:val="105"/>
        </w:rPr>
        <w:t> </w:t>
      </w:r>
      <w:r>
        <w:rPr>
          <w:color w:val="231F20"/>
          <w:w w:val="105"/>
        </w:rPr>
        <w:t>to</w:t>
      </w:r>
      <w:r>
        <w:rPr>
          <w:color w:val="231F20"/>
          <w:spacing w:val="-8"/>
          <w:w w:val="105"/>
        </w:rPr>
        <w:t> </w:t>
      </w:r>
      <w:r>
        <w:rPr>
          <w:color w:val="231F20"/>
          <w:w w:val="105"/>
        </w:rPr>
        <w:t>be</w:t>
      </w:r>
    </w:p>
    <w:p>
      <w:pPr>
        <w:pStyle w:val="BodyText"/>
        <w:ind w:left="336"/>
      </w:pPr>
      <w:r>
        <w:rPr>
          <w:color w:val="231F20"/>
          <w:w w:val="105"/>
        </w:rPr>
        <w:t>increasing in the coming years. Therefore:</w:t>
      </w:r>
    </w:p>
    <w:p>
      <w:pPr>
        <w:pStyle w:val="ListParagraph"/>
        <w:numPr>
          <w:ilvl w:val="0"/>
          <w:numId w:val="11"/>
        </w:numPr>
        <w:tabs>
          <w:tab w:pos="507" w:val="left" w:leader="none"/>
        </w:tabs>
        <w:spacing w:line="266" w:lineRule="auto" w:before="114" w:after="0"/>
        <w:ind w:left="506" w:right="805" w:hanging="170"/>
        <w:jc w:val="left"/>
        <w:rPr>
          <w:sz w:val="20"/>
        </w:rPr>
      </w:pPr>
      <w:r>
        <w:rPr>
          <w:color w:val="231F20"/>
          <w:w w:val="105"/>
          <w:sz w:val="20"/>
        </w:rPr>
        <w:t>Jurisdictions should consider amending reporting rules to expand the definition of required</w:t>
      </w:r>
      <w:r>
        <w:rPr>
          <w:color w:val="231F20"/>
          <w:spacing w:val="-15"/>
          <w:w w:val="105"/>
          <w:sz w:val="20"/>
        </w:rPr>
        <w:t> </w:t>
      </w:r>
      <w:r>
        <w:rPr>
          <w:color w:val="231F20"/>
          <w:w w:val="105"/>
          <w:sz w:val="20"/>
        </w:rPr>
        <w:t>clinical</w:t>
      </w:r>
      <w:r>
        <w:rPr>
          <w:color w:val="231F20"/>
          <w:spacing w:val="-14"/>
          <w:w w:val="105"/>
          <w:sz w:val="20"/>
        </w:rPr>
        <w:t> </w:t>
      </w:r>
      <w:r>
        <w:rPr>
          <w:color w:val="231F20"/>
          <w:w w:val="105"/>
          <w:sz w:val="20"/>
        </w:rPr>
        <w:t>materials</w:t>
      </w:r>
      <w:r>
        <w:rPr>
          <w:color w:val="231F20"/>
          <w:spacing w:val="-15"/>
          <w:w w:val="105"/>
          <w:sz w:val="20"/>
        </w:rPr>
        <w:t> </w:t>
      </w:r>
      <w:r>
        <w:rPr>
          <w:color w:val="231F20"/>
          <w:w w:val="105"/>
          <w:sz w:val="20"/>
        </w:rPr>
        <w:t>for</w:t>
      </w:r>
      <w:r>
        <w:rPr>
          <w:color w:val="231F20"/>
          <w:spacing w:val="-14"/>
          <w:w w:val="105"/>
          <w:sz w:val="20"/>
        </w:rPr>
        <w:t> </w:t>
      </w:r>
      <w:r>
        <w:rPr>
          <w:color w:val="231F20"/>
          <w:w w:val="105"/>
          <w:sz w:val="20"/>
        </w:rPr>
        <w:t>submission</w:t>
      </w:r>
      <w:r>
        <w:rPr>
          <w:color w:val="231F20"/>
          <w:spacing w:val="-13"/>
          <w:w w:val="105"/>
          <w:sz w:val="20"/>
        </w:rPr>
        <w:t> </w:t>
      </w:r>
      <w:r>
        <w:rPr>
          <w:color w:val="231F20"/>
          <w:w w:val="105"/>
          <w:sz w:val="20"/>
        </w:rPr>
        <w:t>to include patient specimens </w:t>
      </w:r>
      <w:r>
        <w:rPr>
          <w:color w:val="231F20"/>
          <w:spacing w:val="-4"/>
          <w:w w:val="105"/>
          <w:sz w:val="20"/>
        </w:rPr>
        <w:t>(e.g., </w:t>
      </w:r>
      <w:r>
        <w:rPr>
          <w:color w:val="231F20"/>
          <w:w w:val="105"/>
          <w:sz w:val="20"/>
        </w:rPr>
        <w:t>stool, urine, blood)</w:t>
      </w:r>
      <w:r>
        <w:rPr>
          <w:color w:val="231F20"/>
          <w:spacing w:val="-19"/>
          <w:w w:val="105"/>
          <w:sz w:val="20"/>
        </w:rPr>
        <w:t> </w:t>
      </w:r>
      <w:r>
        <w:rPr>
          <w:color w:val="231F20"/>
          <w:w w:val="105"/>
          <w:sz w:val="20"/>
        </w:rPr>
        <w:t>because</w:t>
      </w:r>
      <w:r>
        <w:rPr>
          <w:color w:val="231F20"/>
          <w:spacing w:val="-19"/>
          <w:w w:val="105"/>
          <w:sz w:val="20"/>
        </w:rPr>
        <w:t> </w:t>
      </w:r>
      <w:r>
        <w:rPr>
          <w:color w:val="231F20"/>
          <w:w w:val="105"/>
          <w:sz w:val="20"/>
        </w:rPr>
        <w:t>isolates</w:t>
      </w:r>
      <w:r>
        <w:rPr>
          <w:color w:val="231F20"/>
          <w:spacing w:val="-19"/>
          <w:w w:val="105"/>
          <w:sz w:val="20"/>
        </w:rPr>
        <w:t> </w:t>
      </w:r>
      <w:r>
        <w:rPr>
          <w:color w:val="231F20"/>
          <w:w w:val="105"/>
          <w:sz w:val="20"/>
        </w:rPr>
        <w:t>currently</w:t>
      </w:r>
      <w:r>
        <w:rPr>
          <w:color w:val="231F20"/>
          <w:spacing w:val="-19"/>
          <w:w w:val="105"/>
          <w:sz w:val="20"/>
        </w:rPr>
        <w:t> </w:t>
      </w:r>
      <w:r>
        <w:rPr>
          <w:color w:val="231F20"/>
          <w:w w:val="105"/>
          <w:sz w:val="20"/>
        </w:rPr>
        <w:t>specified</w:t>
      </w:r>
      <w:r>
        <w:rPr>
          <w:color w:val="231F20"/>
          <w:spacing w:val="-19"/>
          <w:w w:val="105"/>
          <w:sz w:val="20"/>
        </w:rPr>
        <w:t> </w:t>
      </w:r>
      <w:r>
        <w:rPr>
          <w:color w:val="231F20"/>
          <w:w w:val="105"/>
          <w:sz w:val="20"/>
        </w:rPr>
        <w:t>in most reporting rules might not be available in the near</w:t>
      </w:r>
      <w:r>
        <w:rPr>
          <w:color w:val="231F20"/>
          <w:spacing w:val="-21"/>
          <w:w w:val="105"/>
          <w:sz w:val="20"/>
        </w:rPr>
        <w:t> </w:t>
      </w:r>
      <w:r>
        <w:rPr>
          <w:color w:val="231F20"/>
          <w:w w:val="105"/>
          <w:sz w:val="20"/>
        </w:rPr>
        <w:t>future.</w:t>
      </w:r>
    </w:p>
    <w:p>
      <w:pPr>
        <w:pStyle w:val="ListParagraph"/>
        <w:numPr>
          <w:ilvl w:val="0"/>
          <w:numId w:val="11"/>
        </w:numPr>
        <w:tabs>
          <w:tab w:pos="507" w:val="left" w:leader="none"/>
        </w:tabs>
        <w:spacing w:line="266" w:lineRule="auto" w:before="89" w:after="0"/>
        <w:ind w:left="506" w:right="846" w:hanging="170"/>
        <w:jc w:val="left"/>
        <w:rPr>
          <w:sz w:val="20"/>
        </w:rPr>
      </w:pPr>
      <w:r>
        <w:rPr>
          <w:color w:val="231F20"/>
          <w:w w:val="105"/>
          <w:sz w:val="20"/>
        </w:rPr>
        <w:t>Protocols should be developed for rapidly isolating</w:t>
      </w:r>
      <w:r>
        <w:rPr>
          <w:color w:val="231F20"/>
          <w:spacing w:val="-26"/>
          <w:w w:val="105"/>
          <w:sz w:val="20"/>
        </w:rPr>
        <w:t> </w:t>
      </w:r>
      <w:r>
        <w:rPr>
          <w:color w:val="231F20"/>
          <w:w w:val="105"/>
          <w:sz w:val="20"/>
        </w:rPr>
        <w:t>pathogens</w:t>
      </w:r>
      <w:r>
        <w:rPr>
          <w:color w:val="231F20"/>
          <w:spacing w:val="-27"/>
          <w:w w:val="105"/>
          <w:sz w:val="20"/>
        </w:rPr>
        <w:t> </w:t>
      </w:r>
      <w:r>
        <w:rPr>
          <w:color w:val="231F20"/>
          <w:w w:val="105"/>
          <w:sz w:val="20"/>
        </w:rPr>
        <w:t>from</w:t>
      </w:r>
      <w:r>
        <w:rPr>
          <w:color w:val="231F20"/>
          <w:spacing w:val="-26"/>
          <w:w w:val="105"/>
          <w:sz w:val="20"/>
        </w:rPr>
        <w:t> </w:t>
      </w:r>
      <w:r>
        <w:rPr>
          <w:color w:val="231F20"/>
          <w:w w:val="105"/>
          <w:sz w:val="20"/>
        </w:rPr>
        <w:t>patient</w:t>
      </w:r>
      <w:r>
        <w:rPr>
          <w:color w:val="231F20"/>
          <w:spacing w:val="-26"/>
          <w:w w:val="105"/>
          <w:sz w:val="20"/>
        </w:rPr>
        <w:t> </w:t>
      </w:r>
      <w:r>
        <w:rPr>
          <w:color w:val="231F20"/>
          <w:w w:val="105"/>
          <w:sz w:val="20"/>
        </w:rPr>
        <w:t>specimens.</w:t>
      </w:r>
    </w:p>
    <w:p>
      <w:pPr>
        <w:pStyle w:val="ListParagraph"/>
        <w:numPr>
          <w:ilvl w:val="3"/>
          <w:numId w:val="10"/>
        </w:numPr>
        <w:tabs>
          <w:tab w:pos="1079" w:val="left" w:leader="none"/>
        </w:tabs>
        <w:spacing w:line="240" w:lineRule="auto" w:before="179" w:after="0"/>
        <w:ind w:left="1078" w:right="0" w:hanging="742"/>
        <w:jc w:val="left"/>
        <w:rPr>
          <w:i/>
          <w:sz w:val="20"/>
        </w:rPr>
      </w:pPr>
      <w:r>
        <w:rPr>
          <w:i/>
          <w:color w:val="E36F1E"/>
          <w:w w:val="105"/>
          <w:sz w:val="20"/>
        </w:rPr>
        <w:t>Case</w:t>
      </w:r>
      <w:r>
        <w:rPr>
          <w:i/>
          <w:color w:val="E36F1E"/>
          <w:spacing w:val="-6"/>
          <w:w w:val="105"/>
          <w:sz w:val="20"/>
        </w:rPr>
        <w:t> </w:t>
      </w:r>
      <w:r>
        <w:rPr>
          <w:i/>
          <w:color w:val="E36F1E"/>
          <w:w w:val="105"/>
          <w:sz w:val="20"/>
        </w:rPr>
        <w:t>interviews</w:t>
      </w:r>
    </w:p>
    <w:p>
      <w:pPr>
        <w:pStyle w:val="BodyText"/>
        <w:spacing w:line="256" w:lineRule="auto" w:before="24"/>
        <w:ind w:left="336" w:right="932"/>
        <w:rPr>
          <w:rFonts w:ascii="Bookman Old Style"/>
          <w:b/>
        </w:rPr>
      </w:pPr>
      <w:r>
        <w:rPr>
          <w:color w:val="231F20"/>
        </w:rPr>
        <w:t>Quality exposure information usually is difficult to obtain and often is the major limiting factor of pathogen-specific </w:t>
      </w:r>
      <w:r>
        <w:rPr>
          <w:color w:val="231F20"/>
          <w:w w:val="95"/>
        </w:rPr>
        <w:t>surveillance. </w:t>
      </w:r>
      <w:r>
        <w:rPr>
          <w:rFonts w:ascii="Bookman Old Style"/>
          <w:b/>
          <w:color w:val="231F20"/>
          <w:w w:val="95"/>
        </w:rPr>
        <w:t>Interview all persons with </w:t>
      </w:r>
      <w:r>
        <w:rPr>
          <w:rFonts w:ascii="Bookman Old Style"/>
          <w:b/>
          <w:color w:val="231F20"/>
          <w:w w:val="90"/>
        </w:rPr>
        <w:t>laboratory-diagnosed</w:t>
      </w:r>
      <w:r>
        <w:rPr>
          <w:rFonts w:ascii="Bookman Old Style"/>
          <w:b/>
          <w:color w:val="231F20"/>
          <w:spacing w:val="-42"/>
          <w:w w:val="90"/>
        </w:rPr>
        <w:t> </w:t>
      </w:r>
      <w:r>
        <w:rPr>
          <w:rFonts w:ascii="Bookman Old Style"/>
          <w:b/>
          <w:color w:val="231F20"/>
          <w:w w:val="90"/>
        </w:rPr>
        <w:t>cases</w:t>
      </w:r>
      <w:r>
        <w:rPr>
          <w:rFonts w:ascii="Bookman Old Style"/>
          <w:b/>
          <w:color w:val="231F20"/>
          <w:spacing w:val="-42"/>
          <w:w w:val="90"/>
        </w:rPr>
        <w:t> </w:t>
      </w:r>
      <w:r>
        <w:rPr>
          <w:rFonts w:ascii="Bookman Old Style"/>
          <w:b/>
          <w:color w:val="231F20"/>
          <w:w w:val="90"/>
        </w:rPr>
        <w:t>of</w:t>
      </w:r>
      <w:r>
        <w:rPr>
          <w:rFonts w:ascii="Bookman Old Style"/>
          <w:b/>
          <w:color w:val="231F20"/>
          <w:spacing w:val="-32"/>
          <w:w w:val="90"/>
        </w:rPr>
        <w:t> </w:t>
      </w:r>
      <w:r>
        <w:rPr>
          <w:rFonts w:ascii="Bookman Old Style"/>
          <w:b/>
          <w:color w:val="231F20"/>
          <w:w w:val="90"/>
        </w:rPr>
        <w:t>possible </w:t>
      </w:r>
      <w:r>
        <w:rPr>
          <w:rFonts w:ascii="Bookman Old Style"/>
          <w:b/>
          <w:color w:val="231F20"/>
          <w:w w:val="85"/>
        </w:rPr>
        <w:t>foodborne</w:t>
      </w:r>
      <w:r>
        <w:rPr>
          <w:rFonts w:ascii="Bookman Old Style"/>
          <w:b/>
          <w:color w:val="231F20"/>
          <w:spacing w:val="-22"/>
          <w:w w:val="85"/>
        </w:rPr>
        <w:t> </w:t>
      </w:r>
      <w:r>
        <w:rPr>
          <w:rFonts w:ascii="Bookman Old Style"/>
          <w:b/>
          <w:color w:val="231F20"/>
          <w:w w:val="85"/>
        </w:rPr>
        <w:t>disease</w:t>
      </w:r>
      <w:r>
        <w:rPr>
          <w:rFonts w:ascii="Bookman Old Style"/>
          <w:b/>
          <w:color w:val="231F20"/>
          <w:spacing w:val="-23"/>
          <w:w w:val="85"/>
        </w:rPr>
        <w:t> </w:t>
      </w:r>
      <w:r>
        <w:rPr>
          <w:rFonts w:ascii="Bookman Old Style"/>
          <w:b/>
          <w:color w:val="231F20"/>
          <w:w w:val="85"/>
        </w:rPr>
        <w:t>as</w:t>
      </w:r>
      <w:r>
        <w:rPr>
          <w:rFonts w:ascii="Bookman Old Style"/>
          <w:b/>
          <w:color w:val="231F20"/>
          <w:spacing w:val="-23"/>
          <w:w w:val="85"/>
        </w:rPr>
        <w:t> </w:t>
      </w:r>
      <w:r>
        <w:rPr>
          <w:rFonts w:ascii="Bookman Old Style"/>
          <w:b/>
          <w:color w:val="231F20"/>
          <w:w w:val="85"/>
        </w:rPr>
        <w:t>soon</w:t>
      </w:r>
      <w:r>
        <w:rPr>
          <w:rFonts w:ascii="Bookman Old Style"/>
          <w:b/>
          <w:color w:val="231F20"/>
          <w:spacing w:val="-22"/>
          <w:w w:val="85"/>
        </w:rPr>
        <w:t> </w:t>
      </w:r>
      <w:r>
        <w:rPr>
          <w:rFonts w:ascii="Bookman Old Style"/>
          <w:b/>
          <w:color w:val="231F20"/>
          <w:w w:val="85"/>
        </w:rPr>
        <w:t>as</w:t>
      </w:r>
      <w:r>
        <w:rPr>
          <w:rFonts w:ascii="Bookman Old Style"/>
          <w:b/>
          <w:color w:val="231F20"/>
          <w:spacing w:val="-23"/>
          <w:w w:val="85"/>
        </w:rPr>
        <w:t> </w:t>
      </w:r>
      <w:r>
        <w:rPr>
          <w:rFonts w:ascii="Bookman Old Style"/>
          <w:b/>
          <w:color w:val="231F20"/>
          <w:w w:val="85"/>
        </w:rPr>
        <w:t>case</w:t>
      </w:r>
      <w:r>
        <w:rPr>
          <w:rFonts w:ascii="Bookman Old Style"/>
          <w:b/>
          <w:color w:val="231F20"/>
          <w:spacing w:val="-23"/>
          <w:w w:val="85"/>
        </w:rPr>
        <w:t> </w:t>
      </w:r>
      <w:r>
        <w:rPr>
          <w:rFonts w:ascii="Bookman Old Style"/>
          <w:b/>
          <w:color w:val="231F20"/>
          <w:w w:val="85"/>
        </w:rPr>
        <w:t>reports or</w:t>
      </w:r>
      <w:r>
        <w:rPr>
          <w:rFonts w:ascii="Bookman Old Style"/>
          <w:b/>
          <w:color w:val="231F20"/>
          <w:spacing w:val="-23"/>
          <w:w w:val="85"/>
        </w:rPr>
        <w:t> </w:t>
      </w:r>
      <w:r>
        <w:rPr>
          <w:rFonts w:ascii="Bookman Old Style"/>
          <w:b/>
          <w:color w:val="231F20"/>
          <w:w w:val="85"/>
        </w:rPr>
        <w:t>laboratory</w:t>
      </w:r>
      <w:r>
        <w:rPr>
          <w:rFonts w:ascii="Bookman Old Style"/>
          <w:b/>
          <w:color w:val="231F20"/>
          <w:spacing w:val="-23"/>
          <w:w w:val="85"/>
        </w:rPr>
        <w:t> </w:t>
      </w:r>
      <w:r>
        <w:rPr>
          <w:rFonts w:ascii="Bookman Old Style"/>
          <w:b/>
          <w:color w:val="231F20"/>
          <w:w w:val="85"/>
        </w:rPr>
        <w:t>isolates</w:t>
      </w:r>
      <w:r>
        <w:rPr>
          <w:rFonts w:ascii="Bookman Old Style"/>
          <w:b/>
          <w:color w:val="231F20"/>
          <w:spacing w:val="-23"/>
          <w:w w:val="85"/>
        </w:rPr>
        <w:t> </w:t>
      </w:r>
      <w:r>
        <w:rPr>
          <w:rFonts w:ascii="Bookman Old Style"/>
          <w:b/>
          <w:color w:val="231F20"/>
          <w:w w:val="85"/>
        </w:rPr>
        <w:t>are</w:t>
      </w:r>
      <w:r>
        <w:rPr>
          <w:rFonts w:ascii="Bookman Old Style"/>
          <w:b/>
          <w:color w:val="231F20"/>
          <w:spacing w:val="-23"/>
          <w:w w:val="85"/>
        </w:rPr>
        <w:t> </w:t>
      </w:r>
      <w:r>
        <w:rPr>
          <w:rFonts w:ascii="Bookman Old Style"/>
          <w:b/>
          <w:color w:val="231F20"/>
          <w:w w:val="85"/>
        </w:rPr>
        <w:t>received,</w:t>
      </w:r>
      <w:r>
        <w:rPr>
          <w:rFonts w:ascii="Bookman Old Style"/>
          <w:b/>
          <w:color w:val="231F20"/>
          <w:spacing w:val="-23"/>
          <w:w w:val="85"/>
        </w:rPr>
        <w:t> </w:t>
      </w:r>
      <w:r>
        <w:rPr>
          <w:rFonts w:ascii="Bookman Old Style"/>
          <w:b/>
          <w:color w:val="231F20"/>
          <w:w w:val="85"/>
        </w:rPr>
        <w:t>when patient</w:t>
      </w:r>
      <w:r>
        <w:rPr>
          <w:rFonts w:ascii="Bookman Old Style"/>
          <w:b/>
          <w:color w:val="231F20"/>
          <w:spacing w:val="-41"/>
          <w:w w:val="85"/>
        </w:rPr>
        <w:t> </w:t>
      </w:r>
      <w:r>
        <w:rPr>
          <w:rFonts w:ascii="Bookman Old Style"/>
          <w:b/>
          <w:color w:val="231F20"/>
          <w:w w:val="85"/>
        </w:rPr>
        <w:t>recall</w:t>
      </w:r>
      <w:r>
        <w:rPr>
          <w:rFonts w:ascii="Bookman Old Style"/>
          <w:b/>
          <w:color w:val="231F20"/>
          <w:spacing w:val="-41"/>
          <w:w w:val="85"/>
        </w:rPr>
        <w:t> </w:t>
      </w:r>
      <w:r>
        <w:rPr>
          <w:rFonts w:ascii="Bookman Old Style"/>
          <w:b/>
          <w:color w:val="231F20"/>
          <w:w w:val="85"/>
        </w:rPr>
        <w:t>and</w:t>
      </w:r>
      <w:r>
        <w:rPr>
          <w:rFonts w:ascii="Bookman Old Style"/>
          <w:b/>
          <w:color w:val="231F20"/>
          <w:spacing w:val="-41"/>
          <w:w w:val="85"/>
        </w:rPr>
        <w:t> </w:t>
      </w:r>
      <w:r>
        <w:rPr>
          <w:rFonts w:ascii="Bookman Old Style"/>
          <w:b/>
          <w:color w:val="231F20"/>
          <w:w w:val="85"/>
        </w:rPr>
        <w:t>motivation</w:t>
      </w:r>
      <w:r>
        <w:rPr>
          <w:rFonts w:ascii="Bookman Old Style"/>
          <w:b/>
          <w:color w:val="231F20"/>
          <w:spacing w:val="-41"/>
          <w:w w:val="85"/>
        </w:rPr>
        <w:t> </w:t>
      </w:r>
      <w:r>
        <w:rPr>
          <w:rFonts w:ascii="Bookman Old Style"/>
          <w:b/>
          <w:color w:val="231F20"/>
          <w:w w:val="85"/>
        </w:rPr>
        <w:t>to</w:t>
      </w:r>
      <w:r>
        <w:rPr>
          <w:rFonts w:ascii="Bookman Old Style"/>
          <w:b/>
          <w:color w:val="231F20"/>
          <w:spacing w:val="-41"/>
          <w:w w:val="85"/>
        </w:rPr>
        <w:t> </w:t>
      </w:r>
      <w:r>
        <w:rPr>
          <w:rFonts w:ascii="Bookman Old Style"/>
          <w:b/>
          <w:color w:val="231F20"/>
          <w:w w:val="85"/>
        </w:rPr>
        <w:t>cooperate</w:t>
      </w:r>
      <w:r>
        <w:rPr>
          <w:rFonts w:ascii="Bookman Old Style"/>
          <w:b/>
          <w:color w:val="231F20"/>
          <w:w w:val="82"/>
        </w:rPr>
        <w:t> </w:t>
      </w:r>
      <w:r>
        <w:rPr>
          <w:rFonts w:ascii="Bookman Old Style"/>
          <w:b/>
          <w:color w:val="231F20"/>
          <w:w w:val="80"/>
        </w:rPr>
        <w:t>with investigators is the</w:t>
      </w:r>
      <w:r>
        <w:rPr>
          <w:rFonts w:ascii="Bookman Old Style"/>
          <w:b/>
          <w:color w:val="231F20"/>
          <w:spacing w:val="3"/>
          <w:w w:val="80"/>
        </w:rPr>
        <w:t> </w:t>
      </w:r>
      <w:r>
        <w:rPr>
          <w:rFonts w:ascii="Bookman Old Style"/>
          <w:b/>
          <w:color w:val="231F20"/>
          <w:w w:val="80"/>
        </w:rPr>
        <w:t>greatest.</w:t>
      </w:r>
    </w:p>
    <w:p>
      <w:pPr>
        <w:pStyle w:val="BodyText"/>
        <w:spacing w:line="266" w:lineRule="auto" w:before="194"/>
        <w:ind w:left="336" w:right="1102"/>
      </w:pPr>
      <w:r>
        <w:rPr>
          <w:color w:val="231F20"/>
          <w:w w:val="105"/>
        </w:rPr>
        <w:t>Obtain</w:t>
      </w:r>
      <w:r>
        <w:rPr>
          <w:color w:val="231F20"/>
          <w:spacing w:val="-24"/>
          <w:w w:val="105"/>
        </w:rPr>
        <w:t> </w:t>
      </w:r>
      <w:r>
        <w:rPr>
          <w:color w:val="231F20"/>
          <w:w w:val="105"/>
        </w:rPr>
        <w:t>an</w:t>
      </w:r>
      <w:r>
        <w:rPr>
          <w:color w:val="231F20"/>
          <w:spacing w:val="-24"/>
          <w:w w:val="105"/>
        </w:rPr>
        <w:t> </w:t>
      </w:r>
      <w:r>
        <w:rPr>
          <w:color w:val="231F20"/>
          <w:w w:val="105"/>
        </w:rPr>
        <w:t>exposure</w:t>
      </w:r>
      <w:r>
        <w:rPr>
          <w:color w:val="231F20"/>
          <w:spacing w:val="-24"/>
          <w:w w:val="105"/>
        </w:rPr>
        <w:t> </w:t>
      </w:r>
      <w:r>
        <w:rPr>
          <w:color w:val="231F20"/>
          <w:w w:val="105"/>
        </w:rPr>
        <w:t>history</w:t>
      </w:r>
      <w:r>
        <w:rPr>
          <w:color w:val="231F20"/>
          <w:spacing w:val="-24"/>
          <w:w w:val="105"/>
        </w:rPr>
        <w:t> </w:t>
      </w:r>
      <w:r>
        <w:rPr>
          <w:color w:val="231F20"/>
          <w:w w:val="105"/>
        </w:rPr>
        <w:t>consistent</w:t>
      </w:r>
      <w:r>
        <w:rPr>
          <w:color w:val="231F20"/>
          <w:spacing w:val="-24"/>
          <w:w w:val="105"/>
        </w:rPr>
        <w:t> </w:t>
      </w:r>
      <w:r>
        <w:rPr>
          <w:color w:val="231F20"/>
          <w:w w:val="105"/>
        </w:rPr>
        <w:t>with the</w:t>
      </w:r>
      <w:r>
        <w:rPr>
          <w:color w:val="231F20"/>
          <w:spacing w:val="-19"/>
          <w:w w:val="105"/>
        </w:rPr>
        <w:t> </w:t>
      </w:r>
      <w:r>
        <w:rPr>
          <w:color w:val="231F20"/>
          <w:w w:val="105"/>
        </w:rPr>
        <w:t>incubation</w:t>
      </w:r>
      <w:r>
        <w:rPr>
          <w:color w:val="231F20"/>
          <w:spacing w:val="-19"/>
          <w:w w:val="105"/>
        </w:rPr>
        <w:t> </w:t>
      </w:r>
      <w:r>
        <w:rPr>
          <w:color w:val="231F20"/>
          <w:w w:val="105"/>
        </w:rPr>
        <w:t>period</w:t>
      </w:r>
      <w:r>
        <w:rPr>
          <w:color w:val="231F20"/>
          <w:spacing w:val="-19"/>
          <w:w w:val="105"/>
        </w:rPr>
        <w:t> </w:t>
      </w:r>
      <w:r>
        <w:rPr>
          <w:color w:val="231F20"/>
          <w:w w:val="105"/>
        </w:rPr>
        <w:t>of</w:t>
      </w:r>
      <w:r>
        <w:rPr>
          <w:color w:val="231F20"/>
          <w:spacing w:val="2"/>
          <w:w w:val="105"/>
        </w:rPr>
        <w:t> </w:t>
      </w:r>
      <w:r>
        <w:rPr>
          <w:color w:val="231F20"/>
          <w:w w:val="105"/>
        </w:rPr>
        <w:t>the</w:t>
      </w:r>
      <w:r>
        <w:rPr>
          <w:color w:val="231F20"/>
          <w:spacing w:val="-19"/>
          <w:w w:val="105"/>
        </w:rPr>
        <w:t> </w:t>
      </w:r>
      <w:r>
        <w:rPr>
          <w:color w:val="231F20"/>
          <w:w w:val="105"/>
        </w:rPr>
        <w:t>pathogen</w:t>
      </w:r>
    </w:p>
    <w:p>
      <w:pPr>
        <w:spacing w:after="0" w:line="266" w:lineRule="auto"/>
        <w:sectPr>
          <w:type w:val="continuous"/>
          <w:pgSz w:w="10080" w:h="14400"/>
          <w:pgMar w:top="0" w:bottom="0" w:left="0" w:right="0"/>
          <w:cols w:num="2" w:equalWidth="0">
            <w:col w:w="5204" w:space="40"/>
            <w:col w:w="4836"/>
          </w:cols>
        </w:sectPr>
      </w:pPr>
    </w:p>
    <w:p>
      <w:pPr>
        <w:pStyle w:val="BodyText"/>
        <w:spacing w:before="8"/>
        <w:rPr>
          <w:sz w:val="26"/>
        </w:rPr>
      </w:pPr>
    </w:p>
    <w:p>
      <w:pPr>
        <w:pStyle w:val="Heading1"/>
        <w:ind w:left="720"/>
      </w:pPr>
      <w:r>
        <w:rPr/>
        <w:pict>
          <v:line style="position:absolute;mso-position-horizontal-relative:page;mso-position-vertical-relative:paragraph;z-index:2968;mso-wrap-distance-left:0;mso-wrap-distance-right:0" from="36pt,23.995163pt" to="432pt,23.995163pt" stroked="true" strokeweight=".5pt" strokecolor="#00a94f">
            <v:stroke dashstyle="solid"/>
            <w10:wrap type="topAndBottom"/>
          </v:line>
        </w:pict>
      </w:r>
      <w:r>
        <w:rPr>
          <w:color w:val="00A94F"/>
          <w:w w:val="95"/>
        </w:rPr>
        <w:t>4.2. Pathogen-Specific Surveillance</w:t>
      </w:r>
    </w:p>
    <w:p>
      <w:pPr>
        <w:pStyle w:val="BodyText"/>
        <w:spacing w:before="7"/>
        <w:rPr>
          <w:rFonts w:ascii="Lucida Sans"/>
          <w:sz w:val="17"/>
        </w:rPr>
      </w:pPr>
    </w:p>
    <w:p>
      <w:pPr>
        <w:spacing w:after="0"/>
        <w:rPr>
          <w:rFonts w:ascii="Lucida Sans"/>
          <w:sz w:val="17"/>
        </w:rPr>
        <w:sectPr>
          <w:pgSz w:w="10080" w:h="14400"/>
          <w:pgMar w:header="0" w:footer="0" w:top="980" w:bottom="280" w:left="0" w:right="0"/>
        </w:sectPr>
      </w:pPr>
    </w:p>
    <w:p>
      <w:pPr>
        <w:pStyle w:val="BodyText"/>
        <w:spacing w:line="266" w:lineRule="auto" w:before="108"/>
        <w:ind w:left="720" w:right="8"/>
      </w:pPr>
      <w:r>
        <w:rPr>
          <w:color w:val="231F20"/>
        </w:rPr>
        <w:t>identified (see </w:t>
      </w:r>
      <w:hyperlink r:id="rId18">
        <w:r>
          <w:rPr>
            <w:color w:val="0079C1"/>
          </w:rPr>
          <w:t>http://www.cdc.gov/foodsafety/</w:t>
        </w:r>
      </w:hyperlink>
      <w:r>
        <w:rPr>
          <w:color w:val="0079C1"/>
        </w:rPr>
        <w:t> outbreaks/investigating-outbreaks/confirming_ diagnosis.html </w:t>
      </w:r>
      <w:r>
        <w:rPr>
          <w:color w:val="231F20"/>
        </w:rPr>
        <w:t>for a table of incubation for the most common foodborne agents).</w:t>
      </w:r>
    </w:p>
    <w:p>
      <w:pPr>
        <w:pStyle w:val="BodyText"/>
        <w:spacing w:line="266" w:lineRule="auto" w:before="180"/>
        <w:ind w:left="720" w:right="379"/>
        <w:jc w:val="both"/>
      </w:pPr>
      <w:r>
        <w:rPr>
          <w:color w:val="231F20"/>
          <w:w w:val="105"/>
        </w:rPr>
        <w:t>As</w:t>
      </w:r>
      <w:r>
        <w:rPr>
          <w:color w:val="231F20"/>
          <w:spacing w:val="-24"/>
          <w:w w:val="105"/>
        </w:rPr>
        <w:t> </w:t>
      </w:r>
      <w:r>
        <w:rPr>
          <w:color w:val="231F20"/>
          <w:w w:val="105"/>
        </w:rPr>
        <w:t>appropriate</w:t>
      </w:r>
      <w:r>
        <w:rPr>
          <w:color w:val="231F20"/>
          <w:spacing w:val="-24"/>
          <w:w w:val="105"/>
        </w:rPr>
        <w:t> </w:t>
      </w:r>
      <w:r>
        <w:rPr>
          <w:color w:val="231F20"/>
          <w:w w:val="105"/>
        </w:rPr>
        <w:t>to</w:t>
      </w:r>
      <w:r>
        <w:rPr>
          <w:color w:val="231F20"/>
          <w:spacing w:val="-24"/>
          <w:w w:val="105"/>
        </w:rPr>
        <w:t> </w:t>
      </w:r>
      <w:r>
        <w:rPr>
          <w:color w:val="231F20"/>
          <w:w w:val="105"/>
        </w:rPr>
        <w:t>circumstances,</w:t>
      </w:r>
      <w:r>
        <w:rPr>
          <w:color w:val="231F20"/>
          <w:spacing w:val="-24"/>
          <w:w w:val="105"/>
        </w:rPr>
        <w:t> </w:t>
      </w:r>
      <w:r>
        <w:rPr>
          <w:color w:val="231F20"/>
          <w:w w:val="105"/>
        </w:rPr>
        <w:t>construct the interview to include a mix of question types</w:t>
      </w:r>
      <w:r>
        <w:rPr>
          <w:color w:val="231F20"/>
          <w:spacing w:val="-14"/>
          <w:w w:val="105"/>
        </w:rPr>
        <w:t> </w:t>
      </w:r>
      <w:r>
        <w:rPr>
          <w:color w:val="231F20"/>
          <w:w w:val="105"/>
        </w:rPr>
        <w:t>that</w:t>
      </w:r>
      <w:r>
        <w:rPr>
          <w:color w:val="231F20"/>
          <w:spacing w:val="-13"/>
          <w:w w:val="105"/>
        </w:rPr>
        <w:t> </w:t>
      </w:r>
      <w:r>
        <w:rPr>
          <w:color w:val="231F20"/>
          <w:w w:val="105"/>
        </w:rPr>
        <w:t>will</w:t>
      </w:r>
      <w:r>
        <w:rPr>
          <w:color w:val="231F20"/>
          <w:spacing w:val="-13"/>
          <w:w w:val="105"/>
        </w:rPr>
        <w:t> </w:t>
      </w:r>
      <w:r>
        <w:rPr>
          <w:color w:val="231F20"/>
          <w:w w:val="105"/>
        </w:rPr>
        <w:t>collect</w:t>
      </w:r>
      <w:r>
        <w:rPr>
          <w:color w:val="231F20"/>
          <w:spacing w:val="-13"/>
          <w:w w:val="105"/>
        </w:rPr>
        <w:t> </w:t>
      </w:r>
      <w:r>
        <w:rPr>
          <w:color w:val="231F20"/>
          <w:w w:val="105"/>
        </w:rPr>
        <w:t>the</w:t>
      </w:r>
      <w:r>
        <w:rPr>
          <w:color w:val="231F20"/>
          <w:spacing w:val="-14"/>
          <w:w w:val="105"/>
        </w:rPr>
        <w:t> </w:t>
      </w:r>
      <w:r>
        <w:rPr>
          <w:color w:val="231F20"/>
          <w:w w:val="105"/>
        </w:rPr>
        <w:t>desired</w:t>
      </w:r>
      <w:r>
        <w:rPr>
          <w:color w:val="231F20"/>
          <w:spacing w:val="-14"/>
          <w:w w:val="105"/>
        </w:rPr>
        <w:t> </w:t>
      </w:r>
      <w:r>
        <w:rPr>
          <w:color w:val="231F20"/>
          <w:w w:val="105"/>
        </w:rPr>
        <w:t>exposure information,</w:t>
      </w:r>
      <w:r>
        <w:rPr>
          <w:color w:val="231F20"/>
          <w:spacing w:val="-13"/>
          <w:w w:val="105"/>
        </w:rPr>
        <w:t> </w:t>
      </w:r>
      <w:r>
        <w:rPr>
          <w:color w:val="231F20"/>
          <w:w w:val="105"/>
        </w:rPr>
        <w:t>including:</w:t>
      </w:r>
    </w:p>
    <w:p>
      <w:pPr>
        <w:pStyle w:val="ListParagraph"/>
        <w:numPr>
          <w:ilvl w:val="1"/>
          <w:numId w:val="11"/>
        </w:numPr>
        <w:tabs>
          <w:tab w:pos="891" w:val="left" w:leader="none"/>
        </w:tabs>
        <w:spacing w:line="266" w:lineRule="auto" w:before="180" w:after="0"/>
        <w:ind w:left="890" w:right="79" w:hanging="170"/>
        <w:jc w:val="left"/>
        <w:rPr>
          <w:sz w:val="20"/>
        </w:rPr>
      </w:pPr>
      <w:r>
        <w:rPr>
          <w:color w:val="231F20"/>
          <w:sz w:val="20"/>
        </w:rPr>
        <w:t>Specific closed-ended questions about exposures as </w:t>
      </w:r>
      <w:r>
        <w:rPr>
          <w:i/>
          <w:color w:val="231F20"/>
          <w:sz w:val="20"/>
        </w:rPr>
        <w:t>a priori </w:t>
      </w:r>
      <w:r>
        <w:rPr>
          <w:color w:val="231F20"/>
          <w:sz w:val="20"/>
        </w:rPr>
        <w:t>hypotheses to be tested (including specific food items that </w:t>
      </w:r>
      <w:r>
        <w:rPr>
          <w:color w:val="231F20"/>
          <w:spacing w:val="-3"/>
          <w:sz w:val="20"/>
        </w:rPr>
        <w:t>have </w:t>
      </w:r>
      <w:r>
        <w:rPr>
          <w:color w:val="231F20"/>
          <w:sz w:val="20"/>
        </w:rPr>
        <w:t>been linked to previous outbreaks or that could plausibly be associated with the specific pathogen);</w:t>
      </w:r>
    </w:p>
    <w:p>
      <w:pPr>
        <w:pStyle w:val="ListParagraph"/>
        <w:numPr>
          <w:ilvl w:val="1"/>
          <w:numId w:val="11"/>
        </w:numPr>
        <w:tabs>
          <w:tab w:pos="891" w:val="left" w:leader="none"/>
        </w:tabs>
        <w:spacing w:line="266" w:lineRule="auto" w:before="90" w:after="0"/>
        <w:ind w:left="890" w:right="459" w:hanging="170"/>
        <w:jc w:val="left"/>
        <w:rPr>
          <w:sz w:val="20"/>
        </w:rPr>
      </w:pPr>
      <w:r>
        <w:rPr>
          <w:color w:val="231F20"/>
          <w:w w:val="105"/>
          <w:sz w:val="20"/>
        </w:rPr>
        <w:t>Broad</w:t>
      </w:r>
      <w:r>
        <w:rPr>
          <w:color w:val="231F20"/>
          <w:spacing w:val="-18"/>
          <w:w w:val="105"/>
          <w:sz w:val="20"/>
        </w:rPr>
        <w:t> </w:t>
      </w:r>
      <w:r>
        <w:rPr>
          <w:color w:val="231F20"/>
          <w:w w:val="105"/>
          <w:sz w:val="20"/>
        </w:rPr>
        <w:t>open-ended</w:t>
      </w:r>
      <w:r>
        <w:rPr>
          <w:color w:val="231F20"/>
          <w:spacing w:val="-18"/>
          <w:w w:val="105"/>
          <w:sz w:val="20"/>
        </w:rPr>
        <w:t> </w:t>
      </w:r>
      <w:r>
        <w:rPr>
          <w:color w:val="231F20"/>
          <w:w w:val="105"/>
          <w:sz w:val="20"/>
        </w:rPr>
        <w:t>questions</w:t>
      </w:r>
      <w:r>
        <w:rPr>
          <w:color w:val="231F20"/>
          <w:spacing w:val="-19"/>
          <w:w w:val="105"/>
          <w:sz w:val="20"/>
        </w:rPr>
        <w:t> </w:t>
      </w:r>
      <w:r>
        <w:rPr>
          <w:color w:val="231F20"/>
          <w:w w:val="105"/>
          <w:sz w:val="20"/>
        </w:rPr>
        <w:t>to</w:t>
      </w:r>
      <w:r>
        <w:rPr>
          <w:color w:val="231F20"/>
          <w:spacing w:val="-19"/>
          <w:w w:val="105"/>
          <w:sz w:val="20"/>
        </w:rPr>
        <w:t> </w:t>
      </w:r>
      <w:r>
        <w:rPr>
          <w:color w:val="231F20"/>
          <w:w w:val="105"/>
          <w:sz w:val="20"/>
        </w:rPr>
        <w:t>capture exposures that might not </w:t>
      </w:r>
      <w:r>
        <w:rPr>
          <w:color w:val="231F20"/>
          <w:spacing w:val="-3"/>
          <w:w w:val="105"/>
          <w:sz w:val="20"/>
        </w:rPr>
        <w:t>have </w:t>
      </w:r>
      <w:r>
        <w:rPr>
          <w:color w:val="231F20"/>
          <w:w w:val="105"/>
          <w:sz w:val="20"/>
        </w:rPr>
        <w:t>been considered;</w:t>
      </w:r>
      <w:r>
        <w:rPr>
          <w:color w:val="231F20"/>
          <w:spacing w:val="-19"/>
          <w:w w:val="105"/>
          <w:sz w:val="20"/>
        </w:rPr>
        <w:t> </w:t>
      </w:r>
      <w:r>
        <w:rPr>
          <w:color w:val="231F20"/>
          <w:w w:val="105"/>
          <w:sz w:val="20"/>
        </w:rPr>
        <w:t>and</w:t>
      </w:r>
    </w:p>
    <w:p>
      <w:pPr>
        <w:pStyle w:val="ListParagraph"/>
        <w:numPr>
          <w:ilvl w:val="1"/>
          <w:numId w:val="11"/>
        </w:numPr>
        <w:tabs>
          <w:tab w:pos="891" w:val="left" w:leader="none"/>
        </w:tabs>
        <w:spacing w:line="266" w:lineRule="auto" w:before="90" w:after="0"/>
        <w:ind w:left="890" w:right="459" w:hanging="170"/>
        <w:jc w:val="left"/>
        <w:rPr>
          <w:sz w:val="20"/>
        </w:rPr>
      </w:pPr>
      <w:r>
        <w:rPr>
          <w:color w:val="231F20"/>
          <w:sz w:val="20"/>
        </w:rPr>
        <w:t>Questions that elicit additional details, such as brand and place of purchase or consumption, for some of the highest likelihood</w:t>
      </w:r>
      <w:r>
        <w:rPr>
          <w:color w:val="231F20"/>
          <w:spacing w:val="29"/>
          <w:sz w:val="20"/>
        </w:rPr>
        <w:t> </w:t>
      </w:r>
      <w:r>
        <w:rPr>
          <w:color w:val="231F20"/>
          <w:sz w:val="20"/>
        </w:rPr>
        <w:t>exposures.</w:t>
      </w:r>
    </w:p>
    <w:p>
      <w:pPr>
        <w:pStyle w:val="BodyText"/>
        <w:spacing w:line="266" w:lineRule="auto" w:before="180"/>
        <w:ind w:left="720" w:right="-11"/>
      </w:pPr>
      <w:r>
        <w:rPr>
          <w:color w:val="231F20"/>
          <w:w w:val="105"/>
        </w:rPr>
        <w:t>When</w:t>
      </w:r>
      <w:r>
        <w:rPr>
          <w:color w:val="231F20"/>
          <w:spacing w:val="-20"/>
          <w:w w:val="105"/>
        </w:rPr>
        <w:t> </w:t>
      </w:r>
      <w:r>
        <w:rPr>
          <w:color w:val="231F20"/>
          <w:w w:val="105"/>
        </w:rPr>
        <w:t>possible,</w:t>
      </w:r>
      <w:r>
        <w:rPr>
          <w:color w:val="231F20"/>
          <w:spacing w:val="-20"/>
          <w:w w:val="105"/>
        </w:rPr>
        <w:t> </w:t>
      </w:r>
      <w:r>
        <w:rPr>
          <w:color w:val="231F20"/>
          <w:w w:val="105"/>
        </w:rPr>
        <w:t>use</w:t>
      </w:r>
      <w:r>
        <w:rPr>
          <w:color w:val="231F20"/>
          <w:spacing w:val="-20"/>
          <w:w w:val="105"/>
        </w:rPr>
        <w:t> </w:t>
      </w:r>
      <w:r>
        <w:rPr>
          <w:color w:val="231F20"/>
          <w:w w:val="105"/>
        </w:rPr>
        <w:t>standardized</w:t>
      </w:r>
      <w:r>
        <w:rPr>
          <w:color w:val="231F20"/>
          <w:spacing w:val="-20"/>
          <w:w w:val="105"/>
        </w:rPr>
        <w:t> </w:t>
      </w:r>
      <w:r>
        <w:rPr>
          <w:color w:val="231F20"/>
          <w:w w:val="105"/>
        </w:rPr>
        <w:t>core</w:t>
      </w:r>
      <w:r>
        <w:rPr>
          <w:color w:val="231F20"/>
          <w:spacing w:val="-20"/>
          <w:w w:val="105"/>
        </w:rPr>
        <w:t> </w:t>
      </w:r>
      <w:r>
        <w:rPr>
          <w:color w:val="231F20"/>
          <w:w w:val="105"/>
        </w:rPr>
        <w:t>questions and data elements used </w:t>
      </w:r>
      <w:r>
        <w:rPr>
          <w:color w:val="231F20"/>
          <w:spacing w:val="-3"/>
          <w:w w:val="105"/>
        </w:rPr>
        <w:t>by </w:t>
      </w:r>
      <w:r>
        <w:rPr>
          <w:color w:val="231F20"/>
          <w:w w:val="105"/>
        </w:rPr>
        <w:t>other investigators to enhance data sharing and comparisons across</w:t>
      </w:r>
      <w:r>
        <w:rPr>
          <w:color w:val="231F20"/>
          <w:spacing w:val="-18"/>
          <w:w w:val="105"/>
        </w:rPr>
        <w:t> </w:t>
      </w:r>
      <w:r>
        <w:rPr>
          <w:color w:val="231F20"/>
          <w:w w:val="105"/>
        </w:rPr>
        <w:t>jurisdictions.</w:t>
      </w:r>
      <w:r>
        <w:rPr>
          <w:color w:val="231F20"/>
          <w:spacing w:val="-17"/>
          <w:w w:val="105"/>
        </w:rPr>
        <w:t> </w:t>
      </w:r>
      <w:r>
        <w:rPr>
          <w:color w:val="231F20"/>
          <w:w w:val="105"/>
        </w:rPr>
        <w:t>Experience</w:t>
      </w:r>
      <w:r>
        <w:rPr>
          <w:color w:val="231F20"/>
          <w:spacing w:val="-17"/>
          <w:w w:val="105"/>
        </w:rPr>
        <w:t> </w:t>
      </w:r>
      <w:r>
        <w:rPr>
          <w:color w:val="231F20"/>
          <w:w w:val="105"/>
        </w:rPr>
        <w:t>can</w:t>
      </w:r>
      <w:r>
        <w:rPr>
          <w:color w:val="231F20"/>
          <w:spacing w:val="-17"/>
          <w:w w:val="105"/>
        </w:rPr>
        <w:t> </w:t>
      </w:r>
      <w:r>
        <w:rPr>
          <w:color w:val="231F20"/>
          <w:w w:val="105"/>
        </w:rPr>
        <w:t>make</w:t>
      </w:r>
    </w:p>
    <w:p>
      <w:pPr>
        <w:pStyle w:val="BodyText"/>
        <w:spacing w:line="266" w:lineRule="auto"/>
        <w:ind w:left="720" w:right="148"/>
      </w:pPr>
      <w:r>
        <w:rPr>
          <w:color w:val="231F20"/>
          <w:w w:val="105"/>
        </w:rPr>
        <w:t>one a better and more efficient interviewer. If investigations are infrequent, achieving and maintaining proficiency can be difficult;</w:t>
      </w:r>
    </w:p>
    <w:p>
      <w:pPr>
        <w:pStyle w:val="BodyText"/>
        <w:spacing w:line="266" w:lineRule="auto"/>
        <w:ind w:left="720" w:right="-3"/>
      </w:pPr>
      <w:r>
        <w:rPr>
          <w:color w:val="231F20"/>
          <w:w w:val="105"/>
        </w:rPr>
        <w:t>centralizing</w:t>
      </w:r>
      <w:r>
        <w:rPr>
          <w:color w:val="231F20"/>
          <w:spacing w:val="-17"/>
          <w:w w:val="105"/>
        </w:rPr>
        <w:t> </w:t>
      </w:r>
      <w:r>
        <w:rPr>
          <w:color w:val="231F20"/>
          <w:w w:val="105"/>
        </w:rPr>
        <w:t>the</w:t>
      </w:r>
      <w:r>
        <w:rPr>
          <w:color w:val="231F20"/>
          <w:spacing w:val="-18"/>
          <w:w w:val="105"/>
        </w:rPr>
        <w:t> </w:t>
      </w:r>
      <w:r>
        <w:rPr>
          <w:color w:val="231F20"/>
          <w:w w:val="105"/>
        </w:rPr>
        <w:t>interview</w:t>
      </w:r>
      <w:r>
        <w:rPr>
          <w:color w:val="231F20"/>
          <w:spacing w:val="-17"/>
          <w:w w:val="105"/>
        </w:rPr>
        <w:t> </w:t>
      </w:r>
      <w:r>
        <w:rPr>
          <w:color w:val="231F20"/>
          <w:w w:val="105"/>
        </w:rPr>
        <w:t>process</w:t>
      </w:r>
      <w:r>
        <w:rPr>
          <w:color w:val="231F20"/>
          <w:spacing w:val="-18"/>
          <w:w w:val="105"/>
        </w:rPr>
        <w:t> </w:t>
      </w:r>
      <w:r>
        <w:rPr>
          <w:color w:val="231F20"/>
          <w:w w:val="105"/>
        </w:rPr>
        <w:t>reduces</w:t>
      </w:r>
      <w:r>
        <w:rPr>
          <w:color w:val="231F20"/>
          <w:spacing w:val="-18"/>
          <w:w w:val="105"/>
        </w:rPr>
        <w:t> </w:t>
      </w:r>
      <w:r>
        <w:rPr>
          <w:color w:val="231F20"/>
          <w:w w:val="105"/>
        </w:rPr>
        <w:t>these problems and makes questionnaires easier to modify</w:t>
      </w:r>
      <w:r>
        <w:rPr>
          <w:color w:val="231F20"/>
          <w:spacing w:val="-14"/>
          <w:w w:val="105"/>
        </w:rPr>
        <w:t> </w:t>
      </w:r>
      <w:r>
        <w:rPr>
          <w:color w:val="231F20"/>
          <w:w w:val="105"/>
        </w:rPr>
        <w:t>on</w:t>
      </w:r>
      <w:r>
        <w:rPr>
          <w:color w:val="231F20"/>
          <w:spacing w:val="-14"/>
          <w:w w:val="105"/>
        </w:rPr>
        <w:t> </w:t>
      </w:r>
      <w:r>
        <w:rPr>
          <w:color w:val="231F20"/>
          <w:w w:val="105"/>
        </w:rPr>
        <w:t>the</w:t>
      </w:r>
      <w:r>
        <w:rPr>
          <w:color w:val="231F20"/>
          <w:spacing w:val="-14"/>
          <w:w w:val="105"/>
        </w:rPr>
        <w:t> </w:t>
      </w:r>
      <w:r>
        <w:rPr>
          <w:color w:val="231F20"/>
          <w:spacing w:val="-7"/>
          <w:w w:val="105"/>
        </w:rPr>
        <w:t>fly.</w:t>
      </w:r>
    </w:p>
    <w:p>
      <w:pPr>
        <w:pStyle w:val="BodyText"/>
        <w:spacing w:line="266" w:lineRule="auto" w:before="180"/>
        <w:ind w:left="720" w:right="132"/>
      </w:pPr>
      <w:r>
        <w:rPr>
          <w:color w:val="231F20"/>
          <w:w w:val="105"/>
        </w:rPr>
        <w:t>Entering, tabulating, and analyzing questionnaire data is an essential part of effective</w:t>
      </w:r>
      <w:r>
        <w:rPr>
          <w:color w:val="231F20"/>
          <w:spacing w:val="-25"/>
          <w:w w:val="105"/>
        </w:rPr>
        <w:t> </w:t>
      </w:r>
      <w:r>
        <w:rPr>
          <w:color w:val="231F20"/>
          <w:w w:val="105"/>
        </w:rPr>
        <w:t>interviewing.</w:t>
      </w:r>
      <w:r>
        <w:rPr>
          <w:color w:val="231F20"/>
          <w:spacing w:val="-25"/>
          <w:w w:val="105"/>
        </w:rPr>
        <w:t> </w:t>
      </w:r>
      <w:r>
        <w:rPr>
          <w:color w:val="231F20"/>
          <w:w w:val="105"/>
        </w:rPr>
        <w:t>Questionnaires</w:t>
      </w:r>
      <w:r>
        <w:rPr>
          <w:color w:val="231F20"/>
          <w:spacing w:val="-25"/>
          <w:w w:val="105"/>
        </w:rPr>
        <w:t> </w:t>
      </w:r>
      <w:r>
        <w:rPr>
          <w:color w:val="231F20"/>
          <w:w w:val="105"/>
        </w:rPr>
        <w:t>should be designed with rapid and accurate data entry in mind. The CIFOR Clearinghouse </w:t>
      </w:r>
      <w:r>
        <w:rPr>
          <w:color w:val="231F20"/>
          <w:spacing w:val="-1"/>
        </w:rPr>
        <w:t>(</w:t>
      </w:r>
      <w:hyperlink r:id="rId19">
        <w:r>
          <w:rPr>
            <w:color w:val="0079C1"/>
            <w:spacing w:val="-1"/>
          </w:rPr>
          <w:t>www.cifor.us/clearinghouse/keywordsearch.</w:t>
        </w:r>
      </w:hyperlink>
      <w:r>
        <w:rPr>
          <w:color w:val="0079C1"/>
          <w:spacing w:val="-1"/>
        </w:rPr>
        <w:t> </w:t>
      </w:r>
      <w:r>
        <w:rPr>
          <w:color w:val="0079C1"/>
          <w:w w:val="105"/>
        </w:rPr>
        <w:t>cfm</w:t>
      </w:r>
      <w:r>
        <w:rPr>
          <w:color w:val="231F20"/>
          <w:w w:val="105"/>
        </w:rPr>
        <w:t>) provides examples of questionnaires used</w:t>
      </w:r>
      <w:r>
        <w:rPr>
          <w:color w:val="231F20"/>
          <w:spacing w:val="-12"/>
          <w:w w:val="105"/>
        </w:rPr>
        <w:t> </w:t>
      </w:r>
      <w:r>
        <w:rPr>
          <w:color w:val="231F20"/>
          <w:spacing w:val="-3"/>
          <w:w w:val="105"/>
        </w:rPr>
        <w:t>by</w:t>
      </w:r>
      <w:r>
        <w:rPr>
          <w:color w:val="231F20"/>
          <w:spacing w:val="-13"/>
          <w:w w:val="105"/>
        </w:rPr>
        <w:t> </w:t>
      </w:r>
      <w:r>
        <w:rPr>
          <w:color w:val="231F20"/>
          <w:w w:val="105"/>
        </w:rPr>
        <w:t>various</w:t>
      </w:r>
      <w:r>
        <w:rPr>
          <w:color w:val="231F20"/>
          <w:spacing w:val="-13"/>
          <w:w w:val="105"/>
        </w:rPr>
        <w:t> </w:t>
      </w:r>
      <w:r>
        <w:rPr>
          <w:color w:val="231F20"/>
          <w:w w:val="105"/>
        </w:rPr>
        <w:t>health</w:t>
      </w:r>
      <w:r>
        <w:rPr>
          <w:color w:val="231F20"/>
          <w:spacing w:val="-12"/>
          <w:w w:val="105"/>
        </w:rPr>
        <w:t> </w:t>
      </w:r>
      <w:r>
        <w:rPr>
          <w:color w:val="231F20"/>
          <w:w w:val="105"/>
        </w:rPr>
        <w:t>departments</w:t>
      </w:r>
      <w:r>
        <w:rPr>
          <w:color w:val="231F20"/>
          <w:spacing w:val="-12"/>
          <w:w w:val="105"/>
        </w:rPr>
        <w:t> </w:t>
      </w:r>
      <w:r>
        <w:rPr>
          <w:color w:val="231F20"/>
          <w:w w:val="105"/>
        </w:rPr>
        <w:t>to</w:t>
      </w:r>
      <w:r>
        <w:rPr>
          <w:color w:val="231F20"/>
          <w:spacing w:val="-13"/>
          <w:w w:val="105"/>
        </w:rPr>
        <w:t> </w:t>
      </w:r>
      <w:r>
        <w:rPr>
          <w:color w:val="231F20"/>
          <w:w w:val="105"/>
        </w:rPr>
        <w:t>collect exposure</w:t>
      </w:r>
      <w:r>
        <w:rPr>
          <w:color w:val="231F20"/>
          <w:spacing w:val="-29"/>
          <w:w w:val="105"/>
        </w:rPr>
        <w:t> </w:t>
      </w:r>
      <w:r>
        <w:rPr>
          <w:color w:val="231F20"/>
          <w:w w:val="105"/>
        </w:rPr>
        <w:t>information</w:t>
      </w:r>
      <w:r>
        <w:rPr>
          <w:color w:val="231F20"/>
          <w:spacing w:val="-29"/>
          <w:w w:val="105"/>
        </w:rPr>
        <w:t> </w:t>
      </w:r>
      <w:r>
        <w:rPr>
          <w:color w:val="231F20"/>
          <w:w w:val="105"/>
        </w:rPr>
        <w:t>for</w:t>
      </w:r>
      <w:r>
        <w:rPr>
          <w:color w:val="231F20"/>
          <w:spacing w:val="-29"/>
          <w:w w:val="105"/>
        </w:rPr>
        <w:t> </w:t>
      </w:r>
      <w:r>
        <w:rPr>
          <w:color w:val="231F20"/>
          <w:w w:val="105"/>
        </w:rPr>
        <w:t>different</w:t>
      </w:r>
      <w:r>
        <w:rPr>
          <w:color w:val="231F20"/>
          <w:spacing w:val="-29"/>
          <w:w w:val="105"/>
        </w:rPr>
        <w:t> </w:t>
      </w:r>
      <w:r>
        <w:rPr>
          <w:color w:val="231F20"/>
          <w:w w:val="105"/>
        </w:rPr>
        <w:t>pathogens. Questions with a yes/no check-box format are</w:t>
      </w:r>
      <w:r>
        <w:rPr>
          <w:color w:val="231F20"/>
          <w:spacing w:val="-18"/>
          <w:w w:val="105"/>
        </w:rPr>
        <w:t> </w:t>
      </w:r>
      <w:r>
        <w:rPr>
          <w:color w:val="231F20"/>
          <w:w w:val="105"/>
        </w:rPr>
        <w:t>efficient</w:t>
      </w:r>
      <w:r>
        <w:rPr>
          <w:color w:val="231F20"/>
          <w:spacing w:val="-18"/>
          <w:w w:val="105"/>
        </w:rPr>
        <w:t> </w:t>
      </w:r>
      <w:r>
        <w:rPr>
          <w:color w:val="231F20"/>
          <w:w w:val="105"/>
        </w:rPr>
        <w:t>for</w:t>
      </w:r>
      <w:r>
        <w:rPr>
          <w:color w:val="231F20"/>
          <w:spacing w:val="-18"/>
          <w:w w:val="105"/>
        </w:rPr>
        <w:t> </w:t>
      </w:r>
      <w:r>
        <w:rPr>
          <w:color w:val="231F20"/>
          <w:w w:val="105"/>
        </w:rPr>
        <w:t>collecting</w:t>
      </w:r>
      <w:r>
        <w:rPr>
          <w:color w:val="231F20"/>
          <w:spacing w:val="-18"/>
          <w:w w:val="105"/>
        </w:rPr>
        <w:t> </w:t>
      </w:r>
      <w:r>
        <w:rPr>
          <w:color w:val="231F20"/>
          <w:w w:val="105"/>
        </w:rPr>
        <w:t>information</w:t>
      </w:r>
      <w:r>
        <w:rPr>
          <w:color w:val="231F20"/>
          <w:spacing w:val="-18"/>
          <w:w w:val="105"/>
        </w:rPr>
        <w:t> </w:t>
      </w:r>
      <w:r>
        <w:rPr>
          <w:color w:val="231F20"/>
          <w:w w:val="105"/>
        </w:rPr>
        <w:t>about</w:t>
      </w:r>
    </w:p>
    <w:p>
      <w:pPr>
        <w:pStyle w:val="BodyText"/>
        <w:spacing w:line="266" w:lineRule="auto" w:before="108"/>
        <w:ind w:left="321" w:right="1501"/>
      </w:pPr>
      <w:r>
        <w:rPr/>
        <w:br w:type="column"/>
      </w:r>
      <w:r>
        <w:rPr>
          <w:color w:val="231F20"/>
          <w:w w:val="105"/>
        </w:rPr>
        <w:t>variables for which expected frequency of exposure is </w:t>
      </w:r>
      <w:r>
        <w:rPr>
          <w:color w:val="231F20"/>
          <w:spacing w:val="-7"/>
          <w:w w:val="105"/>
        </w:rPr>
        <w:t>low. For </w:t>
      </w:r>
      <w:r>
        <w:rPr>
          <w:color w:val="231F20"/>
          <w:w w:val="105"/>
        </w:rPr>
        <w:t>example, because less than</w:t>
      </w:r>
      <w:r>
        <w:rPr>
          <w:color w:val="231F20"/>
          <w:spacing w:val="-10"/>
          <w:w w:val="105"/>
        </w:rPr>
        <w:t> </w:t>
      </w:r>
      <w:r>
        <w:rPr>
          <w:color w:val="231F20"/>
          <w:w w:val="105"/>
        </w:rPr>
        <w:t>20%</w:t>
      </w:r>
      <w:r>
        <w:rPr>
          <w:color w:val="231F20"/>
          <w:spacing w:val="-9"/>
          <w:w w:val="105"/>
        </w:rPr>
        <w:t> </w:t>
      </w:r>
      <w:r>
        <w:rPr>
          <w:color w:val="231F20"/>
          <w:w w:val="105"/>
        </w:rPr>
        <w:t>of</w:t>
      </w:r>
      <w:r>
        <w:rPr>
          <w:color w:val="231F20"/>
          <w:spacing w:val="15"/>
          <w:w w:val="105"/>
        </w:rPr>
        <w:t> </w:t>
      </w:r>
      <w:r>
        <w:rPr>
          <w:color w:val="231F20"/>
          <w:w w:val="105"/>
        </w:rPr>
        <w:t>the</w:t>
      </w:r>
      <w:r>
        <w:rPr>
          <w:color w:val="231F20"/>
          <w:spacing w:val="-10"/>
          <w:w w:val="105"/>
        </w:rPr>
        <w:t> </w:t>
      </w:r>
      <w:r>
        <w:rPr>
          <w:color w:val="231F20"/>
          <w:w w:val="105"/>
        </w:rPr>
        <w:t>population</w:t>
      </w:r>
      <w:r>
        <w:rPr>
          <w:color w:val="231F20"/>
          <w:spacing w:val="-10"/>
          <w:w w:val="105"/>
        </w:rPr>
        <w:t> </w:t>
      </w:r>
      <w:r>
        <w:rPr>
          <w:color w:val="231F20"/>
          <w:w w:val="105"/>
        </w:rPr>
        <w:t>is</w:t>
      </w:r>
      <w:r>
        <w:rPr>
          <w:color w:val="231F20"/>
          <w:spacing w:val="-10"/>
          <w:w w:val="105"/>
        </w:rPr>
        <w:t> </w:t>
      </w:r>
      <w:r>
        <w:rPr>
          <w:color w:val="231F20"/>
          <w:w w:val="105"/>
        </w:rPr>
        <w:t>expected</w:t>
      </w:r>
      <w:r>
        <w:rPr>
          <w:color w:val="231F20"/>
          <w:spacing w:val="-9"/>
          <w:w w:val="105"/>
        </w:rPr>
        <w:t> </w:t>
      </w:r>
      <w:r>
        <w:rPr>
          <w:color w:val="231F20"/>
          <w:w w:val="105"/>
        </w:rPr>
        <w:t>to</w:t>
      </w:r>
      <w:r>
        <w:rPr>
          <w:color w:val="231F20"/>
          <w:spacing w:val="-10"/>
          <w:w w:val="105"/>
        </w:rPr>
        <w:t> </w:t>
      </w:r>
      <w:r>
        <w:rPr>
          <w:color w:val="231F20"/>
          <w:w w:val="105"/>
        </w:rPr>
        <w:t>eat raw spinach, asking only whether a case ate raw spinach should be sufficient to identify raw spinach as a possible vehicle. </w:t>
      </w:r>
      <w:r>
        <w:rPr>
          <w:color w:val="231F20"/>
          <w:spacing w:val="-4"/>
          <w:w w:val="105"/>
        </w:rPr>
        <w:t>However, </w:t>
      </w:r>
      <w:r>
        <w:rPr>
          <w:color w:val="231F20"/>
          <w:w w:val="105"/>
        </w:rPr>
        <w:t>because more than 75% of the population is expected to eat chicken, additional brand or source information is needed. Thus, using a hybrid</w:t>
      </w:r>
      <w:r>
        <w:rPr>
          <w:color w:val="231F20"/>
          <w:spacing w:val="-14"/>
          <w:w w:val="105"/>
        </w:rPr>
        <w:t> </w:t>
      </w:r>
      <w:r>
        <w:rPr>
          <w:color w:val="231F20"/>
          <w:w w:val="105"/>
        </w:rPr>
        <w:t>approach</w:t>
      </w:r>
      <w:r>
        <w:rPr>
          <w:color w:val="231F20"/>
          <w:spacing w:val="-15"/>
          <w:w w:val="105"/>
        </w:rPr>
        <w:t> </w:t>
      </w:r>
      <w:r>
        <w:rPr>
          <w:color w:val="231F20"/>
          <w:w w:val="105"/>
        </w:rPr>
        <w:t>for</w:t>
      </w:r>
      <w:r>
        <w:rPr>
          <w:color w:val="231F20"/>
          <w:spacing w:val="-14"/>
          <w:w w:val="105"/>
        </w:rPr>
        <w:t> </w:t>
      </w:r>
      <w:r>
        <w:rPr>
          <w:color w:val="231F20"/>
          <w:w w:val="105"/>
        </w:rPr>
        <w:t>collecting</w:t>
      </w:r>
      <w:r>
        <w:rPr>
          <w:color w:val="231F20"/>
          <w:spacing w:val="-14"/>
          <w:w w:val="105"/>
        </w:rPr>
        <w:t> </w:t>
      </w:r>
      <w:r>
        <w:rPr>
          <w:color w:val="231F20"/>
          <w:w w:val="105"/>
        </w:rPr>
        <w:t>basic</w:t>
      </w:r>
      <w:r>
        <w:rPr>
          <w:color w:val="231F20"/>
          <w:spacing w:val="-15"/>
          <w:w w:val="105"/>
        </w:rPr>
        <w:t> </w:t>
      </w:r>
      <w:r>
        <w:rPr>
          <w:color w:val="231F20"/>
          <w:w w:val="105"/>
        </w:rPr>
        <w:t>exposure information about low-frequency exposures and more specific information about high- frequency</w:t>
      </w:r>
      <w:r>
        <w:rPr>
          <w:color w:val="231F20"/>
          <w:spacing w:val="-19"/>
          <w:w w:val="105"/>
        </w:rPr>
        <w:t> </w:t>
      </w:r>
      <w:r>
        <w:rPr>
          <w:color w:val="231F20"/>
          <w:w w:val="105"/>
        </w:rPr>
        <w:t>exposures</w:t>
      </w:r>
      <w:r>
        <w:rPr>
          <w:color w:val="231F20"/>
          <w:spacing w:val="-19"/>
          <w:w w:val="105"/>
        </w:rPr>
        <w:t> </w:t>
      </w:r>
      <w:r>
        <w:rPr>
          <w:color w:val="231F20"/>
          <w:w w:val="105"/>
        </w:rPr>
        <w:t>may</w:t>
      </w:r>
      <w:r>
        <w:rPr>
          <w:color w:val="231F20"/>
          <w:spacing w:val="-19"/>
          <w:w w:val="105"/>
        </w:rPr>
        <w:t> </w:t>
      </w:r>
      <w:r>
        <w:rPr>
          <w:color w:val="231F20"/>
          <w:w w:val="105"/>
        </w:rPr>
        <w:t>be</w:t>
      </w:r>
      <w:r>
        <w:rPr>
          <w:color w:val="231F20"/>
          <w:spacing w:val="-19"/>
          <w:w w:val="105"/>
        </w:rPr>
        <w:t> </w:t>
      </w:r>
      <w:r>
        <w:rPr>
          <w:color w:val="231F20"/>
          <w:w w:val="105"/>
        </w:rPr>
        <w:t>the</w:t>
      </w:r>
      <w:r>
        <w:rPr>
          <w:color w:val="231F20"/>
          <w:spacing w:val="-19"/>
          <w:w w:val="105"/>
        </w:rPr>
        <w:t> </w:t>
      </w:r>
      <w:r>
        <w:rPr>
          <w:color w:val="231F20"/>
          <w:w w:val="105"/>
        </w:rPr>
        <w:t>most</w:t>
      </w:r>
      <w:r>
        <w:rPr>
          <w:color w:val="231F20"/>
          <w:spacing w:val="-19"/>
          <w:w w:val="105"/>
        </w:rPr>
        <w:t> </w:t>
      </w:r>
      <w:r>
        <w:rPr>
          <w:color w:val="231F20"/>
          <w:w w:val="105"/>
        </w:rPr>
        <w:t>effective approach. The use of open-ended questions complicates electronic data entry and</w:t>
      </w:r>
      <w:r>
        <w:rPr>
          <w:color w:val="231F20"/>
          <w:spacing w:val="-36"/>
          <w:w w:val="105"/>
        </w:rPr>
        <w:t> </w:t>
      </w:r>
      <w:r>
        <w:rPr>
          <w:color w:val="231F20"/>
          <w:w w:val="105"/>
        </w:rPr>
        <w:t>analysis. </w:t>
      </w:r>
      <w:r>
        <w:rPr>
          <w:color w:val="231F20"/>
          <w:spacing w:val="-7"/>
          <w:w w:val="105"/>
        </w:rPr>
        <w:t>For </w:t>
      </w:r>
      <w:r>
        <w:rPr>
          <w:color w:val="231F20"/>
          <w:w w:val="105"/>
        </w:rPr>
        <w:t>jurisdictions that rely on electronic data entry at the local public health level for rapid communication</w:t>
      </w:r>
      <w:r>
        <w:rPr>
          <w:color w:val="231F20"/>
          <w:spacing w:val="-19"/>
          <w:w w:val="105"/>
        </w:rPr>
        <w:t> </w:t>
      </w:r>
      <w:r>
        <w:rPr>
          <w:color w:val="231F20"/>
          <w:w w:val="105"/>
        </w:rPr>
        <w:t>with</w:t>
      </w:r>
      <w:r>
        <w:rPr>
          <w:color w:val="231F20"/>
          <w:spacing w:val="-18"/>
          <w:w w:val="105"/>
        </w:rPr>
        <w:t> </w:t>
      </w:r>
      <w:r>
        <w:rPr>
          <w:color w:val="231F20"/>
          <w:w w:val="105"/>
        </w:rPr>
        <w:t>the</w:t>
      </w:r>
      <w:r>
        <w:rPr>
          <w:color w:val="231F20"/>
          <w:spacing w:val="-19"/>
          <w:w w:val="105"/>
        </w:rPr>
        <w:t> </w:t>
      </w:r>
      <w:r>
        <w:rPr>
          <w:color w:val="231F20"/>
          <w:w w:val="105"/>
        </w:rPr>
        <w:t>state,</w:t>
      </w:r>
      <w:r>
        <w:rPr>
          <w:color w:val="231F20"/>
          <w:spacing w:val="-18"/>
          <w:w w:val="105"/>
        </w:rPr>
        <w:t> </w:t>
      </w:r>
      <w:r>
        <w:rPr>
          <w:color w:val="231F20"/>
          <w:w w:val="105"/>
        </w:rPr>
        <w:t>answers</w:t>
      </w:r>
      <w:r>
        <w:rPr>
          <w:color w:val="231F20"/>
          <w:spacing w:val="-19"/>
          <w:w w:val="105"/>
        </w:rPr>
        <w:t> </w:t>
      </w:r>
      <w:r>
        <w:rPr>
          <w:color w:val="231F20"/>
          <w:w w:val="105"/>
        </w:rPr>
        <w:t>to</w:t>
      </w:r>
    </w:p>
    <w:p>
      <w:pPr>
        <w:pStyle w:val="BodyText"/>
        <w:spacing w:line="266" w:lineRule="auto"/>
        <w:ind w:left="321" w:right="1357"/>
      </w:pPr>
      <w:r>
        <w:rPr/>
        <w:pict>
          <v:rect style="position:absolute;margin-left:459pt;margin-top:-91.102646pt;width:45pt;height:18pt;mso-position-horizontal-relative:page;mso-position-vertical-relative:paragraph;z-index:2992" filled="true" fillcolor="#0079c1" stroked="false">
            <v:fill type="solid"/>
            <w10:wrap type="none"/>
          </v:rect>
        </w:pict>
      </w:r>
      <w:r>
        <w:rPr/>
        <w:pict>
          <v:line style="position:absolute;mso-position-horizontal-relative:page;mso-position-vertical-relative:paragraph;z-index:3016" from="450.5pt,-91.10305pt" to="450.5pt,111.30295pt" stroked="true" strokeweight="1pt" strokecolor="#0079c1">
            <v:stroke dashstyle="solid"/>
            <w10:wrap type="none"/>
          </v:line>
        </w:pict>
      </w:r>
      <w:r>
        <w:rPr/>
        <w:pict>
          <v:shape style="position:absolute;margin-left:465.346802pt;margin-top:-69.106247pt;width:22.25pt;height:183.2pt;mso-position-horizontal-relative:page;mso-position-vertical-relative:paragraph;z-index:3040" type="#_x0000_t202" filled="false" stroked="false">
            <v:textbox inset="0,0,0,0" style="layout-flow:vertical">
              <w:txbxContent>
                <w:p>
                  <w:pPr>
                    <w:spacing w:before="12"/>
                    <w:ind w:left="20" w:right="-1014" w:firstLine="0"/>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468.849609pt;margin-top:-86.352051pt;width:15.85pt;height:8.5pt;mso-position-horizontal-relative:page;mso-position-vertical-relative:paragraph;z-index:3064" type="#_x0000_t202" filled="false" stroked="false">
            <v:textbox inset="0,0,0,0" style="layout-flow:vertical">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105"/>
        </w:rPr>
        <w:t>open-ended questions may need to be captured as text fields that can be reviewed as needed.</w:t>
      </w:r>
    </w:p>
    <w:p>
      <w:pPr>
        <w:pStyle w:val="BodyText"/>
        <w:spacing w:line="266" w:lineRule="auto" w:before="180"/>
        <w:ind w:left="321" w:right="1787"/>
      </w:pPr>
      <w:r>
        <w:rPr>
          <w:color w:val="231F20"/>
        </w:rPr>
        <w:t>Routine collection of detailed exposure information enables evaluation of  clusters in real time. However, most public health agencies do not have sufficient resources  to</w:t>
      </w:r>
    </w:p>
    <w:p>
      <w:pPr>
        <w:pStyle w:val="BodyText"/>
        <w:spacing w:line="266" w:lineRule="auto"/>
        <w:ind w:left="321" w:right="1536"/>
      </w:pPr>
      <w:r>
        <w:rPr>
          <w:color w:val="231F20"/>
          <w:w w:val="105"/>
        </w:rPr>
        <w:t>conduct such interviews of every case. Given the reality of these resource limitations,</w:t>
      </w:r>
    </w:p>
    <w:p>
      <w:pPr>
        <w:pStyle w:val="BodyText"/>
        <w:spacing w:line="249" w:lineRule="auto"/>
        <w:ind w:left="321" w:right="1740"/>
        <w:rPr>
          <w:rFonts w:ascii="Bookman Old Style"/>
          <w:b/>
        </w:rPr>
      </w:pPr>
      <w:r>
        <w:rPr>
          <w:color w:val="231F20"/>
        </w:rPr>
        <w:t>a two-step interviewing process might be  the best alternative approach. </w:t>
      </w:r>
      <w:r>
        <w:rPr>
          <w:rFonts w:ascii="Bookman Old Style"/>
          <w:b/>
          <w:color w:val="231F20"/>
        </w:rPr>
        <w:t>When first </w:t>
      </w:r>
      <w:r>
        <w:rPr>
          <w:rFonts w:ascii="Bookman Old Style"/>
          <w:b/>
          <w:color w:val="231F20"/>
          <w:w w:val="85"/>
        </w:rPr>
        <w:t>reported,</w:t>
      </w:r>
      <w:r>
        <w:rPr>
          <w:rFonts w:ascii="Bookman Old Style"/>
          <w:b/>
          <w:color w:val="231F20"/>
          <w:spacing w:val="-28"/>
          <w:w w:val="85"/>
        </w:rPr>
        <w:t> </w:t>
      </w:r>
      <w:r>
        <w:rPr>
          <w:rFonts w:ascii="Bookman Old Style"/>
          <w:b/>
          <w:color w:val="231F20"/>
          <w:w w:val="85"/>
        </w:rPr>
        <w:t>all</w:t>
      </w:r>
      <w:r>
        <w:rPr>
          <w:rFonts w:ascii="Bookman Old Style"/>
          <w:b/>
          <w:color w:val="231F20"/>
          <w:spacing w:val="-28"/>
          <w:w w:val="85"/>
        </w:rPr>
        <w:t> </w:t>
      </w:r>
      <w:r>
        <w:rPr>
          <w:rFonts w:ascii="Bookman Old Style"/>
          <w:b/>
          <w:color w:val="231F20"/>
          <w:w w:val="85"/>
        </w:rPr>
        <w:t>cases</w:t>
      </w:r>
      <w:r>
        <w:rPr>
          <w:rFonts w:ascii="Bookman Old Style"/>
          <w:b/>
          <w:color w:val="231F20"/>
          <w:spacing w:val="-28"/>
          <w:w w:val="85"/>
        </w:rPr>
        <w:t> </w:t>
      </w:r>
      <w:r>
        <w:rPr>
          <w:rFonts w:ascii="Bookman Old Style"/>
          <w:b/>
          <w:color w:val="231F20"/>
          <w:w w:val="85"/>
        </w:rPr>
        <w:t>should</w:t>
      </w:r>
      <w:r>
        <w:rPr>
          <w:rFonts w:ascii="Bookman Old Style"/>
          <w:b/>
          <w:color w:val="231F20"/>
          <w:spacing w:val="-28"/>
          <w:w w:val="85"/>
        </w:rPr>
        <w:t> </w:t>
      </w:r>
      <w:r>
        <w:rPr>
          <w:rFonts w:ascii="Bookman Old Style"/>
          <w:b/>
          <w:color w:val="231F20"/>
          <w:w w:val="85"/>
        </w:rPr>
        <w:t>be</w:t>
      </w:r>
      <w:r>
        <w:rPr>
          <w:rFonts w:ascii="Bookman Old Style"/>
          <w:b/>
          <w:color w:val="231F20"/>
          <w:spacing w:val="-28"/>
          <w:w w:val="85"/>
        </w:rPr>
        <w:t> </w:t>
      </w:r>
      <w:r>
        <w:rPr>
          <w:rFonts w:ascii="Bookman Old Style"/>
          <w:b/>
          <w:color w:val="231F20"/>
          <w:w w:val="85"/>
        </w:rPr>
        <w:t>interviewed</w:t>
      </w:r>
    </w:p>
    <w:p>
      <w:pPr>
        <w:pStyle w:val="BodyText"/>
        <w:spacing w:line="254" w:lineRule="auto" w:before="6"/>
        <w:ind w:left="321" w:right="1486"/>
        <w:rPr>
          <w:rFonts w:ascii="Bookman Old Style"/>
          <w:b/>
        </w:rPr>
      </w:pPr>
      <w:r>
        <w:rPr>
          <w:rFonts w:ascii="Bookman Old Style"/>
          <w:b/>
          <w:color w:val="231F20"/>
          <w:w w:val="85"/>
        </w:rPr>
        <w:t>with</w:t>
      </w:r>
      <w:r>
        <w:rPr>
          <w:rFonts w:ascii="Bookman Old Style"/>
          <w:b/>
          <w:color w:val="231F20"/>
          <w:spacing w:val="-40"/>
          <w:w w:val="85"/>
        </w:rPr>
        <w:t> </w:t>
      </w:r>
      <w:r>
        <w:rPr>
          <w:rFonts w:ascii="Bookman Old Style"/>
          <w:b/>
          <w:color w:val="231F20"/>
          <w:w w:val="85"/>
        </w:rPr>
        <w:t>a</w:t>
      </w:r>
      <w:r>
        <w:rPr>
          <w:rFonts w:ascii="Bookman Old Style"/>
          <w:b/>
          <w:color w:val="231F20"/>
          <w:spacing w:val="-40"/>
          <w:w w:val="85"/>
        </w:rPr>
        <w:t> </w:t>
      </w:r>
      <w:r>
        <w:rPr>
          <w:rFonts w:ascii="Bookman Old Style"/>
          <w:b/>
          <w:color w:val="231F20"/>
          <w:w w:val="85"/>
        </w:rPr>
        <w:t>standardized</w:t>
      </w:r>
      <w:r>
        <w:rPr>
          <w:rFonts w:ascii="Bookman Old Style"/>
          <w:b/>
          <w:color w:val="231F20"/>
          <w:spacing w:val="-40"/>
          <w:w w:val="85"/>
        </w:rPr>
        <w:t> </w:t>
      </w:r>
      <w:r>
        <w:rPr>
          <w:rFonts w:ascii="Bookman Old Style"/>
          <w:b/>
          <w:color w:val="231F20"/>
          <w:w w:val="85"/>
        </w:rPr>
        <w:t>questionnaire</w:t>
      </w:r>
      <w:r>
        <w:rPr>
          <w:rFonts w:ascii="Bookman Old Style"/>
          <w:b/>
          <w:color w:val="231F20"/>
          <w:spacing w:val="-40"/>
          <w:w w:val="85"/>
        </w:rPr>
        <w:t> </w:t>
      </w:r>
      <w:r>
        <w:rPr>
          <w:rFonts w:ascii="Bookman Old Style"/>
          <w:b/>
          <w:color w:val="231F20"/>
          <w:w w:val="85"/>
        </w:rPr>
        <w:t>to</w:t>
      </w:r>
      <w:r>
        <w:rPr>
          <w:rFonts w:ascii="Bookman Old Style"/>
          <w:b/>
          <w:color w:val="231F20"/>
          <w:spacing w:val="-40"/>
          <w:w w:val="85"/>
        </w:rPr>
        <w:t> </w:t>
      </w:r>
      <w:r>
        <w:rPr>
          <w:rFonts w:ascii="Bookman Old Style"/>
          <w:b/>
          <w:color w:val="231F20"/>
          <w:w w:val="85"/>
        </w:rPr>
        <w:t>collect exposure information about limited high- risk</w:t>
      </w:r>
      <w:r>
        <w:rPr>
          <w:rFonts w:ascii="Bookman Old Style"/>
          <w:b/>
          <w:color w:val="231F20"/>
          <w:spacing w:val="-40"/>
          <w:w w:val="85"/>
        </w:rPr>
        <w:t> </w:t>
      </w:r>
      <w:r>
        <w:rPr>
          <w:rFonts w:ascii="Bookman Old Style"/>
          <w:b/>
          <w:color w:val="231F20"/>
          <w:w w:val="85"/>
        </w:rPr>
        <w:t>exposures</w:t>
      </w:r>
      <w:r>
        <w:rPr>
          <w:rFonts w:ascii="Bookman Old Style"/>
          <w:b/>
          <w:color w:val="231F20"/>
          <w:spacing w:val="-40"/>
          <w:w w:val="85"/>
        </w:rPr>
        <w:t> </w:t>
      </w:r>
      <w:r>
        <w:rPr>
          <w:rFonts w:ascii="Bookman Old Style"/>
          <w:b/>
          <w:color w:val="231F20"/>
          <w:w w:val="85"/>
        </w:rPr>
        <w:t>specific</w:t>
      </w:r>
      <w:r>
        <w:rPr>
          <w:rFonts w:ascii="Bookman Old Style"/>
          <w:b/>
          <w:color w:val="231F20"/>
          <w:spacing w:val="-40"/>
          <w:w w:val="85"/>
        </w:rPr>
        <w:t> </w:t>
      </w:r>
      <w:r>
        <w:rPr>
          <w:rFonts w:ascii="Bookman Old Style"/>
          <w:b/>
          <w:color w:val="231F20"/>
          <w:w w:val="85"/>
        </w:rPr>
        <w:t>to</w:t>
      </w:r>
      <w:r>
        <w:rPr>
          <w:rFonts w:ascii="Bookman Old Style"/>
          <w:b/>
          <w:color w:val="231F20"/>
          <w:spacing w:val="-40"/>
          <w:w w:val="85"/>
        </w:rPr>
        <w:t> </w:t>
      </w:r>
      <w:r>
        <w:rPr>
          <w:rFonts w:ascii="Bookman Old Style"/>
          <w:b/>
          <w:color w:val="231F20"/>
          <w:w w:val="85"/>
        </w:rPr>
        <w:t>the</w:t>
      </w:r>
      <w:r>
        <w:rPr>
          <w:rFonts w:ascii="Bookman Old Style"/>
          <w:b/>
          <w:color w:val="231F20"/>
          <w:spacing w:val="-40"/>
          <w:w w:val="85"/>
        </w:rPr>
        <w:t> </w:t>
      </w:r>
      <w:r>
        <w:rPr>
          <w:rFonts w:ascii="Bookman Old Style"/>
          <w:b/>
          <w:color w:val="231F20"/>
          <w:w w:val="85"/>
        </w:rPr>
        <w:t>pathogen.</w:t>
      </w:r>
    </w:p>
    <w:p>
      <w:pPr>
        <w:pStyle w:val="BodyText"/>
        <w:spacing w:line="254" w:lineRule="auto" w:before="1"/>
        <w:ind w:left="321" w:right="1729"/>
        <w:rPr>
          <w:rFonts w:ascii="Bookman Old Style"/>
          <w:b/>
        </w:rPr>
      </w:pPr>
      <w:r>
        <w:rPr>
          <w:rFonts w:ascii="Bookman Old Style"/>
          <w:b/>
          <w:color w:val="231F20"/>
          <w:w w:val="90"/>
        </w:rPr>
        <w:t>Interviewees</w:t>
      </w:r>
      <w:r>
        <w:rPr>
          <w:rFonts w:ascii="Bookman Old Style"/>
          <w:b/>
          <w:color w:val="231F20"/>
          <w:spacing w:val="-42"/>
          <w:w w:val="90"/>
        </w:rPr>
        <w:t> </w:t>
      </w:r>
      <w:r>
        <w:rPr>
          <w:rFonts w:ascii="Bookman Old Style"/>
          <w:b/>
          <w:color w:val="231F20"/>
          <w:w w:val="90"/>
        </w:rPr>
        <w:t>should</w:t>
      </w:r>
      <w:r>
        <w:rPr>
          <w:rFonts w:ascii="Bookman Old Style"/>
          <w:b/>
          <w:color w:val="231F20"/>
          <w:spacing w:val="-42"/>
          <w:w w:val="90"/>
        </w:rPr>
        <w:t> </w:t>
      </w:r>
      <w:r>
        <w:rPr>
          <w:rFonts w:ascii="Bookman Old Style"/>
          <w:b/>
          <w:color w:val="231F20"/>
          <w:w w:val="90"/>
        </w:rPr>
        <w:t>be</w:t>
      </w:r>
      <w:r>
        <w:rPr>
          <w:rFonts w:ascii="Bookman Old Style"/>
          <w:b/>
          <w:color w:val="231F20"/>
          <w:spacing w:val="-42"/>
          <w:w w:val="90"/>
        </w:rPr>
        <w:t> </w:t>
      </w:r>
      <w:r>
        <w:rPr>
          <w:rFonts w:ascii="Bookman Old Style"/>
          <w:b/>
          <w:color w:val="231F20"/>
          <w:w w:val="90"/>
        </w:rPr>
        <w:t>informed</w:t>
      </w:r>
      <w:r>
        <w:rPr>
          <w:rFonts w:ascii="Bookman Old Style"/>
          <w:b/>
          <w:color w:val="231F20"/>
          <w:spacing w:val="-42"/>
          <w:w w:val="90"/>
        </w:rPr>
        <w:t> </w:t>
      </w:r>
      <w:r>
        <w:rPr>
          <w:rFonts w:ascii="Bookman Old Style"/>
          <w:b/>
          <w:color w:val="231F20"/>
          <w:w w:val="90"/>
        </w:rPr>
        <w:t>that </w:t>
      </w:r>
      <w:r>
        <w:rPr>
          <w:rFonts w:ascii="Bookman Old Style"/>
          <w:b/>
          <w:color w:val="231F20"/>
          <w:w w:val="85"/>
        </w:rPr>
        <w:t>investigations may require additional </w:t>
      </w:r>
      <w:r>
        <w:rPr>
          <w:rFonts w:ascii="Bookman Old Style"/>
          <w:b/>
          <w:color w:val="231F20"/>
          <w:w w:val="90"/>
        </w:rPr>
        <w:t>information and that they might be </w:t>
      </w:r>
      <w:r>
        <w:rPr>
          <w:rFonts w:ascii="Bookman Old Style"/>
          <w:b/>
          <w:color w:val="231F20"/>
          <w:w w:val="85"/>
        </w:rPr>
        <w:t>contacted</w:t>
      </w:r>
      <w:r>
        <w:rPr>
          <w:rFonts w:ascii="Bookman Old Style"/>
          <w:b/>
          <w:color w:val="231F20"/>
          <w:spacing w:val="-37"/>
          <w:w w:val="85"/>
        </w:rPr>
        <w:t> </w:t>
      </w:r>
      <w:r>
        <w:rPr>
          <w:rFonts w:ascii="Bookman Old Style"/>
          <w:b/>
          <w:color w:val="231F20"/>
          <w:w w:val="85"/>
        </w:rPr>
        <w:t>again.</w:t>
      </w:r>
      <w:r>
        <w:rPr>
          <w:rFonts w:ascii="Bookman Old Style"/>
          <w:b/>
          <w:color w:val="231F20"/>
          <w:spacing w:val="-37"/>
          <w:w w:val="85"/>
        </w:rPr>
        <w:t> </w:t>
      </w:r>
      <w:r>
        <w:rPr>
          <w:rFonts w:ascii="Bookman Old Style"/>
          <w:b/>
          <w:color w:val="231F20"/>
          <w:w w:val="85"/>
        </w:rPr>
        <w:t>When</w:t>
      </w:r>
      <w:r>
        <w:rPr>
          <w:rFonts w:ascii="Bookman Old Style"/>
          <w:b/>
          <w:color w:val="231F20"/>
          <w:spacing w:val="-37"/>
          <w:w w:val="85"/>
        </w:rPr>
        <w:t> </w:t>
      </w:r>
      <w:r>
        <w:rPr>
          <w:rFonts w:ascii="Bookman Old Style"/>
          <w:b/>
          <w:color w:val="231F20"/>
          <w:w w:val="85"/>
        </w:rPr>
        <w:t>the</w:t>
      </w:r>
      <w:r>
        <w:rPr>
          <w:rFonts w:ascii="Bookman Old Style"/>
          <w:b/>
          <w:color w:val="231F20"/>
          <w:spacing w:val="-37"/>
          <w:w w:val="85"/>
        </w:rPr>
        <w:t> </w:t>
      </w:r>
      <w:r>
        <w:rPr>
          <w:rFonts w:ascii="Bookman Old Style"/>
          <w:b/>
          <w:color w:val="231F20"/>
          <w:w w:val="85"/>
        </w:rPr>
        <w:t>novelty</w:t>
      </w:r>
      <w:r>
        <w:rPr>
          <w:rFonts w:ascii="Bookman Old Style"/>
          <w:b/>
          <w:color w:val="231F20"/>
          <w:spacing w:val="-37"/>
          <w:w w:val="85"/>
        </w:rPr>
        <w:t> </w:t>
      </w:r>
      <w:r>
        <w:rPr>
          <w:rFonts w:ascii="Bookman Old Style"/>
          <w:b/>
          <w:color w:val="231F20"/>
          <w:w w:val="85"/>
        </w:rPr>
        <w:t>of</w:t>
      </w:r>
      <w:r>
        <w:rPr>
          <w:rFonts w:ascii="Bookman Old Style"/>
          <w:b/>
          <w:color w:val="231F20"/>
          <w:spacing w:val="-25"/>
          <w:w w:val="85"/>
        </w:rPr>
        <w:t> </w:t>
      </w:r>
      <w:r>
        <w:rPr>
          <w:rFonts w:ascii="Bookman Old Style"/>
          <w:b/>
          <w:color w:val="231F20"/>
          <w:w w:val="85"/>
        </w:rPr>
        <w:t>the subtype</w:t>
      </w:r>
      <w:r>
        <w:rPr>
          <w:rFonts w:ascii="Bookman Old Style"/>
          <w:b/>
          <w:color w:val="231F20"/>
          <w:spacing w:val="-41"/>
          <w:w w:val="85"/>
        </w:rPr>
        <w:t> </w:t>
      </w:r>
      <w:r>
        <w:rPr>
          <w:rFonts w:ascii="Bookman Old Style"/>
          <w:b/>
          <w:color w:val="231F20"/>
          <w:w w:val="85"/>
        </w:rPr>
        <w:t>pattern,</w:t>
      </w:r>
      <w:r>
        <w:rPr>
          <w:rFonts w:ascii="Bookman Old Style"/>
          <w:b/>
          <w:color w:val="231F20"/>
          <w:spacing w:val="-41"/>
          <w:w w:val="85"/>
        </w:rPr>
        <w:t> </w:t>
      </w:r>
      <w:r>
        <w:rPr>
          <w:rFonts w:ascii="Bookman Old Style"/>
          <w:b/>
          <w:color w:val="231F20"/>
          <w:w w:val="85"/>
        </w:rPr>
        <w:t>geographic</w:t>
      </w:r>
      <w:r>
        <w:rPr>
          <w:rFonts w:ascii="Bookman Old Style"/>
          <w:b/>
          <w:color w:val="231F20"/>
          <w:spacing w:val="-41"/>
          <w:w w:val="85"/>
        </w:rPr>
        <w:t> </w:t>
      </w:r>
      <w:r>
        <w:rPr>
          <w:rFonts w:ascii="Bookman Old Style"/>
          <w:b/>
          <w:color w:val="231F20"/>
          <w:w w:val="85"/>
        </w:rPr>
        <w:t>distribution</w:t>
      </w:r>
      <w:r>
        <w:rPr>
          <w:rFonts w:ascii="Bookman Old Style"/>
          <w:b/>
          <w:color w:val="231F20"/>
          <w:w w:val="79"/>
        </w:rPr>
        <w:t> </w:t>
      </w:r>
      <w:r>
        <w:rPr>
          <w:rFonts w:ascii="Bookman Old Style"/>
          <w:b/>
          <w:color w:val="231F20"/>
          <w:w w:val="90"/>
        </w:rPr>
        <w:t>of cases, or ongoing accumulation of </w:t>
      </w:r>
      <w:r>
        <w:rPr>
          <w:rFonts w:ascii="Bookman Old Style"/>
          <w:b/>
          <w:color w:val="231F20"/>
          <w:w w:val="85"/>
        </w:rPr>
        <w:t>new</w:t>
      </w:r>
      <w:r>
        <w:rPr>
          <w:rFonts w:ascii="Bookman Old Style"/>
          <w:b/>
          <w:color w:val="231F20"/>
          <w:spacing w:val="-40"/>
          <w:w w:val="85"/>
        </w:rPr>
        <w:t> </w:t>
      </w:r>
      <w:r>
        <w:rPr>
          <w:rFonts w:ascii="Bookman Old Style"/>
          <w:b/>
          <w:color w:val="231F20"/>
          <w:w w:val="85"/>
        </w:rPr>
        <w:t>cases</w:t>
      </w:r>
      <w:r>
        <w:rPr>
          <w:rFonts w:ascii="Bookman Old Style"/>
          <w:b/>
          <w:color w:val="231F20"/>
          <w:spacing w:val="-41"/>
          <w:w w:val="85"/>
        </w:rPr>
        <w:t> </w:t>
      </w:r>
      <w:r>
        <w:rPr>
          <w:rFonts w:ascii="Bookman Old Style"/>
          <w:b/>
          <w:color w:val="231F20"/>
          <w:w w:val="85"/>
        </w:rPr>
        <w:t>indicate</w:t>
      </w:r>
      <w:r>
        <w:rPr>
          <w:rFonts w:ascii="Bookman Old Style"/>
          <w:b/>
          <w:color w:val="231F20"/>
          <w:spacing w:val="-40"/>
          <w:w w:val="85"/>
        </w:rPr>
        <w:t> </w:t>
      </w:r>
      <w:r>
        <w:rPr>
          <w:rFonts w:ascii="Bookman Old Style"/>
          <w:b/>
          <w:color w:val="231F20"/>
          <w:w w:val="85"/>
        </w:rPr>
        <w:t>the</w:t>
      </w:r>
      <w:r>
        <w:rPr>
          <w:rFonts w:ascii="Bookman Old Style"/>
          <w:b/>
          <w:color w:val="231F20"/>
          <w:spacing w:val="-41"/>
          <w:w w:val="85"/>
        </w:rPr>
        <w:t> </w:t>
      </w:r>
      <w:r>
        <w:rPr>
          <w:rFonts w:ascii="Bookman Old Style"/>
          <w:b/>
          <w:color w:val="231F20"/>
          <w:w w:val="85"/>
        </w:rPr>
        <w:t>cluster</w:t>
      </w:r>
      <w:r>
        <w:rPr>
          <w:rFonts w:ascii="Bookman Old Style"/>
          <w:b/>
          <w:color w:val="231F20"/>
          <w:spacing w:val="-41"/>
          <w:w w:val="85"/>
        </w:rPr>
        <w:t> </w:t>
      </w:r>
      <w:r>
        <w:rPr>
          <w:rFonts w:ascii="Bookman Old Style"/>
          <w:b/>
          <w:color w:val="231F20"/>
          <w:w w:val="85"/>
        </w:rPr>
        <w:t>represents an</w:t>
      </w:r>
      <w:r>
        <w:rPr>
          <w:rFonts w:ascii="Bookman Old Style"/>
          <w:b/>
          <w:color w:val="231F20"/>
          <w:spacing w:val="-28"/>
          <w:w w:val="85"/>
        </w:rPr>
        <w:t> </w:t>
      </w:r>
      <w:r>
        <w:rPr>
          <w:rFonts w:ascii="Bookman Old Style"/>
          <w:b/>
          <w:color w:val="231F20"/>
          <w:w w:val="85"/>
        </w:rPr>
        <w:t>outbreak</w:t>
      </w:r>
      <w:r>
        <w:rPr>
          <w:rFonts w:ascii="Bookman Old Style"/>
          <w:b/>
          <w:color w:val="231F20"/>
          <w:spacing w:val="-28"/>
          <w:w w:val="85"/>
        </w:rPr>
        <w:t> </w:t>
      </w:r>
      <w:r>
        <w:rPr>
          <w:rFonts w:ascii="Bookman Old Style"/>
          <w:b/>
          <w:color w:val="231F20"/>
          <w:w w:val="85"/>
        </w:rPr>
        <w:t>possibly</w:t>
      </w:r>
      <w:r>
        <w:rPr>
          <w:rFonts w:ascii="Bookman Old Style"/>
          <w:b/>
          <w:color w:val="231F20"/>
          <w:spacing w:val="-28"/>
          <w:w w:val="85"/>
        </w:rPr>
        <w:t> </w:t>
      </w:r>
      <w:r>
        <w:rPr>
          <w:rFonts w:ascii="Bookman Old Style"/>
          <w:b/>
          <w:color w:val="231F20"/>
          <w:w w:val="85"/>
        </w:rPr>
        <w:t>associated</w:t>
      </w:r>
      <w:r>
        <w:rPr>
          <w:rFonts w:ascii="Bookman Old Style"/>
          <w:b/>
          <w:color w:val="231F20"/>
          <w:spacing w:val="-28"/>
          <w:w w:val="85"/>
        </w:rPr>
        <w:t> </w:t>
      </w:r>
      <w:r>
        <w:rPr>
          <w:rFonts w:ascii="Bookman Old Style"/>
          <w:b/>
          <w:color w:val="231F20"/>
          <w:w w:val="85"/>
        </w:rPr>
        <w:t>with</w:t>
      </w:r>
      <w:r>
        <w:rPr>
          <w:rFonts w:ascii="Bookman Old Style"/>
          <w:b/>
          <w:color w:val="231F20"/>
          <w:spacing w:val="-28"/>
          <w:w w:val="85"/>
        </w:rPr>
        <w:t> </w:t>
      </w:r>
      <w:r>
        <w:rPr>
          <w:rFonts w:ascii="Bookman Old Style"/>
          <w:b/>
          <w:color w:val="231F20"/>
          <w:w w:val="85"/>
        </w:rPr>
        <w:t>a</w:t>
      </w:r>
    </w:p>
    <w:p>
      <w:pPr>
        <w:pStyle w:val="BodyText"/>
        <w:spacing w:line="254" w:lineRule="auto" w:before="1"/>
        <w:ind w:left="321" w:right="1524"/>
        <w:rPr>
          <w:rFonts w:ascii="Bookman Old Style"/>
          <w:b/>
        </w:rPr>
      </w:pPr>
      <w:r>
        <w:rPr>
          <w:rFonts w:ascii="Bookman Old Style"/>
          <w:b/>
          <w:color w:val="231F20"/>
          <w:w w:val="85"/>
        </w:rPr>
        <w:t>commercially</w:t>
      </w:r>
      <w:r>
        <w:rPr>
          <w:rFonts w:ascii="Bookman Old Style"/>
          <w:b/>
          <w:color w:val="231F20"/>
          <w:spacing w:val="-29"/>
          <w:w w:val="85"/>
        </w:rPr>
        <w:t> </w:t>
      </w:r>
      <w:r>
        <w:rPr>
          <w:rFonts w:ascii="Bookman Old Style"/>
          <w:b/>
          <w:color w:val="231F20"/>
          <w:w w:val="85"/>
        </w:rPr>
        <w:t>distributed</w:t>
      </w:r>
      <w:r>
        <w:rPr>
          <w:rFonts w:ascii="Bookman Old Style"/>
          <w:b/>
          <w:color w:val="231F20"/>
          <w:spacing w:val="-29"/>
          <w:w w:val="85"/>
        </w:rPr>
        <w:t> </w:t>
      </w:r>
      <w:r>
        <w:rPr>
          <w:rFonts w:ascii="Bookman Old Style"/>
          <w:b/>
          <w:color w:val="231F20"/>
          <w:w w:val="85"/>
        </w:rPr>
        <w:t>food</w:t>
      </w:r>
      <w:r>
        <w:rPr>
          <w:rFonts w:ascii="Bookman Old Style"/>
          <w:b/>
          <w:color w:val="231F20"/>
          <w:spacing w:val="-29"/>
          <w:w w:val="85"/>
        </w:rPr>
        <w:t> </w:t>
      </w:r>
      <w:r>
        <w:rPr>
          <w:rFonts w:ascii="Bookman Old Style"/>
          <w:b/>
          <w:color w:val="231F20"/>
          <w:w w:val="85"/>
        </w:rPr>
        <w:t>product,</w:t>
      </w:r>
      <w:r>
        <w:rPr>
          <w:rFonts w:ascii="Bookman Old Style"/>
          <w:b/>
          <w:color w:val="231F20"/>
          <w:spacing w:val="-29"/>
          <w:w w:val="85"/>
        </w:rPr>
        <w:t> </w:t>
      </w:r>
      <w:r>
        <w:rPr>
          <w:rFonts w:ascii="Bookman Old Style"/>
          <w:b/>
          <w:color w:val="231F20"/>
          <w:w w:val="85"/>
        </w:rPr>
        <w:t>all cases</w:t>
      </w:r>
      <w:r>
        <w:rPr>
          <w:rFonts w:ascii="Bookman Old Style"/>
          <w:b/>
          <w:color w:val="231F20"/>
          <w:spacing w:val="-26"/>
          <w:w w:val="85"/>
        </w:rPr>
        <w:t> </w:t>
      </w:r>
      <w:r>
        <w:rPr>
          <w:rFonts w:ascii="Bookman Old Style"/>
          <w:b/>
          <w:color w:val="231F20"/>
          <w:w w:val="85"/>
        </w:rPr>
        <w:t>in</w:t>
      </w:r>
      <w:r>
        <w:rPr>
          <w:rFonts w:ascii="Bookman Old Style"/>
          <w:b/>
          <w:color w:val="231F20"/>
          <w:spacing w:val="-26"/>
          <w:w w:val="85"/>
        </w:rPr>
        <w:t> </w:t>
      </w:r>
      <w:r>
        <w:rPr>
          <w:rFonts w:ascii="Bookman Old Style"/>
          <w:b/>
          <w:color w:val="231F20"/>
          <w:w w:val="85"/>
        </w:rPr>
        <w:t>the</w:t>
      </w:r>
      <w:r>
        <w:rPr>
          <w:rFonts w:ascii="Bookman Old Style"/>
          <w:b/>
          <w:color w:val="231F20"/>
          <w:spacing w:val="-26"/>
          <w:w w:val="85"/>
        </w:rPr>
        <w:t> </w:t>
      </w:r>
      <w:r>
        <w:rPr>
          <w:rFonts w:ascii="Bookman Old Style"/>
          <w:b/>
          <w:color w:val="231F20"/>
          <w:w w:val="85"/>
        </w:rPr>
        <w:t>cluster</w:t>
      </w:r>
      <w:r>
        <w:rPr>
          <w:rFonts w:ascii="Bookman Old Style"/>
          <w:b/>
          <w:color w:val="231F20"/>
          <w:spacing w:val="-26"/>
          <w:w w:val="85"/>
        </w:rPr>
        <w:t> </w:t>
      </w:r>
      <w:r>
        <w:rPr>
          <w:rFonts w:ascii="Bookman Old Style"/>
          <w:b/>
          <w:color w:val="231F20"/>
          <w:w w:val="85"/>
        </w:rPr>
        <w:t>should</w:t>
      </w:r>
      <w:r>
        <w:rPr>
          <w:rFonts w:ascii="Bookman Old Style"/>
          <w:b/>
          <w:color w:val="231F20"/>
          <w:spacing w:val="-26"/>
          <w:w w:val="85"/>
        </w:rPr>
        <w:t> </w:t>
      </w:r>
      <w:r>
        <w:rPr>
          <w:rFonts w:ascii="Bookman Old Style"/>
          <w:b/>
          <w:color w:val="231F20"/>
          <w:w w:val="85"/>
        </w:rPr>
        <w:t>be</w:t>
      </w:r>
      <w:r>
        <w:rPr>
          <w:rFonts w:ascii="Bookman Old Style"/>
          <w:b/>
          <w:color w:val="231F20"/>
          <w:spacing w:val="-26"/>
          <w:w w:val="85"/>
        </w:rPr>
        <w:t> </w:t>
      </w:r>
      <w:r>
        <w:rPr>
          <w:rFonts w:ascii="Bookman Old Style"/>
          <w:b/>
          <w:color w:val="231F20"/>
          <w:w w:val="85"/>
        </w:rPr>
        <w:t>interviewed using</w:t>
      </w:r>
      <w:r>
        <w:rPr>
          <w:rFonts w:ascii="Bookman Old Style"/>
          <w:b/>
          <w:color w:val="231F20"/>
          <w:spacing w:val="-27"/>
          <w:w w:val="85"/>
        </w:rPr>
        <w:t> </w:t>
      </w:r>
      <w:r>
        <w:rPr>
          <w:rFonts w:ascii="Bookman Old Style"/>
          <w:b/>
          <w:color w:val="231F20"/>
          <w:w w:val="85"/>
        </w:rPr>
        <w:t>a</w:t>
      </w:r>
      <w:r>
        <w:rPr>
          <w:rFonts w:ascii="Bookman Old Style"/>
          <w:b/>
          <w:color w:val="231F20"/>
          <w:spacing w:val="-27"/>
          <w:w w:val="85"/>
        </w:rPr>
        <w:t> </w:t>
      </w:r>
      <w:r>
        <w:rPr>
          <w:rFonts w:ascii="Bookman Old Style"/>
          <w:b/>
          <w:color w:val="231F20"/>
          <w:w w:val="85"/>
        </w:rPr>
        <w:t>detailed</w:t>
      </w:r>
      <w:r>
        <w:rPr>
          <w:rFonts w:ascii="Bookman Old Style"/>
          <w:b/>
          <w:color w:val="231F20"/>
          <w:spacing w:val="-28"/>
          <w:w w:val="85"/>
        </w:rPr>
        <w:t> </w:t>
      </w:r>
      <w:r>
        <w:rPr>
          <w:rFonts w:ascii="Bookman Old Style"/>
          <w:b/>
          <w:color w:val="231F20"/>
          <w:w w:val="85"/>
        </w:rPr>
        <w:t>exposure</w:t>
      </w:r>
      <w:r>
        <w:rPr>
          <w:rFonts w:ascii="Bookman Old Style"/>
          <w:b/>
          <w:color w:val="231F20"/>
          <w:spacing w:val="-27"/>
          <w:w w:val="85"/>
        </w:rPr>
        <w:t> </w:t>
      </w:r>
      <w:r>
        <w:rPr>
          <w:rFonts w:ascii="Bookman Old Style"/>
          <w:b/>
          <w:color w:val="231F20"/>
          <w:w w:val="85"/>
        </w:rPr>
        <w:t>questionnaire</w:t>
      </w:r>
      <w:r>
        <w:rPr>
          <w:rFonts w:ascii="Bookman Old Style"/>
          <w:b/>
          <w:color w:val="231F20"/>
          <w:spacing w:val="-27"/>
          <w:w w:val="85"/>
        </w:rPr>
        <w:t> </w:t>
      </w:r>
      <w:r>
        <w:rPr>
          <w:rFonts w:ascii="Bookman Old Style"/>
          <w:b/>
          <w:color w:val="231F20"/>
          <w:w w:val="85"/>
        </w:rPr>
        <w:t>as part</w:t>
      </w:r>
      <w:r>
        <w:rPr>
          <w:rFonts w:ascii="Bookman Old Style"/>
          <w:b/>
          <w:color w:val="231F20"/>
          <w:spacing w:val="-32"/>
          <w:w w:val="85"/>
        </w:rPr>
        <w:t> </w:t>
      </w:r>
      <w:r>
        <w:rPr>
          <w:rFonts w:ascii="Bookman Old Style"/>
          <w:b/>
          <w:color w:val="231F20"/>
          <w:w w:val="85"/>
        </w:rPr>
        <w:t>of</w:t>
      </w:r>
      <w:r>
        <w:rPr>
          <w:rFonts w:ascii="Bookman Old Style"/>
          <w:b/>
          <w:color w:val="231F20"/>
          <w:spacing w:val="-17"/>
          <w:w w:val="85"/>
        </w:rPr>
        <w:t> </w:t>
      </w:r>
      <w:r>
        <w:rPr>
          <w:rFonts w:ascii="Bookman Old Style"/>
          <w:b/>
          <w:color w:val="231F20"/>
          <w:w w:val="85"/>
        </w:rPr>
        <w:t>a</w:t>
      </w:r>
      <w:r>
        <w:rPr>
          <w:rFonts w:ascii="Bookman Old Style"/>
          <w:b/>
          <w:color w:val="231F20"/>
          <w:spacing w:val="-32"/>
          <w:w w:val="85"/>
        </w:rPr>
        <w:t> </w:t>
      </w:r>
      <w:r>
        <w:rPr>
          <w:rFonts w:ascii="Bookman Old Style"/>
          <w:b/>
          <w:color w:val="231F20"/>
          <w:w w:val="85"/>
        </w:rPr>
        <w:t>dynamic</w:t>
      </w:r>
      <w:r>
        <w:rPr>
          <w:rFonts w:ascii="Bookman Old Style"/>
          <w:b/>
          <w:color w:val="231F20"/>
          <w:spacing w:val="-32"/>
          <w:w w:val="85"/>
        </w:rPr>
        <w:t> </w:t>
      </w:r>
      <w:r>
        <w:rPr>
          <w:rFonts w:ascii="Bookman Old Style"/>
          <w:b/>
          <w:color w:val="231F20"/>
          <w:w w:val="85"/>
        </w:rPr>
        <w:t>cluster</w:t>
      </w:r>
      <w:r>
        <w:rPr>
          <w:rFonts w:ascii="Bookman Old Style"/>
          <w:b/>
          <w:color w:val="231F20"/>
          <w:spacing w:val="-32"/>
          <w:w w:val="85"/>
        </w:rPr>
        <w:t> </w:t>
      </w:r>
      <w:r>
        <w:rPr>
          <w:rFonts w:ascii="Bookman Old Style"/>
          <w:b/>
          <w:color w:val="231F20"/>
          <w:w w:val="85"/>
        </w:rPr>
        <w:t>investigation</w:t>
      </w:r>
      <w:r>
        <w:rPr>
          <w:rFonts w:ascii="Bookman Old Style"/>
          <w:b/>
          <w:color w:val="231F20"/>
          <w:spacing w:val="-32"/>
          <w:w w:val="85"/>
        </w:rPr>
        <w:t> </w:t>
      </w:r>
      <w:r>
        <w:rPr>
          <w:rFonts w:ascii="Bookman Old Style"/>
          <w:b/>
          <w:color w:val="231F20"/>
          <w:w w:val="85"/>
        </w:rPr>
        <w:t>(see</w:t>
      </w:r>
      <w:r>
        <w:rPr>
          <w:rFonts w:ascii="Bookman Old Style"/>
          <w:b/>
          <w:color w:val="231F20"/>
          <w:w w:val="83"/>
        </w:rPr>
        <w:t> </w:t>
      </w:r>
      <w:r>
        <w:rPr>
          <w:rFonts w:ascii="Bookman Old Style"/>
          <w:b/>
          <w:color w:val="231F20"/>
          <w:w w:val="85"/>
        </w:rPr>
        <w:t>Chapter</w:t>
      </w:r>
      <w:r>
        <w:rPr>
          <w:rFonts w:ascii="Bookman Old Style"/>
          <w:b/>
          <w:color w:val="231F20"/>
          <w:spacing w:val="-21"/>
          <w:w w:val="85"/>
        </w:rPr>
        <w:t> </w:t>
      </w:r>
      <w:r>
        <w:rPr>
          <w:rFonts w:ascii="Bookman Old Style"/>
          <w:b/>
          <w:color w:val="231F20"/>
          <w:w w:val="85"/>
        </w:rPr>
        <w:t>5).</w:t>
      </w:r>
    </w:p>
    <w:p>
      <w:pPr>
        <w:spacing w:after="0" w:line="254" w:lineRule="auto"/>
        <w:rPr>
          <w:rFonts w:ascii="Bookman Old Style"/>
        </w:rPr>
        <w:sectPr>
          <w:type w:val="continuous"/>
          <w:pgSz w:w="10080" w:h="14400"/>
          <w:pgMar w:top="0" w:bottom="0" w:left="0" w:right="0"/>
          <w:cols w:num="2" w:equalWidth="0">
            <w:col w:w="4499" w:space="40"/>
            <w:col w:w="5541"/>
          </w:cols>
        </w:sectPr>
      </w:pPr>
    </w:p>
    <w:p>
      <w:pPr>
        <w:pStyle w:val="BodyText"/>
        <w:spacing w:before="3"/>
        <w:rPr>
          <w:rFonts w:ascii="Bookman Old Style"/>
          <w:b/>
          <w:sz w:val="10"/>
        </w:rPr>
      </w:pPr>
    </w:p>
    <w:p>
      <w:pPr>
        <w:pStyle w:val="Heading1"/>
      </w:pPr>
      <w:r>
        <w:rPr/>
        <w:pict>
          <v:line style="position:absolute;mso-position-horizontal-relative:page;mso-position-vertical-relative:paragraph;z-index:3088;mso-wrap-distance-left:0;mso-wrap-distance-right:0" from="72pt,23.995163pt" to="468pt,23.995163pt" stroked="true" strokeweight=".5pt" strokecolor="#00a94f">
            <v:stroke dashstyle="solid"/>
            <w10:wrap type="topAndBottom"/>
          </v:line>
        </w:pict>
      </w:r>
      <w:r>
        <w:rPr>
          <w:color w:val="00A94F"/>
          <w:w w:val="95"/>
        </w:rPr>
        <w:t>4.2. Pathogen-Specific Surveillance</w:t>
      </w:r>
    </w:p>
    <w:p>
      <w:pPr>
        <w:pStyle w:val="BodyText"/>
        <w:spacing w:before="7"/>
        <w:rPr>
          <w:rFonts w:ascii="Lucida Sans"/>
          <w:sz w:val="17"/>
        </w:rPr>
      </w:pPr>
    </w:p>
    <w:p>
      <w:pPr>
        <w:spacing w:after="0"/>
        <w:rPr>
          <w:rFonts w:ascii="Lucida Sans"/>
          <w:sz w:val="17"/>
        </w:rPr>
        <w:sectPr>
          <w:pgSz w:w="10080" w:h="14400"/>
          <w:pgMar w:header="0" w:footer="0" w:top="1160" w:bottom="280" w:left="0" w:right="0"/>
        </w:sectPr>
      </w:pPr>
    </w:p>
    <w:p>
      <w:pPr>
        <w:pStyle w:val="ListParagraph"/>
        <w:numPr>
          <w:ilvl w:val="3"/>
          <w:numId w:val="12"/>
        </w:numPr>
        <w:tabs>
          <w:tab w:pos="2182" w:val="left" w:leader="none"/>
        </w:tabs>
        <w:spacing w:line="240" w:lineRule="auto" w:before="107" w:after="0"/>
        <w:ind w:left="2182" w:right="0" w:hanging="742"/>
        <w:jc w:val="left"/>
        <w:rPr>
          <w:i/>
          <w:sz w:val="20"/>
        </w:rPr>
      </w:pPr>
      <w:r>
        <w:rPr>
          <w:i/>
          <w:color w:val="E36F1E"/>
          <w:sz w:val="20"/>
        </w:rPr>
        <w:t>Data</w:t>
      </w:r>
      <w:r>
        <w:rPr>
          <w:i/>
          <w:color w:val="E36F1E"/>
          <w:spacing w:val="15"/>
          <w:sz w:val="20"/>
        </w:rPr>
        <w:t> </w:t>
      </w:r>
      <w:r>
        <w:rPr>
          <w:i/>
          <w:color w:val="E36F1E"/>
          <w:sz w:val="20"/>
        </w:rPr>
        <w:t>analysis</w:t>
      </w:r>
    </w:p>
    <w:p>
      <w:pPr>
        <w:pStyle w:val="BodyText"/>
        <w:spacing w:line="266" w:lineRule="auto" w:before="24"/>
        <w:ind w:left="1440" w:right="24"/>
      </w:pPr>
      <w:r>
        <w:rPr>
          <w:color w:val="231F20"/>
          <w:w w:val="105"/>
        </w:rPr>
        <w:t>Use daily laboratory reporting and analysis systems, where possible, to more easily recognize and evaluate clusters. Automated reports can be developed for laboratory information management systems or epidemiology</w:t>
      </w:r>
      <w:r>
        <w:rPr>
          <w:color w:val="231F20"/>
          <w:spacing w:val="-11"/>
          <w:w w:val="105"/>
        </w:rPr>
        <w:t> </w:t>
      </w:r>
      <w:r>
        <w:rPr>
          <w:color w:val="231F20"/>
          <w:w w:val="105"/>
        </w:rPr>
        <w:t>systems</w:t>
      </w:r>
      <w:r>
        <w:rPr>
          <w:color w:val="231F20"/>
          <w:spacing w:val="-10"/>
          <w:w w:val="105"/>
        </w:rPr>
        <w:t> </w:t>
      </w:r>
      <w:r>
        <w:rPr>
          <w:color w:val="231F20"/>
          <w:w w:val="105"/>
        </w:rPr>
        <w:t>or</w:t>
      </w:r>
      <w:r>
        <w:rPr>
          <w:color w:val="231F20"/>
          <w:spacing w:val="-10"/>
          <w:w w:val="105"/>
        </w:rPr>
        <w:t> </w:t>
      </w:r>
      <w:r>
        <w:rPr>
          <w:color w:val="231F20"/>
          <w:spacing w:val="-3"/>
          <w:w w:val="105"/>
        </w:rPr>
        <w:t>by</w:t>
      </w:r>
      <w:r>
        <w:rPr>
          <w:color w:val="231F20"/>
          <w:spacing w:val="-11"/>
          <w:w w:val="105"/>
        </w:rPr>
        <w:t> </w:t>
      </w:r>
      <w:r>
        <w:rPr>
          <w:color w:val="231F20"/>
          <w:w w:val="105"/>
        </w:rPr>
        <w:t>using</w:t>
      </w:r>
      <w:r>
        <w:rPr>
          <w:color w:val="231F20"/>
          <w:spacing w:val="-11"/>
          <w:w w:val="105"/>
        </w:rPr>
        <w:t> </w:t>
      </w:r>
      <w:r>
        <w:rPr>
          <w:color w:val="231F20"/>
          <w:w w:val="105"/>
        </w:rPr>
        <w:t>the</w:t>
      </w:r>
      <w:r>
        <w:rPr>
          <w:color w:val="231F20"/>
          <w:spacing w:val="-11"/>
          <w:w w:val="105"/>
        </w:rPr>
        <w:t> </w:t>
      </w:r>
      <w:r>
        <w:rPr>
          <w:color w:val="231F20"/>
          <w:w w:val="105"/>
        </w:rPr>
        <w:t>CIFOR Epi/Lab</w:t>
      </w:r>
      <w:r>
        <w:rPr>
          <w:color w:val="231F20"/>
          <w:spacing w:val="-29"/>
          <w:w w:val="105"/>
        </w:rPr>
        <w:t> </w:t>
      </w:r>
      <w:r>
        <w:rPr>
          <w:color w:val="231F20"/>
          <w:w w:val="105"/>
        </w:rPr>
        <w:t>reporting</w:t>
      </w:r>
      <w:r>
        <w:rPr>
          <w:color w:val="231F20"/>
          <w:spacing w:val="-29"/>
          <w:w w:val="105"/>
        </w:rPr>
        <w:t> </w:t>
      </w:r>
      <w:r>
        <w:rPr>
          <w:color w:val="231F20"/>
          <w:w w:val="105"/>
        </w:rPr>
        <w:t>software.</w:t>
      </w:r>
    </w:p>
    <w:p>
      <w:pPr>
        <w:pStyle w:val="BodyText"/>
        <w:spacing w:line="266" w:lineRule="auto" w:before="180"/>
        <w:ind w:left="1440" w:right="-4"/>
      </w:pPr>
      <w:r>
        <w:rPr/>
        <w:pict>
          <v:rect style="position:absolute;margin-left:0pt;margin-top:33.904266pt;width:45pt;height:18pt;mso-position-horizontal-relative:page;mso-position-vertical-relative:paragraph;z-index:3112" filled="true" fillcolor="#0079c1" stroked="false">
            <v:fill type="solid"/>
            <w10:wrap type="none"/>
          </v:rect>
        </w:pict>
      </w:r>
      <w:r>
        <w:rPr/>
        <w:pict>
          <v:line style="position:absolute;mso-position-horizontal-relative:page;mso-position-vertical-relative:paragraph;z-index:3136" from="54.5pt,33.901867pt" to="54.5pt,236.310867pt" stroked="true" strokeweight="1pt" strokecolor="#0079c1">
            <v:stroke dashstyle="solid"/>
            <w10:wrap type="none"/>
          </v:line>
        </w:pict>
      </w:r>
      <w:r>
        <w:rPr/>
        <w:pict>
          <v:shape style="position:absolute;margin-left:16.402201pt;margin-top:54.927559pt;width:22.3pt;height:183.2pt;mso-position-horizontal-relative:page;mso-position-vertical-relative:paragraph;z-index:3184"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18.200388pt;margin-top:38.65522pt;width:15.85pt;height:8.5pt;mso-position-horizontal-relative:page;mso-position-vertical-relative:paragraph;z-index:3208"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105"/>
        </w:rPr>
        <w:t>Analyses should be able to handle various agents</w:t>
      </w:r>
      <w:r>
        <w:rPr>
          <w:color w:val="231F20"/>
          <w:spacing w:val="-18"/>
          <w:w w:val="105"/>
        </w:rPr>
        <w:t> </w:t>
      </w:r>
      <w:r>
        <w:rPr>
          <w:color w:val="231F20"/>
          <w:spacing w:val="-4"/>
          <w:w w:val="105"/>
        </w:rPr>
        <w:t>(e.g.,</w:t>
      </w:r>
      <w:r>
        <w:rPr>
          <w:color w:val="231F20"/>
          <w:spacing w:val="-17"/>
          <w:w w:val="105"/>
        </w:rPr>
        <w:t> </w:t>
      </w:r>
      <w:r>
        <w:rPr>
          <w:color w:val="231F20"/>
          <w:w w:val="105"/>
        </w:rPr>
        <w:t>species,</w:t>
      </w:r>
      <w:r>
        <w:rPr>
          <w:color w:val="231F20"/>
          <w:spacing w:val="-17"/>
          <w:w w:val="105"/>
        </w:rPr>
        <w:t> </w:t>
      </w:r>
      <w:r>
        <w:rPr>
          <w:color w:val="231F20"/>
          <w:w w:val="105"/>
        </w:rPr>
        <w:t>serotype</w:t>
      </w:r>
      <w:r>
        <w:rPr>
          <w:color w:val="231F20"/>
          <w:spacing w:val="-17"/>
          <w:w w:val="105"/>
        </w:rPr>
        <w:t> </w:t>
      </w:r>
      <w:r>
        <w:rPr>
          <w:color w:val="231F20"/>
          <w:w w:val="105"/>
        </w:rPr>
        <w:t>or</w:t>
      </w:r>
      <w:r>
        <w:rPr>
          <w:color w:val="231F20"/>
          <w:spacing w:val="-17"/>
          <w:w w:val="105"/>
        </w:rPr>
        <w:t> </w:t>
      </w:r>
      <w:r>
        <w:rPr>
          <w:color w:val="231F20"/>
          <w:w w:val="105"/>
        </w:rPr>
        <w:t>other</w:t>
      </w:r>
      <w:r>
        <w:rPr>
          <w:color w:val="231F20"/>
          <w:spacing w:val="-17"/>
          <w:w w:val="105"/>
        </w:rPr>
        <w:t> </w:t>
      </w:r>
      <w:r>
        <w:rPr>
          <w:color w:val="231F20"/>
          <w:w w:val="105"/>
        </w:rPr>
        <w:t>subtype, more stringent subtype), enabling differing types of available information, and should include basic demographic</w:t>
      </w:r>
      <w:r>
        <w:rPr>
          <w:color w:val="231F20"/>
          <w:spacing w:val="-27"/>
          <w:w w:val="105"/>
        </w:rPr>
        <w:t> </w:t>
      </w:r>
      <w:r>
        <w:rPr>
          <w:color w:val="231F20"/>
          <w:w w:val="105"/>
        </w:rPr>
        <w:t>information,</w:t>
      </w:r>
    </w:p>
    <w:p>
      <w:pPr>
        <w:pStyle w:val="BodyText"/>
        <w:spacing w:line="266" w:lineRule="auto"/>
        <w:ind w:left="1440" w:right="2"/>
      </w:pPr>
      <w:r>
        <w:rPr>
          <w:color w:val="231F20"/>
          <w:w w:val="105"/>
        </w:rPr>
        <w:t>such as location, sex, and age. Compare possible clusters to historical frequencies and national trends. Clusters are triaged on the basis of the novelty of a subtype pattern or increased occurrence of a relatively common</w:t>
      </w:r>
    </w:p>
    <w:p>
      <w:pPr>
        <w:pStyle w:val="BodyText"/>
        <w:spacing w:line="266" w:lineRule="auto" w:before="108"/>
        <w:ind w:left="416" w:right="919"/>
      </w:pPr>
      <w:r>
        <w:rPr/>
        <w:br w:type="column"/>
      </w:r>
      <w:r>
        <w:rPr>
          <w:color w:val="231F20"/>
          <w:w w:val="105"/>
        </w:rPr>
        <w:t>subtype, geographic or temporal clustering or lack thereof, or unexpected demographic distribution (also see Chapter 5).</w:t>
      </w:r>
    </w:p>
    <w:p>
      <w:pPr>
        <w:pStyle w:val="ListParagraph"/>
        <w:numPr>
          <w:ilvl w:val="3"/>
          <w:numId w:val="12"/>
        </w:numPr>
        <w:tabs>
          <w:tab w:pos="1159" w:val="left" w:leader="none"/>
        </w:tabs>
        <w:spacing w:line="240" w:lineRule="auto" w:before="180" w:after="0"/>
        <w:ind w:left="1158" w:right="0" w:hanging="742"/>
        <w:jc w:val="left"/>
        <w:rPr>
          <w:i/>
          <w:sz w:val="20"/>
        </w:rPr>
      </w:pPr>
      <w:r>
        <w:rPr>
          <w:i/>
          <w:color w:val="E36F1E"/>
          <w:sz w:val="20"/>
        </w:rPr>
        <w:t>Communication</w:t>
      </w:r>
    </w:p>
    <w:p>
      <w:pPr>
        <w:pStyle w:val="BodyText"/>
        <w:spacing w:line="261" w:lineRule="auto" w:before="24"/>
        <w:ind w:left="416" w:right="769"/>
        <w:rPr>
          <w:rFonts w:ascii="Bookman Old Style"/>
          <w:b/>
        </w:rPr>
      </w:pPr>
      <w:r>
        <w:rPr>
          <w:color w:val="231F20"/>
        </w:rPr>
        <w:t>Establish and use routine procedures for communicating among epidemiology, </w:t>
      </w:r>
      <w:r>
        <w:rPr>
          <w:color w:val="231F20"/>
          <w:spacing w:val="-3"/>
        </w:rPr>
        <w:t>laboratory, </w:t>
      </w:r>
      <w:r>
        <w:rPr>
          <w:color w:val="231F20"/>
        </w:rPr>
        <w:t>and environmental health branches within an agency and between local and state agencies. Rapidly post subtyping results to PulseNet, and note the detection of clusters to PulseNet and foodborne outbreak electronic mailing lists to improve communication and cooperation  within  and  among  local,  state, and federal public health agencies. </w:t>
      </w:r>
      <w:r>
        <w:rPr>
          <w:rFonts w:ascii="Bookman Old Style"/>
          <w:b/>
          <w:color w:val="231F20"/>
          <w:spacing w:val="-3"/>
        </w:rPr>
        <w:t>Poor </w:t>
      </w:r>
      <w:r>
        <w:rPr>
          <w:rFonts w:ascii="Bookman Old Style"/>
          <w:b/>
          <w:color w:val="231F20"/>
          <w:w w:val="90"/>
        </w:rPr>
        <w:t>coordination</w:t>
      </w:r>
      <w:r>
        <w:rPr>
          <w:rFonts w:ascii="Bookman Old Style"/>
          <w:b/>
          <w:color w:val="231F20"/>
          <w:spacing w:val="-46"/>
          <w:w w:val="90"/>
        </w:rPr>
        <w:t> </w:t>
      </w:r>
      <w:r>
        <w:rPr>
          <w:rFonts w:ascii="Bookman Old Style"/>
          <w:b/>
          <w:color w:val="231F20"/>
          <w:w w:val="90"/>
        </w:rPr>
        <w:t>within</w:t>
      </w:r>
      <w:r>
        <w:rPr>
          <w:rFonts w:ascii="Bookman Old Style"/>
          <w:b/>
          <w:color w:val="231F20"/>
          <w:spacing w:val="-45"/>
          <w:w w:val="90"/>
        </w:rPr>
        <w:t> </w:t>
      </w:r>
      <w:r>
        <w:rPr>
          <w:rFonts w:ascii="Bookman Old Style"/>
          <w:b/>
          <w:color w:val="231F20"/>
          <w:w w:val="90"/>
        </w:rPr>
        <w:t>and</w:t>
      </w:r>
      <w:r>
        <w:rPr>
          <w:rFonts w:ascii="Bookman Old Style"/>
          <w:b/>
          <w:color w:val="231F20"/>
          <w:spacing w:val="-46"/>
          <w:w w:val="90"/>
        </w:rPr>
        <w:t> </w:t>
      </w:r>
      <w:r>
        <w:rPr>
          <w:rFonts w:ascii="Bookman Old Style"/>
          <w:b/>
          <w:color w:val="231F20"/>
          <w:w w:val="90"/>
        </w:rPr>
        <w:t>among</w:t>
      </w:r>
      <w:r>
        <w:rPr>
          <w:rFonts w:ascii="Bookman Old Style"/>
          <w:b/>
          <w:color w:val="231F20"/>
          <w:spacing w:val="-46"/>
          <w:w w:val="90"/>
        </w:rPr>
        <w:t> </w:t>
      </w:r>
      <w:r>
        <w:rPr>
          <w:rFonts w:ascii="Bookman Old Style"/>
          <w:b/>
          <w:color w:val="231F20"/>
          <w:w w:val="90"/>
        </w:rPr>
        <w:t>agencies </w:t>
      </w:r>
      <w:r>
        <w:rPr>
          <w:rFonts w:ascii="Bookman Old Style"/>
          <w:b/>
          <w:color w:val="231F20"/>
          <w:w w:val="80"/>
        </w:rPr>
        <w:t>limits the effectiveness of pathogen-specific </w:t>
      </w:r>
      <w:r>
        <w:rPr>
          <w:rFonts w:ascii="Bookman Old Style"/>
          <w:b/>
          <w:color w:val="231F20"/>
        </w:rPr>
        <w:t>surveillance.</w:t>
      </w:r>
    </w:p>
    <w:p>
      <w:pPr>
        <w:spacing w:after="0" w:line="261" w:lineRule="auto"/>
        <w:rPr>
          <w:rFonts w:ascii="Bookman Old Style"/>
        </w:rPr>
        <w:sectPr>
          <w:type w:val="continuous"/>
          <w:pgSz w:w="10080" w:h="14400"/>
          <w:pgMar w:top="0" w:bottom="0" w:left="0" w:right="0"/>
          <w:cols w:num="2" w:equalWidth="0">
            <w:col w:w="5124" w:space="40"/>
            <w:col w:w="4916"/>
          </w:cols>
        </w:sectPr>
      </w:pPr>
    </w:p>
    <w:p>
      <w:pPr>
        <w:pStyle w:val="BodyText"/>
        <w:spacing w:before="8"/>
        <w:rPr>
          <w:rFonts w:ascii="Bookman Old Style"/>
          <w:b/>
          <w:sz w:val="21"/>
        </w:rPr>
      </w:pPr>
    </w:p>
    <w:p>
      <w:pPr>
        <w:pStyle w:val="Heading2"/>
        <w:ind w:left="4172" w:right="3452"/>
        <w:jc w:val="center"/>
        <w:rPr>
          <w:b/>
        </w:rPr>
      </w:pPr>
      <w:r>
        <w:rPr/>
        <w:pict>
          <v:group style="position:absolute;margin-left:72pt;margin-top:-1.848029pt;width:396pt;height:333pt;mso-position-horizontal-relative:page;mso-position-vertical-relative:paragraph;z-index:-35008" coordorigin="1440,-37" coordsize="7920,6660">
            <v:rect style="position:absolute;left:1445;top:-32;width:7910;height:6650" filled="true" fillcolor="#e5f3e7" stroked="false">
              <v:fill type="solid"/>
            </v:rect>
            <v:rect style="position:absolute;left:1445;top:-32;width:7910;height:6650" filled="false" stroked="true" strokeweight=".5pt" strokecolor="#00a94f">
              <v:stroke dashstyle="solid"/>
            </v:rect>
            <w10:wrap type="none"/>
          </v:group>
        </w:pict>
      </w:r>
      <w:r>
        <w:rPr>
          <w:b/>
          <w:color w:val="1C3E94"/>
          <w:w w:val="85"/>
        </w:rPr>
        <w:t>CIFOR Keys to Success:</w:t>
      </w:r>
    </w:p>
    <w:p>
      <w:pPr>
        <w:spacing w:before="37"/>
        <w:ind w:left="3121" w:right="0" w:firstLine="0"/>
        <w:jc w:val="left"/>
        <w:rPr>
          <w:rFonts w:ascii="Lucida Sans" w:hAnsi="Lucida Sans"/>
          <w:b/>
          <w:sz w:val="24"/>
        </w:rPr>
      </w:pPr>
      <w:r>
        <w:rPr>
          <w:rFonts w:ascii="Lucida Sans" w:hAnsi="Lucida Sans"/>
          <w:b/>
          <w:color w:val="1C3E94"/>
          <w:w w:val="80"/>
          <w:sz w:val="24"/>
        </w:rPr>
        <w:t>Focus  Area  5—Pathogen-specific surveillance</w:t>
      </w:r>
    </w:p>
    <w:p>
      <w:pPr>
        <w:pStyle w:val="BodyText"/>
        <w:spacing w:before="97"/>
        <w:ind w:left="1800"/>
        <w:rPr>
          <w:rFonts w:ascii="Lucida Sans"/>
        </w:rPr>
      </w:pPr>
      <w:r>
        <w:rPr>
          <w:rFonts w:ascii="Lucida Sans"/>
          <w:color w:val="1C3E94"/>
          <w:w w:val="80"/>
        </w:rPr>
        <w:t>Reporting/submission  of isolates</w:t>
      </w:r>
    </w:p>
    <w:p>
      <w:pPr>
        <w:pStyle w:val="ListParagraph"/>
        <w:numPr>
          <w:ilvl w:val="4"/>
          <w:numId w:val="12"/>
        </w:numPr>
        <w:tabs>
          <w:tab w:pos="1972" w:val="left" w:leader="none"/>
        </w:tabs>
        <w:spacing w:line="254" w:lineRule="auto" w:before="16" w:after="0"/>
        <w:ind w:left="1971" w:right="1252" w:hanging="171"/>
        <w:jc w:val="left"/>
        <w:rPr>
          <w:rFonts w:ascii="Arial"/>
          <w:sz w:val="18"/>
        </w:rPr>
      </w:pPr>
      <w:r>
        <w:rPr>
          <w:rFonts w:ascii="Arial"/>
          <w:color w:val="231F20"/>
          <w:w w:val="95"/>
          <w:sz w:val="18"/>
        </w:rPr>
        <w:t>State</w:t>
      </w:r>
      <w:r>
        <w:rPr>
          <w:rFonts w:ascii="Arial"/>
          <w:color w:val="231F20"/>
          <w:spacing w:val="-25"/>
          <w:w w:val="95"/>
          <w:sz w:val="18"/>
        </w:rPr>
        <w:t> </w:t>
      </w:r>
      <w:r>
        <w:rPr>
          <w:rFonts w:ascii="Arial"/>
          <w:color w:val="231F20"/>
          <w:w w:val="95"/>
          <w:sz w:val="18"/>
        </w:rPr>
        <w:t>has</w:t>
      </w:r>
      <w:r>
        <w:rPr>
          <w:rFonts w:ascii="Arial"/>
          <w:color w:val="231F20"/>
          <w:spacing w:val="-25"/>
          <w:w w:val="95"/>
          <w:sz w:val="18"/>
        </w:rPr>
        <w:t> </w:t>
      </w:r>
      <w:r>
        <w:rPr>
          <w:rFonts w:ascii="Arial"/>
          <w:color w:val="231F20"/>
          <w:w w:val="95"/>
          <w:sz w:val="18"/>
        </w:rPr>
        <w:t>mandatory</w:t>
      </w:r>
      <w:r>
        <w:rPr>
          <w:rFonts w:ascii="Arial"/>
          <w:color w:val="231F20"/>
          <w:spacing w:val="-25"/>
          <w:w w:val="95"/>
          <w:sz w:val="18"/>
        </w:rPr>
        <w:t> </w:t>
      </w:r>
      <w:r>
        <w:rPr>
          <w:rFonts w:ascii="Arial"/>
          <w:color w:val="231F20"/>
          <w:w w:val="95"/>
          <w:sz w:val="18"/>
        </w:rPr>
        <w:t>reporting</w:t>
      </w:r>
      <w:r>
        <w:rPr>
          <w:rFonts w:ascii="Arial"/>
          <w:color w:val="231F20"/>
          <w:spacing w:val="-25"/>
          <w:w w:val="95"/>
          <w:sz w:val="18"/>
        </w:rPr>
        <w:t> </w:t>
      </w:r>
      <w:r>
        <w:rPr>
          <w:rFonts w:ascii="Arial"/>
          <w:color w:val="231F20"/>
          <w:w w:val="95"/>
          <w:sz w:val="18"/>
        </w:rPr>
        <w:t>of</w:t>
      </w:r>
      <w:r>
        <w:rPr>
          <w:rFonts w:ascii="Arial"/>
          <w:color w:val="231F20"/>
          <w:spacing w:val="-25"/>
          <w:w w:val="95"/>
          <w:sz w:val="18"/>
        </w:rPr>
        <w:t> </w:t>
      </w:r>
      <w:r>
        <w:rPr>
          <w:rFonts w:ascii="Arial"/>
          <w:color w:val="231F20"/>
          <w:w w:val="95"/>
          <w:sz w:val="18"/>
        </w:rPr>
        <w:t>diseases</w:t>
      </w:r>
      <w:r>
        <w:rPr>
          <w:rFonts w:ascii="Arial"/>
          <w:color w:val="231F20"/>
          <w:spacing w:val="-25"/>
          <w:w w:val="95"/>
          <w:sz w:val="18"/>
        </w:rPr>
        <w:t> </w:t>
      </w:r>
      <w:r>
        <w:rPr>
          <w:rFonts w:ascii="Arial"/>
          <w:color w:val="231F20"/>
          <w:w w:val="95"/>
          <w:sz w:val="18"/>
        </w:rPr>
        <w:t>and</w:t>
      </w:r>
      <w:r>
        <w:rPr>
          <w:rFonts w:ascii="Arial"/>
          <w:color w:val="231F20"/>
          <w:spacing w:val="-25"/>
          <w:w w:val="95"/>
          <w:sz w:val="18"/>
        </w:rPr>
        <w:t> </w:t>
      </w:r>
      <w:r>
        <w:rPr>
          <w:rFonts w:ascii="Arial"/>
          <w:color w:val="231F20"/>
          <w:w w:val="95"/>
          <w:sz w:val="18"/>
        </w:rPr>
        <w:t>submission</w:t>
      </w:r>
      <w:r>
        <w:rPr>
          <w:rFonts w:ascii="Arial"/>
          <w:color w:val="231F20"/>
          <w:spacing w:val="-25"/>
          <w:w w:val="95"/>
          <w:sz w:val="18"/>
        </w:rPr>
        <w:t> </w:t>
      </w:r>
      <w:r>
        <w:rPr>
          <w:rFonts w:ascii="Arial"/>
          <w:color w:val="231F20"/>
          <w:w w:val="95"/>
          <w:sz w:val="18"/>
        </w:rPr>
        <w:t>of</w:t>
      </w:r>
      <w:r>
        <w:rPr>
          <w:rFonts w:ascii="Arial"/>
          <w:color w:val="231F20"/>
          <w:spacing w:val="-25"/>
          <w:w w:val="95"/>
          <w:sz w:val="18"/>
        </w:rPr>
        <w:t> </w:t>
      </w:r>
      <w:r>
        <w:rPr>
          <w:rFonts w:ascii="Arial"/>
          <w:color w:val="231F20"/>
          <w:w w:val="95"/>
          <w:sz w:val="18"/>
        </w:rPr>
        <w:t>patient</w:t>
      </w:r>
      <w:r>
        <w:rPr>
          <w:rFonts w:ascii="Arial"/>
          <w:color w:val="231F20"/>
          <w:spacing w:val="-25"/>
          <w:w w:val="95"/>
          <w:sz w:val="18"/>
        </w:rPr>
        <w:t> </w:t>
      </w:r>
      <w:r>
        <w:rPr>
          <w:rFonts w:ascii="Arial"/>
          <w:color w:val="231F20"/>
          <w:w w:val="95"/>
          <w:sz w:val="18"/>
        </w:rPr>
        <w:t>isolates</w:t>
      </w:r>
      <w:r>
        <w:rPr>
          <w:rFonts w:ascii="Arial"/>
          <w:color w:val="231F20"/>
          <w:spacing w:val="-25"/>
          <w:w w:val="95"/>
          <w:sz w:val="18"/>
        </w:rPr>
        <w:t> </w:t>
      </w:r>
      <w:r>
        <w:rPr>
          <w:rFonts w:ascii="Arial"/>
          <w:color w:val="231F20"/>
          <w:w w:val="95"/>
          <w:sz w:val="18"/>
        </w:rPr>
        <w:t>that</w:t>
      </w:r>
      <w:r>
        <w:rPr>
          <w:rFonts w:ascii="Arial"/>
          <w:color w:val="231F20"/>
          <w:spacing w:val="-25"/>
          <w:w w:val="95"/>
          <w:sz w:val="18"/>
        </w:rPr>
        <w:t> </w:t>
      </w:r>
      <w:r>
        <w:rPr>
          <w:rFonts w:ascii="Arial"/>
          <w:color w:val="231F20"/>
          <w:w w:val="95"/>
          <w:sz w:val="18"/>
        </w:rPr>
        <w:t>were</w:t>
      </w:r>
      <w:r>
        <w:rPr>
          <w:rFonts w:ascii="Arial"/>
          <w:color w:val="231F20"/>
          <w:spacing w:val="-25"/>
          <w:w w:val="95"/>
          <w:sz w:val="18"/>
        </w:rPr>
        <w:t> </w:t>
      </w:r>
      <w:r>
        <w:rPr>
          <w:rFonts w:ascii="Arial"/>
          <w:color w:val="231F20"/>
          <w:w w:val="95"/>
          <w:sz w:val="18"/>
        </w:rPr>
        <w:t>likely</w:t>
      </w:r>
      <w:r>
        <w:rPr>
          <w:rFonts w:ascii="Arial"/>
          <w:color w:val="231F20"/>
          <w:spacing w:val="-25"/>
          <w:w w:val="95"/>
          <w:sz w:val="18"/>
        </w:rPr>
        <w:t> </w:t>
      </w:r>
      <w:r>
        <w:rPr>
          <w:rFonts w:ascii="Arial"/>
          <w:color w:val="231F20"/>
          <w:w w:val="95"/>
          <w:sz w:val="18"/>
        </w:rPr>
        <w:t>to</w:t>
      </w:r>
      <w:r>
        <w:rPr>
          <w:rFonts w:ascii="Arial"/>
          <w:color w:val="231F20"/>
          <w:w w:val="99"/>
          <w:sz w:val="18"/>
        </w:rPr>
        <w:t> </w:t>
      </w:r>
      <w:r>
        <w:rPr>
          <w:rFonts w:ascii="Arial"/>
          <w:color w:val="231F20"/>
          <w:w w:val="95"/>
          <w:sz w:val="18"/>
        </w:rPr>
        <w:t>have</w:t>
      </w:r>
      <w:r>
        <w:rPr>
          <w:rFonts w:ascii="Arial"/>
          <w:color w:val="231F20"/>
          <w:spacing w:val="-24"/>
          <w:w w:val="95"/>
          <w:sz w:val="18"/>
        </w:rPr>
        <w:t> </w:t>
      </w:r>
      <w:r>
        <w:rPr>
          <w:rFonts w:ascii="Arial"/>
          <w:color w:val="231F20"/>
          <w:w w:val="95"/>
          <w:sz w:val="18"/>
        </w:rPr>
        <w:t>been</w:t>
      </w:r>
      <w:r>
        <w:rPr>
          <w:rFonts w:ascii="Arial"/>
          <w:color w:val="231F20"/>
          <w:spacing w:val="-24"/>
          <w:w w:val="95"/>
          <w:sz w:val="18"/>
        </w:rPr>
        <w:t> </w:t>
      </w:r>
      <w:r>
        <w:rPr>
          <w:rFonts w:ascii="Arial"/>
          <w:color w:val="231F20"/>
          <w:w w:val="95"/>
          <w:sz w:val="18"/>
        </w:rPr>
        <w:t>foodborne.</w:t>
      </w:r>
    </w:p>
    <w:p>
      <w:pPr>
        <w:pStyle w:val="ListParagraph"/>
        <w:numPr>
          <w:ilvl w:val="4"/>
          <w:numId w:val="12"/>
        </w:numPr>
        <w:tabs>
          <w:tab w:pos="1972" w:val="left" w:leader="none"/>
        </w:tabs>
        <w:spacing w:line="254" w:lineRule="auto" w:before="8" w:after="0"/>
        <w:ind w:left="1971" w:right="1183" w:hanging="171"/>
        <w:jc w:val="left"/>
        <w:rPr>
          <w:rFonts w:ascii="Arial"/>
          <w:sz w:val="18"/>
        </w:rPr>
      </w:pPr>
      <w:r>
        <w:rPr>
          <w:rFonts w:ascii="Arial"/>
          <w:color w:val="231F20"/>
          <w:w w:val="90"/>
          <w:sz w:val="18"/>
        </w:rPr>
        <w:t>Staff actively solicit case reports and submission of specimens/isolates to improve completeness </w:t>
      </w:r>
      <w:r>
        <w:rPr>
          <w:rFonts w:ascii="Arial"/>
          <w:color w:val="231F20"/>
          <w:w w:val="95"/>
          <w:sz w:val="18"/>
        </w:rPr>
        <w:t>of</w:t>
      </w:r>
      <w:r>
        <w:rPr>
          <w:rFonts w:ascii="Arial"/>
          <w:color w:val="231F20"/>
          <w:spacing w:val="-8"/>
          <w:w w:val="95"/>
          <w:sz w:val="18"/>
        </w:rPr>
        <w:t> </w:t>
      </w:r>
      <w:r>
        <w:rPr>
          <w:rFonts w:ascii="Arial"/>
          <w:color w:val="231F20"/>
          <w:w w:val="95"/>
          <w:sz w:val="18"/>
        </w:rPr>
        <w:t>reporting.</w:t>
      </w:r>
    </w:p>
    <w:p>
      <w:pPr>
        <w:pStyle w:val="ListParagraph"/>
        <w:numPr>
          <w:ilvl w:val="4"/>
          <w:numId w:val="12"/>
        </w:numPr>
        <w:tabs>
          <w:tab w:pos="1972" w:val="left" w:leader="none"/>
        </w:tabs>
        <w:spacing w:line="254" w:lineRule="auto" w:before="8" w:after="0"/>
        <w:ind w:left="1971" w:right="1834" w:hanging="171"/>
        <w:jc w:val="left"/>
        <w:rPr>
          <w:rFonts w:ascii="Arial"/>
          <w:sz w:val="18"/>
        </w:rPr>
      </w:pPr>
      <w:r>
        <w:rPr>
          <w:rFonts w:ascii="Arial"/>
          <w:color w:val="231F20"/>
          <w:w w:val="95"/>
          <w:sz w:val="18"/>
        </w:rPr>
        <w:t>Agency/jurisdiction</w:t>
      </w:r>
      <w:r>
        <w:rPr>
          <w:rFonts w:ascii="Arial"/>
          <w:color w:val="231F20"/>
          <w:spacing w:val="-31"/>
          <w:w w:val="95"/>
          <w:sz w:val="18"/>
        </w:rPr>
        <w:t> </w:t>
      </w:r>
      <w:r>
        <w:rPr>
          <w:rFonts w:ascii="Arial"/>
          <w:color w:val="231F20"/>
          <w:w w:val="95"/>
          <w:sz w:val="18"/>
        </w:rPr>
        <w:t>has</w:t>
      </w:r>
      <w:r>
        <w:rPr>
          <w:rFonts w:ascii="Arial"/>
          <w:color w:val="231F20"/>
          <w:spacing w:val="-31"/>
          <w:w w:val="95"/>
          <w:sz w:val="18"/>
        </w:rPr>
        <w:t> </w:t>
      </w:r>
      <w:r>
        <w:rPr>
          <w:rFonts w:ascii="Arial"/>
          <w:color w:val="231F20"/>
          <w:w w:val="95"/>
          <w:sz w:val="18"/>
        </w:rPr>
        <w:t>system</w:t>
      </w:r>
      <w:r>
        <w:rPr>
          <w:rFonts w:ascii="Arial"/>
          <w:color w:val="231F20"/>
          <w:spacing w:val="-31"/>
          <w:w w:val="95"/>
          <w:sz w:val="18"/>
        </w:rPr>
        <w:t> </w:t>
      </w:r>
      <w:r>
        <w:rPr>
          <w:rFonts w:ascii="Arial"/>
          <w:color w:val="231F20"/>
          <w:w w:val="95"/>
          <w:sz w:val="18"/>
        </w:rPr>
        <w:t>to</w:t>
      </w:r>
      <w:r>
        <w:rPr>
          <w:rFonts w:ascii="Arial"/>
          <w:color w:val="231F20"/>
          <w:spacing w:val="-31"/>
          <w:w w:val="95"/>
          <w:sz w:val="18"/>
        </w:rPr>
        <w:t> </w:t>
      </w:r>
      <w:r>
        <w:rPr>
          <w:rFonts w:ascii="Arial"/>
          <w:color w:val="231F20"/>
          <w:w w:val="95"/>
          <w:sz w:val="18"/>
        </w:rPr>
        <w:t>rapidly</w:t>
      </w:r>
      <w:r>
        <w:rPr>
          <w:rFonts w:ascii="Arial"/>
          <w:color w:val="231F20"/>
          <w:spacing w:val="-31"/>
          <w:w w:val="95"/>
          <w:sz w:val="18"/>
        </w:rPr>
        <w:t> </w:t>
      </w:r>
      <w:r>
        <w:rPr>
          <w:rFonts w:ascii="Arial"/>
          <w:color w:val="231F20"/>
          <w:w w:val="95"/>
          <w:sz w:val="18"/>
        </w:rPr>
        <w:t>transport</w:t>
      </w:r>
      <w:r>
        <w:rPr>
          <w:rFonts w:ascii="Arial"/>
          <w:color w:val="231F20"/>
          <w:spacing w:val="-31"/>
          <w:w w:val="95"/>
          <w:sz w:val="18"/>
        </w:rPr>
        <w:t> </w:t>
      </w:r>
      <w:r>
        <w:rPr>
          <w:rFonts w:ascii="Arial"/>
          <w:color w:val="231F20"/>
          <w:w w:val="95"/>
          <w:sz w:val="18"/>
        </w:rPr>
        <w:t>specimens</w:t>
      </w:r>
      <w:r>
        <w:rPr>
          <w:rFonts w:ascii="Arial"/>
          <w:color w:val="231F20"/>
          <w:spacing w:val="-31"/>
          <w:w w:val="95"/>
          <w:sz w:val="18"/>
        </w:rPr>
        <w:t> </w:t>
      </w:r>
      <w:r>
        <w:rPr>
          <w:rFonts w:ascii="Arial"/>
          <w:color w:val="231F20"/>
          <w:w w:val="95"/>
          <w:sz w:val="18"/>
        </w:rPr>
        <w:t>and</w:t>
      </w:r>
      <w:r>
        <w:rPr>
          <w:rFonts w:ascii="Arial"/>
          <w:color w:val="231F20"/>
          <w:spacing w:val="-31"/>
          <w:w w:val="95"/>
          <w:sz w:val="18"/>
        </w:rPr>
        <w:t> </w:t>
      </w:r>
      <w:r>
        <w:rPr>
          <w:rFonts w:ascii="Arial"/>
          <w:color w:val="231F20"/>
          <w:w w:val="95"/>
          <w:sz w:val="18"/>
        </w:rPr>
        <w:t>isolates</w:t>
      </w:r>
      <w:r>
        <w:rPr>
          <w:rFonts w:ascii="Arial"/>
          <w:color w:val="231F20"/>
          <w:spacing w:val="-31"/>
          <w:w w:val="95"/>
          <w:sz w:val="18"/>
        </w:rPr>
        <w:t> </w:t>
      </w:r>
      <w:r>
        <w:rPr>
          <w:rFonts w:ascii="Arial"/>
          <w:color w:val="231F20"/>
          <w:w w:val="95"/>
          <w:sz w:val="18"/>
        </w:rPr>
        <w:t>from</w:t>
      </w:r>
      <w:r>
        <w:rPr>
          <w:rFonts w:ascii="Arial"/>
          <w:color w:val="231F20"/>
          <w:spacing w:val="-31"/>
          <w:w w:val="95"/>
          <w:sz w:val="18"/>
        </w:rPr>
        <w:t> </w:t>
      </w:r>
      <w:r>
        <w:rPr>
          <w:rFonts w:ascii="Arial"/>
          <w:color w:val="231F20"/>
          <w:w w:val="95"/>
          <w:sz w:val="18"/>
        </w:rPr>
        <w:t>clinical</w:t>
      </w:r>
      <w:r>
        <w:rPr>
          <w:rFonts w:ascii="Arial"/>
          <w:color w:val="231F20"/>
          <w:w w:val="89"/>
          <w:sz w:val="18"/>
        </w:rPr>
        <w:t> </w:t>
      </w:r>
      <w:r>
        <w:rPr>
          <w:rFonts w:ascii="Arial"/>
          <w:color w:val="231F20"/>
          <w:w w:val="95"/>
          <w:sz w:val="18"/>
        </w:rPr>
        <w:t>laboratories</w:t>
      </w:r>
      <w:r>
        <w:rPr>
          <w:rFonts w:ascii="Arial"/>
          <w:color w:val="231F20"/>
          <w:spacing w:val="-22"/>
          <w:w w:val="95"/>
          <w:sz w:val="18"/>
        </w:rPr>
        <w:t> </w:t>
      </w:r>
      <w:r>
        <w:rPr>
          <w:rFonts w:ascii="Arial"/>
          <w:color w:val="231F20"/>
          <w:w w:val="95"/>
          <w:sz w:val="18"/>
        </w:rPr>
        <w:t>to</w:t>
      </w:r>
      <w:r>
        <w:rPr>
          <w:rFonts w:ascii="Arial"/>
          <w:color w:val="231F20"/>
          <w:spacing w:val="-22"/>
          <w:w w:val="95"/>
          <w:sz w:val="18"/>
        </w:rPr>
        <w:t> </w:t>
      </w:r>
      <w:r>
        <w:rPr>
          <w:rFonts w:ascii="Arial"/>
          <w:color w:val="231F20"/>
          <w:w w:val="95"/>
          <w:sz w:val="18"/>
        </w:rPr>
        <w:t>the</w:t>
      </w:r>
      <w:r>
        <w:rPr>
          <w:rFonts w:ascii="Arial"/>
          <w:color w:val="231F20"/>
          <w:spacing w:val="-22"/>
          <w:w w:val="95"/>
          <w:sz w:val="18"/>
        </w:rPr>
        <w:t> </w:t>
      </w:r>
      <w:r>
        <w:rPr>
          <w:rFonts w:ascii="Arial"/>
          <w:color w:val="231F20"/>
          <w:w w:val="95"/>
          <w:sz w:val="18"/>
        </w:rPr>
        <w:t>public</w:t>
      </w:r>
      <w:r>
        <w:rPr>
          <w:rFonts w:ascii="Arial"/>
          <w:color w:val="231F20"/>
          <w:spacing w:val="-22"/>
          <w:w w:val="95"/>
          <w:sz w:val="18"/>
        </w:rPr>
        <w:t> </w:t>
      </w:r>
      <w:r>
        <w:rPr>
          <w:rFonts w:ascii="Arial"/>
          <w:color w:val="231F20"/>
          <w:w w:val="95"/>
          <w:sz w:val="18"/>
        </w:rPr>
        <w:t>health</w:t>
      </w:r>
      <w:r>
        <w:rPr>
          <w:rFonts w:ascii="Arial"/>
          <w:color w:val="231F20"/>
          <w:spacing w:val="-22"/>
          <w:w w:val="95"/>
          <w:sz w:val="18"/>
        </w:rPr>
        <w:t> </w:t>
      </w:r>
      <w:r>
        <w:rPr>
          <w:rFonts w:ascii="Arial"/>
          <w:color w:val="231F20"/>
          <w:w w:val="95"/>
          <w:sz w:val="18"/>
        </w:rPr>
        <w:t>laboratory.</w:t>
      </w:r>
    </w:p>
    <w:p>
      <w:pPr>
        <w:pStyle w:val="BodyText"/>
        <w:spacing w:before="78"/>
        <w:ind w:left="1800"/>
        <w:rPr>
          <w:rFonts w:ascii="Lucida Sans"/>
        </w:rPr>
      </w:pPr>
      <w:r>
        <w:rPr>
          <w:rFonts w:ascii="Lucida Sans"/>
          <w:color w:val="1C3E94"/>
          <w:w w:val="85"/>
        </w:rPr>
        <w:t>Testing of specimens</w:t>
      </w:r>
    </w:p>
    <w:p>
      <w:pPr>
        <w:pStyle w:val="ListParagraph"/>
        <w:numPr>
          <w:ilvl w:val="4"/>
          <w:numId w:val="12"/>
        </w:numPr>
        <w:tabs>
          <w:tab w:pos="1972" w:val="left" w:leader="none"/>
        </w:tabs>
        <w:spacing w:line="254" w:lineRule="auto" w:before="16" w:after="0"/>
        <w:ind w:left="1971" w:right="1414" w:hanging="171"/>
        <w:jc w:val="left"/>
        <w:rPr>
          <w:rFonts w:ascii="Arial"/>
          <w:sz w:val="18"/>
        </w:rPr>
      </w:pPr>
      <w:r>
        <w:rPr>
          <w:rFonts w:ascii="Arial"/>
          <w:color w:val="231F20"/>
          <w:w w:val="95"/>
          <w:sz w:val="18"/>
        </w:rPr>
        <w:t>Public</w:t>
      </w:r>
      <w:r>
        <w:rPr>
          <w:rFonts w:ascii="Arial"/>
          <w:color w:val="231F20"/>
          <w:spacing w:val="-25"/>
          <w:w w:val="95"/>
          <w:sz w:val="18"/>
        </w:rPr>
        <w:t> </w:t>
      </w:r>
      <w:r>
        <w:rPr>
          <w:rFonts w:ascii="Arial"/>
          <w:color w:val="231F20"/>
          <w:w w:val="95"/>
          <w:sz w:val="18"/>
        </w:rPr>
        <w:t>health</w:t>
      </w:r>
      <w:r>
        <w:rPr>
          <w:rFonts w:ascii="Arial"/>
          <w:color w:val="231F20"/>
          <w:spacing w:val="-25"/>
          <w:w w:val="95"/>
          <w:sz w:val="18"/>
        </w:rPr>
        <w:t> </w:t>
      </w:r>
      <w:r>
        <w:rPr>
          <w:rFonts w:ascii="Arial"/>
          <w:color w:val="231F20"/>
          <w:w w:val="95"/>
          <w:sz w:val="18"/>
        </w:rPr>
        <w:t>laboratory</w:t>
      </w:r>
      <w:r>
        <w:rPr>
          <w:rFonts w:ascii="Arial"/>
          <w:color w:val="231F20"/>
          <w:spacing w:val="-25"/>
          <w:w w:val="95"/>
          <w:sz w:val="18"/>
        </w:rPr>
        <w:t> </w:t>
      </w:r>
      <w:r>
        <w:rPr>
          <w:rFonts w:ascii="Arial"/>
          <w:color w:val="231F20"/>
          <w:w w:val="95"/>
          <w:sz w:val="18"/>
        </w:rPr>
        <w:t>has</w:t>
      </w:r>
      <w:r>
        <w:rPr>
          <w:rFonts w:ascii="Arial"/>
          <w:color w:val="231F20"/>
          <w:spacing w:val="-25"/>
          <w:w w:val="95"/>
          <w:sz w:val="18"/>
        </w:rPr>
        <w:t> </w:t>
      </w:r>
      <w:r>
        <w:rPr>
          <w:rFonts w:ascii="Arial"/>
          <w:color w:val="231F20"/>
          <w:w w:val="95"/>
          <w:sz w:val="18"/>
        </w:rPr>
        <w:t>the</w:t>
      </w:r>
      <w:r>
        <w:rPr>
          <w:rFonts w:ascii="Arial"/>
          <w:color w:val="231F20"/>
          <w:spacing w:val="-25"/>
          <w:w w:val="95"/>
          <w:sz w:val="18"/>
        </w:rPr>
        <w:t> </w:t>
      </w:r>
      <w:r>
        <w:rPr>
          <w:rFonts w:ascii="Arial"/>
          <w:color w:val="231F20"/>
          <w:w w:val="95"/>
          <w:sz w:val="18"/>
        </w:rPr>
        <w:t>capacity</w:t>
      </w:r>
      <w:r>
        <w:rPr>
          <w:rFonts w:ascii="Arial"/>
          <w:color w:val="231F20"/>
          <w:spacing w:val="-25"/>
          <w:w w:val="95"/>
          <w:sz w:val="18"/>
        </w:rPr>
        <w:t> </w:t>
      </w:r>
      <w:r>
        <w:rPr>
          <w:rFonts w:ascii="Arial"/>
          <w:color w:val="231F20"/>
          <w:w w:val="95"/>
          <w:sz w:val="18"/>
        </w:rPr>
        <w:t>to</w:t>
      </w:r>
      <w:r>
        <w:rPr>
          <w:rFonts w:ascii="Arial"/>
          <w:color w:val="231F20"/>
          <w:spacing w:val="-25"/>
          <w:w w:val="95"/>
          <w:sz w:val="18"/>
        </w:rPr>
        <w:t> </w:t>
      </w:r>
      <w:r>
        <w:rPr>
          <w:rFonts w:ascii="Arial"/>
          <w:color w:val="231F20"/>
          <w:w w:val="95"/>
          <w:sz w:val="18"/>
        </w:rPr>
        <w:t>quickly</w:t>
      </w:r>
      <w:r>
        <w:rPr>
          <w:rFonts w:ascii="Arial"/>
          <w:color w:val="231F20"/>
          <w:spacing w:val="-25"/>
          <w:w w:val="95"/>
          <w:sz w:val="18"/>
        </w:rPr>
        <w:t> </w:t>
      </w:r>
      <w:r>
        <w:rPr>
          <w:rFonts w:ascii="Arial"/>
          <w:color w:val="231F20"/>
          <w:w w:val="95"/>
          <w:sz w:val="18"/>
        </w:rPr>
        <w:t>process</w:t>
      </w:r>
      <w:r>
        <w:rPr>
          <w:rFonts w:ascii="Arial"/>
          <w:color w:val="231F20"/>
          <w:spacing w:val="-25"/>
          <w:w w:val="95"/>
          <w:sz w:val="18"/>
        </w:rPr>
        <w:t> </w:t>
      </w:r>
      <w:r>
        <w:rPr>
          <w:rFonts w:ascii="Arial"/>
          <w:color w:val="231F20"/>
          <w:w w:val="95"/>
          <w:sz w:val="18"/>
        </w:rPr>
        <w:t>and</w:t>
      </w:r>
      <w:r>
        <w:rPr>
          <w:rFonts w:ascii="Arial"/>
          <w:color w:val="231F20"/>
          <w:spacing w:val="-25"/>
          <w:w w:val="95"/>
          <w:sz w:val="18"/>
        </w:rPr>
        <w:t> </w:t>
      </w:r>
      <w:r>
        <w:rPr>
          <w:rFonts w:ascii="Arial"/>
          <w:color w:val="231F20"/>
          <w:w w:val="95"/>
          <w:sz w:val="18"/>
        </w:rPr>
        <w:t>test</w:t>
      </w:r>
      <w:r>
        <w:rPr>
          <w:rFonts w:ascii="Arial"/>
          <w:color w:val="231F20"/>
          <w:spacing w:val="-25"/>
          <w:w w:val="95"/>
          <w:sz w:val="18"/>
        </w:rPr>
        <w:t> </w:t>
      </w:r>
      <w:r>
        <w:rPr>
          <w:rFonts w:ascii="Arial"/>
          <w:color w:val="231F20"/>
          <w:w w:val="95"/>
          <w:sz w:val="18"/>
        </w:rPr>
        <w:t>specimens</w:t>
      </w:r>
      <w:r>
        <w:rPr>
          <w:rFonts w:ascii="Arial"/>
          <w:color w:val="231F20"/>
          <w:spacing w:val="-25"/>
          <w:w w:val="95"/>
          <w:sz w:val="18"/>
        </w:rPr>
        <w:t> </w:t>
      </w:r>
      <w:r>
        <w:rPr>
          <w:rFonts w:ascii="Arial"/>
          <w:color w:val="231F20"/>
          <w:w w:val="95"/>
          <w:sz w:val="18"/>
        </w:rPr>
        <w:t>submitted</w:t>
      </w:r>
      <w:r>
        <w:rPr>
          <w:rFonts w:ascii="Arial"/>
          <w:color w:val="231F20"/>
          <w:spacing w:val="-25"/>
          <w:w w:val="95"/>
          <w:sz w:val="18"/>
        </w:rPr>
        <w:t> </w:t>
      </w:r>
      <w:r>
        <w:rPr>
          <w:rFonts w:ascii="Arial"/>
          <w:color w:val="231F20"/>
          <w:w w:val="95"/>
          <w:sz w:val="18"/>
        </w:rPr>
        <w:t>by</w:t>
      </w:r>
      <w:r>
        <w:rPr>
          <w:rFonts w:ascii="Arial"/>
          <w:color w:val="231F20"/>
          <w:w w:val="93"/>
          <w:sz w:val="18"/>
        </w:rPr>
        <w:t> </w:t>
      </w:r>
      <w:r>
        <w:rPr>
          <w:rFonts w:ascii="Arial"/>
          <w:color w:val="231F20"/>
          <w:w w:val="95"/>
          <w:sz w:val="18"/>
        </w:rPr>
        <w:t>clinical</w:t>
      </w:r>
      <w:r>
        <w:rPr>
          <w:rFonts w:ascii="Arial"/>
          <w:color w:val="231F20"/>
          <w:spacing w:val="-27"/>
          <w:w w:val="95"/>
          <w:sz w:val="18"/>
        </w:rPr>
        <w:t> </w:t>
      </w:r>
      <w:r>
        <w:rPr>
          <w:rFonts w:ascii="Arial"/>
          <w:color w:val="231F20"/>
          <w:w w:val="95"/>
          <w:sz w:val="18"/>
        </w:rPr>
        <w:t>laboratories,</w:t>
      </w:r>
      <w:r>
        <w:rPr>
          <w:rFonts w:ascii="Arial"/>
          <w:color w:val="231F20"/>
          <w:spacing w:val="-27"/>
          <w:w w:val="95"/>
          <w:sz w:val="18"/>
        </w:rPr>
        <w:t> </w:t>
      </w:r>
      <w:r>
        <w:rPr>
          <w:rFonts w:ascii="Arial"/>
          <w:color w:val="231F20"/>
          <w:w w:val="95"/>
          <w:sz w:val="18"/>
        </w:rPr>
        <w:t>including</w:t>
      </w:r>
      <w:r>
        <w:rPr>
          <w:rFonts w:ascii="Arial"/>
          <w:color w:val="231F20"/>
          <w:spacing w:val="-27"/>
          <w:w w:val="95"/>
          <w:sz w:val="18"/>
        </w:rPr>
        <w:t> </w:t>
      </w:r>
      <w:r>
        <w:rPr>
          <w:rFonts w:ascii="Arial"/>
          <w:color w:val="231F20"/>
          <w:w w:val="95"/>
          <w:sz w:val="18"/>
        </w:rPr>
        <w:t>pathogen</w:t>
      </w:r>
      <w:r>
        <w:rPr>
          <w:rFonts w:ascii="Arial"/>
          <w:color w:val="231F20"/>
          <w:spacing w:val="-27"/>
          <w:w w:val="95"/>
          <w:sz w:val="18"/>
        </w:rPr>
        <w:t> </w:t>
      </w:r>
      <w:r>
        <w:rPr>
          <w:rFonts w:ascii="Arial"/>
          <w:color w:val="231F20"/>
          <w:w w:val="95"/>
          <w:sz w:val="18"/>
        </w:rPr>
        <w:t>confirmation</w:t>
      </w:r>
      <w:r>
        <w:rPr>
          <w:rFonts w:ascii="Arial"/>
          <w:color w:val="231F20"/>
          <w:spacing w:val="-27"/>
          <w:w w:val="95"/>
          <w:sz w:val="18"/>
        </w:rPr>
        <w:t> </w:t>
      </w:r>
      <w:r>
        <w:rPr>
          <w:rFonts w:ascii="Arial"/>
          <w:color w:val="231F20"/>
          <w:w w:val="95"/>
          <w:sz w:val="18"/>
        </w:rPr>
        <w:t>and</w:t>
      </w:r>
      <w:r>
        <w:rPr>
          <w:rFonts w:ascii="Arial"/>
          <w:color w:val="231F20"/>
          <w:spacing w:val="-27"/>
          <w:w w:val="95"/>
          <w:sz w:val="18"/>
        </w:rPr>
        <w:t> </w:t>
      </w:r>
      <w:r>
        <w:rPr>
          <w:rFonts w:ascii="Arial"/>
          <w:color w:val="231F20"/>
          <w:w w:val="95"/>
          <w:sz w:val="18"/>
        </w:rPr>
        <w:t>subtyping.</w:t>
      </w:r>
    </w:p>
    <w:p>
      <w:pPr>
        <w:pStyle w:val="BodyText"/>
        <w:spacing w:before="78"/>
        <w:ind w:left="1800"/>
        <w:rPr>
          <w:rFonts w:ascii="Lucida Sans"/>
        </w:rPr>
      </w:pPr>
      <w:r>
        <w:rPr>
          <w:rFonts w:ascii="Lucida Sans"/>
          <w:color w:val="1C3E94"/>
          <w:w w:val="85"/>
        </w:rPr>
        <w:t>Collection of exposure information</w:t>
      </w:r>
    </w:p>
    <w:p>
      <w:pPr>
        <w:pStyle w:val="ListParagraph"/>
        <w:numPr>
          <w:ilvl w:val="4"/>
          <w:numId w:val="12"/>
        </w:numPr>
        <w:tabs>
          <w:tab w:pos="1972" w:val="left" w:leader="none"/>
        </w:tabs>
        <w:spacing w:line="254" w:lineRule="auto" w:before="16" w:after="0"/>
        <w:ind w:left="1971" w:right="1077" w:hanging="171"/>
        <w:jc w:val="left"/>
        <w:rPr>
          <w:rFonts w:ascii="Arial"/>
          <w:sz w:val="18"/>
        </w:rPr>
      </w:pPr>
      <w:r>
        <w:rPr>
          <w:rFonts w:ascii="Arial"/>
          <w:color w:val="231F20"/>
          <w:w w:val="95"/>
          <w:sz w:val="18"/>
        </w:rPr>
        <w:t>Staff</w:t>
      </w:r>
      <w:r>
        <w:rPr>
          <w:rFonts w:ascii="Arial"/>
          <w:color w:val="231F20"/>
          <w:spacing w:val="-26"/>
          <w:w w:val="95"/>
          <w:sz w:val="18"/>
        </w:rPr>
        <w:t> </w:t>
      </w:r>
      <w:r>
        <w:rPr>
          <w:rFonts w:ascii="Arial"/>
          <w:color w:val="231F20"/>
          <w:w w:val="95"/>
          <w:sz w:val="18"/>
        </w:rPr>
        <w:t>collect</w:t>
      </w:r>
      <w:r>
        <w:rPr>
          <w:rFonts w:ascii="Arial"/>
          <w:color w:val="231F20"/>
          <w:spacing w:val="-26"/>
          <w:w w:val="95"/>
          <w:sz w:val="18"/>
        </w:rPr>
        <w:t> </w:t>
      </w:r>
      <w:r>
        <w:rPr>
          <w:rFonts w:ascii="Arial"/>
          <w:color w:val="231F20"/>
          <w:w w:val="95"/>
          <w:sz w:val="18"/>
        </w:rPr>
        <w:t>sufficient</w:t>
      </w:r>
      <w:r>
        <w:rPr>
          <w:rFonts w:ascii="Arial"/>
          <w:color w:val="231F20"/>
          <w:spacing w:val="-26"/>
          <w:w w:val="95"/>
          <w:sz w:val="18"/>
        </w:rPr>
        <w:t> </w:t>
      </w:r>
      <w:r>
        <w:rPr>
          <w:rFonts w:ascii="Arial"/>
          <w:color w:val="231F20"/>
          <w:w w:val="95"/>
          <w:sz w:val="18"/>
        </w:rPr>
        <w:t>demographic</w:t>
      </w:r>
      <w:r>
        <w:rPr>
          <w:rFonts w:ascii="Arial"/>
          <w:color w:val="231F20"/>
          <w:spacing w:val="-26"/>
          <w:w w:val="95"/>
          <w:sz w:val="18"/>
        </w:rPr>
        <w:t> </w:t>
      </w:r>
      <w:r>
        <w:rPr>
          <w:rFonts w:ascii="Arial"/>
          <w:color w:val="231F20"/>
          <w:w w:val="95"/>
          <w:sz w:val="18"/>
        </w:rPr>
        <w:t>and</w:t>
      </w:r>
      <w:r>
        <w:rPr>
          <w:rFonts w:ascii="Arial"/>
          <w:color w:val="231F20"/>
          <w:spacing w:val="-26"/>
          <w:w w:val="95"/>
          <w:sz w:val="18"/>
        </w:rPr>
        <w:t> </w:t>
      </w:r>
      <w:r>
        <w:rPr>
          <w:rFonts w:ascii="Arial"/>
          <w:color w:val="231F20"/>
          <w:w w:val="95"/>
          <w:sz w:val="18"/>
        </w:rPr>
        <w:t>exposure</w:t>
      </w:r>
      <w:r>
        <w:rPr>
          <w:rFonts w:ascii="Arial"/>
          <w:color w:val="231F20"/>
          <w:spacing w:val="-26"/>
          <w:w w:val="95"/>
          <w:sz w:val="18"/>
        </w:rPr>
        <w:t> </w:t>
      </w:r>
      <w:r>
        <w:rPr>
          <w:rFonts w:ascii="Arial"/>
          <w:color w:val="231F20"/>
          <w:w w:val="95"/>
          <w:sz w:val="18"/>
        </w:rPr>
        <w:t>information</w:t>
      </w:r>
      <w:r>
        <w:rPr>
          <w:rFonts w:ascii="Arial"/>
          <w:color w:val="231F20"/>
          <w:spacing w:val="-26"/>
          <w:w w:val="95"/>
          <w:sz w:val="18"/>
        </w:rPr>
        <w:t> </w:t>
      </w:r>
      <w:r>
        <w:rPr>
          <w:rFonts w:ascii="Arial"/>
          <w:color w:val="231F20"/>
          <w:w w:val="95"/>
          <w:sz w:val="18"/>
        </w:rPr>
        <w:t>from</w:t>
      </w:r>
      <w:r>
        <w:rPr>
          <w:rFonts w:ascii="Arial"/>
          <w:color w:val="231F20"/>
          <w:spacing w:val="-26"/>
          <w:w w:val="95"/>
          <w:sz w:val="18"/>
        </w:rPr>
        <w:t> </w:t>
      </w:r>
      <w:r>
        <w:rPr>
          <w:rFonts w:ascii="Arial"/>
          <w:color w:val="231F20"/>
          <w:w w:val="95"/>
          <w:sz w:val="18"/>
        </w:rPr>
        <w:t>patients</w:t>
      </w:r>
      <w:r>
        <w:rPr>
          <w:rFonts w:ascii="Arial"/>
          <w:color w:val="231F20"/>
          <w:spacing w:val="-26"/>
          <w:w w:val="95"/>
          <w:sz w:val="18"/>
        </w:rPr>
        <w:t> </w:t>
      </w:r>
      <w:r>
        <w:rPr>
          <w:rFonts w:ascii="Arial"/>
          <w:color w:val="231F20"/>
          <w:w w:val="95"/>
          <w:sz w:val="18"/>
        </w:rPr>
        <w:t>to</w:t>
      </w:r>
      <w:r>
        <w:rPr>
          <w:rFonts w:ascii="Arial"/>
          <w:color w:val="231F20"/>
          <w:spacing w:val="-26"/>
          <w:w w:val="95"/>
          <w:sz w:val="18"/>
        </w:rPr>
        <w:t> </w:t>
      </w:r>
      <w:r>
        <w:rPr>
          <w:rFonts w:ascii="Arial"/>
          <w:color w:val="231F20"/>
          <w:w w:val="95"/>
          <w:sz w:val="18"/>
        </w:rPr>
        <w:t>recognize</w:t>
      </w:r>
      <w:r>
        <w:rPr>
          <w:rFonts w:ascii="Arial"/>
          <w:color w:val="231F20"/>
          <w:spacing w:val="-26"/>
          <w:w w:val="95"/>
          <w:sz w:val="18"/>
        </w:rPr>
        <w:t> </w:t>
      </w:r>
      <w:r>
        <w:rPr>
          <w:rFonts w:ascii="Arial"/>
          <w:color w:val="231F20"/>
          <w:w w:val="95"/>
          <w:sz w:val="18"/>
        </w:rPr>
        <w:t>possible </w:t>
      </w:r>
      <w:r>
        <w:rPr>
          <w:rFonts w:ascii="Arial"/>
          <w:color w:val="231F20"/>
          <w:w w:val="90"/>
          <w:sz w:val="18"/>
        </w:rPr>
        <w:t>patterns and associations between cases in a timely</w:t>
      </w:r>
      <w:r>
        <w:rPr>
          <w:rFonts w:ascii="Arial"/>
          <w:color w:val="231F20"/>
          <w:spacing w:val="-22"/>
          <w:w w:val="90"/>
          <w:sz w:val="18"/>
        </w:rPr>
        <w:t> </w:t>
      </w:r>
      <w:r>
        <w:rPr>
          <w:rFonts w:ascii="Arial"/>
          <w:color w:val="231F20"/>
          <w:w w:val="90"/>
          <w:sz w:val="18"/>
        </w:rPr>
        <w:t>fashion.</w:t>
      </w:r>
    </w:p>
    <w:p>
      <w:pPr>
        <w:pStyle w:val="BodyText"/>
        <w:spacing w:before="78"/>
        <w:ind w:left="1800"/>
        <w:rPr>
          <w:rFonts w:ascii="Lucida Sans"/>
        </w:rPr>
      </w:pPr>
      <w:r>
        <w:rPr>
          <w:rFonts w:ascii="Lucida Sans"/>
          <w:color w:val="1C3E94"/>
          <w:w w:val="80"/>
        </w:rPr>
        <w:t>Detection  of clusters/outbreaks</w:t>
      </w:r>
    </w:p>
    <w:p>
      <w:pPr>
        <w:pStyle w:val="ListParagraph"/>
        <w:numPr>
          <w:ilvl w:val="4"/>
          <w:numId w:val="12"/>
        </w:numPr>
        <w:tabs>
          <w:tab w:pos="1972" w:val="left" w:leader="none"/>
        </w:tabs>
        <w:spacing w:line="259" w:lineRule="auto" w:before="16" w:after="0"/>
        <w:ind w:left="1971" w:right="1273" w:hanging="171"/>
        <w:jc w:val="left"/>
        <w:rPr>
          <w:rFonts w:ascii="Arial"/>
          <w:sz w:val="18"/>
        </w:rPr>
      </w:pPr>
      <w:r>
        <w:rPr>
          <w:rFonts w:ascii="Arial"/>
          <w:color w:val="231F20"/>
          <w:w w:val="95"/>
          <w:sz w:val="18"/>
        </w:rPr>
        <w:t>Staff</w:t>
      </w:r>
      <w:r>
        <w:rPr>
          <w:rFonts w:ascii="Arial"/>
          <w:color w:val="231F20"/>
          <w:spacing w:val="-25"/>
          <w:w w:val="95"/>
          <w:sz w:val="18"/>
        </w:rPr>
        <w:t> </w:t>
      </w:r>
      <w:r>
        <w:rPr>
          <w:rFonts w:ascii="Arial"/>
          <w:color w:val="231F20"/>
          <w:w w:val="95"/>
          <w:sz w:val="18"/>
        </w:rPr>
        <w:t>analyze</w:t>
      </w:r>
      <w:r>
        <w:rPr>
          <w:rFonts w:ascii="Arial"/>
          <w:color w:val="231F20"/>
          <w:spacing w:val="-25"/>
          <w:w w:val="95"/>
          <w:sz w:val="18"/>
        </w:rPr>
        <w:t> </w:t>
      </w:r>
      <w:r>
        <w:rPr>
          <w:rFonts w:ascii="Arial"/>
          <w:color w:val="231F20"/>
          <w:w w:val="95"/>
          <w:sz w:val="18"/>
        </w:rPr>
        <w:t>case</w:t>
      </w:r>
      <w:r>
        <w:rPr>
          <w:rFonts w:ascii="Arial"/>
          <w:color w:val="231F20"/>
          <w:spacing w:val="-25"/>
          <w:w w:val="95"/>
          <w:sz w:val="18"/>
        </w:rPr>
        <w:t> </w:t>
      </w:r>
      <w:r>
        <w:rPr>
          <w:rFonts w:ascii="Arial"/>
          <w:color w:val="231F20"/>
          <w:w w:val="95"/>
          <w:sz w:val="18"/>
        </w:rPr>
        <w:t>information</w:t>
      </w:r>
      <w:r>
        <w:rPr>
          <w:rFonts w:ascii="Arial"/>
          <w:color w:val="231F20"/>
          <w:spacing w:val="-25"/>
          <w:w w:val="95"/>
          <w:sz w:val="18"/>
        </w:rPr>
        <w:t> </w:t>
      </w:r>
      <w:r>
        <w:rPr>
          <w:rFonts w:ascii="Arial"/>
          <w:color w:val="231F20"/>
          <w:w w:val="95"/>
          <w:sz w:val="18"/>
        </w:rPr>
        <w:t>(e.g.,</w:t>
      </w:r>
      <w:r>
        <w:rPr>
          <w:rFonts w:ascii="Arial"/>
          <w:color w:val="231F20"/>
          <w:spacing w:val="-25"/>
          <w:w w:val="95"/>
          <w:sz w:val="18"/>
        </w:rPr>
        <w:t> </w:t>
      </w:r>
      <w:r>
        <w:rPr>
          <w:rFonts w:ascii="Arial"/>
          <w:color w:val="231F20"/>
          <w:w w:val="95"/>
          <w:sz w:val="18"/>
        </w:rPr>
        <w:t>demographics,</w:t>
      </w:r>
      <w:r>
        <w:rPr>
          <w:rFonts w:ascii="Arial"/>
          <w:color w:val="231F20"/>
          <w:spacing w:val="-25"/>
          <w:w w:val="95"/>
          <w:sz w:val="18"/>
        </w:rPr>
        <w:t> </w:t>
      </w:r>
      <w:r>
        <w:rPr>
          <w:rFonts w:ascii="Arial"/>
          <w:color w:val="231F20"/>
          <w:w w:val="95"/>
          <w:sz w:val="18"/>
        </w:rPr>
        <w:t>exposure</w:t>
      </w:r>
      <w:r>
        <w:rPr>
          <w:rFonts w:ascii="Arial"/>
          <w:color w:val="231F20"/>
          <w:spacing w:val="-25"/>
          <w:w w:val="95"/>
          <w:sz w:val="18"/>
        </w:rPr>
        <w:t> </w:t>
      </w:r>
      <w:r>
        <w:rPr>
          <w:rFonts w:ascii="Arial"/>
          <w:color w:val="231F20"/>
          <w:w w:val="95"/>
          <w:sz w:val="18"/>
        </w:rPr>
        <w:t>information,</w:t>
      </w:r>
      <w:r>
        <w:rPr>
          <w:rFonts w:ascii="Arial"/>
          <w:color w:val="231F20"/>
          <w:spacing w:val="-25"/>
          <w:w w:val="95"/>
          <w:sz w:val="18"/>
        </w:rPr>
        <w:t> </w:t>
      </w:r>
      <w:r>
        <w:rPr>
          <w:rFonts w:ascii="Arial"/>
          <w:color w:val="231F20"/>
          <w:w w:val="95"/>
          <w:sz w:val="18"/>
        </w:rPr>
        <w:t>agent</w:t>
      </w:r>
      <w:r>
        <w:rPr>
          <w:rFonts w:ascii="Arial"/>
          <w:color w:val="231F20"/>
          <w:spacing w:val="-25"/>
          <w:w w:val="95"/>
          <w:sz w:val="18"/>
        </w:rPr>
        <w:t> </w:t>
      </w:r>
      <w:r>
        <w:rPr>
          <w:rFonts w:ascii="Arial"/>
          <w:color w:val="231F20"/>
          <w:w w:val="95"/>
          <w:sz w:val="18"/>
        </w:rPr>
        <w:t>information including</w:t>
      </w:r>
      <w:r>
        <w:rPr>
          <w:rFonts w:ascii="Arial"/>
          <w:color w:val="231F20"/>
          <w:spacing w:val="-25"/>
          <w:w w:val="95"/>
          <w:sz w:val="18"/>
        </w:rPr>
        <w:t> </w:t>
      </w:r>
      <w:r>
        <w:rPr>
          <w:rFonts w:ascii="Arial"/>
          <w:color w:val="231F20"/>
          <w:w w:val="95"/>
          <w:sz w:val="18"/>
        </w:rPr>
        <w:t>species,</w:t>
      </w:r>
      <w:r>
        <w:rPr>
          <w:rFonts w:ascii="Arial"/>
          <w:color w:val="231F20"/>
          <w:spacing w:val="-25"/>
          <w:w w:val="95"/>
          <w:sz w:val="18"/>
        </w:rPr>
        <w:t> </w:t>
      </w:r>
      <w:r>
        <w:rPr>
          <w:rFonts w:ascii="Arial"/>
          <w:color w:val="231F20"/>
          <w:w w:val="95"/>
          <w:sz w:val="18"/>
        </w:rPr>
        <w:t>serotype,</w:t>
      </w:r>
      <w:r>
        <w:rPr>
          <w:rFonts w:ascii="Arial"/>
          <w:color w:val="231F20"/>
          <w:spacing w:val="-25"/>
          <w:w w:val="95"/>
          <w:sz w:val="18"/>
        </w:rPr>
        <w:t> </w:t>
      </w:r>
      <w:r>
        <w:rPr>
          <w:rFonts w:ascii="Arial"/>
          <w:color w:val="231F20"/>
          <w:w w:val="95"/>
          <w:sz w:val="18"/>
        </w:rPr>
        <w:t>subtype)</w:t>
      </w:r>
      <w:r>
        <w:rPr>
          <w:rFonts w:ascii="Arial"/>
          <w:color w:val="231F20"/>
          <w:spacing w:val="-25"/>
          <w:w w:val="95"/>
          <w:sz w:val="18"/>
        </w:rPr>
        <w:t> </w:t>
      </w:r>
      <w:r>
        <w:rPr>
          <w:rFonts w:ascii="Arial"/>
          <w:color w:val="231F20"/>
          <w:w w:val="95"/>
          <w:sz w:val="18"/>
        </w:rPr>
        <w:t>on</w:t>
      </w:r>
      <w:r>
        <w:rPr>
          <w:rFonts w:ascii="Arial"/>
          <w:color w:val="231F20"/>
          <w:spacing w:val="-25"/>
          <w:w w:val="95"/>
          <w:sz w:val="18"/>
        </w:rPr>
        <w:t> </w:t>
      </w:r>
      <w:r>
        <w:rPr>
          <w:rFonts w:ascii="Arial"/>
          <w:color w:val="231F20"/>
          <w:w w:val="95"/>
          <w:sz w:val="18"/>
        </w:rPr>
        <w:t>a</w:t>
      </w:r>
      <w:r>
        <w:rPr>
          <w:rFonts w:ascii="Arial"/>
          <w:color w:val="231F20"/>
          <w:spacing w:val="-25"/>
          <w:w w:val="95"/>
          <w:sz w:val="18"/>
        </w:rPr>
        <w:t> </w:t>
      </w:r>
      <w:r>
        <w:rPr>
          <w:rFonts w:ascii="Arial"/>
          <w:color w:val="231F20"/>
          <w:w w:val="95"/>
          <w:sz w:val="18"/>
        </w:rPr>
        <w:t>frequent</w:t>
      </w:r>
      <w:r>
        <w:rPr>
          <w:rFonts w:ascii="Arial"/>
          <w:color w:val="231F20"/>
          <w:spacing w:val="-25"/>
          <w:w w:val="95"/>
          <w:sz w:val="18"/>
        </w:rPr>
        <w:t> </w:t>
      </w:r>
      <w:r>
        <w:rPr>
          <w:rFonts w:ascii="Arial"/>
          <w:color w:val="231F20"/>
          <w:w w:val="95"/>
          <w:sz w:val="18"/>
        </w:rPr>
        <w:t>basis</w:t>
      </w:r>
      <w:r>
        <w:rPr>
          <w:rFonts w:ascii="Arial"/>
          <w:color w:val="231F20"/>
          <w:spacing w:val="-25"/>
          <w:w w:val="95"/>
          <w:sz w:val="18"/>
        </w:rPr>
        <w:t> </w:t>
      </w:r>
      <w:r>
        <w:rPr>
          <w:rFonts w:ascii="Arial"/>
          <w:color w:val="231F20"/>
          <w:w w:val="95"/>
          <w:sz w:val="18"/>
        </w:rPr>
        <w:t>to</w:t>
      </w:r>
      <w:r>
        <w:rPr>
          <w:rFonts w:ascii="Arial"/>
          <w:color w:val="231F20"/>
          <w:spacing w:val="-25"/>
          <w:w w:val="95"/>
          <w:sz w:val="18"/>
        </w:rPr>
        <w:t> </w:t>
      </w:r>
      <w:r>
        <w:rPr>
          <w:rFonts w:ascii="Arial"/>
          <w:color w:val="231F20"/>
          <w:w w:val="95"/>
          <w:sz w:val="18"/>
        </w:rPr>
        <w:t>rapidly</w:t>
      </w:r>
      <w:r>
        <w:rPr>
          <w:rFonts w:ascii="Arial"/>
          <w:color w:val="231F20"/>
          <w:spacing w:val="-25"/>
          <w:w w:val="95"/>
          <w:sz w:val="18"/>
        </w:rPr>
        <w:t> </w:t>
      </w:r>
      <w:r>
        <w:rPr>
          <w:rFonts w:ascii="Arial"/>
          <w:color w:val="231F20"/>
          <w:w w:val="95"/>
          <w:sz w:val="18"/>
        </w:rPr>
        <w:t>identify</w:t>
      </w:r>
      <w:r>
        <w:rPr>
          <w:rFonts w:ascii="Arial"/>
          <w:color w:val="231F20"/>
          <w:spacing w:val="-25"/>
          <w:w w:val="95"/>
          <w:sz w:val="18"/>
        </w:rPr>
        <w:t> </w:t>
      </w:r>
      <w:r>
        <w:rPr>
          <w:rFonts w:ascii="Arial"/>
          <w:color w:val="231F20"/>
          <w:w w:val="95"/>
          <w:sz w:val="18"/>
        </w:rPr>
        <w:t>possible</w:t>
      </w:r>
      <w:r>
        <w:rPr>
          <w:rFonts w:ascii="Arial"/>
          <w:color w:val="231F20"/>
          <w:spacing w:val="-25"/>
          <w:w w:val="95"/>
          <w:sz w:val="18"/>
        </w:rPr>
        <w:t> </w:t>
      </w:r>
      <w:r>
        <w:rPr>
          <w:rFonts w:ascii="Arial"/>
          <w:color w:val="231F20"/>
          <w:w w:val="95"/>
          <w:sz w:val="18"/>
        </w:rPr>
        <w:t>clusters</w:t>
      </w:r>
      <w:r>
        <w:rPr>
          <w:rFonts w:ascii="Arial"/>
          <w:color w:val="231F20"/>
          <w:spacing w:val="-25"/>
          <w:w w:val="95"/>
          <w:sz w:val="18"/>
        </w:rPr>
        <w:t> </w:t>
      </w:r>
      <w:r>
        <w:rPr>
          <w:rFonts w:ascii="Arial"/>
          <w:color w:val="231F20"/>
          <w:w w:val="95"/>
          <w:sz w:val="18"/>
        </w:rPr>
        <w:t>or</w:t>
      </w:r>
      <w:r>
        <w:rPr>
          <w:rFonts w:ascii="Arial"/>
          <w:color w:val="231F20"/>
          <w:w w:val="93"/>
          <w:sz w:val="18"/>
        </w:rPr>
        <w:t> </w:t>
      </w:r>
      <w:r>
        <w:rPr>
          <w:rFonts w:ascii="Arial"/>
          <w:color w:val="231F20"/>
          <w:sz w:val="18"/>
        </w:rPr>
        <w:t>outbreaks.</w:t>
      </w:r>
    </w:p>
    <w:p>
      <w:pPr>
        <w:pStyle w:val="BodyText"/>
        <w:spacing w:before="74"/>
        <w:ind w:left="1800"/>
        <w:rPr>
          <w:rFonts w:ascii="Lucida Sans"/>
        </w:rPr>
      </w:pPr>
      <w:r>
        <w:rPr>
          <w:rFonts w:ascii="Lucida Sans"/>
          <w:color w:val="1C3E94"/>
          <w:w w:val="95"/>
        </w:rPr>
        <w:t>Communication</w:t>
      </w:r>
    </w:p>
    <w:p>
      <w:pPr>
        <w:pStyle w:val="ListParagraph"/>
        <w:numPr>
          <w:ilvl w:val="4"/>
          <w:numId w:val="12"/>
        </w:numPr>
        <w:tabs>
          <w:tab w:pos="1972" w:val="left" w:leader="none"/>
        </w:tabs>
        <w:spacing w:line="240" w:lineRule="auto" w:before="16" w:after="0"/>
        <w:ind w:left="1971" w:right="0" w:hanging="171"/>
        <w:jc w:val="left"/>
        <w:rPr>
          <w:rFonts w:ascii="Arial"/>
          <w:sz w:val="18"/>
        </w:rPr>
      </w:pPr>
      <w:r>
        <w:rPr>
          <w:rFonts w:ascii="Arial"/>
          <w:color w:val="231F20"/>
          <w:w w:val="95"/>
          <w:sz w:val="18"/>
        </w:rPr>
        <w:t>Public</w:t>
      </w:r>
      <w:r>
        <w:rPr>
          <w:rFonts w:ascii="Arial"/>
          <w:color w:val="231F20"/>
          <w:spacing w:val="-26"/>
          <w:w w:val="95"/>
          <w:sz w:val="18"/>
        </w:rPr>
        <w:t> </w:t>
      </w:r>
      <w:r>
        <w:rPr>
          <w:rFonts w:ascii="Arial"/>
          <w:color w:val="231F20"/>
          <w:w w:val="95"/>
          <w:sz w:val="18"/>
        </w:rPr>
        <w:t>health</w:t>
      </w:r>
      <w:r>
        <w:rPr>
          <w:rFonts w:ascii="Arial"/>
          <w:color w:val="231F20"/>
          <w:spacing w:val="-26"/>
          <w:w w:val="95"/>
          <w:sz w:val="18"/>
        </w:rPr>
        <w:t> </w:t>
      </w:r>
      <w:r>
        <w:rPr>
          <w:rFonts w:ascii="Arial"/>
          <w:color w:val="231F20"/>
          <w:w w:val="95"/>
          <w:sz w:val="18"/>
        </w:rPr>
        <w:t>laboratory</w:t>
      </w:r>
      <w:r>
        <w:rPr>
          <w:rFonts w:ascii="Arial"/>
          <w:color w:val="231F20"/>
          <w:spacing w:val="-26"/>
          <w:w w:val="95"/>
          <w:sz w:val="18"/>
        </w:rPr>
        <w:t> </w:t>
      </w:r>
      <w:r>
        <w:rPr>
          <w:rFonts w:ascii="Arial"/>
          <w:color w:val="231F20"/>
          <w:w w:val="95"/>
          <w:sz w:val="18"/>
        </w:rPr>
        <w:t>shares</w:t>
      </w:r>
      <w:r>
        <w:rPr>
          <w:rFonts w:ascii="Arial"/>
          <w:color w:val="231F20"/>
          <w:spacing w:val="-26"/>
          <w:w w:val="95"/>
          <w:sz w:val="18"/>
        </w:rPr>
        <w:t> </w:t>
      </w:r>
      <w:r>
        <w:rPr>
          <w:rFonts w:ascii="Arial"/>
          <w:color w:val="231F20"/>
          <w:w w:val="95"/>
          <w:sz w:val="18"/>
        </w:rPr>
        <w:t>test</w:t>
      </w:r>
      <w:r>
        <w:rPr>
          <w:rFonts w:ascii="Arial"/>
          <w:color w:val="231F20"/>
          <w:spacing w:val="-26"/>
          <w:w w:val="95"/>
          <w:sz w:val="18"/>
        </w:rPr>
        <w:t> </w:t>
      </w:r>
      <w:r>
        <w:rPr>
          <w:rFonts w:ascii="Arial"/>
          <w:color w:val="231F20"/>
          <w:w w:val="95"/>
          <w:sz w:val="18"/>
        </w:rPr>
        <w:t>results</w:t>
      </w:r>
      <w:r>
        <w:rPr>
          <w:rFonts w:ascii="Arial"/>
          <w:color w:val="231F20"/>
          <w:spacing w:val="-26"/>
          <w:w w:val="95"/>
          <w:sz w:val="18"/>
        </w:rPr>
        <w:t> </w:t>
      </w:r>
      <w:r>
        <w:rPr>
          <w:rFonts w:ascii="Arial"/>
          <w:color w:val="231F20"/>
          <w:w w:val="95"/>
          <w:sz w:val="18"/>
        </w:rPr>
        <w:t>with</w:t>
      </w:r>
      <w:r>
        <w:rPr>
          <w:rFonts w:ascii="Arial"/>
          <w:color w:val="231F20"/>
          <w:spacing w:val="-26"/>
          <w:w w:val="95"/>
          <w:sz w:val="18"/>
        </w:rPr>
        <w:t> </w:t>
      </w:r>
      <w:r>
        <w:rPr>
          <w:rFonts w:ascii="Arial"/>
          <w:color w:val="231F20"/>
          <w:w w:val="95"/>
          <w:sz w:val="18"/>
        </w:rPr>
        <w:t>epidemiology</w:t>
      </w:r>
      <w:r>
        <w:rPr>
          <w:rFonts w:ascii="Arial"/>
          <w:color w:val="231F20"/>
          <w:spacing w:val="-26"/>
          <w:w w:val="95"/>
          <w:sz w:val="18"/>
        </w:rPr>
        <w:t> </w:t>
      </w:r>
      <w:r>
        <w:rPr>
          <w:rFonts w:ascii="Arial"/>
          <w:color w:val="231F20"/>
          <w:w w:val="95"/>
          <w:sz w:val="18"/>
        </w:rPr>
        <w:t>staff</w:t>
      </w:r>
      <w:r>
        <w:rPr>
          <w:rFonts w:ascii="Arial"/>
          <w:color w:val="231F20"/>
          <w:spacing w:val="-26"/>
          <w:w w:val="95"/>
          <w:sz w:val="18"/>
        </w:rPr>
        <w:t> </w:t>
      </w:r>
      <w:r>
        <w:rPr>
          <w:rFonts w:ascii="Arial"/>
          <w:color w:val="231F20"/>
          <w:w w:val="95"/>
          <w:sz w:val="18"/>
        </w:rPr>
        <w:t>in</w:t>
      </w:r>
      <w:r>
        <w:rPr>
          <w:rFonts w:ascii="Arial"/>
          <w:color w:val="231F20"/>
          <w:spacing w:val="-26"/>
          <w:w w:val="95"/>
          <w:sz w:val="18"/>
        </w:rPr>
        <w:t> </w:t>
      </w:r>
      <w:r>
        <w:rPr>
          <w:rFonts w:ascii="Arial"/>
          <w:color w:val="231F20"/>
          <w:w w:val="95"/>
          <w:sz w:val="18"/>
        </w:rPr>
        <w:t>a</w:t>
      </w:r>
      <w:r>
        <w:rPr>
          <w:rFonts w:ascii="Arial"/>
          <w:color w:val="231F20"/>
          <w:spacing w:val="-26"/>
          <w:w w:val="95"/>
          <w:sz w:val="18"/>
        </w:rPr>
        <w:t> </w:t>
      </w:r>
      <w:r>
        <w:rPr>
          <w:rFonts w:ascii="Arial"/>
          <w:color w:val="231F20"/>
          <w:w w:val="95"/>
          <w:sz w:val="18"/>
        </w:rPr>
        <w:t>timely</w:t>
      </w:r>
      <w:r>
        <w:rPr>
          <w:rFonts w:ascii="Arial"/>
          <w:color w:val="231F20"/>
          <w:spacing w:val="-26"/>
          <w:w w:val="95"/>
          <w:sz w:val="18"/>
        </w:rPr>
        <w:t> </w:t>
      </w:r>
      <w:r>
        <w:rPr>
          <w:rFonts w:ascii="Arial"/>
          <w:color w:val="231F20"/>
          <w:w w:val="95"/>
          <w:sz w:val="18"/>
        </w:rPr>
        <w:t>fashion.</w:t>
      </w:r>
    </w:p>
    <w:p>
      <w:pPr>
        <w:pStyle w:val="ListParagraph"/>
        <w:numPr>
          <w:ilvl w:val="4"/>
          <w:numId w:val="12"/>
        </w:numPr>
        <w:tabs>
          <w:tab w:pos="1972" w:val="left" w:leader="none"/>
        </w:tabs>
        <w:spacing w:line="240" w:lineRule="auto" w:before="10" w:after="0"/>
        <w:ind w:left="1971" w:right="0" w:hanging="171"/>
        <w:jc w:val="left"/>
        <w:rPr>
          <w:rFonts w:ascii="Arial"/>
          <w:sz w:val="18"/>
        </w:rPr>
      </w:pPr>
      <w:r>
        <w:rPr>
          <w:rFonts w:ascii="Arial"/>
          <w:color w:val="231F20"/>
          <w:w w:val="95"/>
          <w:sz w:val="18"/>
        </w:rPr>
        <w:t>Public</w:t>
      </w:r>
      <w:r>
        <w:rPr>
          <w:rFonts w:ascii="Arial"/>
          <w:color w:val="231F20"/>
          <w:spacing w:val="-26"/>
          <w:w w:val="95"/>
          <w:sz w:val="18"/>
        </w:rPr>
        <w:t> </w:t>
      </w:r>
      <w:r>
        <w:rPr>
          <w:rFonts w:ascii="Arial"/>
          <w:color w:val="231F20"/>
          <w:w w:val="95"/>
          <w:sz w:val="18"/>
        </w:rPr>
        <w:t>health</w:t>
      </w:r>
      <w:r>
        <w:rPr>
          <w:rFonts w:ascii="Arial"/>
          <w:color w:val="231F20"/>
          <w:spacing w:val="-26"/>
          <w:w w:val="95"/>
          <w:sz w:val="18"/>
        </w:rPr>
        <w:t> </w:t>
      </w:r>
      <w:r>
        <w:rPr>
          <w:rFonts w:ascii="Arial"/>
          <w:color w:val="231F20"/>
          <w:w w:val="95"/>
          <w:sz w:val="18"/>
        </w:rPr>
        <w:t>laboratory</w:t>
      </w:r>
      <w:r>
        <w:rPr>
          <w:rFonts w:ascii="Arial"/>
          <w:color w:val="231F20"/>
          <w:spacing w:val="-26"/>
          <w:w w:val="95"/>
          <w:sz w:val="18"/>
        </w:rPr>
        <w:t> </w:t>
      </w:r>
      <w:r>
        <w:rPr>
          <w:rFonts w:ascii="Arial"/>
          <w:color w:val="231F20"/>
          <w:w w:val="95"/>
          <w:sz w:val="18"/>
        </w:rPr>
        <w:t>reports</w:t>
      </w:r>
      <w:r>
        <w:rPr>
          <w:rFonts w:ascii="Arial"/>
          <w:color w:val="231F20"/>
          <w:spacing w:val="-26"/>
          <w:w w:val="95"/>
          <w:sz w:val="18"/>
        </w:rPr>
        <w:t> </w:t>
      </w:r>
      <w:r>
        <w:rPr>
          <w:rFonts w:ascii="Arial"/>
          <w:color w:val="231F20"/>
          <w:w w:val="95"/>
          <w:sz w:val="18"/>
        </w:rPr>
        <w:t>test</w:t>
      </w:r>
      <w:r>
        <w:rPr>
          <w:rFonts w:ascii="Arial"/>
          <w:color w:val="231F20"/>
          <w:spacing w:val="-26"/>
          <w:w w:val="95"/>
          <w:sz w:val="18"/>
        </w:rPr>
        <w:t> </w:t>
      </w:r>
      <w:r>
        <w:rPr>
          <w:rFonts w:ascii="Arial"/>
          <w:color w:val="231F20"/>
          <w:w w:val="95"/>
          <w:sz w:val="18"/>
        </w:rPr>
        <w:t>results</w:t>
      </w:r>
      <w:r>
        <w:rPr>
          <w:rFonts w:ascii="Arial"/>
          <w:color w:val="231F20"/>
          <w:spacing w:val="-26"/>
          <w:w w:val="95"/>
          <w:sz w:val="18"/>
        </w:rPr>
        <w:t> </w:t>
      </w:r>
      <w:r>
        <w:rPr>
          <w:rFonts w:ascii="Arial"/>
          <w:color w:val="231F20"/>
          <w:w w:val="95"/>
          <w:sz w:val="18"/>
        </w:rPr>
        <w:t>to</w:t>
      </w:r>
      <w:r>
        <w:rPr>
          <w:rFonts w:ascii="Arial"/>
          <w:color w:val="231F20"/>
          <w:spacing w:val="-26"/>
          <w:w w:val="95"/>
          <w:sz w:val="18"/>
        </w:rPr>
        <w:t> </w:t>
      </w:r>
      <w:r>
        <w:rPr>
          <w:rFonts w:ascii="Arial"/>
          <w:color w:val="231F20"/>
          <w:w w:val="95"/>
          <w:sz w:val="18"/>
        </w:rPr>
        <w:t>national</w:t>
      </w:r>
      <w:r>
        <w:rPr>
          <w:rFonts w:ascii="Arial"/>
          <w:color w:val="231F20"/>
          <w:spacing w:val="-26"/>
          <w:w w:val="95"/>
          <w:sz w:val="18"/>
        </w:rPr>
        <w:t> </w:t>
      </w:r>
      <w:r>
        <w:rPr>
          <w:rFonts w:ascii="Arial"/>
          <w:color w:val="231F20"/>
          <w:w w:val="95"/>
          <w:sz w:val="18"/>
        </w:rPr>
        <w:t>databases</w:t>
      </w:r>
      <w:r>
        <w:rPr>
          <w:rFonts w:ascii="Arial"/>
          <w:color w:val="231F20"/>
          <w:spacing w:val="-26"/>
          <w:w w:val="95"/>
          <w:sz w:val="18"/>
        </w:rPr>
        <w:t> </w:t>
      </w:r>
      <w:r>
        <w:rPr>
          <w:rFonts w:ascii="Arial"/>
          <w:color w:val="231F20"/>
          <w:w w:val="95"/>
          <w:sz w:val="18"/>
        </w:rPr>
        <w:t>in</w:t>
      </w:r>
      <w:r>
        <w:rPr>
          <w:rFonts w:ascii="Arial"/>
          <w:color w:val="231F20"/>
          <w:spacing w:val="-26"/>
          <w:w w:val="95"/>
          <w:sz w:val="18"/>
        </w:rPr>
        <w:t> </w:t>
      </w:r>
      <w:r>
        <w:rPr>
          <w:rFonts w:ascii="Arial"/>
          <w:color w:val="231F20"/>
          <w:w w:val="95"/>
          <w:sz w:val="18"/>
        </w:rPr>
        <w:t>a</w:t>
      </w:r>
      <w:r>
        <w:rPr>
          <w:rFonts w:ascii="Arial"/>
          <w:color w:val="231F20"/>
          <w:spacing w:val="-26"/>
          <w:w w:val="95"/>
          <w:sz w:val="18"/>
        </w:rPr>
        <w:t> </w:t>
      </w:r>
      <w:r>
        <w:rPr>
          <w:rFonts w:ascii="Arial"/>
          <w:color w:val="231F20"/>
          <w:w w:val="95"/>
          <w:sz w:val="18"/>
        </w:rPr>
        <w:t>timely</w:t>
      </w:r>
      <w:r>
        <w:rPr>
          <w:rFonts w:ascii="Arial"/>
          <w:color w:val="231F20"/>
          <w:spacing w:val="-26"/>
          <w:w w:val="95"/>
          <w:sz w:val="18"/>
        </w:rPr>
        <w:t> </w:t>
      </w:r>
      <w:r>
        <w:rPr>
          <w:rFonts w:ascii="Arial"/>
          <w:color w:val="231F20"/>
          <w:w w:val="95"/>
          <w:sz w:val="18"/>
        </w:rPr>
        <w:t>fashion.</w:t>
      </w:r>
    </w:p>
    <w:p>
      <w:pPr>
        <w:pStyle w:val="BodyText"/>
        <w:spacing w:before="80"/>
        <w:ind w:left="1800"/>
        <w:rPr>
          <w:rFonts w:ascii="Lucida Sans"/>
        </w:rPr>
      </w:pPr>
      <w:r>
        <w:rPr>
          <w:rFonts w:ascii="Lucida Sans"/>
          <w:color w:val="1C3E94"/>
          <w:w w:val="85"/>
        </w:rPr>
        <w:t>Making changes</w:t>
      </w:r>
    </w:p>
    <w:p>
      <w:pPr>
        <w:pStyle w:val="ListParagraph"/>
        <w:numPr>
          <w:ilvl w:val="4"/>
          <w:numId w:val="12"/>
        </w:numPr>
        <w:tabs>
          <w:tab w:pos="1972" w:val="left" w:leader="none"/>
        </w:tabs>
        <w:spacing w:line="254" w:lineRule="auto" w:before="16" w:after="0"/>
        <w:ind w:left="1971" w:right="1420" w:hanging="171"/>
        <w:jc w:val="left"/>
        <w:rPr>
          <w:rFonts w:ascii="Arial"/>
          <w:sz w:val="18"/>
        </w:rPr>
      </w:pPr>
      <w:r>
        <w:rPr>
          <w:rFonts w:ascii="Arial"/>
          <w:color w:val="231F20"/>
          <w:w w:val="90"/>
          <w:sz w:val="18"/>
        </w:rPr>
        <w:t>Agency/jurisdiction has performance indicators related to pathogen-specific surveillance and </w:t>
      </w:r>
      <w:r>
        <w:rPr>
          <w:rFonts w:ascii="Arial"/>
          <w:color w:val="231F20"/>
          <w:w w:val="95"/>
          <w:sz w:val="18"/>
        </w:rPr>
        <w:t>routinely</w:t>
      </w:r>
      <w:r>
        <w:rPr>
          <w:rFonts w:ascii="Arial"/>
          <w:color w:val="231F20"/>
          <w:spacing w:val="-33"/>
          <w:w w:val="95"/>
          <w:sz w:val="18"/>
        </w:rPr>
        <w:t> </w:t>
      </w:r>
      <w:r>
        <w:rPr>
          <w:rFonts w:ascii="Arial"/>
          <w:color w:val="231F20"/>
          <w:w w:val="95"/>
          <w:sz w:val="18"/>
        </w:rPr>
        <w:t>evaluates</w:t>
      </w:r>
      <w:r>
        <w:rPr>
          <w:rFonts w:ascii="Arial"/>
          <w:color w:val="231F20"/>
          <w:spacing w:val="-33"/>
          <w:w w:val="95"/>
          <w:sz w:val="18"/>
        </w:rPr>
        <w:t> </w:t>
      </w:r>
      <w:r>
        <w:rPr>
          <w:rFonts w:ascii="Arial"/>
          <w:color w:val="231F20"/>
          <w:w w:val="95"/>
          <w:sz w:val="18"/>
        </w:rPr>
        <w:t>its</w:t>
      </w:r>
      <w:r>
        <w:rPr>
          <w:rFonts w:ascii="Arial"/>
          <w:color w:val="231F20"/>
          <w:spacing w:val="-33"/>
          <w:w w:val="95"/>
          <w:sz w:val="18"/>
        </w:rPr>
        <w:t> </w:t>
      </w:r>
      <w:r>
        <w:rPr>
          <w:rFonts w:ascii="Arial"/>
          <w:color w:val="231F20"/>
          <w:w w:val="95"/>
          <w:sz w:val="18"/>
        </w:rPr>
        <w:t>performance</w:t>
      </w:r>
      <w:r>
        <w:rPr>
          <w:rFonts w:ascii="Arial"/>
          <w:color w:val="231F20"/>
          <w:spacing w:val="-33"/>
          <w:w w:val="95"/>
          <w:sz w:val="18"/>
        </w:rPr>
        <w:t> </w:t>
      </w:r>
      <w:r>
        <w:rPr>
          <w:rFonts w:ascii="Arial"/>
          <w:color w:val="231F20"/>
          <w:w w:val="95"/>
          <w:sz w:val="18"/>
        </w:rPr>
        <w:t>in</w:t>
      </w:r>
      <w:r>
        <w:rPr>
          <w:rFonts w:ascii="Arial"/>
          <w:color w:val="231F20"/>
          <w:spacing w:val="-33"/>
          <w:w w:val="95"/>
          <w:sz w:val="18"/>
        </w:rPr>
        <w:t> </w:t>
      </w:r>
      <w:r>
        <w:rPr>
          <w:rFonts w:ascii="Arial"/>
          <w:color w:val="231F20"/>
          <w:w w:val="95"/>
          <w:sz w:val="18"/>
        </w:rPr>
        <w:t>this</w:t>
      </w:r>
      <w:r>
        <w:rPr>
          <w:rFonts w:ascii="Arial"/>
          <w:color w:val="231F20"/>
          <w:spacing w:val="-33"/>
          <w:w w:val="95"/>
          <w:sz w:val="18"/>
        </w:rPr>
        <w:t> </w:t>
      </w:r>
      <w:r>
        <w:rPr>
          <w:rFonts w:ascii="Arial"/>
          <w:color w:val="231F20"/>
          <w:w w:val="95"/>
          <w:sz w:val="18"/>
        </w:rPr>
        <w:t>Focus</w:t>
      </w:r>
      <w:r>
        <w:rPr>
          <w:rFonts w:ascii="Arial"/>
          <w:color w:val="231F20"/>
          <w:spacing w:val="-33"/>
          <w:w w:val="95"/>
          <w:sz w:val="18"/>
        </w:rPr>
        <w:t> </w:t>
      </w:r>
      <w:r>
        <w:rPr>
          <w:rFonts w:ascii="Arial"/>
          <w:color w:val="231F20"/>
          <w:w w:val="95"/>
          <w:sz w:val="18"/>
        </w:rPr>
        <w:t>Area.</w:t>
      </w:r>
    </w:p>
    <w:p>
      <w:pPr>
        <w:spacing w:after="0" w:line="254" w:lineRule="auto"/>
        <w:jc w:val="left"/>
        <w:rPr>
          <w:rFonts w:ascii="Arial"/>
          <w:sz w:val="18"/>
        </w:rPr>
        <w:sectPr>
          <w:type w:val="continuous"/>
          <w:pgSz w:w="10080" w:h="14400"/>
          <w:pgMar w:top="0" w:bottom="0" w:left="0" w:right="0"/>
        </w:sectPr>
      </w:pPr>
    </w:p>
    <w:p>
      <w:pPr>
        <w:pStyle w:val="BodyText"/>
        <w:spacing w:before="2"/>
        <w:rPr>
          <w:rFonts w:ascii="Arial"/>
          <w:sz w:val="26"/>
        </w:rPr>
      </w:pPr>
    </w:p>
    <w:p>
      <w:pPr>
        <w:pStyle w:val="Heading1"/>
        <w:numPr>
          <w:ilvl w:val="1"/>
          <w:numId w:val="13"/>
        </w:numPr>
        <w:tabs>
          <w:tab w:pos="1265" w:val="left" w:leader="none"/>
        </w:tabs>
        <w:spacing w:line="240" w:lineRule="auto" w:before="89" w:after="0"/>
        <w:ind w:left="1264" w:right="0" w:hanging="544"/>
        <w:jc w:val="left"/>
      </w:pPr>
      <w:r>
        <w:rPr/>
        <w:pict>
          <v:line style="position:absolute;mso-position-horizontal-relative:page;mso-position-vertical-relative:paragraph;z-index:3232;mso-wrap-distance-left:0;mso-wrap-distance-right:0" from="36pt,23.995163pt" to="432pt,23.995163pt" stroked="true" strokeweight=".5pt" strokecolor="#00a94f">
            <v:stroke dashstyle="solid"/>
            <w10:wrap type="topAndBottom"/>
          </v:line>
        </w:pict>
      </w:r>
      <w:r>
        <w:rPr>
          <w:color w:val="00A94F"/>
          <w:w w:val="95"/>
        </w:rPr>
        <w:t>Pathogen-Specific</w:t>
      </w:r>
      <w:r>
        <w:rPr>
          <w:color w:val="00A94F"/>
          <w:spacing w:val="-36"/>
          <w:w w:val="95"/>
        </w:rPr>
        <w:t> </w:t>
      </w:r>
      <w:r>
        <w:rPr>
          <w:color w:val="00A94F"/>
          <w:w w:val="95"/>
        </w:rPr>
        <w:t>Surveillance</w:t>
      </w:r>
    </w:p>
    <w:p>
      <w:pPr>
        <w:pStyle w:val="BodyText"/>
        <w:spacing w:before="7"/>
        <w:rPr>
          <w:rFonts w:ascii="Lucida Sans"/>
          <w:sz w:val="18"/>
        </w:rPr>
      </w:pPr>
    </w:p>
    <w:p>
      <w:pPr>
        <w:spacing w:after="0"/>
        <w:rPr>
          <w:rFonts w:ascii="Lucida Sans"/>
          <w:sz w:val="18"/>
        </w:rPr>
        <w:sectPr>
          <w:pgSz w:w="10080" w:h="14400"/>
          <w:pgMar w:header="0" w:footer="0" w:top="980" w:bottom="280" w:left="0" w:right="0"/>
        </w:sectPr>
      </w:pPr>
    </w:p>
    <w:p>
      <w:pPr>
        <w:pStyle w:val="ListParagraph"/>
        <w:numPr>
          <w:ilvl w:val="2"/>
          <w:numId w:val="13"/>
        </w:numPr>
        <w:tabs>
          <w:tab w:pos="1388" w:val="left" w:leader="none"/>
        </w:tabs>
        <w:spacing w:line="254" w:lineRule="auto" w:before="92" w:after="0"/>
        <w:ind w:left="720" w:right="102" w:firstLine="0"/>
        <w:jc w:val="left"/>
        <w:rPr>
          <w:rFonts w:ascii="Lucida Sans"/>
          <w:sz w:val="20"/>
        </w:rPr>
      </w:pPr>
      <w:r>
        <w:rPr>
          <w:rFonts w:ascii="Lucida Sans"/>
          <w:color w:val="1C3E94"/>
          <w:w w:val="90"/>
          <w:sz w:val="20"/>
        </w:rPr>
        <w:t>Multijurisdictional Considerations </w:t>
      </w:r>
      <w:r>
        <w:rPr>
          <w:rFonts w:ascii="Lucida Sans"/>
          <w:color w:val="1C3E94"/>
          <w:w w:val="95"/>
          <w:sz w:val="20"/>
        </w:rPr>
        <w:t>for Pathogen-Specific</w:t>
      </w:r>
      <w:r>
        <w:rPr>
          <w:rFonts w:ascii="Lucida Sans"/>
          <w:color w:val="1C3E94"/>
          <w:spacing w:val="-43"/>
          <w:w w:val="95"/>
          <w:sz w:val="20"/>
        </w:rPr>
        <w:t> </w:t>
      </w:r>
      <w:r>
        <w:rPr>
          <w:rFonts w:ascii="Lucida Sans"/>
          <w:color w:val="1C3E94"/>
          <w:w w:val="95"/>
          <w:sz w:val="20"/>
        </w:rPr>
        <w:t>Surveillance</w:t>
      </w:r>
    </w:p>
    <w:p>
      <w:pPr>
        <w:pStyle w:val="BodyText"/>
        <w:rPr>
          <w:rFonts w:ascii="Lucida Sans"/>
          <w:sz w:val="17"/>
        </w:rPr>
      </w:pPr>
    </w:p>
    <w:p>
      <w:pPr>
        <w:pStyle w:val="BodyText"/>
        <w:spacing w:line="266" w:lineRule="auto" w:before="1"/>
        <w:ind w:left="720"/>
      </w:pPr>
      <w:r>
        <w:rPr>
          <w:color w:val="231F20"/>
          <w:w w:val="105"/>
        </w:rPr>
        <w:t>Because pathogen-specific surveillance does not</w:t>
      </w:r>
      <w:r>
        <w:rPr>
          <w:color w:val="231F20"/>
          <w:spacing w:val="-16"/>
          <w:w w:val="105"/>
        </w:rPr>
        <w:t> </w:t>
      </w:r>
      <w:r>
        <w:rPr>
          <w:color w:val="231F20"/>
          <w:w w:val="105"/>
        </w:rPr>
        <w:t>depend</w:t>
      </w:r>
      <w:r>
        <w:rPr>
          <w:color w:val="231F20"/>
          <w:spacing w:val="-16"/>
          <w:w w:val="105"/>
        </w:rPr>
        <w:t> </w:t>
      </w:r>
      <w:r>
        <w:rPr>
          <w:color w:val="231F20"/>
          <w:w w:val="105"/>
        </w:rPr>
        <w:t>on</w:t>
      </w:r>
      <w:r>
        <w:rPr>
          <w:color w:val="231F20"/>
          <w:spacing w:val="-16"/>
          <w:w w:val="105"/>
        </w:rPr>
        <w:t> </w:t>
      </w:r>
      <w:r>
        <w:rPr>
          <w:color w:val="231F20"/>
          <w:w w:val="105"/>
        </w:rPr>
        <w:t>geographic</w:t>
      </w:r>
      <w:r>
        <w:rPr>
          <w:color w:val="231F20"/>
          <w:spacing w:val="-16"/>
          <w:w w:val="105"/>
        </w:rPr>
        <w:t> </w:t>
      </w:r>
      <w:r>
        <w:rPr>
          <w:color w:val="231F20"/>
          <w:w w:val="105"/>
        </w:rPr>
        <w:t>clustering,</w:t>
      </w:r>
      <w:r>
        <w:rPr>
          <w:color w:val="231F20"/>
          <w:spacing w:val="-16"/>
          <w:w w:val="105"/>
        </w:rPr>
        <w:t> </w:t>
      </w:r>
      <w:r>
        <w:rPr>
          <w:color w:val="231F20"/>
          <w:w w:val="105"/>
        </w:rPr>
        <w:t>it</w:t>
      </w:r>
      <w:r>
        <w:rPr>
          <w:color w:val="231F20"/>
          <w:spacing w:val="-16"/>
          <w:w w:val="105"/>
        </w:rPr>
        <w:t> </w:t>
      </w:r>
      <w:r>
        <w:rPr>
          <w:color w:val="231F20"/>
          <w:w w:val="105"/>
        </w:rPr>
        <w:t>is</w:t>
      </w:r>
      <w:r>
        <w:rPr>
          <w:color w:val="231F20"/>
          <w:spacing w:val="-16"/>
          <w:w w:val="105"/>
        </w:rPr>
        <w:t> </w:t>
      </w:r>
      <w:r>
        <w:rPr>
          <w:color w:val="231F20"/>
          <w:w w:val="105"/>
        </w:rPr>
        <w:t>more sensitive to detection of widespread, low-level contamination</w:t>
      </w:r>
      <w:r>
        <w:rPr>
          <w:color w:val="231F20"/>
          <w:spacing w:val="-27"/>
          <w:w w:val="105"/>
        </w:rPr>
        <w:t> </w:t>
      </w:r>
      <w:r>
        <w:rPr>
          <w:color w:val="231F20"/>
          <w:w w:val="105"/>
        </w:rPr>
        <w:t>events</w:t>
      </w:r>
      <w:r>
        <w:rPr>
          <w:color w:val="231F20"/>
          <w:spacing w:val="-27"/>
          <w:w w:val="105"/>
        </w:rPr>
        <w:t> </w:t>
      </w:r>
      <w:r>
        <w:rPr>
          <w:color w:val="231F20"/>
          <w:w w:val="105"/>
        </w:rPr>
        <w:t>than</w:t>
      </w:r>
      <w:r>
        <w:rPr>
          <w:color w:val="231F20"/>
          <w:spacing w:val="-27"/>
          <w:w w:val="105"/>
        </w:rPr>
        <w:t> </w:t>
      </w:r>
      <w:r>
        <w:rPr>
          <w:color w:val="231F20"/>
          <w:w w:val="105"/>
        </w:rPr>
        <w:t>surveillance</w:t>
      </w:r>
      <w:r>
        <w:rPr>
          <w:color w:val="231F20"/>
          <w:spacing w:val="-27"/>
          <w:w w:val="105"/>
        </w:rPr>
        <w:t> </w:t>
      </w:r>
      <w:r>
        <w:rPr>
          <w:color w:val="231F20"/>
          <w:w w:val="105"/>
        </w:rPr>
        <w:t>through complaint systems. Outbreaks detected </w:t>
      </w:r>
      <w:r>
        <w:rPr>
          <w:color w:val="231F20"/>
          <w:spacing w:val="-3"/>
          <w:w w:val="105"/>
        </w:rPr>
        <w:t>by </w:t>
      </w:r>
      <w:r>
        <w:rPr>
          <w:color w:val="231F20"/>
          <w:w w:val="105"/>
        </w:rPr>
        <w:t>pathogen-specific surveillance are more likely to span multiple jurisdictions. See Chapter 7 </w:t>
      </w:r>
      <w:r>
        <w:rPr>
          <w:color w:val="231F20"/>
        </w:rPr>
        <w:t>for Multijurisdictional Investigation </w:t>
      </w:r>
      <w:r>
        <w:rPr>
          <w:color w:val="231F20"/>
          <w:spacing w:val="19"/>
        </w:rPr>
        <w:t> </w:t>
      </w:r>
      <w:r>
        <w:rPr>
          <w:color w:val="231F20"/>
        </w:rPr>
        <w:t>Guidelines.</w:t>
      </w:r>
    </w:p>
    <w:p>
      <w:pPr>
        <w:pStyle w:val="BodyText"/>
        <w:spacing w:before="8"/>
        <w:rPr>
          <w:sz w:val="24"/>
        </w:rPr>
      </w:pPr>
    </w:p>
    <w:p>
      <w:pPr>
        <w:pStyle w:val="Heading1"/>
        <w:numPr>
          <w:ilvl w:val="1"/>
          <w:numId w:val="14"/>
        </w:numPr>
        <w:tabs>
          <w:tab w:pos="1265" w:val="left" w:leader="none"/>
        </w:tabs>
        <w:spacing w:line="240" w:lineRule="auto" w:before="0" w:after="0"/>
        <w:ind w:left="1264" w:right="0" w:hanging="544"/>
        <w:jc w:val="left"/>
      </w:pPr>
      <w:r>
        <w:rPr/>
        <w:pict>
          <v:line style="position:absolute;mso-position-horizontal-relative:page;mso-position-vertical-relative:paragraph;z-index:3304" from="36pt,19.545155pt" to="432pt,19.545155pt" stroked="true" strokeweight=".5pt" strokecolor="#00a94f">
            <v:stroke dashstyle="solid"/>
            <w10:wrap type="none"/>
          </v:line>
        </w:pict>
      </w:r>
      <w:r>
        <w:rPr>
          <w:color w:val="00A94F"/>
          <w:w w:val="95"/>
        </w:rPr>
        <w:t>Complaint</w:t>
      </w:r>
      <w:r>
        <w:rPr>
          <w:color w:val="00A94F"/>
          <w:spacing w:val="-56"/>
          <w:w w:val="95"/>
        </w:rPr>
        <w:t> </w:t>
      </w:r>
      <w:r>
        <w:rPr>
          <w:color w:val="00A94F"/>
          <w:w w:val="95"/>
        </w:rPr>
        <w:t>Systems</w:t>
      </w:r>
    </w:p>
    <w:p>
      <w:pPr>
        <w:pStyle w:val="ListParagraph"/>
        <w:numPr>
          <w:ilvl w:val="2"/>
          <w:numId w:val="14"/>
        </w:numPr>
        <w:tabs>
          <w:tab w:pos="1276" w:val="left" w:leader="none"/>
        </w:tabs>
        <w:spacing w:line="240" w:lineRule="auto" w:before="262" w:after="0"/>
        <w:ind w:left="1276" w:right="0" w:hanging="556"/>
        <w:jc w:val="left"/>
        <w:rPr>
          <w:rFonts w:ascii="Lucida Sans"/>
          <w:sz w:val="20"/>
        </w:rPr>
      </w:pPr>
      <w:r>
        <w:rPr>
          <w:rFonts w:ascii="Lucida Sans"/>
          <w:color w:val="1C3E94"/>
          <w:sz w:val="20"/>
        </w:rPr>
        <w:t>Purpose</w:t>
      </w:r>
    </w:p>
    <w:p>
      <w:pPr>
        <w:pStyle w:val="BodyText"/>
        <w:spacing w:before="2"/>
        <w:rPr>
          <w:rFonts w:ascii="Lucida Sans"/>
          <w:sz w:val="18"/>
        </w:rPr>
      </w:pPr>
    </w:p>
    <w:p>
      <w:pPr>
        <w:pStyle w:val="BodyText"/>
        <w:spacing w:line="266" w:lineRule="auto"/>
        <w:ind w:left="720" w:right="32"/>
        <w:rPr>
          <w:i/>
        </w:rPr>
      </w:pPr>
      <w:r>
        <w:rPr>
          <w:color w:val="231F20"/>
        </w:rPr>
        <w:t>Notification or complaint systems are intended to receive, triage, and respond to reports from the community about possible foodborne disease events to conduct prevention and control activities. Programs range from  </w:t>
      </w:r>
      <w:r>
        <w:rPr>
          <w:i/>
          <w:color w:val="231F20"/>
        </w:rPr>
        <w:t>ad</w:t>
      </w:r>
    </w:p>
    <w:p>
      <w:pPr>
        <w:pStyle w:val="BodyText"/>
        <w:spacing w:line="266" w:lineRule="auto"/>
        <w:ind w:left="720" w:right="296"/>
        <w:jc w:val="both"/>
      </w:pPr>
      <w:r>
        <w:rPr>
          <w:i/>
          <w:color w:val="231F20"/>
          <w:w w:val="105"/>
        </w:rPr>
        <w:t>hoc</w:t>
      </w:r>
      <w:r>
        <w:rPr>
          <w:i/>
          <w:color w:val="231F20"/>
          <w:spacing w:val="-19"/>
          <w:w w:val="105"/>
        </w:rPr>
        <w:t> </w:t>
      </w:r>
      <w:r>
        <w:rPr>
          <w:color w:val="231F20"/>
          <w:w w:val="105"/>
        </w:rPr>
        <w:t>response</w:t>
      </w:r>
      <w:r>
        <w:rPr>
          <w:color w:val="231F20"/>
          <w:spacing w:val="-20"/>
          <w:w w:val="105"/>
        </w:rPr>
        <w:t> </w:t>
      </w:r>
      <w:r>
        <w:rPr>
          <w:color w:val="231F20"/>
          <w:w w:val="105"/>
        </w:rPr>
        <w:t>to</w:t>
      </w:r>
      <w:r>
        <w:rPr>
          <w:color w:val="231F20"/>
          <w:spacing w:val="-19"/>
          <w:w w:val="105"/>
        </w:rPr>
        <w:t> </w:t>
      </w:r>
      <w:r>
        <w:rPr>
          <w:color w:val="231F20"/>
          <w:w w:val="105"/>
        </w:rPr>
        <w:t>unsolicited</w:t>
      </w:r>
      <w:r>
        <w:rPr>
          <w:color w:val="231F20"/>
          <w:spacing w:val="-19"/>
          <w:w w:val="105"/>
        </w:rPr>
        <w:t> </w:t>
      </w:r>
      <w:r>
        <w:rPr>
          <w:color w:val="231F20"/>
          <w:w w:val="105"/>
        </w:rPr>
        <w:t>phone</w:t>
      </w:r>
      <w:r>
        <w:rPr>
          <w:color w:val="231F20"/>
          <w:spacing w:val="-19"/>
          <w:w w:val="105"/>
        </w:rPr>
        <w:t> </w:t>
      </w:r>
      <w:r>
        <w:rPr>
          <w:color w:val="231F20"/>
          <w:w w:val="105"/>
        </w:rPr>
        <w:t>reports</w:t>
      </w:r>
      <w:r>
        <w:rPr>
          <w:color w:val="231F20"/>
          <w:spacing w:val="-19"/>
          <w:w w:val="105"/>
        </w:rPr>
        <w:t> </w:t>
      </w:r>
      <w:r>
        <w:rPr>
          <w:color w:val="231F20"/>
          <w:w w:val="105"/>
        </w:rPr>
        <w:t>to systematic</w:t>
      </w:r>
      <w:r>
        <w:rPr>
          <w:color w:val="231F20"/>
          <w:spacing w:val="-15"/>
          <w:w w:val="105"/>
        </w:rPr>
        <w:t> </w:t>
      </w:r>
      <w:r>
        <w:rPr>
          <w:color w:val="231F20"/>
          <w:w w:val="105"/>
        </w:rPr>
        <w:t>solicitation</w:t>
      </w:r>
      <w:r>
        <w:rPr>
          <w:color w:val="231F20"/>
          <w:spacing w:val="-15"/>
          <w:w w:val="105"/>
        </w:rPr>
        <w:t> </w:t>
      </w:r>
      <w:r>
        <w:rPr>
          <w:color w:val="231F20"/>
          <w:w w:val="105"/>
        </w:rPr>
        <w:t>and</w:t>
      </w:r>
      <w:r>
        <w:rPr>
          <w:color w:val="231F20"/>
          <w:spacing w:val="-15"/>
          <w:w w:val="105"/>
        </w:rPr>
        <w:t> </w:t>
      </w:r>
      <w:r>
        <w:rPr>
          <w:color w:val="231F20"/>
          <w:w w:val="105"/>
        </w:rPr>
        <w:t>interview</w:t>
      </w:r>
      <w:r>
        <w:rPr>
          <w:color w:val="231F20"/>
          <w:spacing w:val="-14"/>
          <w:w w:val="105"/>
        </w:rPr>
        <w:t> </w:t>
      </w:r>
      <w:r>
        <w:rPr>
          <w:color w:val="231F20"/>
          <w:w w:val="105"/>
        </w:rPr>
        <w:t>of</w:t>
      </w:r>
      <w:r>
        <w:rPr>
          <w:color w:val="231F20"/>
          <w:spacing w:val="8"/>
          <w:w w:val="105"/>
        </w:rPr>
        <w:t> </w:t>
      </w:r>
      <w:r>
        <w:rPr>
          <w:color w:val="231F20"/>
          <w:w w:val="105"/>
        </w:rPr>
        <w:t>and response</w:t>
      </w:r>
      <w:r>
        <w:rPr>
          <w:color w:val="231F20"/>
          <w:spacing w:val="-29"/>
          <w:w w:val="105"/>
        </w:rPr>
        <w:t> </w:t>
      </w:r>
      <w:r>
        <w:rPr>
          <w:color w:val="231F20"/>
          <w:w w:val="105"/>
        </w:rPr>
        <w:t>to</w:t>
      </w:r>
      <w:r>
        <w:rPr>
          <w:color w:val="231F20"/>
          <w:spacing w:val="-29"/>
          <w:w w:val="105"/>
        </w:rPr>
        <w:t> </w:t>
      </w:r>
      <w:r>
        <w:rPr>
          <w:color w:val="231F20"/>
          <w:w w:val="105"/>
        </w:rPr>
        <w:t>community</w:t>
      </w:r>
      <w:r>
        <w:rPr>
          <w:color w:val="231F20"/>
          <w:spacing w:val="-29"/>
          <w:w w:val="105"/>
        </w:rPr>
        <w:t> </w:t>
      </w:r>
      <w:r>
        <w:rPr>
          <w:color w:val="231F20"/>
          <w:w w:val="105"/>
        </w:rPr>
        <w:t>reports.</w:t>
      </w:r>
    </w:p>
    <w:p>
      <w:pPr>
        <w:pStyle w:val="ListParagraph"/>
        <w:numPr>
          <w:ilvl w:val="2"/>
          <w:numId w:val="14"/>
        </w:numPr>
        <w:tabs>
          <w:tab w:pos="1276" w:val="left" w:leader="none"/>
        </w:tabs>
        <w:spacing w:line="240" w:lineRule="auto" w:before="159" w:after="0"/>
        <w:ind w:left="1276" w:right="0" w:hanging="556"/>
        <w:jc w:val="left"/>
        <w:rPr>
          <w:rFonts w:ascii="Lucida Sans"/>
          <w:sz w:val="20"/>
        </w:rPr>
      </w:pPr>
      <w:r>
        <w:rPr>
          <w:rFonts w:ascii="Lucida Sans"/>
          <w:color w:val="1C3E94"/>
          <w:sz w:val="20"/>
        </w:rPr>
        <w:t>Background</w:t>
      </w:r>
    </w:p>
    <w:p>
      <w:pPr>
        <w:pStyle w:val="BodyText"/>
        <w:spacing w:before="2"/>
        <w:rPr>
          <w:rFonts w:ascii="Lucida Sans"/>
          <w:sz w:val="18"/>
        </w:rPr>
      </w:pPr>
    </w:p>
    <w:p>
      <w:pPr>
        <w:pStyle w:val="BodyText"/>
        <w:spacing w:line="266" w:lineRule="auto"/>
        <w:ind w:left="720" w:right="171"/>
      </w:pPr>
      <w:r>
        <w:rPr>
          <w:color w:val="231F20"/>
        </w:rPr>
        <w:t>Receiving and responding to reports of  disease in the community has been a basic function of public health agencies since their inception. Whereas reports of diseases caused </w:t>
      </w:r>
      <w:r>
        <w:rPr>
          <w:color w:val="231F20"/>
          <w:spacing w:val="-3"/>
        </w:rPr>
        <w:t>by </w:t>
      </w:r>
      <w:r>
        <w:rPr>
          <w:color w:val="231F20"/>
        </w:rPr>
        <w:t>specific pathogens generally follow specific disease reporting rules, complaints of illnesses </w:t>
      </w:r>
      <w:r>
        <w:rPr>
          <w:color w:val="231F20"/>
          <w:spacing w:val="-3"/>
        </w:rPr>
        <w:t>by </w:t>
      </w:r>
      <w:r>
        <w:rPr>
          <w:color w:val="231F20"/>
        </w:rPr>
        <w:t>consumers associated with specific events or food establishments generally </w:t>
      </w:r>
      <w:r>
        <w:rPr>
          <w:color w:val="231F20"/>
          <w:spacing w:val="-3"/>
        </w:rPr>
        <w:t>have  </w:t>
      </w:r>
      <w:r>
        <w:rPr>
          <w:color w:val="231F20"/>
          <w:spacing w:val="1"/>
        </w:rPr>
        <w:t> </w:t>
      </w:r>
      <w:r>
        <w:rPr>
          <w:color w:val="231F20"/>
        </w:rPr>
        <w:t>been</w:t>
      </w:r>
    </w:p>
    <w:p>
      <w:pPr>
        <w:pStyle w:val="BodyText"/>
        <w:spacing w:line="266" w:lineRule="auto"/>
        <w:ind w:left="720" w:right="20"/>
      </w:pPr>
      <w:r>
        <w:rPr>
          <w:color w:val="231F20"/>
        </w:rPr>
        <w:t>referred to the agency responsible for licensing the establishment. These consumer complaints lead to the identification of most localized foodborne disease outbreaks and are the only method for detecting outbreaks caused by agents, such as norovirus, for which there is rarely pathogen-specific surveillance. Unlike pathogen-specific  surveillance  (described above) notification and complaint  systems</w:t>
      </w:r>
    </w:p>
    <w:p>
      <w:pPr>
        <w:pStyle w:val="BodyText"/>
        <w:spacing w:line="266" w:lineRule="auto"/>
        <w:ind w:left="720" w:right="32"/>
      </w:pPr>
      <w:r>
        <w:rPr>
          <w:color w:val="231F20"/>
          <w:w w:val="105"/>
        </w:rPr>
        <w:t>do not depend on ill persons seeking medical attention. Therefore, it is not necessary for laboratory tests to be ordered and performed,</w:t>
      </w:r>
    </w:p>
    <w:p>
      <w:pPr>
        <w:pStyle w:val="ListParagraph"/>
        <w:numPr>
          <w:ilvl w:val="2"/>
          <w:numId w:val="13"/>
        </w:numPr>
        <w:tabs>
          <w:tab w:pos="1006" w:val="left" w:leader="none"/>
        </w:tabs>
        <w:spacing w:line="254" w:lineRule="auto" w:before="92" w:after="0"/>
        <w:ind w:left="338" w:right="1444" w:firstLine="0"/>
        <w:jc w:val="left"/>
        <w:rPr>
          <w:rFonts w:ascii="Lucida Sans"/>
          <w:sz w:val="20"/>
        </w:rPr>
      </w:pPr>
      <w:r>
        <w:rPr>
          <w:rFonts w:ascii="Lucida Sans"/>
          <w:color w:val="1C3E94"/>
          <w:w w:val="91"/>
          <w:sz w:val="20"/>
        </w:rPr>
        <w:br w:type="column"/>
      </w:r>
      <w:r>
        <w:rPr>
          <w:rFonts w:ascii="Lucida Sans"/>
          <w:color w:val="1C3E94"/>
          <w:w w:val="95"/>
          <w:sz w:val="20"/>
        </w:rPr>
        <w:t>Indicators/Measures</w:t>
      </w:r>
      <w:r>
        <w:rPr>
          <w:rFonts w:ascii="Lucida Sans"/>
          <w:color w:val="1C3E94"/>
          <w:spacing w:val="-37"/>
          <w:w w:val="95"/>
          <w:sz w:val="20"/>
        </w:rPr>
        <w:t> </w:t>
      </w:r>
      <w:r>
        <w:rPr>
          <w:rFonts w:ascii="Lucida Sans"/>
          <w:color w:val="1C3E94"/>
          <w:w w:val="95"/>
          <w:sz w:val="20"/>
        </w:rPr>
        <w:t>for</w:t>
      </w:r>
      <w:r>
        <w:rPr>
          <w:rFonts w:ascii="Lucida Sans"/>
          <w:color w:val="1C3E94"/>
          <w:spacing w:val="-37"/>
          <w:w w:val="95"/>
          <w:sz w:val="20"/>
        </w:rPr>
        <w:t> </w:t>
      </w:r>
      <w:r>
        <w:rPr>
          <w:rFonts w:ascii="Lucida Sans"/>
          <w:color w:val="1C3E94"/>
          <w:w w:val="95"/>
          <w:sz w:val="20"/>
        </w:rPr>
        <w:t>Pathogen-</w:t>
      </w:r>
      <w:r>
        <w:rPr>
          <w:rFonts w:ascii="Lucida Sans"/>
          <w:color w:val="1C3E94"/>
          <w:w w:val="96"/>
          <w:sz w:val="20"/>
        </w:rPr>
        <w:t> </w:t>
      </w:r>
      <w:r>
        <w:rPr>
          <w:rFonts w:ascii="Lucida Sans"/>
          <w:color w:val="1C3E94"/>
          <w:w w:val="95"/>
          <w:sz w:val="20"/>
        </w:rPr>
        <w:t>Specific</w:t>
      </w:r>
      <w:r>
        <w:rPr>
          <w:rFonts w:ascii="Lucida Sans"/>
          <w:color w:val="1C3E94"/>
          <w:spacing w:val="-41"/>
          <w:w w:val="95"/>
          <w:sz w:val="20"/>
        </w:rPr>
        <w:t> </w:t>
      </w:r>
      <w:r>
        <w:rPr>
          <w:rFonts w:ascii="Lucida Sans"/>
          <w:color w:val="1C3E94"/>
          <w:w w:val="95"/>
          <w:sz w:val="20"/>
        </w:rPr>
        <w:t>Surveillance</w:t>
      </w:r>
    </w:p>
    <w:p>
      <w:pPr>
        <w:pStyle w:val="BodyText"/>
        <w:rPr>
          <w:rFonts w:ascii="Lucida Sans"/>
          <w:sz w:val="17"/>
        </w:rPr>
      </w:pPr>
    </w:p>
    <w:p>
      <w:pPr>
        <w:pStyle w:val="BodyText"/>
        <w:spacing w:line="266" w:lineRule="auto" w:before="1"/>
        <w:ind w:left="338" w:right="1522"/>
      </w:pPr>
      <w:r>
        <w:rPr/>
        <w:pict>
          <v:rect style="position:absolute;margin-left:459pt;margin-top:99.062889pt;width:45pt;height:18pt;mso-position-horizontal-relative:page;mso-position-vertical-relative:paragraph;z-index:3256" filled="true" fillcolor="#0079c1" stroked="false">
            <v:fill type="solid"/>
            <w10:wrap type="none"/>
          </v:rect>
        </w:pict>
      </w:r>
      <w:r>
        <w:rPr/>
        <w:pict>
          <v:line style="position:absolute;mso-position-horizontal-relative:page;mso-position-vertical-relative:paragraph;z-index:3280" from="450.5pt,99.062492pt" to="450.5pt,301.468492pt" stroked="true" strokeweight="1pt" strokecolor="#0079c1">
            <v:stroke dashstyle="solid"/>
            <w10:wrap type="none"/>
          </v:line>
        </w:pict>
      </w:r>
      <w:r>
        <w:rPr/>
        <w:pict>
          <v:shape style="position:absolute;margin-left:468.849609pt;margin-top:103.813492pt;width:15.85pt;height:8.5pt;mso-position-horizontal-relative:page;mso-position-vertical-relative:paragraph;z-index:3352" type="#_x0000_t202" filled="false" stroked="false">
            <v:textbox inset="0,0,0,0" style="layout-flow:vertical">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rPr>
        <w:t>The success of  pathogen-specific surveillance at detecting and resolving common-source outbreaks depends on multiple interrelated processes. Indicators for assessing and improving surveillance programs can be found in  Chapter</w:t>
      </w:r>
      <w:r>
        <w:rPr>
          <w:color w:val="231F20"/>
          <w:spacing w:val="14"/>
        </w:rPr>
        <w:t> </w:t>
      </w:r>
      <w:r>
        <w:rPr>
          <w:color w:val="231F20"/>
        </w:rPr>
        <w:t>8.</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line="266" w:lineRule="auto" w:before="136"/>
        <w:ind w:left="338" w:right="1398"/>
      </w:pPr>
      <w:r>
        <w:rPr/>
        <w:pict>
          <v:shape style="position:absolute;margin-left:465.346802pt;margin-top:-15.866122pt;width:22.25pt;height:183.2pt;mso-position-horizontal-relative:page;mso-position-vertical-relative:paragraph;z-index:3328" type="#_x0000_t202" filled="false" stroked="false">
            <v:textbox inset="0,0,0,0" style="layout-flow:vertical">
              <w:txbxContent>
                <w:p>
                  <w:pPr>
                    <w:spacing w:before="12"/>
                    <w:ind w:left="20" w:right="-1014" w:firstLine="0"/>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color w:val="231F20"/>
          <w:w w:val="105"/>
        </w:rPr>
        <w:t>cases reported, isolates sent to public health agencies, and subtyping or further laboratory testing (see section 4.2.6). Although pathogen- specific surveillance and complaint systems are treated separately in this chapter, these two systems are synergistic when used together.</w:t>
      </w:r>
    </w:p>
    <w:p>
      <w:pPr>
        <w:pStyle w:val="BodyText"/>
        <w:spacing w:line="254" w:lineRule="auto" w:before="159"/>
        <w:ind w:left="338" w:right="1869"/>
        <w:rPr>
          <w:rFonts w:ascii="Lucida Sans"/>
        </w:rPr>
      </w:pPr>
      <w:r>
        <w:rPr>
          <w:rFonts w:ascii="Lucida Sans"/>
          <w:color w:val="1C3E94"/>
          <w:w w:val="95"/>
        </w:rPr>
        <w:t>4.3.3.</w:t>
      </w:r>
      <w:r>
        <w:rPr>
          <w:rFonts w:ascii="Lucida Sans"/>
          <w:color w:val="1C3E94"/>
          <w:spacing w:val="-25"/>
          <w:w w:val="95"/>
        </w:rPr>
        <w:t> </w:t>
      </w:r>
      <w:r>
        <w:rPr>
          <w:rFonts w:ascii="Lucida Sans"/>
          <w:color w:val="1C3E94"/>
          <w:w w:val="95"/>
        </w:rPr>
        <w:t>Group</w:t>
      </w:r>
      <w:r>
        <w:rPr>
          <w:rFonts w:ascii="Lucida Sans"/>
          <w:color w:val="1C3E94"/>
          <w:spacing w:val="-25"/>
          <w:w w:val="95"/>
        </w:rPr>
        <w:t> </w:t>
      </w:r>
      <w:r>
        <w:rPr>
          <w:rFonts w:ascii="Lucida Sans"/>
          <w:color w:val="1C3E94"/>
          <w:w w:val="95"/>
        </w:rPr>
        <w:t>Illness</w:t>
      </w:r>
      <w:r>
        <w:rPr>
          <w:rFonts w:ascii="Lucida Sans"/>
          <w:color w:val="1C3E94"/>
          <w:spacing w:val="-25"/>
          <w:w w:val="95"/>
        </w:rPr>
        <w:t> </w:t>
      </w:r>
      <w:r>
        <w:rPr>
          <w:rFonts w:ascii="Lucida Sans"/>
          <w:color w:val="1C3E94"/>
          <w:w w:val="95"/>
        </w:rPr>
        <w:t>and</w:t>
      </w:r>
      <w:r>
        <w:rPr>
          <w:rFonts w:ascii="Lucida Sans"/>
          <w:color w:val="1C3E94"/>
          <w:spacing w:val="-25"/>
          <w:w w:val="95"/>
        </w:rPr>
        <w:t> </w:t>
      </w:r>
      <w:r>
        <w:rPr>
          <w:rFonts w:ascii="Lucida Sans"/>
          <w:color w:val="1C3E94"/>
          <w:w w:val="95"/>
        </w:rPr>
        <w:t>Independent </w:t>
      </w:r>
      <w:r>
        <w:rPr>
          <w:rFonts w:ascii="Lucida Sans"/>
          <w:color w:val="1C3E94"/>
        </w:rPr>
        <w:t>Complaints</w:t>
      </w:r>
    </w:p>
    <w:p>
      <w:pPr>
        <w:pStyle w:val="BodyText"/>
        <w:spacing w:before="1"/>
        <w:rPr>
          <w:rFonts w:ascii="Lucida Sans"/>
          <w:sz w:val="17"/>
        </w:rPr>
      </w:pPr>
    </w:p>
    <w:p>
      <w:pPr>
        <w:pStyle w:val="BodyText"/>
        <w:spacing w:line="266" w:lineRule="auto"/>
        <w:ind w:left="338" w:right="1443"/>
      </w:pPr>
      <w:r>
        <w:rPr>
          <w:color w:val="231F20"/>
          <w:w w:val="105"/>
        </w:rPr>
        <w:t>Complaint</w:t>
      </w:r>
      <w:r>
        <w:rPr>
          <w:color w:val="231F20"/>
          <w:spacing w:val="-27"/>
          <w:w w:val="105"/>
        </w:rPr>
        <w:t> </w:t>
      </w:r>
      <w:r>
        <w:rPr>
          <w:color w:val="231F20"/>
          <w:w w:val="105"/>
        </w:rPr>
        <w:t>reporting</w:t>
      </w:r>
      <w:r>
        <w:rPr>
          <w:color w:val="231F20"/>
          <w:spacing w:val="-26"/>
          <w:w w:val="105"/>
        </w:rPr>
        <w:t> </w:t>
      </w:r>
      <w:r>
        <w:rPr>
          <w:color w:val="231F20"/>
          <w:w w:val="105"/>
        </w:rPr>
        <w:t>involves</w:t>
      </w:r>
      <w:r>
        <w:rPr>
          <w:color w:val="231F20"/>
          <w:spacing w:val="-27"/>
          <w:w w:val="105"/>
        </w:rPr>
        <w:t> </w:t>
      </w:r>
      <w:r>
        <w:rPr>
          <w:color w:val="231F20"/>
          <w:w w:val="105"/>
        </w:rPr>
        <w:t>passive</w:t>
      </w:r>
      <w:r>
        <w:rPr>
          <w:color w:val="231F20"/>
          <w:spacing w:val="-26"/>
          <w:w w:val="105"/>
        </w:rPr>
        <w:t> </w:t>
      </w:r>
      <w:r>
        <w:rPr>
          <w:color w:val="231F20"/>
          <w:w w:val="105"/>
        </w:rPr>
        <w:t>collection of reports of possible foodborne illness from individuals or groups. Reporting is of two basic types, each with its own dynamics and requirements:</w:t>
      </w:r>
    </w:p>
    <w:p>
      <w:pPr>
        <w:pStyle w:val="ListParagraph"/>
        <w:numPr>
          <w:ilvl w:val="0"/>
          <w:numId w:val="11"/>
        </w:numPr>
        <w:tabs>
          <w:tab w:pos="510" w:val="left" w:leader="none"/>
        </w:tabs>
        <w:spacing w:line="266" w:lineRule="auto" w:before="179" w:after="0"/>
        <w:ind w:left="509" w:right="1452" w:hanging="171"/>
        <w:jc w:val="left"/>
        <w:rPr>
          <w:sz w:val="20"/>
        </w:rPr>
      </w:pPr>
      <w:r>
        <w:rPr>
          <w:color w:val="231F20"/>
          <w:w w:val="105"/>
          <w:sz w:val="20"/>
        </w:rPr>
        <w:t>Reports from any individual or group who observes a pattern of illness affecting a group of people, usually after a common exposure.</w:t>
      </w:r>
      <w:r>
        <w:rPr>
          <w:color w:val="231F20"/>
          <w:spacing w:val="-21"/>
          <w:w w:val="105"/>
          <w:sz w:val="20"/>
        </w:rPr>
        <w:t> </w:t>
      </w:r>
      <w:r>
        <w:rPr>
          <w:color w:val="231F20"/>
          <w:w w:val="105"/>
          <w:sz w:val="20"/>
        </w:rPr>
        <w:t>Examples</w:t>
      </w:r>
      <w:r>
        <w:rPr>
          <w:color w:val="231F20"/>
          <w:spacing w:val="-21"/>
          <w:w w:val="105"/>
          <w:sz w:val="20"/>
        </w:rPr>
        <w:t> </w:t>
      </w:r>
      <w:r>
        <w:rPr>
          <w:color w:val="231F20"/>
          <w:w w:val="105"/>
          <w:sz w:val="20"/>
        </w:rPr>
        <w:t>include</w:t>
      </w:r>
      <w:r>
        <w:rPr>
          <w:color w:val="231F20"/>
          <w:spacing w:val="-21"/>
          <w:w w:val="105"/>
          <w:sz w:val="20"/>
        </w:rPr>
        <w:t> </w:t>
      </w:r>
      <w:r>
        <w:rPr>
          <w:color w:val="231F20"/>
          <w:w w:val="105"/>
          <w:sz w:val="20"/>
        </w:rPr>
        <w:t>reports</w:t>
      </w:r>
      <w:r>
        <w:rPr>
          <w:color w:val="231F20"/>
          <w:spacing w:val="-21"/>
          <w:w w:val="105"/>
          <w:sz w:val="20"/>
        </w:rPr>
        <w:t> </w:t>
      </w:r>
      <w:r>
        <w:rPr>
          <w:color w:val="231F20"/>
          <w:w w:val="105"/>
          <w:sz w:val="20"/>
        </w:rPr>
        <w:t>of</w:t>
      </w:r>
      <w:r>
        <w:rPr>
          <w:color w:val="231F20"/>
          <w:spacing w:val="-3"/>
          <w:w w:val="105"/>
          <w:sz w:val="20"/>
        </w:rPr>
        <w:t> </w:t>
      </w:r>
      <w:r>
        <w:rPr>
          <w:color w:val="231F20"/>
          <w:w w:val="105"/>
          <w:sz w:val="20"/>
        </w:rPr>
        <w:t>illness among multiple persons eating at the same restaurant or attending the same wedding and reports from health-care providers of unusual patterns of illness, such as multiple patients</w:t>
      </w:r>
      <w:r>
        <w:rPr>
          <w:color w:val="231F20"/>
          <w:spacing w:val="-8"/>
          <w:w w:val="105"/>
          <w:sz w:val="20"/>
        </w:rPr>
        <w:t> </w:t>
      </w:r>
      <w:r>
        <w:rPr>
          <w:color w:val="231F20"/>
          <w:w w:val="105"/>
          <w:sz w:val="20"/>
        </w:rPr>
        <w:t>with</w:t>
      </w:r>
      <w:r>
        <w:rPr>
          <w:color w:val="231F20"/>
          <w:spacing w:val="-7"/>
          <w:w w:val="105"/>
          <w:sz w:val="20"/>
        </w:rPr>
        <w:t> </w:t>
      </w:r>
      <w:r>
        <w:rPr>
          <w:color w:val="231F20"/>
          <w:w w:val="105"/>
          <w:sz w:val="20"/>
        </w:rPr>
        <w:t>bloody</w:t>
      </w:r>
      <w:r>
        <w:rPr>
          <w:color w:val="231F20"/>
          <w:spacing w:val="-8"/>
          <w:w w:val="105"/>
          <w:sz w:val="20"/>
        </w:rPr>
        <w:t> </w:t>
      </w:r>
      <w:r>
        <w:rPr>
          <w:color w:val="231F20"/>
          <w:w w:val="105"/>
          <w:sz w:val="20"/>
        </w:rPr>
        <w:t>diarrhea</w:t>
      </w:r>
      <w:r>
        <w:rPr>
          <w:color w:val="231F20"/>
          <w:spacing w:val="-8"/>
          <w:w w:val="105"/>
          <w:sz w:val="20"/>
        </w:rPr>
        <w:t> </w:t>
      </w:r>
      <w:r>
        <w:rPr>
          <w:color w:val="231F20"/>
          <w:w w:val="105"/>
          <w:sz w:val="20"/>
        </w:rPr>
        <w:t>in</w:t>
      </w:r>
      <w:r>
        <w:rPr>
          <w:color w:val="231F20"/>
          <w:spacing w:val="-8"/>
          <w:w w:val="105"/>
          <w:sz w:val="20"/>
        </w:rPr>
        <w:t> </w:t>
      </w:r>
      <w:r>
        <w:rPr>
          <w:color w:val="231F20"/>
          <w:w w:val="105"/>
          <w:sz w:val="20"/>
        </w:rPr>
        <w:t>a</w:t>
      </w:r>
      <w:r>
        <w:rPr>
          <w:color w:val="231F20"/>
          <w:spacing w:val="-7"/>
          <w:w w:val="105"/>
          <w:sz w:val="20"/>
        </w:rPr>
        <w:t> </w:t>
      </w:r>
      <w:r>
        <w:rPr>
          <w:color w:val="231F20"/>
          <w:w w:val="105"/>
          <w:sz w:val="20"/>
        </w:rPr>
        <w:t>short</w:t>
      </w:r>
      <w:r>
        <w:rPr>
          <w:color w:val="231F20"/>
          <w:spacing w:val="-7"/>
          <w:w w:val="105"/>
          <w:sz w:val="20"/>
        </w:rPr>
        <w:t> </w:t>
      </w:r>
      <w:r>
        <w:rPr>
          <w:color w:val="231F20"/>
          <w:w w:val="105"/>
          <w:sz w:val="20"/>
        </w:rPr>
        <w:t>time span.</w:t>
      </w:r>
    </w:p>
    <w:p>
      <w:pPr>
        <w:pStyle w:val="ListParagraph"/>
        <w:numPr>
          <w:ilvl w:val="0"/>
          <w:numId w:val="11"/>
        </w:numPr>
        <w:tabs>
          <w:tab w:pos="510" w:val="left" w:leader="none"/>
        </w:tabs>
        <w:spacing w:line="266" w:lineRule="auto" w:before="89" w:after="0"/>
        <w:ind w:left="509" w:right="1873" w:hanging="171"/>
        <w:jc w:val="left"/>
        <w:rPr>
          <w:sz w:val="20"/>
        </w:rPr>
      </w:pPr>
      <w:r>
        <w:rPr>
          <w:color w:val="231F20"/>
          <w:w w:val="105"/>
          <w:sz w:val="20"/>
        </w:rPr>
        <w:t>Multiple independent complaints</w:t>
      </w:r>
      <w:r>
        <w:rPr>
          <w:color w:val="231F20"/>
          <w:spacing w:val="-40"/>
          <w:w w:val="105"/>
          <w:sz w:val="20"/>
        </w:rPr>
        <w:t> </w:t>
      </w:r>
      <w:r>
        <w:rPr>
          <w:color w:val="231F20"/>
          <w:w w:val="105"/>
          <w:sz w:val="20"/>
        </w:rPr>
        <w:t>about illness</w:t>
      </w:r>
      <w:r>
        <w:rPr>
          <w:color w:val="231F20"/>
          <w:spacing w:val="-25"/>
          <w:w w:val="105"/>
          <w:sz w:val="20"/>
        </w:rPr>
        <w:t> </w:t>
      </w:r>
      <w:r>
        <w:rPr>
          <w:color w:val="231F20"/>
          <w:w w:val="105"/>
          <w:sz w:val="20"/>
        </w:rPr>
        <w:t>in</w:t>
      </w:r>
      <w:r>
        <w:rPr>
          <w:color w:val="231F20"/>
          <w:spacing w:val="-25"/>
          <w:w w:val="105"/>
          <w:sz w:val="20"/>
        </w:rPr>
        <w:t> </w:t>
      </w:r>
      <w:r>
        <w:rPr>
          <w:color w:val="231F20"/>
          <w:w w:val="105"/>
          <w:sz w:val="20"/>
        </w:rPr>
        <w:t>single</w:t>
      </w:r>
      <w:r>
        <w:rPr>
          <w:color w:val="231F20"/>
          <w:spacing w:val="-25"/>
          <w:w w:val="105"/>
          <w:sz w:val="20"/>
        </w:rPr>
        <w:t> </w:t>
      </w:r>
      <w:r>
        <w:rPr>
          <w:color w:val="231F20"/>
          <w:w w:val="105"/>
          <w:sz w:val="20"/>
        </w:rPr>
        <w:t>persons</w:t>
      </w:r>
      <w:r>
        <w:rPr>
          <w:color w:val="231F20"/>
          <w:spacing w:val="-25"/>
          <w:w w:val="105"/>
          <w:sz w:val="20"/>
        </w:rPr>
        <w:t> </w:t>
      </w:r>
      <w:r>
        <w:rPr>
          <w:color w:val="231F20"/>
          <w:w w:val="105"/>
          <w:sz w:val="20"/>
        </w:rPr>
        <w:t>or</w:t>
      </w:r>
      <w:r>
        <w:rPr>
          <w:color w:val="231F20"/>
          <w:spacing w:val="-25"/>
          <w:w w:val="105"/>
          <w:sz w:val="20"/>
        </w:rPr>
        <w:t> </w:t>
      </w:r>
      <w:r>
        <w:rPr>
          <w:color w:val="231F20"/>
          <w:w w:val="105"/>
          <w:sz w:val="20"/>
        </w:rPr>
        <w:t>households.</w:t>
      </w:r>
    </w:p>
    <w:p>
      <w:pPr>
        <w:pStyle w:val="BodyText"/>
        <w:spacing w:line="266" w:lineRule="auto" w:before="179"/>
        <w:ind w:left="338" w:right="1363"/>
      </w:pPr>
      <w:r>
        <w:rPr>
          <w:color w:val="231F20"/>
          <w:w w:val="105"/>
        </w:rPr>
        <w:t>Group illness and independent complaints may be used together and linked with data obtained through pathogen-specific surveillance. In contrast to pathogen-specific surveillance,</w:t>
      </w:r>
    </w:p>
    <w:p>
      <w:pPr>
        <w:spacing w:after="0" w:line="266" w:lineRule="auto"/>
        <w:sectPr>
          <w:type w:val="continuous"/>
          <w:pgSz w:w="10080" w:h="14400"/>
          <w:pgMar w:top="0" w:bottom="0" w:left="0" w:right="0"/>
          <w:cols w:num="2" w:equalWidth="0">
            <w:col w:w="4482" w:space="40"/>
            <w:col w:w="5558"/>
          </w:cols>
        </w:sectPr>
      </w:pPr>
    </w:p>
    <w:p>
      <w:pPr>
        <w:pStyle w:val="BodyText"/>
        <w:spacing w:before="8"/>
        <w:rPr>
          <w:sz w:val="10"/>
        </w:rPr>
      </w:pPr>
    </w:p>
    <w:p>
      <w:pPr>
        <w:pStyle w:val="Heading1"/>
        <w:numPr>
          <w:ilvl w:val="1"/>
          <w:numId w:val="15"/>
        </w:numPr>
        <w:tabs>
          <w:tab w:pos="1985" w:val="left" w:leader="none"/>
        </w:tabs>
        <w:spacing w:line="240" w:lineRule="auto" w:before="89" w:after="0"/>
        <w:ind w:left="1984" w:right="0" w:hanging="544"/>
        <w:jc w:val="left"/>
      </w:pPr>
      <w:r>
        <w:rPr/>
        <w:pict>
          <v:line style="position:absolute;mso-position-horizontal-relative:page;mso-position-vertical-relative:paragraph;z-index:3376;mso-wrap-distance-left:0;mso-wrap-distance-right:0" from="72pt,23.995163pt" to="468pt,23.995163pt" stroked="true" strokeweight=".5pt" strokecolor="#00a94f">
            <v:stroke dashstyle="solid"/>
            <w10:wrap type="topAndBottom"/>
          </v:line>
        </w:pict>
      </w:r>
      <w:r>
        <w:rPr>
          <w:color w:val="00A94F"/>
          <w:w w:val="95"/>
        </w:rPr>
        <w:t>Complaint</w:t>
      </w:r>
      <w:r>
        <w:rPr>
          <w:color w:val="00A94F"/>
          <w:spacing w:val="-56"/>
          <w:w w:val="95"/>
        </w:rPr>
        <w:t> </w:t>
      </w:r>
      <w:r>
        <w:rPr>
          <w:color w:val="00A94F"/>
          <w:w w:val="95"/>
        </w:rPr>
        <w:t>Systems</w:t>
      </w:r>
    </w:p>
    <w:p>
      <w:pPr>
        <w:pStyle w:val="BodyText"/>
        <w:spacing w:before="7"/>
        <w:rPr>
          <w:rFonts w:ascii="Lucida Sans"/>
          <w:sz w:val="17"/>
        </w:rPr>
      </w:pPr>
    </w:p>
    <w:p>
      <w:pPr>
        <w:spacing w:after="0"/>
        <w:rPr>
          <w:rFonts w:ascii="Lucida Sans"/>
          <w:sz w:val="17"/>
        </w:rPr>
        <w:sectPr>
          <w:pgSz w:w="10080" w:h="14400"/>
          <w:pgMar w:header="0" w:footer="0" w:top="1160" w:bottom="280" w:left="0" w:right="0"/>
        </w:sectPr>
      </w:pPr>
    </w:p>
    <w:p>
      <w:pPr>
        <w:pStyle w:val="BodyText"/>
        <w:spacing w:line="266" w:lineRule="auto" w:before="108"/>
        <w:ind w:left="1440" w:right="89"/>
      </w:pPr>
      <w:r>
        <w:rPr>
          <w:color w:val="231F20"/>
          <w:w w:val="105"/>
        </w:rPr>
        <w:t>complaint reporting does not require identification of a specific agent or syndrome or contact with the health-care system.</w:t>
      </w:r>
    </w:p>
    <w:p>
      <w:pPr>
        <w:pStyle w:val="ListParagraph"/>
        <w:numPr>
          <w:ilvl w:val="2"/>
          <w:numId w:val="15"/>
        </w:numPr>
        <w:tabs>
          <w:tab w:pos="1996" w:val="left" w:leader="none"/>
        </w:tabs>
        <w:spacing w:line="240" w:lineRule="auto" w:before="159" w:after="0"/>
        <w:ind w:left="321" w:right="0" w:firstLine="1119"/>
        <w:jc w:val="left"/>
        <w:rPr>
          <w:rFonts w:ascii="Lucida Sans"/>
          <w:sz w:val="20"/>
        </w:rPr>
      </w:pPr>
      <w:r>
        <w:rPr>
          <w:rFonts w:ascii="Lucida Sans"/>
          <w:color w:val="1C3E94"/>
          <w:w w:val="95"/>
          <w:sz w:val="20"/>
        </w:rPr>
        <w:t>Epidemiology</w:t>
      </w:r>
      <w:r>
        <w:rPr>
          <w:rFonts w:ascii="Lucida Sans"/>
          <w:color w:val="1C3E94"/>
          <w:spacing w:val="-16"/>
          <w:w w:val="95"/>
          <w:sz w:val="20"/>
        </w:rPr>
        <w:t> </w:t>
      </w:r>
      <w:r>
        <w:rPr>
          <w:rFonts w:ascii="Lucida Sans"/>
          <w:color w:val="1C3E94"/>
          <w:w w:val="95"/>
          <w:sz w:val="20"/>
        </w:rPr>
        <w:t>Process</w:t>
      </w:r>
    </w:p>
    <w:p>
      <w:pPr>
        <w:pStyle w:val="BodyText"/>
        <w:spacing w:before="3"/>
        <w:rPr>
          <w:rFonts w:ascii="Lucida Sans"/>
          <w:sz w:val="18"/>
        </w:rPr>
      </w:pPr>
    </w:p>
    <w:p>
      <w:pPr>
        <w:pStyle w:val="BodyText"/>
        <w:spacing w:line="266" w:lineRule="auto"/>
        <w:ind w:left="1440" w:right="98"/>
      </w:pPr>
      <w:r>
        <w:rPr/>
        <w:pict>
          <v:rect style="position:absolute;margin-left:0pt;margin-top:65.899353pt;width:45pt;height:18pt;mso-position-horizontal-relative:page;mso-position-vertical-relative:paragraph;z-index:3400" filled="true" fillcolor="#0079c1" stroked="false">
            <v:fill type="solid"/>
            <w10:wrap type="none"/>
          </v:rect>
        </w:pict>
      </w:r>
      <w:r>
        <w:rPr/>
        <w:pict>
          <v:line style="position:absolute;mso-position-horizontal-relative:page;mso-position-vertical-relative:paragraph;z-index:3424" from="54.5pt,65.89695pt" to="54.5pt,268.30595pt" stroked="true" strokeweight="1pt" strokecolor="#0079c1">
            <v:stroke dashstyle="solid"/>
            <w10:wrap type="none"/>
          </v:line>
        </w:pict>
      </w:r>
      <w:r>
        <w:rPr/>
        <w:pict>
          <v:shape style="position:absolute;margin-left:16.402201pt;margin-top:86.922646pt;width:22.3pt;height:183.2pt;mso-position-horizontal-relative:page;mso-position-vertical-relative:paragraph;z-index:3448"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18.200388pt;margin-top:70.650307pt;width:15.85pt;height:8.5pt;mso-position-horizontal-relative:page;mso-position-vertical-relative:paragraph;z-index:3472"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105"/>
        </w:rPr>
        <w:t>Notification</w:t>
      </w:r>
      <w:r>
        <w:rPr>
          <w:color w:val="231F20"/>
          <w:spacing w:val="-22"/>
          <w:w w:val="105"/>
        </w:rPr>
        <w:t> </w:t>
      </w:r>
      <w:r>
        <w:rPr>
          <w:color w:val="231F20"/>
          <w:w w:val="105"/>
        </w:rPr>
        <w:t>of</w:t>
      </w:r>
      <w:r>
        <w:rPr>
          <w:color w:val="231F20"/>
          <w:spacing w:val="-4"/>
          <w:w w:val="105"/>
        </w:rPr>
        <w:t> </w:t>
      </w:r>
      <w:r>
        <w:rPr>
          <w:color w:val="231F20"/>
          <w:w w:val="105"/>
        </w:rPr>
        <w:t>group</w:t>
      </w:r>
      <w:r>
        <w:rPr>
          <w:color w:val="231F20"/>
          <w:spacing w:val="-22"/>
          <w:w w:val="105"/>
        </w:rPr>
        <w:t> </w:t>
      </w:r>
      <w:r>
        <w:rPr>
          <w:color w:val="231F20"/>
          <w:w w:val="105"/>
        </w:rPr>
        <w:t>illnesses</w:t>
      </w:r>
      <w:r>
        <w:rPr>
          <w:color w:val="231F20"/>
          <w:spacing w:val="-22"/>
          <w:w w:val="105"/>
        </w:rPr>
        <w:t> </w:t>
      </w:r>
      <w:r>
        <w:rPr>
          <w:color w:val="231F20"/>
          <w:w w:val="105"/>
        </w:rPr>
        <w:t>or</w:t>
      </w:r>
      <w:r>
        <w:rPr>
          <w:color w:val="231F20"/>
          <w:spacing w:val="-22"/>
          <w:w w:val="105"/>
        </w:rPr>
        <w:t> </w:t>
      </w:r>
      <w:r>
        <w:rPr>
          <w:color w:val="231F20"/>
          <w:w w:val="105"/>
        </w:rPr>
        <w:t>independent complaints can occur at the local, regional, state, or national level. Some jurisdictions mandate reporting of unusual clusters of disease. Reports from health-care providers or other community members of unusual clusters are triaged; occurrence of the same disease is confirmed; data are analyzed; investigations are initiated; and control measures are implemented as</w:t>
      </w:r>
      <w:r>
        <w:rPr>
          <w:color w:val="231F20"/>
          <w:spacing w:val="-32"/>
          <w:w w:val="105"/>
        </w:rPr>
        <w:t> </w:t>
      </w:r>
      <w:r>
        <w:rPr>
          <w:color w:val="231F20"/>
          <w:w w:val="105"/>
        </w:rPr>
        <w:t>appropriate.</w:t>
      </w:r>
    </w:p>
    <w:p>
      <w:pPr>
        <w:pStyle w:val="BodyText"/>
        <w:spacing w:line="266" w:lineRule="auto"/>
        <w:ind w:left="1440" w:right="-9"/>
      </w:pPr>
      <w:r>
        <w:rPr>
          <w:color w:val="231F20"/>
          <w:spacing w:val="-7"/>
          <w:w w:val="105"/>
        </w:rPr>
        <w:t>For </w:t>
      </w:r>
      <w:r>
        <w:rPr>
          <w:color w:val="231F20"/>
          <w:w w:val="105"/>
        </w:rPr>
        <w:t>reports of group illness associated with an event</w:t>
      </w:r>
      <w:r>
        <w:rPr>
          <w:color w:val="231F20"/>
          <w:spacing w:val="-16"/>
          <w:w w:val="105"/>
        </w:rPr>
        <w:t> </w:t>
      </w:r>
      <w:r>
        <w:rPr>
          <w:color w:val="231F20"/>
          <w:w w:val="105"/>
        </w:rPr>
        <w:t>or</w:t>
      </w:r>
      <w:r>
        <w:rPr>
          <w:color w:val="231F20"/>
          <w:spacing w:val="-15"/>
          <w:w w:val="105"/>
        </w:rPr>
        <w:t> </w:t>
      </w:r>
      <w:r>
        <w:rPr>
          <w:color w:val="231F20"/>
          <w:spacing w:val="-3"/>
          <w:w w:val="105"/>
        </w:rPr>
        <w:t>venue,</w:t>
      </w:r>
      <w:r>
        <w:rPr>
          <w:color w:val="231F20"/>
          <w:spacing w:val="-15"/>
          <w:w w:val="105"/>
        </w:rPr>
        <w:t> </w:t>
      </w:r>
      <w:r>
        <w:rPr>
          <w:color w:val="231F20"/>
          <w:w w:val="105"/>
        </w:rPr>
        <w:t>investigation</w:t>
      </w:r>
      <w:r>
        <w:rPr>
          <w:color w:val="231F20"/>
          <w:spacing w:val="-16"/>
          <w:w w:val="105"/>
        </w:rPr>
        <w:t> </w:t>
      </w:r>
      <w:r>
        <w:rPr>
          <w:color w:val="231F20"/>
          <w:w w:val="105"/>
        </w:rPr>
        <w:t>generally</w:t>
      </w:r>
      <w:r>
        <w:rPr>
          <w:color w:val="231F20"/>
          <w:spacing w:val="-16"/>
          <w:w w:val="105"/>
        </w:rPr>
        <w:t> </w:t>
      </w:r>
      <w:r>
        <w:rPr>
          <w:color w:val="231F20"/>
          <w:w w:val="105"/>
        </w:rPr>
        <w:t>involves obtaining lists of attendees, confirming ill persons </w:t>
      </w:r>
      <w:r>
        <w:rPr>
          <w:color w:val="231F20"/>
          <w:spacing w:val="-3"/>
          <w:w w:val="105"/>
        </w:rPr>
        <w:t>have </w:t>
      </w:r>
      <w:r>
        <w:rPr>
          <w:color w:val="231F20"/>
          <w:w w:val="105"/>
        </w:rPr>
        <w:t>the same disease, obtaining menus,</w:t>
      </w:r>
      <w:r>
        <w:rPr>
          <w:color w:val="231F20"/>
          <w:spacing w:val="-16"/>
          <w:w w:val="105"/>
        </w:rPr>
        <w:t> </w:t>
      </w:r>
      <w:r>
        <w:rPr>
          <w:color w:val="231F20"/>
          <w:w w:val="105"/>
        </w:rPr>
        <w:t>interviewing</w:t>
      </w:r>
      <w:r>
        <w:rPr>
          <w:color w:val="231F20"/>
          <w:spacing w:val="-16"/>
          <w:w w:val="105"/>
        </w:rPr>
        <w:t> </w:t>
      </w:r>
      <w:r>
        <w:rPr>
          <w:color w:val="231F20"/>
          <w:w w:val="105"/>
        </w:rPr>
        <w:t>cases,</w:t>
      </w:r>
      <w:r>
        <w:rPr>
          <w:color w:val="231F20"/>
          <w:spacing w:val="-16"/>
          <w:w w:val="105"/>
        </w:rPr>
        <w:t> </w:t>
      </w:r>
      <w:r>
        <w:rPr>
          <w:color w:val="231F20"/>
          <w:w w:val="105"/>
        </w:rPr>
        <w:t>performing</w:t>
      </w:r>
      <w:r>
        <w:rPr>
          <w:color w:val="231F20"/>
          <w:spacing w:val="-16"/>
          <w:w w:val="105"/>
        </w:rPr>
        <w:t> </w:t>
      </w:r>
      <w:r>
        <w:rPr>
          <w:color w:val="231F20"/>
          <w:w w:val="105"/>
        </w:rPr>
        <w:t>a</w:t>
      </w:r>
      <w:r>
        <w:rPr>
          <w:color w:val="231F20"/>
          <w:spacing w:val="-16"/>
          <w:w w:val="105"/>
        </w:rPr>
        <w:t> </w:t>
      </w:r>
      <w:r>
        <w:rPr>
          <w:color w:val="231F20"/>
          <w:w w:val="105"/>
        </w:rPr>
        <w:t>cohort or case–control </w:t>
      </w:r>
      <w:r>
        <w:rPr>
          <w:color w:val="231F20"/>
          <w:spacing w:val="-6"/>
          <w:w w:val="105"/>
        </w:rPr>
        <w:t>study, </w:t>
      </w:r>
      <w:r>
        <w:rPr>
          <w:color w:val="231F20"/>
          <w:w w:val="105"/>
        </w:rPr>
        <w:t>and collecting food and patient specimens (see Chapter 5). Outbreaks detected in this manner can be linked to other outbreaks or to other cases in the community </w:t>
      </w:r>
      <w:r>
        <w:rPr>
          <w:color w:val="231F20"/>
          <w:spacing w:val="-3"/>
          <w:w w:val="105"/>
        </w:rPr>
        <w:t>by </w:t>
      </w:r>
      <w:r>
        <w:rPr>
          <w:color w:val="231F20"/>
          <w:w w:val="105"/>
        </w:rPr>
        <w:t>a variety of processes, such as PulseNet or the Foodborne Disease Outbreak Surveillance System, and communication conducted through Epi-X or the </w:t>
      </w:r>
      <w:r>
        <w:rPr>
          <w:color w:val="231F20"/>
          <w:spacing w:val="-8"/>
          <w:w w:val="105"/>
        </w:rPr>
        <w:t>U.S. </w:t>
      </w:r>
      <w:r>
        <w:rPr>
          <w:color w:val="231F20"/>
          <w:w w:val="105"/>
        </w:rPr>
        <w:t>national network of epidemiologists.</w:t>
      </w:r>
    </w:p>
    <w:p>
      <w:pPr>
        <w:pStyle w:val="BodyText"/>
        <w:spacing w:line="266" w:lineRule="auto" w:before="180"/>
        <w:ind w:left="1440" w:right="110"/>
      </w:pPr>
      <w:r>
        <w:rPr>
          <w:color w:val="231F20"/>
          <w:spacing w:val="-7"/>
        </w:rPr>
        <w:t>Two  </w:t>
      </w:r>
      <w:r>
        <w:rPr>
          <w:color w:val="231F20"/>
        </w:rPr>
        <w:t>or more persons with a common  exposure identified through interview of independent complaints are used to identify clusters of illness in much the same manner as common agents are used in pathogen-specific surveillance.  Exposure  information  captured in the initial complaint generally is limited and biased toward exposures shortly before onset  of  symptoms.  Therefore,  routine  interviews are needed for this process to be robust.</w:t>
      </w:r>
      <w:r>
        <w:rPr>
          <w:color w:val="231F20"/>
          <w:spacing w:val="40"/>
        </w:rPr>
        <w:t> </w:t>
      </w:r>
      <w:r>
        <w:rPr>
          <w:color w:val="231F20"/>
        </w:rPr>
        <w:t>In</w:t>
      </w:r>
    </w:p>
    <w:p>
      <w:pPr>
        <w:pStyle w:val="BodyText"/>
        <w:spacing w:line="266" w:lineRule="auto"/>
        <w:ind w:left="1440" w:right="30"/>
      </w:pPr>
      <w:r>
        <w:rPr>
          <w:color w:val="231F20"/>
          <w:w w:val="105"/>
        </w:rPr>
        <w:t>the</w:t>
      </w:r>
      <w:r>
        <w:rPr>
          <w:color w:val="231F20"/>
          <w:spacing w:val="-21"/>
          <w:w w:val="105"/>
        </w:rPr>
        <w:t> </w:t>
      </w:r>
      <w:r>
        <w:rPr>
          <w:color w:val="231F20"/>
          <w:w w:val="105"/>
        </w:rPr>
        <w:t>absence</w:t>
      </w:r>
      <w:r>
        <w:rPr>
          <w:color w:val="231F20"/>
          <w:spacing w:val="-21"/>
          <w:w w:val="105"/>
        </w:rPr>
        <w:t> </w:t>
      </w:r>
      <w:r>
        <w:rPr>
          <w:color w:val="231F20"/>
          <w:w w:val="105"/>
        </w:rPr>
        <w:t>of</w:t>
      </w:r>
      <w:r>
        <w:rPr>
          <w:color w:val="231F20"/>
          <w:spacing w:val="-2"/>
          <w:w w:val="105"/>
        </w:rPr>
        <w:t> </w:t>
      </w:r>
      <w:r>
        <w:rPr>
          <w:color w:val="231F20"/>
          <w:w w:val="105"/>
        </w:rPr>
        <w:t>common,</w:t>
      </w:r>
      <w:r>
        <w:rPr>
          <w:color w:val="231F20"/>
          <w:spacing w:val="-21"/>
          <w:w w:val="105"/>
        </w:rPr>
        <w:t> </w:t>
      </w:r>
      <w:r>
        <w:rPr>
          <w:color w:val="231F20"/>
          <w:w w:val="105"/>
        </w:rPr>
        <w:t>suspicious</w:t>
      </w:r>
      <w:r>
        <w:rPr>
          <w:color w:val="231F20"/>
          <w:spacing w:val="-20"/>
          <w:w w:val="105"/>
        </w:rPr>
        <w:t> </w:t>
      </w:r>
      <w:r>
        <w:rPr>
          <w:color w:val="231F20"/>
          <w:w w:val="105"/>
        </w:rPr>
        <w:t>exposures shared </w:t>
      </w:r>
      <w:r>
        <w:rPr>
          <w:color w:val="231F20"/>
          <w:spacing w:val="-3"/>
          <w:w w:val="105"/>
        </w:rPr>
        <w:t>by </w:t>
      </w:r>
      <w:r>
        <w:rPr>
          <w:color w:val="231F20"/>
          <w:w w:val="105"/>
        </w:rPr>
        <w:t>two or more cases, complaints of individual</w:t>
      </w:r>
      <w:r>
        <w:rPr>
          <w:color w:val="231F20"/>
          <w:spacing w:val="-27"/>
          <w:w w:val="105"/>
        </w:rPr>
        <w:t> </w:t>
      </w:r>
      <w:r>
        <w:rPr>
          <w:color w:val="231F20"/>
          <w:w w:val="105"/>
        </w:rPr>
        <w:t>illness</w:t>
      </w:r>
      <w:r>
        <w:rPr>
          <w:color w:val="231F20"/>
          <w:spacing w:val="-27"/>
          <w:w w:val="105"/>
        </w:rPr>
        <w:t> </w:t>
      </w:r>
      <w:r>
        <w:rPr>
          <w:color w:val="231F20"/>
          <w:w w:val="105"/>
        </w:rPr>
        <w:t>with</w:t>
      </w:r>
      <w:r>
        <w:rPr>
          <w:color w:val="231F20"/>
          <w:spacing w:val="-27"/>
          <w:w w:val="105"/>
        </w:rPr>
        <w:t> </w:t>
      </w:r>
      <w:r>
        <w:rPr>
          <w:color w:val="231F20"/>
          <w:w w:val="105"/>
        </w:rPr>
        <w:t>nonspecific</w:t>
      </w:r>
      <w:r>
        <w:rPr>
          <w:color w:val="231F20"/>
          <w:spacing w:val="-27"/>
          <w:w w:val="105"/>
        </w:rPr>
        <w:t> </w:t>
      </w:r>
      <w:r>
        <w:rPr>
          <w:color w:val="231F20"/>
          <w:w w:val="105"/>
        </w:rPr>
        <w:t>symptoms—</w:t>
      </w:r>
      <w:r>
        <w:rPr>
          <w:color w:val="231F20"/>
          <w:w w:val="100"/>
        </w:rPr>
        <w:t> </w:t>
      </w:r>
      <w:r>
        <w:rPr>
          <w:color w:val="231F20"/>
          <w:w w:val="105"/>
        </w:rPr>
        <w:t>such as diarrhea or vomiting—generally are not worth pursuing. This underscores the need</w:t>
      </w:r>
      <w:r>
        <w:rPr>
          <w:color w:val="231F20"/>
          <w:spacing w:val="-18"/>
          <w:w w:val="105"/>
        </w:rPr>
        <w:t> </w:t>
      </w:r>
      <w:r>
        <w:rPr>
          <w:color w:val="231F20"/>
          <w:w w:val="105"/>
        </w:rPr>
        <w:t>to</w:t>
      </w:r>
      <w:r>
        <w:rPr>
          <w:color w:val="231F20"/>
          <w:spacing w:val="-18"/>
          <w:w w:val="105"/>
        </w:rPr>
        <w:t> </w:t>
      </w:r>
      <w:r>
        <w:rPr>
          <w:color w:val="231F20"/>
          <w:w w:val="105"/>
        </w:rPr>
        <w:t>collect</w:t>
      </w:r>
      <w:r>
        <w:rPr>
          <w:color w:val="231F20"/>
          <w:spacing w:val="-18"/>
          <w:w w:val="105"/>
        </w:rPr>
        <w:t> </w:t>
      </w:r>
      <w:r>
        <w:rPr>
          <w:color w:val="231F20"/>
          <w:w w:val="105"/>
        </w:rPr>
        <w:t>and</w:t>
      </w:r>
      <w:r>
        <w:rPr>
          <w:color w:val="231F20"/>
          <w:spacing w:val="-18"/>
          <w:w w:val="105"/>
        </w:rPr>
        <w:t> </w:t>
      </w:r>
      <w:r>
        <w:rPr>
          <w:color w:val="231F20"/>
          <w:w w:val="105"/>
        </w:rPr>
        <w:t>record</w:t>
      </w:r>
      <w:r>
        <w:rPr>
          <w:color w:val="231F20"/>
          <w:spacing w:val="-18"/>
          <w:w w:val="105"/>
        </w:rPr>
        <w:t> </w:t>
      </w:r>
      <w:r>
        <w:rPr>
          <w:color w:val="231F20"/>
          <w:w w:val="105"/>
        </w:rPr>
        <w:t>sufficient</w:t>
      </w:r>
      <w:r>
        <w:rPr>
          <w:color w:val="231F20"/>
          <w:spacing w:val="-18"/>
          <w:w w:val="105"/>
        </w:rPr>
        <w:t> </w:t>
      </w:r>
      <w:r>
        <w:rPr>
          <w:color w:val="231F20"/>
          <w:w w:val="105"/>
        </w:rPr>
        <w:t>exposure</w:t>
      </w:r>
    </w:p>
    <w:p>
      <w:pPr>
        <w:pStyle w:val="BodyText"/>
        <w:spacing w:line="266" w:lineRule="auto" w:before="108"/>
        <w:ind w:left="321" w:right="709"/>
      </w:pPr>
      <w:r>
        <w:rPr/>
        <w:br w:type="column"/>
      </w:r>
      <w:r>
        <w:rPr>
          <w:color w:val="231F20"/>
          <w:w w:val="105"/>
        </w:rPr>
        <w:t>information on each and every independent complaint as reported exposures might become</w:t>
      </w:r>
      <w:r>
        <w:rPr>
          <w:color w:val="231F20"/>
          <w:spacing w:val="-14"/>
          <w:w w:val="105"/>
        </w:rPr>
        <w:t> </w:t>
      </w:r>
      <w:r>
        <w:rPr>
          <w:color w:val="231F20"/>
          <w:w w:val="105"/>
        </w:rPr>
        <w:t>more</w:t>
      </w:r>
      <w:r>
        <w:rPr>
          <w:color w:val="231F20"/>
          <w:spacing w:val="-14"/>
          <w:w w:val="105"/>
        </w:rPr>
        <w:t> </w:t>
      </w:r>
      <w:r>
        <w:rPr>
          <w:color w:val="231F20"/>
          <w:w w:val="105"/>
        </w:rPr>
        <w:t>significant</w:t>
      </w:r>
      <w:r>
        <w:rPr>
          <w:color w:val="231F20"/>
          <w:spacing w:val="-14"/>
          <w:w w:val="105"/>
        </w:rPr>
        <w:t> </w:t>
      </w:r>
      <w:r>
        <w:rPr>
          <w:color w:val="231F20"/>
          <w:w w:val="105"/>
        </w:rPr>
        <w:t>when</w:t>
      </w:r>
      <w:r>
        <w:rPr>
          <w:color w:val="231F20"/>
          <w:spacing w:val="-14"/>
          <w:w w:val="105"/>
        </w:rPr>
        <w:t> </w:t>
      </w:r>
      <w:r>
        <w:rPr>
          <w:color w:val="231F20"/>
          <w:w w:val="105"/>
        </w:rPr>
        <w:t>also</w:t>
      </w:r>
      <w:r>
        <w:rPr>
          <w:color w:val="231F20"/>
          <w:spacing w:val="-14"/>
          <w:w w:val="105"/>
        </w:rPr>
        <w:t> </w:t>
      </w:r>
      <w:r>
        <w:rPr>
          <w:color w:val="231F20"/>
          <w:w w:val="105"/>
        </w:rPr>
        <w:t>reported</w:t>
      </w:r>
      <w:r>
        <w:rPr>
          <w:color w:val="231F20"/>
          <w:spacing w:val="-14"/>
          <w:w w:val="105"/>
        </w:rPr>
        <w:t> </w:t>
      </w:r>
      <w:r>
        <w:rPr>
          <w:color w:val="231F20"/>
          <w:spacing w:val="-3"/>
          <w:w w:val="105"/>
        </w:rPr>
        <w:t>by </w:t>
      </w:r>
      <w:r>
        <w:rPr>
          <w:color w:val="231F20"/>
        </w:rPr>
        <w:t>subsequent</w:t>
      </w:r>
      <w:r>
        <w:rPr>
          <w:color w:val="231F20"/>
          <w:spacing w:val="46"/>
        </w:rPr>
        <w:t> </w:t>
      </w:r>
      <w:r>
        <w:rPr>
          <w:color w:val="231F20"/>
        </w:rPr>
        <w:t>complainants.</w:t>
      </w:r>
    </w:p>
    <w:p>
      <w:pPr>
        <w:pStyle w:val="ListParagraph"/>
        <w:numPr>
          <w:ilvl w:val="2"/>
          <w:numId w:val="15"/>
        </w:numPr>
        <w:tabs>
          <w:tab w:pos="878" w:val="left" w:leader="none"/>
        </w:tabs>
        <w:spacing w:line="240" w:lineRule="auto" w:before="159" w:after="0"/>
        <w:ind w:left="877" w:right="0" w:hanging="556"/>
        <w:jc w:val="left"/>
        <w:rPr>
          <w:rFonts w:ascii="Lucida Sans"/>
          <w:sz w:val="20"/>
        </w:rPr>
      </w:pPr>
      <w:r>
        <w:rPr>
          <w:rFonts w:ascii="Lucida Sans"/>
          <w:color w:val="1C3E94"/>
          <w:w w:val="95"/>
          <w:sz w:val="20"/>
        </w:rPr>
        <w:t>Public</w:t>
      </w:r>
      <w:r>
        <w:rPr>
          <w:rFonts w:ascii="Lucida Sans"/>
          <w:color w:val="1C3E94"/>
          <w:spacing w:val="-19"/>
          <w:w w:val="95"/>
          <w:sz w:val="20"/>
        </w:rPr>
        <w:t> </w:t>
      </w:r>
      <w:r>
        <w:rPr>
          <w:rFonts w:ascii="Lucida Sans"/>
          <w:color w:val="1C3E94"/>
          <w:w w:val="95"/>
          <w:sz w:val="20"/>
        </w:rPr>
        <w:t>Health</w:t>
      </w:r>
      <w:r>
        <w:rPr>
          <w:rFonts w:ascii="Lucida Sans"/>
          <w:color w:val="1C3E94"/>
          <w:spacing w:val="-19"/>
          <w:w w:val="95"/>
          <w:sz w:val="20"/>
        </w:rPr>
        <w:t> </w:t>
      </w:r>
      <w:r>
        <w:rPr>
          <w:rFonts w:ascii="Lucida Sans"/>
          <w:color w:val="1C3E94"/>
          <w:w w:val="95"/>
          <w:sz w:val="20"/>
        </w:rPr>
        <w:t>Laboratory</w:t>
      </w:r>
      <w:r>
        <w:rPr>
          <w:rFonts w:ascii="Lucida Sans"/>
          <w:color w:val="1C3E94"/>
          <w:spacing w:val="-19"/>
          <w:w w:val="95"/>
          <w:sz w:val="20"/>
        </w:rPr>
        <w:t> </w:t>
      </w:r>
      <w:r>
        <w:rPr>
          <w:rFonts w:ascii="Lucida Sans"/>
          <w:color w:val="1C3E94"/>
          <w:w w:val="95"/>
          <w:sz w:val="20"/>
        </w:rPr>
        <w:t>Process</w:t>
      </w:r>
    </w:p>
    <w:p>
      <w:pPr>
        <w:pStyle w:val="BodyText"/>
        <w:spacing w:before="3"/>
        <w:rPr>
          <w:rFonts w:ascii="Lucida Sans"/>
          <w:sz w:val="18"/>
        </w:rPr>
      </w:pPr>
    </w:p>
    <w:p>
      <w:pPr>
        <w:pStyle w:val="BodyText"/>
        <w:spacing w:line="266" w:lineRule="auto"/>
        <w:ind w:left="321" w:right="641"/>
      </w:pPr>
      <w:r>
        <w:rPr>
          <w:color w:val="231F20"/>
          <w:w w:val="105"/>
        </w:rPr>
        <w:t>Laboratory activities are not essential for primary detection of outbreaks by this process but are essential for determining etiology, linking separate events during the investigation, and monitoring the efficacy of control measures (see Chapters 5 and 6). Because of public health laboratory testing, links may</w:t>
      </w:r>
    </w:p>
    <w:p>
      <w:pPr>
        <w:pStyle w:val="BodyText"/>
        <w:spacing w:line="266" w:lineRule="auto"/>
        <w:ind w:left="321" w:right="833"/>
      </w:pPr>
      <w:r>
        <w:rPr>
          <w:color w:val="231F20"/>
          <w:w w:val="105"/>
        </w:rPr>
        <w:t>be seen across jurisdictional boundaries and beyond;</w:t>
      </w:r>
      <w:r>
        <w:rPr>
          <w:color w:val="231F20"/>
          <w:spacing w:val="-10"/>
          <w:w w:val="105"/>
        </w:rPr>
        <w:t> </w:t>
      </w:r>
      <w:r>
        <w:rPr>
          <w:color w:val="231F20"/>
          <w:w w:val="105"/>
        </w:rPr>
        <w:t>even</w:t>
      </w:r>
      <w:r>
        <w:rPr>
          <w:color w:val="231F20"/>
          <w:spacing w:val="-10"/>
          <w:w w:val="105"/>
        </w:rPr>
        <w:t> </w:t>
      </w:r>
      <w:r>
        <w:rPr>
          <w:color w:val="231F20"/>
          <w:w w:val="105"/>
        </w:rPr>
        <w:t>national</w:t>
      </w:r>
      <w:r>
        <w:rPr>
          <w:color w:val="231F20"/>
          <w:spacing w:val="-10"/>
          <w:w w:val="105"/>
        </w:rPr>
        <w:t> </w:t>
      </w:r>
      <w:r>
        <w:rPr>
          <w:color w:val="231F20"/>
          <w:w w:val="105"/>
        </w:rPr>
        <w:t>outbreaks</w:t>
      </w:r>
      <w:r>
        <w:rPr>
          <w:color w:val="231F20"/>
          <w:spacing w:val="-10"/>
          <w:w w:val="105"/>
        </w:rPr>
        <w:t> </w:t>
      </w:r>
      <w:r>
        <w:rPr>
          <w:color w:val="231F20"/>
          <w:w w:val="105"/>
        </w:rPr>
        <w:t>may</w:t>
      </w:r>
      <w:r>
        <w:rPr>
          <w:color w:val="231F20"/>
          <w:spacing w:val="-10"/>
          <w:w w:val="105"/>
        </w:rPr>
        <w:t> </w:t>
      </w:r>
      <w:r>
        <w:rPr>
          <w:color w:val="231F20"/>
          <w:w w:val="105"/>
        </w:rPr>
        <w:t>then</w:t>
      </w:r>
      <w:r>
        <w:rPr>
          <w:color w:val="231F20"/>
          <w:spacing w:val="-10"/>
          <w:w w:val="105"/>
        </w:rPr>
        <w:t> </w:t>
      </w:r>
      <w:r>
        <w:rPr>
          <w:color w:val="231F20"/>
          <w:w w:val="105"/>
        </w:rPr>
        <w:t>be detected.</w:t>
      </w:r>
      <w:r>
        <w:rPr>
          <w:color w:val="231F20"/>
          <w:spacing w:val="-11"/>
          <w:w w:val="105"/>
        </w:rPr>
        <w:t> </w:t>
      </w:r>
      <w:r>
        <w:rPr>
          <w:color w:val="231F20"/>
          <w:spacing w:val="-7"/>
          <w:w w:val="105"/>
        </w:rPr>
        <w:t>For</w:t>
      </w:r>
      <w:r>
        <w:rPr>
          <w:color w:val="231F20"/>
          <w:spacing w:val="-11"/>
          <w:w w:val="105"/>
        </w:rPr>
        <w:t> </w:t>
      </w:r>
      <w:r>
        <w:rPr>
          <w:color w:val="231F20"/>
          <w:w w:val="105"/>
        </w:rPr>
        <w:t>instance,</w:t>
      </w:r>
      <w:r>
        <w:rPr>
          <w:color w:val="231F20"/>
          <w:spacing w:val="-11"/>
          <w:w w:val="105"/>
        </w:rPr>
        <w:t> </w:t>
      </w:r>
      <w:r>
        <w:rPr>
          <w:color w:val="231F20"/>
          <w:w w:val="105"/>
        </w:rPr>
        <w:t>an</w:t>
      </w:r>
      <w:r>
        <w:rPr>
          <w:color w:val="231F20"/>
          <w:spacing w:val="-12"/>
          <w:w w:val="105"/>
        </w:rPr>
        <w:t> </w:t>
      </w:r>
      <w:r>
        <w:rPr>
          <w:color w:val="231F20"/>
          <w:w w:val="105"/>
        </w:rPr>
        <w:t>outbreak</w:t>
      </w:r>
      <w:r>
        <w:rPr>
          <w:color w:val="231F20"/>
          <w:spacing w:val="-12"/>
          <w:w w:val="105"/>
        </w:rPr>
        <w:t> </w:t>
      </w:r>
      <w:r>
        <w:rPr>
          <w:color w:val="231F20"/>
          <w:w w:val="105"/>
        </w:rPr>
        <w:t>associated with a particular restaurant may come to the attention of authorities solely on the basis of a</w:t>
      </w:r>
      <w:r>
        <w:rPr>
          <w:color w:val="231F20"/>
          <w:spacing w:val="-15"/>
          <w:w w:val="105"/>
        </w:rPr>
        <w:t> </w:t>
      </w:r>
      <w:r>
        <w:rPr>
          <w:color w:val="231F20"/>
          <w:w w:val="105"/>
        </w:rPr>
        <w:t>report</w:t>
      </w:r>
      <w:r>
        <w:rPr>
          <w:color w:val="231F20"/>
          <w:spacing w:val="-15"/>
          <w:w w:val="105"/>
        </w:rPr>
        <w:t> </w:t>
      </w:r>
      <w:r>
        <w:rPr>
          <w:color w:val="231F20"/>
          <w:spacing w:val="-3"/>
          <w:w w:val="105"/>
        </w:rPr>
        <w:t>by</w:t>
      </w:r>
      <w:r>
        <w:rPr>
          <w:color w:val="231F20"/>
          <w:spacing w:val="-16"/>
          <w:w w:val="105"/>
        </w:rPr>
        <w:t> </w:t>
      </w:r>
      <w:r>
        <w:rPr>
          <w:color w:val="231F20"/>
          <w:w w:val="105"/>
        </w:rPr>
        <w:t>a</w:t>
      </w:r>
      <w:r>
        <w:rPr>
          <w:color w:val="231F20"/>
          <w:spacing w:val="-15"/>
          <w:w w:val="105"/>
        </w:rPr>
        <w:t> </w:t>
      </w:r>
      <w:r>
        <w:rPr>
          <w:color w:val="231F20"/>
          <w:w w:val="105"/>
        </w:rPr>
        <w:t>customer</w:t>
      </w:r>
      <w:r>
        <w:rPr>
          <w:color w:val="231F20"/>
          <w:spacing w:val="-15"/>
          <w:w w:val="105"/>
        </w:rPr>
        <w:t> </w:t>
      </w:r>
      <w:r>
        <w:rPr>
          <w:color w:val="231F20"/>
          <w:w w:val="105"/>
        </w:rPr>
        <w:t>who</w:t>
      </w:r>
      <w:r>
        <w:rPr>
          <w:color w:val="231F20"/>
          <w:spacing w:val="-15"/>
          <w:w w:val="105"/>
        </w:rPr>
        <w:t> </w:t>
      </w:r>
      <w:r>
        <w:rPr>
          <w:color w:val="231F20"/>
          <w:w w:val="105"/>
        </w:rPr>
        <w:t>observed</w:t>
      </w:r>
      <w:r>
        <w:rPr>
          <w:color w:val="231F20"/>
          <w:spacing w:val="-16"/>
          <w:w w:val="105"/>
        </w:rPr>
        <w:t> </w:t>
      </w:r>
      <w:r>
        <w:rPr>
          <w:color w:val="231F20"/>
          <w:w w:val="105"/>
        </w:rPr>
        <w:t>illnesses among multiple fellow patrons. Laboratory testing and identification of </w:t>
      </w:r>
      <w:r>
        <w:rPr>
          <w:i/>
          <w:color w:val="231F20"/>
          <w:w w:val="105"/>
        </w:rPr>
        <w:t>Salmonella </w:t>
      </w:r>
      <w:r>
        <w:rPr>
          <w:color w:val="231F20"/>
          <w:w w:val="105"/>
        </w:rPr>
        <w:t>Typhimurium can result in refinement of the case definition used in this investigation, in additional</w:t>
      </w:r>
      <w:r>
        <w:rPr>
          <w:color w:val="231F20"/>
          <w:spacing w:val="-17"/>
          <w:w w:val="105"/>
        </w:rPr>
        <w:t> </w:t>
      </w:r>
      <w:r>
        <w:rPr>
          <w:color w:val="231F20"/>
          <w:w w:val="105"/>
        </w:rPr>
        <w:t>testing</w:t>
      </w:r>
      <w:r>
        <w:rPr>
          <w:color w:val="231F20"/>
          <w:spacing w:val="-17"/>
          <w:w w:val="105"/>
        </w:rPr>
        <w:t> </w:t>
      </w:r>
      <w:r>
        <w:rPr>
          <w:color w:val="231F20"/>
          <w:w w:val="105"/>
        </w:rPr>
        <w:t>and</w:t>
      </w:r>
      <w:r>
        <w:rPr>
          <w:color w:val="231F20"/>
          <w:spacing w:val="-17"/>
          <w:w w:val="105"/>
        </w:rPr>
        <w:t> </w:t>
      </w:r>
      <w:r>
        <w:rPr>
          <w:color w:val="231F20"/>
          <w:w w:val="105"/>
        </w:rPr>
        <w:t>restrictions</w:t>
      </w:r>
      <w:r>
        <w:rPr>
          <w:color w:val="231F20"/>
          <w:spacing w:val="-17"/>
          <w:w w:val="105"/>
        </w:rPr>
        <w:t> </w:t>
      </w:r>
      <w:r>
        <w:rPr>
          <w:color w:val="231F20"/>
          <w:w w:val="105"/>
        </w:rPr>
        <w:t>for</w:t>
      </w:r>
      <w:r>
        <w:rPr>
          <w:color w:val="231F20"/>
          <w:spacing w:val="-16"/>
          <w:w w:val="105"/>
        </w:rPr>
        <w:t> </w:t>
      </w:r>
      <w:r>
        <w:rPr>
          <w:color w:val="231F20"/>
          <w:w w:val="105"/>
        </w:rPr>
        <w:t>workers found</w:t>
      </w:r>
      <w:r>
        <w:rPr>
          <w:color w:val="231F20"/>
          <w:spacing w:val="-16"/>
          <w:w w:val="105"/>
        </w:rPr>
        <w:t> </w:t>
      </w:r>
      <w:r>
        <w:rPr>
          <w:color w:val="231F20"/>
          <w:w w:val="105"/>
        </w:rPr>
        <w:t>to</w:t>
      </w:r>
      <w:r>
        <w:rPr>
          <w:color w:val="231F20"/>
          <w:spacing w:val="-16"/>
          <w:w w:val="105"/>
        </w:rPr>
        <w:t> </w:t>
      </w:r>
      <w:r>
        <w:rPr>
          <w:color w:val="231F20"/>
          <w:w w:val="105"/>
        </w:rPr>
        <w:t>be</w:t>
      </w:r>
      <w:r>
        <w:rPr>
          <w:color w:val="231F20"/>
          <w:spacing w:val="-15"/>
          <w:w w:val="105"/>
        </w:rPr>
        <w:t> </w:t>
      </w:r>
      <w:r>
        <w:rPr>
          <w:color w:val="231F20"/>
          <w:w w:val="105"/>
        </w:rPr>
        <w:t>carriers,</w:t>
      </w:r>
      <w:r>
        <w:rPr>
          <w:color w:val="231F20"/>
          <w:spacing w:val="-15"/>
          <w:w w:val="105"/>
        </w:rPr>
        <w:t> </w:t>
      </w:r>
      <w:r>
        <w:rPr>
          <w:color w:val="231F20"/>
          <w:w w:val="105"/>
        </w:rPr>
        <w:t>or</w:t>
      </w:r>
      <w:r>
        <w:rPr>
          <w:color w:val="231F20"/>
          <w:spacing w:val="-15"/>
          <w:w w:val="105"/>
        </w:rPr>
        <w:t> </w:t>
      </w:r>
      <w:r>
        <w:rPr>
          <w:color w:val="231F20"/>
          <w:w w:val="105"/>
        </w:rPr>
        <w:t>in</w:t>
      </w:r>
      <w:r>
        <w:rPr>
          <w:color w:val="231F20"/>
          <w:spacing w:val="-16"/>
          <w:w w:val="105"/>
        </w:rPr>
        <w:t> </w:t>
      </w:r>
      <w:r>
        <w:rPr>
          <w:color w:val="231F20"/>
          <w:w w:val="105"/>
        </w:rPr>
        <w:t>connection</w:t>
      </w:r>
      <w:r>
        <w:rPr>
          <w:color w:val="231F20"/>
          <w:spacing w:val="-15"/>
          <w:w w:val="105"/>
        </w:rPr>
        <w:t> </w:t>
      </w:r>
      <w:r>
        <w:rPr>
          <w:color w:val="231F20"/>
          <w:w w:val="105"/>
        </w:rPr>
        <w:t>of</w:t>
      </w:r>
    </w:p>
    <w:p>
      <w:pPr>
        <w:pStyle w:val="BodyText"/>
        <w:spacing w:line="266" w:lineRule="auto"/>
        <w:ind w:left="321" w:right="1168"/>
      </w:pPr>
      <w:r>
        <w:rPr>
          <w:color w:val="231F20"/>
          <w:w w:val="105"/>
        </w:rPr>
        <w:t>this</w:t>
      </w:r>
      <w:r>
        <w:rPr>
          <w:color w:val="231F20"/>
          <w:spacing w:val="-16"/>
          <w:w w:val="105"/>
        </w:rPr>
        <w:t> </w:t>
      </w:r>
      <w:r>
        <w:rPr>
          <w:color w:val="231F20"/>
          <w:w w:val="105"/>
        </w:rPr>
        <w:t>outbreak</w:t>
      </w:r>
      <w:r>
        <w:rPr>
          <w:color w:val="231F20"/>
          <w:spacing w:val="-16"/>
          <w:w w:val="105"/>
        </w:rPr>
        <w:t> </w:t>
      </w:r>
      <w:r>
        <w:rPr>
          <w:color w:val="231F20"/>
          <w:w w:val="105"/>
        </w:rPr>
        <w:t>with</w:t>
      </w:r>
      <w:r>
        <w:rPr>
          <w:color w:val="231F20"/>
          <w:spacing w:val="-15"/>
          <w:w w:val="105"/>
        </w:rPr>
        <w:t> </w:t>
      </w:r>
      <w:r>
        <w:rPr>
          <w:color w:val="231F20"/>
          <w:w w:val="105"/>
        </w:rPr>
        <w:t>other</w:t>
      </w:r>
      <w:r>
        <w:rPr>
          <w:color w:val="231F20"/>
          <w:spacing w:val="-15"/>
          <w:w w:val="105"/>
        </w:rPr>
        <w:t> </w:t>
      </w:r>
      <w:r>
        <w:rPr>
          <w:color w:val="231F20"/>
          <w:w w:val="105"/>
        </w:rPr>
        <w:t>outbreaks</w:t>
      </w:r>
      <w:r>
        <w:rPr>
          <w:color w:val="231F20"/>
          <w:spacing w:val="-16"/>
          <w:w w:val="105"/>
        </w:rPr>
        <w:t> </w:t>
      </w:r>
      <w:r>
        <w:rPr>
          <w:color w:val="231F20"/>
          <w:w w:val="105"/>
        </w:rPr>
        <w:t>from</w:t>
      </w:r>
      <w:r>
        <w:rPr>
          <w:color w:val="231F20"/>
          <w:spacing w:val="-16"/>
          <w:w w:val="105"/>
        </w:rPr>
        <w:t> </w:t>
      </w:r>
      <w:r>
        <w:rPr>
          <w:color w:val="231F20"/>
          <w:w w:val="105"/>
        </w:rPr>
        <w:t>a contaminated</w:t>
      </w:r>
      <w:r>
        <w:rPr>
          <w:color w:val="231F20"/>
          <w:spacing w:val="-21"/>
          <w:w w:val="105"/>
        </w:rPr>
        <w:t> </w:t>
      </w:r>
      <w:r>
        <w:rPr>
          <w:color w:val="231F20"/>
          <w:spacing w:val="-4"/>
          <w:w w:val="105"/>
        </w:rPr>
        <w:t>commodity.</w:t>
      </w:r>
    </w:p>
    <w:p>
      <w:pPr>
        <w:pStyle w:val="ListParagraph"/>
        <w:numPr>
          <w:ilvl w:val="2"/>
          <w:numId w:val="15"/>
        </w:numPr>
        <w:tabs>
          <w:tab w:pos="878" w:val="left" w:leader="none"/>
        </w:tabs>
        <w:spacing w:line="254" w:lineRule="auto" w:before="159" w:after="0"/>
        <w:ind w:left="321" w:right="762" w:firstLine="0"/>
        <w:jc w:val="left"/>
        <w:rPr>
          <w:rFonts w:ascii="Lucida Sans"/>
          <w:sz w:val="20"/>
        </w:rPr>
      </w:pPr>
      <w:r>
        <w:rPr>
          <w:rFonts w:ascii="Lucida Sans"/>
          <w:color w:val="1C3E94"/>
          <w:w w:val="95"/>
          <w:sz w:val="20"/>
        </w:rPr>
        <w:t>Strengths</w:t>
      </w:r>
      <w:r>
        <w:rPr>
          <w:rFonts w:ascii="Lucida Sans"/>
          <w:color w:val="1C3E94"/>
          <w:spacing w:val="-23"/>
          <w:w w:val="95"/>
          <w:sz w:val="20"/>
        </w:rPr>
        <w:t> </w:t>
      </w:r>
      <w:r>
        <w:rPr>
          <w:rFonts w:ascii="Lucida Sans"/>
          <w:color w:val="1C3E94"/>
          <w:w w:val="95"/>
          <w:sz w:val="20"/>
        </w:rPr>
        <w:t>of</w:t>
      </w:r>
      <w:r>
        <w:rPr>
          <w:rFonts w:ascii="Lucida Sans"/>
          <w:color w:val="1C3E94"/>
          <w:spacing w:val="-23"/>
          <w:w w:val="95"/>
          <w:sz w:val="20"/>
        </w:rPr>
        <w:t> </w:t>
      </w:r>
      <w:r>
        <w:rPr>
          <w:rFonts w:ascii="Lucida Sans"/>
          <w:color w:val="1C3E94"/>
          <w:w w:val="95"/>
          <w:sz w:val="20"/>
        </w:rPr>
        <w:t>Complaint</w:t>
      </w:r>
      <w:r>
        <w:rPr>
          <w:rFonts w:ascii="Lucida Sans"/>
          <w:color w:val="1C3E94"/>
          <w:spacing w:val="-23"/>
          <w:w w:val="95"/>
          <w:sz w:val="20"/>
        </w:rPr>
        <w:t> </w:t>
      </w:r>
      <w:r>
        <w:rPr>
          <w:rFonts w:ascii="Lucida Sans"/>
          <w:color w:val="1C3E94"/>
          <w:w w:val="95"/>
          <w:sz w:val="20"/>
        </w:rPr>
        <w:t>Systems</w:t>
      </w:r>
      <w:r>
        <w:rPr>
          <w:rFonts w:ascii="Lucida Sans"/>
          <w:color w:val="1C3E94"/>
          <w:spacing w:val="-23"/>
          <w:w w:val="95"/>
          <w:sz w:val="20"/>
        </w:rPr>
        <w:t> </w:t>
      </w:r>
      <w:r>
        <w:rPr>
          <w:rFonts w:ascii="Lucida Sans"/>
          <w:color w:val="1C3E94"/>
          <w:w w:val="95"/>
          <w:sz w:val="20"/>
        </w:rPr>
        <w:t>for Outbreak</w:t>
      </w:r>
      <w:r>
        <w:rPr>
          <w:rFonts w:ascii="Lucida Sans"/>
          <w:color w:val="1C3E94"/>
          <w:spacing w:val="-6"/>
          <w:w w:val="95"/>
          <w:sz w:val="20"/>
        </w:rPr>
        <w:t> </w:t>
      </w:r>
      <w:r>
        <w:rPr>
          <w:rFonts w:ascii="Lucida Sans"/>
          <w:color w:val="1C3E94"/>
          <w:w w:val="95"/>
          <w:sz w:val="20"/>
        </w:rPr>
        <w:t>Detection</w:t>
      </w:r>
    </w:p>
    <w:p>
      <w:pPr>
        <w:pStyle w:val="BodyText"/>
        <w:spacing w:before="1"/>
        <w:rPr>
          <w:rFonts w:ascii="Lucida Sans"/>
          <w:sz w:val="17"/>
        </w:rPr>
      </w:pPr>
    </w:p>
    <w:p>
      <w:pPr>
        <w:pStyle w:val="ListParagraph"/>
        <w:numPr>
          <w:ilvl w:val="0"/>
          <w:numId w:val="11"/>
        </w:numPr>
        <w:tabs>
          <w:tab w:pos="492" w:val="left" w:leader="none"/>
        </w:tabs>
        <w:spacing w:line="266" w:lineRule="auto" w:before="0" w:after="0"/>
        <w:ind w:left="491" w:right="1006" w:hanging="170"/>
        <w:jc w:val="left"/>
        <w:rPr>
          <w:sz w:val="20"/>
        </w:rPr>
      </w:pPr>
      <w:r>
        <w:rPr>
          <w:color w:val="231F20"/>
          <w:w w:val="105"/>
          <w:sz w:val="20"/>
        </w:rPr>
        <w:t>Because detection does not depend on identification of an agent, this system</w:t>
      </w:r>
      <w:r>
        <w:rPr>
          <w:color w:val="231F20"/>
          <w:spacing w:val="-38"/>
          <w:w w:val="105"/>
          <w:sz w:val="20"/>
        </w:rPr>
        <w:t> </w:t>
      </w:r>
      <w:r>
        <w:rPr>
          <w:color w:val="231F20"/>
          <w:w w:val="105"/>
          <w:sz w:val="20"/>
        </w:rPr>
        <w:t>can detect outbreaks from any cause, known or</w:t>
      </w:r>
      <w:r>
        <w:rPr>
          <w:color w:val="231F20"/>
          <w:spacing w:val="-14"/>
          <w:w w:val="105"/>
          <w:sz w:val="20"/>
        </w:rPr>
        <w:t> </w:t>
      </w:r>
      <w:r>
        <w:rPr>
          <w:color w:val="231F20"/>
          <w:w w:val="105"/>
          <w:sz w:val="20"/>
        </w:rPr>
        <w:t>unknown.</w:t>
      </w:r>
      <w:r>
        <w:rPr>
          <w:color w:val="231F20"/>
          <w:spacing w:val="-14"/>
          <w:w w:val="105"/>
          <w:sz w:val="20"/>
        </w:rPr>
        <w:t> </w:t>
      </w:r>
      <w:r>
        <w:rPr>
          <w:color w:val="231F20"/>
          <w:w w:val="105"/>
          <w:sz w:val="20"/>
        </w:rPr>
        <w:t>Thus,</w:t>
      </w:r>
      <w:r>
        <w:rPr>
          <w:color w:val="231F20"/>
          <w:spacing w:val="-14"/>
          <w:w w:val="105"/>
          <w:sz w:val="20"/>
        </w:rPr>
        <w:t> </w:t>
      </w:r>
      <w:r>
        <w:rPr>
          <w:color w:val="231F20"/>
          <w:w w:val="105"/>
          <w:sz w:val="20"/>
        </w:rPr>
        <w:t>the</w:t>
      </w:r>
      <w:r>
        <w:rPr>
          <w:color w:val="231F20"/>
          <w:spacing w:val="-14"/>
          <w:w w:val="105"/>
          <w:sz w:val="20"/>
        </w:rPr>
        <w:t> </w:t>
      </w:r>
      <w:r>
        <w:rPr>
          <w:color w:val="231F20"/>
          <w:w w:val="105"/>
          <w:sz w:val="20"/>
        </w:rPr>
        <w:t>complaint</w:t>
      </w:r>
      <w:r>
        <w:rPr>
          <w:color w:val="231F20"/>
          <w:spacing w:val="-14"/>
          <w:w w:val="105"/>
          <w:sz w:val="20"/>
        </w:rPr>
        <w:t> </w:t>
      </w:r>
      <w:r>
        <w:rPr>
          <w:color w:val="231F20"/>
          <w:w w:val="105"/>
          <w:sz w:val="20"/>
        </w:rPr>
        <w:t>system is one of the best methods for detecting nonreportable</w:t>
      </w:r>
      <w:r>
        <w:rPr>
          <w:color w:val="231F20"/>
          <w:spacing w:val="-13"/>
          <w:w w:val="105"/>
          <w:sz w:val="20"/>
        </w:rPr>
        <w:t> </w:t>
      </w:r>
      <w:r>
        <w:rPr>
          <w:color w:val="231F20"/>
          <w:w w:val="105"/>
          <w:sz w:val="20"/>
        </w:rPr>
        <w:t>pathogens</w:t>
      </w:r>
      <w:r>
        <w:rPr>
          <w:color w:val="231F20"/>
          <w:spacing w:val="-15"/>
          <w:w w:val="105"/>
          <w:sz w:val="20"/>
        </w:rPr>
        <w:t> </w:t>
      </w:r>
      <w:r>
        <w:rPr>
          <w:color w:val="231F20"/>
          <w:w w:val="105"/>
          <w:sz w:val="20"/>
        </w:rPr>
        <w:t>and</w:t>
      </w:r>
      <w:r>
        <w:rPr>
          <w:color w:val="231F20"/>
          <w:spacing w:val="-14"/>
          <w:w w:val="105"/>
          <w:sz w:val="20"/>
        </w:rPr>
        <w:t> </w:t>
      </w:r>
      <w:r>
        <w:rPr>
          <w:color w:val="231F20"/>
          <w:w w:val="105"/>
          <w:sz w:val="20"/>
        </w:rPr>
        <w:t>new</w:t>
      </w:r>
      <w:r>
        <w:rPr>
          <w:color w:val="231F20"/>
          <w:spacing w:val="-13"/>
          <w:w w:val="105"/>
          <w:sz w:val="20"/>
        </w:rPr>
        <w:t> </w:t>
      </w:r>
      <w:r>
        <w:rPr>
          <w:color w:val="231F20"/>
          <w:w w:val="105"/>
          <w:sz w:val="20"/>
        </w:rPr>
        <w:t>or</w:t>
      </w:r>
    </w:p>
    <w:p>
      <w:pPr>
        <w:pStyle w:val="BodyText"/>
        <w:spacing w:line="266" w:lineRule="auto"/>
        <w:ind w:left="491" w:right="736"/>
        <w:rPr>
          <w:sz w:val="11"/>
        </w:rPr>
      </w:pPr>
      <w:r>
        <w:rPr>
          <w:color w:val="231F20"/>
          <w:w w:val="105"/>
        </w:rPr>
        <w:t>reemerging agents. Recent examples include recognition of sapovirus as a significant agent in norovirus-like outbreaks</w:t>
      </w:r>
      <w:r>
        <w:rPr>
          <w:color w:val="231F20"/>
          <w:w w:val="105"/>
          <w:position w:val="7"/>
          <w:sz w:val="11"/>
        </w:rPr>
        <w:t>4 </w:t>
      </w:r>
      <w:r>
        <w:rPr>
          <w:color w:val="231F20"/>
          <w:w w:val="105"/>
        </w:rPr>
        <w:t>and identification</w:t>
      </w:r>
      <w:r>
        <w:rPr>
          <w:color w:val="231F20"/>
          <w:spacing w:val="-22"/>
          <w:w w:val="105"/>
        </w:rPr>
        <w:t> </w:t>
      </w:r>
      <w:r>
        <w:rPr>
          <w:color w:val="231F20"/>
          <w:w w:val="105"/>
        </w:rPr>
        <w:t>of</w:t>
      </w:r>
      <w:r>
        <w:rPr>
          <w:color w:val="231F20"/>
          <w:spacing w:val="-4"/>
          <w:w w:val="105"/>
        </w:rPr>
        <w:t> </w:t>
      </w:r>
      <w:r>
        <w:rPr>
          <w:i/>
          <w:color w:val="231F20"/>
          <w:w w:val="105"/>
        </w:rPr>
        <w:t>Arcobacter</w:t>
      </w:r>
      <w:r>
        <w:rPr>
          <w:i/>
          <w:color w:val="231F20"/>
          <w:spacing w:val="-22"/>
          <w:w w:val="105"/>
        </w:rPr>
        <w:t> </w:t>
      </w:r>
      <w:r>
        <w:rPr>
          <w:i/>
          <w:color w:val="231F20"/>
          <w:w w:val="105"/>
        </w:rPr>
        <w:t>butzleri</w:t>
      </w:r>
      <w:r>
        <w:rPr>
          <w:i/>
          <w:color w:val="231F20"/>
          <w:spacing w:val="-22"/>
          <w:w w:val="105"/>
        </w:rPr>
        <w:t> </w:t>
      </w:r>
      <w:r>
        <w:rPr>
          <w:color w:val="231F20"/>
          <w:w w:val="105"/>
        </w:rPr>
        <w:t>as</w:t>
      </w:r>
      <w:r>
        <w:rPr>
          <w:color w:val="231F20"/>
          <w:spacing w:val="-22"/>
          <w:w w:val="105"/>
        </w:rPr>
        <w:t> </w:t>
      </w:r>
      <w:r>
        <w:rPr>
          <w:color w:val="231F20"/>
          <w:w w:val="105"/>
        </w:rPr>
        <w:t>the</w:t>
      </w:r>
      <w:r>
        <w:rPr>
          <w:color w:val="231F20"/>
          <w:spacing w:val="-22"/>
          <w:w w:val="105"/>
        </w:rPr>
        <w:t> </w:t>
      </w:r>
      <w:r>
        <w:rPr>
          <w:color w:val="231F20"/>
          <w:w w:val="105"/>
        </w:rPr>
        <w:t>likely agent in an outbreak of gastroenteritis at an event.</w:t>
      </w:r>
      <w:r>
        <w:rPr>
          <w:color w:val="231F20"/>
          <w:w w:val="105"/>
          <w:position w:val="7"/>
          <w:sz w:val="11"/>
        </w:rPr>
        <w:t>5 </w:t>
      </w:r>
      <w:r>
        <w:rPr>
          <w:color w:val="231F20"/>
          <w:w w:val="105"/>
        </w:rPr>
        <w:t>In one </w:t>
      </w:r>
      <w:r>
        <w:rPr>
          <w:color w:val="231F20"/>
          <w:spacing w:val="-6"/>
          <w:w w:val="105"/>
        </w:rPr>
        <w:t>study, </w:t>
      </w:r>
      <w:r>
        <w:rPr>
          <w:color w:val="231F20"/>
          <w:w w:val="105"/>
        </w:rPr>
        <w:t>consumer complaint surveillance</w:t>
      </w:r>
      <w:r>
        <w:rPr>
          <w:color w:val="231F20"/>
          <w:spacing w:val="-14"/>
          <w:w w:val="105"/>
        </w:rPr>
        <w:t> </w:t>
      </w:r>
      <w:r>
        <w:rPr>
          <w:color w:val="231F20"/>
          <w:w w:val="105"/>
        </w:rPr>
        <w:t>alone</w:t>
      </w:r>
      <w:r>
        <w:rPr>
          <w:color w:val="231F20"/>
          <w:spacing w:val="-13"/>
          <w:w w:val="105"/>
        </w:rPr>
        <w:t> </w:t>
      </w:r>
      <w:r>
        <w:rPr>
          <w:color w:val="231F20"/>
          <w:w w:val="105"/>
        </w:rPr>
        <w:t>led</w:t>
      </w:r>
      <w:r>
        <w:rPr>
          <w:color w:val="231F20"/>
          <w:spacing w:val="-13"/>
          <w:w w:val="105"/>
        </w:rPr>
        <w:t> </w:t>
      </w:r>
      <w:r>
        <w:rPr>
          <w:color w:val="231F20"/>
          <w:w w:val="105"/>
        </w:rPr>
        <w:t>to</w:t>
      </w:r>
      <w:r>
        <w:rPr>
          <w:color w:val="231F20"/>
          <w:spacing w:val="-13"/>
          <w:w w:val="105"/>
        </w:rPr>
        <w:t> </w:t>
      </w:r>
      <w:r>
        <w:rPr>
          <w:color w:val="231F20"/>
          <w:w w:val="105"/>
        </w:rPr>
        <w:t>detection</w:t>
      </w:r>
      <w:r>
        <w:rPr>
          <w:color w:val="231F20"/>
          <w:spacing w:val="-12"/>
          <w:w w:val="105"/>
        </w:rPr>
        <w:t> </w:t>
      </w:r>
      <w:r>
        <w:rPr>
          <w:color w:val="231F20"/>
          <w:w w:val="105"/>
        </w:rPr>
        <w:t>of</w:t>
      </w:r>
      <w:r>
        <w:rPr>
          <w:color w:val="231F20"/>
          <w:spacing w:val="10"/>
          <w:w w:val="105"/>
        </w:rPr>
        <w:t> </w:t>
      </w:r>
      <w:r>
        <w:rPr>
          <w:color w:val="231F20"/>
          <w:w w:val="105"/>
        </w:rPr>
        <w:t>79%</w:t>
      </w:r>
      <w:r>
        <w:rPr>
          <w:color w:val="231F20"/>
          <w:spacing w:val="-12"/>
          <w:w w:val="105"/>
        </w:rPr>
        <w:t> </w:t>
      </w:r>
      <w:r>
        <w:rPr>
          <w:color w:val="231F20"/>
          <w:w w:val="105"/>
        </w:rPr>
        <w:t>of confirmed foodborne outbreaks, including </w:t>
      </w:r>
      <w:r>
        <w:rPr>
          <w:color w:val="231F20"/>
        </w:rPr>
        <w:t>most norovirus</w:t>
      </w:r>
      <w:r>
        <w:rPr>
          <w:color w:val="231F20"/>
          <w:spacing w:val="20"/>
        </w:rPr>
        <w:t> </w:t>
      </w:r>
      <w:r>
        <w:rPr>
          <w:color w:val="231F20"/>
        </w:rPr>
        <w:t>outbreaks.</w:t>
      </w:r>
      <w:r>
        <w:rPr>
          <w:color w:val="231F20"/>
          <w:position w:val="7"/>
          <w:sz w:val="11"/>
        </w:rPr>
        <w:t>4</w:t>
      </w:r>
    </w:p>
    <w:p>
      <w:pPr>
        <w:spacing w:after="0" w:line="266" w:lineRule="auto"/>
        <w:rPr>
          <w:sz w:val="11"/>
        </w:rPr>
        <w:sectPr>
          <w:type w:val="continuous"/>
          <w:pgSz w:w="10080" w:h="14400"/>
          <w:pgMar w:top="0" w:bottom="0" w:left="0" w:right="0"/>
          <w:cols w:num="2" w:equalWidth="0">
            <w:col w:w="5219" w:space="40"/>
            <w:col w:w="4821"/>
          </w:cols>
        </w:sectPr>
      </w:pPr>
    </w:p>
    <w:p>
      <w:pPr>
        <w:pStyle w:val="BodyText"/>
        <w:spacing w:before="8"/>
        <w:rPr>
          <w:sz w:val="26"/>
        </w:rPr>
      </w:pPr>
    </w:p>
    <w:p>
      <w:pPr>
        <w:pStyle w:val="Heading1"/>
        <w:numPr>
          <w:ilvl w:val="1"/>
          <w:numId w:val="16"/>
        </w:numPr>
        <w:tabs>
          <w:tab w:pos="1265" w:val="left" w:leader="none"/>
        </w:tabs>
        <w:spacing w:line="240" w:lineRule="auto" w:before="89" w:after="0"/>
        <w:ind w:left="1264" w:right="0" w:hanging="544"/>
        <w:jc w:val="left"/>
      </w:pPr>
      <w:r>
        <w:rPr/>
        <w:pict>
          <v:line style="position:absolute;mso-position-horizontal-relative:page;mso-position-vertical-relative:paragraph;z-index:3496;mso-wrap-distance-left:0;mso-wrap-distance-right:0" from="36pt,23.995163pt" to="432pt,23.995163pt" stroked="true" strokeweight=".5pt" strokecolor="#00a94f">
            <v:stroke dashstyle="solid"/>
            <w10:wrap type="topAndBottom"/>
          </v:line>
        </w:pict>
      </w:r>
      <w:r>
        <w:rPr>
          <w:color w:val="00A94F"/>
          <w:w w:val="95"/>
        </w:rPr>
        <w:t>Complaint</w:t>
      </w:r>
      <w:r>
        <w:rPr>
          <w:color w:val="00A94F"/>
          <w:spacing w:val="-56"/>
          <w:w w:val="95"/>
        </w:rPr>
        <w:t> </w:t>
      </w:r>
      <w:r>
        <w:rPr>
          <w:color w:val="00A94F"/>
          <w:w w:val="95"/>
        </w:rPr>
        <w:t>Systems</w:t>
      </w:r>
    </w:p>
    <w:p>
      <w:pPr>
        <w:pStyle w:val="BodyText"/>
        <w:spacing w:before="7"/>
        <w:rPr>
          <w:rFonts w:ascii="Lucida Sans"/>
          <w:sz w:val="17"/>
        </w:rPr>
      </w:pPr>
    </w:p>
    <w:p>
      <w:pPr>
        <w:spacing w:after="0"/>
        <w:rPr>
          <w:rFonts w:ascii="Lucida Sans"/>
          <w:sz w:val="17"/>
        </w:rPr>
        <w:sectPr>
          <w:pgSz w:w="10080" w:h="14400"/>
          <w:pgMar w:header="0" w:footer="0" w:top="980" w:bottom="280" w:left="0" w:right="0"/>
        </w:sectPr>
      </w:pPr>
    </w:p>
    <w:p>
      <w:pPr>
        <w:pStyle w:val="ListParagraph"/>
        <w:numPr>
          <w:ilvl w:val="1"/>
          <w:numId w:val="11"/>
        </w:numPr>
        <w:tabs>
          <w:tab w:pos="891" w:val="left" w:leader="none"/>
        </w:tabs>
        <w:spacing w:line="266" w:lineRule="auto" w:before="108" w:after="0"/>
        <w:ind w:left="890" w:right="377" w:hanging="170"/>
        <w:jc w:val="left"/>
        <w:rPr>
          <w:sz w:val="20"/>
        </w:rPr>
      </w:pPr>
      <w:r>
        <w:rPr>
          <w:color w:val="231F20"/>
          <w:spacing w:val="-7"/>
          <w:w w:val="105"/>
          <w:sz w:val="20"/>
        </w:rPr>
        <w:t>For</w:t>
      </w:r>
      <w:r>
        <w:rPr>
          <w:color w:val="231F20"/>
          <w:spacing w:val="-14"/>
          <w:w w:val="105"/>
          <w:sz w:val="20"/>
        </w:rPr>
        <w:t> </w:t>
      </w:r>
      <w:r>
        <w:rPr>
          <w:color w:val="231F20"/>
          <w:w w:val="105"/>
          <w:sz w:val="20"/>
        </w:rPr>
        <w:t>event-related</w:t>
      </w:r>
      <w:r>
        <w:rPr>
          <w:color w:val="231F20"/>
          <w:spacing w:val="-15"/>
          <w:w w:val="105"/>
          <w:sz w:val="20"/>
        </w:rPr>
        <w:t> </w:t>
      </w:r>
      <w:r>
        <w:rPr>
          <w:color w:val="231F20"/>
          <w:w w:val="105"/>
          <w:sz w:val="20"/>
        </w:rPr>
        <w:t>complaints</w:t>
      </w:r>
      <w:r>
        <w:rPr>
          <w:color w:val="231F20"/>
          <w:spacing w:val="-14"/>
          <w:w w:val="105"/>
          <w:sz w:val="20"/>
        </w:rPr>
        <w:t> </w:t>
      </w:r>
      <w:r>
        <w:rPr>
          <w:color w:val="231F20"/>
          <w:w w:val="105"/>
          <w:sz w:val="20"/>
        </w:rPr>
        <w:t>only:</w:t>
      </w:r>
      <w:r>
        <w:rPr>
          <w:color w:val="231F20"/>
          <w:spacing w:val="-15"/>
          <w:w w:val="105"/>
          <w:sz w:val="20"/>
        </w:rPr>
        <w:t> </w:t>
      </w:r>
      <w:r>
        <w:rPr>
          <w:color w:val="231F20"/>
          <w:w w:val="105"/>
          <w:sz w:val="20"/>
        </w:rPr>
        <w:t>recall of</w:t>
      </w:r>
      <w:r>
        <w:rPr>
          <w:color w:val="231F20"/>
          <w:spacing w:val="2"/>
          <w:w w:val="105"/>
          <w:sz w:val="20"/>
        </w:rPr>
        <w:t> </w:t>
      </w:r>
      <w:r>
        <w:rPr>
          <w:color w:val="231F20"/>
          <w:w w:val="105"/>
          <w:sz w:val="20"/>
        </w:rPr>
        <w:t>food</w:t>
      </w:r>
      <w:r>
        <w:rPr>
          <w:color w:val="231F20"/>
          <w:spacing w:val="-17"/>
          <w:w w:val="105"/>
          <w:sz w:val="20"/>
        </w:rPr>
        <w:t> </w:t>
      </w:r>
      <w:r>
        <w:rPr>
          <w:color w:val="231F20"/>
          <w:w w:val="105"/>
          <w:sz w:val="20"/>
        </w:rPr>
        <w:t>items</w:t>
      </w:r>
      <w:r>
        <w:rPr>
          <w:color w:val="231F20"/>
          <w:spacing w:val="-17"/>
          <w:w w:val="105"/>
          <w:sz w:val="20"/>
        </w:rPr>
        <w:t> </w:t>
      </w:r>
      <w:r>
        <w:rPr>
          <w:color w:val="231F20"/>
          <w:w w:val="105"/>
          <w:sz w:val="20"/>
        </w:rPr>
        <w:t>eaten</w:t>
      </w:r>
      <w:r>
        <w:rPr>
          <w:color w:val="231F20"/>
          <w:spacing w:val="-18"/>
          <w:w w:val="105"/>
          <w:sz w:val="20"/>
        </w:rPr>
        <w:t> </w:t>
      </w:r>
      <w:r>
        <w:rPr>
          <w:color w:val="231F20"/>
          <w:w w:val="105"/>
          <w:sz w:val="20"/>
        </w:rPr>
        <w:t>and</w:t>
      </w:r>
      <w:r>
        <w:rPr>
          <w:color w:val="231F20"/>
          <w:spacing w:val="-18"/>
          <w:w w:val="105"/>
          <w:sz w:val="20"/>
        </w:rPr>
        <w:t> </w:t>
      </w:r>
      <w:r>
        <w:rPr>
          <w:color w:val="231F20"/>
          <w:w w:val="105"/>
          <w:sz w:val="20"/>
        </w:rPr>
        <w:t>other</w:t>
      </w:r>
      <w:r>
        <w:rPr>
          <w:color w:val="231F20"/>
          <w:spacing w:val="-17"/>
          <w:w w:val="105"/>
          <w:sz w:val="20"/>
        </w:rPr>
        <w:t> </w:t>
      </w:r>
      <w:r>
        <w:rPr>
          <w:color w:val="231F20"/>
          <w:w w:val="105"/>
          <w:sz w:val="20"/>
        </w:rPr>
        <w:t>exposures</w:t>
      </w:r>
    </w:p>
    <w:p>
      <w:pPr>
        <w:pStyle w:val="BodyText"/>
        <w:spacing w:line="266" w:lineRule="auto"/>
        <w:ind w:left="890" w:right="142"/>
      </w:pPr>
      <w:r>
        <w:rPr>
          <w:color w:val="231F20"/>
          <w:spacing w:val="-3"/>
          <w:w w:val="105"/>
        </w:rPr>
        <w:t>by</w:t>
      </w:r>
      <w:r>
        <w:rPr>
          <w:color w:val="231F20"/>
          <w:spacing w:val="-16"/>
          <w:w w:val="105"/>
        </w:rPr>
        <w:t> </w:t>
      </w:r>
      <w:r>
        <w:rPr>
          <w:color w:val="231F20"/>
          <w:w w:val="105"/>
        </w:rPr>
        <w:t>cases</w:t>
      </w:r>
      <w:r>
        <w:rPr>
          <w:color w:val="231F20"/>
          <w:spacing w:val="-15"/>
          <w:w w:val="105"/>
        </w:rPr>
        <w:t> </w:t>
      </w:r>
      <w:r>
        <w:rPr>
          <w:color w:val="231F20"/>
          <w:w w:val="105"/>
        </w:rPr>
        <w:t>usually</w:t>
      </w:r>
      <w:r>
        <w:rPr>
          <w:color w:val="231F20"/>
          <w:spacing w:val="-16"/>
          <w:w w:val="105"/>
        </w:rPr>
        <w:t> </w:t>
      </w:r>
      <w:r>
        <w:rPr>
          <w:color w:val="231F20"/>
          <w:w w:val="105"/>
        </w:rPr>
        <w:t>is</w:t>
      </w:r>
      <w:r>
        <w:rPr>
          <w:color w:val="231F20"/>
          <w:spacing w:val="-16"/>
          <w:w w:val="105"/>
        </w:rPr>
        <w:t> </w:t>
      </w:r>
      <w:r>
        <w:rPr>
          <w:color w:val="231F20"/>
          <w:w w:val="105"/>
        </w:rPr>
        <w:t>good</w:t>
      </w:r>
      <w:r>
        <w:rPr>
          <w:color w:val="231F20"/>
          <w:spacing w:val="-16"/>
          <w:w w:val="105"/>
        </w:rPr>
        <w:t> </w:t>
      </w:r>
      <w:r>
        <w:rPr>
          <w:color w:val="231F20"/>
          <w:w w:val="105"/>
        </w:rPr>
        <w:t>for</w:t>
      </w:r>
      <w:r>
        <w:rPr>
          <w:color w:val="231F20"/>
          <w:spacing w:val="-15"/>
          <w:w w:val="105"/>
        </w:rPr>
        <w:t> </w:t>
      </w:r>
      <w:r>
        <w:rPr>
          <w:color w:val="231F20"/>
          <w:w w:val="105"/>
        </w:rPr>
        <w:t>reported</w:t>
      </w:r>
      <w:r>
        <w:rPr>
          <w:color w:val="231F20"/>
          <w:spacing w:val="-15"/>
          <w:w w:val="105"/>
        </w:rPr>
        <w:t> </w:t>
      </w:r>
      <w:r>
        <w:rPr>
          <w:color w:val="231F20"/>
          <w:w w:val="105"/>
        </w:rPr>
        <w:t>events because items consumed at the event can be</w:t>
      </w:r>
      <w:r>
        <w:rPr>
          <w:color w:val="231F20"/>
          <w:spacing w:val="-8"/>
          <w:w w:val="105"/>
        </w:rPr>
        <w:t> </w:t>
      </w:r>
      <w:r>
        <w:rPr>
          <w:color w:val="231F20"/>
          <w:w w:val="105"/>
        </w:rPr>
        <w:t>identified</w:t>
      </w:r>
      <w:r>
        <w:rPr>
          <w:color w:val="231F20"/>
          <w:spacing w:val="-8"/>
          <w:w w:val="105"/>
        </w:rPr>
        <w:t> </w:t>
      </w:r>
      <w:r>
        <w:rPr>
          <w:color w:val="231F20"/>
          <w:spacing w:val="-3"/>
          <w:w w:val="105"/>
        </w:rPr>
        <w:t>by</w:t>
      </w:r>
      <w:r>
        <w:rPr>
          <w:color w:val="231F20"/>
          <w:spacing w:val="-8"/>
          <w:w w:val="105"/>
        </w:rPr>
        <w:t> </w:t>
      </w:r>
      <w:r>
        <w:rPr>
          <w:color w:val="231F20"/>
          <w:w w:val="105"/>
        </w:rPr>
        <w:t>menus</w:t>
      </w:r>
      <w:r>
        <w:rPr>
          <w:color w:val="231F20"/>
          <w:spacing w:val="-8"/>
          <w:w w:val="105"/>
        </w:rPr>
        <w:t> </w:t>
      </w:r>
      <w:r>
        <w:rPr>
          <w:color w:val="231F20"/>
          <w:w w:val="105"/>
        </w:rPr>
        <w:t>or</w:t>
      </w:r>
      <w:r>
        <w:rPr>
          <w:color w:val="231F20"/>
          <w:spacing w:val="-8"/>
          <w:w w:val="105"/>
        </w:rPr>
        <w:t> </w:t>
      </w:r>
      <w:r>
        <w:rPr>
          <w:color w:val="231F20"/>
          <w:w w:val="105"/>
        </w:rPr>
        <w:t>other</w:t>
      </w:r>
      <w:r>
        <w:rPr>
          <w:color w:val="231F20"/>
          <w:spacing w:val="-8"/>
          <w:w w:val="105"/>
        </w:rPr>
        <w:t> </w:t>
      </w:r>
      <w:r>
        <w:rPr>
          <w:color w:val="231F20"/>
          <w:w w:val="105"/>
        </w:rPr>
        <w:t>means</w:t>
      </w:r>
      <w:r>
        <w:rPr>
          <w:color w:val="231F20"/>
          <w:spacing w:val="-8"/>
          <w:w w:val="105"/>
        </w:rPr>
        <w:t> </w:t>
      </w:r>
      <w:r>
        <w:rPr>
          <w:color w:val="231F20"/>
          <w:w w:val="105"/>
        </w:rPr>
        <w:t>and specifically included in the</w:t>
      </w:r>
      <w:r>
        <w:rPr>
          <w:color w:val="231F20"/>
          <w:spacing w:val="-30"/>
          <w:w w:val="105"/>
        </w:rPr>
        <w:t> </w:t>
      </w:r>
      <w:r>
        <w:rPr>
          <w:color w:val="231F20"/>
          <w:spacing w:val="-3"/>
          <w:w w:val="105"/>
        </w:rPr>
        <w:t>interview.</w:t>
      </w:r>
    </w:p>
    <w:p>
      <w:pPr>
        <w:pStyle w:val="ListParagraph"/>
        <w:numPr>
          <w:ilvl w:val="1"/>
          <w:numId w:val="11"/>
        </w:numPr>
        <w:tabs>
          <w:tab w:pos="891" w:val="left" w:leader="none"/>
        </w:tabs>
        <w:spacing w:line="266" w:lineRule="auto" w:before="90" w:after="0"/>
        <w:ind w:left="890" w:right="219" w:hanging="170"/>
        <w:jc w:val="left"/>
        <w:rPr>
          <w:sz w:val="20"/>
        </w:rPr>
      </w:pPr>
      <w:r>
        <w:rPr>
          <w:color w:val="231F20"/>
          <w:sz w:val="20"/>
        </w:rPr>
        <w:t>Complaint surveillance systems are inherently faster than pathogen-specific surveillance because the chain of events related to laboratory testing and reporting  is not required (section 4.1.6). Exposure information gained through patient interviews has the potential for being </w:t>
      </w:r>
      <w:r>
        <w:rPr>
          <w:color w:val="231F20"/>
          <w:spacing w:val="36"/>
          <w:sz w:val="20"/>
        </w:rPr>
        <w:t> </w:t>
      </w:r>
      <w:r>
        <w:rPr>
          <w:color w:val="231F20"/>
          <w:sz w:val="20"/>
        </w:rPr>
        <w:t>high</w:t>
      </w:r>
    </w:p>
    <w:p>
      <w:pPr>
        <w:pStyle w:val="BodyText"/>
        <w:spacing w:line="266" w:lineRule="auto"/>
        <w:ind w:left="890" w:right="-18"/>
      </w:pPr>
      <w:r>
        <w:rPr>
          <w:color w:val="231F20"/>
          <w:w w:val="105"/>
        </w:rPr>
        <w:t>quality because patient recall is highest close to the exposure event.</w:t>
      </w:r>
    </w:p>
    <w:p>
      <w:pPr>
        <w:pStyle w:val="ListParagraph"/>
        <w:numPr>
          <w:ilvl w:val="1"/>
          <w:numId w:val="11"/>
        </w:numPr>
        <w:tabs>
          <w:tab w:pos="891" w:val="left" w:leader="none"/>
        </w:tabs>
        <w:spacing w:line="266" w:lineRule="auto" w:before="90" w:after="0"/>
        <w:ind w:left="890" w:right="131" w:hanging="170"/>
        <w:jc w:val="left"/>
        <w:rPr>
          <w:sz w:val="11"/>
        </w:rPr>
      </w:pPr>
      <w:r>
        <w:rPr>
          <w:color w:val="231F20"/>
          <w:w w:val="105"/>
          <w:sz w:val="20"/>
        </w:rPr>
        <w:t>Because</w:t>
      </w:r>
      <w:r>
        <w:rPr>
          <w:color w:val="231F20"/>
          <w:spacing w:val="-13"/>
          <w:w w:val="105"/>
          <w:sz w:val="20"/>
        </w:rPr>
        <w:t> </w:t>
      </w:r>
      <w:r>
        <w:rPr>
          <w:color w:val="231F20"/>
          <w:w w:val="105"/>
          <w:sz w:val="20"/>
        </w:rPr>
        <w:t>of</w:t>
      </w:r>
      <w:r>
        <w:rPr>
          <w:color w:val="231F20"/>
          <w:spacing w:val="11"/>
          <w:w w:val="105"/>
          <w:sz w:val="20"/>
        </w:rPr>
        <w:t> </w:t>
      </w:r>
      <w:r>
        <w:rPr>
          <w:color w:val="231F20"/>
          <w:w w:val="105"/>
          <w:sz w:val="20"/>
        </w:rPr>
        <w:t>the</w:t>
      </w:r>
      <w:r>
        <w:rPr>
          <w:color w:val="231F20"/>
          <w:spacing w:val="-13"/>
          <w:w w:val="105"/>
          <w:sz w:val="20"/>
        </w:rPr>
        <w:t> </w:t>
      </w:r>
      <w:r>
        <w:rPr>
          <w:color w:val="231F20"/>
          <w:w w:val="105"/>
          <w:sz w:val="20"/>
        </w:rPr>
        <w:t>relatively</w:t>
      </w:r>
      <w:r>
        <w:rPr>
          <w:color w:val="231F20"/>
          <w:spacing w:val="-13"/>
          <w:w w:val="105"/>
          <w:sz w:val="20"/>
        </w:rPr>
        <w:t> </w:t>
      </w:r>
      <w:r>
        <w:rPr>
          <w:color w:val="231F20"/>
          <w:w w:val="105"/>
          <w:sz w:val="20"/>
        </w:rPr>
        <w:t>limited</w:t>
      </w:r>
      <w:r>
        <w:rPr>
          <w:color w:val="231F20"/>
          <w:spacing w:val="-13"/>
          <w:w w:val="105"/>
          <w:sz w:val="20"/>
        </w:rPr>
        <w:t> </w:t>
      </w:r>
      <w:r>
        <w:rPr>
          <w:color w:val="231F20"/>
          <w:w w:val="105"/>
          <w:sz w:val="20"/>
        </w:rPr>
        <w:t>number</w:t>
      </w:r>
      <w:r>
        <w:rPr>
          <w:color w:val="231F20"/>
          <w:spacing w:val="-12"/>
          <w:w w:val="105"/>
          <w:sz w:val="20"/>
        </w:rPr>
        <w:t> </w:t>
      </w:r>
      <w:r>
        <w:rPr>
          <w:color w:val="231F20"/>
          <w:w w:val="105"/>
          <w:sz w:val="20"/>
        </w:rPr>
        <w:t>of exposures to consider (see 4.3.8.2 below), investigations</w:t>
      </w:r>
      <w:r>
        <w:rPr>
          <w:color w:val="231F20"/>
          <w:spacing w:val="-29"/>
          <w:w w:val="105"/>
          <w:sz w:val="20"/>
        </w:rPr>
        <w:t> </w:t>
      </w:r>
      <w:r>
        <w:rPr>
          <w:color w:val="231F20"/>
          <w:w w:val="105"/>
          <w:sz w:val="20"/>
        </w:rPr>
        <w:t>of</w:t>
      </w:r>
      <w:r>
        <w:rPr>
          <w:color w:val="231F20"/>
          <w:spacing w:val="-15"/>
          <w:w w:val="105"/>
          <w:sz w:val="20"/>
        </w:rPr>
        <w:t> </w:t>
      </w:r>
      <w:r>
        <w:rPr>
          <w:color w:val="231F20"/>
          <w:w w:val="105"/>
          <w:sz w:val="20"/>
        </w:rPr>
        <w:t>event-related</w:t>
      </w:r>
      <w:r>
        <w:rPr>
          <w:color w:val="231F20"/>
          <w:spacing w:val="-29"/>
          <w:w w:val="105"/>
          <w:sz w:val="20"/>
        </w:rPr>
        <w:t> </w:t>
      </w:r>
      <w:r>
        <w:rPr>
          <w:color w:val="231F20"/>
          <w:w w:val="105"/>
          <w:sz w:val="20"/>
        </w:rPr>
        <w:t>notifications can be pivotal to solving widespread outbreaks detected through pathogen- specific surveillance. Recent examples include an international outbreak of </w:t>
      </w:r>
      <w:r>
        <w:rPr>
          <w:i/>
          <w:color w:val="231F20"/>
          <w:w w:val="105"/>
          <w:sz w:val="20"/>
        </w:rPr>
        <w:t>Salmonella </w:t>
      </w:r>
      <w:r>
        <w:rPr>
          <w:color w:val="231F20"/>
          <w:w w:val="105"/>
          <w:sz w:val="20"/>
        </w:rPr>
        <w:t>Bareilly and </w:t>
      </w:r>
      <w:r>
        <w:rPr>
          <w:i/>
          <w:color w:val="231F20"/>
          <w:w w:val="105"/>
          <w:sz w:val="20"/>
        </w:rPr>
        <w:t>Salmonella </w:t>
      </w:r>
      <w:r>
        <w:rPr>
          <w:color w:val="231F20"/>
          <w:w w:val="105"/>
          <w:sz w:val="20"/>
        </w:rPr>
        <w:t>Nchanga infections associated with a raw scraped ground tuna product</w:t>
      </w:r>
      <w:r>
        <w:rPr>
          <w:color w:val="231F20"/>
          <w:w w:val="105"/>
          <w:position w:val="7"/>
          <w:sz w:val="11"/>
        </w:rPr>
        <w:t>6 </w:t>
      </w:r>
      <w:r>
        <w:rPr>
          <w:color w:val="231F20"/>
          <w:w w:val="105"/>
          <w:sz w:val="20"/>
        </w:rPr>
        <w:t>and a large outbreak of </w:t>
      </w:r>
      <w:r>
        <w:rPr>
          <w:i/>
          <w:color w:val="231F20"/>
          <w:w w:val="105"/>
          <w:sz w:val="20"/>
        </w:rPr>
        <w:t>Salmonella </w:t>
      </w:r>
      <w:r>
        <w:rPr>
          <w:color w:val="231F20"/>
          <w:spacing w:val="-3"/>
          <w:w w:val="105"/>
          <w:sz w:val="20"/>
        </w:rPr>
        <w:t>Typhimurium </w:t>
      </w:r>
      <w:r>
        <w:rPr>
          <w:color w:val="231F20"/>
          <w:w w:val="105"/>
          <w:sz w:val="20"/>
        </w:rPr>
        <w:t>infections associated</w:t>
      </w:r>
      <w:r>
        <w:rPr>
          <w:color w:val="231F20"/>
          <w:spacing w:val="-20"/>
          <w:w w:val="105"/>
          <w:sz w:val="20"/>
        </w:rPr>
        <w:t> </w:t>
      </w:r>
      <w:r>
        <w:rPr>
          <w:color w:val="231F20"/>
          <w:w w:val="105"/>
          <w:sz w:val="20"/>
        </w:rPr>
        <w:t>with</w:t>
      </w:r>
      <w:r>
        <w:rPr>
          <w:color w:val="231F20"/>
          <w:spacing w:val="-19"/>
          <w:w w:val="105"/>
          <w:sz w:val="20"/>
        </w:rPr>
        <w:t> </w:t>
      </w:r>
      <w:r>
        <w:rPr>
          <w:color w:val="231F20"/>
          <w:w w:val="105"/>
          <w:sz w:val="20"/>
        </w:rPr>
        <w:t>peanut</w:t>
      </w:r>
      <w:r>
        <w:rPr>
          <w:color w:val="231F20"/>
          <w:spacing w:val="-19"/>
          <w:w w:val="105"/>
          <w:sz w:val="20"/>
        </w:rPr>
        <w:t> </w:t>
      </w:r>
      <w:r>
        <w:rPr>
          <w:color w:val="231F20"/>
          <w:w w:val="105"/>
          <w:sz w:val="20"/>
        </w:rPr>
        <w:t>products.</w:t>
      </w:r>
      <w:r>
        <w:rPr>
          <w:color w:val="231F20"/>
          <w:w w:val="105"/>
          <w:position w:val="7"/>
          <w:sz w:val="11"/>
        </w:rPr>
        <w:t>7</w:t>
      </w:r>
    </w:p>
    <w:p>
      <w:pPr>
        <w:pStyle w:val="ListParagraph"/>
        <w:numPr>
          <w:ilvl w:val="2"/>
          <w:numId w:val="16"/>
        </w:numPr>
        <w:tabs>
          <w:tab w:pos="1276" w:val="left" w:leader="none"/>
        </w:tabs>
        <w:spacing w:line="240" w:lineRule="auto" w:before="159" w:after="0"/>
        <w:ind w:left="345" w:right="0" w:firstLine="375"/>
        <w:jc w:val="left"/>
        <w:rPr>
          <w:rFonts w:ascii="Lucida Sans"/>
          <w:sz w:val="20"/>
        </w:rPr>
      </w:pPr>
      <w:r>
        <w:rPr>
          <w:rFonts w:ascii="Lucida Sans"/>
          <w:color w:val="1C3E94"/>
          <w:w w:val="95"/>
          <w:sz w:val="20"/>
        </w:rPr>
        <w:t>Limitations</w:t>
      </w:r>
      <w:r>
        <w:rPr>
          <w:rFonts w:ascii="Lucida Sans"/>
          <w:color w:val="1C3E94"/>
          <w:spacing w:val="-34"/>
          <w:w w:val="95"/>
          <w:sz w:val="20"/>
        </w:rPr>
        <w:t> </w:t>
      </w:r>
      <w:r>
        <w:rPr>
          <w:rFonts w:ascii="Lucida Sans"/>
          <w:color w:val="1C3E94"/>
          <w:w w:val="95"/>
          <w:sz w:val="20"/>
        </w:rPr>
        <w:t>of</w:t>
      </w:r>
      <w:r>
        <w:rPr>
          <w:rFonts w:ascii="Lucida Sans"/>
          <w:color w:val="1C3E94"/>
          <w:spacing w:val="-34"/>
          <w:w w:val="95"/>
          <w:sz w:val="20"/>
        </w:rPr>
        <w:t> </w:t>
      </w:r>
      <w:r>
        <w:rPr>
          <w:rFonts w:ascii="Lucida Sans"/>
          <w:color w:val="1C3E94"/>
          <w:w w:val="95"/>
          <w:sz w:val="20"/>
        </w:rPr>
        <w:t>Complaint</w:t>
      </w:r>
      <w:r>
        <w:rPr>
          <w:rFonts w:ascii="Lucida Sans"/>
          <w:color w:val="1C3E94"/>
          <w:spacing w:val="-34"/>
          <w:w w:val="95"/>
          <w:sz w:val="20"/>
        </w:rPr>
        <w:t> </w:t>
      </w:r>
      <w:r>
        <w:rPr>
          <w:rFonts w:ascii="Lucida Sans"/>
          <w:color w:val="1C3E94"/>
          <w:w w:val="95"/>
          <w:sz w:val="20"/>
        </w:rPr>
        <w:t>Systems</w:t>
      </w:r>
    </w:p>
    <w:p>
      <w:pPr>
        <w:pStyle w:val="BodyText"/>
        <w:spacing w:before="3"/>
        <w:rPr>
          <w:rFonts w:ascii="Lucida Sans"/>
          <w:sz w:val="18"/>
        </w:rPr>
      </w:pPr>
    </w:p>
    <w:p>
      <w:pPr>
        <w:pStyle w:val="ListParagraph"/>
        <w:numPr>
          <w:ilvl w:val="1"/>
          <w:numId w:val="11"/>
        </w:numPr>
        <w:tabs>
          <w:tab w:pos="891" w:val="left" w:leader="none"/>
        </w:tabs>
        <w:spacing w:line="266" w:lineRule="auto" w:before="0" w:after="0"/>
        <w:ind w:left="890" w:right="296" w:hanging="170"/>
        <w:jc w:val="left"/>
        <w:rPr>
          <w:sz w:val="20"/>
        </w:rPr>
      </w:pPr>
      <w:r>
        <w:rPr>
          <w:color w:val="231F20"/>
          <w:sz w:val="20"/>
        </w:rPr>
        <w:t>Notification of illness in groups generally is less sensitive to widespread low-level contamination events than is </w:t>
      </w:r>
      <w:r>
        <w:rPr>
          <w:color w:val="231F20"/>
          <w:spacing w:val="30"/>
          <w:sz w:val="20"/>
        </w:rPr>
        <w:t> </w:t>
      </w:r>
      <w:r>
        <w:rPr>
          <w:color w:val="231F20"/>
          <w:sz w:val="20"/>
        </w:rPr>
        <w:t>pathogen-</w:t>
      </w:r>
    </w:p>
    <w:p>
      <w:pPr>
        <w:pStyle w:val="BodyText"/>
        <w:spacing w:line="266" w:lineRule="auto"/>
        <w:ind w:left="890" w:right="-16"/>
      </w:pPr>
      <w:r>
        <w:rPr>
          <w:color w:val="231F20"/>
          <w:w w:val="105"/>
        </w:rPr>
        <w:t>specific</w:t>
      </w:r>
      <w:r>
        <w:rPr>
          <w:color w:val="231F20"/>
          <w:spacing w:val="-16"/>
          <w:w w:val="105"/>
        </w:rPr>
        <w:t> </w:t>
      </w:r>
      <w:r>
        <w:rPr>
          <w:color w:val="231F20"/>
          <w:w w:val="105"/>
        </w:rPr>
        <w:t>surveillance</w:t>
      </w:r>
      <w:r>
        <w:rPr>
          <w:color w:val="231F20"/>
          <w:spacing w:val="-16"/>
          <w:w w:val="105"/>
        </w:rPr>
        <w:t> </w:t>
      </w:r>
      <w:r>
        <w:rPr>
          <w:color w:val="231F20"/>
          <w:w w:val="105"/>
        </w:rPr>
        <w:t>because</w:t>
      </w:r>
      <w:r>
        <w:rPr>
          <w:color w:val="231F20"/>
          <w:spacing w:val="-16"/>
          <w:w w:val="105"/>
        </w:rPr>
        <w:t> </w:t>
      </w:r>
      <w:r>
        <w:rPr>
          <w:color w:val="231F20"/>
          <w:w w:val="105"/>
        </w:rPr>
        <w:t>recognition</w:t>
      </w:r>
      <w:r>
        <w:rPr>
          <w:color w:val="231F20"/>
          <w:spacing w:val="-16"/>
          <w:w w:val="105"/>
        </w:rPr>
        <w:t> </w:t>
      </w:r>
      <w:r>
        <w:rPr>
          <w:color w:val="231F20"/>
          <w:w w:val="105"/>
        </w:rPr>
        <w:t>of</w:t>
      </w:r>
      <w:r>
        <w:rPr>
          <w:color w:val="231F20"/>
          <w:spacing w:val="5"/>
          <w:w w:val="105"/>
        </w:rPr>
        <w:t> </w:t>
      </w:r>
      <w:r>
        <w:rPr>
          <w:color w:val="231F20"/>
          <w:w w:val="105"/>
        </w:rPr>
        <w:t>a person–place–time connection among cases </w:t>
      </w:r>
      <w:r>
        <w:rPr>
          <w:color w:val="231F20"/>
          <w:spacing w:val="-3"/>
          <w:w w:val="105"/>
        </w:rPr>
        <w:t>by </w:t>
      </w:r>
      <w:r>
        <w:rPr>
          <w:color w:val="231F20"/>
          <w:w w:val="105"/>
        </w:rPr>
        <w:t>a health-care provider or member of the community is</w:t>
      </w:r>
      <w:r>
        <w:rPr>
          <w:color w:val="231F20"/>
          <w:spacing w:val="-22"/>
          <w:w w:val="105"/>
        </w:rPr>
        <w:t> </w:t>
      </w:r>
      <w:r>
        <w:rPr>
          <w:color w:val="231F20"/>
          <w:w w:val="105"/>
        </w:rPr>
        <w:t>required.</w:t>
      </w:r>
    </w:p>
    <w:p>
      <w:pPr>
        <w:pStyle w:val="ListParagraph"/>
        <w:numPr>
          <w:ilvl w:val="1"/>
          <w:numId w:val="11"/>
        </w:numPr>
        <w:tabs>
          <w:tab w:pos="891" w:val="left" w:leader="none"/>
        </w:tabs>
        <w:spacing w:line="266" w:lineRule="auto" w:before="90" w:after="0"/>
        <w:ind w:left="890" w:right="144" w:hanging="170"/>
        <w:jc w:val="left"/>
        <w:rPr>
          <w:sz w:val="20"/>
        </w:rPr>
      </w:pPr>
      <w:r>
        <w:rPr>
          <w:color w:val="231F20"/>
          <w:w w:val="105"/>
          <w:sz w:val="20"/>
        </w:rPr>
        <w:t>The value of complaints about single possible cases of foodborne disease in detecting outbreaks is limited </w:t>
      </w:r>
      <w:r>
        <w:rPr>
          <w:color w:val="231F20"/>
          <w:spacing w:val="-3"/>
          <w:w w:val="105"/>
          <w:sz w:val="20"/>
        </w:rPr>
        <w:t>by </w:t>
      </w:r>
      <w:r>
        <w:rPr>
          <w:color w:val="231F20"/>
          <w:w w:val="105"/>
          <w:sz w:val="20"/>
        </w:rPr>
        <w:t>the exposure information used to link cases and</w:t>
      </w:r>
      <w:r>
        <w:rPr>
          <w:color w:val="231F20"/>
          <w:spacing w:val="-9"/>
          <w:w w:val="105"/>
          <w:sz w:val="20"/>
        </w:rPr>
        <w:t> </w:t>
      </w:r>
      <w:r>
        <w:rPr>
          <w:color w:val="231F20"/>
          <w:spacing w:val="-3"/>
          <w:w w:val="105"/>
          <w:sz w:val="20"/>
        </w:rPr>
        <w:t>by</w:t>
      </w:r>
      <w:r>
        <w:rPr>
          <w:color w:val="231F20"/>
          <w:spacing w:val="-9"/>
          <w:w w:val="105"/>
          <w:sz w:val="20"/>
        </w:rPr>
        <w:t> </w:t>
      </w:r>
      <w:r>
        <w:rPr>
          <w:color w:val="231F20"/>
          <w:w w:val="105"/>
          <w:sz w:val="20"/>
        </w:rPr>
        <w:t>the</w:t>
      </w:r>
      <w:r>
        <w:rPr>
          <w:color w:val="231F20"/>
          <w:spacing w:val="-9"/>
          <w:w w:val="105"/>
          <w:sz w:val="20"/>
        </w:rPr>
        <w:t> </w:t>
      </w:r>
      <w:r>
        <w:rPr>
          <w:color w:val="231F20"/>
          <w:w w:val="105"/>
          <w:sz w:val="20"/>
        </w:rPr>
        <w:t>lack</w:t>
      </w:r>
      <w:r>
        <w:rPr>
          <w:color w:val="231F20"/>
          <w:spacing w:val="-9"/>
          <w:w w:val="105"/>
          <w:sz w:val="20"/>
        </w:rPr>
        <w:t> </w:t>
      </w:r>
      <w:r>
        <w:rPr>
          <w:color w:val="231F20"/>
          <w:w w:val="105"/>
          <w:sz w:val="20"/>
        </w:rPr>
        <w:t>of</w:t>
      </w:r>
      <w:r>
        <w:rPr>
          <w:color w:val="231F20"/>
          <w:spacing w:val="16"/>
          <w:w w:val="105"/>
          <w:sz w:val="20"/>
        </w:rPr>
        <w:t> </w:t>
      </w:r>
      <w:r>
        <w:rPr>
          <w:color w:val="231F20"/>
          <w:w w:val="105"/>
          <w:sz w:val="20"/>
        </w:rPr>
        <w:t>specific</w:t>
      </w:r>
      <w:r>
        <w:rPr>
          <w:color w:val="231F20"/>
          <w:spacing w:val="-9"/>
          <w:w w:val="105"/>
          <w:sz w:val="20"/>
        </w:rPr>
        <w:t> </w:t>
      </w:r>
      <w:r>
        <w:rPr>
          <w:color w:val="231F20"/>
          <w:w w:val="105"/>
          <w:sz w:val="20"/>
        </w:rPr>
        <w:t>agent</w:t>
      </w:r>
      <w:r>
        <w:rPr>
          <w:color w:val="231F20"/>
          <w:spacing w:val="-9"/>
          <w:w w:val="105"/>
          <w:sz w:val="20"/>
        </w:rPr>
        <w:t> </w:t>
      </w:r>
      <w:r>
        <w:rPr>
          <w:color w:val="231F20"/>
          <w:w w:val="105"/>
          <w:sz w:val="20"/>
        </w:rPr>
        <w:t>or</w:t>
      </w:r>
      <w:r>
        <w:rPr>
          <w:color w:val="231F20"/>
          <w:spacing w:val="-9"/>
          <w:w w:val="105"/>
          <w:sz w:val="20"/>
        </w:rPr>
        <w:t> </w:t>
      </w:r>
      <w:r>
        <w:rPr>
          <w:color w:val="231F20"/>
          <w:w w:val="105"/>
          <w:sz w:val="20"/>
        </w:rPr>
        <w:t>disease information to exclude unrelated cases. The illness reported </w:t>
      </w:r>
      <w:r>
        <w:rPr>
          <w:color w:val="231F20"/>
          <w:spacing w:val="-3"/>
          <w:w w:val="105"/>
          <w:sz w:val="20"/>
        </w:rPr>
        <w:t>by </w:t>
      </w:r>
      <w:r>
        <w:rPr>
          <w:color w:val="231F20"/>
          <w:w w:val="105"/>
          <w:sz w:val="20"/>
        </w:rPr>
        <w:t>individuals might or might not be foodborne, and illness presentation</w:t>
      </w:r>
      <w:r>
        <w:rPr>
          <w:color w:val="231F20"/>
          <w:spacing w:val="-11"/>
          <w:w w:val="105"/>
          <w:sz w:val="20"/>
        </w:rPr>
        <w:t> </w:t>
      </w:r>
      <w:r>
        <w:rPr>
          <w:color w:val="231F20"/>
          <w:w w:val="105"/>
          <w:sz w:val="20"/>
        </w:rPr>
        <w:t>might</w:t>
      </w:r>
      <w:r>
        <w:rPr>
          <w:color w:val="231F20"/>
          <w:spacing w:val="-10"/>
          <w:w w:val="105"/>
          <w:sz w:val="20"/>
        </w:rPr>
        <w:t> </w:t>
      </w:r>
      <w:r>
        <w:rPr>
          <w:color w:val="231F20"/>
          <w:w w:val="105"/>
          <w:sz w:val="20"/>
        </w:rPr>
        <w:t>or</w:t>
      </w:r>
      <w:r>
        <w:rPr>
          <w:color w:val="231F20"/>
          <w:spacing w:val="-10"/>
          <w:w w:val="105"/>
          <w:sz w:val="20"/>
        </w:rPr>
        <w:t> </w:t>
      </w:r>
      <w:r>
        <w:rPr>
          <w:color w:val="231F20"/>
          <w:w w:val="105"/>
          <w:sz w:val="20"/>
        </w:rPr>
        <w:t>might</w:t>
      </w:r>
      <w:r>
        <w:rPr>
          <w:color w:val="231F20"/>
          <w:spacing w:val="-10"/>
          <w:w w:val="105"/>
          <w:sz w:val="20"/>
        </w:rPr>
        <w:t> </w:t>
      </w:r>
      <w:r>
        <w:rPr>
          <w:color w:val="231F20"/>
          <w:w w:val="105"/>
          <w:sz w:val="20"/>
        </w:rPr>
        <w:t>not</w:t>
      </w:r>
      <w:r>
        <w:rPr>
          <w:color w:val="231F20"/>
          <w:spacing w:val="-10"/>
          <w:w w:val="105"/>
          <w:sz w:val="20"/>
        </w:rPr>
        <w:t> </w:t>
      </w:r>
      <w:r>
        <w:rPr>
          <w:color w:val="231F20"/>
          <w:w w:val="105"/>
          <w:sz w:val="20"/>
        </w:rPr>
        <w:t>be</w:t>
      </w:r>
      <w:r>
        <w:rPr>
          <w:color w:val="231F20"/>
          <w:spacing w:val="-10"/>
          <w:w w:val="105"/>
          <w:sz w:val="20"/>
        </w:rPr>
        <w:t> </w:t>
      </w:r>
      <w:r>
        <w:rPr>
          <w:color w:val="231F20"/>
          <w:w w:val="105"/>
          <w:sz w:val="20"/>
        </w:rPr>
        <w:t>typical.</w:t>
      </w:r>
    </w:p>
    <w:p>
      <w:pPr>
        <w:pStyle w:val="BodyText"/>
        <w:spacing w:line="266" w:lineRule="auto" w:before="108"/>
        <w:ind w:left="515" w:right="1486"/>
      </w:pPr>
      <w:r>
        <w:rPr/>
        <w:br w:type="column"/>
      </w:r>
      <w:r>
        <w:rPr>
          <w:color w:val="231F20"/>
          <w:w w:val="105"/>
        </w:rPr>
        <w:t>For any true outbreak, the absence of an agent makes misclassification of cases more likely. Misclassification of cases makes identification of an association between an outbreak and an exposure more difficult.</w:t>
      </w:r>
    </w:p>
    <w:p>
      <w:pPr>
        <w:pStyle w:val="ListParagraph"/>
        <w:numPr>
          <w:ilvl w:val="0"/>
          <w:numId w:val="11"/>
        </w:numPr>
        <w:tabs>
          <w:tab w:pos="516" w:val="left" w:leader="none"/>
        </w:tabs>
        <w:spacing w:line="266" w:lineRule="auto" w:before="90" w:after="0"/>
        <w:ind w:left="515" w:right="1526" w:hanging="170"/>
        <w:jc w:val="left"/>
        <w:rPr>
          <w:sz w:val="20"/>
        </w:rPr>
      </w:pPr>
      <w:r>
        <w:rPr/>
        <w:pict>
          <v:rect style="position:absolute;margin-left:459pt;margin-top:71.397354pt;width:45pt;height:18pt;mso-position-horizontal-relative:page;mso-position-vertical-relative:paragraph;z-index:3520" filled="true" fillcolor="#0079c1" stroked="false">
            <v:fill type="solid"/>
            <w10:wrap type="none"/>
          </v:rect>
        </w:pict>
      </w:r>
      <w:r>
        <w:rPr/>
        <w:pict>
          <v:line style="position:absolute;mso-position-horizontal-relative:page;mso-position-vertical-relative:paragraph;z-index:3544" from="450.5pt,71.39695pt" to="450.5pt,273.80295pt" stroked="true" strokeweight="1pt" strokecolor="#0079c1">
            <v:stroke dashstyle="solid"/>
            <w10:wrap type="none"/>
          </v:line>
        </w:pict>
      </w:r>
      <w:r>
        <w:rPr/>
        <w:pict>
          <v:shape style="position:absolute;margin-left:465.346802pt;margin-top:93.393753pt;width:22.25pt;height:183.2pt;mso-position-horizontal-relative:page;mso-position-vertical-relative:paragraph;z-index:3568" type="#_x0000_t202" filled="false" stroked="false">
            <v:textbox inset="0,0,0,0" style="layout-flow:vertical">
              <w:txbxContent>
                <w:p>
                  <w:pPr>
                    <w:spacing w:before="12"/>
                    <w:ind w:left="20" w:right="-1014" w:firstLine="0"/>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468.849609pt;margin-top:76.147949pt;width:15.85pt;height:8.5pt;mso-position-horizontal-relative:page;mso-position-vertical-relative:paragraph;z-index:3592" type="#_x0000_t202" filled="false" stroked="false">
            <v:textbox inset="0,0,0,0" style="layout-flow:vertical">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105"/>
          <w:sz w:val="20"/>
        </w:rPr>
        <w:t>Without</w:t>
      </w:r>
      <w:r>
        <w:rPr>
          <w:color w:val="231F20"/>
          <w:spacing w:val="-15"/>
          <w:w w:val="105"/>
          <w:sz w:val="20"/>
        </w:rPr>
        <w:t> </w:t>
      </w:r>
      <w:r>
        <w:rPr>
          <w:color w:val="231F20"/>
          <w:w w:val="105"/>
          <w:sz w:val="20"/>
        </w:rPr>
        <w:t>a</w:t>
      </w:r>
      <w:r>
        <w:rPr>
          <w:color w:val="231F20"/>
          <w:spacing w:val="-15"/>
          <w:w w:val="105"/>
          <w:sz w:val="20"/>
        </w:rPr>
        <w:t> </w:t>
      </w:r>
      <w:r>
        <w:rPr>
          <w:color w:val="231F20"/>
          <w:w w:val="105"/>
          <w:sz w:val="20"/>
        </w:rPr>
        <w:t>detailed</w:t>
      </w:r>
      <w:r>
        <w:rPr>
          <w:color w:val="231F20"/>
          <w:spacing w:val="-15"/>
          <w:w w:val="105"/>
          <w:sz w:val="20"/>
        </w:rPr>
        <w:t> </w:t>
      </w:r>
      <w:r>
        <w:rPr>
          <w:color w:val="231F20"/>
          <w:w w:val="105"/>
          <w:sz w:val="20"/>
        </w:rPr>
        <w:t>food</w:t>
      </w:r>
      <w:r>
        <w:rPr>
          <w:color w:val="231F20"/>
          <w:spacing w:val="-15"/>
          <w:w w:val="105"/>
          <w:sz w:val="20"/>
        </w:rPr>
        <w:t> </w:t>
      </w:r>
      <w:r>
        <w:rPr>
          <w:color w:val="231F20"/>
          <w:w w:val="105"/>
          <w:sz w:val="20"/>
        </w:rPr>
        <w:t>history</w:t>
      </w:r>
      <w:r>
        <w:rPr>
          <w:color w:val="231F20"/>
          <w:spacing w:val="-16"/>
          <w:w w:val="105"/>
          <w:sz w:val="20"/>
        </w:rPr>
        <w:t> </w:t>
      </w:r>
      <w:r>
        <w:rPr>
          <w:color w:val="231F20"/>
          <w:w w:val="105"/>
          <w:sz w:val="20"/>
        </w:rPr>
        <w:t>(either</w:t>
      </w:r>
      <w:r>
        <w:rPr>
          <w:color w:val="231F20"/>
          <w:spacing w:val="-16"/>
          <w:w w:val="105"/>
          <w:sz w:val="20"/>
        </w:rPr>
        <w:t> </w:t>
      </w:r>
      <w:r>
        <w:rPr>
          <w:color w:val="231F20"/>
          <w:w w:val="105"/>
          <w:sz w:val="20"/>
        </w:rPr>
        <w:t>from the initial report or follow-up interview), surveillance of independent complaints is sensitive</w:t>
      </w:r>
      <w:r>
        <w:rPr>
          <w:color w:val="231F20"/>
          <w:spacing w:val="-19"/>
          <w:w w:val="105"/>
          <w:sz w:val="20"/>
        </w:rPr>
        <w:t> </w:t>
      </w:r>
      <w:r>
        <w:rPr>
          <w:color w:val="231F20"/>
          <w:w w:val="105"/>
          <w:sz w:val="20"/>
        </w:rPr>
        <w:t>only</w:t>
      </w:r>
      <w:r>
        <w:rPr>
          <w:color w:val="231F20"/>
          <w:spacing w:val="-20"/>
          <w:w w:val="105"/>
          <w:sz w:val="20"/>
        </w:rPr>
        <w:t> </w:t>
      </w:r>
      <w:r>
        <w:rPr>
          <w:color w:val="231F20"/>
          <w:w w:val="105"/>
          <w:sz w:val="20"/>
        </w:rPr>
        <w:t>for</w:t>
      </w:r>
      <w:r>
        <w:rPr>
          <w:color w:val="231F20"/>
          <w:spacing w:val="-19"/>
          <w:w w:val="105"/>
          <w:sz w:val="20"/>
        </w:rPr>
        <w:t> </w:t>
      </w:r>
      <w:r>
        <w:rPr>
          <w:color w:val="231F20"/>
          <w:w w:val="105"/>
          <w:sz w:val="20"/>
        </w:rPr>
        <w:t>short</w:t>
      </w:r>
      <w:r>
        <w:rPr>
          <w:color w:val="231F20"/>
          <w:spacing w:val="-19"/>
          <w:w w:val="105"/>
          <w:sz w:val="20"/>
        </w:rPr>
        <w:t> </w:t>
      </w:r>
      <w:r>
        <w:rPr>
          <w:color w:val="231F20"/>
          <w:w w:val="105"/>
          <w:sz w:val="20"/>
        </w:rPr>
        <w:t>incubation</w:t>
      </w:r>
      <w:r>
        <w:rPr>
          <w:color w:val="231F20"/>
          <w:spacing w:val="-20"/>
          <w:w w:val="105"/>
          <w:sz w:val="20"/>
        </w:rPr>
        <w:t> </w:t>
      </w:r>
      <w:r>
        <w:rPr>
          <w:color w:val="231F20"/>
          <w:w w:val="105"/>
          <w:sz w:val="20"/>
        </w:rPr>
        <w:t>(generally chemical- or toxin-mediated) illness or illness</w:t>
      </w:r>
      <w:r>
        <w:rPr>
          <w:color w:val="231F20"/>
          <w:spacing w:val="-17"/>
          <w:w w:val="105"/>
          <w:sz w:val="20"/>
        </w:rPr>
        <w:t> </w:t>
      </w:r>
      <w:r>
        <w:rPr>
          <w:color w:val="231F20"/>
          <w:w w:val="105"/>
          <w:sz w:val="20"/>
        </w:rPr>
        <w:t>with</w:t>
      </w:r>
      <w:r>
        <w:rPr>
          <w:color w:val="231F20"/>
          <w:spacing w:val="-17"/>
          <w:w w:val="105"/>
          <w:sz w:val="20"/>
        </w:rPr>
        <w:t> </w:t>
      </w:r>
      <w:r>
        <w:rPr>
          <w:color w:val="231F20"/>
          <w:w w:val="105"/>
          <w:sz w:val="20"/>
        </w:rPr>
        <w:t>unique</w:t>
      </w:r>
      <w:r>
        <w:rPr>
          <w:color w:val="231F20"/>
          <w:spacing w:val="-17"/>
          <w:w w:val="105"/>
          <w:sz w:val="20"/>
        </w:rPr>
        <w:t> </w:t>
      </w:r>
      <w:r>
        <w:rPr>
          <w:color w:val="231F20"/>
          <w:w w:val="105"/>
          <w:sz w:val="20"/>
        </w:rPr>
        <w:t>symptoms</w:t>
      </w:r>
      <w:r>
        <w:rPr>
          <w:color w:val="231F20"/>
          <w:spacing w:val="-16"/>
          <w:w w:val="105"/>
          <w:sz w:val="20"/>
        </w:rPr>
        <w:t> </w:t>
      </w:r>
      <w:r>
        <w:rPr>
          <w:color w:val="231F20"/>
          <w:w w:val="105"/>
          <w:sz w:val="20"/>
        </w:rPr>
        <w:t>because</w:t>
      </w:r>
      <w:r>
        <w:rPr>
          <w:color w:val="231F20"/>
          <w:spacing w:val="-17"/>
          <w:w w:val="105"/>
          <w:sz w:val="20"/>
        </w:rPr>
        <w:t> </w:t>
      </w:r>
      <w:r>
        <w:rPr>
          <w:color w:val="231F20"/>
          <w:w w:val="105"/>
          <w:sz w:val="20"/>
        </w:rPr>
        <w:t>most persons associate illness with the last meal eaten before onset of symptoms – and are thus likely to be correct only for exposures with short incubation times. This is not a limitation</w:t>
      </w:r>
      <w:r>
        <w:rPr>
          <w:color w:val="231F20"/>
          <w:spacing w:val="-14"/>
          <w:w w:val="105"/>
          <w:sz w:val="20"/>
        </w:rPr>
        <w:t> </w:t>
      </w:r>
      <w:r>
        <w:rPr>
          <w:color w:val="231F20"/>
          <w:w w:val="105"/>
          <w:sz w:val="20"/>
        </w:rPr>
        <w:t>if</w:t>
      </w:r>
      <w:r>
        <w:rPr>
          <w:color w:val="231F20"/>
          <w:spacing w:val="8"/>
          <w:w w:val="105"/>
          <w:sz w:val="20"/>
        </w:rPr>
        <w:t> </w:t>
      </w:r>
      <w:r>
        <w:rPr>
          <w:color w:val="231F20"/>
          <w:w w:val="105"/>
          <w:sz w:val="20"/>
        </w:rPr>
        <w:t>full</w:t>
      </w:r>
      <w:r>
        <w:rPr>
          <w:color w:val="231F20"/>
          <w:spacing w:val="-14"/>
          <w:w w:val="105"/>
          <w:sz w:val="20"/>
        </w:rPr>
        <w:t> </w:t>
      </w:r>
      <w:r>
        <w:rPr>
          <w:color w:val="231F20"/>
          <w:w w:val="105"/>
          <w:sz w:val="20"/>
        </w:rPr>
        <w:t>interviews</w:t>
      </w:r>
      <w:r>
        <w:rPr>
          <w:color w:val="231F20"/>
          <w:spacing w:val="-14"/>
          <w:w w:val="105"/>
          <w:sz w:val="20"/>
        </w:rPr>
        <w:t> </w:t>
      </w:r>
      <w:r>
        <w:rPr>
          <w:color w:val="231F20"/>
          <w:w w:val="105"/>
          <w:sz w:val="20"/>
        </w:rPr>
        <w:t>are</w:t>
      </w:r>
      <w:r>
        <w:rPr>
          <w:color w:val="231F20"/>
          <w:spacing w:val="-14"/>
          <w:w w:val="105"/>
          <w:sz w:val="20"/>
        </w:rPr>
        <w:t> </w:t>
      </w:r>
      <w:r>
        <w:rPr>
          <w:color w:val="231F20"/>
          <w:w w:val="105"/>
          <w:sz w:val="20"/>
        </w:rPr>
        <w:t>conducted.</w:t>
      </w:r>
    </w:p>
    <w:p>
      <w:pPr>
        <w:pStyle w:val="ListParagraph"/>
        <w:numPr>
          <w:ilvl w:val="2"/>
          <w:numId w:val="16"/>
        </w:numPr>
        <w:tabs>
          <w:tab w:pos="902" w:val="left" w:leader="none"/>
        </w:tabs>
        <w:spacing w:line="254" w:lineRule="auto" w:before="159" w:after="0"/>
        <w:ind w:left="345" w:right="1849" w:firstLine="0"/>
        <w:jc w:val="left"/>
        <w:rPr>
          <w:rFonts w:ascii="Lucida Sans"/>
          <w:sz w:val="20"/>
        </w:rPr>
      </w:pPr>
      <w:r>
        <w:rPr>
          <w:rFonts w:ascii="Lucida Sans"/>
          <w:color w:val="1C3E94"/>
          <w:w w:val="95"/>
          <w:sz w:val="20"/>
        </w:rPr>
        <w:t>Key</w:t>
      </w:r>
      <w:r>
        <w:rPr>
          <w:rFonts w:ascii="Lucida Sans"/>
          <w:color w:val="1C3E94"/>
          <w:spacing w:val="-28"/>
          <w:w w:val="95"/>
          <w:sz w:val="20"/>
        </w:rPr>
        <w:t> </w:t>
      </w:r>
      <w:r>
        <w:rPr>
          <w:rFonts w:ascii="Lucida Sans"/>
          <w:color w:val="1C3E94"/>
          <w:w w:val="95"/>
          <w:sz w:val="20"/>
        </w:rPr>
        <w:t>Determinants</w:t>
      </w:r>
      <w:r>
        <w:rPr>
          <w:rFonts w:ascii="Lucida Sans"/>
          <w:color w:val="1C3E94"/>
          <w:spacing w:val="-28"/>
          <w:w w:val="95"/>
          <w:sz w:val="20"/>
        </w:rPr>
        <w:t> </w:t>
      </w:r>
      <w:r>
        <w:rPr>
          <w:rFonts w:ascii="Lucida Sans"/>
          <w:color w:val="1C3E94"/>
          <w:w w:val="95"/>
          <w:sz w:val="20"/>
        </w:rPr>
        <w:t>of</w:t>
      </w:r>
      <w:r>
        <w:rPr>
          <w:rFonts w:ascii="Lucida Sans"/>
          <w:color w:val="1C3E94"/>
          <w:spacing w:val="-28"/>
          <w:w w:val="95"/>
          <w:sz w:val="20"/>
        </w:rPr>
        <w:t> </w:t>
      </w:r>
      <w:r>
        <w:rPr>
          <w:rFonts w:ascii="Lucida Sans"/>
          <w:color w:val="1C3E94"/>
          <w:w w:val="95"/>
          <w:sz w:val="20"/>
        </w:rPr>
        <w:t>Successful</w:t>
      </w:r>
      <w:r>
        <w:rPr>
          <w:rFonts w:ascii="Lucida Sans"/>
          <w:color w:val="1C3E94"/>
          <w:w w:val="91"/>
          <w:sz w:val="20"/>
        </w:rPr>
        <w:t> </w:t>
      </w:r>
      <w:r>
        <w:rPr>
          <w:rFonts w:ascii="Lucida Sans"/>
          <w:color w:val="1C3E94"/>
          <w:w w:val="95"/>
          <w:sz w:val="20"/>
        </w:rPr>
        <w:t>Complaint</w:t>
      </w:r>
      <w:r>
        <w:rPr>
          <w:rFonts w:ascii="Lucida Sans"/>
          <w:color w:val="1C3E94"/>
          <w:spacing w:val="-40"/>
          <w:w w:val="95"/>
          <w:sz w:val="20"/>
        </w:rPr>
        <w:t> </w:t>
      </w:r>
      <w:r>
        <w:rPr>
          <w:rFonts w:ascii="Lucida Sans"/>
          <w:color w:val="1C3E94"/>
          <w:w w:val="95"/>
          <w:sz w:val="20"/>
        </w:rPr>
        <w:t>Systems</w:t>
      </w:r>
    </w:p>
    <w:p>
      <w:pPr>
        <w:pStyle w:val="BodyText"/>
        <w:spacing w:before="1"/>
        <w:rPr>
          <w:rFonts w:ascii="Lucida Sans"/>
          <w:sz w:val="17"/>
        </w:rPr>
      </w:pPr>
    </w:p>
    <w:p>
      <w:pPr>
        <w:pStyle w:val="BodyText"/>
        <w:spacing w:line="266" w:lineRule="auto"/>
        <w:ind w:left="345" w:right="1486"/>
      </w:pPr>
      <w:r>
        <w:rPr>
          <w:color w:val="231F20"/>
          <w:w w:val="105"/>
        </w:rPr>
        <w:t>The following factors drive interpretation of complaint surveillance data, affect the success of investigations, and form the basis for best practices.</w:t>
      </w:r>
    </w:p>
    <w:p>
      <w:pPr>
        <w:pStyle w:val="ListParagraph"/>
        <w:numPr>
          <w:ilvl w:val="3"/>
          <w:numId w:val="16"/>
        </w:numPr>
        <w:tabs>
          <w:tab w:pos="988" w:val="left" w:leader="none"/>
        </w:tabs>
        <w:spacing w:line="259" w:lineRule="auto" w:before="179" w:after="0"/>
        <w:ind w:left="345" w:right="1806" w:firstLine="0"/>
        <w:jc w:val="left"/>
        <w:rPr>
          <w:rFonts w:ascii="Bookman Old Style"/>
          <w:b/>
          <w:sz w:val="20"/>
        </w:rPr>
      </w:pPr>
      <w:r>
        <w:rPr>
          <w:i/>
          <w:color w:val="E36F1E"/>
          <w:sz w:val="20"/>
        </w:rPr>
        <w:t>Sensitivity of  case or  event  detection </w:t>
      </w:r>
      <w:r>
        <w:rPr>
          <w:color w:val="231F20"/>
          <w:sz w:val="20"/>
        </w:rPr>
        <w:t>The dynamics of outbreak detection differ somewhat for notification involving groups of illnesses and collection of independent </w:t>
      </w:r>
      <w:r>
        <w:rPr>
          <w:color w:val="231F20"/>
          <w:w w:val="95"/>
          <w:sz w:val="20"/>
        </w:rPr>
        <w:t>complaints.</w:t>
      </w:r>
      <w:r>
        <w:rPr>
          <w:color w:val="231F20"/>
          <w:spacing w:val="-26"/>
          <w:w w:val="95"/>
          <w:sz w:val="20"/>
        </w:rPr>
        <w:t> </w:t>
      </w:r>
      <w:r>
        <w:rPr>
          <w:rFonts w:ascii="Bookman Old Style"/>
          <w:b/>
          <w:color w:val="231F20"/>
          <w:w w:val="95"/>
          <w:sz w:val="20"/>
        </w:rPr>
        <w:t>Detection</w:t>
      </w:r>
      <w:r>
        <w:rPr>
          <w:rFonts w:ascii="Bookman Old Style"/>
          <w:b/>
          <w:color w:val="231F20"/>
          <w:spacing w:val="-45"/>
          <w:w w:val="95"/>
          <w:sz w:val="20"/>
        </w:rPr>
        <w:t> </w:t>
      </w:r>
      <w:r>
        <w:rPr>
          <w:rFonts w:ascii="Bookman Old Style"/>
          <w:b/>
          <w:color w:val="231F20"/>
          <w:w w:val="95"/>
          <w:sz w:val="20"/>
        </w:rPr>
        <w:t>of</w:t>
      </w:r>
      <w:r>
        <w:rPr>
          <w:rFonts w:ascii="Bookman Old Style"/>
          <w:b/>
          <w:color w:val="231F20"/>
          <w:spacing w:val="-34"/>
          <w:w w:val="95"/>
          <w:sz w:val="20"/>
        </w:rPr>
        <w:t> </w:t>
      </w:r>
      <w:r>
        <w:rPr>
          <w:rFonts w:ascii="Bookman Old Style"/>
          <w:b/>
          <w:color w:val="231F20"/>
          <w:w w:val="95"/>
          <w:sz w:val="20"/>
        </w:rPr>
        <w:t>outbreaks</w:t>
      </w:r>
      <w:r>
        <w:rPr>
          <w:rFonts w:ascii="Bookman Old Style"/>
          <w:b/>
          <w:color w:val="231F20"/>
          <w:spacing w:val="-45"/>
          <w:w w:val="95"/>
          <w:sz w:val="20"/>
        </w:rPr>
        <w:t> </w:t>
      </w:r>
      <w:r>
        <w:rPr>
          <w:rFonts w:ascii="Bookman Old Style"/>
          <w:b/>
          <w:color w:val="231F20"/>
          <w:w w:val="95"/>
          <w:sz w:val="20"/>
        </w:rPr>
        <w:t>by </w:t>
      </w:r>
      <w:r>
        <w:rPr>
          <w:rFonts w:ascii="Bookman Old Style"/>
          <w:b/>
          <w:color w:val="231F20"/>
          <w:w w:val="90"/>
          <w:sz w:val="20"/>
        </w:rPr>
        <w:t>notification</w:t>
      </w:r>
      <w:r>
        <w:rPr>
          <w:rFonts w:ascii="Bookman Old Style"/>
          <w:b/>
          <w:color w:val="231F20"/>
          <w:spacing w:val="-45"/>
          <w:w w:val="90"/>
          <w:sz w:val="20"/>
        </w:rPr>
        <w:t> </w:t>
      </w:r>
      <w:r>
        <w:rPr>
          <w:rFonts w:ascii="Bookman Old Style"/>
          <w:b/>
          <w:color w:val="231F20"/>
          <w:w w:val="90"/>
          <w:sz w:val="20"/>
        </w:rPr>
        <w:t>of</w:t>
      </w:r>
      <w:r>
        <w:rPr>
          <w:rFonts w:ascii="Bookman Old Style"/>
          <w:b/>
          <w:color w:val="231F20"/>
          <w:spacing w:val="-36"/>
          <w:w w:val="90"/>
          <w:sz w:val="20"/>
        </w:rPr>
        <w:t> </w:t>
      </w:r>
      <w:r>
        <w:rPr>
          <w:rFonts w:ascii="Bookman Old Style"/>
          <w:b/>
          <w:color w:val="231F20"/>
          <w:w w:val="90"/>
          <w:sz w:val="20"/>
        </w:rPr>
        <w:t>group</w:t>
      </w:r>
      <w:r>
        <w:rPr>
          <w:rFonts w:ascii="Bookman Old Style"/>
          <w:b/>
          <w:color w:val="231F20"/>
          <w:spacing w:val="-45"/>
          <w:w w:val="90"/>
          <w:sz w:val="20"/>
        </w:rPr>
        <w:t> </w:t>
      </w:r>
      <w:r>
        <w:rPr>
          <w:rFonts w:ascii="Bookman Old Style"/>
          <w:b/>
          <w:color w:val="231F20"/>
          <w:w w:val="90"/>
          <w:sz w:val="20"/>
        </w:rPr>
        <w:t>illness</w:t>
      </w:r>
      <w:r>
        <w:rPr>
          <w:rFonts w:ascii="Bookman Old Style"/>
          <w:b/>
          <w:color w:val="231F20"/>
          <w:spacing w:val="-45"/>
          <w:w w:val="90"/>
          <w:sz w:val="20"/>
        </w:rPr>
        <w:t> </w:t>
      </w:r>
      <w:r>
        <w:rPr>
          <w:rFonts w:ascii="Bookman Old Style"/>
          <w:b/>
          <w:color w:val="231F20"/>
          <w:w w:val="90"/>
          <w:sz w:val="20"/>
        </w:rPr>
        <w:t>is</w:t>
      </w:r>
      <w:r>
        <w:rPr>
          <w:rFonts w:ascii="Bookman Old Style"/>
          <w:b/>
          <w:color w:val="231F20"/>
          <w:spacing w:val="-45"/>
          <w:w w:val="90"/>
          <w:sz w:val="20"/>
        </w:rPr>
        <w:t> </w:t>
      </w:r>
      <w:r>
        <w:rPr>
          <w:rFonts w:ascii="Bookman Old Style"/>
          <w:b/>
          <w:color w:val="231F20"/>
          <w:w w:val="90"/>
          <w:sz w:val="20"/>
        </w:rPr>
        <w:t>limited </w:t>
      </w:r>
      <w:r>
        <w:rPr>
          <w:rFonts w:ascii="Bookman Old Style"/>
          <w:b/>
          <w:color w:val="231F20"/>
          <w:w w:val="85"/>
          <w:sz w:val="20"/>
        </w:rPr>
        <w:t>only</w:t>
      </w:r>
      <w:r>
        <w:rPr>
          <w:rFonts w:ascii="Bookman Old Style"/>
          <w:b/>
          <w:color w:val="231F20"/>
          <w:spacing w:val="-34"/>
          <w:w w:val="85"/>
          <w:sz w:val="20"/>
        </w:rPr>
        <w:t> </w:t>
      </w:r>
      <w:r>
        <w:rPr>
          <w:rFonts w:ascii="Bookman Old Style"/>
          <w:b/>
          <w:color w:val="231F20"/>
          <w:w w:val="85"/>
          <w:sz w:val="20"/>
        </w:rPr>
        <w:t>by</w:t>
      </w:r>
      <w:r>
        <w:rPr>
          <w:rFonts w:ascii="Bookman Old Style"/>
          <w:b/>
          <w:color w:val="231F20"/>
          <w:spacing w:val="-34"/>
          <w:w w:val="85"/>
          <w:sz w:val="20"/>
        </w:rPr>
        <w:t> </w:t>
      </w:r>
      <w:r>
        <w:rPr>
          <w:rFonts w:ascii="Bookman Old Style"/>
          <w:b/>
          <w:color w:val="231F20"/>
          <w:w w:val="85"/>
          <w:sz w:val="20"/>
        </w:rPr>
        <w:t>the</w:t>
      </w:r>
      <w:r>
        <w:rPr>
          <w:rFonts w:ascii="Bookman Old Style"/>
          <w:b/>
          <w:color w:val="231F20"/>
          <w:spacing w:val="-34"/>
          <w:w w:val="85"/>
          <w:sz w:val="20"/>
        </w:rPr>
        <w:t> </w:t>
      </w:r>
      <w:r>
        <w:rPr>
          <w:rFonts w:ascii="Bookman Old Style"/>
          <w:b/>
          <w:color w:val="231F20"/>
          <w:w w:val="85"/>
          <w:sz w:val="20"/>
        </w:rPr>
        <w:t>severity</w:t>
      </w:r>
      <w:r>
        <w:rPr>
          <w:rFonts w:ascii="Bookman Old Style"/>
          <w:b/>
          <w:color w:val="231F20"/>
          <w:spacing w:val="-34"/>
          <w:w w:val="85"/>
          <w:sz w:val="20"/>
        </w:rPr>
        <w:t> </w:t>
      </w:r>
      <w:r>
        <w:rPr>
          <w:rFonts w:ascii="Bookman Old Style"/>
          <w:b/>
          <w:color w:val="231F20"/>
          <w:w w:val="85"/>
          <w:sz w:val="20"/>
        </w:rPr>
        <w:t>of</w:t>
      </w:r>
      <w:r>
        <w:rPr>
          <w:rFonts w:ascii="Bookman Old Style"/>
          <w:b/>
          <w:color w:val="231F20"/>
          <w:spacing w:val="-19"/>
          <w:w w:val="85"/>
          <w:sz w:val="20"/>
        </w:rPr>
        <w:t> </w:t>
      </w:r>
      <w:r>
        <w:rPr>
          <w:rFonts w:ascii="Bookman Old Style"/>
          <w:b/>
          <w:color w:val="231F20"/>
          <w:w w:val="85"/>
          <w:sz w:val="20"/>
        </w:rPr>
        <w:t>the</w:t>
      </w:r>
      <w:r>
        <w:rPr>
          <w:rFonts w:ascii="Bookman Old Style"/>
          <w:b/>
          <w:color w:val="231F20"/>
          <w:spacing w:val="-34"/>
          <w:w w:val="85"/>
          <w:sz w:val="20"/>
        </w:rPr>
        <w:t> </w:t>
      </w:r>
      <w:r>
        <w:rPr>
          <w:rFonts w:ascii="Bookman Old Style"/>
          <w:b/>
          <w:color w:val="231F20"/>
          <w:w w:val="85"/>
          <w:sz w:val="20"/>
        </w:rPr>
        <w:t>illness,</w:t>
      </w:r>
      <w:r>
        <w:rPr>
          <w:rFonts w:ascii="Bookman Old Style"/>
          <w:b/>
          <w:color w:val="231F20"/>
          <w:spacing w:val="-34"/>
          <w:w w:val="85"/>
          <w:sz w:val="20"/>
        </w:rPr>
        <w:t> </w:t>
      </w:r>
      <w:r>
        <w:rPr>
          <w:rFonts w:ascii="Bookman Old Style"/>
          <w:b/>
          <w:color w:val="231F20"/>
          <w:w w:val="85"/>
          <w:sz w:val="20"/>
        </w:rPr>
        <w:t>public</w:t>
      </w:r>
    </w:p>
    <w:p>
      <w:pPr>
        <w:pStyle w:val="BodyText"/>
        <w:spacing w:line="259" w:lineRule="auto"/>
        <w:ind w:left="345" w:right="1757"/>
      </w:pPr>
      <w:r>
        <w:rPr>
          <w:rFonts w:ascii="Bookman Old Style"/>
          <w:b/>
          <w:color w:val="231F20"/>
          <w:w w:val="85"/>
        </w:rPr>
        <w:t>awareness</w:t>
      </w:r>
      <w:r>
        <w:rPr>
          <w:rFonts w:ascii="Bookman Old Style"/>
          <w:b/>
          <w:color w:val="231F20"/>
          <w:spacing w:val="-28"/>
          <w:w w:val="85"/>
        </w:rPr>
        <w:t> </w:t>
      </w:r>
      <w:r>
        <w:rPr>
          <w:rFonts w:ascii="Bookman Old Style"/>
          <w:b/>
          <w:color w:val="231F20"/>
          <w:w w:val="85"/>
        </w:rPr>
        <w:t>of</w:t>
      </w:r>
      <w:r>
        <w:rPr>
          <w:rFonts w:ascii="Bookman Old Style"/>
          <w:b/>
          <w:color w:val="231F20"/>
          <w:spacing w:val="-10"/>
          <w:w w:val="85"/>
        </w:rPr>
        <w:t> </w:t>
      </w:r>
      <w:r>
        <w:rPr>
          <w:rFonts w:ascii="Bookman Old Style"/>
          <w:b/>
          <w:color w:val="231F20"/>
          <w:w w:val="85"/>
        </w:rPr>
        <w:t>where</w:t>
      </w:r>
      <w:r>
        <w:rPr>
          <w:rFonts w:ascii="Bookman Old Style"/>
          <w:b/>
          <w:color w:val="231F20"/>
          <w:spacing w:val="-28"/>
          <w:w w:val="85"/>
        </w:rPr>
        <w:t> </w:t>
      </w:r>
      <w:r>
        <w:rPr>
          <w:rFonts w:ascii="Bookman Old Style"/>
          <w:b/>
          <w:color w:val="231F20"/>
          <w:w w:val="85"/>
        </w:rPr>
        <w:t>to</w:t>
      </w:r>
      <w:r>
        <w:rPr>
          <w:rFonts w:ascii="Bookman Old Style"/>
          <w:b/>
          <w:color w:val="231F20"/>
          <w:spacing w:val="-28"/>
          <w:w w:val="85"/>
        </w:rPr>
        <w:t> </w:t>
      </w:r>
      <w:r>
        <w:rPr>
          <w:rFonts w:ascii="Bookman Old Style"/>
          <w:b/>
          <w:color w:val="231F20"/>
          <w:w w:val="85"/>
        </w:rPr>
        <w:t>report</w:t>
      </w:r>
      <w:r>
        <w:rPr>
          <w:rFonts w:ascii="Bookman Old Style"/>
          <w:b/>
          <w:color w:val="231F20"/>
          <w:spacing w:val="-28"/>
          <w:w w:val="85"/>
        </w:rPr>
        <w:t> </w:t>
      </w:r>
      <w:r>
        <w:rPr>
          <w:rFonts w:ascii="Bookman Old Style"/>
          <w:b/>
          <w:color w:val="231F20"/>
          <w:w w:val="85"/>
        </w:rPr>
        <w:t>the</w:t>
      </w:r>
      <w:r>
        <w:rPr>
          <w:rFonts w:ascii="Bookman Old Style"/>
          <w:b/>
          <w:color w:val="231F20"/>
          <w:spacing w:val="-29"/>
          <w:w w:val="85"/>
        </w:rPr>
        <w:t> </w:t>
      </w:r>
      <w:r>
        <w:rPr>
          <w:rFonts w:ascii="Bookman Old Style"/>
          <w:b/>
          <w:color w:val="231F20"/>
          <w:w w:val="85"/>
        </w:rPr>
        <w:t>illness, </w:t>
      </w:r>
      <w:r>
        <w:rPr>
          <w:rFonts w:ascii="Bookman Old Style"/>
          <w:b/>
          <w:color w:val="231F20"/>
          <w:w w:val="90"/>
        </w:rPr>
        <w:t>ease</w:t>
      </w:r>
      <w:r>
        <w:rPr>
          <w:rFonts w:ascii="Bookman Old Style"/>
          <w:b/>
          <w:color w:val="231F20"/>
          <w:spacing w:val="-37"/>
          <w:w w:val="90"/>
        </w:rPr>
        <w:t> </w:t>
      </w:r>
      <w:r>
        <w:rPr>
          <w:rFonts w:ascii="Bookman Old Style"/>
          <w:b/>
          <w:color w:val="231F20"/>
          <w:w w:val="90"/>
        </w:rPr>
        <w:t>and</w:t>
      </w:r>
      <w:r>
        <w:rPr>
          <w:rFonts w:ascii="Bookman Old Style"/>
          <w:b/>
          <w:color w:val="231F20"/>
          <w:spacing w:val="-37"/>
          <w:w w:val="90"/>
        </w:rPr>
        <w:t> </w:t>
      </w:r>
      <w:r>
        <w:rPr>
          <w:rFonts w:ascii="Bookman Old Style"/>
          <w:b/>
          <w:color w:val="231F20"/>
          <w:w w:val="90"/>
        </w:rPr>
        <w:t>availability</w:t>
      </w:r>
      <w:r>
        <w:rPr>
          <w:rFonts w:ascii="Bookman Old Style"/>
          <w:b/>
          <w:color w:val="231F20"/>
          <w:spacing w:val="-37"/>
          <w:w w:val="90"/>
        </w:rPr>
        <w:t> </w:t>
      </w:r>
      <w:r>
        <w:rPr>
          <w:rFonts w:ascii="Bookman Old Style"/>
          <w:b/>
          <w:color w:val="231F20"/>
          <w:w w:val="90"/>
        </w:rPr>
        <w:t>of</w:t>
      </w:r>
      <w:r>
        <w:rPr>
          <w:rFonts w:ascii="Bookman Old Style"/>
          <w:b/>
          <w:color w:val="231F20"/>
          <w:spacing w:val="-24"/>
          <w:w w:val="90"/>
        </w:rPr>
        <w:t> </w:t>
      </w:r>
      <w:r>
        <w:rPr>
          <w:rFonts w:ascii="Bookman Old Style"/>
          <w:b/>
          <w:color w:val="231F20"/>
          <w:w w:val="90"/>
        </w:rPr>
        <w:t>the</w:t>
      </w:r>
      <w:r>
        <w:rPr>
          <w:rFonts w:ascii="Bookman Old Style"/>
          <w:b/>
          <w:color w:val="231F20"/>
          <w:spacing w:val="-37"/>
          <w:w w:val="90"/>
        </w:rPr>
        <w:t> </w:t>
      </w:r>
      <w:r>
        <w:rPr>
          <w:rFonts w:ascii="Bookman Old Style"/>
          <w:b/>
          <w:color w:val="231F20"/>
          <w:w w:val="90"/>
        </w:rPr>
        <w:t>reporting </w:t>
      </w:r>
      <w:r>
        <w:rPr>
          <w:rFonts w:ascii="Bookman Old Style"/>
          <w:b/>
          <w:color w:val="231F20"/>
          <w:w w:val="85"/>
        </w:rPr>
        <w:t>process,</w:t>
      </w:r>
      <w:r>
        <w:rPr>
          <w:rFonts w:ascii="Bookman Old Style"/>
          <w:b/>
          <w:color w:val="231F20"/>
          <w:spacing w:val="-33"/>
          <w:w w:val="85"/>
        </w:rPr>
        <w:t> </w:t>
      </w:r>
      <w:r>
        <w:rPr>
          <w:rFonts w:ascii="Bookman Old Style"/>
          <w:b/>
          <w:color w:val="231F20"/>
          <w:w w:val="85"/>
        </w:rPr>
        <w:t>and</w:t>
      </w:r>
      <w:r>
        <w:rPr>
          <w:rFonts w:ascii="Bookman Old Style"/>
          <w:b/>
          <w:color w:val="231F20"/>
          <w:spacing w:val="-33"/>
          <w:w w:val="85"/>
        </w:rPr>
        <w:t> </w:t>
      </w:r>
      <w:r>
        <w:rPr>
          <w:rFonts w:ascii="Bookman Old Style"/>
          <w:b/>
          <w:color w:val="231F20"/>
          <w:w w:val="85"/>
        </w:rPr>
        <w:t>investigation</w:t>
      </w:r>
      <w:r>
        <w:rPr>
          <w:rFonts w:ascii="Bookman Old Style"/>
          <w:b/>
          <w:color w:val="231F20"/>
          <w:spacing w:val="-33"/>
          <w:w w:val="85"/>
        </w:rPr>
        <w:t> </w:t>
      </w:r>
      <w:r>
        <w:rPr>
          <w:rFonts w:ascii="Bookman Old Style"/>
          <w:b/>
          <w:color w:val="231F20"/>
          <w:w w:val="85"/>
        </w:rPr>
        <w:t>resources</w:t>
      </w:r>
      <w:r>
        <w:rPr>
          <w:rFonts w:ascii="Bookman Old Style"/>
          <w:b/>
          <w:color w:val="231F20"/>
          <w:spacing w:val="-33"/>
          <w:w w:val="85"/>
        </w:rPr>
        <w:t> </w:t>
      </w:r>
      <w:r>
        <w:rPr>
          <w:rFonts w:ascii="Bookman Old Style"/>
          <w:b/>
          <w:color w:val="231F20"/>
          <w:w w:val="85"/>
        </w:rPr>
        <w:t>(to </w:t>
      </w:r>
      <w:r>
        <w:rPr>
          <w:rFonts w:ascii="Bookman Old Style"/>
          <w:b/>
          <w:color w:val="231F20"/>
          <w:w w:val="90"/>
        </w:rPr>
        <w:t>determine</w:t>
      </w:r>
      <w:r>
        <w:rPr>
          <w:rFonts w:ascii="Bookman Old Style"/>
          <w:b/>
          <w:color w:val="231F20"/>
          <w:spacing w:val="-43"/>
          <w:w w:val="90"/>
        </w:rPr>
        <w:t> </w:t>
      </w:r>
      <w:r>
        <w:rPr>
          <w:rFonts w:ascii="Bookman Old Style"/>
          <w:b/>
          <w:color w:val="231F20"/>
          <w:w w:val="90"/>
        </w:rPr>
        <w:t>whether</w:t>
      </w:r>
      <w:r>
        <w:rPr>
          <w:rFonts w:ascii="Bookman Old Style"/>
          <w:b/>
          <w:color w:val="231F20"/>
          <w:spacing w:val="-43"/>
          <w:w w:val="90"/>
        </w:rPr>
        <w:t> </w:t>
      </w:r>
      <w:r>
        <w:rPr>
          <w:rFonts w:ascii="Bookman Old Style"/>
          <w:b/>
          <w:color w:val="231F20"/>
          <w:w w:val="90"/>
        </w:rPr>
        <w:t>the</w:t>
      </w:r>
      <w:r>
        <w:rPr>
          <w:rFonts w:ascii="Bookman Old Style"/>
          <w:b/>
          <w:color w:val="231F20"/>
          <w:spacing w:val="-44"/>
          <w:w w:val="90"/>
        </w:rPr>
        <w:t> </w:t>
      </w:r>
      <w:r>
        <w:rPr>
          <w:rFonts w:ascii="Bookman Old Style"/>
          <w:b/>
          <w:color w:val="231F20"/>
          <w:w w:val="90"/>
        </w:rPr>
        <w:t>clusters</w:t>
      </w:r>
      <w:r>
        <w:rPr>
          <w:rFonts w:ascii="Bookman Old Style"/>
          <w:b/>
          <w:color w:val="231F20"/>
          <w:spacing w:val="-43"/>
          <w:w w:val="90"/>
        </w:rPr>
        <w:t> </w:t>
      </w:r>
      <w:r>
        <w:rPr>
          <w:rFonts w:ascii="Bookman Old Style"/>
          <w:b/>
          <w:color w:val="231F20"/>
          <w:w w:val="90"/>
        </w:rPr>
        <w:t>are</w:t>
      </w:r>
      <w:r>
        <w:rPr>
          <w:rFonts w:ascii="Bookman Old Style"/>
          <w:b/>
          <w:color w:val="231F20"/>
          <w:spacing w:val="-43"/>
          <w:w w:val="90"/>
        </w:rPr>
        <w:t> </w:t>
      </w:r>
      <w:r>
        <w:rPr>
          <w:rFonts w:ascii="Bookman Old Style"/>
          <w:b/>
          <w:color w:val="231F20"/>
          <w:w w:val="90"/>
        </w:rPr>
        <w:t>in </w:t>
      </w:r>
      <w:r>
        <w:rPr>
          <w:rFonts w:ascii="Bookman Old Style"/>
          <w:b/>
          <w:color w:val="231F20"/>
          <w:w w:val="85"/>
        </w:rPr>
        <w:t>fact</w:t>
      </w:r>
      <w:r>
        <w:rPr>
          <w:rFonts w:ascii="Bookman Old Style"/>
          <w:b/>
          <w:color w:val="231F20"/>
          <w:spacing w:val="-35"/>
          <w:w w:val="85"/>
        </w:rPr>
        <w:t> </w:t>
      </w:r>
      <w:r>
        <w:rPr>
          <w:rFonts w:ascii="Bookman Old Style"/>
          <w:b/>
          <w:color w:val="231F20"/>
          <w:w w:val="85"/>
        </w:rPr>
        <w:t>outbreaks).</w:t>
      </w:r>
      <w:r>
        <w:rPr>
          <w:rFonts w:ascii="Bookman Old Style"/>
          <w:b/>
          <w:color w:val="231F20"/>
          <w:spacing w:val="-35"/>
          <w:w w:val="85"/>
        </w:rPr>
        <w:t> </w:t>
      </w:r>
      <w:r>
        <w:rPr>
          <w:rFonts w:ascii="Bookman Old Style"/>
          <w:b/>
          <w:color w:val="231F20"/>
          <w:w w:val="85"/>
        </w:rPr>
        <w:t>In</w:t>
      </w:r>
      <w:r>
        <w:rPr>
          <w:rFonts w:ascii="Bookman Old Style"/>
          <w:b/>
          <w:color w:val="231F20"/>
          <w:spacing w:val="-35"/>
          <w:w w:val="85"/>
        </w:rPr>
        <w:t> </w:t>
      </w:r>
      <w:r>
        <w:rPr>
          <w:rFonts w:ascii="Bookman Old Style"/>
          <w:b/>
          <w:color w:val="231F20"/>
          <w:w w:val="85"/>
        </w:rPr>
        <w:t>contrast,</w:t>
      </w:r>
      <w:r>
        <w:rPr>
          <w:rFonts w:ascii="Bookman Old Style"/>
          <w:b/>
          <w:color w:val="231F20"/>
          <w:spacing w:val="-35"/>
          <w:w w:val="85"/>
        </w:rPr>
        <w:t> </w:t>
      </w:r>
      <w:r>
        <w:rPr>
          <w:rFonts w:ascii="Bookman Old Style"/>
          <w:b/>
          <w:color w:val="231F20"/>
          <w:w w:val="85"/>
        </w:rPr>
        <w:t>detection</w:t>
      </w:r>
      <w:r>
        <w:rPr>
          <w:rFonts w:ascii="Bookman Old Style"/>
          <w:b/>
          <w:color w:val="231F20"/>
          <w:spacing w:val="-35"/>
          <w:w w:val="85"/>
        </w:rPr>
        <w:t> </w:t>
      </w:r>
      <w:r>
        <w:rPr>
          <w:rFonts w:ascii="Bookman Old Style"/>
          <w:b/>
          <w:color w:val="231F20"/>
          <w:w w:val="85"/>
        </w:rPr>
        <w:t>of clusters of illnesses from independent </w:t>
      </w:r>
      <w:r>
        <w:rPr>
          <w:rFonts w:ascii="Bookman Old Style"/>
          <w:b/>
          <w:color w:val="231F20"/>
          <w:w w:val="90"/>
        </w:rPr>
        <w:t>complaints relies on analysis by the </w:t>
      </w:r>
      <w:r>
        <w:rPr>
          <w:rFonts w:ascii="Bookman Old Style"/>
          <w:b/>
          <w:color w:val="231F20"/>
          <w:w w:val="85"/>
        </w:rPr>
        <w:t>public</w:t>
      </w:r>
      <w:r>
        <w:rPr>
          <w:rFonts w:ascii="Bookman Old Style"/>
          <w:b/>
          <w:color w:val="231F20"/>
          <w:spacing w:val="-24"/>
          <w:w w:val="85"/>
        </w:rPr>
        <w:t> </w:t>
      </w:r>
      <w:r>
        <w:rPr>
          <w:rFonts w:ascii="Bookman Old Style"/>
          <w:b/>
          <w:color w:val="231F20"/>
          <w:w w:val="85"/>
        </w:rPr>
        <w:t>health</w:t>
      </w:r>
      <w:r>
        <w:rPr>
          <w:rFonts w:ascii="Bookman Old Style"/>
          <w:b/>
          <w:color w:val="231F20"/>
          <w:spacing w:val="-24"/>
          <w:w w:val="85"/>
        </w:rPr>
        <w:t> </w:t>
      </w:r>
      <w:r>
        <w:rPr>
          <w:rFonts w:ascii="Bookman Old Style"/>
          <w:b/>
          <w:color w:val="231F20"/>
          <w:w w:val="85"/>
        </w:rPr>
        <w:t>agency</w:t>
      </w:r>
      <w:r>
        <w:rPr>
          <w:rFonts w:ascii="Bookman Old Style"/>
          <w:b/>
          <w:color w:val="231F20"/>
          <w:spacing w:val="-24"/>
          <w:w w:val="85"/>
        </w:rPr>
        <w:t> </w:t>
      </w:r>
      <w:r>
        <w:rPr>
          <w:rFonts w:ascii="Bookman Old Style"/>
          <w:b/>
          <w:color w:val="231F20"/>
          <w:w w:val="85"/>
        </w:rPr>
        <w:t>of</w:t>
      </w:r>
      <w:r>
        <w:rPr>
          <w:rFonts w:ascii="Bookman Old Style"/>
          <w:b/>
          <w:color w:val="231F20"/>
          <w:spacing w:val="-5"/>
          <w:w w:val="85"/>
        </w:rPr>
        <w:t> </w:t>
      </w:r>
      <w:r>
        <w:rPr>
          <w:rFonts w:ascii="Bookman Old Style"/>
          <w:b/>
          <w:color w:val="231F20"/>
          <w:w w:val="85"/>
        </w:rPr>
        <w:t>an</w:t>
      </w:r>
      <w:r>
        <w:rPr>
          <w:rFonts w:ascii="Bookman Old Style"/>
          <w:b/>
          <w:color w:val="231F20"/>
          <w:spacing w:val="-24"/>
          <w:w w:val="85"/>
        </w:rPr>
        <w:t> </w:t>
      </w:r>
      <w:r>
        <w:rPr>
          <w:rFonts w:ascii="Bookman Old Style"/>
          <w:b/>
          <w:color w:val="231F20"/>
          <w:w w:val="85"/>
        </w:rPr>
        <w:t>entire</w:t>
      </w:r>
      <w:r>
        <w:rPr>
          <w:rFonts w:ascii="Bookman Old Style"/>
          <w:b/>
          <w:color w:val="231F20"/>
          <w:spacing w:val="-24"/>
          <w:w w:val="85"/>
        </w:rPr>
        <w:t> </w:t>
      </w:r>
      <w:r>
        <w:rPr>
          <w:rFonts w:ascii="Bookman Old Style"/>
          <w:b/>
          <w:color w:val="231F20"/>
          <w:w w:val="85"/>
        </w:rPr>
        <w:t>group </w:t>
      </w:r>
      <w:r>
        <w:rPr>
          <w:rFonts w:ascii="Bookman Old Style"/>
          <w:b/>
          <w:color w:val="231F20"/>
          <w:w w:val="90"/>
        </w:rPr>
        <w:t>of</w:t>
      </w:r>
      <w:r>
        <w:rPr>
          <w:rFonts w:ascii="Bookman Old Style"/>
          <w:b/>
          <w:color w:val="231F20"/>
          <w:spacing w:val="-25"/>
          <w:w w:val="90"/>
        </w:rPr>
        <w:t> </w:t>
      </w:r>
      <w:r>
        <w:rPr>
          <w:rFonts w:ascii="Bookman Old Style"/>
          <w:b/>
          <w:color w:val="231F20"/>
          <w:w w:val="90"/>
        </w:rPr>
        <w:t>complaints</w:t>
      </w:r>
      <w:r>
        <w:rPr>
          <w:rFonts w:ascii="Bookman Old Style"/>
          <w:b/>
          <w:color w:val="231F20"/>
          <w:spacing w:val="-38"/>
          <w:w w:val="90"/>
        </w:rPr>
        <w:t> </w:t>
      </w:r>
      <w:r>
        <w:rPr>
          <w:rFonts w:ascii="Bookman Old Style"/>
          <w:b/>
          <w:color w:val="231F20"/>
          <w:w w:val="90"/>
        </w:rPr>
        <w:t>collected</w:t>
      </w:r>
      <w:r>
        <w:rPr>
          <w:rFonts w:ascii="Bookman Old Style"/>
          <w:b/>
          <w:color w:val="231F20"/>
          <w:spacing w:val="-38"/>
          <w:w w:val="90"/>
        </w:rPr>
        <w:t> </w:t>
      </w:r>
      <w:r>
        <w:rPr>
          <w:rFonts w:ascii="Bookman Old Style"/>
          <w:b/>
          <w:color w:val="231F20"/>
          <w:w w:val="90"/>
        </w:rPr>
        <w:t>over</w:t>
      </w:r>
      <w:r>
        <w:rPr>
          <w:rFonts w:ascii="Bookman Old Style"/>
          <w:b/>
          <w:color w:val="231F20"/>
          <w:spacing w:val="-38"/>
          <w:w w:val="90"/>
        </w:rPr>
        <w:t> </w:t>
      </w:r>
      <w:r>
        <w:rPr>
          <w:rFonts w:ascii="Bookman Old Style"/>
          <w:b/>
          <w:color w:val="231F20"/>
          <w:w w:val="90"/>
        </w:rPr>
        <w:t>time.</w:t>
      </w:r>
      <w:r>
        <w:rPr>
          <w:rFonts w:ascii="Bookman Old Style"/>
          <w:b/>
          <w:color w:val="231F20"/>
          <w:spacing w:val="-41"/>
          <w:w w:val="90"/>
        </w:rPr>
        <w:t> </w:t>
      </w:r>
      <w:r>
        <w:rPr>
          <w:color w:val="231F20"/>
          <w:w w:val="90"/>
        </w:rPr>
        <w:t>As </w:t>
      </w:r>
      <w:r>
        <w:rPr>
          <w:color w:val="231F20"/>
        </w:rPr>
        <w:t>with  pathogen-specific  surveillance,  the size and number of outbreaks detectable using independent  complaints  as</w:t>
      </w:r>
      <w:r>
        <w:rPr>
          <w:color w:val="231F20"/>
          <w:spacing w:val="22"/>
        </w:rPr>
        <w:t> </w:t>
      </w:r>
      <w:r>
        <w:rPr>
          <w:color w:val="231F20"/>
        </w:rPr>
        <w:t>primary</w:t>
      </w:r>
    </w:p>
    <w:p>
      <w:pPr>
        <w:pStyle w:val="BodyText"/>
        <w:spacing w:line="266" w:lineRule="auto" w:before="11"/>
        <w:ind w:left="345" w:right="1527"/>
      </w:pPr>
      <w:r>
        <w:rPr>
          <w:color w:val="231F20"/>
          <w:w w:val="105"/>
        </w:rPr>
        <w:t>surveillance data are driven by the number of individual cases reported, uniqueness of the illness or reported exposure, sensitivity and</w:t>
      </w:r>
    </w:p>
    <w:p>
      <w:pPr>
        <w:spacing w:after="0" w:line="266" w:lineRule="auto"/>
        <w:sectPr>
          <w:type w:val="continuous"/>
          <w:pgSz w:w="10080" w:h="14400"/>
          <w:pgMar w:top="0" w:bottom="0" w:left="0" w:right="0"/>
          <w:cols w:num="2" w:equalWidth="0">
            <w:col w:w="4475" w:space="40"/>
            <w:col w:w="5565"/>
          </w:cols>
        </w:sectPr>
      </w:pPr>
    </w:p>
    <w:p>
      <w:pPr>
        <w:pStyle w:val="BodyText"/>
        <w:spacing w:before="8"/>
        <w:rPr>
          <w:sz w:val="10"/>
        </w:rPr>
      </w:pPr>
    </w:p>
    <w:p>
      <w:pPr>
        <w:pStyle w:val="Heading1"/>
      </w:pPr>
      <w:r>
        <w:rPr/>
        <w:pict>
          <v:line style="position:absolute;mso-position-horizontal-relative:page;mso-position-vertical-relative:paragraph;z-index:3616;mso-wrap-distance-left:0;mso-wrap-distance-right:0" from="72pt,23.995163pt" to="468pt,23.995163pt" stroked="true" strokeweight=".5pt" strokecolor="#00a94f">
            <v:stroke dashstyle="solid"/>
            <w10:wrap type="topAndBottom"/>
          </v:line>
        </w:pict>
      </w:r>
      <w:r>
        <w:rPr>
          <w:color w:val="00A94F"/>
          <w:w w:val="95"/>
        </w:rPr>
        <w:t>4.3.</w:t>
      </w:r>
      <w:r>
        <w:rPr>
          <w:color w:val="00A94F"/>
          <w:spacing w:val="-50"/>
          <w:w w:val="95"/>
        </w:rPr>
        <w:t> </w:t>
      </w:r>
      <w:r>
        <w:rPr>
          <w:color w:val="00A94F"/>
          <w:w w:val="95"/>
        </w:rPr>
        <w:t>Complaint</w:t>
      </w:r>
      <w:r>
        <w:rPr>
          <w:color w:val="00A94F"/>
          <w:spacing w:val="-50"/>
          <w:w w:val="95"/>
        </w:rPr>
        <w:t> </w:t>
      </w:r>
      <w:r>
        <w:rPr>
          <w:color w:val="00A94F"/>
          <w:w w:val="95"/>
        </w:rPr>
        <w:t>Systems</w:t>
      </w:r>
    </w:p>
    <w:p>
      <w:pPr>
        <w:pStyle w:val="BodyText"/>
        <w:spacing w:before="7"/>
        <w:rPr>
          <w:rFonts w:ascii="Lucida Sans"/>
          <w:sz w:val="17"/>
        </w:rPr>
      </w:pPr>
    </w:p>
    <w:p>
      <w:pPr>
        <w:spacing w:after="0"/>
        <w:rPr>
          <w:rFonts w:ascii="Lucida Sans"/>
          <w:sz w:val="17"/>
        </w:rPr>
        <w:sectPr>
          <w:pgSz w:w="10080" w:h="14400"/>
          <w:pgMar w:header="0" w:footer="0" w:top="1160" w:bottom="280" w:left="0" w:right="0"/>
        </w:sectPr>
      </w:pPr>
    </w:p>
    <w:p>
      <w:pPr>
        <w:pStyle w:val="BodyText"/>
        <w:spacing w:line="266" w:lineRule="auto" w:before="108"/>
        <w:ind w:left="1440"/>
      </w:pPr>
      <w:r>
        <w:rPr>
          <w:color w:val="231F20"/>
        </w:rPr>
        <w:t>specificity of the interview process to detect common exposures, and methods used to evaluate  exposure data.</w:t>
      </w:r>
    </w:p>
    <w:p>
      <w:pPr>
        <w:pStyle w:val="ListParagraph"/>
        <w:numPr>
          <w:ilvl w:val="3"/>
          <w:numId w:val="17"/>
        </w:numPr>
        <w:tabs>
          <w:tab w:pos="2082" w:val="left" w:leader="none"/>
        </w:tabs>
        <w:spacing w:line="266" w:lineRule="auto" w:before="180" w:after="0"/>
        <w:ind w:left="1440" w:right="315" w:firstLine="0"/>
        <w:jc w:val="left"/>
        <w:rPr>
          <w:i/>
          <w:sz w:val="20"/>
        </w:rPr>
      </w:pPr>
      <w:r>
        <w:rPr>
          <w:i/>
          <w:color w:val="E36F1E"/>
          <w:w w:val="105"/>
          <w:sz w:val="20"/>
        </w:rPr>
        <w:t>Background prevalence</w:t>
      </w:r>
      <w:r>
        <w:rPr>
          <w:i/>
          <w:color w:val="E36F1E"/>
          <w:spacing w:val="-38"/>
          <w:w w:val="105"/>
          <w:sz w:val="20"/>
        </w:rPr>
        <w:t> </w:t>
      </w:r>
      <w:r>
        <w:rPr>
          <w:i/>
          <w:color w:val="E36F1E"/>
          <w:w w:val="105"/>
          <w:sz w:val="20"/>
        </w:rPr>
        <w:t>of disease—group </w:t>
      </w:r>
      <w:r>
        <w:rPr>
          <w:i/>
          <w:color w:val="E36F1E"/>
          <w:w w:val="105"/>
          <w:sz w:val="20"/>
        </w:rPr>
        <w:t>complaints</w:t>
      </w:r>
    </w:p>
    <w:p>
      <w:pPr>
        <w:pStyle w:val="BodyText"/>
        <w:spacing w:line="219" w:lineRule="exact"/>
        <w:ind w:left="1440"/>
        <w:rPr>
          <w:rFonts w:ascii="Bookman Old Style"/>
          <w:b/>
        </w:rPr>
      </w:pPr>
      <w:r>
        <w:rPr>
          <w:rFonts w:ascii="Bookman Old Style"/>
          <w:b/>
          <w:color w:val="231F20"/>
          <w:w w:val="85"/>
        </w:rPr>
        <w:t>When a group illness is reported, some of</w:t>
      </w:r>
    </w:p>
    <w:p>
      <w:pPr>
        <w:pStyle w:val="BodyText"/>
        <w:spacing w:line="254" w:lineRule="auto" w:before="15"/>
        <w:ind w:left="1440" w:right="124"/>
        <w:rPr>
          <w:rFonts w:ascii="Bookman Old Style"/>
          <w:b/>
        </w:rPr>
      </w:pPr>
      <w:r>
        <w:rPr/>
        <w:pict>
          <v:line style="position:absolute;mso-position-horizontal-relative:page;mso-position-vertical-relative:paragraph;z-index:3664" from="54.5pt,51.45750pt" to="54.5pt,253.8665pt" stroked="true" strokeweight="1pt" strokecolor="#0079c1">
            <v:stroke dashstyle="solid"/>
            <w10:wrap type="none"/>
          </v:line>
        </w:pict>
      </w:r>
      <w:r>
        <w:rPr>
          <w:rFonts w:ascii="Bookman Old Style"/>
          <w:b/>
          <w:color w:val="231F20"/>
          <w:w w:val="85"/>
        </w:rPr>
        <w:t>the</w:t>
      </w:r>
      <w:r>
        <w:rPr>
          <w:rFonts w:ascii="Bookman Old Style"/>
          <w:b/>
          <w:color w:val="231F20"/>
          <w:spacing w:val="-24"/>
          <w:w w:val="85"/>
        </w:rPr>
        <w:t> </w:t>
      </w:r>
      <w:r>
        <w:rPr>
          <w:rFonts w:ascii="Bookman Old Style"/>
          <w:b/>
          <w:color w:val="231F20"/>
          <w:w w:val="85"/>
        </w:rPr>
        <w:t>cases</w:t>
      </w:r>
      <w:r>
        <w:rPr>
          <w:rFonts w:ascii="Bookman Old Style"/>
          <w:b/>
          <w:color w:val="231F20"/>
          <w:spacing w:val="-24"/>
          <w:w w:val="85"/>
        </w:rPr>
        <w:t> </w:t>
      </w:r>
      <w:r>
        <w:rPr>
          <w:rFonts w:ascii="Bookman Old Style"/>
          <w:b/>
          <w:color w:val="231F20"/>
          <w:w w:val="85"/>
        </w:rPr>
        <w:t>may</w:t>
      </w:r>
      <w:r>
        <w:rPr>
          <w:rFonts w:ascii="Bookman Old Style"/>
          <w:b/>
          <w:color w:val="231F20"/>
          <w:spacing w:val="-24"/>
          <w:w w:val="85"/>
        </w:rPr>
        <w:t> </w:t>
      </w:r>
      <w:r>
        <w:rPr>
          <w:rFonts w:ascii="Bookman Old Style"/>
          <w:b/>
          <w:color w:val="231F20"/>
          <w:w w:val="85"/>
        </w:rPr>
        <w:t>be</w:t>
      </w:r>
      <w:r>
        <w:rPr>
          <w:rFonts w:ascii="Bookman Old Style"/>
          <w:b/>
          <w:color w:val="231F20"/>
          <w:spacing w:val="-24"/>
          <w:w w:val="85"/>
        </w:rPr>
        <w:t> </w:t>
      </w:r>
      <w:r>
        <w:rPr>
          <w:rFonts w:ascii="Bookman Old Style"/>
          <w:b/>
          <w:color w:val="231F20"/>
          <w:w w:val="85"/>
        </w:rPr>
        <w:t>ill</w:t>
      </w:r>
      <w:r>
        <w:rPr>
          <w:rFonts w:ascii="Bookman Old Style"/>
          <w:b/>
          <w:color w:val="231F20"/>
          <w:spacing w:val="-24"/>
          <w:w w:val="85"/>
        </w:rPr>
        <w:t> </w:t>
      </w:r>
      <w:r>
        <w:rPr>
          <w:rFonts w:ascii="Bookman Old Style"/>
          <w:b/>
          <w:color w:val="231F20"/>
          <w:w w:val="85"/>
        </w:rPr>
        <w:t>for</w:t>
      </w:r>
      <w:r>
        <w:rPr>
          <w:rFonts w:ascii="Bookman Old Style"/>
          <w:b/>
          <w:color w:val="231F20"/>
          <w:spacing w:val="-24"/>
          <w:w w:val="85"/>
        </w:rPr>
        <w:t> </w:t>
      </w:r>
      <w:r>
        <w:rPr>
          <w:rFonts w:ascii="Bookman Old Style"/>
          <w:b/>
          <w:color w:val="231F20"/>
          <w:w w:val="85"/>
        </w:rPr>
        <w:t>a</w:t>
      </w:r>
      <w:r>
        <w:rPr>
          <w:rFonts w:ascii="Bookman Old Style"/>
          <w:b/>
          <w:color w:val="231F20"/>
          <w:spacing w:val="-24"/>
          <w:w w:val="85"/>
        </w:rPr>
        <w:t> </w:t>
      </w:r>
      <w:r>
        <w:rPr>
          <w:rFonts w:ascii="Bookman Old Style"/>
          <w:b/>
          <w:color w:val="231F20"/>
          <w:w w:val="85"/>
        </w:rPr>
        <w:t>reason</w:t>
      </w:r>
      <w:r>
        <w:rPr>
          <w:rFonts w:ascii="Bookman Old Style"/>
          <w:b/>
          <w:color w:val="231F20"/>
          <w:spacing w:val="-24"/>
          <w:w w:val="85"/>
        </w:rPr>
        <w:t> </w:t>
      </w:r>
      <w:r>
        <w:rPr>
          <w:rFonts w:ascii="Bookman Old Style"/>
          <w:b/>
          <w:color w:val="231F20"/>
          <w:w w:val="85"/>
        </w:rPr>
        <w:t>other</w:t>
      </w:r>
      <w:r>
        <w:rPr>
          <w:rFonts w:ascii="Bookman Old Style"/>
          <w:b/>
          <w:color w:val="231F20"/>
          <w:spacing w:val="-24"/>
          <w:w w:val="85"/>
        </w:rPr>
        <w:t> </w:t>
      </w:r>
      <w:r>
        <w:rPr>
          <w:rFonts w:ascii="Bookman Old Style"/>
          <w:b/>
          <w:color w:val="231F20"/>
          <w:w w:val="85"/>
        </w:rPr>
        <w:t>than a</w:t>
      </w:r>
      <w:r>
        <w:rPr>
          <w:rFonts w:ascii="Bookman Old Style"/>
          <w:b/>
          <w:color w:val="231F20"/>
          <w:spacing w:val="-25"/>
          <w:w w:val="85"/>
        </w:rPr>
        <w:t> </w:t>
      </w:r>
      <w:r>
        <w:rPr>
          <w:rFonts w:ascii="Bookman Old Style"/>
          <w:b/>
          <w:color w:val="231F20"/>
          <w:w w:val="85"/>
        </w:rPr>
        <w:t>common</w:t>
      </w:r>
      <w:r>
        <w:rPr>
          <w:rFonts w:ascii="Bookman Old Style"/>
          <w:b/>
          <w:color w:val="231F20"/>
          <w:spacing w:val="-26"/>
          <w:w w:val="85"/>
        </w:rPr>
        <w:t> </w:t>
      </w:r>
      <w:r>
        <w:rPr>
          <w:rFonts w:ascii="Bookman Old Style"/>
          <w:b/>
          <w:color w:val="231F20"/>
          <w:w w:val="85"/>
        </w:rPr>
        <w:t>group</w:t>
      </w:r>
      <w:r>
        <w:rPr>
          <w:rFonts w:ascii="Bookman Old Style"/>
          <w:b/>
          <w:color w:val="231F20"/>
          <w:spacing w:val="-26"/>
          <w:w w:val="85"/>
        </w:rPr>
        <w:t> </w:t>
      </w:r>
      <w:r>
        <w:rPr>
          <w:rFonts w:ascii="Bookman Old Style"/>
          <w:b/>
          <w:color w:val="231F20"/>
          <w:w w:val="85"/>
        </w:rPr>
        <w:t>exposure.</w:t>
      </w:r>
      <w:r>
        <w:rPr>
          <w:rFonts w:ascii="Bookman Old Style"/>
          <w:b/>
          <w:color w:val="231F20"/>
          <w:spacing w:val="-26"/>
          <w:w w:val="85"/>
        </w:rPr>
        <w:t> </w:t>
      </w:r>
      <w:r>
        <w:rPr>
          <w:rFonts w:ascii="Bookman Old Style"/>
          <w:b/>
          <w:color w:val="231F20"/>
          <w:w w:val="85"/>
        </w:rPr>
        <w:t>The</w:t>
      </w:r>
      <w:r>
        <w:rPr>
          <w:rFonts w:ascii="Bookman Old Style"/>
          <w:b/>
          <w:color w:val="231F20"/>
          <w:spacing w:val="-25"/>
          <w:w w:val="85"/>
        </w:rPr>
        <w:t> </w:t>
      </w:r>
      <w:r>
        <w:rPr>
          <w:rFonts w:ascii="Bookman Old Style"/>
          <w:b/>
          <w:color w:val="231F20"/>
          <w:w w:val="85"/>
        </w:rPr>
        <w:t>likelihood </w:t>
      </w:r>
      <w:r>
        <w:rPr>
          <w:rFonts w:ascii="Bookman Old Style"/>
          <w:b/>
          <w:color w:val="231F20"/>
          <w:w w:val="95"/>
        </w:rPr>
        <w:t>of this depends on the background </w:t>
      </w:r>
      <w:r>
        <w:rPr>
          <w:rFonts w:ascii="Bookman Old Style"/>
          <w:b/>
          <w:color w:val="231F20"/>
          <w:w w:val="85"/>
        </w:rPr>
        <w:t>prevalence</w:t>
      </w:r>
      <w:r>
        <w:rPr>
          <w:rFonts w:ascii="Bookman Old Style"/>
          <w:b/>
          <w:color w:val="231F20"/>
          <w:spacing w:val="-31"/>
          <w:w w:val="85"/>
        </w:rPr>
        <w:t> </w:t>
      </w:r>
      <w:r>
        <w:rPr>
          <w:rFonts w:ascii="Bookman Old Style"/>
          <w:b/>
          <w:color w:val="231F20"/>
          <w:w w:val="85"/>
        </w:rPr>
        <w:t>of</w:t>
      </w:r>
      <w:r>
        <w:rPr>
          <w:rFonts w:ascii="Bookman Old Style"/>
          <w:b/>
          <w:color w:val="231F20"/>
          <w:spacing w:val="-16"/>
          <w:w w:val="85"/>
        </w:rPr>
        <w:t> </w:t>
      </w:r>
      <w:r>
        <w:rPr>
          <w:rFonts w:ascii="Bookman Old Style"/>
          <w:b/>
          <w:color w:val="231F20"/>
          <w:w w:val="85"/>
        </w:rPr>
        <w:t>the</w:t>
      </w:r>
      <w:r>
        <w:rPr>
          <w:rFonts w:ascii="Bookman Old Style"/>
          <w:b/>
          <w:color w:val="231F20"/>
          <w:spacing w:val="-31"/>
          <w:w w:val="85"/>
        </w:rPr>
        <w:t> </w:t>
      </w:r>
      <w:r>
        <w:rPr>
          <w:rFonts w:ascii="Bookman Old Style"/>
          <w:b/>
          <w:color w:val="231F20"/>
          <w:w w:val="85"/>
        </w:rPr>
        <w:t>disease</w:t>
      </w:r>
      <w:r>
        <w:rPr>
          <w:rFonts w:ascii="Bookman Old Style"/>
          <w:b/>
          <w:color w:val="231F20"/>
          <w:spacing w:val="-31"/>
          <w:w w:val="85"/>
        </w:rPr>
        <w:t> </w:t>
      </w:r>
      <w:r>
        <w:rPr>
          <w:rFonts w:ascii="Bookman Old Style"/>
          <w:b/>
          <w:color w:val="231F20"/>
          <w:w w:val="85"/>
        </w:rPr>
        <w:t>or</w:t>
      </w:r>
      <w:r>
        <w:rPr>
          <w:rFonts w:ascii="Bookman Old Style"/>
          <w:b/>
          <w:color w:val="231F20"/>
          <w:spacing w:val="-31"/>
          <w:w w:val="85"/>
        </w:rPr>
        <w:t> </w:t>
      </w:r>
      <w:r>
        <w:rPr>
          <w:rFonts w:ascii="Bookman Old Style"/>
          <w:b/>
          <w:color w:val="231F20"/>
          <w:w w:val="85"/>
        </w:rPr>
        <w:t>complaint.</w:t>
      </w:r>
    </w:p>
    <w:p>
      <w:pPr>
        <w:pStyle w:val="BodyText"/>
        <w:spacing w:line="261" w:lineRule="auto" w:before="16"/>
        <w:ind w:left="1440" w:right="24"/>
      </w:pPr>
      <w:r>
        <w:rPr/>
        <w:pict>
          <v:rect style="position:absolute;margin-left:0pt;margin-top:.699353pt;width:45pt;height:18pt;mso-position-horizontal-relative:page;mso-position-vertical-relative:paragraph;z-index:3640" filled="true" fillcolor="#0079c1" stroked="false">
            <v:fill type="solid"/>
            <w10:wrap type="none"/>
          </v:rect>
        </w:pict>
      </w:r>
      <w:r>
        <w:rPr/>
        <w:pict>
          <v:shape style="position:absolute;margin-left:16.402201pt;margin-top:21.722645pt;width:22.3pt;height:183.2pt;mso-position-horizontal-relative:page;mso-position-vertical-relative:paragraph;z-index:3688"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18.200388pt;margin-top:5.450305pt;width:15.85pt;height:8.5pt;mso-position-horizontal-relative:page;mso-position-vertical-relative:paragraph;z-index:3712"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spacing w:val="-7"/>
        </w:rPr>
        <w:t>For </w:t>
      </w:r>
      <w:r>
        <w:rPr>
          <w:color w:val="231F20"/>
        </w:rPr>
        <w:t>example, unrelated diarrhea cases may inadvertently be grouped with true outbreak- related  cases  because  annually  approximately 48 million persons in the United States—or  one of six—“normally” experience diarrhea.</w:t>
      </w:r>
      <w:r>
        <w:rPr>
          <w:color w:val="231F20"/>
          <w:position w:val="7"/>
          <w:sz w:val="11"/>
        </w:rPr>
        <w:t>8 </w:t>
      </w:r>
      <w:r>
        <w:rPr>
          <w:rFonts w:ascii="Bookman Old Style" w:hAnsi="Bookman Old Style"/>
          <w:b/>
          <w:color w:val="231F20"/>
          <w:w w:val="85"/>
        </w:rPr>
        <w:t>Inclusion</w:t>
      </w:r>
      <w:r>
        <w:rPr>
          <w:rFonts w:ascii="Bookman Old Style" w:hAnsi="Bookman Old Style"/>
          <w:b/>
          <w:color w:val="231F20"/>
          <w:spacing w:val="-31"/>
          <w:w w:val="85"/>
        </w:rPr>
        <w:t> </w:t>
      </w:r>
      <w:r>
        <w:rPr>
          <w:rFonts w:ascii="Bookman Old Style" w:hAnsi="Bookman Old Style"/>
          <w:b/>
          <w:color w:val="231F20"/>
          <w:w w:val="85"/>
        </w:rPr>
        <w:t>of</w:t>
      </w:r>
      <w:r>
        <w:rPr>
          <w:rFonts w:ascii="Bookman Old Style" w:hAnsi="Bookman Old Style"/>
          <w:b/>
          <w:color w:val="231F20"/>
          <w:spacing w:val="-16"/>
          <w:w w:val="85"/>
        </w:rPr>
        <w:t> </w:t>
      </w:r>
      <w:r>
        <w:rPr>
          <w:rFonts w:ascii="Bookman Old Style" w:hAnsi="Bookman Old Style"/>
          <w:b/>
          <w:color w:val="231F20"/>
          <w:w w:val="85"/>
        </w:rPr>
        <w:t>misclassified</w:t>
      </w:r>
      <w:r>
        <w:rPr>
          <w:rFonts w:ascii="Bookman Old Style" w:hAnsi="Bookman Old Style"/>
          <w:b/>
          <w:color w:val="231F20"/>
          <w:spacing w:val="-31"/>
          <w:w w:val="85"/>
        </w:rPr>
        <w:t> </w:t>
      </w:r>
      <w:r>
        <w:rPr>
          <w:rFonts w:ascii="Bookman Old Style" w:hAnsi="Bookman Old Style"/>
          <w:b/>
          <w:color w:val="231F20"/>
          <w:w w:val="85"/>
        </w:rPr>
        <w:t>cases</w:t>
      </w:r>
      <w:r>
        <w:rPr>
          <w:rFonts w:ascii="Bookman Old Style" w:hAnsi="Bookman Old Style"/>
          <w:b/>
          <w:color w:val="231F20"/>
          <w:spacing w:val="-31"/>
          <w:w w:val="85"/>
        </w:rPr>
        <w:t> </w:t>
      </w:r>
      <w:r>
        <w:rPr>
          <w:rFonts w:ascii="Bookman Old Style" w:hAnsi="Bookman Old Style"/>
          <w:b/>
          <w:color w:val="231F20"/>
          <w:w w:val="85"/>
        </w:rPr>
        <w:t>(i.e.,</w:t>
      </w:r>
      <w:r>
        <w:rPr>
          <w:rFonts w:ascii="Bookman Old Style" w:hAnsi="Bookman Old Style"/>
          <w:b/>
          <w:color w:val="231F20"/>
          <w:spacing w:val="-31"/>
          <w:w w:val="85"/>
        </w:rPr>
        <w:t> </w:t>
      </w:r>
      <w:r>
        <w:rPr>
          <w:rFonts w:ascii="Bookman Old Style" w:hAnsi="Bookman Old Style"/>
          <w:b/>
          <w:color w:val="231F20"/>
          <w:w w:val="85"/>
        </w:rPr>
        <w:t>cases </w:t>
      </w:r>
      <w:r>
        <w:rPr>
          <w:rFonts w:ascii="Bookman Old Style" w:hAnsi="Bookman Old Style"/>
          <w:b/>
          <w:color w:val="231F20"/>
          <w:w w:val="80"/>
        </w:rPr>
        <w:t>not</w:t>
      </w:r>
      <w:r>
        <w:rPr>
          <w:rFonts w:ascii="Bookman Old Style" w:hAnsi="Bookman Old Style"/>
          <w:b/>
          <w:color w:val="231F20"/>
          <w:spacing w:val="-12"/>
          <w:w w:val="80"/>
        </w:rPr>
        <w:t> </w:t>
      </w:r>
      <w:r>
        <w:rPr>
          <w:rFonts w:ascii="Bookman Old Style" w:hAnsi="Bookman Old Style"/>
          <w:b/>
          <w:color w:val="231F20"/>
          <w:w w:val="80"/>
        </w:rPr>
        <w:t>associated</w:t>
      </w:r>
      <w:r>
        <w:rPr>
          <w:rFonts w:ascii="Bookman Old Style" w:hAnsi="Bookman Old Style"/>
          <w:b/>
          <w:color w:val="231F20"/>
          <w:spacing w:val="-12"/>
          <w:w w:val="80"/>
        </w:rPr>
        <w:t> </w:t>
      </w:r>
      <w:r>
        <w:rPr>
          <w:rFonts w:ascii="Bookman Old Style" w:hAnsi="Bookman Old Style"/>
          <w:b/>
          <w:color w:val="231F20"/>
          <w:w w:val="80"/>
        </w:rPr>
        <w:t>with</w:t>
      </w:r>
      <w:r>
        <w:rPr>
          <w:rFonts w:ascii="Bookman Old Style" w:hAnsi="Bookman Old Style"/>
          <w:b/>
          <w:color w:val="231F20"/>
          <w:spacing w:val="-12"/>
          <w:w w:val="80"/>
        </w:rPr>
        <w:t> </w:t>
      </w:r>
      <w:r>
        <w:rPr>
          <w:rFonts w:ascii="Bookman Old Style" w:hAnsi="Bookman Old Style"/>
          <w:b/>
          <w:color w:val="231F20"/>
          <w:w w:val="80"/>
        </w:rPr>
        <w:t>the</w:t>
      </w:r>
      <w:r>
        <w:rPr>
          <w:rFonts w:ascii="Bookman Old Style" w:hAnsi="Bookman Old Style"/>
          <w:b/>
          <w:color w:val="231F20"/>
          <w:spacing w:val="-12"/>
          <w:w w:val="80"/>
        </w:rPr>
        <w:t> </w:t>
      </w:r>
      <w:r>
        <w:rPr>
          <w:rFonts w:ascii="Bookman Old Style" w:hAnsi="Bookman Old Style"/>
          <w:b/>
          <w:color w:val="231F20"/>
          <w:w w:val="80"/>
        </w:rPr>
        <w:t>outbreak)</w:t>
      </w:r>
      <w:r>
        <w:rPr>
          <w:rFonts w:ascii="Bookman Old Style" w:hAnsi="Bookman Old Style"/>
          <w:b/>
          <w:color w:val="231F20"/>
          <w:spacing w:val="-12"/>
          <w:w w:val="80"/>
        </w:rPr>
        <w:t> </w:t>
      </w:r>
      <w:r>
        <w:rPr>
          <w:rFonts w:ascii="Bookman Old Style" w:hAnsi="Bookman Old Style"/>
          <w:b/>
          <w:color w:val="231F20"/>
          <w:w w:val="80"/>
        </w:rPr>
        <w:t>hinders</w:t>
      </w:r>
      <w:r>
        <w:rPr>
          <w:rFonts w:ascii="Bookman Old Style" w:hAnsi="Bookman Old Style"/>
          <w:b/>
          <w:color w:val="231F20"/>
          <w:spacing w:val="-12"/>
          <w:w w:val="80"/>
        </w:rPr>
        <w:t> </w:t>
      </w:r>
      <w:r>
        <w:rPr>
          <w:rFonts w:ascii="Bookman Old Style" w:hAnsi="Bookman Old Style"/>
          <w:b/>
          <w:color w:val="231F20"/>
          <w:w w:val="80"/>
        </w:rPr>
        <w:t>the detection of associations between exposures </w:t>
      </w:r>
      <w:r>
        <w:rPr>
          <w:rFonts w:ascii="Bookman Old Style" w:hAnsi="Bookman Old Style"/>
          <w:b/>
          <w:color w:val="231F20"/>
          <w:w w:val="85"/>
        </w:rPr>
        <w:t>and</w:t>
      </w:r>
      <w:r>
        <w:rPr>
          <w:rFonts w:ascii="Bookman Old Style" w:hAnsi="Bookman Old Style"/>
          <w:b/>
          <w:color w:val="231F20"/>
          <w:spacing w:val="-35"/>
          <w:w w:val="85"/>
        </w:rPr>
        <w:t> </w:t>
      </w:r>
      <w:r>
        <w:rPr>
          <w:rFonts w:ascii="Bookman Old Style" w:hAnsi="Bookman Old Style"/>
          <w:b/>
          <w:color w:val="231F20"/>
          <w:w w:val="85"/>
        </w:rPr>
        <w:t>disease,</w:t>
      </w:r>
      <w:r>
        <w:rPr>
          <w:rFonts w:ascii="Bookman Old Style" w:hAnsi="Bookman Old Style"/>
          <w:b/>
          <w:color w:val="231F20"/>
          <w:spacing w:val="-36"/>
          <w:w w:val="85"/>
        </w:rPr>
        <w:t> </w:t>
      </w:r>
      <w:r>
        <w:rPr>
          <w:rFonts w:ascii="Bookman Old Style" w:hAnsi="Bookman Old Style"/>
          <w:b/>
          <w:color w:val="231F20"/>
          <w:w w:val="85"/>
        </w:rPr>
        <w:t>thus</w:t>
      </w:r>
      <w:r>
        <w:rPr>
          <w:rFonts w:ascii="Bookman Old Style" w:hAnsi="Bookman Old Style"/>
          <w:b/>
          <w:color w:val="231F20"/>
          <w:spacing w:val="-36"/>
          <w:w w:val="85"/>
        </w:rPr>
        <w:t> </w:t>
      </w:r>
      <w:r>
        <w:rPr>
          <w:rFonts w:ascii="Bookman Old Style" w:hAnsi="Bookman Old Style"/>
          <w:b/>
          <w:color w:val="231F20"/>
          <w:w w:val="85"/>
        </w:rPr>
        <w:t>decreasing</w:t>
      </w:r>
      <w:r>
        <w:rPr>
          <w:rFonts w:ascii="Bookman Old Style" w:hAnsi="Bookman Old Style"/>
          <w:b/>
          <w:color w:val="231F20"/>
          <w:spacing w:val="-36"/>
          <w:w w:val="85"/>
        </w:rPr>
        <w:t> </w:t>
      </w:r>
      <w:r>
        <w:rPr>
          <w:rFonts w:ascii="Bookman Old Style" w:hAnsi="Bookman Old Style"/>
          <w:b/>
          <w:color w:val="231F20"/>
          <w:w w:val="85"/>
        </w:rPr>
        <w:t>the</w:t>
      </w:r>
      <w:r>
        <w:rPr>
          <w:rFonts w:ascii="Bookman Old Style" w:hAnsi="Bookman Old Style"/>
          <w:b/>
          <w:color w:val="231F20"/>
          <w:spacing w:val="-36"/>
          <w:w w:val="85"/>
        </w:rPr>
        <w:t> </w:t>
      </w:r>
      <w:r>
        <w:rPr>
          <w:rFonts w:ascii="Bookman Old Style" w:hAnsi="Bookman Old Style"/>
          <w:b/>
          <w:color w:val="231F20"/>
          <w:w w:val="85"/>
        </w:rPr>
        <w:t>likelihood </w:t>
      </w:r>
      <w:r>
        <w:rPr>
          <w:rFonts w:ascii="Bookman Old Style" w:hAnsi="Bookman Old Style"/>
          <w:b/>
          <w:color w:val="231F20"/>
          <w:w w:val="95"/>
        </w:rPr>
        <w:t>of</w:t>
      </w:r>
      <w:r>
        <w:rPr>
          <w:rFonts w:ascii="Bookman Old Style" w:hAnsi="Bookman Old Style"/>
          <w:b/>
          <w:color w:val="231F20"/>
          <w:spacing w:val="-36"/>
          <w:w w:val="95"/>
        </w:rPr>
        <w:t> </w:t>
      </w:r>
      <w:r>
        <w:rPr>
          <w:rFonts w:ascii="Bookman Old Style" w:hAnsi="Bookman Old Style"/>
          <w:b/>
          <w:color w:val="231F20"/>
          <w:w w:val="95"/>
        </w:rPr>
        <w:t>discovery</w:t>
      </w:r>
      <w:r>
        <w:rPr>
          <w:rFonts w:ascii="Bookman Old Style" w:hAnsi="Bookman Old Style"/>
          <w:b/>
          <w:color w:val="231F20"/>
          <w:spacing w:val="-47"/>
          <w:w w:val="95"/>
        </w:rPr>
        <w:t> </w:t>
      </w:r>
      <w:r>
        <w:rPr>
          <w:rFonts w:ascii="Bookman Old Style" w:hAnsi="Bookman Old Style"/>
          <w:b/>
          <w:color w:val="231F20"/>
          <w:w w:val="95"/>
        </w:rPr>
        <w:t>of</w:t>
      </w:r>
      <w:r>
        <w:rPr>
          <w:rFonts w:ascii="Bookman Old Style" w:hAnsi="Bookman Old Style"/>
          <w:b/>
          <w:color w:val="231F20"/>
          <w:spacing w:val="-36"/>
          <w:w w:val="95"/>
        </w:rPr>
        <w:t> </w:t>
      </w:r>
      <w:r>
        <w:rPr>
          <w:rFonts w:ascii="Bookman Old Style" w:hAnsi="Bookman Old Style"/>
          <w:b/>
          <w:color w:val="231F20"/>
          <w:w w:val="95"/>
        </w:rPr>
        <w:t>a</w:t>
      </w:r>
      <w:r>
        <w:rPr>
          <w:rFonts w:ascii="Bookman Old Style" w:hAnsi="Bookman Old Style"/>
          <w:b/>
          <w:color w:val="231F20"/>
          <w:spacing w:val="-47"/>
          <w:w w:val="95"/>
        </w:rPr>
        <w:t> </w:t>
      </w:r>
      <w:r>
        <w:rPr>
          <w:rFonts w:ascii="Bookman Old Style" w:hAnsi="Bookman Old Style"/>
          <w:b/>
          <w:color w:val="231F20"/>
          <w:w w:val="95"/>
        </w:rPr>
        <w:t>common</w:t>
      </w:r>
      <w:r>
        <w:rPr>
          <w:rFonts w:ascii="Bookman Old Style" w:hAnsi="Bookman Old Style"/>
          <w:b/>
          <w:color w:val="231F20"/>
          <w:spacing w:val="-47"/>
          <w:w w:val="95"/>
        </w:rPr>
        <w:t> </w:t>
      </w:r>
      <w:r>
        <w:rPr>
          <w:rFonts w:ascii="Bookman Old Style" w:hAnsi="Bookman Old Style"/>
          <w:b/>
          <w:color w:val="231F20"/>
          <w:w w:val="95"/>
        </w:rPr>
        <w:t>source.</w:t>
      </w:r>
      <w:r>
        <w:rPr>
          <w:rFonts w:ascii="Bookman Old Style" w:hAnsi="Bookman Old Style"/>
          <w:b/>
          <w:color w:val="231F20"/>
          <w:spacing w:val="-49"/>
          <w:w w:val="95"/>
        </w:rPr>
        <w:t> </w:t>
      </w:r>
      <w:r>
        <w:rPr>
          <w:color w:val="231F20"/>
          <w:w w:val="95"/>
        </w:rPr>
        <w:t>When </w:t>
      </w:r>
      <w:r>
        <w:rPr>
          <w:color w:val="231F20"/>
        </w:rPr>
        <w:t>reported clusters are small, the possibility must be considered that the reported cluster results from coincidence rather than causal association (type I probability error—i.e., detection</w:t>
      </w:r>
      <w:r>
        <w:rPr>
          <w:color w:val="231F20"/>
          <w:spacing w:val="16"/>
        </w:rPr>
        <w:t> </w:t>
      </w:r>
      <w:r>
        <w:rPr>
          <w:color w:val="231F20"/>
        </w:rPr>
        <w:t>of</w:t>
      </w:r>
    </w:p>
    <w:p>
      <w:pPr>
        <w:pStyle w:val="BodyText"/>
        <w:spacing w:line="266" w:lineRule="auto" w:before="4"/>
        <w:ind w:left="1440" w:right="16"/>
      </w:pPr>
      <w:r>
        <w:rPr>
          <w:color w:val="231F20"/>
        </w:rPr>
        <w:t>an association between an exposure and a disease where one does not exist). With unusual syndromes, such as neurologic symptoms associated with botulism or ciguatera fish poisoning, the likelihood of  misclassification and type 1 probability error is </w:t>
      </w:r>
      <w:r>
        <w:rPr>
          <w:color w:val="231F20"/>
          <w:spacing w:val="-7"/>
        </w:rPr>
        <w:t>low. </w:t>
      </w:r>
      <w:r>
        <w:rPr>
          <w:color w:val="231F20"/>
        </w:rPr>
        <w:t>The system specificity can be increased </w:t>
      </w:r>
      <w:r>
        <w:rPr>
          <w:color w:val="231F20"/>
          <w:spacing w:val="-3"/>
        </w:rPr>
        <w:t>by </w:t>
      </w:r>
      <w:r>
        <w:rPr>
          <w:color w:val="231F20"/>
        </w:rPr>
        <w:t>identifying a specific agent or disease marker or </w:t>
      </w:r>
      <w:r>
        <w:rPr>
          <w:color w:val="231F20"/>
          <w:spacing w:val="-3"/>
        </w:rPr>
        <w:t>by </w:t>
      </w:r>
      <w:r>
        <w:rPr>
          <w:color w:val="231F20"/>
        </w:rPr>
        <w:t>increasing the specificity of the symptom information </w:t>
      </w:r>
      <w:r>
        <w:rPr>
          <w:color w:val="231F20"/>
          <w:spacing w:val="-4"/>
        </w:rPr>
        <w:t>(e.g., </w:t>
      </w:r>
      <w:r>
        <w:rPr>
          <w:color w:val="231F20"/>
        </w:rPr>
        <w:t>bloody diarrhea or specific mean duration of illness) or </w:t>
      </w:r>
      <w:r>
        <w:rPr>
          <w:color w:val="231F20"/>
          <w:spacing w:val="-3"/>
        </w:rPr>
        <w:t>by </w:t>
      </w:r>
      <w:r>
        <w:rPr>
          <w:color w:val="231F20"/>
        </w:rPr>
        <w:t>obtaining exposure</w:t>
      </w:r>
      <w:r>
        <w:rPr>
          <w:color w:val="231F20"/>
          <w:spacing w:val="18"/>
        </w:rPr>
        <w:t> </w:t>
      </w:r>
      <w:r>
        <w:rPr>
          <w:color w:val="231F20"/>
        </w:rPr>
        <w:t>information.</w:t>
      </w:r>
    </w:p>
    <w:p>
      <w:pPr>
        <w:pStyle w:val="ListParagraph"/>
        <w:numPr>
          <w:ilvl w:val="3"/>
          <w:numId w:val="17"/>
        </w:numPr>
        <w:tabs>
          <w:tab w:pos="2082" w:val="left" w:leader="none"/>
        </w:tabs>
        <w:spacing w:line="266" w:lineRule="auto" w:before="180" w:after="0"/>
        <w:ind w:left="1440" w:right="0" w:firstLine="0"/>
        <w:jc w:val="left"/>
        <w:rPr>
          <w:i/>
          <w:sz w:val="20"/>
        </w:rPr>
      </w:pPr>
      <w:r>
        <w:rPr>
          <w:i/>
          <w:color w:val="E36F1E"/>
          <w:w w:val="105"/>
          <w:sz w:val="20"/>
        </w:rPr>
        <w:t>Sensitivity and specificity of case interviews— </w:t>
      </w:r>
      <w:r>
        <w:rPr>
          <w:i/>
          <w:color w:val="E36F1E"/>
          <w:w w:val="105"/>
          <w:sz w:val="20"/>
        </w:rPr>
        <w:t>group</w:t>
      </w:r>
      <w:r>
        <w:rPr>
          <w:i/>
          <w:color w:val="E36F1E"/>
          <w:spacing w:val="-18"/>
          <w:w w:val="105"/>
          <w:sz w:val="20"/>
        </w:rPr>
        <w:t> </w:t>
      </w:r>
      <w:r>
        <w:rPr>
          <w:i/>
          <w:color w:val="E36F1E"/>
          <w:w w:val="105"/>
          <w:sz w:val="20"/>
        </w:rPr>
        <w:t>complaints</w:t>
      </w:r>
    </w:p>
    <w:p>
      <w:pPr>
        <w:pStyle w:val="BodyText"/>
        <w:spacing w:line="266" w:lineRule="auto"/>
        <w:ind w:left="1440" w:right="124"/>
      </w:pPr>
      <w:r>
        <w:rPr>
          <w:color w:val="231F20"/>
        </w:rPr>
        <w:t>Interviews of cases for group complaints capture two types of  information:</w:t>
      </w:r>
    </w:p>
    <w:p>
      <w:pPr>
        <w:pStyle w:val="ListParagraph"/>
        <w:numPr>
          <w:ilvl w:val="4"/>
          <w:numId w:val="16"/>
        </w:numPr>
        <w:tabs>
          <w:tab w:pos="1611" w:val="left" w:leader="none"/>
        </w:tabs>
        <w:spacing w:line="266" w:lineRule="auto" w:before="90" w:after="0"/>
        <w:ind w:left="1610" w:right="596" w:hanging="170"/>
        <w:jc w:val="left"/>
        <w:rPr>
          <w:sz w:val="20"/>
        </w:rPr>
      </w:pPr>
      <w:r>
        <w:rPr>
          <w:color w:val="231F20"/>
          <w:w w:val="105"/>
          <w:sz w:val="20"/>
        </w:rPr>
        <w:t>Specific</w:t>
      </w:r>
      <w:r>
        <w:rPr>
          <w:color w:val="231F20"/>
          <w:spacing w:val="-20"/>
          <w:w w:val="105"/>
          <w:sz w:val="20"/>
        </w:rPr>
        <w:t> </w:t>
      </w:r>
      <w:r>
        <w:rPr>
          <w:color w:val="231F20"/>
          <w:w w:val="105"/>
          <w:sz w:val="20"/>
        </w:rPr>
        <w:t>exposures</w:t>
      </w:r>
      <w:r>
        <w:rPr>
          <w:color w:val="231F20"/>
          <w:spacing w:val="-20"/>
          <w:w w:val="105"/>
          <w:sz w:val="20"/>
        </w:rPr>
        <w:t> </w:t>
      </w:r>
      <w:r>
        <w:rPr>
          <w:color w:val="231F20"/>
          <w:w w:val="105"/>
          <w:sz w:val="20"/>
        </w:rPr>
        <w:t>associated</w:t>
      </w:r>
      <w:r>
        <w:rPr>
          <w:color w:val="231F20"/>
          <w:spacing w:val="-20"/>
          <w:w w:val="105"/>
          <w:sz w:val="20"/>
        </w:rPr>
        <w:t> </w:t>
      </w:r>
      <w:r>
        <w:rPr>
          <w:color w:val="231F20"/>
          <w:w w:val="105"/>
          <w:sz w:val="20"/>
        </w:rPr>
        <w:t>with</w:t>
      </w:r>
      <w:r>
        <w:rPr>
          <w:color w:val="231F20"/>
          <w:spacing w:val="-20"/>
          <w:w w:val="105"/>
          <w:sz w:val="20"/>
        </w:rPr>
        <w:t> </w:t>
      </w:r>
      <w:r>
        <w:rPr>
          <w:color w:val="231F20"/>
          <w:w w:val="105"/>
          <w:sz w:val="20"/>
        </w:rPr>
        <w:t>the reported event</w:t>
      </w:r>
      <w:r>
        <w:rPr>
          <w:color w:val="231F20"/>
          <w:spacing w:val="-26"/>
          <w:w w:val="105"/>
          <w:sz w:val="20"/>
        </w:rPr>
        <w:t> </w:t>
      </w:r>
      <w:r>
        <w:rPr>
          <w:color w:val="231F20"/>
          <w:w w:val="105"/>
          <w:sz w:val="20"/>
        </w:rPr>
        <w:t>and</w:t>
      </w:r>
    </w:p>
    <w:p>
      <w:pPr>
        <w:pStyle w:val="ListParagraph"/>
        <w:numPr>
          <w:ilvl w:val="4"/>
          <w:numId w:val="16"/>
        </w:numPr>
        <w:tabs>
          <w:tab w:pos="1611" w:val="left" w:leader="none"/>
        </w:tabs>
        <w:spacing w:line="266" w:lineRule="auto" w:before="90" w:after="0"/>
        <w:ind w:left="1610" w:right="415" w:hanging="170"/>
        <w:jc w:val="left"/>
        <w:rPr>
          <w:sz w:val="20"/>
        </w:rPr>
      </w:pPr>
      <w:r>
        <w:rPr>
          <w:color w:val="231F20"/>
          <w:sz w:val="20"/>
        </w:rPr>
        <w:t>Individual food histories of cases to rule out alternate hypotheses and exclude misclassified</w:t>
      </w:r>
      <w:r>
        <w:rPr>
          <w:color w:val="231F20"/>
          <w:spacing w:val="21"/>
          <w:sz w:val="20"/>
        </w:rPr>
        <w:t> </w:t>
      </w:r>
      <w:r>
        <w:rPr>
          <w:color w:val="231F20"/>
          <w:sz w:val="20"/>
        </w:rPr>
        <w:t>cases.</w:t>
      </w:r>
    </w:p>
    <w:p>
      <w:pPr>
        <w:pStyle w:val="BodyText"/>
        <w:spacing w:line="254" w:lineRule="auto" w:before="92"/>
        <w:ind w:left="319" w:right="1111"/>
        <w:rPr>
          <w:rFonts w:ascii="Bookman Old Style"/>
          <w:b/>
        </w:rPr>
      </w:pPr>
      <w:r>
        <w:rPr/>
        <w:br w:type="column"/>
      </w:r>
      <w:r>
        <w:rPr>
          <w:rFonts w:ascii="Bookman Old Style"/>
          <w:b/>
          <w:color w:val="231F20"/>
          <w:w w:val="90"/>
        </w:rPr>
        <w:t>Because exposures associated with </w:t>
      </w:r>
      <w:r>
        <w:rPr>
          <w:rFonts w:ascii="Bookman Old Style"/>
          <w:b/>
          <w:color w:val="231F20"/>
          <w:w w:val="85"/>
        </w:rPr>
        <w:t>group</w:t>
      </w:r>
      <w:r>
        <w:rPr>
          <w:rFonts w:ascii="Bookman Old Style"/>
          <w:b/>
          <w:color w:val="231F20"/>
          <w:spacing w:val="-27"/>
          <w:w w:val="85"/>
        </w:rPr>
        <w:t> </w:t>
      </w:r>
      <w:r>
        <w:rPr>
          <w:rFonts w:ascii="Bookman Old Style"/>
          <w:b/>
          <w:color w:val="231F20"/>
          <w:w w:val="85"/>
        </w:rPr>
        <w:t>events</w:t>
      </w:r>
      <w:r>
        <w:rPr>
          <w:rFonts w:ascii="Bookman Old Style"/>
          <w:b/>
          <w:color w:val="231F20"/>
          <w:spacing w:val="-27"/>
          <w:w w:val="85"/>
        </w:rPr>
        <w:t> </w:t>
      </w:r>
      <w:r>
        <w:rPr>
          <w:rFonts w:ascii="Bookman Old Style"/>
          <w:b/>
          <w:color w:val="231F20"/>
          <w:w w:val="85"/>
        </w:rPr>
        <w:t>are</w:t>
      </w:r>
      <w:r>
        <w:rPr>
          <w:rFonts w:ascii="Bookman Old Style"/>
          <w:b/>
          <w:color w:val="231F20"/>
          <w:spacing w:val="-27"/>
          <w:w w:val="85"/>
        </w:rPr>
        <w:t> </w:t>
      </w:r>
      <w:r>
        <w:rPr>
          <w:rFonts w:ascii="Bookman Old Style"/>
          <w:b/>
          <w:color w:val="231F20"/>
          <w:w w:val="85"/>
        </w:rPr>
        <w:t>relatively</w:t>
      </w:r>
      <w:r>
        <w:rPr>
          <w:rFonts w:ascii="Bookman Old Style"/>
          <w:b/>
          <w:color w:val="231F20"/>
          <w:spacing w:val="-27"/>
          <w:w w:val="85"/>
        </w:rPr>
        <w:t> </w:t>
      </w:r>
      <w:r>
        <w:rPr>
          <w:rFonts w:ascii="Bookman Old Style"/>
          <w:b/>
          <w:color w:val="231F20"/>
          <w:w w:val="85"/>
        </w:rPr>
        <w:t>few</w:t>
      </w:r>
      <w:r>
        <w:rPr>
          <w:rFonts w:ascii="Bookman Old Style"/>
          <w:b/>
          <w:color w:val="231F20"/>
          <w:spacing w:val="-27"/>
          <w:w w:val="85"/>
        </w:rPr>
        <w:t> </w:t>
      </w:r>
      <w:r>
        <w:rPr>
          <w:rFonts w:ascii="Bookman Old Style"/>
          <w:b/>
          <w:color w:val="231F20"/>
          <w:w w:val="85"/>
        </w:rPr>
        <w:t>and</w:t>
      </w:r>
      <w:r>
        <w:rPr>
          <w:rFonts w:ascii="Bookman Old Style"/>
          <w:b/>
          <w:color w:val="231F20"/>
          <w:spacing w:val="-27"/>
          <w:w w:val="85"/>
        </w:rPr>
        <w:t> </w:t>
      </w:r>
      <w:r>
        <w:rPr>
          <w:rFonts w:ascii="Bookman Old Style"/>
          <w:b/>
          <w:color w:val="231F20"/>
          <w:w w:val="85"/>
        </w:rPr>
        <w:t>can be</w:t>
      </w:r>
      <w:r>
        <w:rPr>
          <w:rFonts w:ascii="Bookman Old Style"/>
          <w:b/>
          <w:color w:val="231F20"/>
          <w:spacing w:val="-37"/>
          <w:w w:val="85"/>
        </w:rPr>
        <w:t> </w:t>
      </w:r>
      <w:r>
        <w:rPr>
          <w:rFonts w:ascii="Bookman Old Style"/>
          <w:b/>
          <w:color w:val="231F20"/>
          <w:w w:val="85"/>
        </w:rPr>
        <w:t>described</w:t>
      </w:r>
      <w:r>
        <w:rPr>
          <w:rFonts w:ascii="Bookman Old Style"/>
          <w:b/>
          <w:color w:val="231F20"/>
          <w:spacing w:val="-37"/>
          <w:w w:val="85"/>
        </w:rPr>
        <w:t> </w:t>
      </w:r>
      <w:r>
        <w:rPr>
          <w:rFonts w:ascii="Bookman Old Style"/>
          <w:b/>
          <w:color w:val="231F20"/>
          <w:w w:val="85"/>
        </w:rPr>
        <w:t>specifically,</w:t>
      </w:r>
      <w:r>
        <w:rPr>
          <w:rFonts w:ascii="Bookman Old Style"/>
          <w:b/>
          <w:color w:val="231F20"/>
          <w:spacing w:val="-37"/>
          <w:w w:val="85"/>
        </w:rPr>
        <w:t> </w:t>
      </w:r>
      <w:r>
        <w:rPr>
          <w:rFonts w:ascii="Bookman Old Style"/>
          <w:b/>
          <w:color w:val="231F20"/>
          <w:w w:val="85"/>
        </w:rPr>
        <w:t>recall</w:t>
      </w:r>
      <w:r>
        <w:rPr>
          <w:rFonts w:ascii="Bookman Old Style"/>
          <w:b/>
          <w:color w:val="231F20"/>
          <w:spacing w:val="-37"/>
          <w:w w:val="85"/>
        </w:rPr>
        <w:t> </w:t>
      </w:r>
      <w:r>
        <w:rPr>
          <w:rFonts w:ascii="Bookman Old Style"/>
          <w:b/>
          <w:color w:val="231F20"/>
          <w:w w:val="85"/>
        </w:rPr>
        <w:t>tends</w:t>
      </w:r>
      <w:r>
        <w:rPr>
          <w:rFonts w:ascii="Bookman Old Style"/>
          <w:b/>
          <w:color w:val="231F20"/>
          <w:spacing w:val="-37"/>
          <w:w w:val="85"/>
        </w:rPr>
        <w:t> </w:t>
      </w:r>
      <w:r>
        <w:rPr>
          <w:rFonts w:ascii="Bookman Old Style"/>
          <w:b/>
          <w:color w:val="231F20"/>
          <w:w w:val="85"/>
        </w:rPr>
        <w:t>to</w:t>
      </w:r>
      <w:r>
        <w:rPr>
          <w:rFonts w:ascii="Bookman Old Style"/>
          <w:b/>
          <w:color w:val="231F20"/>
          <w:w w:val="77"/>
        </w:rPr>
        <w:t> </w:t>
      </w:r>
      <w:r>
        <w:rPr>
          <w:rFonts w:ascii="Bookman Old Style"/>
          <w:b/>
          <w:color w:val="231F20"/>
          <w:w w:val="85"/>
        </w:rPr>
        <w:t>be</w:t>
      </w:r>
      <w:r>
        <w:rPr>
          <w:rFonts w:ascii="Bookman Old Style"/>
          <w:b/>
          <w:color w:val="231F20"/>
          <w:spacing w:val="-24"/>
          <w:w w:val="85"/>
        </w:rPr>
        <w:t> </w:t>
      </w:r>
      <w:r>
        <w:rPr>
          <w:rFonts w:ascii="Bookman Old Style"/>
          <w:b/>
          <w:color w:val="231F20"/>
          <w:w w:val="85"/>
        </w:rPr>
        <w:t>good</w:t>
      </w:r>
      <w:r>
        <w:rPr>
          <w:rFonts w:ascii="Bookman Old Style"/>
          <w:b/>
          <w:color w:val="231F20"/>
          <w:spacing w:val="-25"/>
          <w:w w:val="85"/>
        </w:rPr>
        <w:t> </w:t>
      </w:r>
      <w:r>
        <w:rPr>
          <w:rFonts w:ascii="Bookman Old Style"/>
          <w:b/>
          <w:color w:val="231F20"/>
          <w:w w:val="85"/>
        </w:rPr>
        <w:t>and</w:t>
      </w:r>
      <w:r>
        <w:rPr>
          <w:rFonts w:ascii="Bookman Old Style"/>
          <w:b/>
          <w:color w:val="231F20"/>
          <w:spacing w:val="-25"/>
          <w:w w:val="85"/>
        </w:rPr>
        <w:t> </w:t>
      </w:r>
      <w:r>
        <w:rPr>
          <w:rFonts w:ascii="Bookman Old Style"/>
          <w:b/>
          <w:color w:val="231F20"/>
          <w:w w:val="85"/>
        </w:rPr>
        <w:t>timing</w:t>
      </w:r>
      <w:r>
        <w:rPr>
          <w:rFonts w:ascii="Bookman Old Style"/>
          <w:b/>
          <w:color w:val="231F20"/>
          <w:spacing w:val="-25"/>
          <w:w w:val="85"/>
        </w:rPr>
        <w:t> </w:t>
      </w:r>
      <w:r>
        <w:rPr>
          <w:rFonts w:ascii="Bookman Old Style"/>
          <w:b/>
          <w:color w:val="231F20"/>
          <w:w w:val="85"/>
        </w:rPr>
        <w:t>is</w:t>
      </w:r>
      <w:r>
        <w:rPr>
          <w:rFonts w:ascii="Bookman Old Style"/>
          <w:b/>
          <w:color w:val="231F20"/>
          <w:spacing w:val="-24"/>
          <w:w w:val="85"/>
        </w:rPr>
        <w:t> </w:t>
      </w:r>
      <w:r>
        <w:rPr>
          <w:rFonts w:ascii="Bookman Old Style"/>
          <w:b/>
          <w:color w:val="231F20"/>
          <w:w w:val="85"/>
        </w:rPr>
        <w:t>less</w:t>
      </w:r>
      <w:r>
        <w:rPr>
          <w:rFonts w:ascii="Bookman Old Style"/>
          <w:b/>
          <w:color w:val="231F20"/>
          <w:spacing w:val="-25"/>
          <w:w w:val="85"/>
        </w:rPr>
        <w:t> </w:t>
      </w:r>
      <w:r>
        <w:rPr>
          <w:rFonts w:ascii="Bookman Old Style"/>
          <w:b/>
          <w:color w:val="231F20"/>
          <w:w w:val="85"/>
        </w:rPr>
        <w:t>an</w:t>
      </w:r>
      <w:r>
        <w:rPr>
          <w:rFonts w:ascii="Bookman Old Style"/>
          <w:b/>
          <w:color w:val="231F20"/>
          <w:spacing w:val="-25"/>
          <w:w w:val="85"/>
        </w:rPr>
        <w:t> </w:t>
      </w:r>
      <w:r>
        <w:rPr>
          <w:rFonts w:ascii="Bookman Old Style"/>
          <w:b/>
          <w:color w:val="231F20"/>
          <w:w w:val="85"/>
        </w:rPr>
        <w:t>issue</w:t>
      </w:r>
      <w:r>
        <w:rPr>
          <w:rFonts w:ascii="Bookman Old Style"/>
          <w:b/>
          <w:color w:val="231F20"/>
          <w:spacing w:val="-24"/>
          <w:w w:val="85"/>
        </w:rPr>
        <w:t> </w:t>
      </w:r>
      <w:r>
        <w:rPr>
          <w:rFonts w:ascii="Bookman Old Style"/>
          <w:b/>
          <w:color w:val="231F20"/>
          <w:w w:val="85"/>
        </w:rPr>
        <w:t>than </w:t>
      </w:r>
      <w:r>
        <w:rPr>
          <w:rFonts w:ascii="Bookman Old Style"/>
          <w:b/>
          <w:color w:val="231F20"/>
          <w:w w:val="80"/>
        </w:rPr>
        <w:t>with pathogen-specific surveillance</w:t>
      </w:r>
      <w:r>
        <w:rPr>
          <w:rFonts w:ascii="Bookman Old Style"/>
          <w:b/>
          <w:color w:val="231F20"/>
          <w:spacing w:val="39"/>
          <w:w w:val="80"/>
        </w:rPr>
        <w:t> </w:t>
      </w:r>
      <w:r>
        <w:rPr>
          <w:rFonts w:ascii="Bookman Old Style"/>
          <w:b/>
          <w:color w:val="231F20"/>
          <w:w w:val="80"/>
        </w:rPr>
        <w:t>or</w:t>
      </w:r>
    </w:p>
    <w:p>
      <w:pPr>
        <w:pStyle w:val="BodyText"/>
        <w:spacing w:line="266" w:lineRule="auto" w:before="1"/>
        <w:ind w:left="319" w:right="933"/>
      </w:pPr>
      <w:r>
        <w:rPr>
          <w:rFonts w:ascii="Bookman Old Style"/>
          <w:b/>
          <w:color w:val="231F20"/>
          <w:w w:val="90"/>
        </w:rPr>
        <w:t>independent</w:t>
      </w:r>
      <w:r>
        <w:rPr>
          <w:rFonts w:ascii="Bookman Old Style"/>
          <w:b/>
          <w:color w:val="231F20"/>
          <w:spacing w:val="-34"/>
          <w:w w:val="90"/>
        </w:rPr>
        <w:t> </w:t>
      </w:r>
      <w:r>
        <w:rPr>
          <w:rFonts w:ascii="Bookman Old Style"/>
          <w:b/>
          <w:color w:val="231F20"/>
          <w:w w:val="90"/>
        </w:rPr>
        <w:t>complaints.</w:t>
      </w:r>
      <w:r>
        <w:rPr>
          <w:rFonts w:ascii="Bookman Old Style"/>
          <w:b/>
          <w:color w:val="231F20"/>
          <w:spacing w:val="-37"/>
          <w:w w:val="90"/>
        </w:rPr>
        <w:t> </w:t>
      </w:r>
      <w:r>
        <w:rPr>
          <w:color w:val="231F20"/>
          <w:w w:val="90"/>
        </w:rPr>
        <w:t>In</w:t>
      </w:r>
      <w:r>
        <w:rPr>
          <w:color w:val="231F20"/>
          <w:spacing w:val="-15"/>
          <w:w w:val="90"/>
        </w:rPr>
        <w:t> </w:t>
      </w:r>
      <w:r>
        <w:rPr>
          <w:color w:val="231F20"/>
          <w:w w:val="90"/>
        </w:rPr>
        <w:t>studies</w:t>
      </w:r>
      <w:r>
        <w:rPr>
          <w:color w:val="231F20"/>
          <w:spacing w:val="-14"/>
          <w:w w:val="90"/>
        </w:rPr>
        <w:t> </w:t>
      </w:r>
      <w:r>
        <w:rPr>
          <w:color w:val="231F20"/>
          <w:w w:val="90"/>
        </w:rPr>
        <w:t>of</w:t>
      </w:r>
      <w:r>
        <w:rPr>
          <w:color w:val="231F20"/>
          <w:spacing w:val="2"/>
          <w:w w:val="90"/>
        </w:rPr>
        <w:t> </w:t>
      </w:r>
      <w:r>
        <w:rPr>
          <w:color w:val="231F20"/>
          <w:w w:val="90"/>
        </w:rPr>
        <w:t>food </w:t>
      </w:r>
      <w:r>
        <w:rPr>
          <w:color w:val="231F20"/>
        </w:rPr>
        <w:t>recall </w:t>
      </w:r>
      <w:r>
        <w:rPr>
          <w:color w:val="231F20"/>
          <w:spacing w:val="-3"/>
        </w:rPr>
        <w:t>accuracy, </w:t>
      </w:r>
      <w:r>
        <w:rPr>
          <w:color w:val="231F20"/>
        </w:rPr>
        <w:t>the positive predictive value   of  individual food items ranged from 73%  to 97%.</w:t>
      </w:r>
      <w:r>
        <w:rPr>
          <w:color w:val="231F20"/>
          <w:position w:val="7"/>
          <w:sz w:val="11"/>
        </w:rPr>
        <w:t>9,10 </w:t>
      </w:r>
      <w:r>
        <w:rPr>
          <w:color w:val="231F20"/>
        </w:rPr>
        <w:t>The negative predictive value ranged from 79% to 98%. Highly  </w:t>
      </w:r>
      <w:r>
        <w:rPr>
          <w:color w:val="231F20"/>
          <w:spacing w:val="20"/>
        </w:rPr>
        <w:t> </w:t>
      </w:r>
      <w:r>
        <w:rPr>
          <w:color w:val="231F20"/>
        </w:rPr>
        <w:t>distinctive</w:t>
      </w:r>
    </w:p>
    <w:p>
      <w:pPr>
        <w:pStyle w:val="BodyText"/>
        <w:spacing w:line="266" w:lineRule="auto"/>
        <w:ind w:left="319" w:right="805"/>
      </w:pPr>
      <w:r>
        <w:rPr>
          <w:color w:val="231F20"/>
          <w:w w:val="105"/>
        </w:rPr>
        <w:t>foods tended to be more accurately reported. Nonetheless, the more specific exposure- related questions </w:t>
      </w:r>
      <w:r>
        <w:rPr>
          <w:color w:val="231F20"/>
          <w:spacing w:val="-3"/>
          <w:w w:val="105"/>
        </w:rPr>
        <w:t>are, </w:t>
      </w:r>
      <w:r>
        <w:rPr>
          <w:color w:val="231F20"/>
          <w:w w:val="105"/>
        </w:rPr>
        <w:t>the better recall will </w:t>
      </w:r>
      <w:r>
        <w:rPr>
          <w:color w:val="231F20"/>
          <w:spacing w:val="-3"/>
          <w:w w:val="105"/>
        </w:rPr>
        <w:t>be. </w:t>
      </w:r>
      <w:r>
        <w:rPr>
          <w:color w:val="231F20"/>
          <w:spacing w:val="-7"/>
          <w:w w:val="105"/>
        </w:rPr>
        <w:t>For </w:t>
      </w:r>
      <w:r>
        <w:rPr>
          <w:color w:val="231F20"/>
          <w:w w:val="105"/>
        </w:rPr>
        <w:t>example, cases asked whether they “ate German potato salad” at a particular event are more likely to remember than if  they were asked whether they ate “salad” or asked to list the foods they ate. Interviews of food- preparation</w:t>
      </w:r>
      <w:r>
        <w:rPr>
          <w:color w:val="231F20"/>
          <w:spacing w:val="-12"/>
          <w:w w:val="105"/>
        </w:rPr>
        <w:t> </w:t>
      </w:r>
      <w:r>
        <w:rPr>
          <w:color w:val="231F20"/>
          <w:w w:val="105"/>
        </w:rPr>
        <w:t>staff</w:t>
      </w:r>
      <w:r>
        <w:rPr>
          <w:color w:val="231F20"/>
          <w:spacing w:val="-12"/>
          <w:w w:val="105"/>
        </w:rPr>
        <w:t> </w:t>
      </w:r>
      <w:r>
        <w:rPr>
          <w:color w:val="231F20"/>
          <w:w w:val="105"/>
        </w:rPr>
        <w:t>additionally</w:t>
      </w:r>
      <w:r>
        <w:rPr>
          <w:color w:val="231F20"/>
          <w:spacing w:val="-12"/>
          <w:w w:val="105"/>
        </w:rPr>
        <w:t> </w:t>
      </w:r>
      <w:r>
        <w:rPr>
          <w:color w:val="231F20"/>
          <w:w w:val="105"/>
        </w:rPr>
        <w:t>provide</w:t>
      </w:r>
      <w:r>
        <w:rPr>
          <w:color w:val="231F20"/>
          <w:spacing w:val="-12"/>
          <w:w w:val="105"/>
        </w:rPr>
        <w:t> </w:t>
      </w:r>
      <w:r>
        <w:rPr>
          <w:color w:val="231F20"/>
          <w:w w:val="105"/>
        </w:rPr>
        <w:t>valuable information because they can list ingredients that</w:t>
      </w:r>
      <w:r>
        <w:rPr>
          <w:color w:val="231F20"/>
          <w:spacing w:val="-10"/>
          <w:w w:val="105"/>
        </w:rPr>
        <w:t> </w:t>
      </w:r>
      <w:r>
        <w:rPr>
          <w:color w:val="231F20"/>
          <w:w w:val="105"/>
        </w:rPr>
        <w:t>cases</w:t>
      </w:r>
      <w:r>
        <w:rPr>
          <w:color w:val="231F20"/>
          <w:spacing w:val="-10"/>
          <w:w w:val="105"/>
        </w:rPr>
        <w:t> </w:t>
      </w:r>
      <w:r>
        <w:rPr>
          <w:color w:val="231F20"/>
          <w:w w:val="105"/>
        </w:rPr>
        <w:t>are</w:t>
      </w:r>
      <w:r>
        <w:rPr>
          <w:color w:val="231F20"/>
          <w:spacing w:val="-10"/>
          <w:w w:val="105"/>
        </w:rPr>
        <w:t> </w:t>
      </w:r>
      <w:r>
        <w:rPr>
          <w:color w:val="231F20"/>
          <w:w w:val="105"/>
        </w:rPr>
        <w:t>not</w:t>
      </w:r>
      <w:r>
        <w:rPr>
          <w:color w:val="231F20"/>
          <w:spacing w:val="-10"/>
          <w:w w:val="105"/>
        </w:rPr>
        <w:t> </w:t>
      </w:r>
      <w:r>
        <w:rPr>
          <w:color w:val="231F20"/>
          <w:w w:val="105"/>
        </w:rPr>
        <w:t>likely</w:t>
      </w:r>
      <w:r>
        <w:rPr>
          <w:color w:val="231F20"/>
          <w:spacing w:val="-11"/>
          <w:w w:val="105"/>
        </w:rPr>
        <w:t> </w:t>
      </w:r>
      <w:r>
        <w:rPr>
          <w:color w:val="231F20"/>
          <w:w w:val="105"/>
        </w:rPr>
        <w:t>to</w:t>
      </w:r>
      <w:r>
        <w:rPr>
          <w:color w:val="231F20"/>
          <w:spacing w:val="-11"/>
          <w:w w:val="105"/>
        </w:rPr>
        <w:t> </w:t>
      </w:r>
      <w:r>
        <w:rPr>
          <w:color w:val="231F20"/>
          <w:w w:val="105"/>
        </w:rPr>
        <w:t>recall</w:t>
      </w:r>
      <w:r>
        <w:rPr>
          <w:color w:val="231F20"/>
          <w:spacing w:val="-11"/>
          <w:w w:val="105"/>
        </w:rPr>
        <w:t> </w:t>
      </w:r>
      <w:r>
        <w:rPr>
          <w:color w:val="231F20"/>
          <w:w w:val="105"/>
        </w:rPr>
        <w:t>or</w:t>
      </w:r>
      <w:r>
        <w:rPr>
          <w:color w:val="231F20"/>
          <w:spacing w:val="-10"/>
          <w:w w:val="105"/>
        </w:rPr>
        <w:t> </w:t>
      </w:r>
      <w:r>
        <w:rPr>
          <w:color w:val="231F20"/>
          <w:w w:val="105"/>
        </w:rPr>
        <w:t>even</w:t>
      </w:r>
      <w:r>
        <w:rPr>
          <w:color w:val="231F20"/>
          <w:spacing w:val="-11"/>
          <w:w w:val="105"/>
        </w:rPr>
        <w:t> </w:t>
      </w:r>
      <w:r>
        <w:rPr>
          <w:color w:val="231F20"/>
          <w:w w:val="105"/>
        </w:rPr>
        <w:t>know about and that a standardized</w:t>
      </w:r>
      <w:r>
        <w:rPr>
          <w:color w:val="231F20"/>
          <w:spacing w:val="-21"/>
          <w:w w:val="105"/>
        </w:rPr>
        <w:t> </w:t>
      </w:r>
      <w:r>
        <w:rPr>
          <w:color w:val="231F20"/>
          <w:w w:val="105"/>
        </w:rPr>
        <w:t>questionnaire</w:t>
      </w:r>
    </w:p>
    <w:p>
      <w:pPr>
        <w:pStyle w:val="BodyText"/>
        <w:spacing w:line="266" w:lineRule="auto"/>
        <w:ind w:left="319" w:right="676"/>
        <w:rPr>
          <w:sz w:val="11"/>
        </w:rPr>
      </w:pPr>
      <w:r>
        <w:rPr>
          <w:color w:val="231F20"/>
          <w:w w:val="105"/>
        </w:rPr>
        <w:t>might not include. A good example is the 2011 international outbreak of STEC O104:H4 infections associated with fenugreek sprouts.</w:t>
      </w:r>
      <w:r>
        <w:rPr>
          <w:color w:val="231F20"/>
          <w:w w:val="105"/>
          <w:position w:val="7"/>
          <w:sz w:val="11"/>
        </w:rPr>
        <w:t>11</w:t>
      </w:r>
    </w:p>
    <w:p>
      <w:pPr>
        <w:pStyle w:val="BodyText"/>
        <w:spacing w:line="266" w:lineRule="auto" w:before="180"/>
        <w:ind w:left="319" w:right="1070"/>
      </w:pPr>
      <w:r>
        <w:rPr>
          <w:color w:val="231F20"/>
          <w:w w:val="105"/>
        </w:rPr>
        <w:t>The second type of information gathered in the investigation of group complaints, individual</w:t>
      </w:r>
      <w:r>
        <w:rPr>
          <w:color w:val="231F20"/>
          <w:spacing w:val="-21"/>
          <w:w w:val="105"/>
        </w:rPr>
        <w:t> </w:t>
      </w:r>
      <w:r>
        <w:rPr>
          <w:color w:val="231F20"/>
          <w:w w:val="105"/>
        </w:rPr>
        <w:t>food</w:t>
      </w:r>
      <w:r>
        <w:rPr>
          <w:color w:val="231F20"/>
          <w:spacing w:val="-21"/>
          <w:w w:val="105"/>
        </w:rPr>
        <w:t> </w:t>
      </w:r>
      <w:r>
        <w:rPr>
          <w:color w:val="231F20"/>
          <w:w w:val="105"/>
        </w:rPr>
        <w:t>histories,</w:t>
      </w:r>
      <w:r>
        <w:rPr>
          <w:color w:val="231F20"/>
          <w:spacing w:val="-21"/>
          <w:w w:val="105"/>
        </w:rPr>
        <w:t> </w:t>
      </w:r>
      <w:r>
        <w:rPr>
          <w:color w:val="231F20"/>
          <w:w w:val="105"/>
        </w:rPr>
        <w:t>presents</w:t>
      </w:r>
      <w:r>
        <w:rPr>
          <w:color w:val="231F20"/>
          <w:spacing w:val="-21"/>
          <w:w w:val="105"/>
        </w:rPr>
        <w:t> </w:t>
      </w:r>
      <w:r>
        <w:rPr>
          <w:color w:val="231F20"/>
          <w:w w:val="105"/>
        </w:rPr>
        <w:t>the</w:t>
      </w:r>
      <w:r>
        <w:rPr>
          <w:color w:val="231F20"/>
          <w:spacing w:val="-21"/>
          <w:w w:val="105"/>
        </w:rPr>
        <w:t> </w:t>
      </w:r>
      <w:r>
        <w:rPr>
          <w:color w:val="231F20"/>
          <w:w w:val="105"/>
        </w:rPr>
        <w:t>same challenges</w:t>
      </w:r>
      <w:r>
        <w:rPr>
          <w:color w:val="231F20"/>
          <w:spacing w:val="-22"/>
          <w:w w:val="105"/>
        </w:rPr>
        <w:t> </w:t>
      </w:r>
      <w:r>
        <w:rPr>
          <w:color w:val="231F20"/>
          <w:w w:val="105"/>
        </w:rPr>
        <w:t>as</w:t>
      </w:r>
      <w:r>
        <w:rPr>
          <w:color w:val="231F20"/>
          <w:spacing w:val="-24"/>
          <w:w w:val="105"/>
        </w:rPr>
        <w:t> </w:t>
      </w:r>
      <w:r>
        <w:rPr>
          <w:color w:val="231F20"/>
          <w:w w:val="105"/>
        </w:rPr>
        <w:t>information</w:t>
      </w:r>
      <w:r>
        <w:rPr>
          <w:color w:val="231F20"/>
          <w:spacing w:val="-24"/>
          <w:w w:val="105"/>
        </w:rPr>
        <w:t> </w:t>
      </w:r>
      <w:r>
        <w:rPr>
          <w:color w:val="231F20"/>
          <w:w w:val="105"/>
        </w:rPr>
        <w:t>collected</w:t>
      </w:r>
      <w:r>
        <w:rPr>
          <w:color w:val="231F20"/>
          <w:spacing w:val="-22"/>
          <w:w w:val="105"/>
        </w:rPr>
        <w:t> </w:t>
      </w:r>
      <w:r>
        <w:rPr>
          <w:color w:val="231F20"/>
          <w:w w:val="105"/>
        </w:rPr>
        <w:t>for</w:t>
      </w:r>
    </w:p>
    <w:p>
      <w:pPr>
        <w:pStyle w:val="BodyText"/>
        <w:spacing w:line="266" w:lineRule="auto"/>
        <w:ind w:left="319" w:right="849"/>
      </w:pPr>
      <w:r>
        <w:rPr>
          <w:color w:val="231F20"/>
          <w:w w:val="105"/>
        </w:rPr>
        <w:t>outbreaks</w:t>
      </w:r>
      <w:r>
        <w:rPr>
          <w:color w:val="231F20"/>
          <w:spacing w:val="-29"/>
          <w:w w:val="105"/>
        </w:rPr>
        <w:t> </w:t>
      </w:r>
      <w:r>
        <w:rPr>
          <w:color w:val="231F20"/>
          <w:w w:val="105"/>
        </w:rPr>
        <w:t>detected</w:t>
      </w:r>
      <w:r>
        <w:rPr>
          <w:color w:val="231F20"/>
          <w:spacing w:val="-29"/>
          <w:w w:val="105"/>
        </w:rPr>
        <w:t> </w:t>
      </w:r>
      <w:r>
        <w:rPr>
          <w:color w:val="231F20"/>
          <w:w w:val="105"/>
        </w:rPr>
        <w:t>through</w:t>
      </w:r>
      <w:r>
        <w:rPr>
          <w:color w:val="231F20"/>
          <w:spacing w:val="-29"/>
          <w:w w:val="105"/>
        </w:rPr>
        <w:t> </w:t>
      </w:r>
      <w:r>
        <w:rPr>
          <w:color w:val="231F20"/>
          <w:w w:val="105"/>
        </w:rPr>
        <w:t>pathogen-specific surveillance (i.e., includes a broad</w:t>
      </w:r>
      <w:r>
        <w:rPr>
          <w:color w:val="231F20"/>
          <w:spacing w:val="-30"/>
          <w:w w:val="105"/>
        </w:rPr>
        <w:t> </w:t>
      </w:r>
      <w:r>
        <w:rPr>
          <w:color w:val="231F20"/>
          <w:w w:val="105"/>
        </w:rPr>
        <w:t>range</w:t>
      </w:r>
    </w:p>
    <w:p>
      <w:pPr>
        <w:pStyle w:val="BodyText"/>
        <w:spacing w:line="266" w:lineRule="auto"/>
        <w:ind w:left="319" w:right="755"/>
      </w:pPr>
      <w:r>
        <w:rPr>
          <w:color w:val="231F20"/>
          <w:w w:val="105"/>
        </w:rPr>
        <w:t>of possible exposures among cases and is associated with difficulties in recall). The problems may be even greater because no causative agent has been identified that would enable investigators to focus on exposures previously associated with that pathogen.</w:t>
      </w:r>
    </w:p>
    <w:p>
      <w:pPr>
        <w:pStyle w:val="BodyText"/>
        <w:spacing w:line="266" w:lineRule="auto"/>
        <w:ind w:left="319" w:right="860"/>
      </w:pPr>
      <w:r>
        <w:rPr>
          <w:color w:val="231F20"/>
          <w:w w:val="105"/>
        </w:rPr>
        <w:t>Hence,</w:t>
      </w:r>
      <w:r>
        <w:rPr>
          <w:color w:val="231F20"/>
          <w:spacing w:val="-17"/>
          <w:w w:val="105"/>
        </w:rPr>
        <w:t> </w:t>
      </w:r>
      <w:r>
        <w:rPr>
          <w:color w:val="231F20"/>
          <w:w w:val="105"/>
        </w:rPr>
        <w:t>cases</w:t>
      </w:r>
      <w:r>
        <w:rPr>
          <w:color w:val="231F20"/>
          <w:spacing w:val="-17"/>
          <w:w w:val="105"/>
        </w:rPr>
        <w:t> </w:t>
      </w:r>
      <w:r>
        <w:rPr>
          <w:color w:val="231F20"/>
          <w:w w:val="105"/>
        </w:rPr>
        <w:t>should</w:t>
      </w:r>
      <w:r>
        <w:rPr>
          <w:color w:val="231F20"/>
          <w:spacing w:val="-17"/>
          <w:w w:val="105"/>
        </w:rPr>
        <w:t> </w:t>
      </w:r>
      <w:r>
        <w:rPr>
          <w:color w:val="231F20"/>
          <w:w w:val="105"/>
        </w:rPr>
        <w:t>be</w:t>
      </w:r>
      <w:r>
        <w:rPr>
          <w:color w:val="231F20"/>
          <w:spacing w:val="-17"/>
          <w:w w:val="105"/>
        </w:rPr>
        <w:t> </w:t>
      </w:r>
      <w:r>
        <w:rPr>
          <w:color w:val="231F20"/>
          <w:w w:val="105"/>
        </w:rPr>
        <w:t>interviewed</w:t>
      </w:r>
      <w:r>
        <w:rPr>
          <w:color w:val="231F20"/>
          <w:spacing w:val="-17"/>
          <w:w w:val="105"/>
        </w:rPr>
        <w:t> </w:t>
      </w:r>
      <w:r>
        <w:rPr>
          <w:color w:val="231F20"/>
          <w:w w:val="105"/>
        </w:rPr>
        <w:t>promptly for</w:t>
      </w:r>
      <w:r>
        <w:rPr>
          <w:color w:val="231F20"/>
          <w:spacing w:val="-18"/>
          <w:w w:val="105"/>
        </w:rPr>
        <w:t> </w:t>
      </w:r>
      <w:r>
        <w:rPr>
          <w:color w:val="231F20"/>
          <w:w w:val="105"/>
        </w:rPr>
        <w:t>this</w:t>
      </w:r>
      <w:r>
        <w:rPr>
          <w:color w:val="231F20"/>
          <w:spacing w:val="-18"/>
          <w:w w:val="105"/>
        </w:rPr>
        <w:t> </w:t>
      </w:r>
      <w:r>
        <w:rPr>
          <w:color w:val="231F20"/>
          <w:w w:val="105"/>
        </w:rPr>
        <w:t>aspect</w:t>
      </w:r>
      <w:r>
        <w:rPr>
          <w:color w:val="231F20"/>
          <w:spacing w:val="-18"/>
          <w:w w:val="105"/>
        </w:rPr>
        <w:t> </w:t>
      </w:r>
      <w:r>
        <w:rPr>
          <w:color w:val="231F20"/>
          <w:w w:val="105"/>
        </w:rPr>
        <w:t>of</w:t>
      </w:r>
      <w:r>
        <w:rPr>
          <w:color w:val="231F20"/>
          <w:spacing w:val="1"/>
          <w:w w:val="105"/>
        </w:rPr>
        <w:t> </w:t>
      </w:r>
      <w:r>
        <w:rPr>
          <w:color w:val="231F20"/>
          <w:w w:val="105"/>
        </w:rPr>
        <w:t>the</w:t>
      </w:r>
      <w:r>
        <w:rPr>
          <w:color w:val="231F20"/>
          <w:spacing w:val="-18"/>
          <w:w w:val="105"/>
        </w:rPr>
        <w:t> </w:t>
      </w:r>
      <w:r>
        <w:rPr>
          <w:color w:val="231F20"/>
          <w:w w:val="105"/>
        </w:rPr>
        <w:t>interview</w:t>
      </w:r>
      <w:r>
        <w:rPr>
          <w:color w:val="231F20"/>
          <w:spacing w:val="-18"/>
          <w:w w:val="105"/>
        </w:rPr>
        <w:t> </w:t>
      </w:r>
      <w:r>
        <w:rPr>
          <w:color w:val="231F20"/>
          <w:w w:val="105"/>
        </w:rPr>
        <w:t>to</w:t>
      </w:r>
      <w:r>
        <w:rPr>
          <w:color w:val="231F20"/>
          <w:spacing w:val="-18"/>
          <w:w w:val="105"/>
        </w:rPr>
        <w:t> </w:t>
      </w:r>
      <w:r>
        <w:rPr>
          <w:color w:val="231F20"/>
          <w:w w:val="105"/>
        </w:rPr>
        <w:t>be</w:t>
      </w:r>
      <w:r>
        <w:rPr>
          <w:color w:val="231F20"/>
          <w:spacing w:val="-18"/>
          <w:w w:val="105"/>
        </w:rPr>
        <w:t> </w:t>
      </w:r>
      <w:r>
        <w:rPr>
          <w:color w:val="231F20"/>
          <w:w w:val="105"/>
        </w:rPr>
        <w:t>effective.</w:t>
      </w:r>
    </w:p>
    <w:p>
      <w:pPr>
        <w:pStyle w:val="ListParagraph"/>
        <w:numPr>
          <w:ilvl w:val="2"/>
          <w:numId w:val="18"/>
        </w:numPr>
        <w:tabs>
          <w:tab w:pos="876" w:val="left" w:leader="none"/>
        </w:tabs>
        <w:spacing w:line="254" w:lineRule="auto" w:before="159" w:after="0"/>
        <w:ind w:left="319" w:right="1441" w:firstLine="0"/>
        <w:jc w:val="left"/>
        <w:rPr>
          <w:rFonts w:ascii="Lucida Sans" w:hAnsi="Lucida Sans"/>
          <w:sz w:val="20"/>
        </w:rPr>
      </w:pPr>
      <w:r>
        <w:rPr>
          <w:rFonts w:ascii="Lucida Sans" w:hAnsi="Lucida Sans"/>
          <w:color w:val="1C3E94"/>
          <w:w w:val="95"/>
          <w:sz w:val="20"/>
        </w:rPr>
        <w:t>Complaint</w:t>
      </w:r>
      <w:r>
        <w:rPr>
          <w:rFonts w:ascii="Lucida Sans" w:hAnsi="Lucida Sans"/>
          <w:color w:val="1C3E94"/>
          <w:spacing w:val="-9"/>
          <w:w w:val="95"/>
          <w:sz w:val="20"/>
        </w:rPr>
        <w:t> </w:t>
      </w:r>
      <w:r>
        <w:rPr>
          <w:rFonts w:ascii="Lucida Sans" w:hAnsi="Lucida Sans"/>
          <w:color w:val="1C3E94"/>
          <w:w w:val="95"/>
          <w:sz w:val="20"/>
        </w:rPr>
        <w:t>Systems—Model </w:t>
      </w:r>
      <w:r>
        <w:rPr>
          <w:rFonts w:ascii="Lucida Sans" w:hAnsi="Lucida Sans"/>
          <w:color w:val="1C3E94"/>
          <w:sz w:val="20"/>
        </w:rPr>
        <w:t>Practices</w:t>
      </w:r>
    </w:p>
    <w:p>
      <w:pPr>
        <w:pStyle w:val="BodyText"/>
        <w:spacing w:before="1"/>
        <w:rPr>
          <w:rFonts w:ascii="Lucida Sans"/>
          <w:sz w:val="17"/>
        </w:rPr>
      </w:pPr>
    </w:p>
    <w:p>
      <w:pPr>
        <w:pStyle w:val="BodyText"/>
        <w:spacing w:line="266" w:lineRule="auto"/>
        <w:ind w:left="319" w:right="1111"/>
      </w:pPr>
      <w:r>
        <w:rPr>
          <w:color w:val="231F20"/>
          <w:w w:val="105"/>
        </w:rPr>
        <w:t>This section lists model practices for notification and complaint systems. The practices used in any particular situation</w:t>
      </w:r>
    </w:p>
    <w:p>
      <w:pPr>
        <w:spacing w:after="0" w:line="266" w:lineRule="auto"/>
        <w:sectPr>
          <w:type w:val="continuous"/>
          <w:pgSz w:w="10080" w:h="14400"/>
          <w:pgMar w:top="0" w:bottom="0" w:left="0" w:right="0"/>
          <w:cols w:num="2" w:equalWidth="0">
            <w:col w:w="5221" w:space="40"/>
            <w:col w:w="4819"/>
          </w:cols>
        </w:sectPr>
      </w:pPr>
    </w:p>
    <w:p>
      <w:pPr>
        <w:pStyle w:val="BodyText"/>
        <w:spacing w:before="8"/>
        <w:rPr>
          <w:sz w:val="26"/>
        </w:rPr>
      </w:pPr>
    </w:p>
    <w:p>
      <w:pPr>
        <w:pStyle w:val="Heading1"/>
        <w:ind w:left="720"/>
      </w:pPr>
      <w:r>
        <w:rPr/>
        <w:pict>
          <v:line style="position:absolute;mso-position-horizontal-relative:page;mso-position-vertical-relative:paragraph;z-index:3736;mso-wrap-distance-left:0;mso-wrap-distance-right:0" from="36pt,23.995163pt" to="432pt,23.995163pt" stroked="true" strokeweight=".5pt" strokecolor="#00a94f">
            <v:stroke dashstyle="solid"/>
            <w10:wrap type="topAndBottom"/>
          </v:line>
        </w:pict>
      </w:r>
      <w:r>
        <w:rPr>
          <w:color w:val="00A94F"/>
          <w:w w:val="95"/>
        </w:rPr>
        <w:t>4.3.</w:t>
      </w:r>
      <w:r>
        <w:rPr>
          <w:color w:val="00A94F"/>
          <w:spacing w:val="-50"/>
          <w:w w:val="95"/>
        </w:rPr>
        <w:t> </w:t>
      </w:r>
      <w:r>
        <w:rPr>
          <w:color w:val="00A94F"/>
          <w:w w:val="95"/>
        </w:rPr>
        <w:t>Complaint</w:t>
      </w:r>
      <w:r>
        <w:rPr>
          <w:color w:val="00A94F"/>
          <w:spacing w:val="-50"/>
          <w:w w:val="95"/>
        </w:rPr>
        <w:t> </w:t>
      </w:r>
      <w:r>
        <w:rPr>
          <w:color w:val="00A94F"/>
          <w:w w:val="95"/>
        </w:rPr>
        <w:t>Systems</w:t>
      </w:r>
    </w:p>
    <w:p>
      <w:pPr>
        <w:pStyle w:val="BodyText"/>
        <w:spacing w:before="7"/>
        <w:rPr>
          <w:rFonts w:ascii="Lucida Sans"/>
          <w:sz w:val="17"/>
        </w:rPr>
      </w:pPr>
    </w:p>
    <w:p>
      <w:pPr>
        <w:spacing w:after="0"/>
        <w:rPr>
          <w:rFonts w:ascii="Lucida Sans"/>
          <w:sz w:val="17"/>
        </w:rPr>
        <w:sectPr>
          <w:pgSz w:w="10080" w:h="14400"/>
          <w:pgMar w:header="0" w:footer="0" w:top="980" w:bottom="280" w:left="0" w:right="0"/>
        </w:sectPr>
      </w:pPr>
    </w:p>
    <w:p>
      <w:pPr>
        <w:pStyle w:val="BodyText"/>
        <w:spacing w:line="266" w:lineRule="auto" w:before="108"/>
        <w:ind w:left="720" w:right="156"/>
      </w:pPr>
      <w:r>
        <w:rPr>
          <w:color w:val="231F20"/>
          <w:w w:val="105"/>
        </w:rPr>
        <w:t>depend on a host of factors, including the circumstances specific to the outbreak </w:t>
      </w:r>
      <w:r>
        <w:rPr>
          <w:color w:val="231F20"/>
          <w:spacing w:val="-4"/>
          <w:w w:val="105"/>
        </w:rPr>
        <w:t>(e.g., </w:t>
      </w:r>
      <w:r>
        <w:rPr>
          <w:color w:val="231F20"/>
          <w:w w:val="105"/>
        </w:rPr>
        <w:t>the pathogen and number and distribution of cases), staff expertise, structure of the investigating </w:t>
      </w:r>
      <w:r>
        <w:rPr>
          <w:color w:val="231F20"/>
          <w:spacing w:val="-4"/>
          <w:w w:val="105"/>
        </w:rPr>
        <w:t>agency, </w:t>
      </w:r>
      <w:r>
        <w:rPr>
          <w:color w:val="231F20"/>
          <w:w w:val="105"/>
        </w:rPr>
        <w:t>and agency resources. </w:t>
      </w:r>
      <w:r>
        <w:rPr>
          <w:color w:val="231F20"/>
          <w:spacing w:val="-7"/>
          <w:w w:val="105"/>
        </w:rPr>
        <w:t>For </w:t>
      </w:r>
      <w:r>
        <w:rPr>
          <w:color w:val="231F20"/>
          <w:w w:val="105"/>
        </w:rPr>
        <w:t>example, reports of bloody diarrhea may warrant aggressive case identification and investigation to minimize serious illness and</w:t>
      </w:r>
    </w:p>
    <w:p>
      <w:pPr>
        <w:pStyle w:val="BodyText"/>
        <w:spacing w:line="266" w:lineRule="auto"/>
        <w:ind w:left="720" w:right="-9"/>
      </w:pPr>
      <w:r>
        <w:rPr>
          <w:color w:val="231F20"/>
          <w:w w:val="105"/>
        </w:rPr>
        <w:t>death.</w:t>
      </w:r>
      <w:r>
        <w:rPr>
          <w:color w:val="231F20"/>
          <w:spacing w:val="-25"/>
          <w:w w:val="105"/>
        </w:rPr>
        <w:t> </w:t>
      </w:r>
      <w:r>
        <w:rPr>
          <w:color w:val="231F20"/>
          <w:w w:val="105"/>
        </w:rPr>
        <w:t>A</w:t>
      </w:r>
      <w:r>
        <w:rPr>
          <w:color w:val="231F20"/>
          <w:spacing w:val="-25"/>
          <w:w w:val="105"/>
        </w:rPr>
        <w:t> </w:t>
      </w:r>
      <w:r>
        <w:rPr>
          <w:color w:val="231F20"/>
          <w:w w:val="105"/>
        </w:rPr>
        <w:t>cluster</w:t>
      </w:r>
      <w:r>
        <w:rPr>
          <w:color w:val="231F20"/>
          <w:spacing w:val="-25"/>
          <w:w w:val="105"/>
        </w:rPr>
        <w:t> </w:t>
      </w:r>
      <w:r>
        <w:rPr>
          <w:color w:val="231F20"/>
          <w:w w:val="105"/>
        </w:rPr>
        <w:t>of</w:t>
      </w:r>
      <w:r>
        <w:rPr>
          <w:color w:val="231F20"/>
          <w:spacing w:val="-8"/>
          <w:w w:val="105"/>
        </w:rPr>
        <w:t> </w:t>
      </w:r>
      <w:r>
        <w:rPr>
          <w:color w:val="231F20"/>
          <w:w w:val="105"/>
        </w:rPr>
        <w:t>possible</w:t>
      </w:r>
      <w:r>
        <w:rPr>
          <w:color w:val="231F20"/>
          <w:spacing w:val="-25"/>
          <w:w w:val="105"/>
        </w:rPr>
        <w:t> </w:t>
      </w:r>
      <w:r>
        <w:rPr>
          <w:color w:val="231F20"/>
          <w:w w:val="105"/>
        </w:rPr>
        <w:t>norovirus</w:t>
      </w:r>
      <w:r>
        <w:rPr>
          <w:color w:val="231F20"/>
          <w:spacing w:val="-24"/>
          <w:w w:val="105"/>
        </w:rPr>
        <w:t> </w:t>
      </w:r>
      <w:r>
        <w:rPr>
          <w:color w:val="231F20"/>
          <w:w w:val="105"/>
        </w:rPr>
        <w:t>infections might be investigated less aggressively or not investigated at all. Although these practices </w:t>
      </w:r>
      <w:r>
        <w:rPr>
          <w:color w:val="231F20"/>
          <w:spacing w:val="-3"/>
          <w:w w:val="105"/>
        </w:rPr>
        <w:t>have </w:t>
      </w:r>
      <w:r>
        <w:rPr>
          <w:color w:val="231F20"/>
          <w:w w:val="105"/>
        </w:rPr>
        <w:t>not been systematically</w:t>
      </w:r>
      <w:r>
        <w:rPr>
          <w:color w:val="231F20"/>
          <w:spacing w:val="-35"/>
          <w:w w:val="105"/>
        </w:rPr>
        <w:t> </w:t>
      </w:r>
      <w:r>
        <w:rPr>
          <w:color w:val="231F20"/>
          <w:w w:val="105"/>
        </w:rPr>
        <w:t>evaluated</w:t>
      </w:r>
    </w:p>
    <w:p>
      <w:pPr>
        <w:pStyle w:val="BodyText"/>
        <w:spacing w:line="266" w:lineRule="auto"/>
        <w:ind w:left="720" w:right="-4"/>
      </w:pPr>
      <w:r>
        <w:rPr>
          <w:color w:val="231F20"/>
          <w:w w:val="105"/>
        </w:rPr>
        <w:t>under different circumstances, experiences from successful investigations support their value. Investigators are encouraged to use a combination of these practices as appropriate to the specific outbreak.</w:t>
      </w:r>
    </w:p>
    <w:p>
      <w:pPr>
        <w:pStyle w:val="ListParagraph"/>
        <w:numPr>
          <w:ilvl w:val="3"/>
          <w:numId w:val="19"/>
        </w:numPr>
        <w:tabs>
          <w:tab w:pos="1362" w:val="left" w:leader="none"/>
        </w:tabs>
        <w:spacing w:line="254" w:lineRule="auto" w:before="180" w:after="0"/>
        <w:ind w:left="720" w:right="64" w:firstLine="0"/>
        <w:jc w:val="left"/>
        <w:rPr>
          <w:rFonts w:ascii="Bookman Old Style"/>
          <w:b/>
          <w:sz w:val="20"/>
        </w:rPr>
      </w:pPr>
      <w:r>
        <w:rPr>
          <w:i/>
          <w:color w:val="E36F1E"/>
          <w:sz w:val="20"/>
        </w:rPr>
        <w:t>Interviews related to individual complaints </w:t>
      </w:r>
      <w:r>
        <w:rPr>
          <w:rFonts w:ascii="Bookman Old Style"/>
          <w:b/>
          <w:color w:val="231F20"/>
          <w:w w:val="85"/>
          <w:sz w:val="20"/>
        </w:rPr>
        <w:t>Detection of outbreaks based on multiple individual</w:t>
      </w:r>
      <w:r>
        <w:rPr>
          <w:rFonts w:ascii="Bookman Old Style"/>
          <w:b/>
          <w:color w:val="231F20"/>
          <w:spacing w:val="-29"/>
          <w:w w:val="85"/>
          <w:sz w:val="20"/>
        </w:rPr>
        <w:t> </w:t>
      </w:r>
      <w:r>
        <w:rPr>
          <w:rFonts w:ascii="Bookman Old Style"/>
          <w:b/>
          <w:color w:val="231F20"/>
          <w:w w:val="85"/>
          <w:sz w:val="20"/>
        </w:rPr>
        <w:t>complaints</w:t>
      </w:r>
      <w:r>
        <w:rPr>
          <w:rFonts w:ascii="Bookman Old Style"/>
          <w:b/>
          <w:color w:val="231F20"/>
          <w:spacing w:val="-29"/>
          <w:w w:val="85"/>
          <w:sz w:val="20"/>
        </w:rPr>
        <w:t> </w:t>
      </w:r>
      <w:r>
        <w:rPr>
          <w:rFonts w:ascii="Bookman Old Style"/>
          <w:b/>
          <w:color w:val="231F20"/>
          <w:w w:val="85"/>
          <w:sz w:val="20"/>
        </w:rPr>
        <w:t>requires</w:t>
      </w:r>
      <w:r>
        <w:rPr>
          <w:rFonts w:ascii="Bookman Old Style"/>
          <w:b/>
          <w:color w:val="231F20"/>
          <w:spacing w:val="-29"/>
          <w:w w:val="85"/>
          <w:sz w:val="20"/>
        </w:rPr>
        <w:t> </w:t>
      </w:r>
      <w:r>
        <w:rPr>
          <w:rFonts w:ascii="Bookman Old Style"/>
          <w:b/>
          <w:color w:val="231F20"/>
          <w:w w:val="85"/>
          <w:sz w:val="20"/>
        </w:rPr>
        <w:t>a</w:t>
      </w:r>
      <w:r>
        <w:rPr>
          <w:rFonts w:ascii="Bookman Old Style"/>
          <w:b/>
          <w:color w:val="231F20"/>
          <w:spacing w:val="-29"/>
          <w:w w:val="85"/>
          <w:sz w:val="20"/>
        </w:rPr>
        <w:t> </w:t>
      </w:r>
      <w:r>
        <w:rPr>
          <w:rFonts w:ascii="Bookman Old Style"/>
          <w:b/>
          <w:color w:val="231F20"/>
          <w:w w:val="85"/>
          <w:sz w:val="20"/>
        </w:rPr>
        <w:t>system</w:t>
      </w:r>
      <w:r>
        <w:rPr>
          <w:rFonts w:ascii="Bookman Old Style"/>
          <w:b/>
          <w:color w:val="231F20"/>
          <w:spacing w:val="-29"/>
          <w:w w:val="85"/>
          <w:sz w:val="20"/>
        </w:rPr>
        <w:t> </w:t>
      </w:r>
      <w:r>
        <w:rPr>
          <w:rFonts w:ascii="Bookman Old Style"/>
          <w:b/>
          <w:color w:val="231F20"/>
          <w:w w:val="85"/>
          <w:sz w:val="20"/>
        </w:rPr>
        <w:t>for recording complaints and comparing food histories and other exposures reported by </w:t>
      </w:r>
      <w:r>
        <w:rPr>
          <w:rFonts w:ascii="Bookman Old Style"/>
          <w:b/>
          <w:color w:val="231F20"/>
          <w:sz w:val="20"/>
        </w:rPr>
        <w:t>individuals.</w:t>
      </w:r>
    </w:p>
    <w:p>
      <w:pPr>
        <w:pStyle w:val="BodyText"/>
        <w:spacing w:line="256" w:lineRule="auto" w:before="180"/>
        <w:ind w:left="720" w:right="2"/>
      </w:pPr>
      <w:r>
        <w:rPr>
          <w:rFonts w:ascii="Bookman Old Style"/>
          <w:b/>
          <w:color w:val="231F20"/>
        </w:rPr>
        <w:t>A detailed 5-day exposure history is </w:t>
      </w:r>
      <w:r>
        <w:rPr>
          <w:rFonts w:ascii="Bookman Old Style"/>
          <w:b/>
          <w:color w:val="231F20"/>
          <w:w w:val="90"/>
        </w:rPr>
        <w:t>recommended for individual complaints because common exposures are the sole mechanism</w:t>
      </w:r>
      <w:r>
        <w:rPr>
          <w:rFonts w:ascii="Bookman Old Style"/>
          <w:b/>
          <w:color w:val="231F20"/>
          <w:spacing w:val="-20"/>
          <w:w w:val="90"/>
        </w:rPr>
        <w:t> </w:t>
      </w:r>
      <w:r>
        <w:rPr>
          <w:rFonts w:ascii="Bookman Old Style"/>
          <w:b/>
          <w:color w:val="231F20"/>
          <w:w w:val="90"/>
        </w:rPr>
        <w:t>to</w:t>
      </w:r>
      <w:r>
        <w:rPr>
          <w:rFonts w:ascii="Bookman Old Style"/>
          <w:b/>
          <w:color w:val="231F20"/>
          <w:spacing w:val="-21"/>
          <w:w w:val="90"/>
        </w:rPr>
        <w:t> </w:t>
      </w:r>
      <w:r>
        <w:rPr>
          <w:rFonts w:ascii="Bookman Old Style"/>
          <w:b/>
          <w:color w:val="231F20"/>
          <w:w w:val="90"/>
        </w:rPr>
        <w:t>link</w:t>
      </w:r>
      <w:r>
        <w:rPr>
          <w:rFonts w:ascii="Bookman Old Style"/>
          <w:b/>
          <w:color w:val="231F20"/>
          <w:spacing w:val="-22"/>
          <w:w w:val="90"/>
        </w:rPr>
        <w:t> </w:t>
      </w:r>
      <w:r>
        <w:rPr>
          <w:rFonts w:ascii="Bookman Old Style"/>
          <w:b/>
          <w:color w:val="231F20"/>
          <w:w w:val="90"/>
        </w:rPr>
        <w:t>cases.</w:t>
      </w:r>
      <w:r>
        <w:rPr>
          <w:rFonts w:ascii="Bookman Old Style"/>
          <w:b/>
          <w:color w:val="231F20"/>
          <w:spacing w:val="-26"/>
          <w:w w:val="90"/>
        </w:rPr>
        <w:t> </w:t>
      </w:r>
      <w:r>
        <w:rPr>
          <w:color w:val="231F20"/>
          <w:w w:val="90"/>
        </w:rPr>
        <w:t>Although</w:t>
      </w:r>
      <w:r>
        <w:rPr>
          <w:color w:val="231F20"/>
          <w:spacing w:val="-1"/>
          <w:w w:val="90"/>
        </w:rPr>
        <w:t> </w:t>
      </w:r>
      <w:r>
        <w:rPr>
          <w:color w:val="231F20"/>
          <w:w w:val="90"/>
        </w:rPr>
        <w:t>outbreaks </w:t>
      </w:r>
      <w:r>
        <w:rPr>
          <w:color w:val="231F20"/>
        </w:rPr>
        <w:t>caused </w:t>
      </w:r>
      <w:r>
        <w:rPr>
          <w:color w:val="231F20"/>
          <w:spacing w:val="-3"/>
        </w:rPr>
        <w:t>by </w:t>
      </w:r>
      <w:r>
        <w:rPr>
          <w:color w:val="231F20"/>
        </w:rPr>
        <w:t>agents with short </w:t>
      </w:r>
      <w:r>
        <w:rPr>
          <w:color w:val="231F20"/>
          <w:spacing w:val="40"/>
        </w:rPr>
        <w:t> </w:t>
      </w:r>
      <w:r>
        <w:rPr>
          <w:color w:val="231F20"/>
        </w:rPr>
        <w:t>incubation</w:t>
      </w:r>
    </w:p>
    <w:p>
      <w:pPr>
        <w:pStyle w:val="BodyText"/>
        <w:spacing w:line="266" w:lineRule="auto" w:before="8"/>
        <w:ind w:left="720" w:right="-4"/>
      </w:pPr>
      <w:r>
        <w:rPr>
          <w:color w:val="231F20"/>
          <w:w w:val="105"/>
        </w:rPr>
        <w:t>periods may be able to be identified on the basis of information provided during initial complaints</w:t>
      </w:r>
      <w:r>
        <w:rPr>
          <w:color w:val="231F20"/>
          <w:spacing w:val="-19"/>
          <w:w w:val="105"/>
        </w:rPr>
        <w:t> </w:t>
      </w:r>
      <w:r>
        <w:rPr>
          <w:color w:val="231F20"/>
          <w:spacing w:val="-6"/>
          <w:w w:val="105"/>
        </w:rPr>
        <w:t>only,</w:t>
      </w:r>
      <w:r>
        <w:rPr>
          <w:color w:val="231F20"/>
          <w:spacing w:val="-19"/>
          <w:w w:val="105"/>
        </w:rPr>
        <w:t> </w:t>
      </w:r>
      <w:r>
        <w:rPr>
          <w:color w:val="231F20"/>
          <w:w w:val="105"/>
        </w:rPr>
        <w:t>the</w:t>
      </w:r>
      <w:r>
        <w:rPr>
          <w:color w:val="231F20"/>
          <w:spacing w:val="-19"/>
          <w:w w:val="105"/>
        </w:rPr>
        <w:t> </w:t>
      </w:r>
      <w:r>
        <w:rPr>
          <w:color w:val="231F20"/>
          <w:w w:val="105"/>
        </w:rPr>
        <w:t>signal-to-noise</w:t>
      </w:r>
      <w:r>
        <w:rPr>
          <w:color w:val="231F20"/>
          <w:spacing w:val="-17"/>
          <w:w w:val="105"/>
        </w:rPr>
        <w:t> </w:t>
      </w:r>
      <w:r>
        <w:rPr>
          <w:color w:val="231F20"/>
          <w:w w:val="105"/>
        </w:rPr>
        <w:t>ratio</w:t>
      </w:r>
      <w:r>
        <w:rPr>
          <w:color w:val="231F20"/>
          <w:spacing w:val="-19"/>
          <w:w w:val="105"/>
        </w:rPr>
        <w:t> </w:t>
      </w:r>
      <w:r>
        <w:rPr>
          <w:color w:val="231F20"/>
          <w:w w:val="105"/>
        </w:rPr>
        <w:t>would be </w:t>
      </w:r>
      <w:r>
        <w:rPr>
          <w:color w:val="231F20"/>
          <w:spacing w:val="-7"/>
          <w:w w:val="105"/>
        </w:rPr>
        <w:t>low, </w:t>
      </w:r>
      <w:r>
        <w:rPr>
          <w:color w:val="231F20"/>
          <w:w w:val="105"/>
        </w:rPr>
        <w:t>and investigations would tend to be nonproductive.</w:t>
      </w:r>
      <w:r>
        <w:rPr>
          <w:color w:val="231F20"/>
          <w:spacing w:val="-12"/>
          <w:w w:val="105"/>
        </w:rPr>
        <w:t> </w:t>
      </w:r>
      <w:r>
        <w:rPr>
          <w:color w:val="231F20"/>
          <w:w w:val="105"/>
        </w:rPr>
        <w:t>Therefore,</w:t>
      </w:r>
      <w:r>
        <w:rPr>
          <w:color w:val="231F20"/>
          <w:spacing w:val="-12"/>
          <w:w w:val="105"/>
        </w:rPr>
        <w:t> </w:t>
      </w:r>
      <w:r>
        <w:rPr>
          <w:color w:val="231F20"/>
          <w:w w:val="105"/>
        </w:rPr>
        <w:t>a</w:t>
      </w:r>
      <w:r>
        <w:rPr>
          <w:color w:val="231F20"/>
          <w:spacing w:val="-12"/>
          <w:w w:val="105"/>
        </w:rPr>
        <w:t> </w:t>
      </w:r>
      <w:r>
        <w:rPr>
          <w:color w:val="231F20"/>
          <w:w w:val="105"/>
        </w:rPr>
        <w:t>detailed</w:t>
      </w:r>
      <w:r>
        <w:rPr>
          <w:color w:val="231F20"/>
          <w:spacing w:val="-12"/>
          <w:w w:val="105"/>
        </w:rPr>
        <w:t> </w:t>
      </w:r>
      <w:r>
        <w:rPr>
          <w:color w:val="231F20"/>
          <w:spacing w:val="-3"/>
          <w:w w:val="105"/>
        </w:rPr>
        <w:t>interview, </w:t>
      </w:r>
      <w:r>
        <w:rPr>
          <w:color w:val="231F20"/>
          <w:w w:val="105"/>
        </w:rPr>
        <w:t>using a standardized form that includes both food</w:t>
      </w:r>
      <w:r>
        <w:rPr>
          <w:color w:val="231F20"/>
          <w:spacing w:val="-26"/>
          <w:w w:val="105"/>
        </w:rPr>
        <w:t> </w:t>
      </w:r>
      <w:r>
        <w:rPr>
          <w:color w:val="231F20"/>
          <w:w w:val="105"/>
        </w:rPr>
        <w:t>and</w:t>
      </w:r>
      <w:r>
        <w:rPr>
          <w:color w:val="231F20"/>
          <w:spacing w:val="-26"/>
          <w:w w:val="105"/>
        </w:rPr>
        <w:t> </w:t>
      </w:r>
      <w:r>
        <w:rPr>
          <w:color w:val="231F20"/>
          <w:w w:val="105"/>
        </w:rPr>
        <w:t>nonfood</w:t>
      </w:r>
      <w:r>
        <w:rPr>
          <w:color w:val="231F20"/>
          <w:spacing w:val="-26"/>
          <w:w w:val="105"/>
        </w:rPr>
        <w:t> </w:t>
      </w:r>
      <w:r>
        <w:rPr>
          <w:color w:val="231F20"/>
          <w:w w:val="105"/>
        </w:rPr>
        <w:t>exposures,</w:t>
      </w:r>
      <w:r>
        <w:rPr>
          <w:color w:val="231F20"/>
          <w:spacing w:val="-26"/>
          <w:w w:val="105"/>
        </w:rPr>
        <w:t> </w:t>
      </w:r>
      <w:r>
        <w:rPr>
          <w:color w:val="231F20"/>
          <w:w w:val="105"/>
        </w:rPr>
        <w:t>is</w:t>
      </w:r>
      <w:r>
        <w:rPr>
          <w:color w:val="231F20"/>
          <w:spacing w:val="-26"/>
          <w:w w:val="105"/>
        </w:rPr>
        <w:t> </w:t>
      </w:r>
      <w:r>
        <w:rPr>
          <w:color w:val="231F20"/>
          <w:w w:val="105"/>
        </w:rPr>
        <w:t>preferred.</w:t>
      </w:r>
    </w:p>
    <w:p>
      <w:pPr>
        <w:pStyle w:val="BodyText"/>
        <w:spacing w:line="266" w:lineRule="auto" w:before="179"/>
        <w:ind w:left="720" w:right="2"/>
      </w:pPr>
      <w:r>
        <w:rPr>
          <w:color w:val="231F20"/>
          <w:w w:val="105"/>
        </w:rPr>
        <w:t>Collection of a 5-day exposure history is also recommended when an investigation begins that</w:t>
      </w:r>
      <w:r>
        <w:rPr>
          <w:color w:val="231F20"/>
          <w:spacing w:val="-11"/>
          <w:w w:val="105"/>
        </w:rPr>
        <w:t> </w:t>
      </w:r>
      <w:r>
        <w:rPr>
          <w:color w:val="231F20"/>
          <w:w w:val="105"/>
        </w:rPr>
        <w:t>is</w:t>
      </w:r>
      <w:r>
        <w:rPr>
          <w:color w:val="231F20"/>
          <w:spacing w:val="-12"/>
          <w:w w:val="105"/>
        </w:rPr>
        <w:t> </w:t>
      </w:r>
      <w:r>
        <w:rPr>
          <w:color w:val="231F20"/>
          <w:w w:val="105"/>
        </w:rPr>
        <w:t>based</w:t>
      </w:r>
      <w:r>
        <w:rPr>
          <w:color w:val="231F20"/>
          <w:spacing w:val="-11"/>
          <w:w w:val="105"/>
        </w:rPr>
        <w:t> </w:t>
      </w:r>
      <w:r>
        <w:rPr>
          <w:color w:val="231F20"/>
          <w:w w:val="105"/>
        </w:rPr>
        <w:t>on</w:t>
      </w:r>
      <w:r>
        <w:rPr>
          <w:color w:val="231F20"/>
          <w:spacing w:val="-12"/>
          <w:w w:val="105"/>
        </w:rPr>
        <w:t> </w:t>
      </w:r>
      <w:r>
        <w:rPr>
          <w:color w:val="231F20"/>
          <w:w w:val="105"/>
        </w:rPr>
        <w:t>multiple</w:t>
      </w:r>
      <w:r>
        <w:rPr>
          <w:color w:val="231F20"/>
          <w:spacing w:val="-11"/>
          <w:w w:val="105"/>
        </w:rPr>
        <w:t> </w:t>
      </w:r>
      <w:r>
        <w:rPr>
          <w:color w:val="231F20"/>
          <w:w w:val="105"/>
        </w:rPr>
        <w:t>individual</w:t>
      </w:r>
      <w:r>
        <w:rPr>
          <w:color w:val="231F20"/>
          <w:spacing w:val="-12"/>
          <w:w w:val="105"/>
        </w:rPr>
        <w:t> </w:t>
      </w:r>
      <w:r>
        <w:rPr>
          <w:color w:val="231F20"/>
          <w:w w:val="105"/>
        </w:rPr>
        <w:t>complaints. Given</w:t>
      </w:r>
      <w:r>
        <w:rPr>
          <w:color w:val="231F20"/>
          <w:spacing w:val="-17"/>
          <w:w w:val="105"/>
        </w:rPr>
        <w:t> </w:t>
      </w:r>
      <w:r>
        <w:rPr>
          <w:color w:val="231F20"/>
          <w:w w:val="105"/>
        </w:rPr>
        <w:t>the</w:t>
      </w:r>
      <w:r>
        <w:rPr>
          <w:color w:val="231F20"/>
          <w:spacing w:val="-17"/>
          <w:w w:val="105"/>
        </w:rPr>
        <w:t> </w:t>
      </w:r>
      <w:r>
        <w:rPr>
          <w:color w:val="231F20"/>
          <w:w w:val="105"/>
        </w:rPr>
        <w:t>ubiquity</w:t>
      </w:r>
      <w:r>
        <w:rPr>
          <w:color w:val="231F20"/>
          <w:spacing w:val="-17"/>
          <w:w w:val="105"/>
        </w:rPr>
        <w:t> </w:t>
      </w:r>
      <w:r>
        <w:rPr>
          <w:color w:val="231F20"/>
          <w:w w:val="105"/>
        </w:rPr>
        <w:t>of</w:t>
      </w:r>
      <w:r>
        <w:rPr>
          <w:color w:val="231F20"/>
          <w:spacing w:val="4"/>
          <w:w w:val="105"/>
        </w:rPr>
        <w:t> </w:t>
      </w:r>
      <w:r>
        <w:rPr>
          <w:color w:val="231F20"/>
          <w:w w:val="105"/>
        </w:rPr>
        <w:t>norovirus</w:t>
      </w:r>
      <w:r>
        <w:rPr>
          <w:color w:val="231F20"/>
          <w:spacing w:val="-17"/>
          <w:w w:val="105"/>
        </w:rPr>
        <w:t> </w:t>
      </w:r>
      <w:r>
        <w:rPr>
          <w:color w:val="231F20"/>
          <w:w w:val="105"/>
        </w:rPr>
        <w:t>infections,</w:t>
      </w:r>
      <w:r>
        <w:rPr>
          <w:color w:val="231F20"/>
          <w:spacing w:val="-17"/>
          <w:w w:val="105"/>
        </w:rPr>
        <w:t> </w:t>
      </w:r>
      <w:r>
        <w:rPr>
          <w:color w:val="231F20"/>
          <w:w w:val="105"/>
        </w:rPr>
        <w:t>the investigator</w:t>
      </w:r>
      <w:r>
        <w:rPr>
          <w:color w:val="231F20"/>
          <w:spacing w:val="-12"/>
          <w:w w:val="105"/>
        </w:rPr>
        <w:t> </w:t>
      </w:r>
      <w:r>
        <w:rPr>
          <w:color w:val="231F20"/>
          <w:w w:val="105"/>
        </w:rPr>
        <w:t>should</w:t>
      </w:r>
      <w:r>
        <w:rPr>
          <w:color w:val="231F20"/>
          <w:spacing w:val="-12"/>
          <w:w w:val="105"/>
        </w:rPr>
        <w:t> </w:t>
      </w:r>
      <w:r>
        <w:rPr>
          <w:color w:val="231F20"/>
          <w:w w:val="105"/>
        </w:rPr>
        <w:t>pay</w:t>
      </w:r>
      <w:r>
        <w:rPr>
          <w:color w:val="231F20"/>
          <w:spacing w:val="-12"/>
          <w:w w:val="105"/>
        </w:rPr>
        <w:t> </w:t>
      </w:r>
      <w:r>
        <w:rPr>
          <w:color w:val="231F20"/>
          <w:w w:val="105"/>
        </w:rPr>
        <w:t>particular</w:t>
      </w:r>
      <w:r>
        <w:rPr>
          <w:color w:val="231F20"/>
          <w:spacing w:val="-12"/>
          <w:w w:val="105"/>
        </w:rPr>
        <w:t> </w:t>
      </w:r>
      <w:r>
        <w:rPr>
          <w:color w:val="231F20"/>
          <w:w w:val="105"/>
        </w:rPr>
        <w:t>attention</w:t>
      </w:r>
    </w:p>
    <w:p>
      <w:pPr>
        <w:pStyle w:val="BodyText"/>
        <w:spacing w:line="266" w:lineRule="auto"/>
        <w:ind w:left="720" w:right="169"/>
      </w:pPr>
      <w:r>
        <w:rPr>
          <w:color w:val="231F20"/>
        </w:rPr>
        <w:t>to exposures in the 24–48 hours before onset whenever norovirus is suspected. As more information  about  the  likely  etiologic agent is collected, this approach can be   modified.</w:t>
      </w:r>
    </w:p>
    <w:p>
      <w:pPr>
        <w:pStyle w:val="BodyText"/>
        <w:spacing w:line="266" w:lineRule="auto" w:before="108"/>
        <w:ind w:left="319" w:right="1458"/>
      </w:pPr>
      <w:r>
        <w:rPr/>
        <w:br w:type="column"/>
      </w:r>
      <w:r>
        <w:rPr>
          <w:color w:val="231F20"/>
          <w:w w:val="105"/>
        </w:rPr>
        <w:t>The complaint and subsequent interviews can lead to a hypothesis about the pathogen that leads</w:t>
      </w:r>
      <w:r>
        <w:rPr>
          <w:color w:val="231F20"/>
          <w:spacing w:val="-13"/>
          <w:w w:val="105"/>
        </w:rPr>
        <w:t> </w:t>
      </w:r>
      <w:r>
        <w:rPr>
          <w:color w:val="231F20"/>
          <w:w w:val="105"/>
        </w:rPr>
        <w:t>to</w:t>
      </w:r>
      <w:r>
        <w:rPr>
          <w:color w:val="231F20"/>
          <w:spacing w:val="-13"/>
          <w:w w:val="105"/>
        </w:rPr>
        <w:t> </w:t>
      </w:r>
      <w:r>
        <w:rPr>
          <w:color w:val="231F20"/>
          <w:w w:val="105"/>
        </w:rPr>
        <w:t>a</w:t>
      </w:r>
      <w:r>
        <w:rPr>
          <w:color w:val="231F20"/>
          <w:spacing w:val="-13"/>
          <w:w w:val="105"/>
        </w:rPr>
        <w:t> </w:t>
      </w:r>
      <w:r>
        <w:rPr>
          <w:color w:val="231F20"/>
          <w:w w:val="105"/>
        </w:rPr>
        <w:t>different</w:t>
      </w:r>
      <w:r>
        <w:rPr>
          <w:color w:val="231F20"/>
          <w:spacing w:val="-13"/>
          <w:w w:val="105"/>
        </w:rPr>
        <w:t> </w:t>
      </w:r>
      <w:r>
        <w:rPr>
          <w:color w:val="231F20"/>
          <w:w w:val="105"/>
        </w:rPr>
        <w:t>time</w:t>
      </w:r>
      <w:r>
        <w:rPr>
          <w:color w:val="231F20"/>
          <w:spacing w:val="-13"/>
          <w:w w:val="105"/>
        </w:rPr>
        <w:t> </w:t>
      </w:r>
      <w:r>
        <w:rPr>
          <w:color w:val="231F20"/>
          <w:w w:val="105"/>
        </w:rPr>
        <w:t>frame</w:t>
      </w:r>
      <w:r>
        <w:rPr>
          <w:color w:val="231F20"/>
          <w:spacing w:val="-13"/>
          <w:w w:val="105"/>
        </w:rPr>
        <w:t> </w:t>
      </w:r>
      <w:r>
        <w:rPr>
          <w:color w:val="231F20"/>
          <w:w w:val="105"/>
        </w:rPr>
        <w:t>for</w:t>
      </w:r>
      <w:r>
        <w:rPr>
          <w:color w:val="231F20"/>
          <w:spacing w:val="-13"/>
          <w:w w:val="105"/>
        </w:rPr>
        <w:t> </w:t>
      </w:r>
      <w:r>
        <w:rPr>
          <w:color w:val="231F20"/>
          <w:w w:val="105"/>
        </w:rPr>
        <w:t>the</w:t>
      </w:r>
      <w:r>
        <w:rPr>
          <w:color w:val="231F20"/>
          <w:spacing w:val="-13"/>
          <w:w w:val="105"/>
        </w:rPr>
        <w:t> </w:t>
      </w:r>
      <w:r>
        <w:rPr>
          <w:color w:val="231F20"/>
          <w:w w:val="105"/>
        </w:rPr>
        <w:t>exposure history </w:t>
      </w:r>
      <w:r>
        <w:rPr>
          <w:color w:val="231F20"/>
          <w:spacing w:val="-4"/>
          <w:w w:val="105"/>
        </w:rPr>
        <w:t>(e.g., </w:t>
      </w:r>
      <w:r>
        <w:rPr>
          <w:color w:val="231F20"/>
          <w:w w:val="105"/>
        </w:rPr>
        <w:t>vomiting leads to a different hypothesis and exposure history time frame than does bloody</w:t>
      </w:r>
      <w:r>
        <w:rPr>
          <w:color w:val="231F20"/>
          <w:spacing w:val="-27"/>
          <w:w w:val="105"/>
        </w:rPr>
        <w:t> </w:t>
      </w:r>
      <w:r>
        <w:rPr>
          <w:color w:val="231F20"/>
          <w:w w:val="105"/>
        </w:rPr>
        <w:t>diarrhea).</w:t>
      </w:r>
    </w:p>
    <w:p>
      <w:pPr>
        <w:pStyle w:val="BodyText"/>
        <w:spacing w:line="266" w:lineRule="auto" w:before="180"/>
        <w:ind w:left="319" w:right="1762"/>
      </w:pPr>
      <w:r>
        <w:rPr>
          <w:color w:val="231F20"/>
          <w:w w:val="105"/>
        </w:rPr>
        <w:t>Health departments may choose to collect specimens</w:t>
      </w:r>
      <w:r>
        <w:rPr>
          <w:color w:val="231F20"/>
          <w:spacing w:val="-24"/>
          <w:w w:val="105"/>
        </w:rPr>
        <w:t> </w:t>
      </w:r>
      <w:r>
        <w:rPr>
          <w:color w:val="231F20"/>
          <w:w w:val="105"/>
        </w:rPr>
        <w:t>from</w:t>
      </w:r>
      <w:r>
        <w:rPr>
          <w:color w:val="231F20"/>
          <w:spacing w:val="-25"/>
          <w:w w:val="105"/>
        </w:rPr>
        <w:t> </w:t>
      </w:r>
      <w:r>
        <w:rPr>
          <w:color w:val="231F20"/>
          <w:w w:val="105"/>
        </w:rPr>
        <w:t>independent</w:t>
      </w:r>
      <w:r>
        <w:rPr>
          <w:color w:val="231F20"/>
          <w:spacing w:val="-24"/>
          <w:w w:val="105"/>
        </w:rPr>
        <w:t> </w:t>
      </w:r>
      <w:r>
        <w:rPr>
          <w:color w:val="231F20"/>
          <w:w w:val="105"/>
        </w:rPr>
        <w:t>complaints</w:t>
      </w:r>
      <w:r>
        <w:rPr>
          <w:color w:val="231F20"/>
          <w:spacing w:val="-24"/>
          <w:w w:val="105"/>
        </w:rPr>
        <w:t> </w:t>
      </w:r>
      <w:r>
        <w:rPr>
          <w:color w:val="231F20"/>
          <w:w w:val="105"/>
        </w:rPr>
        <w:t>or encourage</w:t>
      </w:r>
      <w:r>
        <w:rPr>
          <w:color w:val="231F20"/>
          <w:spacing w:val="-10"/>
          <w:w w:val="105"/>
        </w:rPr>
        <w:t> </w:t>
      </w:r>
      <w:r>
        <w:rPr>
          <w:color w:val="231F20"/>
          <w:w w:val="105"/>
        </w:rPr>
        <w:t>patients</w:t>
      </w:r>
      <w:r>
        <w:rPr>
          <w:color w:val="231F20"/>
          <w:spacing w:val="-9"/>
          <w:w w:val="105"/>
        </w:rPr>
        <w:t> </w:t>
      </w:r>
      <w:r>
        <w:rPr>
          <w:color w:val="231F20"/>
          <w:w w:val="105"/>
        </w:rPr>
        <w:t>to</w:t>
      </w:r>
      <w:r>
        <w:rPr>
          <w:color w:val="231F20"/>
          <w:spacing w:val="-9"/>
          <w:w w:val="105"/>
        </w:rPr>
        <w:t> </w:t>
      </w:r>
      <w:r>
        <w:rPr>
          <w:color w:val="231F20"/>
          <w:w w:val="105"/>
        </w:rPr>
        <w:t>seek</w:t>
      </w:r>
      <w:r>
        <w:rPr>
          <w:color w:val="231F20"/>
          <w:spacing w:val="-8"/>
          <w:w w:val="105"/>
        </w:rPr>
        <w:t> </w:t>
      </w:r>
      <w:r>
        <w:rPr>
          <w:color w:val="231F20"/>
          <w:w w:val="105"/>
        </w:rPr>
        <w:t>health</w:t>
      </w:r>
      <w:r>
        <w:rPr>
          <w:color w:val="231F20"/>
          <w:spacing w:val="-8"/>
          <w:w w:val="105"/>
        </w:rPr>
        <w:t> </w:t>
      </w:r>
      <w:r>
        <w:rPr>
          <w:color w:val="231F20"/>
          <w:spacing w:val="-3"/>
          <w:w w:val="105"/>
        </w:rPr>
        <w:t>care.</w:t>
      </w:r>
    </w:p>
    <w:p>
      <w:pPr>
        <w:pStyle w:val="ListParagraph"/>
        <w:numPr>
          <w:ilvl w:val="3"/>
          <w:numId w:val="19"/>
        </w:numPr>
        <w:tabs>
          <w:tab w:pos="962" w:val="left" w:leader="none"/>
        </w:tabs>
        <w:spacing w:line="266" w:lineRule="auto" w:before="180" w:after="0"/>
        <w:ind w:left="319" w:right="1658" w:firstLine="0"/>
        <w:jc w:val="left"/>
        <w:rPr>
          <w:i/>
          <w:sz w:val="20"/>
        </w:rPr>
      </w:pPr>
      <w:r>
        <w:rPr/>
        <w:pict>
          <v:rect style="position:absolute;margin-left:459pt;margin-top:12.397353pt;width:45pt;height:18pt;mso-position-horizontal-relative:page;mso-position-vertical-relative:paragraph;z-index:3760" filled="true" fillcolor="#0079c1" stroked="false">
            <v:fill type="solid"/>
            <w10:wrap type="none"/>
          </v:rect>
        </w:pict>
      </w:r>
      <w:r>
        <w:rPr/>
        <w:pict>
          <v:line style="position:absolute;mso-position-horizontal-relative:page;mso-position-vertical-relative:paragraph;z-index:3784" from="450.5pt,12.396953pt" to="450.5pt,214.802953pt" stroked="true" strokeweight="1pt" strokecolor="#0079c1">
            <v:stroke dashstyle="solid"/>
            <w10:wrap type="none"/>
          </v:line>
        </w:pict>
      </w:r>
      <w:r>
        <w:rPr/>
        <w:pict>
          <v:shape style="position:absolute;margin-left:468.849609pt;margin-top:17.147953pt;width:15.85pt;height:8.5pt;mso-position-horizontal-relative:page;mso-position-vertical-relative:paragraph;z-index:3832" type="#_x0000_t202" filled="false" stroked="false">
            <v:textbox inset="0,0,0,0" style="layout-flow:vertical">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i/>
          <w:color w:val="E36F1E"/>
          <w:w w:val="105"/>
          <w:sz w:val="20"/>
        </w:rPr>
        <w:t>Follow-up of food establishments named</w:t>
      </w:r>
      <w:r>
        <w:rPr>
          <w:i/>
          <w:color w:val="E36F1E"/>
          <w:spacing w:val="-23"/>
          <w:w w:val="105"/>
          <w:sz w:val="20"/>
        </w:rPr>
        <w:t> </w:t>
      </w:r>
      <w:r>
        <w:rPr>
          <w:i/>
          <w:color w:val="E36F1E"/>
          <w:w w:val="105"/>
          <w:sz w:val="20"/>
        </w:rPr>
        <w:t>in </w:t>
      </w:r>
      <w:r>
        <w:rPr>
          <w:i/>
          <w:color w:val="E36F1E"/>
          <w:w w:val="105"/>
          <w:sz w:val="20"/>
        </w:rPr>
        <w:t>individual complaints of possible foodborne</w:t>
      </w:r>
      <w:r>
        <w:rPr>
          <w:i/>
          <w:color w:val="E36F1E"/>
          <w:spacing w:val="-18"/>
          <w:w w:val="105"/>
          <w:sz w:val="20"/>
        </w:rPr>
        <w:t> </w:t>
      </w:r>
      <w:r>
        <w:rPr>
          <w:i/>
          <w:color w:val="E36F1E"/>
          <w:w w:val="105"/>
          <w:sz w:val="20"/>
        </w:rPr>
        <w:t>illness</w:t>
      </w:r>
    </w:p>
    <w:p>
      <w:pPr>
        <w:pStyle w:val="BodyText"/>
        <w:spacing w:line="266" w:lineRule="auto"/>
        <w:ind w:left="319" w:right="1490"/>
      </w:pPr>
      <w:r>
        <w:rPr/>
        <w:pict>
          <v:shape style="position:absolute;margin-left:465.346802pt;margin-top:.393753pt;width:22.25pt;height:183.2pt;mso-position-horizontal-relative:page;mso-position-vertical-relative:paragraph;z-index:3808" type="#_x0000_t202" filled="false" stroked="false">
            <v:textbox inset="0,0,0,0" style="layout-flow:vertical">
              <w:txbxContent>
                <w:p>
                  <w:pPr>
                    <w:spacing w:before="12"/>
                    <w:ind w:left="20" w:right="-1014" w:firstLine="0"/>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color w:val="231F20"/>
        </w:rPr>
        <w:t>In jurisdictions where visits are not required to every restaurant named in illness complaints, health department staff must decide</w:t>
      </w:r>
    </w:p>
    <w:p>
      <w:pPr>
        <w:pStyle w:val="BodyText"/>
        <w:spacing w:line="266" w:lineRule="auto"/>
        <w:ind w:left="319" w:right="1438"/>
      </w:pPr>
      <w:r>
        <w:rPr>
          <w:color w:val="231F20"/>
        </w:rPr>
        <w:t>whether investigation of a commercial food establishment is likely to be beneficial. To make this decision, investigators should consider details of the complainant’s illness and the foods eaten at the establishment. In the following situations, investigation of a named commercial food establishment might be warranted:</w:t>
      </w:r>
    </w:p>
    <w:p>
      <w:pPr>
        <w:pStyle w:val="ListParagraph"/>
        <w:numPr>
          <w:ilvl w:val="0"/>
          <w:numId w:val="11"/>
        </w:numPr>
        <w:tabs>
          <w:tab w:pos="491" w:val="left" w:leader="none"/>
        </w:tabs>
        <w:spacing w:line="266" w:lineRule="auto" w:before="180" w:after="0"/>
        <w:ind w:left="490" w:right="1443" w:hanging="171"/>
        <w:jc w:val="left"/>
        <w:rPr>
          <w:sz w:val="20"/>
        </w:rPr>
      </w:pPr>
      <w:r>
        <w:rPr>
          <w:color w:val="231F20"/>
          <w:sz w:val="20"/>
        </w:rPr>
        <w:t>The confirmed diagnosis and/or clinical symptoms are consistent with the foods eaten and the timing of illness onset </w:t>
      </w:r>
      <w:r>
        <w:rPr>
          <w:color w:val="231F20"/>
          <w:spacing w:val="-4"/>
          <w:sz w:val="20"/>
        </w:rPr>
        <w:t>(e.g., </w:t>
      </w:r>
      <w:r>
        <w:rPr>
          <w:color w:val="231F20"/>
          <w:sz w:val="20"/>
        </w:rPr>
        <w:t>a person  in whom salmonellosis is diagnosed reports eating poorly cooked eggs 2 days before becoming</w:t>
      </w:r>
      <w:r>
        <w:rPr>
          <w:color w:val="231F20"/>
          <w:spacing w:val="29"/>
          <w:sz w:val="20"/>
        </w:rPr>
        <w:t> </w:t>
      </w:r>
      <w:r>
        <w:rPr>
          <w:color w:val="231F20"/>
          <w:sz w:val="20"/>
        </w:rPr>
        <w:t>ill).</w:t>
      </w:r>
    </w:p>
    <w:p>
      <w:pPr>
        <w:pStyle w:val="ListParagraph"/>
        <w:numPr>
          <w:ilvl w:val="0"/>
          <w:numId w:val="11"/>
        </w:numPr>
        <w:tabs>
          <w:tab w:pos="491" w:val="left" w:leader="none"/>
        </w:tabs>
        <w:spacing w:line="266" w:lineRule="auto" w:before="90" w:after="0"/>
        <w:ind w:left="490" w:right="1827" w:hanging="171"/>
        <w:jc w:val="left"/>
        <w:rPr>
          <w:sz w:val="20"/>
        </w:rPr>
      </w:pPr>
      <w:r>
        <w:rPr>
          <w:color w:val="231F20"/>
          <w:sz w:val="20"/>
        </w:rPr>
        <w:t>The complainant observed specific food- preparation or serving procedures likely to lead to a food-safety problem at the establishment.</w:t>
      </w:r>
    </w:p>
    <w:p>
      <w:pPr>
        <w:pStyle w:val="ListParagraph"/>
        <w:numPr>
          <w:ilvl w:val="0"/>
          <w:numId w:val="11"/>
        </w:numPr>
        <w:tabs>
          <w:tab w:pos="491" w:val="left" w:leader="none"/>
        </w:tabs>
        <w:spacing w:line="266" w:lineRule="auto" w:before="90" w:after="0"/>
        <w:ind w:left="490" w:right="1464" w:hanging="171"/>
        <w:jc w:val="left"/>
        <w:rPr>
          <w:sz w:val="20"/>
        </w:rPr>
      </w:pPr>
      <w:r>
        <w:rPr>
          <w:color w:val="231F20"/>
          <w:spacing w:val="-7"/>
          <w:w w:val="105"/>
          <w:sz w:val="20"/>
        </w:rPr>
        <w:t>Two </w:t>
      </w:r>
      <w:r>
        <w:rPr>
          <w:color w:val="231F20"/>
          <w:w w:val="105"/>
          <w:sz w:val="20"/>
        </w:rPr>
        <w:t>or more persons with a similar illness or diagnosis implicate a food, meal, or establishment</w:t>
      </w:r>
      <w:r>
        <w:rPr>
          <w:color w:val="231F20"/>
          <w:spacing w:val="-15"/>
          <w:w w:val="105"/>
          <w:sz w:val="20"/>
        </w:rPr>
        <w:t> </w:t>
      </w:r>
      <w:r>
        <w:rPr>
          <w:color w:val="231F20"/>
          <w:w w:val="105"/>
          <w:sz w:val="20"/>
        </w:rPr>
        <w:t>and</w:t>
      </w:r>
      <w:r>
        <w:rPr>
          <w:color w:val="231F20"/>
          <w:spacing w:val="-15"/>
          <w:w w:val="105"/>
          <w:sz w:val="20"/>
        </w:rPr>
        <w:t> </w:t>
      </w:r>
      <w:r>
        <w:rPr>
          <w:color w:val="231F20"/>
          <w:spacing w:val="-3"/>
          <w:w w:val="105"/>
          <w:sz w:val="20"/>
        </w:rPr>
        <w:t>have</w:t>
      </w:r>
      <w:r>
        <w:rPr>
          <w:color w:val="231F20"/>
          <w:spacing w:val="-14"/>
          <w:w w:val="105"/>
          <w:sz w:val="20"/>
        </w:rPr>
        <w:t> </w:t>
      </w:r>
      <w:r>
        <w:rPr>
          <w:color w:val="231F20"/>
          <w:w w:val="105"/>
          <w:sz w:val="20"/>
        </w:rPr>
        <w:t>no</w:t>
      </w:r>
      <w:r>
        <w:rPr>
          <w:color w:val="231F20"/>
          <w:spacing w:val="-14"/>
          <w:w w:val="105"/>
          <w:sz w:val="20"/>
        </w:rPr>
        <w:t> </w:t>
      </w:r>
      <w:r>
        <w:rPr>
          <w:color w:val="231F20"/>
          <w:w w:val="105"/>
          <w:sz w:val="20"/>
        </w:rPr>
        <w:t>other</w:t>
      </w:r>
      <w:r>
        <w:rPr>
          <w:color w:val="231F20"/>
          <w:spacing w:val="-14"/>
          <w:w w:val="105"/>
          <w:sz w:val="20"/>
        </w:rPr>
        <w:t> </w:t>
      </w:r>
      <w:r>
        <w:rPr>
          <w:color w:val="231F20"/>
          <w:w w:val="105"/>
          <w:sz w:val="20"/>
        </w:rPr>
        <w:t>shared</w:t>
      </w:r>
      <w:r>
        <w:rPr>
          <w:color w:val="231F20"/>
          <w:spacing w:val="-15"/>
          <w:w w:val="105"/>
          <w:sz w:val="20"/>
        </w:rPr>
        <w:t> </w:t>
      </w:r>
      <w:r>
        <w:rPr>
          <w:color w:val="231F20"/>
          <w:w w:val="105"/>
          <w:sz w:val="20"/>
        </w:rPr>
        <w:t>food history</w:t>
      </w:r>
      <w:r>
        <w:rPr>
          <w:color w:val="231F20"/>
          <w:spacing w:val="-22"/>
          <w:w w:val="105"/>
          <w:sz w:val="20"/>
        </w:rPr>
        <w:t> </w:t>
      </w:r>
      <w:r>
        <w:rPr>
          <w:color w:val="231F20"/>
          <w:w w:val="105"/>
          <w:sz w:val="20"/>
        </w:rPr>
        <w:t>or</w:t>
      </w:r>
      <w:r>
        <w:rPr>
          <w:color w:val="231F20"/>
          <w:spacing w:val="-21"/>
          <w:w w:val="105"/>
          <w:sz w:val="20"/>
        </w:rPr>
        <w:t> </w:t>
      </w:r>
      <w:r>
        <w:rPr>
          <w:color w:val="231F20"/>
          <w:w w:val="105"/>
          <w:sz w:val="20"/>
        </w:rPr>
        <w:t>evident</w:t>
      </w:r>
      <w:r>
        <w:rPr>
          <w:color w:val="231F20"/>
          <w:spacing w:val="-20"/>
          <w:w w:val="105"/>
          <w:sz w:val="20"/>
        </w:rPr>
        <w:t> </w:t>
      </w:r>
      <w:r>
        <w:rPr>
          <w:color w:val="231F20"/>
          <w:w w:val="105"/>
          <w:sz w:val="20"/>
        </w:rPr>
        <w:t>source</w:t>
      </w:r>
      <w:r>
        <w:rPr>
          <w:color w:val="231F20"/>
          <w:spacing w:val="-21"/>
          <w:w w:val="105"/>
          <w:sz w:val="20"/>
        </w:rPr>
        <w:t> </w:t>
      </w:r>
      <w:r>
        <w:rPr>
          <w:color w:val="231F20"/>
          <w:w w:val="105"/>
          <w:sz w:val="20"/>
        </w:rPr>
        <w:t>of</w:t>
      </w:r>
      <w:r>
        <w:rPr>
          <w:color w:val="231F20"/>
          <w:spacing w:val="-3"/>
          <w:w w:val="105"/>
          <w:sz w:val="20"/>
        </w:rPr>
        <w:t> </w:t>
      </w:r>
      <w:r>
        <w:rPr>
          <w:color w:val="231F20"/>
          <w:w w:val="105"/>
          <w:sz w:val="20"/>
        </w:rPr>
        <w:t>exposure.</w:t>
      </w:r>
    </w:p>
    <w:p>
      <w:pPr>
        <w:pStyle w:val="BodyText"/>
        <w:spacing w:line="266" w:lineRule="auto" w:before="179"/>
        <w:ind w:left="319" w:right="1416"/>
      </w:pPr>
      <w:r>
        <w:rPr>
          <w:color w:val="231F20"/>
        </w:rPr>
        <w:t>As noted below (section 4.3.9.6), regular review of individual complaints is critical in recognizing that multiple persons have a similar illness or diagnosis and share a common exposure.</w:t>
      </w:r>
    </w:p>
    <w:p>
      <w:pPr>
        <w:pStyle w:val="BodyText"/>
        <w:spacing w:line="266" w:lineRule="auto" w:before="179"/>
        <w:ind w:left="319" w:right="1613"/>
      </w:pPr>
      <w:r>
        <w:rPr>
          <w:color w:val="231F20"/>
          <w:w w:val="105"/>
        </w:rPr>
        <w:t>Clues</w:t>
      </w:r>
      <w:r>
        <w:rPr>
          <w:color w:val="231F20"/>
          <w:spacing w:val="-18"/>
          <w:w w:val="105"/>
        </w:rPr>
        <w:t> </w:t>
      </w:r>
      <w:r>
        <w:rPr>
          <w:color w:val="231F20"/>
          <w:w w:val="105"/>
        </w:rPr>
        <w:t>that</w:t>
      </w:r>
      <w:r>
        <w:rPr>
          <w:color w:val="231F20"/>
          <w:spacing w:val="-17"/>
          <w:w w:val="105"/>
        </w:rPr>
        <w:t> </w:t>
      </w:r>
      <w:r>
        <w:rPr>
          <w:color w:val="231F20"/>
          <w:w w:val="105"/>
        </w:rPr>
        <w:t>a</w:t>
      </w:r>
      <w:r>
        <w:rPr>
          <w:color w:val="231F20"/>
          <w:spacing w:val="-17"/>
          <w:w w:val="105"/>
        </w:rPr>
        <w:t> </w:t>
      </w:r>
      <w:r>
        <w:rPr>
          <w:color w:val="231F20"/>
          <w:w w:val="105"/>
        </w:rPr>
        <w:t>follow-up</w:t>
      </w:r>
      <w:r>
        <w:rPr>
          <w:color w:val="231F20"/>
          <w:spacing w:val="-17"/>
          <w:w w:val="105"/>
        </w:rPr>
        <w:t> </w:t>
      </w:r>
      <w:r>
        <w:rPr>
          <w:color w:val="231F20"/>
          <w:w w:val="105"/>
        </w:rPr>
        <w:t>investigation</w:t>
      </w:r>
      <w:r>
        <w:rPr>
          <w:color w:val="231F20"/>
          <w:spacing w:val="-18"/>
          <w:w w:val="105"/>
        </w:rPr>
        <w:t> </w:t>
      </w:r>
      <w:r>
        <w:rPr>
          <w:color w:val="231F20"/>
          <w:w w:val="105"/>
        </w:rPr>
        <w:t>of</w:t>
      </w:r>
      <w:r>
        <w:rPr>
          <w:color w:val="231F20"/>
          <w:spacing w:val="3"/>
          <w:w w:val="105"/>
        </w:rPr>
        <w:t> </w:t>
      </w:r>
      <w:r>
        <w:rPr>
          <w:color w:val="231F20"/>
          <w:w w:val="105"/>
        </w:rPr>
        <w:t>a</w:t>
      </w:r>
      <w:r>
        <w:rPr>
          <w:color w:val="231F20"/>
          <w:spacing w:val="-17"/>
          <w:w w:val="105"/>
        </w:rPr>
        <w:t> </w:t>
      </w:r>
      <w:r>
        <w:rPr>
          <w:color w:val="231F20"/>
          <w:w w:val="105"/>
        </w:rPr>
        <w:t>food establishment is unlikely to be productive include:</w:t>
      </w:r>
    </w:p>
    <w:p>
      <w:pPr>
        <w:spacing w:after="0" w:line="266" w:lineRule="auto"/>
        <w:sectPr>
          <w:type w:val="continuous"/>
          <w:pgSz w:w="10080" w:h="14400"/>
          <w:pgMar w:top="0" w:bottom="0" w:left="0" w:right="0"/>
          <w:cols w:num="2" w:equalWidth="0">
            <w:col w:w="4501" w:space="40"/>
            <w:col w:w="5539"/>
          </w:cols>
        </w:sectPr>
      </w:pPr>
    </w:p>
    <w:p>
      <w:pPr>
        <w:pStyle w:val="BodyText"/>
        <w:spacing w:before="8"/>
        <w:rPr>
          <w:sz w:val="10"/>
        </w:rPr>
      </w:pPr>
    </w:p>
    <w:p>
      <w:pPr>
        <w:pStyle w:val="Heading1"/>
      </w:pPr>
      <w:r>
        <w:rPr/>
        <w:pict>
          <v:line style="position:absolute;mso-position-horizontal-relative:page;mso-position-vertical-relative:paragraph;z-index:3856;mso-wrap-distance-left:0;mso-wrap-distance-right:0" from="72pt,23.995163pt" to="468pt,23.995163pt" stroked="true" strokeweight=".5pt" strokecolor="#00a94f">
            <v:stroke dashstyle="solid"/>
            <w10:wrap type="topAndBottom"/>
          </v:line>
        </w:pict>
      </w:r>
      <w:r>
        <w:rPr>
          <w:color w:val="00A94F"/>
          <w:w w:val="95"/>
        </w:rPr>
        <w:t>4.3.</w:t>
      </w:r>
      <w:r>
        <w:rPr>
          <w:color w:val="00A94F"/>
          <w:spacing w:val="-50"/>
          <w:w w:val="95"/>
        </w:rPr>
        <w:t> </w:t>
      </w:r>
      <w:r>
        <w:rPr>
          <w:color w:val="00A94F"/>
          <w:w w:val="95"/>
        </w:rPr>
        <w:t>Complaint</w:t>
      </w:r>
      <w:r>
        <w:rPr>
          <w:color w:val="00A94F"/>
          <w:spacing w:val="-50"/>
          <w:w w:val="95"/>
        </w:rPr>
        <w:t> </w:t>
      </w:r>
      <w:r>
        <w:rPr>
          <w:color w:val="00A94F"/>
          <w:w w:val="95"/>
        </w:rPr>
        <w:t>Systems</w:t>
      </w:r>
    </w:p>
    <w:p>
      <w:pPr>
        <w:pStyle w:val="BodyText"/>
        <w:spacing w:before="7"/>
        <w:rPr>
          <w:rFonts w:ascii="Lucida Sans"/>
          <w:sz w:val="17"/>
        </w:rPr>
      </w:pPr>
    </w:p>
    <w:p>
      <w:pPr>
        <w:spacing w:after="0"/>
        <w:rPr>
          <w:rFonts w:ascii="Lucida Sans"/>
          <w:sz w:val="17"/>
        </w:rPr>
        <w:sectPr>
          <w:pgSz w:w="10080" w:h="14400"/>
          <w:pgMar w:header="0" w:footer="0" w:top="1160" w:bottom="280" w:left="0" w:right="0"/>
        </w:sectPr>
      </w:pPr>
    </w:p>
    <w:p>
      <w:pPr>
        <w:pStyle w:val="ListParagraph"/>
        <w:numPr>
          <w:ilvl w:val="1"/>
          <w:numId w:val="11"/>
        </w:numPr>
        <w:tabs>
          <w:tab w:pos="1611" w:val="left" w:leader="none"/>
        </w:tabs>
        <w:spacing w:line="266" w:lineRule="auto" w:before="108" w:after="0"/>
        <w:ind w:left="1610" w:right="279" w:hanging="170"/>
        <w:jc w:val="left"/>
        <w:rPr>
          <w:sz w:val="20"/>
        </w:rPr>
      </w:pPr>
      <w:r>
        <w:rPr>
          <w:color w:val="231F20"/>
          <w:w w:val="105"/>
          <w:sz w:val="20"/>
        </w:rPr>
        <w:t>Confirmed diagnoses and/or clinical symptoms</w:t>
      </w:r>
      <w:r>
        <w:rPr>
          <w:color w:val="231F20"/>
          <w:spacing w:val="-18"/>
          <w:w w:val="105"/>
          <w:sz w:val="20"/>
        </w:rPr>
        <w:t> </w:t>
      </w:r>
      <w:r>
        <w:rPr>
          <w:color w:val="231F20"/>
          <w:w w:val="105"/>
          <w:sz w:val="20"/>
        </w:rPr>
        <w:t>that</w:t>
      </w:r>
      <w:r>
        <w:rPr>
          <w:color w:val="231F20"/>
          <w:spacing w:val="-18"/>
          <w:w w:val="105"/>
          <w:sz w:val="20"/>
        </w:rPr>
        <w:t> </w:t>
      </w:r>
      <w:r>
        <w:rPr>
          <w:color w:val="231F20"/>
          <w:w w:val="105"/>
          <w:sz w:val="20"/>
        </w:rPr>
        <w:t>are</w:t>
      </w:r>
      <w:r>
        <w:rPr>
          <w:color w:val="231F20"/>
          <w:spacing w:val="-18"/>
          <w:w w:val="105"/>
          <w:sz w:val="20"/>
        </w:rPr>
        <w:t> </w:t>
      </w:r>
      <w:r>
        <w:rPr>
          <w:color w:val="231F20"/>
          <w:w w:val="105"/>
          <w:sz w:val="20"/>
        </w:rPr>
        <w:t>not</w:t>
      </w:r>
      <w:r>
        <w:rPr>
          <w:color w:val="231F20"/>
          <w:spacing w:val="-18"/>
          <w:w w:val="105"/>
          <w:sz w:val="20"/>
        </w:rPr>
        <w:t> </w:t>
      </w:r>
      <w:r>
        <w:rPr>
          <w:color w:val="231F20"/>
          <w:w w:val="105"/>
          <w:sz w:val="20"/>
        </w:rPr>
        <w:t>consistent</w:t>
      </w:r>
      <w:r>
        <w:rPr>
          <w:color w:val="231F20"/>
          <w:spacing w:val="-18"/>
          <w:w w:val="105"/>
          <w:sz w:val="20"/>
        </w:rPr>
        <w:t> </w:t>
      </w:r>
      <w:r>
        <w:rPr>
          <w:color w:val="231F20"/>
          <w:w w:val="105"/>
          <w:sz w:val="20"/>
        </w:rPr>
        <w:t>with</w:t>
      </w:r>
      <w:r>
        <w:rPr>
          <w:color w:val="231F20"/>
          <w:spacing w:val="-18"/>
          <w:w w:val="105"/>
          <w:sz w:val="20"/>
        </w:rPr>
        <w:t> </w:t>
      </w:r>
      <w:r>
        <w:rPr>
          <w:color w:val="231F20"/>
          <w:w w:val="105"/>
          <w:sz w:val="20"/>
        </w:rPr>
        <w:t>the foods eaten at the establishment and/or the onset of illness </w:t>
      </w:r>
      <w:r>
        <w:rPr>
          <w:color w:val="231F20"/>
          <w:spacing w:val="-4"/>
          <w:w w:val="105"/>
          <w:sz w:val="20"/>
        </w:rPr>
        <w:t>(e.g., </w:t>
      </w:r>
      <w:r>
        <w:rPr>
          <w:color w:val="231F20"/>
          <w:w w:val="105"/>
          <w:sz w:val="20"/>
        </w:rPr>
        <w:t>bloody diarrhea associated</w:t>
      </w:r>
      <w:r>
        <w:rPr>
          <w:color w:val="231F20"/>
          <w:spacing w:val="-14"/>
          <w:w w:val="105"/>
          <w:sz w:val="20"/>
        </w:rPr>
        <w:t> </w:t>
      </w:r>
      <w:r>
        <w:rPr>
          <w:color w:val="231F20"/>
          <w:w w:val="105"/>
          <w:sz w:val="20"/>
        </w:rPr>
        <w:t>with</w:t>
      </w:r>
      <w:r>
        <w:rPr>
          <w:color w:val="231F20"/>
          <w:spacing w:val="-13"/>
          <w:w w:val="105"/>
          <w:sz w:val="20"/>
        </w:rPr>
        <w:t> </w:t>
      </w:r>
      <w:r>
        <w:rPr>
          <w:color w:val="231F20"/>
          <w:w w:val="105"/>
          <w:sz w:val="20"/>
        </w:rPr>
        <w:t>a</w:t>
      </w:r>
      <w:r>
        <w:rPr>
          <w:color w:val="231F20"/>
          <w:spacing w:val="-13"/>
          <w:w w:val="105"/>
          <w:sz w:val="20"/>
        </w:rPr>
        <w:t> </w:t>
      </w:r>
      <w:r>
        <w:rPr>
          <w:color w:val="231F20"/>
          <w:w w:val="105"/>
          <w:sz w:val="20"/>
        </w:rPr>
        <w:t>well-cooked</w:t>
      </w:r>
      <w:r>
        <w:rPr>
          <w:color w:val="231F20"/>
          <w:spacing w:val="-15"/>
          <w:w w:val="105"/>
          <w:sz w:val="20"/>
        </w:rPr>
        <w:t> </w:t>
      </w:r>
      <w:r>
        <w:rPr>
          <w:color w:val="231F20"/>
          <w:w w:val="105"/>
          <w:sz w:val="20"/>
        </w:rPr>
        <w:t>hamburger eaten</w:t>
      </w:r>
      <w:r>
        <w:rPr>
          <w:color w:val="231F20"/>
          <w:spacing w:val="-21"/>
          <w:w w:val="105"/>
          <w:sz w:val="20"/>
        </w:rPr>
        <w:t> </w:t>
      </w:r>
      <w:r>
        <w:rPr>
          <w:color w:val="231F20"/>
          <w:w w:val="105"/>
          <w:sz w:val="20"/>
        </w:rPr>
        <w:t>the</w:t>
      </w:r>
      <w:r>
        <w:rPr>
          <w:color w:val="231F20"/>
          <w:spacing w:val="-21"/>
          <w:w w:val="105"/>
          <w:sz w:val="20"/>
        </w:rPr>
        <w:t> </w:t>
      </w:r>
      <w:r>
        <w:rPr>
          <w:color w:val="231F20"/>
          <w:w w:val="105"/>
          <w:sz w:val="20"/>
        </w:rPr>
        <w:t>night</w:t>
      </w:r>
      <w:r>
        <w:rPr>
          <w:color w:val="231F20"/>
          <w:spacing w:val="-20"/>
          <w:w w:val="105"/>
          <w:sz w:val="20"/>
        </w:rPr>
        <w:t> </w:t>
      </w:r>
      <w:r>
        <w:rPr>
          <w:color w:val="231F20"/>
          <w:w w:val="105"/>
          <w:sz w:val="20"/>
        </w:rPr>
        <w:t>before</w:t>
      </w:r>
      <w:r>
        <w:rPr>
          <w:color w:val="231F20"/>
          <w:spacing w:val="-20"/>
          <w:w w:val="105"/>
          <w:sz w:val="20"/>
        </w:rPr>
        <w:t> </w:t>
      </w:r>
      <w:r>
        <w:rPr>
          <w:color w:val="231F20"/>
          <w:w w:val="105"/>
          <w:sz w:val="20"/>
        </w:rPr>
        <w:t>illness</w:t>
      </w:r>
      <w:r>
        <w:rPr>
          <w:color w:val="231F20"/>
          <w:spacing w:val="-21"/>
          <w:w w:val="105"/>
          <w:sz w:val="20"/>
        </w:rPr>
        <w:t> </w:t>
      </w:r>
      <w:r>
        <w:rPr>
          <w:color w:val="231F20"/>
          <w:w w:val="105"/>
          <w:sz w:val="20"/>
        </w:rPr>
        <w:t>onset).</w:t>
      </w:r>
    </w:p>
    <w:p>
      <w:pPr>
        <w:pStyle w:val="ListParagraph"/>
        <w:numPr>
          <w:ilvl w:val="1"/>
          <w:numId w:val="11"/>
        </w:numPr>
        <w:tabs>
          <w:tab w:pos="1611" w:val="left" w:leader="none"/>
        </w:tabs>
        <w:spacing w:line="266" w:lineRule="auto" w:before="90" w:after="0"/>
        <w:ind w:left="1610" w:right="61" w:hanging="170"/>
        <w:jc w:val="left"/>
        <w:rPr>
          <w:sz w:val="20"/>
        </w:rPr>
      </w:pPr>
      <w:r>
        <w:rPr>
          <w:color w:val="231F20"/>
          <w:sz w:val="20"/>
        </w:rPr>
        <w:t>Signs and symptoms (or confirmed diagnoses) among affected persons that suggest they might not </w:t>
      </w:r>
      <w:r>
        <w:rPr>
          <w:color w:val="231F20"/>
          <w:spacing w:val="-3"/>
          <w:sz w:val="20"/>
        </w:rPr>
        <w:t>have </w:t>
      </w:r>
      <w:r>
        <w:rPr>
          <w:color w:val="231F20"/>
          <w:sz w:val="20"/>
        </w:rPr>
        <w:t>the same </w:t>
      </w:r>
      <w:r>
        <w:rPr>
          <w:color w:val="231F20"/>
          <w:spacing w:val="30"/>
          <w:sz w:val="20"/>
        </w:rPr>
        <w:t> </w:t>
      </w:r>
      <w:r>
        <w:rPr>
          <w:color w:val="231F20"/>
          <w:sz w:val="20"/>
        </w:rPr>
        <w:t>illness.</w:t>
      </w:r>
    </w:p>
    <w:p>
      <w:pPr>
        <w:pStyle w:val="ListParagraph"/>
        <w:numPr>
          <w:ilvl w:val="1"/>
          <w:numId w:val="11"/>
        </w:numPr>
        <w:tabs>
          <w:tab w:pos="1611" w:val="left" w:leader="none"/>
        </w:tabs>
        <w:spacing w:line="266" w:lineRule="auto" w:before="90" w:after="0"/>
        <w:ind w:left="1610" w:right="432" w:hanging="170"/>
        <w:jc w:val="left"/>
        <w:rPr>
          <w:sz w:val="20"/>
        </w:rPr>
      </w:pPr>
      <w:r>
        <w:rPr/>
        <w:pict>
          <v:rect style="position:absolute;margin-left:0pt;margin-top:16.899353pt;width:45pt;height:18pt;mso-position-horizontal-relative:page;mso-position-vertical-relative:paragraph;z-index:3880" filled="true" fillcolor="#0079c1" stroked="false">
            <v:fill type="solid"/>
            <w10:wrap type="none"/>
          </v:rect>
        </w:pict>
      </w:r>
      <w:r>
        <w:rPr/>
        <w:pict>
          <v:line style="position:absolute;mso-position-horizontal-relative:page;mso-position-vertical-relative:paragraph;z-index:3904" from="54.5pt,16.896954pt" to="54.5pt,219.305954pt" stroked="true" strokeweight="1pt" strokecolor="#0079c1">
            <v:stroke dashstyle="solid"/>
            <w10:wrap type="none"/>
          </v:line>
        </w:pict>
      </w:r>
      <w:r>
        <w:rPr/>
        <w:pict>
          <v:shape style="position:absolute;margin-left:16.402201pt;margin-top:37.922646pt;width:22.3pt;height:183.2pt;mso-position-horizontal-relative:page;mso-position-vertical-relative:paragraph;z-index:3928"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18.200388pt;margin-top:21.650305pt;width:15.85pt;height:8.5pt;mso-position-horizontal-relative:page;mso-position-vertical-relative:paragraph;z-index:3952"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105"/>
          <w:sz w:val="20"/>
        </w:rPr>
        <w:t>Ill persons who are not able to </w:t>
      </w:r>
      <w:r>
        <w:rPr>
          <w:color w:val="231F20"/>
          <w:spacing w:val="-3"/>
          <w:w w:val="105"/>
          <w:sz w:val="20"/>
        </w:rPr>
        <w:t>provide </w:t>
      </w:r>
      <w:r>
        <w:rPr>
          <w:color w:val="231F20"/>
          <w:w w:val="105"/>
          <w:sz w:val="20"/>
        </w:rPr>
        <w:t>adequate information for investigation, including</w:t>
      </w:r>
      <w:r>
        <w:rPr>
          <w:color w:val="231F20"/>
          <w:spacing w:val="-11"/>
          <w:w w:val="105"/>
          <w:sz w:val="20"/>
        </w:rPr>
        <w:t> </w:t>
      </w:r>
      <w:r>
        <w:rPr>
          <w:color w:val="231F20"/>
          <w:w w:val="105"/>
          <w:sz w:val="20"/>
        </w:rPr>
        <w:t>date</w:t>
      </w:r>
      <w:r>
        <w:rPr>
          <w:color w:val="231F20"/>
          <w:spacing w:val="-10"/>
          <w:w w:val="105"/>
          <w:sz w:val="20"/>
        </w:rPr>
        <w:t> </w:t>
      </w:r>
      <w:r>
        <w:rPr>
          <w:color w:val="231F20"/>
          <w:w w:val="105"/>
          <w:sz w:val="20"/>
        </w:rPr>
        <w:t>and</w:t>
      </w:r>
      <w:r>
        <w:rPr>
          <w:color w:val="231F20"/>
          <w:spacing w:val="-11"/>
          <w:w w:val="105"/>
          <w:sz w:val="20"/>
        </w:rPr>
        <w:t> </w:t>
      </w:r>
      <w:r>
        <w:rPr>
          <w:color w:val="231F20"/>
          <w:w w:val="105"/>
          <w:sz w:val="20"/>
        </w:rPr>
        <w:t>time</w:t>
      </w:r>
      <w:r>
        <w:rPr>
          <w:color w:val="231F20"/>
          <w:spacing w:val="-11"/>
          <w:w w:val="105"/>
          <w:sz w:val="20"/>
        </w:rPr>
        <w:t> </w:t>
      </w:r>
      <w:r>
        <w:rPr>
          <w:color w:val="231F20"/>
          <w:w w:val="105"/>
          <w:sz w:val="20"/>
        </w:rPr>
        <w:t>of</w:t>
      </w:r>
      <w:r>
        <w:rPr>
          <w:color w:val="231F20"/>
          <w:spacing w:val="13"/>
          <w:w w:val="105"/>
          <w:sz w:val="20"/>
        </w:rPr>
        <w:t> </w:t>
      </w:r>
      <w:r>
        <w:rPr>
          <w:color w:val="231F20"/>
          <w:w w:val="105"/>
          <w:sz w:val="20"/>
        </w:rPr>
        <w:t>illness</w:t>
      </w:r>
      <w:r>
        <w:rPr>
          <w:color w:val="231F20"/>
          <w:spacing w:val="-11"/>
          <w:w w:val="105"/>
          <w:sz w:val="20"/>
        </w:rPr>
        <w:t> </w:t>
      </w:r>
      <w:r>
        <w:rPr>
          <w:color w:val="231F20"/>
          <w:w w:val="105"/>
          <w:sz w:val="20"/>
        </w:rPr>
        <w:t>onset, symptoms,</w:t>
      </w:r>
      <w:r>
        <w:rPr>
          <w:color w:val="231F20"/>
          <w:spacing w:val="-35"/>
          <w:w w:val="105"/>
          <w:sz w:val="20"/>
        </w:rPr>
        <w:t> </w:t>
      </w:r>
      <w:r>
        <w:rPr>
          <w:color w:val="231F20"/>
          <w:w w:val="105"/>
          <w:sz w:val="20"/>
        </w:rPr>
        <w:t>or</w:t>
      </w:r>
      <w:r>
        <w:rPr>
          <w:color w:val="231F20"/>
          <w:spacing w:val="-35"/>
          <w:w w:val="105"/>
          <w:sz w:val="20"/>
        </w:rPr>
        <w:t> </w:t>
      </w:r>
      <w:r>
        <w:rPr>
          <w:color w:val="231F20"/>
          <w:w w:val="105"/>
          <w:sz w:val="20"/>
        </w:rPr>
        <w:t>complete</w:t>
      </w:r>
      <w:r>
        <w:rPr>
          <w:color w:val="231F20"/>
          <w:spacing w:val="-35"/>
          <w:w w:val="105"/>
          <w:sz w:val="20"/>
        </w:rPr>
        <w:t> </w:t>
      </w:r>
      <w:r>
        <w:rPr>
          <w:color w:val="231F20"/>
          <w:w w:val="105"/>
          <w:sz w:val="20"/>
        </w:rPr>
        <w:t>food</w:t>
      </w:r>
      <w:r>
        <w:rPr>
          <w:color w:val="231F20"/>
          <w:spacing w:val="-35"/>
          <w:w w:val="105"/>
          <w:sz w:val="20"/>
        </w:rPr>
        <w:t> </w:t>
      </w:r>
      <w:r>
        <w:rPr>
          <w:color w:val="231F20"/>
          <w:w w:val="105"/>
          <w:sz w:val="20"/>
        </w:rPr>
        <w:t>histories.</w:t>
      </w:r>
    </w:p>
    <w:p>
      <w:pPr>
        <w:pStyle w:val="ListParagraph"/>
        <w:numPr>
          <w:ilvl w:val="1"/>
          <w:numId w:val="11"/>
        </w:numPr>
        <w:tabs>
          <w:tab w:pos="1611" w:val="left" w:leader="none"/>
        </w:tabs>
        <w:spacing w:line="266" w:lineRule="auto" w:before="90" w:after="0"/>
        <w:ind w:left="1610" w:right="172" w:hanging="170"/>
        <w:jc w:val="left"/>
        <w:rPr>
          <w:sz w:val="20"/>
        </w:rPr>
      </w:pPr>
      <w:r>
        <w:rPr>
          <w:color w:val="231F20"/>
          <w:sz w:val="20"/>
        </w:rPr>
        <w:t>Repeated complaints </w:t>
      </w:r>
      <w:r>
        <w:rPr>
          <w:color w:val="231F20"/>
          <w:spacing w:val="-3"/>
          <w:sz w:val="20"/>
        </w:rPr>
        <w:t>by </w:t>
      </w:r>
      <w:r>
        <w:rPr>
          <w:color w:val="231F20"/>
          <w:sz w:val="20"/>
        </w:rPr>
        <w:t>the same person(s) for which prior investigations revealed no significant</w:t>
      </w:r>
      <w:r>
        <w:rPr>
          <w:color w:val="231F20"/>
          <w:spacing w:val="29"/>
          <w:sz w:val="20"/>
        </w:rPr>
        <w:t> </w:t>
      </w:r>
      <w:r>
        <w:rPr>
          <w:color w:val="231F20"/>
          <w:sz w:val="20"/>
        </w:rPr>
        <w:t>findings.</w:t>
      </w:r>
    </w:p>
    <w:p>
      <w:pPr>
        <w:pStyle w:val="ListParagraph"/>
        <w:numPr>
          <w:ilvl w:val="3"/>
          <w:numId w:val="20"/>
        </w:numPr>
        <w:tabs>
          <w:tab w:pos="2070" w:val="left" w:leader="none"/>
        </w:tabs>
        <w:spacing w:line="254" w:lineRule="auto" w:before="180" w:after="0"/>
        <w:ind w:left="1440" w:right="18" w:firstLine="0"/>
        <w:jc w:val="left"/>
        <w:rPr>
          <w:rFonts w:ascii="Bookman Old Style" w:hAnsi="Bookman Old Style"/>
          <w:b/>
          <w:sz w:val="20"/>
        </w:rPr>
      </w:pPr>
      <w:r>
        <w:rPr>
          <w:i/>
          <w:color w:val="E36F1E"/>
          <w:w w:val="95"/>
          <w:sz w:val="20"/>
        </w:rPr>
        <w:t>Interviews related to reported illnesses in groups </w:t>
      </w:r>
      <w:r>
        <w:rPr>
          <w:rFonts w:ascii="Bookman Old Style" w:hAnsi="Bookman Old Style"/>
          <w:b/>
          <w:color w:val="231F20"/>
          <w:w w:val="95"/>
          <w:sz w:val="20"/>
        </w:rPr>
        <w:t>“Complaints” of illness among groups </w:t>
      </w:r>
      <w:r>
        <w:rPr>
          <w:rFonts w:ascii="Bookman Old Style" w:hAnsi="Bookman Old Style"/>
          <w:b/>
          <w:color w:val="231F20"/>
          <w:w w:val="85"/>
          <w:sz w:val="20"/>
        </w:rPr>
        <w:t>often</w:t>
      </w:r>
      <w:r>
        <w:rPr>
          <w:rFonts w:ascii="Bookman Old Style" w:hAnsi="Bookman Old Style"/>
          <w:b/>
          <w:color w:val="231F20"/>
          <w:spacing w:val="-32"/>
          <w:w w:val="85"/>
          <w:sz w:val="20"/>
        </w:rPr>
        <w:t> </w:t>
      </w:r>
      <w:r>
        <w:rPr>
          <w:rFonts w:ascii="Bookman Old Style" w:hAnsi="Bookman Old Style"/>
          <w:b/>
          <w:color w:val="231F20"/>
          <w:w w:val="85"/>
          <w:sz w:val="20"/>
        </w:rPr>
        <w:t>are</w:t>
      </w:r>
      <w:r>
        <w:rPr>
          <w:rFonts w:ascii="Bookman Old Style" w:hAnsi="Bookman Old Style"/>
          <w:b/>
          <w:color w:val="231F20"/>
          <w:spacing w:val="-32"/>
          <w:w w:val="85"/>
          <w:sz w:val="20"/>
        </w:rPr>
        <w:t> </w:t>
      </w:r>
      <w:r>
        <w:rPr>
          <w:rFonts w:ascii="Bookman Old Style" w:hAnsi="Bookman Old Style"/>
          <w:b/>
          <w:color w:val="231F20"/>
          <w:w w:val="85"/>
          <w:sz w:val="20"/>
        </w:rPr>
        <w:t>tantamount</w:t>
      </w:r>
      <w:r>
        <w:rPr>
          <w:rFonts w:ascii="Bookman Old Style" w:hAnsi="Bookman Old Style"/>
          <w:b/>
          <w:color w:val="231F20"/>
          <w:spacing w:val="-32"/>
          <w:w w:val="85"/>
          <w:sz w:val="20"/>
        </w:rPr>
        <w:t> </w:t>
      </w:r>
      <w:r>
        <w:rPr>
          <w:rFonts w:ascii="Bookman Old Style" w:hAnsi="Bookman Old Style"/>
          <w:b/>
          <w:color w:val="231F20"/>
          <w:w w:val="85"/>
          <w:sz w:val="20"/>
        </w:rPr>
        <w:t>to</w:t>
      </w:r>
      <w:r>
        <w:rPr>
          <w:rFonts w:ascii="Bookman Old Style" w:hAnsi="Bookman Old Style"/>
          <w:b/>
          <w:color w:val="231F20"/>
          <w:spacing w:val="-32"/>
          <w:w w:val="85"/>
          <w:sz w:val="20"/>
        </w:rPr>
        <w:t> </w:t>
      </w:r>
      <w:r>
        <w:rPr>
          <w:rFonts w:ascii="Bookman Old Style" w:hAnsi="Bookman Old Style"/>
          <w:b/>
          <w:color w:val="231F20"/>
          <w:w w:val="85"/>
          <w:sz w:val="20"/>
        </w:rPr>
        <w:t>outbreak</w:t>
      </w:r>
      <w:r>
        <w:rPr>
          <w:rFonts w:ascii="Bookman Old Style" w:hAnsi="Bookman Old Style"/>
          <w:b/>
          <w:color w:val="231F20"/>
          <w:spacing w:val="-32"/>
          <w:w w:val="85"/>
          <w:sz w:val="20"/>
        </w:rPr>
        <w:t> </w:t>
      </w:r>
      <w:r>
        <w:rPr>
          <w:rFonts w:ascii="Bookman Old Style" w:hAnsi="Bookman Old Style"/>
          <w:b/>
          <w:color w:val="231F20"/>
          <w:w w:val="85"/>
          <w:sz w:val="20"/>
        </w:rPr>
        <w:t>reports.</w:t>
      </w:r>
      <w:r>
        <w:rPr>
          <w:rFonts w:ascii="Bookman Old Style" w:hAnsi="Bookman Old Style"/>
          <w:b/>
          <w:color w:val="231F20"/>
          <w:spacing w:val="-32"/>
          <w:w w:val="85"/>
          <w:sz w:val="20"/>
        </w:rPr>
        <w:t> </w:t>
      </w:r>
      <w:r>
        <w:rPr>
          <w:rFonts w:ascii="Bookman Old Style" w:hAnsi="Bookman Old Style"/>
          <w:b/>
          <w:color w:val="231F20"/>
          <w:w w:val="85"/>
          <w:sz w:val="20"/>
        </w:rPr>
        <w:t>A report</w:t>
      </w:r>
      <w:r>
        <w:rPr>
          <w:rFonts w:ascii="Bookman Old Style" w:hAnsi="Bookman Old Style"/>
          <w:b/>
          <w:color w:val="231F20"/>
          <w:spacing w:val="-28"/>
          <w:w w:val="85"/>
          <w:sz w:val="20"/>
        </w:rPr>
        <w:t> </w:t>
      </w:r>
      <w:r>
        <w:rPr>
          <w:rFonts w:ascii="Bookman Old Style" w:hAnsi="Bookman Old Style"/>
          <w:b/>
          <w:color w:val="231F20"/>
          <w:w w:val="85"/>
          <w:sz w:val="20"/>
        </w:rPr>
        <w:t>of</w:t>
      </w:r>
      <w:r>
        <w:rPr>
          <w:rFonts w:ascii="Bookman Old Style" w:hAnsi="Bookman Old Style"/>
          <w:b/>
          <w:color w:val="231F20"/>
          <w:spacing w:val="-10"/>
          <w:w w:val="85"/>
          <w:sz w:val="20"/>
        </w:rPr>
        <w:t> </w:t>
      </w:r>
      <w:r>
        <w:rPr>
          <w:rFonts w:ascii="Bookman Old Style" w:hAnsi="Bookman Old Style"/>
          <w:b/>
          <w:color w:val="231F20"/>
          <w:w w:val="85"/>
          <w:sz w:val="20"/>
        </w:rPr>
        <w:t>illness</w:t>
      </w:r>
      <w:r>
        <w:rPr>
          <w:rFonts w:ascii="Bookman Old Style" w:hAnsi="Bookman Old Style"/>
          <w:b/>
          <w:color w:val="231F20"/>
          <w:spacing w:val="-27"/>
          <w:w w:val="85"/>
          <w:sz w:val="20"/>
        </w:rPr>
        <w:t> </w:t>
      </w:r>
      <w:r>
        <w:rPr>
          <w:rFonts w:ascii="Bookman Old Style" w:hAnsi="Bookman Old Style"/>
          <w:b/>
          <w:color w:val="231F20"/>
          <w:w w:val="85"/>
          <w:sz w:val="20"/>
        </w:rPr>
        <w:t>among</w:t>
      </w:r>
      <w:r>
        <w:rPr>
          <w:rFonts w:ascii="Bookman Old Style" w:hAnsi="Bookman Old Style"/>
          <w:b/>
          <w:color w:val="231F20"/>
          <w:spacing w:val="-29"/>
          <w:w w:val="85"/>
          <w:sz w:val="20"/>
        </w:rPr>
        <w:t> </w:t>
      </w:r>
      <w:r>
        <w:rPr>
          <w:rFonts w:ascii="Bookman Old Style" w:hAnsi="Bookman Old Style"/>
          <w:b/>
          <w:color w:val="231F20"/>
          <w:w w:val="85"/>
          <w:sz w:val="20"/>
        </w:rPr>
        <w:t>8–12</w:t>
      </w:r>
      <w:r>
        <w:rPr>
          <w:rFonts w:ascii="Bookman Old Style" w:hAnsi="Bookman Old Style"/>
          <w:b/>
          <w:color w:val="231F20"/>
          <w:spacing w:val="-29"/>
          <w:w w:val="85"/>
          <w:sz w:val="20"/>
        </w:rPr>
        <w:t> </w:t>
      </w:r>
      <w:r>
        <w:rPr>
          <w:rFonts w:ascii="Bookman Old Style" w:hAnsi="Bookman Old Style"/>
          <w:b/>
          <w:color w:val="231F20"/>
          <w:w w:val="85"/>
          <w:sz w:val="20"/>
        </w:rPr>
        <w:t>people</w:t>
      </w:r>
      <w:r>
        <w:rPr>
          <w:rFonts w:ascii="Bookman Old Style" w:hAnsi="Bookman Old Style"/>
          <w:b/>
          <w:color w:val="231F20"/>
          <w:spacing w:val="-29"/>
          <w:w w:val="85"/>
          <w:sz w:val="20"/>
        </w:rPr>
        <w:t> </w:t>
      </w:r>
      <w:r>
        <w:rPr>
          <w:rFonts w:ascii="Bookman Old Style" w:hAnsi="Bookman Old Style"/>
          <w:b/>
          <w:color w:val="231F20"/>
          <w:w w:val="85"/>
          <w:sz w:val="20"/>
        </w:rPr>
        <w:t>who</w:t>
      </w:r>
      <w:r>
        <w:rPr>
          <w:rFonts w:ascii="Bookman Old Style" w:hAnsi="Bookman Old Style"/>
          <w:b/>
          <w:color w:val="231F20"/>
          <w:spacing w:val="-28"/>
          <w:w w:val="85"/>
          <w:sz w:val="20"/>
        </w:rPr>
        <w:t> </w:t>
      </w:r>
      <w:r>
        <w:rPr>
          <w:rFonts w:ascii="Bookman Old Style" w:hAnsi="Bookman Old Style"/>
          <w:b/>
          <w:color w:val="231F20"/>
          <w:w w:val="85"/>
          <w:sz w:val="20"/>
        </w:rPr>
        <w:t>ate together</w:t>
      </w:r>
      <w:r>
        <w:rPr>
          <w:rFonts w:ascii="Bookman Old Style" w:hAnsi="Bookman Old Style"/>
          <w:b/>
          <w:color w:val="231F20"/>
          <w:spacing w:val="-35"/>
          <w:w w:val="85"/>
          <w:sz w:val="20"/>
        </w:rPr>
        <w:t> </w:t>
      </w:r>
      <w:r>
        <w:rPr>
          <w:rFonts w:ascii="Bookman Old Style" w:hAnsi="Bookman Old Style"/>
          <w:b/>
          <w:color w:val="231F20"/>
          <w:w w:val="85"/>
          <w:sz w:val="20"/>
        </w:rPr>
        <w:t>merits</w:t>
      </w:r>
      <w:r>
        <w:rPr>
          <w:rFonts w:ascii="Bookman Old Style" w:hAnsi="Bookman Old Style"/>
          <w:b/>
          <w:color w:val="231F20"/>
          <w:spacing w:val="-35"/>
          <w:w w:val="85"/>
          <w:sz w:val="20"/>
        </w:rPr>
        <w:t> </w:t>
      </w:r>
      <w:r>
        <w:rPr>
          <w:rFonts w:ascii="Bookman Old Style" w:hAnsi="Bookman Old Style"/>
          <w:b/>
          <w:color w:val="231F20"/>
          <w:w w:val="85"/>
          <w:sz w:val="20"/>
        </w:rPr>
        <w:t>a</w:t>
      </w:r>
      <w:r>
        <w:rPr>
          <w:rFonts w:ascii="Bookman Old Style" w:hAnsi="Bookman Old Style"/>
          <w:b/>
          <w:color w:val="231F20"/>
          <w:spacing w:val="-35"/>
          <w:w w:val="85"/>
          <w:sz w:val="20"/>
        </w:rPr>
        <w:t> </w:t>
      </w:r>
      <w:r>
        <w:rPr>
          <w:rFonts w:ascii="Bookman Old Style" w:hAnsi="Bookman Old Style"/>
          <w:b/>
          <w:color w:val="231F20"/>
          <w:w w:val="85"/>
          <w:sz w:val="20"/>
        </w:rPr>
        <w:t>different</w:t>
      </w:r>
      <w:r>
        <w:rPr>
          <w:rFonts w:ascii="Bookman Old Style" w:hAnsi="Bookman Old Style"/>
          <w:b/>
          <w:color w:val="231F20"/>
          <w:spacing w:val="-35"/>
          <w:w w:val="85"/>
          <w:sz w:val="20"/>
        </w:rPr>
        <w:t> </w:t>
      </w:r>
      <w:r>
        <w:rPr>
          <w:rFonts w:ascii="Bookman Old Style" w:hAnsi="Bookman Old Style"/>
          <w:b/>
          <w:color w:val="231F20"/>
          <w:w w:val="85"/>
          <w:sz w:val="20"/>
        </w:rPr>
        <w:t>response</w:t>
      </w:r>
      <w:r>
        <w:rPr>
          <w:rFonts w:ascii="Bookman Old Style" w:hAnsi="Bookman Old Style"/>
          <w:b/>
          <w:color w:val="231F20"/>
          <w:spacing w:val="-35"/>
          <w:w w:val="85"/>
          <w:sz w:val="20"/>
        </w:rPr>
        <w:t> </w:t>
      </w:r>
      <w:r>
        <w:rPr>
          <w:rFonts w:ascii="Bookman Old Style" w:hAnsi="Bookman Old Style"/>
          <w:b/>
          <w:color w:val="231F20"/>
          <w:w w:val="85"/>
          <w:sz w:val="20"/>
        </w:rPr>
        <w:t>than</w:t>
      </w:r>
      <w:r>
        <w:rPr>
          <w:rFonts w:ascii="Bookman Old Style" w:hAnsi="Bookman Old Style"/>
          <w:b/>
          <w:color w:val="231F20"/>
          <w:spacing w:val="-35"/>
          <w:w w:val="85"/>
          <w:sz w:val="20"/>
        </w:rPr>
        <w:t> </w:t>
      </w:r>
      <w:r>
        <w:rPr>
          <w:rFonts w:ascii="Bookman Old Style" w:hAnsi="Bookman Old Style"/>
          <w:b/>
          <w:color w:val="231F20"/>
          <w:w w:val="85"/>
          <w:sz w:val="20"/>
        </w:rPr>
        <w:t>an isolated report</w:t>
      </w:r>
      <w:r>
        <w:rPr>
          <w:rFonts w:ascii="Bookman Old Style" w:hAnsi="Bookman Old Style"/>
          <w:b/>
          <w:color w:val="231F20"/>
          <w:spacing w:val="-43"/>
          <w:w w:val="85"/>
          <w:sz w:val="20"/>
        </w:rPr>
        <w:t> </w:t>
      </w:r>
      <w:r>
        <w:rPr>
          <w:rFonts w:ascii="Bookman Old Style" w:hAnsi="Bookman Old Style"/>
          <w:b/>
          <w:color w:val="231F20"/>
          <w:w w:val="85"/>
          <w:sz w:val="20"/>
        </w:rPr>
        <w:t>of diarrhea.</w:t>
      </w:r>
    </w:p>
    <w:p>
      <w:pPr>
        <w:pStyle w:val="BodyText"/>
        <w:spacing w:line="266" w:lineRule="auto" w:before="181"/>
        <w:ind w:left="1440" w:right="31"/>
      </w:pPr>
      <w:r>
        <w:rPr>
          <w:rFonts w:ascii="Bookman Old Style"/>
          <w:b/>
          <w:color w:val="231F20"/>
          <w:spacing w:val="-3"/>
          <w:w w:val="90"/>
        </w:rPr>
        <w:t>Focus</w:t>
      </w:r>
      <w:r>
        <w:rPr>
          <w:rFonts w:ascii="Bookman Old Style"/>
          <w:b/>
          <w:color w:val="231F20"/>
          <w:spacing w:val="-38"/>
          <w:w w:val="90"/>
        </w:rPr>
        <w:t> </w:t>
      </w:r>
      <w:r>
        <w:rPr>
          <w:rFonts w:ascii="Bookman Old Style"/>
          <w:b/>
          <w:color w:val="231F20"/>
          <w:w w:val="90"/>
        </w:rPr>
        <w:t>interviews</w:t>
      </w:r>
      <w:r>
        <w:rPr>
          <w:rFonts w:ascii="Bookman Old Style"/>
          <w:b/>
          <w:color w:val="231F20"/>
          <w:spacing w:val="-38"/>
          <w:w w:val="90"/>
        </w:rPr>
        <w:t> </w:t>
      </w:r>
      <w:r>
        <w:rPr>
          <w:rFonts w:ascii="Bookman Old Style"/>
          <w:b/>
          <w:color w:val="231F20"/>
          <w:w w:val="90"/>
        </w:rPr>
        <w:t>on</w:t>
      </w:r>
      <w:r>
        <w:rPr>
          <w:rFonts w:ascii="Bookman Old Style"/>
          <w:b/>
          <w:color w:val="231F20"/>
          <w:spacing w:val="-38"/>
          <w:w w:val="90"/>
        </w:rPr>
        <w:t> </w:t>
      </w:r>
      <w:r>
        <w:rPr>
          <w:rFonts w:ascii="Bookman Old Style"/>
          <w:b/>
          <w:color w:val="231F20"/>
          <w:w w:val="90"/>
        </w:rPr>
        <w:t>the</w:t>
      </w:r>
      <w:r>
        <w:rPr>
          <w:rFonts w:ascii="Bookman Old Style"/>
          <w:b/>
          <w:color w:val="231F20"/>
          <w:spacing w:val="-38"/>
          <w:w w:val="90"/>
        </w:rPr>
        <w:t> </w:t>
      </w:r>
      <w:r>
        <w:rPr>
          <w:rFonts w:ascii="Bookman Old Style"/>
          <w:b/>
          <w:color w:val="231F20"/>
          <w:w w:val="90"/>
        </w:rPr>
        <w:t>event</w:t>
      </w:r>
      <w:r>
        <w:rPr>
          <w:rFonts w:ascii="Bookman Old Style"/>
          <w:b/>
          <w:color w:val="231F20"/>
          <w:spacing w:val="-38"/>
          <w:w w:val="90"/>
        </w:rPr>
        <w:t> </w:t>
      </w:r>
      <w:r>
        <w:rPr>
          <w:rFonts w:ascii="Bookman Old Style"/>
          <w:b/>
          <w:color w:val="231F20"/>
          <w:w w:val="90"/>
        </w:rPr>
        <w:t>shared</w:t>
      </w:r>
      <w:r>
        <w:rPr>
          <w:rFonts w:ascii="Bookman Old Style"/>
          <w:b/>
          <w:color w:val="231F20"/>
          <w:spacing w:val="-38"/>
          <w:w w:val="90"/>
        </w:rPr>
        <w:t> </w:t>
      </w:r>
      <w:r>
        <w:rPr>
          <w:rFonts w:ascii="Bookman Old Style"/>
          <w:b/>
          <w:color w:val="231F20"/>
          <w:w w:val="90"/>
        </w:rPr>
        <w:t>by </w:t>
      </w:r>
      <w:r>
        <w:rPr>
          <w:rFonts w:ascii="Bookman Old Style"/>
          <w:b/>
          <w:color w:val="231F20"/>
        </w:rPr>
        <w:t>members</w:t>
      </w:r>
      <w:r>
        <w:rPr>
          <w:rFonts w:ascii="Bookman Old Style"/>
          <w:b/>
          <w:color w:val="231F20"/>
          <w:spacing w:val="-48"/>
        </w:rPr>
        <w:t> </w:t>
      </w:r>
      <w:r>
        <w:rPr>
          <w:rFonts w:ascii="Bookman Old Style"/>
          <w:b/>
          <w:color w:val="231F20"/>
        </w:rPr>
        <w:t>of</w:t>
      </w:r>
      <w:r>
        <w:rPr>
          <w:rFonts w:ascii="Bookman Old Style"/>
          <w:b/>
          <w:color w:val="231F20"/>
          <w:spacing w:val="-36"/>
        </w:rPr>
        <w:t> </w:t>
      </w:r>
      <w:r>
        <w:rPr>
          <w:rFonts w:ascii="Bookman Old Style"/>
          <w:b/>
          <w:color w:val="231F20"/>
        </w:rPr>
        <w:t>the</w:t>
      </w:r>
      <w:r>
        <w:rPr>
          <w:rFonts w:ascii="Bookman Old Style"/>
          <w:b/>
          <w:color w:val="231F20"/>
          <w:spacing w:val="-48"/>
        </w:rPr>
        <w:t> </w:t>
      </w:r>
      <w:r>
        <w:rPr>
          <w:rFonts w:ascii="Bookman Old Style"/>
          <w:b/>
          <w:color w:val="231F20"/>
        </w:rPr>
        <w:t>group.</w:t>
      </w:r>
      <w:r>
        <w:rPr>
          <w:rFonts w:ascii="Bookman Old Style"/>
          <w:b/>
          <w:color w:val="231F20"/>
          <w:spacing w:val="-50"/>
        </w:rPr>
        <w:t> </w:t>
      </w:r>
      <w:r>
        <w:rPr>
          <w:color w:val="231F20"/>
          <w:spacing w:val="-4"/>
        </w:rPr>
        <w:t>However,</w:t>
      </w:r>
      <w:r>
        <w:rPr>
          <w:color w:val="231F20"/>
          <w:spacing w:val="-28"/>
        </w:rPr>
        <w:t> </w:t>
      </w:r>
      <w:r>
        <w:rPr>
          <w:color w:val="231F20"/>
        </w:rPr>
        <w:t>be</w:t>
      </w:r>
      <w:r>
        <w:rPr>
          <w:color w:val="231F20"/>
          <w:spacing w:val="-28"/>
        </w:rPr>
        <w:t> </w:t>
      </w:r>
      <w:r>
        <w:rPr>
          <w:color w:val="231F20"/>
        </w:rPr>
        <w:t>aware they might </w:t>
      </w:r>
      <w:r>
        <w:rPr>
          <w:color w:val="231F20"/>
          <w:spacing w:val="-3"/>
        </w:rPr>
        <w:t>have </w:t>
      </w:r>
      <w:r>
        <w:rPr>
          <w:color w:val="231F20"/>
        </w:rPr>
        <w:t>more than one event in common, and explore that </w:t>
      </w:r>
      <w:r>
        <w:rPr>
          <w:color w:val="231F20"/>
          <w:spacing w:val="-3"/>
        </w:rPr>
        <w:t>possibility. </w:t>
      </w:r>
      <w:r>
        <w:rPr>
          <w:color w:val="231F20"/>
          <w:spacing w:val="-7"/>
        </w:rPr>
        <w:t>For </w:t>
      </w:r>
      <w:r>
        <w:rPr>
          <w:color w:val="231F20"/>
        </w:rPr>
        <w:t>example, an outbreak associated with a wedding reception might actually result from the rehearsal </w:t>
      </w:r>
      <w:r>
        <w:rPr>
          <w:color w:val="231F20"/>
          <w:spacing w:val="-4"/>
        </w:rPr>
        <w:t>dinner, </w:t>
      </w:r>
      <w:r>
        <w:rPr>
          <w:color w:val="231F20"/>
        </w:rPr>
        <w:t>which involves many of the same people. Interviews should ask about other possible exposures either for the interviewee or for others he or she might </w:t>
      </w:r>
      <w:r>
        <w:rPr>
          <w:color w:val="231F20"/>
          <w:spacing w:val="-3"/>
        </w:rPr>
        <w:t>have </w:t>
      </w:r>
      <w:r>
        <w:rPr>
          <w:color w:val="231F20"/>
        </w:rPr>
        <w:t>contacted, such as child-care attendance, employment as a food </w:t>
      </w:r>
      <w:r>
        <w:rPr>
          <w:color w:val="231F20"/>
          <w:spacing w:val="-4"/>
        </w:rPr>
        <w:t>worker, </w:t>
      </w:r>
      <w:r>
        <w:rPr>
          <w:color w:val="231F20"/>
        </w:rPr>
        <w:t>or ill family</w:t>
      </w:r>
      <w:r>
        <w:rPr>
          <w:color w:val="231F20"/>
          <w:spacing w:val="34"/>
        </w:rPr>
        <w:t> </w:t>
      </w:r>
      <w:r>
        <w:rPr>
          <w:color w:val="231F20"/>
        </w:rPr>
        <w:t>members.</w:t>
      </w:r>
    </w:p>
    <w:p>
      <w:pPr>
        <w:pStyle w:val="ListParagraph"/>
        <w:numPr>
          <w:ilvl w:val="3"/>
          <w:numId w:val="20"/>
        </w:numPr>
        <w:tabs>
          <w:tab w:pos="2082" w:val="left" w:leader="none"/>
        </w:tabs>
        <w:spacing w:line="266" w:lineRule="auto" w:before="180" w:after="0"/>
        <w:ind w:left="1440" w:right="18" w:firstLine="0"/>
        <w:jc w:val="left"/>
        <w:rPr>
          <w:i/>
          <w:sz w:val="20"/>
        </w:rPr>
      </w:pPr>
      <w:r>
        <w:rPr>
          <w:i/>
          <w:color w:val="E36F1E"/>
          <w:w w:val="105"/>
          <w:sz w:val="20"/>
        </w:rPr>
        <w:t>Clinical</w:t>
      </w:r>
      <w:r>
        <w:rPr>
          <w:i/>
          <w:color w:val="E36F1E"/>
          <w:spacing w:val="-11"/>
          <w:w w:val="105"/>
          <w:sz w:val="20"/>
        </w:rPr>
        <w:t> </w:t>
      </w:r>
      <w:r>
        <w:rPr>
          <w:i/>
          <w:color w:val="E36F1E"/>
          <w:w w:val="105"/>
          <w:sz w:val="20"/>
        </w:rPr>
        <w:t>specimens</w:t>
      </w:r>
      <w:r>
        <w:rPr>
          <w:i/>
          <w:color w:val="E36F1E"/>
          <w:spacing w:val="-13"/>
          <w:w w:val="105"/>
          <w:sz w:val="20"/>
        </w:rPr>
        <w:t> </w:t>
      </w:r>
      <w:r>
        <w:rPr>
          <w:i/>
          <w:color w:val="E36F1E"/>
          <w:w w:val="105"/>
          <w:sz w:val="20"/>
        </w:rPr>
        <w:t>and</w:t>
      </w:r>
      <w:r>
        <w:rPr>
          <w:i/>
          <w:color w:val="E36F1E"/>
          <w:spacing w:val="-12"/>
          <w:w w:val="105"/>
          <w:sz w:val="20"/>
        </w:rPr>
        <w:t> </w:t>
      </w:r>
      <w:r>
        <w:rPr>
          <w:i/>
          <w:color w:val="E36F1E"/>
          <w:w w:val="105"/>
          <w:sz w:val="20"/>
        </w:rPr>
        <w:t>food</w:t>
      </w:r>
      <w:r>
        <w:rPr>
          <w:i/>
          <w:color w:val="E36F1E"/>
          <w:spacing w:val="-11"/>
          <w:w w:val="105"/>
          <w:sz w:val="20"/>
        </w:rPr>
        <w:t> </w:t>
      </w:r>
      <w:r>
        <w:rPr>
          <w:i/>
          <w:color w:val="E36F1E"/>
          <w:w w:val="105"/>
          <w:sz w:val="20"/>
        </w:rPr>
        <w:t>samples</w:t>
      </w:r>
      <w:r>
        <w:rPr>
          <w:i/>
          <w:color w:val="E36F1E"/>
          <w:spacing w:val="-12"/>
          <w:w w:val="105"/>
          <w:sz w:val="20"/>
        </w:rPr>
        <w:t> </w:t>
      </w:r>
      <w:r>
        <w:rPr>
          <w:i/>
          <w:color w:val="E36F1E"/>
          <w:w w:val="105"/>
          <w:sz w:val="20"/>
        </w:rPr>
        <w:t>related</w:t>
      </w:r>
      <w:r>
        <w:rPr>
          <w:i/>
          <w:color w:val="E36F1E"/>
          <w:spacing w:val="-11"/>
          <w:w w:val="105"/>
          <w:sz w:val="20"/>
        </w:rPr>
        <w:t> </w:t>
      </w:r>
      <w:r>
        <w:rPr>
          <w:i/>
          <w:color w:val="E36F1E"/>
          <w:w w:val="105"/>
          <w:sz w:val="20"/>
        </w:rPr>
        <w:t>to </w:t>
      </w:r>
      <w:r>
        <w:rPr>
          <w:i/>
          <w:color w:val="E36F1E"/>
          <w:w w:val="105"/>
          <w:sz w:val="20"/>
        </w:rPr>
        <w:t>group</w:t>
      </w:r>
      <w:r>
        <w:rPr>
          <w:i/>
          <w:color w:val="E36F1E"/>
          <w:spacing w:val="-9"/>
          <w:w w:val="105"/>
          <w:sz w:val="20"/>
        </w:rPr>
        <w:t> </w:t>
      </w:r>
      <w:r>
        <w:rPr>
          <w:i/>
          <w:color w:val="E36F1E"/>
          <w:w w:val="105"/>
          <w:sz w:val="20"/>
        </w:rPr>
        <w:t>illness</w:t>
      </w:r>
    </w:p>
    <w:p>
      <w:pPr>
        <w:pStyle w:val="BodyText"/>
        <w:spacing w:line="219" w:lineRule="exact"/>
        <w:ind w:left="1440"/>
        <w:rPr>
          <w:rFonts w:ascii="Bookman Old Style"/>
          <w:b/>
        </w:rPr>
      </w:pPr>
      <w:r>
        <w:rPr>
          <w:rFonts w:ascii="Bookman Old Style"/>
          <w:b/>
          <w:color w:val="231F20"/>
          <w:w w:val="80"/>
        </w:rPr>
        <w:t>Obtain clinical specimens from members</w:t>
      </w:r>
    </w:p>
    <w:p>
      <w:pPr>
        <w:pStyle w:val="BodyText"/>
        <w:spacing w:line="254" w:lineRule="auto" w:before="15"/>
        <w:ind w:left="1440" w:right="216"/>
        <w:rPr>
          <w:rFonts w:ascii="Bookman Old Style" w:hAnsi="Bookman Old Style"/>
          <w:b/>
        </w:rPr>
      </w:pPr>
      <w:r>
        <w:rPr>
          <w:rFonts w:ascii="Bookman Old Style" w:hAnsi="Bookman Old Style"/>
          <w:b/>
          <w:color w:val="231F20"/>
          <w:w w:val="85"/>
        </w:rPr>
        <w:t>of</w:t>
      </w:r>
      <w:r>
        <w:rPr>
          <w:rFonts w:ascii="Bookman Old Style" w:hAnsi="Bookman Old Style"/>
          <w:b/>
          <w:color w:val="231F20"/>
          <w:spacing w:val="-14"/>
          <w:w w:val="85"/>
        </w:rPr>
        <w:t> </w:t>
      </w:r>
      <w:r>
        <w:rPr>
          <w:rFonts w:ascii="Bookman Old Style" w:hAnsi="Bookman Old Style"/>
          <w:b/>
          <w:color w:val="231F20"/>
          <w:w w:val="85"/>
        </w:rPr>
        <w:t>the</w:t>
      </w:r>
      <w:r>
        <w:rPr>
          <w:rFonts w:ascii="Bookman Old Style" w:hAnsi="Bookman Old Style"/>
          <w:b/>
          <w:color w:val="231F20"/>
          <w:spacing w:val="-31"/>
          <w:w w:val="85"/>
        </w:rPr>
        <w:t> </w:t>
      </w:r>
      <w:r>
        <w:rPr>
          <w:rFonts w:ascii="Bookman Old Style" w:hAnsi="Bookman Old Style"/>
          <w:b/>
          <w:color w:val="231F20"/>
          <w:w w:val="85"/>
        </w:rPr>
        <w:t>ill</w:t>
      </w:r>
      <w:r>
        <w:rPr>
          <w:rFonts w:ascii="Bookman Old Style" w:hAnsi="Bookman Old Style"/>
          <w:b/>
          <w:color w:val="231F20"/>
          <w:spacing w:val="-30"/>
          <w:w w:val="85"/>
        </w:rPr>
        <w:t> </w:t>
      </w:r>
      <w:r>
        <w:rPr>
          <w:rFonts w:ascii="Bookman Old Style" w:hAnsi="Bookman Old Style"/>
          <w:b/>
          <w:color w:val="231F20"/>
          <w:w w:val="85"/>
        </w:rPr>
        <w:t>group.</w:t>
      </w:r>
      <w:r>
        <w:rPr>
          <w:rFonts w:ascii="Bookman Old Style" w:hAnsi="Bookman Old Style"/>
          <w:b/>
          <w:color w:val="231F20"/>
          <w:spacing w:val="-31"/>
          <w:w w:val="85"/>
        </w:rPr>
        <w:t> </w:t>
      </w:r>
      <w:r>
        <w:rPr>
          <w:rFonts w:ascii="Bookman Old Style" w:hAnsi="Bookman Old Style"/>
          <w:b/>
          <w:color w:val="231F20"/>
          <w:w w:val="85"/>
        </w:rPr>
        <w:t>If</w:t>
      </w:r>
      <w:r>
        <w:rPr>
          <w:rFonts w:ascii="Bookman Old Style" w:hAnsi="Bookman Old Style"/>
          <w:b/>
          <w:color w:val="231F20"/>
          <w:spacing w:val="-14"/>
          <w:w w:val="85"/>
        </w:rPr>
        <w:t> </w:t>
      </w:r>
      <w:r>
        <w:rPr>
          <w:rFonts w:ascii="Bookman Old Style" w:hAnsi="Bookman Old Style"/>
          <w:b/>
          <w:color w:val="231F20"/>
          <w:w w:val="85"/>
        </w:rPr>
        <w:t>the</w:t>
      </w:r>
      <w:r>
        <w:rPr>
          <w:rFonts w:ascii="Bookman Old Style" w:hAnsi="Bookman Old Style"/>
          <w:b/>
          <w:color w:val="231F20"/>
          <w:spacing w:val="-31"/>
          <w:w w:val="85"/>
        </w:rPr>
        <w:t> </w:t>
      </w:r>
      <w:r>
        <w:rPr>
          <w:rFonts w:ascii="Bookman Old Style" w:hAnsi="Bookman Old Style"/>
          <w:b/>
          <w:color w:val="231F20"/>
          <w:w w:val="85"/>
        </w:rPr>
        <w:t>presumed</w:t>
      </w:r>
      <w:r>
        <w:rPr>
          <w:rFonts w:ascii="Bookman Old Style" w:hAnsi="Bookman Old Style"/>
          <w:b/>
          <w:color w:val="231F20"/>
          <w:spacing w:val="-30"/>
          <w:w w:val="85"/>
        </w:rPr>
        <w:t> </w:t>
      </w:r>
      <w:r>
        <w:rPr>
          <w:rFonts w:ascii="Bookman Old Style" w:hAnsi="Bookman Old Style"/>
          <w:b/>
          <w:color w:val="231F20"/>
          <w:w w:val="85"/>
        </w:rPr>
        <w:t>exposure </w:t>
      </w:r>
      <w:r>
        <w:rPr>
          <w:rFonts w:ascii="Bookman Old Style" w:hAnsi="Bookman Old Style"/>
          <w:b/>
          <w:color w:val="231F20"/>
          <w:w w:val="80"/>
        </w:rPr>
        <w:t>involves</w:t>
      </w:r>
      <w:r>
        <w:rPr>
          <w:rFonts w:ascii="Bookman Old Style" w:hAnsi="Bookman Old Style"/>
          <w:b/>
          <w:color w:val="231F20"/>
          <w:spacing w:val="-15"/>
          <w:w w:val="80"/>
        </w:rPr>
        <w:t> </w:t>
      </w:r>
      <w:r>
        <w:rPr>
          <w:rFonts w:ascii="Bookman Old Style" w:hAnsi="Bookman Old Style"/>
          <w:b/>
          <w:color w:val="231F20"/>
          <w:w w:val="80"/>
        </w:rPr>
        <w:t>food,</w:t>
      </w:r>
      <w:r>
        <w:rPr>
          <w:rFonts w:ascii="Bookman Old Style" w:hAnsi="Bookman Old Style"/>
          <w:b/>
          <w:color w:val="231F20"/>
          <w:spacing w:val="-15"/>
          <w:w w:val="80"/>
        </w:rPr>
        <w:t> </w:t>
      </w:r>
      <w:r>
        <w:rPr>
          <w:rFonts w:ascii="Bookman Old Style" w:hAnsi="Bookman Old Style"/>
          <w:b/>
          <w:color w:val="231F20"/>
          <w:w w:val="80"/>
        </w:rPr>
        <w:t>collect</w:t>
      </w:r>
      <w:r>
        <w:rPr>
          <w:rFonts w:ascii="Bookman Old Style" w:hAnsi="Bookman Old Style"/>
          <w:b/>
          <w:color w:val="231F20"/>
          <w:spacing w:val="-15"/>
          <w:w w:val="80"/>
        </w:rPr>
        <w:t> </w:t>
      </w:r>
      <w:r>
        <w:rPr>
          <w:rFonts w:ascii="Bookman Old Style" w:hAnsi="Bookman Old Style"/>
          <w:b/>
          <w:color w:val="231F20"/>
          <w:w w:val="80"/>
        </w:rPr>
        <w:t>and</w:t>
      </w:r>
      <w:r>
        <w:rPr>
          <w:rFonts w:ascii="Bookman Old Style" w:hAnsi="Bookman Old Style"/>
          <w:b/>
          <w:color w:val="231F20"/>
          <w:spacing w:val="-15"/>
          <w:w w:val="80"/>
        </w:rPr>
        <w:t> </w:t>
      </w:r>
      <w:r>
        <w:rPr>
          <w:rFonts w:ascii="Bookman Old Style" w:hAnsi="Bookman Old Style"/>
          <w:b/>
          <w:color w:val="231F20"/>
          <w:w w:val="80"/>
        </w:rPr>
        <w:t>store—but</w:t>
      </w:r>
      <w:r>
        <w:rPr>
          <w:rFonts w:ascii="Bookman Old Style" w:hAnsi="Bookman Old Style"/>
          <w:b/>
          <w:color w:val="231F20"/>
          <w:spacing w:val="-15"/>
          <w:w w:val="80"/>
        </w:rPr>
        <w:t> </w:t>
      </w:r>
      <w:r>
        <w:rPr>
          <w:rFonts w:ascii="Bookman Old Style" w:hAnsi="Bookman Old Style"/>
          <w:b/>
          <w:color w:val="231F20"/>
          <w:w w:val="80"/>
        </w:rPr>
        <w:t>do</w:t>
      </w:r>
      <w:r>
        <w:rPr>
          <w:rFonts w:ascii="Bookman Old Style" w:hAnsi="Bookman Old Style"/>
          <w:b/>
          <w:color w:val="231F20"/>
          <w:spacing w:val="-16"/>
          <w:w w:val="80"/>
        </w:rPr>
        <w:t> </w:t>
      </w:r>
      <w:r>
        <w:rPr>
          <w:rFonts w:ascii="Bookman Old Style" w:hAnsi="Bookman Old Style"/>
          <w:b/>
          <w:color w:val="231F20"/>
          <w:w w:val="80"/>
        </w:rPr>
        <w:t>not </w:t>
      </w:r>
      <w:r>
        <w:rPr>
          <w:rFonts w:ascii="Bookman Old Style" w:hAnsi="Bookman Old Style"/>
          <w:b/>
          <w:color w:val="231F20"/>
          <w:w w:val="85"/>
        </w:rPr>
        <w:t>test—food</w:t>
      </w:r>
      <w:r>
        <w:rPr>
          <w:rFonts w:ascii="Bookman Old Style" w:hAnsi="Bookman Old Style"/>
          <w:b/>
          <w:color w:val="231F20"/>
          <w:spacing w:val="-35"/>
          <w:w w:val="85"/>
        </w:rPr>
        <w:t> </w:t>
      </w:r>
      <w:r>
        <w:rPr>
          <w:rFonts w:ascii="Bookman Old Style" w:hAnsi="Bookman Old Style"/>
          <w:b/>
          <w:color w:val="231F20"/>
          <w:w w:val="85"/>
        </w:rPr>
        <w:t>from</w:t>
      </w:r>
      <w:r>
        <w:rPr>
          <w:rFonts w:ascii="Bookman Old Style" w:hAnsi="Bookman Old Style"/>
          <w:b/>
          <w:color w:val="231F20"/>
          <w:spacing w:val="-35"/>
          <w:w w:val="85"/>
        </w:rPr>
        <w:t> </w:t>
      </w:r>
      <w:r>
        <w:rPr>
          <w:rFonts w:ascii="Bookman Old Style" w:hAnsi="Bookman Old Style"/>
          <w:b/>
          <w:color w:val="231F20"/>
          <w:w w:val="85"/>
        </w:rPr>
        <w:t>the</w:t>
      </w:r>
      <w:r>
        <w:rPr>
          <w:rFonts w:ascii="Bookman Old Style" w:hAnsi="Bookman Old Style"/>
          <w:b/>
          <w:color w:val="231F20"/>
          <w:spacing w:val="-35"/>
          <w:w w:val="85"/>
        </w:rPr>
        <w:t> </w:t>
      </w:r>
      <w:r>
        <w:rPr>
          <w:rFonts w:ascii="Bookman Old Style" w:hAnsi="Bookman Old Style"/>
          <w:b/>
          <w:color w:val="231F20"/>
          <w:w w:val="85"/>
        </w:rPr>
        <w:t>implicated</w:t>
      </w:r>
      <w:r>
        <w:rPr>
          <w:rFonts w:ascii="Bookman Old Style" w:hAnsi="Bookman Old Style"/>
          <w:b/>
          <w:color w:val="231F20"/>
          <w:spacing w:val="-35"/>
          <w:w w:val="85"/>
        </w:rPr>
        <w:t> </w:t>
      </w:r>
      <w:r>
        <w:rPr>
          <w:rFonts w:ascii="Bookman Old Style" w:hAnsi="Bookman Old Style"/>
          <w:b/>
          <w:color w:val="231F20"/>
          <w:w w:val="85"/>
        </w:rPr>
        <w:t>event.</w:t>
      </w:r>
      <w:r>
        <w:rPr>
          <w:rFonts w:ascii="Bookman Old Style" w:hAnsi="Bookman Old Style"/>
          <w:b/>
          <w:color w:val="231F20"/>
          <w:spacing w:val="-35"/>
          <w:w w:val="85"/>
        </w:rPr>
        <w:t> </w:t>
      </w:r>
      <w:r>
        <w:rPr>
          <w:rFonts w:ascii="Bookman Old Style" w:hAnsi="Bookman Old Style"/>
          <w:b/>
          <w:color w:val="231F20"/>
          <w:w w:val="85"/>
        </w:rPr>
        <w:t>All sampling</w:t>
      </w:r>
      <w:r>
        <w:rPr>
          <w:rFonts w:ascii="Bookman Old Style" w:hAnsi="Bookman Old Style"/>
          <w:b/>
          <w:color w:val="231F20"/>
          <w:spacing w:val="-40"/>
          <w:w w:val="85"/>
        </w:rPr>
        <w:t> </w:t>
      </w:r>
      <w:r>
        <w:rPr>
          <w:rFonts w:ascii="Bookman Old Style" w:hAnsi="Bookman Old Style"/>
          <w:b/>
          <w:color w:val="231F20"/>
          <w:w w:val="85"/>
        </w:rPr>
        <w:t>must</w:t>
      </w:r>
      <w:r>
        <w:rPr>
          <w:rFonts w:ascii="Bookman Old Style" w:hAnsi="Bookman Old Style"/>
          <w:b/>
          <w:color w:val="231F20"/>
          <w:spacing w:val="-39"/>
          <w:w w:val="85"/>
        </w:rPr>
        <w:t> </w:t>
      </w:r>
      <w:r>
        <w:rPr>
          <w:rFonts w:ascii="Bookman Old Style" w:hAnsi="Bookman Old Style"/>
          <w:b/>
          <w:color w:val="231F20"/>
          <w:w w:val="85"/>
        </w:rPr>
        <w:t>be</w:t>
      </w:r>
      <w:r>
        <w:rPr>
          <w:rFonts w:ascii="Bookman Old Style" w:hAnsi="Bookman Old Style"/>
          <w:b/>
          <w:color w:val="231F20"/>
          <w:spacing w:val="-39"/>
          <w:w w:val="85"/>
        </w:rPr>
        <w:t> </w:t>
      </w:r>
      <w:r>
        <w:rPr>
          <w:rFonts w:ascii="Bookman Old Style" w:hAnsi="Bookman Old Style"/>
          <w:b/>
          <w:color w:val="231F20"/>
          <w:w w:val="85"/>
        </w:rPr>
        <w:t>conducted</w:t>
      </w:r>
      <w:r>
        <w:rPr>
          <w:rFonts w:ascii="Bookman Old Style" w:hAnsi="Bookman Old Style"/>
          <w:b/>
          <w:color w:val="231F20"/>
          <w:spacing w:val="-39"/>
          <w:w w:val="85"/>
        </w:rPr>
        <w:t> </w:t>
      </w:r>
      <w:r>
        <w:rPr>
          <w:rFonts w:ascii="Bookman Old Style" w:hAnsi="Bookman Old Style"/>
          <w:b/>
          <w:color w:val="231F20"/>
          <w:w w:val="85"/>
        </w:rPr>
        <w:t>using</w:t>
      </w:r>
      <w:r>
        <w:rPr>
          <w:rFonts w:ascii="Bookman Old Style" w:hAnsi="Bookman Old Style"/>
          <w:b/>
          <w:color w:val="231F20"/>
          <w:spacing w:val="-39"/>
          <w:w w:val="85"/>
        </w:rPr>
        <w:t> </w:t>
      </w:r>
      <w:r>
        <w:rPr>
          <w:rFonts w:ascii="Bookman Old Style" w:hAnsi="Bookman Old Style"/>
          <w:b/>
          <w:color w:val="231F20"/>
          <w:w w:val="85"/>
        </w:rPr>
        <w:t>legally </w:t>
      </w:r>
      <w:r>
        <w:rPr>
          <w:rFonts w:ascii="Bookman Old Style" w:hAnsi="Bookman Old Style"/>
          <w:b/>
          <w:color w:val="231F20"/>
          <w:w w:val="90"/>
        </w:rPr>
        <w:t>defensible procedures </w:t>
      </w:r>
      <w:r>
        <w:rPr>
          <w:rFonts w:ascii="Bookman Old Style" w:hAnsi="Bookman Old Style"/>
          <w:b/>
          <w:color w:val="231F20"/>
          <w:spacing w:val="-3"/>
          <w:w w:val="90"/>
        </w:rPr>
        <w:t>(e.g., </w:t>
      </w:r>
      <w:r>
        <w:rPr>
          <w:rFonts w:ascii="Bookman Old Style" w:hAnsi="Bookman Old Style"/>
          <w:b/>
          <w:color w:val="231F20"/>
          <w:w w:val="90"/>
        </w:rPr>
        <w:t>chain-of- </w:t>
      </w:r>
      <w:r>
        <w:rPr>
          <w:rFonts w:ascii="Bookman Old Style" w:hAnsi="Bookman Old Style"/>
          <w:b/>
          <w:color w:val="231F20"/>
          <w:w w:val="80"/>
        </w:rPr>
        <w:t>custody)</w:t>
      </w:r>
      <w:r>
        <w:rPr>
          <w:rFonts w:ascii="Bookman Old Style" w:hAnsi="Bookman Old Style"/>
          <w:b/>
          <w:color w:val="231F20"/>
          <w:spacing w:val="-7"/>
          <w:w w:val="80"/>
        </w:rPr>
        <w:t> </w:t>
      </w:r>
      <w:r>
        <w:rPr>
          <w:rFonts w:ascii="Bookman Old Style" w:hAnsi="Bookman Old Style"/>
          <w:b/>
          <w:color w:val="231F20"/>
          <w:w w:val="80"/>
        </w:rPr>
        <w:t>and</w:t>
      </w:r>
      <w:r>
        <w:rPr>
          <w:rFonts w:ascii="Bookman Old Style" w:hAnsi="Bookman Old Style"/>
          <w:b/>
          <w:color w:val="231F20"/>
          <w:spacing w:val="-7"/>
          <w:w w:val="80"/>
        </w:rPr>
        <w:t> </w:t>
      </w:r>
      <w:r>
        <w:rPr>
          <w:rFonts w:ascii="Bookman Old Style" w:hAnsi="Bookman Old Style"/>
          <w:b/>
          <w:color w:val="231F20"/>
          <w:w w:val="80"/>
        </w:rPr>
        <w:t>using</w:t>
      </w:r>
      <w:r>
        <w:rPr>
          <w:rFonts w:ascii="Bookman Old Style" w:hAnsi="Bookman Old Style"/>
          <w:b/>
          <w:color w:val="231F20"/>
          <w:spacing w:val="-7"/>
          <w:w w:val="80"/>
        </w:rPr>
        <w:t> </w:t>
      </w:r>
      <w:r>
        <w:rPr>
          <w:rFonts w:ascii="Bookman Old Style" w:hAnsi="Bookman Old Style"/>
          <w:b/>
          <w:color w:val="231F20"/>
          <w:w w:val="80"/>
        </w:rPr>
        <w:t>protocols</w:t>
      </w:r>
      <w:r>
        <w:rPr>
          <w:rFonts w:ascii="Bookman Old Style" w:hAnsi="Bookman Old Style"/>
          <w:b/>
          <w:color w:val="231F20"/>
          <w:spacing w:val="-8"/>
          <w:w w:val="80"/>
        </w:rPr>
        <w:t> </w:t>
      </w:r>
      <w:r>
        <w:rPr>
          <w:rFonts w:ascii="Bookman Old Style" w:hAnsi="Bookman Old Style"/>
          <w:b/>
          <w:color w:val="231F20"/>
          <w:w w:val="80"/>
        </w:rPr>
        <w:t>as</w:t>
      </w:r>
      <w:r>
        <w:rPr>
          <w:rFonts w:ascii="Bookman Old Style" w:hAnsi="Bookman Old Style"/>
          <w:b/>
          <w:color w:val="231F20"/>
          <w:spacing w:val="-7"/>
          <w:w w:val="80"/>
        </w:rPr>
        <w:t> </w:t>
      </w:r>
      <w:r>
        <w:rPr>
          <w:rFonts w:ascii="Bookman Old Style" w:hAnsi="Bookman Old Style"/>
          <w:b/>
          <w:color w:val="231F20"/>
          <w:w w:val="80"/>
        </w:rPr>
        <w:t>guided</w:t>
      </w:r>
      <w:r>
        <w:rPr>
          <w:rFonts w:ascii="Bookman Old Style" w:hAnsi="Bookman Old Style"/>
          <w:b/>
          <w:color w:val="231F20"/>
          <w:spacing w:val="-7"/>
          <w:w w:val="80"/>
        </w:rPr>
        <w:t> </w:t>
      </w:r>
      <w:r>
        <w:rPr>
          <w:rFonts w:ascii="Bookman Old Style" w:hAnsi="Bookman Old Style"/>
          <w:b/>
          <w:color w:val="231F20"/>
          <w:w w:val="80"/>
        </w:rPr>
        <w:t>by</w:t>
      </w:r>
    </w:p>
    <w:p>
      <w:pPr>
        <w:pStyle w:val="BodyText"/>
        <w:spacing w:line="266" w:lineRule="auto" w:before="92"/>
        <w:ind w:left="319" w:right="780"/>
      </w:pPr>
      <w:r>
        <w:rPr/>
        <w:br w:type="column"/>
      </w:r>
      <w:r>
        <w:rPr>
          <w:rFonts w:ascii="Bookman Old Style"/>
          <w:b/>
          <w:color w:val="231F20"/>
          <w:w w:val="85"/>
        </w:rPr>
        <w:t>the</w:t>
      </w:r>
      <w:r>
        <w:rPr>
          <w:rFonts w:ascii="Bookman Old Style"/>
          <w:b/>
          <w:color w:val="231F20"/>
          <w:spacing w:val="-29"/>
          <w:w w:val="85"/>
        </w:rPr>
        <w:t> </w:t>
      </w:r>
      <w:r>
        <w:rPr>
          <w:rFonts w:ascii="Bookman Old Style"/>
          <w:b/>
          <w:color w:val="231F20"/>
          <w:w w:val="85"/>
        </w:rPr>
        <w:t>laboratory</w:t>
      </w:r>
      <w:r>
        <w:rPr>
          <w:rFonts w:ascii="Bookman Old Style"/>
          <w:b/>
          <w:color w:val="231F20"/>
          <w:spacing w:val="-29"/>
          <w:w w:val="85"/>
        </w:rPr>
        <w:t> </w:t>
      </w:r>
      <w:r>
        <w:rPr>
          <w:rFonts w:ascii="Bookman Old Style"/>
          <w:b/>
          <w:color w:val="231F20"/>
          <w:w w:val="85"/>
        </w:rPr>
        <w:t>that</w:t>
      </w:r>
      <w:r>
        <w:rPr>
          <w:rFonts w:ascii="Bookman Old Style"/>
          <w:b/>
          <w:color w:val="231F20"/>
          <w:spacing w:val="-29"/>
          <w:w w:val="85"/>
        </w:rPr>
        <w:t> </w:t>
      </w:r>
      <w:r>
        <w:rPr>
          <w:rFonts w:ascii="Bookman Old Style"/>
          <w:b/>
          <w:color w:val="231F20"/>
          <w:w w:val="85"/>
        </w:rPr>
        <w:t>will</w:t>
      </w:r>
      <w:r>
        <w:rPr>
          <w:rFonts w:ascii="Bookman Old Style"/>
          <w:b/>
          <w:color w:val="231F20"/>
          <w:spacing w:val="-29"/>
          <w:w w:val="85"/>
        </w:rPr>
        <w:t> </w:t>
      </w:r>
      <w:r>
        <w:rPr>
          <w:rFonts w:ascii="Bookman Old Style"/>
          <w:b/>
          <w:color w:val="231F20"/>
          <w:w w:val="85"/>
        </w:rPr>
        <w:t>do</w:t>
      </w:r>
      <w:r>
        <w:rPr>
          <w:rFonts w:ascii="Bookman Old Style"/>
          <w:b/>
          <w:color w:val="231F20"/>
          <w:spacing w:val="-29"/>
          <w:w w:val="85"/>
        </w:rPr>
        <w:t> </w:t>
      </w:r>
      <w:r>
        <w:rPr>
          <w:rFonts w:ascii="Bookman Old Style"/>
          <w:b/>
          <w:color w:val="231F20"/>
          <w:w w:val="85"/>
        </w:rPr>
        <w:t>the</w:t>
      </w:r>
      <w:r>
        <w:rPr>
          <w:rFonts w:ascii="Bookman Old Style"/>
          <w:b/>
          <w:color w:val="231F20"/>
          <w:spacing w:val="-29"/>
          <w:w w:val="85"/>
        </w:rPr>
        <w:t> </w:t>
      </w:r>
      <w:r>
        <w:rPr>
          <w:rFonts w:ascii="Bookman Old Style"/>
          <w:b/>
          <w:color w:val="231F20"/>
          <w:w w:val="85"/>
        </w:rPr>
        <w:t>analysis.</w:t>
      </w:r>
      <w:r>
        <w:rPr>
          <w:rFonts w:ascii="Bookman Old Style"/>
          <w:b/>
          <w:color w:val="231F20"/>
          <w:spacing w:val="-32"/>
          <w:w w:val="85"/>
        </w:rPr>
        <w:t> </w:t>
      </w:r>
      <w:r>
        <w:rPr>
          <w:color w:val="231F20"/>
          <w:w w:val="85"/>
        </w:rPr>
        <w:t>Store </w:t>
      </w:r>
      <w:r>
        <w:rPr>
          <w:color w:val="231F20"/>
        </w:rPr>
        <w:t>the food </w:t>
      </w:r>
      <w:r>
        <w:rPr>
          <w:color w:val="231F20"/>
          <w:spacing w:val="-3"/>
        </w:rPr>
        <w:t>appropriately, </w:t>
      </w:r>
      <w:r>
        <w:rPr>
          <w:color w:val="231F20"/>
        </w:rPr>
        <w:t>but generally test the food only after epidemiologic implication or identification of specific food-safety problems through an environmental health assessment. </w:t>
      </w:r>
      <w:r>
        <w:rPr>
          <w:color w:val="231F20"/>
          <w:spacing w:val="-5"/>
        </w:rPr>
        <w:t>Food </w:t>
      </w:r>
      <w:r>
        <w:rPr>
          <w:color w:val="231F20"/>
        </w:rPr>
        <w:t>samples that are frozen when collected should remain frozen until examined. Samples should be analyzed within 48 hours after receipt. If sample analysis is not</w:t>
      </w:r>
      <w:r>
        <w:rPr>
          <w:color w:val="231F20"/>
          <w:spacing w:val="14"/>
        </w:rPr>
        <w:t> </w:t>
      </w:r>
      <w:r>
        <w:rPr>
          <w:color w:val="231F20"/>
        </w:rPr>
        <w:t>possible</w:t>
      </w:r>
    </w:p>
    <w:p>
      <w:pPr>
        <w:pStyle w:val="BodyText"/>
        <w:spacing w:line="266" w:lineRule="auto"/>
        <w:ind w:left="319" w:right="761"/>
      </w:pPr>
      <w:r>
        <w:rPr>
          <w:color w:val="231F20"/>
        </w:rPr>
        <w:t>within 48 hours, then perishable foods should be frozen (–40</w:t>
      </w:r>
      <w:r>
        <w:rPr>
          <w:color w:val="231F20"/>
          <w:position w:val="7"/>
          <w:sz w:val="11"/>
        </w:rPr>
        <w:t>o</w:t>
      </w:r>
      <w:r>
        <w:rPr>
          <w:color w:val="231F20"/>
        </w:rPr>
        <w:t>C to –80</w:t>
      </w:r>
      <w:r>
        <w:rPr>
          <w:color w:val="231F20"/>
          <w:position w:val="7"/>
          <w:sz w:val="11"/>
        </w:rPr>
        <w:t>o</w:t>
      </w:r>
      <w:r>
        <w:rPr>
          <w:color w:val="231F20"/>
        </w:rPr>
        <w:t>C). Storage under refrigeration can be longer than 48 hours, if </w:t>
      </w:r>
      <w:r>
        <w:rPr>
          <w:color w:val="231F20"/>
          <w:spacing w:val="-4"/>
        </w:rPr>
        <w:t>necessary, </w:t>
      </w:r>
      <w:r>
        <w:rPr>
          <w:color w:val="231F20"/>
        </w:rPr>
        <w:t>but the length of the storage period is food dependent. Because certain bacteria </w:t>
      </w:r>
      <w:r>
        <w:rPr>
          <w:color w:val="231F20"/>
          <w:spacing w:val="-4"/>
        </w:rPr>
        <w:t>(e.g., </w:t>
      </w:r>
      <w:r>
        <w:rPr>
          <w:i/>
          <w:color w:val="231F20"/>
        </w:rPr>
        <w:t>Campylobacter jejuni</w:t>
      </w:r>
      <w:r>
        <w:rPr>
          <w:color w:val="231F20"/>
        </w:rPr>
        <w:t>) die when frozen, affecting laboratory results, immediate examination of samples without freezing is encouraged. </w:t>
      </w:r>
      <w:r>
        <w:rPr>
          <w:color w:val="231F20"/>
          <w:spacing w:val="-5"/>
        </w:rPr>
        <w:t>Food </w:t>
      </w:r>
      <w:r>
        <w:rPr>
          <w:color w:val="231F20"/>
        </w:rPr>
        <w:t>samples can be collected as part of  the process of removing suspected food from</w:t>
      </w:r>
      <w:r>
        <w:rPr>
          <w:color w:val="231F20"/>
          <w:spacing w:val="-38"/>
        </w:rPr>
        <w:t> </w:t>
      </w:r>
      <w:r>
        <w:rPr>
          <w:color w:val="231F20"/>
        </w:rPr>
        <w:t>service.</w:t>
      </w:r>
    </w:p>
    <w:p>
      <w:pPr>
        <w:pStyle w:val="BodyText"/>
        <w:spacing w:line="259" w:lineRule="auto" w:before="164"/>
        <w:ind w:left="319" w:right="749"/>
      </w:pPr>
      <w:r>
        <w:rPr>
          <w:rFonts w:ascii="Bookman Old Style"/>
          <w:b/>
          <w:color w:val="231F20"/>
        </w:rPr>
        <w:t>Note: </w:t>
      </w:r>
      <w:r>
        <w:rPr>
          <w:color w:val="231F20"/>
          <w:spacing w:val="-5"/>
        </w:rPr>
        <w:t>Food </w:t>
      </w:r>
      <w:r>
        <w:rPr>
          <w:color w:val="231F20"/>
        </w:rPr>
        <w:t>testing has inherent limitations because most testing is agent-specific, and demonstration of an agent in food, especially viruses, is not always possible or necessary before implementation of public health action. </w:t>
      </w:r>
      <w:r>
        <w:rPr>
          <w:rFonts w:ascii="Bookman Old Style"/>
          <w:b/>
          <w:color w:val="231F20"/>
          <w:w w:val="90"/>
        </w:rPr>
        <w:t>Detection</w:t>
      </w:r>
      <w:r>
        <w:rPr>
          <w:rFonts w:ascii="Bookman Old Style"/>
          <w:b/>
          <w:color w:val="231F20"/>
          <w:spacing w:val="-41"/>
          <w:w w:val="90"/>
        </w:rPr>
        <w:t> </w:t>
      </w:r>
      <w:r>
        <w:rPr>
          <w:rFonts w:ascii="Bookman Old Style"/>
          <w:b/>
          <w:color w:val="231F20"/>
          <w:w w:val="90"/>
        </w:rPr>
        <w:t>of</w:t>
      </w:r>
      <w:r>
        <w:rPr>
          <w:rFonts w:ascii="Bookman Old Style"/>
          <w:b/>
          <w:color w:val="231F20"/>
          <w:spacing w:val="-29"/>
          <w:w w:val="90"/>
        </w:rPr>
        <w:t> </w:t>
      </w:r>
      <w:r>
        <w:rPr>
          <w:rFonts w:ascii="Bookman Old Style"/>
          <w:b/>
          <w:color w:val="231F20"/>
          <w:w w:val="90"/>
        </w:rPr>
        <w:t>microbes</w:t>
      </w:r>
      <w:r>
        <w:rPr>
          <w:rFonts w:ascii="Bookman Old Style"/>
          <w:b/>
          <w:color w:val="231F20"/>
          <w:spacing w:val="-41"/>
          <w:w w:val="90"/>
        </w:rPr>
        <w:t> </w:t>
      </w:r>
      <w:r>
        <w:rPr>
          <w:rFonts w:ascii="Bookman Old Style"/>
          <w:b/>
          <w:color w:val="231F20"/>
          <w:w w:val="90"/>
        </w:rPr>
        <w:t>or</w:t>
      </w:r>
      <w:r>
        <w:rPr>
          <w:rFonts w:ascii="Bookman Old Style"/>
          <w:b/>
          <w:color w:val="231F20"/>
          <w:spacing w:val="-41"/>
          <w:w w:val="90"/>
        </w:rPr>
        <w:t> </w:t>
      </w:r>
      <w:r>
        <w:rPr>
          <w:rFonts w:ascii="Bookman Old Style"/>
          <w:b/>
          <w:color w:val="231F20"/>
          <w:w w:val="90"/>
        </w:rPr>
        <w:t>toxins</w:t>
      </w:r>
      <w:r>
        <w:rPr>
          <w:rFonts w:ascii="Bookman Old Style"/>
          <w:b/>
          <w:color w:val="231F20"/>
          <w:spacing w:val="-41"/>
          <w:w w:val="90"/>
        </w:rPr>
        <w:t> </w:t>
      </w:r>
      <w:r>
        <w:rPr>
          <w:rFonts w:ascii="Bookman Old Style"/>
          <w:b/>
          <w:color w:val="231F20"/>
          <w:w w:val="90"/>
        </w:rPr>
        <w:t>in</w:t>
      </w:r>
      <w:r>
        <w:rPr>
          <w:rFonts w:ascii="Bookman Old Style"/>
          <w:b/>
          <w:color w:val="231F20"/>
          <w:spacing w:val="-41"/>
          <w:w w:val="90"/>
        </w:rPr>
        <w:t> </w:t>
      </w:r>
      <w:r>
        <w:rPr>
          <w:rFonts w:ascii="Bookman Old Style"/>
          <w:b/>
          <w:color w:val="231F20"/>
          <w:w w:val="90"/>
        </w:rPr>
        <w:t>food</w:t>
      </w:r>
      <w:r>
        <w:rPr>
          <w:rFonts w:ascii="Bookman Old Style"/>
          <w:b/>
          <w:color w:val="231F20"/>
          <w:spacing w:val="-41"/>
          <w:w w:val="90"/>
        </w:rPr>
        <w:t> </w:t>
      </w:r>
      <w:r>
        <w:rPr>
          <w:rFonts w:ascii="Bookman Old Style"/>
          <w:b/>
          <w:color w:val="231F20"/>
          <w:w w:val="90"/>
        </w:rPr>
        <w:t>is most important for outbreaks involving preformed</w:t>
      </w:r>
      <w:r>
        <w:rPr>
          <w:rFonts w:ascii="Bookman Old Style"/>
          <w:b/>
          <w:color w:val="231F20"/>
          <w:spacing w:val="-45"/>
          <w:w w:val="90"/>
        </w:rPr>
        <w:t> </w:t>
      </w:r>
      <w:r>
        <w:rPr>
          <w:rFonts w:ascii="Bookman Old Style"/>
          <w:b/>
          <w:color w:val="231F20"/>
          <w:w w:val="90"/>
        </w:rPr>
        <w:t>toxins</w:t>
      </w:r>
      <w:r>
        <w:rPr>
          <w:rFonts w:ascii="Bookman Old Style"/>
          <w:b/>
          <w:color w:val="231F20"/>
          <w:spacing w:val="-45"/>
          <w:w w:val="90"/>
        </w:rPr>
        <w:t> </w:t>
      </w:r>
      <w:r>
        <w:rPr>
          <w:rFonts w:ascii="Bookman Old Style"/>
          <w:b/>
          <w:color w:val="231F20"/>
          <w:w w:val="90"/>
        </w:rPr>
        <w:t>such</w:t>
      </w:r>
      <w:r>
        <w:rPr>
          <w:rFonts w:ascii="Bookman Old Style"/>
          <w:b/>
          <w:color w:val="231F20"/>
          <w:spacing w:val="-45"/>
          <w:w w:val="90"/>
        </w:rPr>
        <w:t> </w:t>
      </w:r>
      <w:r>
        <w:rPr>
          <w:rFonts w:ascii="Bookman Old Style"/>
          <w:b/>
          <w:color w:val="231F20"/>
          <w:w w:val="90"/>
        </w:rPr>
        <w:t>as</w:t>
      </w:r>
      <w:r>
        <w:rPr>
          <w:rFonts w:ascii="Bookman Old Style"/>
          <w:b/>
          <w:color w:val="231F20"/>
          <w:spacing w:val="-45"/>
          <w:w w:val="90"/>
        </w:rPr>
        <w:t> </w:t>
      </w:r>
      <w:r>
        <w:rPr>
          <w:rFonts w:ascii="Bookman Old Style"/>
          <w:b/>
          <w:color w:val="231F20"/>
          <w:w w:val="90"/>
        </w:rPr>
        <w:t>enterotoxins</w:t>
      </w:r>
      <w:r>
        <w:rPr>
          <w:rFonts w:ascii="Bookman Old Style"/>
          <w:b/>
          <w:color w:val="231F20"/>
          <w:spacing w:val="-45"/>
          <w:w w:val="90"/>
        </w:rPr>
        <w:t> </w:t>
      </w:r>
      <w:r>
        <w:rPr>
          <w:rFonts w:ascii="Bookman Old Style"/>
          <w:b/>
          <w:color w:val="231F20"/>
          <w:w w:val="90"/>
        </w:rPr>
        <w:t>of </w:t>
      </w:r>
      <w:r>
        <w:rPr>
          <w:rFonts w:ascii="Times New Roman"/>
          <w:b/>
          <w:i/>
          <w:color w:val="231F20"/>
        </w:rPr>
        <w:t>Staphylococcus aureus </w:t>
      </w:r>
      <w:r>
        <w:rPr>
          <w:rFonts w:ascii="Bookman Old Style"/>
          <w:b/>
          <w:color w:val="231F20"/>
        </w:rPr>
        <w:t>or </w:t>
      </w:r>
      <w:r>
        <w:rPr>
          <w:rFonts w:ascii="Times New Roman"/>
          <w:b/>
          <w:i/>
          <w:color w:val="231F20"/>
        </w:rPr>
        <w:t>Bacillus cereus</w:t>
      </w:r>
      <w:r>
        <w:rPr>
          <w:rFonts w:ascii="Bookman Old Style"/>
          <w:b/>
          <w:color w:val="231F20"/>
        </w:rPr>
        <w:t>, </w:t>
      </w:r>
      <w:r>
        <w:rPr>
          <w:rFonts w:ascii="Bookman Old Style"/>
          <w:b/>
          <w:color w:val="231F20"/>
          <w:w w:val="85"/>
        </w:rPr>
        <w:t>where</w:t>
      </w:r>
      <w:r>
        <w:rPr>
          <w:rFonts w:ascii="Bookman Old Style"/>
          <w:b/>
          <w:color w:val="231F20"/>
          <w:spacing w:val="-36"/>
          <w:w w:val="85"/>
        </w:rPr>
        <w:t> </w:t>
      </w:r>
      <w:r>
        <w:rPr>
          <w:rFonts w:ascii="Bookman Old Style"/>
          <w:b/>
          <w:color w:val="231F20"/>
          <w:w w:val="85"/>
        </w:rPr>
        <w:t>detection</w:t>
      </w:r>
      <w:r>
        <w:rPr>
          <w:rFonts w:ascii="Bookman Old Style"/>
          <w:b/>
          <w:color w:val="231F20"/>
          <w:spacing w:val="-36"/>
          <w:w w:val="85"/>
        </w:rPr>
        <w:t> </w:t>
      </w:r>
      <w:r>
        <w:rPr>
          <w:rFonts w:ascii="Bookman Old Style"/>
          <w:b/>
          <w:color w:val="231F20"/>
          <w:w w:val="85"/>
        </w:rPr>
        <w:t>of</w:t>
      </w:r>
      <w:r>
        <w:rPr>
          <w:rFonts w:ascii="Bookman Old Style"/>
          <w:b/>
          <w:color w:val="231F20"/>
          <w:spacing w:val="-23"/>
          <w:w w:val="85"/>
        </w:rPr>
        <w:t> </w:t>
      </w:r>
      <w:r>
        <w:rPr>
          <w:rFonts w:ascii="Bookman Old Style"/>
          <w:b/>
          <w:color w:val="231F20"/>
          <w:w w:val="85"/>
        </w:rPr>
        <w:t>toxin</w:t>
      </w:r>
      <w:r>
        <w:rPr>
          <w:rFonts w:ascii="Bookman Old Style"/>
          <w:b/>
          <w:color w:val="231F20"/>
          <w:spacing w:val="-36"/>
          <w:w w:val="85"/>
        </w:rPr>
        <w:t> </w:t>
      </w:r>
      <w:r>
        <w:rPr>
          <w:rFonts w:ascii="Bookman Old Style"/>
          <w:b/>
          <w:color w:val="231F20"/>
          <w:w w:val="85"/>
        </w:rPr>
        <w:t>or</w:t>
      </w:r>
      <w:r>
        <w:rPr>
          <w:rFonts w:ascii="Bookman Old Style"/>
          <w:b/>
          <w:color w:val="231F20"/>
          <w:spacing w:val="-36"/>
          <w:w w:val="85"/>
        </w:rPr>
        <w:t> </w:t>
      </w:r>
      <w:r>
        <w:rPr>
          <w:rFonts w:ascii="Bookman Old Style"/>
          <w:b/>
          <w:color w:val="231F20"/>
          <w:w w:val="85"/>
        </w:rPr>
        <w:t>toxin-producing organisms</w:t>
      </w:r>
      <w:r>
        <w:rPr>
          <w:rFonts w:ascii="Bookman Old Style"/>
          <w:b/>
          <w:color w:val="231F20"/>
          <w:spacing w:val="-27"/>
          <w:w w:val="85"/>
        </w:rPr>
        <w:t> </w:t>
      </w:r>
      <w:r>
        <w:rPr>
          <w:rFonts w:ascii="Bookman Old Style"/>
          <w:b/>
          <w:color w:val="231F20"/>
          <w:w w:val="85"/>
        </w:rPr>
        <w:t>in</w:t>
      </w:r>
      <w:r>
        <w:rPr>
          <w:rFonts w:ascii="Bookman Old Style"/>
          <w:b/>
          <w:color w:val="231F20"/>
          <w:spacing w:val="-27"/>
          <w:w w:val="85"/>
        </w:rPr>
        <w:t> </w:t>
      </w:r>
      <w:r>
        <w:rPr>
          <w:rFonts w:ascii="Bookman Old Style"/>
          <w:b/>
          <w:color w:val="231F20"/>
          <w:w w:val="85"/>
        </w:rPr>
        <w:t>human</w:t>
      </w:r>
      <w:r>
        <w:rPr>
          <w:rFonts w:ascii="Bookman Old Style"/>
          <w:b/>
          <w:color w:val="231F20"/>
          <w:spacing w:val="-27"/>
          <w:w w:val="85"/>
        </w:rPr>
        <w:t> </w:t>
      </w:r>
      <w:r>
        <w:rPr>
          <w:rFonts w:ascii="Bookman Old Style"/>
          <w:b/>
          <w:color w:val="231F20"/>
          <w:w w:val="85"/>
        </w:rPr>
        <w:t>specimens</w:t>
      </w:r>
      <w:r>
        <w:rPr>
          <w:rFonts w:ascii="Bookman Old Style"/>
          <w:b/>
          <w:color w:val="231F20"/>
          <w:spacing w:val="-27"/>
          <w:w w:val="85"/>
        </w:rPr>
        <w:t> </w:t>
      </w:r>
      <w:r>
        <w:rPr>
          <w:rFonts w:ascii="Bookman Old Style"/>
          <w:b/>
          <w:color w:val="231F20"/>
          <w:w w:val="85"/>
        </w:rPr>
        <w:t>frequently </w:t>
      </w:r>
      <w:r>
        <w:rPr>
          <w:rFonts w:ascii="Bookman Old Style"/>
          <w:b/>
          <w:color w:val="231F20"/>
        </w:rPr>
        <w:t>is</w:t>
      </w:r>
      <w:r>
        <w:rPr>
          <w:rFonts w:ascii="Bookman Old Style"/>
          <w:b/>
          <w:color w:val="231F20"/>
          <w:spacing w:val="-42"/>
        </w:rPr>
        <w:t> </w:t>
      </w:r>
      <w:r>
        <w:rPr>
          <w:rFonts w:ascii="Bookman Old Style"/>
          <w:b/>
          <w:color w:val="231F20"/>
        </w:rPr>
        <w:t>problematic.</w:t>
      </w:r>
      <w:r>
        <w:rPr>
          <w:rFonts w:ascii="Bookman Old Style"/>
          <w:b/>
          <w:color w:val="231F20"/>
          <w:spacing w:val="-45"/>
        </w:rPr>
        <w:t> </w:t>
      </w:r>
      <w:r>
        <w:rPr>
          <w:color w:val="231F20"/>
        </w:rPr>
        <w:t>In</w:t>
      </w:r>
      <w:r>
        <w:rPr>
          <w:color w:val="231F20"/>
          <w:spacing w:val="-22"/>
        </w:rPr>
        <w:t> </w:t>
      </w:r>
      <w:r>
        <w:rPr>
          <w:color w:val="231F20"/>
        </w:rPr>
        <w:t>addition,</w:t>
      </w:r>
      <w:r>
        <w:rPr>
          <w:color w:val="231F20"/>
          <w:spacing w:val="-22"/>
        </w:rPr>
        <w:t> </w:t>
      </w:r>
      <w:r>
        <w:rPr>
          <w:color w:val="231F20"/>
        </w:rPr>
        <w:t>organisms</w:t>
      </w:r>
      <w:r>
        <w:rPr>
          <w:color w:val="231F20"/>
          <w:spacing w:val="-22"/>
        </w:rPr>
        <w:t> </w:t>
      </w:r>
      <w:r>
        <w:rPr>
          <w:color w:val="231F20"/>
        </w:rPr>
        <w:t>such as </w:t>
      </w:r>
      <w:r>
        <w:rPr>
          <w:i/>
          <w:color w:val="231F20"/>
        </w:rPr>
        <w:t>S. aureus </w:t>
      </w:r>
      <w:r>
        <w:rPr>
          <w:color w:val="231F20"/>
        </w:rPr>
        <w:t>and </w:t>
      </w:r>
      <w:r>
        <w:rPr>
          <w:i/>
          <w:color w:val="231F20"/>
        </w:rPr>
        <w:t>Clostridium perfringens</w:t>
      </w:r>
      <w:r>
        <w:rPr>
          <w:color w:val="231F20"/>
        </w:rPr>
        <w:t>, which are commonly found in the human intestinal tract, can confound interpretation of  culture </w:t>
      </w:r>
      <w:r>
        <w:rPr>
          <w:color w:val="231F20"/>
          <w:spacing w:val="7"/>
        </w:rPr>
        <w:t> </w:t>
      </w:r>
      <w:r>
        <w:rPr>
          <w:color w:val="231F20"/>
        </w:rPr>
        <w:t>results.</w:t>
      </w:r>
    </w:p>
    <w:p>
      <w:pPr>
        <w:pStyle w:val="BodyText"/>
        <w:spacing w:line="266" w:lineRule="auto" w:before="187"/>
        <w:ind w:left="319" w:right="866"/>
      </w:pPr>
      <w:r>
        <w:rPr>
          <w:color w:val="231F20"/>
          <w:w w:val="105"/>
        </w:rPr>
        <w:t>Furthermore, results of testing are often difficult to interpret. Because contaminants in food change with time, samples collected during an investigation might not represent food ingested when the outbreak occurred. Subsequent handling or processing of food might result in the death of microorganisms, multiplication of microorganisms originally present in low levels, or introduction of new contaminants. If the food is not uniformly</w:t>
      </w:r>
    </w:p>
    <w:p>
      <w:pPr>
        <w:pStyle w:val="BodyText"/>
        <w:ind w:left="319"/>
      </w:pPr>
      <w:r>
        <w:rPr>
          <w:color w:val="231F20"/>
          <w:w w:val="105"/>
        </w:rPr>
        <w:t>contaminated, the sample collected might miss</w:t>
      </w:r>
    </w:p>
    <w:p>
      <w:pPr>
        <w:spacing w:after="0"/>
        <w:sectPr>
          <w:type w:val="continuous"/>
          <w:pgSz w:w="10080" w:h="14400"/>
          <w:pgMar w:top="0" w:bottom="0" w:left="0" w:right="0"/>
          <w:cols w:num="2" w:equalWidth="0">
            <w:col w:w="5221" w:space="40"/>
            <w:col w:w="4819"/>
          </w:cols>
        </w:sectPr>
      </w:pPr>
    </w:p>
    <w:p>
      <w:pPr>
        <w:pStyle w:val="BodyText"/>
        <w:spacing w:before="8"/>
        <w:rPr>
          <w:sz w:val="26"/>
        </w:rPr>
      </w:pPr>
    </w:p>
    <w:p>
      <w:pPr>
        <w:pStyle w:val="Heading1"/>
        <w:ind w:left="720"/>
      </w:pPr>
      <w:r>
        <w:rPr/>
        <w:pict>
          <v:line style="position:absolute;mso-position-horizontal-relative:page;mso-position-vertical-relative:paragraph;z-index:3976;mso-wrap-distance-left:0;mso-wrap-distance-right:0" from="36pt,23.995163pt" to="432pt,23.995163pt" stroked="true" strokeweight=".5pt" strokecolor="#00a94f">
            <v:stroke dashstyle="solid"/>
            <w10:wrap type="topAndBottom"/>
          </v:line>
        </w:pict>
      </w:r>
      <w:r>
        <w:rPr>
          <w:color w:val="00A94F"/>
          <w:w w:val="95"/>
        </w:rPr>
        <w:t>4.3.</w:t>
      </w:r>
      <w:r>
        <w:rPr>
          <w:color w:val="00A94F"/>
          <w:spacing w:val="-50"/>
          <w:w w:val="95"/>
        </w:rPr>
        <w:t> </w:t>
      </w:r>
      <w:r>
        <w:rPr>
          <w:color w:val="00A94F"/>
          <w:w w:val="95"/>
        </w:rPr>
        <w:t>Complaint</w:t>
      </w:r>
      <w:r>
        <w:rPr>
          <w:color w:val="00A94F"/>
          <w:spacing w:val="-50"/>
          <w:w w:val="95"/>
        </w:rPr>
        <w:t> </w:t>
      </w:r>
      <w:r>
        <w:rPr>
          <w:color w:val="00A94F"/>
          <w:w w:val="95"/>
        </w:rPr>
        <w:t>Systems</w:t>
      </w:r>
    </w:p>
    <w:p>
      <w:pPr>
        <w:pStyle w:val="BodyText"/>
        <w:spacing w:before="7"/>
        <w:rPr>
          <w:rFonts w:ascii="Lucida Sans"/>
          <w:sz w:val="17"/>
        </w:rPr>
      </w:pPr>
    </w:p>
    <w:p>
      <w:pPr>
        <w:spacing w:after="0"/>
        <w:rPr>
          <w:rFonts w:ascii="Lucida Sans"/>
          <w:sz w:val="17"/>
        </w:rPr>
        <w:sectPr>
          <w:pgSz w:w="10080" w:h="14400"/>
          <w:pgMar w:header="0" w:footer="0" w:top="980" w:bottom="280" w:left="0" w:right="0"/>
        </w:sectPr>
      </w:pPr>
    </w:p>
    <w:p>
      <w:pPr>
        <w:pStyle w:val="BodyText"/>
        <w:spacing w:line="266" w:lineRule="auto" w:before="108"/>
        <w:ind w:left="720" w:right="148"/>
      </w:pPr>
      <w:r>
        <w:rPr>
          <w:color w:val="231F20"/>
          <w:w w:val="105"/>
        </w:rPr>
        <w:t>the contaminated portion. </w:t>
      </w:r>
      <w:r>
        <w:rPr>
          <w:color w:val="231F20"/>
          <w:spacing w:val="-4"/>
          <w:w w:val="105"/>
        </w:rPr>
        <w:t>Finally, </w:t>
      </w:r>
      <w:r>
        <w:rPr>
          <w:color w:val="231F20"/>
          <w:w w:val="105"/>
        </w:rPr>
        <w:t>because food usually is not sterile, microorganisms can be isolated from samples but not be responsible</w:t>
      </w:r>
      <w:r>
        <w:rPr>
          <w:color w:val="231F20"/>
          <w:spacing w:val="-23"/>
          <w:w w:val="105"/>
        </w:rPr>
        <w:t> </w:t>
      </w:r>
      <w:r>
        <w:rPr>
          <w:color w:val="231F20"/>
          <w:w w:val="105"/>
        </w:rPr>
        <w:t>for</w:t>
      </w:r>
      <w:r>
        <w:rPr>
          <w:color w:val="231F20"/>
          <w:spacing w:val="-23"/>
          <w:w w:val="105"/>
        </w:rPr>
        <w:t> </w:t>
      </w:r>
      <w:r>
        <w:rPr>
          <w:color w:val="231F20"/>
          <w:w w:val="105"/>
        </w:rPr>
        <w:t>the</w:t>
      </w:r>
      <w:r>
        <w:rPr>
          <w:color w:val="231F20"/>
          <w:spacing w:val="-24"/>
          <w:w w:val="105"/>
        </w:rPr>
        <w:t> </w:t>
      </w:r>
      <w:r>
        <w:rPr>
          <w:color w:val="231F20"/>
          <w:w w:val="105"/>
        </w:rPr>
        <w:t>illness</w:t>
      </w:r>
      <w:r>
        <w:rPr>
          <w:color w:val="231F20"/>
          <w:spacing w:val="-24"/>
          <w:w w:val="105"/>
        </w:rPr>
        <w:t> </w:t>
      </w:r>
      <w:r>
        <w:rPr>
          <w:color w:val="231F20"/>
          <w:w w:val="105"/>
        </w:rPr>
        <w:t>under</w:t>
      </w:r>
      <w:r>
        <w:rPr>
          <w:color w:val="231F20"/>
          <w:spacing w:val="-23"/>
          <w:w w:val="105"/>
        </w:rPr>
        <w:t> </w:t>
      </w:r>
      <w:r>
        <w:rPr>
          <w:color w:val="231F20"/>
          <w:w w:val="105"/>
        </w:rPr>
        <w:t>investigation.</w:t>
      </w:r>
    </w:p>
    <w:p>
      <w:pPr>
        <w:pStyle w:val="BodyText"/>
        <w:spacing w:line="266" w:lineRule="auto"/>
        <w:ind w:left="720" w:right="-17"/>
      </w:pPr>
      <w:r>
        <w:rPr>
          <w:color w:val="231F20"/>
          <w:w w:val="105"/>
        </w:rPr>
        <w:t>As</w:t>
      </w:r>
      <w:r>
        <w:rPr>
          <w:color w:val="231F20"/>
          <w:spacing w:val="-16"/>
          <w:w w:val="105"/>
        </w:rPr>
        <w:t> </w:t>
      </w:r>
      <w:r>
        <w:rPr>
          <w:color w:val="231F20"/>
          <w:w w:val="105"/>
        </w:rPr>
        <w:t>a</w:t>
      </w:r>
      <w:r>
        <w:rPr>
          <w:color w:val="231F20"/>
          <w:spacing w:val="-15"/>
          <w:w w:val="105"/>
        </w:rPr>
        <w:t> </w:t>
      </w:r>
      <w:r>
        <w:rPr>
          <w:color w:val="231F20"/>
          <w:w w:val="105"/>
        </w:rPr>
        <w:t>result,</w:t>
      </w:r>
      <w:r>
        <w:rPr>
          <w:color w:val="231F20"/>
          <w:spacing w:val="-16"/>
          <w:w w:val="105"/>
        </w:rPr>
        <w:t> </w:t>
      </w:r>
      <w:r>
        <w:rPr>
          <w:color w:val="231F20"/>
          <w:w w:val="105"/>
        </w:rPr>
        <w:t>food</w:t>
      </w:r>
      <w:r>
        <w:rPr>
          <w:color w:val="231F20"/>
          <w:spacing w:val="-15"/>
          <w:w w:val="105"/>
        </w:rPr>
        <w:t> </w:t>
      </w:r>
      <w:r>
        <w:rPr>
          <w:color w:val="231F20"/>
          <w:w w:val="105"/>
        </w:rPr>
        <w:t>testing</w:t>
      </w:r>
      <w:r>
        <w:rPr>
          <w:color w:val="231F20"/>
          <w:spacing w:val="-16"/>
          <w:w w:val="105"/>
        </w:rPr>
        <w:t> </w:t>
      </w:r>
      <w:r>
        <w:rPr>
          <w:color w:val="231F20"/>
          <w:w w:val="105"/>
        </w:rPr>
        <w:t>should</w:t>
      </w:r>
      <w:r>
        <w:rPr>
          <w:color w:val="231F20"/>
          <w:spacing w:val="-15"/>
          <w:w w:val="105"/>
        </w:rPr>
        <w:t> </w:t>
      </w:r>
      <w:r>
        <w:rPr>
          <w:color w:val="231F20"/>
          <w:w w:val="105"/>
        </w:rPr>
        <w:t>not</w:t>
      </w:r>
      <w:r>
        <w:rPr>
          <w:color w:val="231F20"/>
          <w:spacing w:val="-15"/>
          <w:w w:val="105"/>
        </w:rPr>
        <w:t> </w:t>
      </w:r>
      <w:r>
        <w:rPr>
          <w:color w:val="231F20"/>
          <w:w w:val="105"/>
        </w:rPr>
        <w:t>be</w:t>
      </w:r>
      <w:r>
        <w:rPr>
          <w:color w:val="231F20"/>
          <w:spacing w:val="-15"/>
          <w:w w:val="105"/>
        </w:rPr>
        <w:t> </w:t>
      </w:r>
      <w:r>
        <w:rPr>
          <w:color w:val="231F20"/>
          <w:w w:val="105"/>
        </w:rPr>
        <w:t>routinely undertaken but should instead be based on meaningful</w:t>
      </w:r>
      <w:r>
        <w:rPr>
          <w:color w:val="231F20"/>
          <w:spacing w:val="-16"/>
          <w:w w:val="105"/>
        </w:rPr>
        <w:t> </w:t>
      </w:r>
      <w:r>
        <w:rPr>
          <w:color w:val="231F20"/>
          <w:w w:val="105"/>
        </w:rPr>
        <w:t>associations</w:t>
      </w:r>
      <w:r>
        <w:rPr>
          <w:color w:val="231F20"/>
          <w:spacing w:val="-16"/>
          <w:w w:val="105"/>
        </w:rPr>
        <w:t> </w:t>
      </w:r>
      <w:r>
        <w:rPr>
          <w:color w:val="231F20"/>
          <w:w w:val="105"/>
        </w:rPr>
        <w:t>identified</w:t>
      </w:r>
      <w:r>
        <w:rPr>
          <w:color w:val="231F20"/>
          <w:spacing w:val="-16"/>
          <w:w w:val="105"/>
        </w:rPr>
        <w:t> </w:t>
      </w:r>
      <w:r>
        <w:rPr>
          <w:color w:val="231F20"/>
          <w:w w:val="105"/>
        </w:rPr>
        <w:t>through</w:t>
      </w:r>
      <w:r>
        <w:rPr>
          <w:color w:val="231F20"/>
          <w:spacing w:val="-16"/>
          <w:w w:val="105"/>
        </w:rPr>
        <w:t> </w:t>
      </w:r>
      <w:r>
        <w:rPr>
          <w:color w:val="231F20"/>
          <w:w w:val="105"/>
        </w:rPr>
        <w:t>data</w:t>
      </w:r>
      <w:r>
        <w:rPr>
          <w:color w:val="231F20"/>
          <w:w w:val="109"/>
        </w:rPr>
        <w:t> </w:t>
      </w:r>
      <w:r>
        <w:rPr>
          <w:color w:val="231F20"/>
          <w:w w:val="105"/>
        </w:rPr>
        <w:t>analysis of interviews with suspected cases or during</w:t>
      </w:r>
      <w:r>
        <w:rPr>
          <w:color w:val="231F20"/>
          <w:spacing w:val="-15"/>
          <w:w w:val="105"/>
        </w:rPr>
        <w:t> </w:t>
      </w:r>
      <w:r>
        <w:rPr>
          <w:color w:val="231F20"/>
          <w:w w:val="105"/>
        </w:rPr>
        <w:t>environmental</w:t>
      </w:r>
      <w:r>
        <w:rPr>
          <w:color w:val="231F20"/>
          <w:spacing w:val="-15"/>
          <w:w w:val="105"/>
        </w:rPr>
        <w:t> </w:t>
      </w:r>
      <w:r>
        <w:rPr>
          <w:color w:val="231F20"/>
          <w:w w:val="105"/>
        </w:rPr>
        <w:t>health</w:t>
      </w:r>
      <w:r>
        <w:rPr>
          <w:color w:val="231F20"/>
          <w:spacing w:val="-15"/>
          <w:w w:val="105"/>
        </w:rPr>
        <w:t> </w:t>
      </w:r>
      <w:r>
        <w:rPr>
          <w:color w:val="231F20"/>
          <w:w w:val="105"/>
        </w:rPr>
        <w:t>assessments</w:t>
      </w:r>
      <w:r>
        <w:rPr>
          <w:color w:val="231F20"/>
          <w:spacing w:val="-17"/>
          <w:w w:val="105"/>
        </w:rPr>
        <w:t> </w:t>
      </w:r>
      <w:r>
        <w:rPr>
          <w:color w:val="231F20"/>
          <w:w w:val="105"/>
        </w:rPr>
        <w:t>at</w:t>
      </w:r>
      <w:r>
        <w:rPr>
          <w:color w:val="231F20"/>
          <w:spacing w:val="-15"/>
          <w:w w:val="105"/>
        </w:rPr>
        <w:t> </w:t>
      </w:r>
      <w:r>
        <w:rPr>
          <w:color w:val="231F20"/>
          <w:w w:val="105"/>
        </w:rPr>
        <w:t>the </w:t>
      </w:r>
      <w:r>
        <w:rPr>
          <w:color w:val="231F20"/>
        </w:rPr>
        <w:t>implicated  food-service</w:t>
      </w:r>
      <w:r>
        <w:rPr>
          <w:color w:val="231F20"/>
          <w:spacing w:val="23"/>
        </w:rPr>
        <w:t> </w:t>
      </w:r>
      <w:r>
        <w:rPr>
          <w:color w:val="231F20"/>
        </w:rPr>
        <w:t>establishment.</w:t>
      </w:r>
    </w:p>
    <w:p>
      <w:pPr>
        <w:pStyle w:val="BodyText"/>
        <w:spacing w:line="266" w:lineRule="auto" w:before="180"/>
        <w:ind w:left="720" w:right="-17"/>
      </w:pPr>
      <w:r>
        <w:rPr>
          <w:color w:val="231F20"/>
        </w:rPr>
        <w:t>If food testing is determined to be necessary—for example, if a food has been epidemiologically implicated—official reference testing methods must be used at a minimum</w:t>
      </w:r>
    </w:p>
    <w:p>
      <w:pPr>
        <w:pStyle w:val="BodyText"/>
        <w:spacing w:line="266" w:lineRule="auto"/>
        <w:ind w:left="720" w:right="52"/>
      </w:pPr>
      <w:r>
        <w:rPr>
          <w:color w:val="231F20"/>
          <w:w w:val="105"/>
        </w:rPr>
        <w:t>for</w:t>
      </w:r>
      <w:r>
        <w:rPr>
          <w:color w:val="231F20"/>
          <w:spacing w:val="-20"/>
          <w:w w:val="105"/>
        </w:rPr>
        <w:t> </w:t>
      </w:r>
      <w:r>
        <w:rPr>
          <w:color w:val="231F20"/>
          <w:w w:val="105"/>
        </w:rPr>
        <w:t>regulated</w:t>
      </w:r>
      <w:r>
        <w:rPr>
          <w:color w:val="231F20"/>
          <w:spacing w:val="-20"/>
          <w:w w:val="105"/>
        </w:rPr>
        <w:t> </w:t>
      </w:r>
      <w:r>
        <w:rPr>
          <w:color w:val="231F20"/>
          <w:w w:val="105"/>
        </w:rPr>
        <w:t>products</w:t>
      </w:r>
      <w:r>
        <w:rPr>
          <w:color w:val="231F20"/>
          <w:spacing w:val="-20"/>
          <w:w w:val="105"/>
        </w:rPr>
        <w:t> </w:t>
      </w:r>
      <w:r>
        <w:rPr>
          <w:color w:val="231F20"/>
          <w:spacing w:val="-4"/>
          <w:w w:val="105"/>
        </w:rPr>
        <w:t>(e.g.,</w:t>
      </w:r>
      <w:r>
        <w:rPr>
          <w:color w:val="231F20"/>
          <w:spacing w:val="-20"/>
          <w:w w:val="105"/>
        </w:rPr>
        <w:t> </w:t>
      </w:r>
      <w:r>
        <w:rPr>
          <w:color w:val="231F20"/>
          <w:w w:val="105"/>
        </w:rPr>
        <w:t>pasteurized</w:t>
      </w:r>
      <w:r>
        <w:rPr>
          <w:color w:val="231F20"/>
          <w:spacing w:val="-20"/>
          <w:w w:val="105"/>
        </w:rPr>
        <w:t> </w:t>
      </w:r>
      <w:r>
        <w:rPr>
          <w:color w:val="231F20"/>
          <w:w w:val="105"/>
        </w:rPr>
        <w:t>eggs</w:t>
      </w:r>
      <w:r>
        <w:rPr>
          <w:color w:val="231F20"/>
          <w:spacing w:val="-20"/>
          <w:w w:val="105"/>
        </w:rPr>
        <w:t> </w:t>
      </w:r>
      <w:r>
        <w:rPr>
          <w:color w:val="231F20"/>
          <w:w w:val="105"/>
        </w:rPr>
        <w:t>or </w:t>
      </w:r>
      <w:r>
        <w:rPr>
          <w:color w:val="231F20"/>
        </w:rPr>
        <w:t>commercially distributed</w:t>
      </w:r>
      <w:r>
        <w:rPr>
          <w:color w:val="231F20"/>
          <w:spacing w:val="37"/>
        </w:rPr>
        <w:t> </w:t>
      </w:r>
      <w:r>
        <w:rPr>
          <w:color w:val="231F20"/>
        </w:rPr>
        <w:t>beef).</w:t>
      </w:r>
    </w:p>
    <w:p>
      <w:pPr>
        <w:pStyle w:val="ListParagraph"/>
        <w:numPr>
          <w:ilvl w:val="3"/>
          <w:numId w:val="21"/>
        </w:numPr>
        <w:tabs>
          <w:tab w:pos="1362" w:val="left" w:leader="none"/>
        </w:tabs>
        <w:spacing w:line="266" w:lineRule="auto" w:before="180" w:after="0"/>
        <w:ind w:left="720" w:right="127" w:firstLine="0"/>
        <w:jc w:val="left"/>
        <w:rPr>
          <w:i/>
          <w:sz w:val="20"/>
        </w:rPr>
      </w:pPr>
      <w:r>
        <w:rPr>
          <w:i/>
          <w:color w:val="E36F1E"/>
          <w:sz w:val="20"/>
        </w:rPr>
        <w:t>Establishment of etiology through laboratory </w:t>
      </w:r>
      <w:r>
        <w:rPr>
          <w:i/>
          <w:color w:val="E36F1E"/>
          <w:sz w:val="20"/>
        </w:rPr>
        <w:t>testing</w:t>
      </w:r>
    </w:p>
    <w:p>
      <w:pPr>
        <w:pStyle w:val="BodyText"/>
        <w:spacing w:line="254" w:lineRule="auto"/>
        <w:ind w:left="720" w:right="-11"/>
        <w:rPr>
          <w:rFonts w:ascii="Bookman Old Style"/>
          <w:b/>
        </w:rPr>
      </w:pPr>
      <w:r>
        <w:rPr>
          <w:color w:val="231F20"/>
        </w:rPr>
        <w:t>Even though the etiology is not essential for primary linkage of cases, as it is for pathogen- </w:t>
      </w:r>
      <w:r>
        <w:rPr>
          <w:color w:val="231F20"/>
          <w:w w:val="90"/>
        </w:rPr>
        <w:t>specific</w:t>
      </w:r>
      <w:r>
        <w:rPr>
          <w:color w:val="231F20"/>
          <w:spacing w:val="-7"/>
          <w:w w:val="90"/>
        </w:rPr>
        <w:t> </w:t>
      </w:r>
      <w:r>
        <w:rPr>
          <w:color w:val="231F20"/>
          <w:w w:val="90"/>
        </w:rPr>
        <w:t>surveillance,</w:t>
      </w:r>
      <w:r>
        <w:rPr>
          <w:color w:val="231F20"/>
          <w:spacing w:val="-11"/>
          <w:w w:val="90"/>
        </w:rPr>
        <w:t> </w:t>
      </w:r>
      <w:r>
        <w:rPr>
          <w:rFonts w:ascii="Bookman Old Style"/>
          <w:b/>
          <w:color w:val="231F20"/>
          <w:w w:val="90"/>
        </w:rPr>
        <w:t>information</w:t>
      </w:r>
      <w:r>
        <w:rPr>
          <w:rFonts w:ascii="Bookman Old Style"/>
          <w:b/>
          <w:color w:val="231F20"/>
          <w:spacing w:val="-27"/>
          <w:w w:val="90"/>
        </w:rPr>
        <w:t> </w:t>
      </w:r>
      <w:r>
        <w:rPr>
          <w:rFonts w:ascii="Bookman Old Style"/>
          <w:b/>
          <w:color w:val="231F20"/>
          <w:w w:val="90"/>
        </w:rPr>
        <w:t>about</w:t>
      </w:r>
      <w:r>
        <w:rPr>
          <w:rFonts w:ascii="Bookman Old Style"/>
          <w:b/>
          <w:color w:val="231F20"/>
          <w:spacing w:val="-27"/>
          <w:w w:val="90"/>
        </w:rPr>
        <w:t> </w:t>
      </w:r>
      <w:r>
        <w:rPr>
          <w:rFonts w:ascii="Bookman Old Style"/>
          <w:b/>
          <w:color w:val="231F20"/>
          <w:w w:val="90"/>
        </w:rPr>
        <w:t>agents </w:t>
      </w:r>
      <w:r>
        <w:rPr>
          <w:rFonts w:ascii="Bookman Old Style"/>
          <w:b/>
          <w:color w:val="231F20"/>
          <w:w w:val="85"/>
        </w:rPr>
        <w:t>is</w:t>
      </w:r>
      <w:r>
        <w:rPr>
          <w:rFonts w:ascii="Bookman Old Style"/>
          <w:b/>
          <w:color w:val="231F20"/>
          <w:spacing w:val="-40"/>
          <w:w w:val="85"/>
        </w:rPr>
        <w:t> </w:t>
      </w:r>
      <w:r>
        <w:rPr>
          <w:rFonts w:ascii="Bookman Old Style"/>
          <w:b/>
          <w:color w:val="231F20"/>
          <w:w w:val="85"/>
        </w:rPr>
        <w:t>important</w:t>
      </w:r>
      <w:r>
        <w:rPr>
          <w:rFonts w:ascii="Bookman Old Style"/>
          <w:b/>
          <w:color w:val="231F20"/>
          <w:spacing w:val="-40"/>
          <w:w w:val="85"/>
        </w:rPr>
        <w:t> </w:t>
      </w:r>
      <w:r>
        <w:rPr>
          <w:rFonts w:ascii="Bookman Old Style"/>
          <w:b/>
          <w:color w:val="231F20"/>
          <w:w w:val="85"/>
        </w:rPr>
        <w:t>for</w:t>
      </w:r>
      <w:r>
        <w:rPr>
          <w:rFonts w:ascii="Bookman Old Style"/>
          <w:b/>
          <w:color w:val="231F20"/>
          <w:spacing w:val="-40"/>
          <w:w w:val="85"/>
        </w:rPr>
        <w:t> </w:t>
      </w:r>
      <w:r>
        <w:rPr>
          <w:rFonts w:ascii="Bookman Old Style"/>
          <w:b/>
          <w:color w:val="231F20"/>
          <w:w w:val="85"/>
        </w:rPr>
        <w:t>understanding</w:t>
      </w:r>
      <w:r>
        <w:rPr>
          <w:rFonts w:ascii="Bookman Old Style"/>
          <w:b/>
          <w:color w:val="231F20"/>
          <w:spacing w:val="-40"/>
          <w:w w:val="85"/>
        </w:rPr>
        <w:t> </w:t>
      </w:r>
      <w:r>
        <w:rPr>
          <w:rFonts w:ascii="Bookman Old Style"/>
          <w:b/>
          <w:color w:val="231F20"/>
          <w:w w:val="85"/>
        </w:rPr>
        <w:t>the</w:t>
      </w:r>
      <w:r>
        <w:rPr>
          <w:rFonts w:ascii="Bookman Old Style"/>
          <w:b/>
          <w:color w:val="231F20"/>
          <w:spacing w:val="-40"/>
          <w:w w:val="85"/>
        </w:rPr>
        <w:t> </w:t>
      </w:r>
      <w:r>
        <w:rPr>
          <w:rFonts w:ascii="Bookman Old Style"/>
          <w:b/>
          <w:color w:val="231F20"/>
          <w:w w:val="85"/>
        </w:rPr>
        <w:t>outbreak and</w:t>
      </w:r>
      <w:r>
        <w:rPr>
          <w:rFonts w:ascii="Bookman Old Style"/>
          <w:b/>
          <w:color w:val="231F20"/>
          <w:spacing w:val="-38"/>
          <w:w w:val="85"/>
        </w:rPr>
        <w:t> </w:t>
      </w:r>
      <w:r>
        <w:rPr>
          <w:rFonts w:ascii="Bookman Old Style"/>
          <w:b/>
          <w:color w:val="231F20"/>
          <w:w w:val="85"/>
        </w:rPr>
        <w:t>for</w:t>
      </w:r>
      <w:r>
        <w:rPr>
          <w:rFonts w:ascii="Bookman Old Style"/>
          <w:b/>
          <w:color w:val="231F20"/>
          <w:spacing w:val="-38"/>
          <w:w w:val="85"/>
        </w:rPr>
        <w:t> </w:t>
      </w:r>
      <w:r>
        <w:rPr>
          <w:rFonts w:ascii="Bookman Old Style"/>
          <w:b/>
          <w:color w:val="231F20"/>
          <w:w w:val="85"/>
        </w:rPr>
        <w:t>implementing</w:t>
      </w:r>
      <w:r>
        <w:rPr>
          <w:rFonts w:ascii="Bookman Old Style"/>
          <w:b/>
          <w:color w:val="231F20"/>
          <w:spacing w:val="-38"/>
          <w:w w:val="85"/>
        </w:rPr>
        <w:t> </w:t>
      </w:r>
      <w:r>
        <w:rPr>
          <w:rFonts w:ascii="Bookman Old Style"/>
          <w:b/>
          <w:color w:val="231F20"/>
          <w:w w:val="85"/>
        </w:rPr>
        <w:t>rational</w:t>
      </w:r>
      <w:r>
        <w:rPr>
          <w:rFonts w:ascii="Bookman Old Style"/>
          <w:b/>
          <w:color w:val="231F20"/>
          <w:spacing w:val="-38"/>
          <w:w w:val="85"/>
        </w:rPr>
        <w:t> </w:t>
      </w:r>
      <w:r>
        <w:rPr>
          <w:rFonts w:ascii="Bookman Old Style"/>
          <w:b/>
          <w:color w:val="231F20"/>
          <w:w w:val="85"/>
        </w:rPr>
        <w:t>intervention </w:t>
      </w:r>
      <w:r>
        <w:rPr>
          <w:rFonts w:ascii="Bookman Old Style"/>
          <w:b/>
          <w:color w:val="231F20"/>
          <w:w w:val="90"/>
        </w:rPr>
        <w:t>and</w:t>
      </w:r>
      <w:r>
        <w:rPr>
          <w:rFonts w:ascii="Bookman Old Style"/>
          <w:b/>
          <w:color w:val="231F20"/>
          <w:spacing w:val="-46"/>
          <w:w w:val="90"/>
        </w:rPr>
        <w:t> </w:t>
      </w:r>
      <w:r>
        <w:rPr>
          <w:rFonts w:ascii="Bookman Old Style"/>
          <w:b/>
          <w:color w:val="231F20"/>
          <w:w w:val="90"/>
        </w:rPr>
        <w:t>facilitates</w:t>
      </w:r>
      <w:r>
        <w:rPr>
          <w:rFonts w:ascii="Bookman Old Style"/>
          <w:b/>
          <w:color w:val="231F20"/>
          <w:spacing w:val="-47"/>
          <w:w w:val="90"/>
        </w:rPr>
        <w:t> </w:t>
      </w:r>
      <w:r>
        <w:rPr>
          <w:rFonts w:ascii="Bookman Old Style"/>
          <w:b/>
          <w:color w:val="231F20"/>
          <w:w w:val="90"/>
        </w:rPr>
        <w:t>establishing</w:t>
      </w:r>
      <w:r>
        <w:rPr>
          <w:rFonts w:ascii="Bookman Old Style"/>
          <w:b/>
          <w:color w:val="231F20"/>
          <w:spacing w:val="-47"/>
          <w:w w:val="90"/>
        </w:rPr>
        <w:t> </w:t>
      </w:r>
      <w:r>
        <w:rPr>
          <w:rFonts w:ascii="Bookman Old Style"/>
          <w:b/>
          <w:color w:val="231F20"/>
          <w:w w:val="90"/>
        </w:rPr>
        <w:t>links</w:t>
      </w:r>
      <w:r>
        <w:rPr>
          <w:rFonts w:ascii="Bookman Old Style"/>
          <w:b/>
          <w:color w:val="231F20"/>
          <w:spacing w:val="-47"/>
          <w:w w:val="90"/>
        </w:rPr>
        <w:t> </w:t>
      </w:r>
      <w:r>
        <w:rPr>
          <w:rFonts w:ascii="Bookman Old Style"/>
          <w:b/>
          <w:color w:val="231F20"/>
          <w:w w:val="90"/>
        </w:rPr>
        <w:t>to</w:t>
      </w:r>
      <w:r>
        <w:rPr>
          <w:rFonts w:ascii="Bookman Old Style"/>
          <w:b/>
          <w:color w:val="231F20"/>
          <w:spacing w:val="-46"/>
          <w:w w:val="90"/>
        </w:rPr>
        <w:t> </w:t>
      </w:r>
      <w:r>
        <w:rPr>
          <w:rFonts w:ascii="Bookman Old Style"/>
          <w:b/>
          <w:color w:val="231F20"/>
          <w:w w:val="90"/>
        </w:rPr>
        <w:t>other </w:t>
      </w:r>
      <w:r>
        <w:rPr>
          <w:rFonts w:ascii="Bookman Old Style"/>
          <w:b/>
          <w:color w:val="231F20"/>
          <w:w w:val="85"/>
        </w:rPr>
        <w:t>outbreaks</w:t>
      </w:r>
      <w:r>
        <w:rPr>
          <w:rFonts w:ascii="Bookman Old Style"/>
          <w:b/>
          <w:color w:val="231F20"/>
          <w:spacing w:val="-39"/>
          <w:w w:val="85"/>
        </w:rPr>
        <w:t> </w:t>
      </w:r>
      <w:r>
        <w:rPr>
          <w:rFonts w:ascii="Bookman Old Style"/>
          <w:b/>
          <w:color w:val="231F20"/>
          <w:w w:val="85"/>
        </w:rPr>
        <w:t>or</w:t>
      </w:r>
      <w:r>
        <w:rPr>
          <w:rFonts w:ascii="Bookman Old Style"/>
          <w:b/>
          <w:color w:val="231F20"/>
          <w:spacing w:val="-39"/>
          <w:w w:val="85"/>
        </w:rPr>
        <w:t> </w:t>
      </w:r>
      <w:r>
        <w:rPr>
          <w:rFonts w:ascii="Bookman Old Style"/>
          <w:b/>
          <w:color w:val="231F20"/>
          <w:w w:val="85"/>
        </w:rPr>
        <w:t>sporadic</w:t>
      </w:r>
      <w:r>
        <w:rPr>
          <w:rFonts w:ascii="Bookman Old Style"/>
          <w:b/>
          <w:color w:val="231F20"/>
          <w:spacing w:val="-39"/>
          <w:w w:val="85"/>
        </w:rPr>
        <w:t> </w:t>
      </w:r>
      <w:r>
        <w:rPr>
          <w:rFonts w:ascii="Bookman Old Style"/>
          <w:b/>
          <w:color w:val="231F20"/>
          <w:w w:val="85"/>
        </w:rPr>
        <w:t>cases</w:t>
      </w:r>
      <w:r>
        <w:rPr>
          <w:rFonts w:ascii="Bookman Old Style"/>
          <w:b/>
          <w:color w:val="231F20"/>
          <w:spacing w:val="-39"/>
          <w:w w:val="85"/>
        </w:rPr>
        <w:t> </w:t>
      </w:r>
      <w:r>
        <w:rPr>
          <w:rFonts w:ascii="Bookman Old Style"/>
          <w:b/>
          <w:color w:val="231F20"/>
          <w:w w:val="85"/>
        </w:rPr>
        <w:t>by</w:t>
      </w:r>
      <w:r>
        <w:rPr>
          <w:rFonts w:ascii="Bookman Old Style"/>
          <w:b/>
          <w:color w:val="231F20"/>
          <w:spacing w:val="-39"/>
          <w:w w:val="85"/>
        </w:rPr>
        <w:t> </w:t>
      </w:r>
      <w:r>
        <w:rPr>
          <w:rFonts w:ascii="Bookman Old Style"/>
          <w:b/>
          <w:color w:val="231F20"/>
          <w:w w:val="85"/>
        </w:rPr>
        <w:t>PulseNet</w:t>
      </w:r>
    </w:p>
    <w:p>
      <w:pPr>
        <w:pStyle w:val="BodyText"/>
        <w:spacing w:line="261" w:lineRule="auto"/>
        <w:ind w:left="720" w:right="180"/>
      </w:pPr>
      <w:r>
        <w:rPr>
          <w:rFonts w:ascii="Bookman Old Style"/>
          <w:b/>
          <w:color w:val="231F20"/>
          <w:w w:val="90"/>
        </w:rPr>
        <w:t>and the Foodborne Disease Outbreak </w:t>
      </w:r>
      <w:r>
        <w:rPr>
          <w:rFonts w:ascii="Bookman Old Style"/>
          <w:b/>
          <w:color w:val="231F20"/>
          <w:w w:val="95"/>
        </w:rPr>
        <w:t>Surveillance System.</w:t>
      </w:r>
      <w:r>
        <w:rPr>
          <w:rFonts w:ascii="Bookman Old Style"/>
          <w:b/>
          <w:color w:val="231F20"/>
          <w:spacing w:val="-50"/>
          <w:w w:val="95"/>
        </w:rPr>
        <w:t> </w:t>
      </w:r>
      <w:r>
        <w:rPr>
          <w:color w:val="231F20"/>
          <w:w w:val="95"/>
        </w:rPr>
        <w:t>Further information </w:t>
      </w:r>
      <w:r>
        <w:rPr>
          <w:color w:val="231F20"/>
        </w:rPr>
        <w:t>about investigation methods and establishing etiology is available  in Chapter  5.</w:t>
      </w:r>
    </w:p>
    <w:p>
      <w:pPr>
        <w:pStyle w:val="ListParagraph"/>
        <w:numPr>
          <w:ilvl w:val="3"/>
          <w:numId w:val="21"/>
        </w:numPr>
        <w:tabs>
          <w:tab w:pos="1362" w:val="left" w:leader="none"/>
        </w:tabs>
        <w:spacing w:line="240" w:lineRule="auto" w:before="184" w:after="0"/>
        <w:ind w:left="1362" w:right="0" w:hanging="642"/>
        <w:jc w:val="left"/>
        <w:rPr>
          <w:i/>
          <w:sz w:val="20"/>
        </w:rPr>
      </w:pPr>
      <w:r>
        <w:rPr>
          <w:i/>
          <w:color w:val="E36F1E"/>
          <w:w w:val="105"/>
          <w:sz w:val="20"/>
        </w:rPr>
        <w:t>Regular review of  interview</w:t>
      </w:r>
      <w:r>
        <w:rPr>
          <w:i/>
          <w:color w:val="E36F1E"/>
          <w:spacing w:val="-25"/>
          <w:w w:val="105"/>
          <w:sz w:val="20"/>
        </w:rPr>
        <w:t> </w:t>
      </w:r>
      <w:r>
        <w:rPr>
          <w:i/>
          <w:color w:val="E36F1E"/>
          <w:w w:val="105"/>
          <w:sz w:val="20"/>
        </w:rPr>
        <w:t>data</w:t>
      </w:r>
    </w:p>
    <w:p>
      <w:pPr>
        <w:pStyle w:val="BodyText"/>
        <w:spacing w:line="261" w:lineRule="auto" w:before="25"/>
        <w:ind w:left="720" w:right="13"/>
      </w:pPr>
      <w:r>
        <w:rPr>
          <w:color w:val="231F20"/>
          <w:spacing w:val="-3"/>
        </w:rPr>
        <w:t>Review </w:t>
      </w:r>
      <w:r>
        <w:rPr>
          <w:color w:val="231F20"/>
        </w:rPr>
        <w:t>interview data regularly to look for  </w:t>
      </w:r>
      <w:r>
        <w:rPr>
          <w:color w:val="231F20"/>
          <w:w w:val="95"/>
        </w:rPr>
        <w:t>trends or commonalities. </w:t>
      </w:r>
      <w:r>
        <w:rPr>
          <w:rFonts w:ascii="Bookman Old Style"/>
          <w:b/>
          <w:color w:val="231F20"/>
          <w:w w:val="95"/>
        </w:rPr>
        <w:t>Compile interview </w:t>
      </w:r>
      <w:r>
        <w:rPr>
          <w:rFonts w:ascii="Bookman Old Style"/>
          <w:b/>
          <w:color w:val="231F20"/>
          <w:w w:val="85"/>
        </w:rPr>
        <w:t>data</w:t>
      </w:r>
      <w:r>
        <w:rPr>
          <w:rFonts w:ascii="Bookman Old Style"/>
          <w:b/>
          <w:color w:val="231F20"/>
          <w:spacing w:val="-22"/>
          <w:w w:val="85"/>
        </w:rPr>
        <w:t> </w:t>
      </w:r>
      <w:r>
        <w:rPr>
          <w:rFonts w:ascii="Bookman Old Style"/>
          <w:b/>
          <w:color w:val="231F20"/>
          <w:w w:val="85"/>
        </w:rPr>
        <w:t>in</w:t>
      </w:r>
      <w:r>
        <w:rPr>
          <w:rFonts w:ascii="Bookman Old Style"/>
          <w:b/>
          <w:color w:val="231F20"/>
          <w:spacing w:val="-22"/>
          <w:w w:val="85"/>
        </w:rPr>
        <w:t> </w:t>
      </w:r>
      <w:r>
        <w:rPr>
          <w:rFonts w:ascii="Bookman Old Style"/>
          <w:b/>
          <w:color w:val="231F20"/>
          <w:w w:val="85"/>
        </w:rPr>
        <w:t>a</w:t>
      </w:r>
      <w:r>
        <w:rPr>
          <w:rFonts w:ascii="Bookman Old Style"/>
          <w:b/>
          <w:color w:val="231F20"/>
          <w:spacing w:val="-22"/>
          <w:w w:val="85"/>
        </w:rPr>
        <w:t> </w:t>
      </w:r>
      <w:r>
        <w:rPr>
          <w:rFonts w:ascii="Bookman Old Style"/>
          <w:b/>
          <w:color w:val="231F20"/>
          <w:w w:val="85"/>
        </w:rPr>
        <w:t>single</w:t>
      </w:r>
      <w:r>
        <w:rPr>
          <w:rFonts w:ascii="Bookman Old Style"/>
          <w:b/>
          <w:color w:val="231F20"/>
          <w:spacing w:val="-22"/>
          <w:w w:val="85"/>
        </w:rPr>
        <w:t> </w:t>
      </w:r>
      <w:r>
        <w:rPr>
          <w:rFonts w:ascii="Bookman Old Style"/>
          <w:b/>
          <w:color w:val="231F20"/>
          <w:w w:val="85"/>
        </w:rPr>
        <w:t>database,</w:t>
      </w:r>
      <w:r>
        <w:rPr>
          <w:rFonts w:ascii="Bookman Old Style"/>
          <w:b/>
          <w:color w:val="231F20"/>
          <w:spacing w:val="-22"/>
          <w:w w:val="85"/>
        </w:rPr>
        <w:t> </w:t>
      </w:r>
      <w:r>
        <w:rPr>
          <w:rFonts w:ascii="Bookman Old Style"/>
          <w:b/>
          <w:color w:val="231F20"/>
          <w:w w:val="85"/>
        </w:rPr>
        <w:t>and</w:t>
      </w:r>
      <w:r>
        <w:rPr>
          <w:rFonts w:ascii="Bookman Old Style"/>
          <w:b/>
          <w:color w:val="231F20"/>
          <w:spacing w:val="-22"/>
          <w:w w:val="85"/>
        </w:rPr>
        <w:t> </w:t>
      </w:r>
      <w:r>
        <w:rPr>
          <w:rFonts w:ascii="Bookman Old Style"/>
          <w:b/>
          <w:color w:val="231F20"/>
          <w:w w:val="85"/>
        </w:rPr>
        <w:t>examine</w:t>
      </w:r>
      <w:r>
        <w:rPr>
          <w:rFonts w:ascii="Bookman Old Style"/>
          <w:b/>
          <w:color w:val="231F20"/>
          <w:spacing w:val="-22"/>
          <w:w w:val="85"/>
        </w:rPr>
        <w:t> </w:t>
      </w:r>
      <w:r>
        <w:rPr>
          <w:rFonts w:ascii="Bookman Old Style"/>
          <w:b/>
          <w:color w:val="231F20"/>
          <w:w w:val="85"/>
        </w:rPr>
        <w:t>daily </w:t>
      </w:r>
      <w:r>
        <w:rPr>
          <w:rFonts w:ascii="Bookman Old Style"/>
          <w:b/>
          <w:color w:val="231F20"/>
          <w:w w:val="95"/>
        </w:rPr>
        <w:t>for exposure clustering. </w:t>
      </w:r>
      <w:r>
        <w:rPr>
          <w:color w:val="231F20"/>
          <w:w w:val="95"/>
        </w:rPr>
        <w:t>Comparison with </w:t>
      </w:r>
      <w:r>
        <w:rPr>
          <w:color w:val="231F20"/>
        </w:rPr>
        <w:t>exposure data obtained through pathogen- specific surveillance interviews might reveal a possible connection among cases and increase the sensitivity of both surveillance systems for detecting</w:t>
      </w:r>
      <w:r>
        <w:rPr>
          <w:color w:val="231F20"/>
          <w:spacing w:val="46"/>
        </w:rPr>
        <w:t> </w:t>
      </w:r>
      <w:r>
        <w:rPr>
          <w:color w:val="231F20"/>
        </w:rPr>
        <w:t>outbreaks.</w:t>
      </w:r>
    </w:p>
    <w:p>
      <w:pPr>
        <w:pStyle w:val="ListParagraph"/>
        <w:numPr>
          <w:ilvl w:val="3"/>
          <w:numId w:val="21"/>
        </w:numPr>
        <w:tabs>
          <w:tab w:pos="1362" w:val="left" w:leader="none"/>
        </w:tabs>
        <w:spacing w:line="266" w:lineRule="auto" w:before="184" w:after="0"/>
        <w:ind w:left="720" w:right="171" w:firstLine="0"/>
        <w:jc w:val="left"/>
        <w:rPr>
          <w:i/>
          <w:sz w:val="20"/>
        </w:rPr>
      </w:pPr>
      <w:r>
        <w:rPr>
          <w:i/>
          <w:color w:val="E36F1E"/>
          <w:w w:val="105"/>
          <w:sz w:val="20"/>
        </w:rPr>
        <w:t>Improvement of interagency cooperation</w:t>
      </w:r>
      <w:r>
        <w:rPr>
          <w:i/>
          <w:color w:val="E36F1E"/>
          <w:spacing w:val="-38"/>
          <w:w w:val="105"/>
          <w:sz w:val="20"/>
        </w:rPr>
        <w:t> </w:t>
      </w:r>
      <w:r>
        <w:rPr>
          <w:i/>
          <w:color w:val="E36F1E"/>
          <w:w w:val="105"/>
          <w:sz w:val="20"/>
        </w:rPr>
        <w:t>and </w:t>
      </w:r>
      <w:r>
        <w:rPr>
          <w:i/>
          <w:color w:val="E36F1E"/>
          <w:w w:val="105"/>
          <w:sz w:val="20"/>
        </w:rPr>
        <w:t>communication</w:t>
      </w:r>
    </w:p>
    <w:p>
      <w:pPr>
        <w:pStyle w:val="BodyText"/>
        <w:spacing w:line="266" w:lineRule="auto"/>
        <w:ind w:left="720" w:right="-17"/>
      </w:pPr>
      <w:r>
        <w:rPr>
          <w:color w:val="231F20"/>
          <w:w w:val="105"/>
        </w:rPr>
        <w:t>Consumers</w:t>
      </w:r>
      <w:r>
        <w:rPr>
          <w:color w:val="231F20"/>
          <w:spacing w:val="-17"/>
          <w:w w:val="105"/>
        </w:rPr>
        <w:t> </w:t>
      </w:r>
      <w:r>
        <w:rPr>
          <w:color w:val="231F20"/>
          <w:w w:val="105"/>
        </w:rPr>
        <w:t>may</w:t>
      </w:r>
      <w:r>
        <w:rPr>
          <w:color w:val="231F20"/>
          <w:spacing w:val="-17"/>
          <w:w w:val="105"/>
        </w:rPr>
        <w:t> </w:t>
      </w:r>
      <w:r>
        <w:rPr>
          <w:color w:val="231F20"/>
          <w:w w:val="105"/>
        </w:rPr>
        <w:t>submit</w:t>
      </w:r>
      <w:r>
        <w:rPr>
          <w:color w:val="231F20"/>
          <w:spacing w:val="-16"/>
          <w:w w:val="105"/>
        </w:rPr>
        <w:t> </w:t>
      </w:r>
      <w:r>
        <w:rPr>
          <w:color w:val="231F20"/>
          <w:w w:val="105"/>
        </w:rPr>
        <w:t>complaints</w:t>
      </w:r>
      <w:r>
        <w:rPr>
          <w:color w:val="231F20"/>
          <w:spacing w:val="-16"/>
          <w:w w:val="105"/>
        </w:rPr>
        <w:t> </w:t>
      </w:r>
      <w:r>
        <w:rPr>
          <w:color w:val="231F20"/>
          <w:w w:val="105"/>
        </w:rPr>
        <w:t>to</w:t>
      </w:r>
      <w:r>
        <w:rPr>
          <w:color w:val="231F20"/>
          <w:spacing w:val="-17"/>
          <w:w w:val="105"/>
        </w:rPr>
        <w:t> </w:t>
      </w:r>
      <w:r>
        <w:rPr>
          <w:color w:val="231F20"/>
          <w:w w:val="105"/>
        </w:rPr>
        <w:t>multiple organizations</w:t>
      </w:r>
      <w:r>
        <w:rPr>
          <w:color w:val="231F20"/>
          <w:spacing w:val="-15"/>
          <w:w w:val="105"/>
        </w:rPr>
        <w:t> </w:t>
      </w:r>
      <w:r>
        <w:rPr>
          <w:color w:val="231F20"/>
          <w:w w:val="105"/>
        </w:rPr>
        <w:t>and</w:t>
      </w:r>
      <w:r>
        <w:rPr>
          <w:color w:val="231F20"/>
          <w:spacing w:val="-15"/>
          <w:w w:val="105"/>
        </w:rPr>
        <w:t> </w:t>
      </w:r>
      <w:r>
        <w:rPr>
          <w:color w:val="231F20"/>
          <w:w w:val="105"/>
        </w:rPr>
        <w:t>agencies,</w:t>
      </w:r>
      <w:r>
        <w:rPr>
          <w:color w:val="231F20"/>
          <w:spacing w:val="-14"/>
          <w:w w:val="105"/>
        </w:rPr>
        <w:t> </w:t>
      </w:r>
      <w:r>
        <w:rPr>
          <w:color w:val="231F20"/>
          <w:w w:val="105"/>
        </w:rPr>
        <w:t>such</w:t>
      </w:r>
      <w:r>
        <w:rPr>
          <w:color w:val="231F20"/>
          <w:spacing w:val="-15"/>
          <w:w w:val="105"/>
        </w:rPr>
        <w:t> </w:t>
      </w:r>
      <w:r>
        <w:rPr>
          <w:color w:val="231F20"/>
          <w:w w:val="105"/>
        </w:rPr>
        <w:t>as</w:t>
      </w:r>
      <w:r>
        <w:rPr>
          <w:color w:val="231F20"/>
          <w:spacing w:val="-15"/>
          <w:w w:val="105"/>
        </w:rPr>
        <w:t> </w:t>
      </w:r>
      <w:r>
        <w:rPr>
          <w:color w:val="231F20"/>
          <w:w w:val="105"/>
        </w:rPr>
        <w:t>poison</w:t>
      </w:r>
    </w:p>
    <w:p>
      <w:pPr>
        <w:pStyle w:val="BodyText"/>
        <w:spacing w:line="252" w:lineRule="auto" w:before="108"/>
        <w:ind w:left="322" w:right="1369"/>
        <w:rPr>
          <w:rFonts w:ascii="Bookman Old Style"/>
          <w:b/>
        </w:rPr>
      </w:pPr>
      <w:r>
        <w:rPr/>
        <w:br w:type="column"/>
      </w:r>
      <w:r>
        <w:rPr>
          <w:color w:val="231F20"/>
        </w:rPr>
        <w:t>control centers, agricultural agencies, facility- licensing agencies, and grocery stores. </w:t>
      </w:r>
      <w:r>
        <w:rPr>
          <w:rFonts w:ascii="Bookman Old Style"/>
          <w:b/>
          <w:color w:val="231F20"/>
        </w:rPr>
        <w:t>Identify </w:t>
      </w:r>
      <w:r>
        <w:rPr>
          <w:rFonts w:ascii="Bookman Old Style"/>
          <w:b/>
          <w:color w:val="231F20"/>
          <w:w w:val="80"/>
        </w:rPr>
        <w:t>the agencies/organizations in the community that are likely to receive complaints.</w:t>
      </w:r>
    </w:p>
    <w:p>
      <w:pPr>
        <w:pStyle w:val="BodyText"/>
        <w:spacing w:line="264" w:lineRule="auto" w:before="183"/>
        <w:ind w:left="322" w:right="1369"/>
      </w:pPr>
      <w:r>
        <w:rPr/>
        <w:pict>
          <v:rect style="position:absolute;margin-left:459pt;margin-top:84.857903pt;width:45pt;height:18pt;mso-position-horizontal-relative:page;mso-position-vertical-relative:paragraph;z-index:4000" filled="true" fillcolor="#0079c1" stroked="false">
            <v:fill type="solid"/>
            <w10:wrap type="none"/>
          </v:rect>
        </w:pict>
      </w:r>
      <w:r>
        <w:rPr/>
        <w:pict>
          <v:line style="position:absolute;mso-position-horizontal-relative:page;mso-position-vertical-relative:paragraph;z-index:4024" from="450.5pt,84.857498pt" to="450.5pt,287.263498pt" stroked="true" strokeweight="1pt" strokecolor="#0079c1">
            <v:stroke dashstyle="solid"/>
            <w10:wrap type="none"/>
          </v:line>
        </w:pict>
      </w:r>
      <w:r>
        <w:rPr/>
        <w:pict>
          <v:shape style="position:absolute;margin-left:465.346802pt;margin-top:106.854301pt;width:22.25pt;height:183.2pt;mso-position-horizontal-relative:page;mso-position-vertical-relative:paragraph;z-index:4048" type="#_x0000_t202" filled="false" stroked="false">
            <v:textbox inset="0,0,0,0" style="layout-flow:vertical">
              <w:txbxContent>
                <w:p>
                  <w:pPr>
                    <w:spacing w:before="12"/>
                    <w:ind w:left="20" w:right="-1014" w:firstLine="0"/>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468.849609pt;margin-top:89.608498pt;width:15.85pt;height:8.5pt;mso-position-horizontal-relative:page;mso-position-vertical-relative:paragraph;z-index:4072" type="#_x0000_t202" filled="false" stroked="false">
            <v:textbox inset="0,0,0,0" style="layout-flow:vertical">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rFonts w:ascii="Bookman Old Style"/>
          <w:b/>
          <w:color w:val="231F20"/>
          <w:w w:val="85"/>
        </w:rPr>
        <w:t>Improve communication and cooperation </w:t>
      </w:r>
      <w:r>
        <w:rPr>
          <w:rFonts w:ascii="Bookman Old Style"/>
          <w:b/>
          <w:color w:val="231F20"/>
        </w:rPr>
        <w:t>among agencies that receive illness complaints. </w:t>
      </w:r>
      <w:r>
        <w:rPr>
          <w:color w:val="231F20"/>
        </w:rPr>
        <w:t>Regular communication should be established between agencies that receive illness complaints, epidemiology staff, and laboratory staff. Contact information should be kept current at all times. Because complaints might be made to multiple agencies,   having</w:t>
      </w:r>
    </w:p>
    <w:p>
      <w:pPr>
        <w:pStyle w:val="BodyText"/>
        <w:spacing w:line="266" w:lineRule="auto" w:before="1"/>
        <w:ind w:left="322" w:right="1558"/>
      </w:pPr>
      <w:r>
        <w:rPr>
          <w:color w:val="231F20"/>
          <w:w w:val="105"/>
        </w:rPr>
        <w:t>a robust method of sharing information is important. If possible, set up a database that public health agencies can access and review.</w:t>
      </w:r>
    </w:p>
    <w:p>
      <w:pPr>
        <w:pStyle w:val="ListParagraph"/>
        <w:numPr>
          <w:ilvl w:val="3"/>
          <w:numId w:val="21"/>
        </w:numPr>
        <w:tabs>
          <w:tab w:pos="965" w:val="left" w:leader="none"/>
        </w:tabs>
        <w:spacing w:line="240" w:lineRule="auto" w:before="179" w:after="0"/>
        <w:ind w:left="964" w:right="0" w:hanging="642"/>
        <w:jc w:val="left"/>
        <w:rPr>
          <w:i/>
          <w:sz w:val="20"/>
        </w:rPr>
      </w:pPr>
      <w:r>
        <w:rPr>
          <w:i/>
          <w:color w:val="E36F1E"/>
          <w:w w:val="105"/>
          <w:sz w:val="20"/>
        </w:rPr>
        <w:t>Other</w:t>
      </w:r>
      <w:r>
        <w:rPr>
          <w:i/>
          <w:color w:val="E36F1E"/>
          <w:spacing w:val="-20"/>
          <w:w w:val="105"/>
          <w:sz w:val="20"/>
        </w:rPr>
        <w:t> </w:t>
      </w:r>
      <w:r>
        <w:rPr>
          <w:i/>
          <w:color w:val="E36F1E"/>
          <w:w w:val="105"/>
          <w:sz w:val="20"/>
        </w:rPr>
        <w:t>potentially</w:t>
      </w:r>
      <w:r>
        <w:rPr>
          <w:i/>
          <w:color w:val="E36F1E"/>
          <w:spacing w:val="-20"/>
          <w:w w:val="105"/>
          <w:sz w:val="20"/>
        </w:rPr>
        <w:t> </w:t>
      </w:r>
      <w:r>
        <w:rPr>
          <w:i/>
          <w:color w:val="E36F1E"/>
          <w:w w:val="105"/>
          <w:sz w:val="20"/>
        </w:rPr>
        <w:t>useful</w:t>
      </w:r>
      <w:r>
        <w:rPr>
          <w:i/>
          <w:color w:val="E36F1E"/>
          <w:spacing w:val="-20"/>
          <w:w w:val="105"/>
          <w:sz w:val="20"/>
        </w:rPr>
        <w:t> </w:t>
      </w:r>
      <w:r>
        <w:rPr>
          <w:i/>
          <w:color w:val="E36F1E"/>
          <w:w w:val="105"/>
          <w:sz w:val="20"/>
        </w:rPr>
        <w:t>tools</w:t>
      </w:r>
    </w:p>
    <w:p>
      <w:pPr>
        <w:pStyle w:val="BodyText"/>
        <w:spacing w:line="261" w:lineRule="auto" w:before="8"/>
        <w:ind w:left="322" w:right="1696"/>
      </w:pPr>
      <w:r>
        <w:rPr>
          <w:rFonts w:ascii="Bookman Old Style"/>
          <w:b/>
          <w:color w:val="231F20"/>
          <w:w w:val="90"/>
        </w:rPr>
        <w:t>Check complaint information against national</w:t>
      </w:r>
      <w:r>
        <w:rPr>
          <w:rFonts w:ascii="Bookman Old Style"/>
          <w:b/>
          <w:color w:val="231F20"/>
          <w:spacing w:val="-41"/>
          <w:w w:val="90"/>
        </w:rPr>
        <w:t> </w:t>
      </w:r>
      <w:r>
        <w:rPr>
          <w:rFonts w:ascii="Bookman Old Style"/>
          <w:b/>
          <w:color w:val="231F20"/>
          <w:w w:val="90"/>
        </w:rPr>
        <w:t>databases,</w:t>
      </w:r>
      <w:r>
        <w:rPr>
          <w:rFonts w:ascii="Bookman Old Style"/>
          <w:b/>
          <w:color w:val="231F20"/>
          <w:spacing w:val="-41"/>
          <w:w w:val="90"/>
        </w:rPr>
        <w:t> </w:t>
      </w:r>
      <w:r>
        <w:rPr>
          <w:rFonts w:ascii="Bookman Old Style"/>
          <w:b/>
          <w:color w:val="231F20"/>
          <w:w w:val="90"/>
        </w:rPr>
        <w:t>such</w:t>
      </w:r>
      <w:r>
        <w:rPr>
          <w:rFonts w:ascii="Bookman Old Style"/>
          <w:b/>
          <w:color w:val="231F20"/>
          <w:spacing w:val="-41"/>
          <w:w w:val="90"/>
        </w:rPr>
        <w:t> </w:t>
      </w:r>
      <w:r>
        <w:rPr>
          <w:rFonts w:ascii="Bookman Old Style"/>
          <w:b/>
          <w:color w:val="231F20"/>
          <w:w w:val="90"/>
        </w:rPr>
        <w:t>as</w:t>
      </w:r>
      <w:r>
        <w:rPr>
          <w:rFonts w:ascii="Bookman Old Style"/>
          <w:b/>
          <w:color w:val="231F20"/>
          <w:spacing w:val="-41"/>
          <w:w w:val="90"/>
        </w:rPr>
        <w:t> </w:t>
      </w:r>
      <w:r>
        <w:rPr>
          <w:rFonts w:ascii="Bookman Old Style"/>
          <w:b/>
          <w:color w:val="231F20"/>
          <w:w w:val="90"/>
        </w:rPr>
        <w:t>the</w:t>
      </w:r>
      <w:r>
        <w:rPr>
          <w:rFonts w:ascii="Bookman Old Style"/>
          <w:b/>
          <w:color w:val="231F20"/>
          <w:spacing w:val="-41"/>
          <w:w w:val="90"/>
        </w:rPr>
        <w:t> </w:t>
      </w:r>
      <w:r>
        <w:rPr>
          <w:rFonts w:ascii="Bookman Old Style"/>
          <w:b/>
          <w:color w:val="231F20"/>
          <w:spacing w:val="-3"/>
          <w:w w:val="90"/>
        </w:rPr>
        <w:t>USDA/ </w:t>
      </w:r>
      <w:r>
        <w:rPr>
          <w:rFonts w:ascii="Bookman Old Style"/>
          <w:b/>
          <w:color w:val="231F20"/>
          <w:spacing w:val="-4"/>
          <w:w w:val="85"/>
        </w:rPr>
        <w:t>Food</w:t>
      </w:r>
      <w:r>
        <w:rPr>
          <w:rFonts w:ascii="Bookman Old Style"/>
          <w:b/>
          <w:color w:val="231F20"/>
          <w:spacing w:val="-38"/>
          <w:w w:val="85"/>
        </w:rPr>
        <w:t> </w:t>
      </w:r>
      <w:r>
        <w:rPr>
          <w:rFonts w:ascii="Bookman Old Style"/>
          <w:b/>
          <w:color w:val="231F20"/>
          <w:w w:val="85"/>
        </w:rPr>
        <w:t>Safety</w:t>
      </w:r>
      <w:r>
        <w:rPr>
          <w:rFonts w:ascii="Bookman Old Style"/>
          <w:b/>
          <w:color w:val="231F20"/>
          <w:spacing w:val="-38"/>
          <w:w w:val="85"/>
        </w:rPr>
        <w:t> </w:t>
      </w:r>
      <w:r>
        <w:rPr>
          <w:rFonts w:ascii="Bookman Old Style"/>
          <w:b/>
          <w:color w:val="231F20"/>
          <w:w w:val="85"/>
        </w:rPr>
        <w:t>and</w:t>
      </w:r>
      <w:r>
        <w:rPr>
          <w:rFonts w:ascii="Bookman Old Style"/>
          <w:b/>
          <w:color w:val="231F20"/>
          <w:spacing w:val="-38"/>
          <w:w w:val="85"/>
        </w:rPr>
        <w:t> </w:t>
      </w:r>
      <w:r>
        <w:rPr>
          <w:rFonts w:ascii="Bookman Old Style"/>
          <w:b/>
          <w:color w:val="231F20"/>
          <w:w w:val="85"/>
        </w:rPr>
        <w:t>Inspection</w:t>
      </w:r>
      <w:r>
        <w:rPr>
          <w:rFonts w:ascii="Bookman Old Style"/>
          <w:b/>
          <w:color w:val="231F20"/>
          <w:spacing w:val="-38"/>
          <w:w w:val="85"/>
        </w:rPr>
        <w:t> </w:t>
      </w:r>
      <w:r>
        <w:rPr>
          <w:rFonts w:ascii="Bookman Old Style"/>
          <w:b/>
          <w:color w:val="231F20"/>
          <w:w w:val="85"/>
        </w:rPr>
        <w:t>Service</w:t>
      </w:r>
      <w:r>
        <w:rPr>
          <w:rFonts w:ascii="Bookman Old Style"/>
          <w:b/>
          <w:color w:val="231F20"/>
          <w:spacing w:val="-38"/>
          <w:w w:val="85"/>
        </w:rPr>
        <w:t> </w:t>
      </w:r>
      <w:r>
        <w:rPr>
          <w:rFonts w:ascii="Bookman Old Style"/>
          <w:b/>
          <w:color w:val="231F20"/>
          <w:w w:val="85"/>
        </w:rPr>
        <w:t>(FSIS) Consumer</w:t>
      </w:r>
      <w:r>
        <w:rPr>
          <w:rFonts w:ascii="Bookman Old Style"/>
          <w:b/>
          <w:color w:val="231F20"/>
          <w:spacing w:val="-33"/>
          <w:w w:val="85"/>
        </w:rPr>
        <w:t> </w:t>
      </w:r>
      <w:r>
        <w:rPr>
          <w:rFonts w:ascii="Bookman Old Style"/>
          <w:b/>
          <w:color w:val="231F20"/>
          <w:w w:val="85"/>
        </w:rPr>
        <w:t>Complaint</w:t>
      </w:r>
      <w:r>
        <w:rPr>
          <w:rFonts w:ascii="Bookman Old Style"/>
          <w:b/>
          <w:color w:val="231F20"/>
          <w:spacing w:val="-33"/>
          <w:w w:val="85"/>
        </w:rPr>
        <w:t> </w:t>
      </w:r>
      <w:r>
        <w:rPr>
          <w:rFonts w:ascii="Bookman Old Style"/>
          <w:b/>
          <w:color w:val="231F20"/>
          <w:w w:val="85"/>
        </w:rPr>
        <w:t>Monitoring</w:t>
      </w:r>
      <w:r>
        <w:rPr>
          <w:rFonts w:ascii="Bookman Old Style"/>
          <w:b/>
          <w:color w:val="231F20"/>
          <w:spacing w:val="-33"/>
          <w:w w:val="85"/>
        </w:rPr>
        <w:t> </w:t>
      </w:r>
      <w:r>
        <w:rPr>
          <w:rFonts w:ascii="Bookman Old Style"/>
          <w:b/>
          <w:color w:val="231F20"/>
          <w:w w:val="85"/>
        </w:rPr>
        <w:t>System</w:t>
      </w:r>
      <w:r>
        <w:rPr>
          <w:rFonts w:ascii="Bookman Old Style"/>
          <w:b/>
          <w:color w:val="231F20"/>
          <w:w w:val="80"/>
        </w:rPr>
        <w:t> </w:t>
      </w:r>
      <w:r>
        <w:rPr>
          <w:rFonts w:ascii="Bookman Old Style"/>
          <w:b/>
          <w:color w:val="231F20"/>
        </w:rPr>
        <w:t>(CCMS). </w:t>
      </w:r>
      <w:r>
        <w:rPr>
          <w:color w:val="231F20"/>
        </w:rPr>
        <w:t>Recognizing that consumers are one of the many important resources for complaint information possibly linked to its products, FSIS released a new online tool,  the Electronic Consumer Complaint </w:t>
      </w:r>
      <w:r>
        <w:rPr>
          <w:color w:val="231F20"/>
          <w:spacing w:val="-3"/>
        </w:rPr>
        <w:t>Form </w:t>
      </w:r>
      <w:r>
        <w:rPr>
          <w:color w:val="231F20"/>
        </w:rPr>
        <w:t>(eCCF) to enhance its current surveillance   of the food </w:t>
      </w:r>
      <w:r>
        <w:rPr>
          <w:color w:val="231F20"/>
          <w:spacing w:val="-5"/>
        </w:rPr>
        <w:t>supply. </w:t>
      </w:r>
      <w:r>
        <w:rPr>
          <w:color w:val="231F20"/>
        </w:rPr>
        <w:t>Before </w:t>
      </w:r>
      <w:r>
        <w:rPr>
          <w:color w:val="231F20"/>
          <w:spacing w:val="-6"/>
        </w:rPr>
        <w:t>eCCF, </w:t>
      </w:r>
      <w:r>
        <w:rPr>
          <w:color w:val="231F20"/>
        </w:rPr>
        <w:t>consumer complaints were reported to FSIS </w:t>
      </w:r>
      <w:r>
        <w:rPr>
          <w:color w:val="231F20"/>
          <w:spacing w:val="36"/>
        </w:rPr>
        <w:t> </w:t>
      </w:r>
      <w:r>
        <w:rPr>
          <w:color w:val="231F20"/>
        </w:rPr>
        <w:t>through</w:t>
      </w:r>
    </w:p>
    <w:p>
      <w:pPr>
        <w:pStyle w:val="BodyText"/>
        <w:spacing w:line="266" w:lineRule="auto" w:before="4"/>
        <w:ind w:left="322" w:right="1391"/>
      </w:pPr>
      <w:r>
        <w:rPr>
          <w:color w:val="231F20"/>
          <w:w w:val="105"/>
        </w:rPr>
        <w:t>its field offices or through calls to the USDA’s Meat and Poultry Hotline. The eCCF now offers all consumers, including state and local health departments and schools receiving USDA-inspected products through the National School Lunch Program, an additional channel to report complaints to FSIS that is available 24 hours a day. Increased consumer reporting through the eCCF will enhance FSIS surveillance activities to characterize, prevent, and respond rapidly to potential threats from FSIS-regulated products.</w:t>
      </w:r>
    </w:p>
    <w:p>
      <w:pPr>
        <w:pStyle w:val="ListParagraph"/>
        <w:numPr>
          <w:ilvl w:val="3"/>
          <w:numId w:val="21"/>
        </w:numPr>
        <w:tabs>
          <w:tab w:pos="965" w:val="left" w:leader="none"/>
        </w:tabs>
        <w:spacing w:line="240" w:lineRule="auto" w:before="180" w:after="0"/>
        <w:ind w:left="964" w:right="0" w:hanging="642"/>
        <w:jc w:val="left"/>
        <w:rPr>
          <w:i/>
          <w:sz w:val="20"/>
        </w:rPr>
      </w:pPr>
      <w:r>
        <w:rPr>
          <w:i/>
          <w:color w:val="E36F1E"/>
          <w:w w:val="105"/>
          <w:sz w:val="20"/>
        </w:rPr>
        <w:t>Simplification of reporting</w:t>
      </w:r>
      <w:r>
        <w:rPr>
          <w:i/>
          <w:color w:val="E36F1E"/>
          <w:spacing w:val="-16"/>
          <w:w w:val="105"/>
          <w:sz w:val="20"/>
        </w:rPr>
        <w:t> </w:t>
      </w:r>
      <w:r>
        <w:rPr>
          <w:i/>
          <w:color w:val="E36F1E"/>
          <w:w w:val="105"/>
          <w:sz w:val="20"/>
        </w:rPr>
        <w:t>process</w:t>
      </w:r>
    </w:p>
    <w:p>
      <w:pPr>
        <w:pStyle w:val="BodyText"/>
        <w:spacing w:line="254" w:lineRule="auto" w:before="9"/>
        <w:ind w:left="322" w:right="1369"/>
        <w:rPr>
          <w:rFonts w:ascii="Bookman Old Style"/>
          <w:b/>
        </w:rPr>
      </w:pPr>
      <w:r>
        <w:rPr>
          <w:rFonts w:ascii="Bookman Old Style"/>
          <w:b/>
          <w:color w:val="231F20"/>
          <w:spacing w:val="-12"/>
          <w:w w:val="80"/>
        </w:rPr>
        <w:t>To </w:t>
      </w:r>
      <w:r>
        <w:rPr>
          <w:rFonts w:ascii="Bookman Old Style"/>
          <w:b/>
          <w:color w:val="231F20"/>
          <w:w w:val="80"/>
        </w:rPr>
        <w:t>increase surveillance </w:t>
      </w:r>
      <w:r>
        <w:rPr>
          <w:rFonts w:ascii="Bookman Old Style"/>
          <w:b/>
          <w:color w:val="231F20"/>
          <w:spacing w:val="-3"/>
          <w:w w:val="80"/>
        </w:rPr>
        <w:t>sensitivity, </w:t>
      </w:r>
      <w:r>
        <w:rPr>
          <w:rFonts w:ascii="Bookman Old Style"/>
          <w:b/>
          <w:color w:val="231F20"/>
          <w:w w:val="80"/>
        </w:rPr>
        <w:t>remove </w:t>
      </w:r>
      <w:r>
        <w:rPr>
          <w:rFonts w:ascii="Bookman Old Style"/>
          <w:b/>
          <w:color w:val="231F20"/>
          <w:w w:val="90"/>
        </w:rPr>
        <w:t>barriers to reporting by making the </w:t>
      </w:r>
      <w:r>
        <w:rPr>
          <w:rFonts w:ascii="Bookman Old Style"/>
          <w:b/>
          <w:color w:val="231F20"/>
          <w:w w:val="85"/>
        </w:rPr>
        <w:t>reporting</w:t>
      </w:r>
      <w:r>
        <w:rPr>
          <w:rFonts w:ascii="Bookman Old Style"/>
          <w:b/>
          <w:color w:val="231F20"/>
          <w:spacing w:val="-22"/>
          <w:w w:val="85"/>
        </w:rPr>
        <w:t> </w:t>
      </w:r>
      <w:r>
        <w:rPr>
          <w:rFonts w:ascii="Bookman Old Style"/>
          <w:b/>
          <w:color w:val="231F20"/>
          <w:w w:val="85"/>
        </w:rPr>
        <w:t>process</w:t>
      </w:r>
      <w:r>
        <w:rPr>
          <w:rFonts w:ascii="Bookman Old Style"/>
          <w:b/>
          <w:color w:val="231F20"/>
          <w:spacing w:val="-22"/>
          <w:w w:val="85"/>
        </w:rPr>
        <w:t> </w:t>
      </w:r>
      <w:r>
        <w:rPr>
          <w:rFonts w:ascii="Bookman Old Style"/>
          <w:b/>
          <w:color w:val="231F20"/>
          <w:w w:val="85"/>
        </w:rPr>
        <w:t>as</w:t>
      </w:r>
      <w:r>
        <w:rPr>
          <w:rFonts w:ascii="Bookman Old Style"/>
          <w:b/>
          <w:color w:val="231F20"/>
          <w:spacing w:val="-22"/>
          <w:w w:val="85"/>
        </w:rPr>
        <w:t> </w:t>
      </w:r>
      <w:r>
        <w:rPr>
          <w:rFonts w:ascii="Bookman Old Style"/>
          <w:b/>
          <w:color w:val="231F20"/>
          <w:w w:val="85"/>
        </w:rPr>
        <w:t>simple</w:t>
      </w:r>
      <w:r>
        <w:rPr>
          <w:rFonts w:ascii="Bookman Old Style"/>
          <w:b/>
          <w:color w:val="231F20"/>
          <w:spacing w:val="-21"/>
          <w:w w:val="85"/>
        </w:rPr>
        <w:t> </w:t>
      </w:r>
      <w:r>
        <w:rPr>
          <w:rFonts w:ascii="Bookman Old Style"/>
          <w:b/>
          <w:color w:val="231F20"/>
          <w:w w:val="85"/>
        </w:rPr>
        <w:t>as</w:t>
      </w:r>
      <w:r>
        <w:rPr>
          <w:rFonts w:ascii="Bookman Old Style"/>
          <w:b/>
          <w:color w:val="231F20"/>
          <w:spacing w:val="-22"/>
          <w:w w:val="85"/>
        </w:rPr>
        <w:t> </w:t>
      </w:r>
      <w:r>
        <w:rPr>
          <w:rFonts w:ascii="Bookman Old Style"/>
          <w:b/>
          <w:color w:val="231F20"/>
          <w:w w:val="85"/>
        </w:rPr>
        <w:t>possible</w:t>
      </w:r>
      <w:r>
        <w:rPr>
          <w:rFonts w:ascii="Bookman Old Style"/>
          <w:b/>
          <w:color w:val="231F20"/>
          <w:spacing w:val="-22"/>
          <w:w w:val="85"/>
        </w:rPr>
        <w:t> </w:t>
      </w:r>
      <w:r>
        <w:rPr>
          <w:rFonts w:ascii="Bookman Old Style"/>
          <w:b/>
          <w:color w:val="231F20"/>
          <w:w w:val="85"/>
        </w:rPr>
        <w:t>for</w:t>
      </w:r>
    </w:p>
    <w:p>
      <w:pPr>
        <w:spacing w:after="0" w:line="254" w:lineRule="auto"/>
        <w:rPr>
          <w:rFonts w:ascii="Bookman Old Style"/>
        </w:rPr>
        <w:sectPr>
          <w:type w:val="continuous"/>
          <w:pgSz w:w="10080" w:h="14400"/>
          <w:pgMar w:top="0" w:bottom="0" w:left="0" w:right="0"/>
          <w:cols w:num="2" w:equalWidth="0">
            <w:col w:w="4498" w:space="40"/>
            <w:col w:w="5542"/>
          </w:cols>
        </w:sectPr>
      </w:pPr>
    </w:p>
    <w:p>
      <w:pPr>
        <w:pStyle w:val="BodyText"/>
        <w:spacing w:before="3"/>
        <w:rPr>
          <w:rFonts w:ascii="Bookman Old Style"/>
          <w:b/>
          <w:sz w:val="10"/>
        </w:rPr>
      </w:pPr>
    </w:p>
    <w:p>
      <w:pPr>
        <w:pStyle w:val="Heading1"/>
      </w:pPr>
      <w:r>
        <w:rPr/>
        <w:pict>
          <v:line style="position:absolute;mso-position-horizontal-relative:page;mso-position-vertical-relative:paragraph;z-index:4096;mso-wrap-distance-left:0;mso-wrap-distance-right:0" from="72pt,23.995163pt" to="468pt,23.995163pt" stroked="true" strokeweight=".5pt" strokecolor="#00a94f">
            <v:stroke dashstyle="solid"/>
            <w10:wrap type="topAndBottom"/>
          </v:line>
        </w:pict>
      </w:r>
      <w:r>
        <w:rPr>
          <w:color w:val="00A94F"/>
          <w:w w:val="95"/>
        </w:rPr>
        <w:t>4.3.</w:t>
      </w:r>
      <w:r>
        <w:rPr>
          <w:color w:val="00A94F"/>
          <w:spacing w:val="-50"/>
          <w:w w:val="95"/>
        </w:rPr>
        <w:t> </w:t>
      </w:r>
      <w:r>
        <w:rPr>
          <w:color w:val="00A94F"/>
          <w:w w:val="95"/>
        </w:rPr>
        <w:t>Complaint</w:t>
      </w:r>
      <w:r>
        <w:rPr>
          <w:color w:val="00A94F"/>
          <w:spacing w:val="-50"/>
          <w:w w:val="95"/>
        </w:rPr>
        <w:t> </w:t>
      </w:r>
      <w:r>
        <w:rPr>
          <w:color w:val="00A94F"/>
          <w:w w:val="95"/>
        </w:rPr>
        <w:t>Systems</w:t>
      </w:r>
    </w:p>
    <w:p>
      <w:pPr>
        <w:pStyle w:val="BodyText"/>
        <w:spacing w:before="7"/>
        <w:rPr>
          <w:rFonts w:ascii="Lucida Sans"/>
          <w:sz w:val="17"/>
        </w:rPr>
      </w:pPr>
    </w:p>
    <w:p>
      <w:pPr>
        <w:spacing w:after="0"/>
        <w:rPr>
          <w:rFonts w:ascii="Lucida Sans"/>
          <w:sz w:val="17"/>
        </w:rPr>
        <w:sectPr>
          <w:pgSz w:w="10080" w:h="14400"/>
          <w:pgMar w:header="0" w:footer="0" w:top="1160" w:bottom="280" w:left="0" w:right="0"/>
        </w:sectPr>
      </w:pPr>
    </w:p>
    <w:p>
      <w:pPr>
        <w:pStyle w:val="BodyText"/>
        <w:spacing w:line="266" w:lineRule="auto" w:before="92"/>
        <w:ind w:left="1440" w:right="-9"/>
      </w:pPr>
      <w:r>
        <w:rPr>
          <w:rFonts w:ascii="Bookman Old Style"/>
          <w:b/>
          <w:color w:val="231F20"/>
        </w:rPr>
        <w:t>the</w:t>
      </w:r>
      <w:r>
        <w:rPr>
          <w:rFonts w:ascii="Bookman Old Style"/>
          <w:b/>
          <w:color w:val="231F20"/>
          <w:spacing w:val="-43"/>
        </w:rPr>
        <w:t> </w:t>
      </w:r>
      <w:r>
        <w:rPr>
          <w:rFonts w:ascii="Bookman Old Style"/>
          <w:b/>
          <w:color w:val="231F20"/>
        </w:rPr>
        <w:t>public.</w:t>
      </w:r>
      <w:r>
        <w:rPr>
          <w:rFonts w:ascii="Bookman Old Style"/>
          <w:b/>
          <w:color w:val="231F20"/>
          <w:spacing w:val="-42"/>
        </w:rPr>
        <w:t> </w:t>
      </w:r>
      <w:r>
        <w:rPr>
          <w:color w:val="231F20"/>
          <w:spacing w:val="-7"/>
        </w:rPr>
        <w:t>For</w:t>
      </w:r>
      <w:r>
        <w:rPr>
          <w:color w:val="231F20"/>
          <w:spacing w:val="-22"/>
        </w:rPr>
        <w:t> </w:t>
      </w:r>
      <w:r>
        <w:rPr>
          <w:color w:val="231F20"/>
        </w:rPr>
        <w:t>example,</w:t>
      </w:r>
      <w:r>
        <w:rPr>
          <w:color w:val="231F20"/>
          <w:spacing w:val="-22"/>
        </w:rPr>
        <w:t> </w:t>
      </w:r>
      <w:r>
        <w:rPr>
          <w:color w:val="231F20"/>
        </w:rPr>
        <w:t>provide</w:t>
      </w:r>
      <w:r>
        <w:rPr>
          <w:color w:val="231F20"/>
          <w:spacing w:val="-22"/>
        </w:rPr>
        <w:t> </w:t>
      </w:r>
      <w:r>
        <w:rPr>
          <w:color w:val="231F20"/>
        </w:rPr>
        <w:t>one</w:t>
      </w:r>
      <w:r>
        <w:rPr>
          <w:color w:val="231F20"/>
          <w:spacing w:val="-22"/>
        </w:rPr>
        <w:t> </w:t>
      </w:r>
      <w:r>
        <w:rPr>
          <w:color w:val="231F20"/>
        </w:rPr>
        <w:t>24/7</w:t>
      </w:r>
      <w:r>
        <w:rPr>
          <w:color w:val="231F20"/>
          <w:spacing w:val="-22"/>
        </w:rPr>
        <w:t> </w:t>
      </w:r>
      <w:r>
        <w:rPr>
          <w:color w:val="231F20"/>
        </w:rPr>
        <w:t>toll- free telephone number or one website. Such systems enable callers to leave information that public health staff can follow</w:t>
      </w:r>
      <w:r>
        <w:rPr>
          <w:color w:val="231F20"/>
          <w:spacing w:val="22"/>
        </w:rPr>
        <w:t> </w:t>
      </w:r>
      <w:r>
        <w:rPr>
          <w:color w:val="231F20"/>
          <w:spacing w:val="-3"/>
        </w:rPr>
        <w:t>up.</w:t>
      </w:r>
    </w:p>
    <w:p>
      <w:pPr>
        <w:pStyle w:val="ListParagraph"/>
        <w:numPr>
          <w:ilvl w:val="3"/>
          <w:numId w:val="22"/>
        </w:numPr>
        <w:tabs>
          <w:tab w:pos="2182" w:val="left" w:leader="none"/>
        </w:tabs>
        <w:spacing w:line="266" w:lineRule="auto" w:before="180" w:after="0"/>
        <w:ind w:left="1440" w:right="370" w:firstLine="0"/>
        <w:jc w:val="left"/>
        <w:rPr>
          <w:i/>
          <w:sz w:val="20"/>
        </w:rPr>
      </w:pPr>
      <w:r>
        <w:rPr>
          <w:i/>
          <w:color w:val="E36F1E"/>
          <w:w w:val="105"/>
          <w:sz w:val="20"/>
        </w:rPr>
        <w:t>Increased public awareness of</w:t>
      </w:r>
      <w:r>
        <w:rPr>
          <w:i/>
          <w:color w:val="E36F1E"/>
          <w:spacing w:val="-6"/>
          <w:w w:val="105"/>
          <w:sz w:val="20"/>
        </w:rPr>
        <w:t> </w:t>
      </w:r>
      <w:r>
        <w:rPr>
          <w:i/>
          <w:color w:val="E36F1E"/>
          <w:w w:val="105"/>
          <w:sz w:val="20"/>
        </w:rPr>
        <w:t>reporting </w:t>
      </w:r>
      <w:r>
        <w:rPr>
          <w:i/>
          <w:color w:val="E36F1E"/>
          <w:w w:val="105"/>
          <w:sz w:val="20"/>
        </w:rPr>
        <w:t>process</w:t>
      </w:r>
    </w:p>
    <w:p>
      <w:pPr>
        <w:pStyle w:val="BodyText"/>
        <w:spacing w:line="219" w:lineRule="exact"/>
        <w:ind w:left="1440"/>
        <w:rPr>
          <w:rFonts w:ascii="Bookman Old Style"/>
          <w:b/>
        </w:rPr>
      </w:pPr>
      <w:r>
        <w:rPr>
          <w:rFonts w:ascii="Bookman Old Style"/>
          <w:b/>
          <w:color w:val="231F20"/>
          <w:w w:val="85"/>
        </w:rPr>
        <w:t>Promote reporting by routine press</w:t>
      </w:r>
    </w:p>
    <w:p>
      <w:pPr>
        <w:pStyle w:val="BodyText"/>
        <w:spacing w:line="254" w:lineRule="auto" w:before="15"/>
        <w:ind w:left="1440" w:right="124"/>
        <w:rPr>
          <w:rFonts w:ascii="Bookman Old Style"/>
          <w:b/>
        </w:rPr>
      </w:pPr>
      <w:r>
        <w:rPr/>
        <w:pict>
          <v:line style="position:absolute;mso-position-horizontal-relative:page;mso-position-vertical-relative:paragraph;z-index:4144" from="54.5pt,38.933117pt" to="54.5pt,241.342117pt" stroked="true" strokeweight="1pt" strokecolor="#0079c1">
            <v:stroke dashstyle="solid"/>
            <w10:wrap type="none"/>
          </v:line>
        </w:pict>
      </w:r>
      <w:r>
        <w:rPr>
          <w:rFonts w:ascii="Bookman Old Style"/>
          <w:b/>
          <w:color w:val="231F20"/>
          <w:w w:val="85"/>
        </w:rPr>
        <w:t>releases</w:t>
      </w:r>
      <w:r>
        <w:rPr>
          <w:rFonts w:ascii="Bookman Old Style"/>
          <w:b/>
          <w:color w:val="231F20"/>
          <w:spacing w:val="-34"/>
          <w:w w:val="85"/>
        </w:rPr>
        <w:t> </w:t>
      </w:r>
      <w:r>
        <w:rPr>
          <w:rFonts w:ascii="Bookman Old Style"/>
          <w:b/>
          <w:color w:val="231F20"/>
          <w:w w:val="85"/>
        </w:rPr>
        <w:t>that</w:t>
      </w:r>
      <w:r>
        <w:rPr>
          <w:rFonts w:ascii="Bookman Old Style"/>
          <w:b/>
          <w:color w:val="231F20"/>
          <w:spacing w:val="-34"/>
          <w:w w:val="85"/>
        </w:rPr>
        <w:t> </w:t>
      </w:r>
      <w:r>
        <w:rPr>
          <w:rFonts w:ascii="Bookman Old Style"/>
          <w:b/>
          <w:color w:val="231F20"/>
          <w:w w:val="85"/>
        </w:rPr>
        <w:t>educate</w:t>
      </w:r>
      <w:r>
        <w:rPr>
          <w:rFonts w:ascii="Bookman Old Style"/>
          <w:b/>
          <w:color w:val="231F20"/>
          <w:spacing w:val="-34"/>
          <w:w w:val="85"/>
        </w:rPr>
        <w:t> </w:t>
      </w:r>
      <w:r>
        <w:rPr>
          <w:rFonts w:ascii="Bookman Old Style"/>
          <w:b/>
          <w:color w:val="231F20"/>
          <w:w w:val="85"/>
        </w:rPr>
        <w:t>the</w:t>
      </w:r>
      <w:r>
        <w:rPr>
          <w:rFonts w:ascii="Bookman Old Style"/>
          <w:b/>
          <w:color w:val="231F20"/>
          <w:spacing w:val="-34"/>
          <w:w w:val="85"/>
        </w:rPr>
        <w:t> </w:t>
      </w:r>
      <w:r>
        <w:rPr>
          <w:rFonts w:ascii="Bookman Old Style"/>
          <w:b/>
          <w:color w:val="231F20"/>
          <w:w w:val="85"/>
        </w:rPr>
        <w:t>public</w:t>
      </w:r>
      <w:r>
        <w:rPr>
          <w:rFonts w:ascii="Bookman Old Style"/>
          <w:b/>
          <w:color w:val="231F20"/>
          <w:spacing w:val="-34"/>
          <w:w w:val="85"/>
        </w:rPr>
        <w:t> </w:t>
      </w:r>
      <w:r>
        <w:rPr>
          <w:rFonts w:ascii="Bookman Old Style"/>
          <w:b/>
          <w:color w:val="231F20"/>
          <w:w w:val="85"/>
        </w:rPr>
        <w:t>about</w:t>
      </w:r>
      <w:r>
        <w:rPr>
          <w:rFonts w:ascii="Bookman Old Style"/>
          <w:b/>
          <w:color w:val="231F20"/>
          <w:spacing w:val="-34"/>
          <w:w w:val="85"/>
        </w:rPr>
        <w:t> </w:t>
      </w:r>
      <w:r>
        <w:rPr>
          <w:rFonts w:ascii="Bookman Old Style"/>
          <w:b/>
          <w:color w:val="231F20"/>
          <w:w w:val="85"/>
        </w:rPr>
        <w:t>food </w:t>
      </w:r>
      <w:r>
        <w:rPr>
          <w:rFonts w:ascii="Bookman Old Style"/>
          <w:b/>
          <w:color w:val="231F20"/>
          <w:spacing w:val="-4"/>
          <w:w w:val="90"/>
        </w:rPr>
        <w:t>safety,</w:t>
      </w:r>
      <w:r>
        <w:rPr>
          <w:rFonts w:ascii="Bookman Old Style"/>
          <w:b/>
          <w:color w:val="231F20"/>
          <w:spacing w:val="-43"/>
          <w:w w:val="90"/>
        </w:rPr>
        <w:t> </w:t>
      </w:r>
      <w:r>
        <w:rPr>
          <w:rFonts w:ascii="Bookman Old Style"/>
          <w:b/>
          <w:color w:val="231F20"/>
          <w:w w:val="90"/>
        </w:rPr>
        <w:t>and</w:t>
      </w:r>
      <w:r>
        <w:rPr>
          <w:rFonts w:ascii="Bookman Old Style"/>
          <w:b/>
          <w:color w:val="231F20"/>
          <w:spacing w:val="-43"/>
          <w:w w:val="90"/>
        </w:rPr>
        <w:t> </w:t>
      </w:r>
      <w:r>
        <w:rPr>
          <w:rFonts w:ascii="Bookman Old Style"/>
          <w:b/>
          <w:color w:val="231F20"/>
          <w:w w:val="90"/>
        </w:rPr>
        <w:t>advertise</w:t>
      </w:r>
      <w:r>
        <w:rPr>
          <w:rFonts w:ascii="Bookman Old Style"/>
          <w:b/>
          <w:color w:val="231F20"/>
          <w:spacing w:val="-43"/>
          <w:w w:val="90"/>
        </w:rPr>
        <w:t> </w:t>
      </w:r>
      <w:r>
        <w:rPr>
          <w:rFonts w:ascii="Bookman Old Style"/>
          <w:b/>
          <w:color w:val="231F20"/>
          <w:w w:val="90"/>
        </w:rPr>
        <w:t>the</w:t>
      </w:r>
      <w:r>
        <w:rPr>
          <w:rFonts w:ascii="Bookman Old Style"/>
          <w:b/>
          <w:color w:val="231F20"/>
          <w:spacing w:val="-43"/>
          <w:w w:val="90"/>
        </w:rPr>
        <w:t> </w:t>
      </w:r>
      <w:r>
        <w:rPr>
          <w:rFonts w:ascii="Bookman Old Style"/>
          <w:b/>
          <w:color w:val="231F20"/>
          <w:w w:val="90"/>
        </w:rPr>
        <w:t>contact</w:t>
      </w:r>
      <w:r>
        <w:rPr>
          <w:rFonts w:ascii="Bookman Old Style"/>
          <w:b/>
          <w:color w:val="231F20"/>
          <w:spacing w:val="-43"/>
          <w:w w:val="90"/>
        </w:rPr>
        <w:t> </w:t>
      </w:r>
      <w:r>
        <w:rPr>
          <w:rFonts w:ascii="Bookman Old Style"/>
          <w:b/>
          <w:color w:val="231F20"/>
          <w:w w:val="90"/>
        </w:rPr>
        <w:t>phone </w:t>
      </w:r>
      <w:r>
        <w:rPr>
          <w:rFonts w:ascii="Bookman Old Style"/>
          <w:b/>
          <w:color w:val="231F20"/>
          <w:w w:val="85"/>
        </w:rPr>
        <w:t>number</w:t>
      </w:r>
      <w:r>
        <w:rPr>
          <w:rFonts w:ascii="Bookman Old Style"/>
          <w:b/>
          <w:color w:val="231F20"/>
          <w:spacing w:val="-22"/>
          <w:w w:val="85"/>
        </w:rPr>
        <w:t> </w:t>
      </w:r>
      <w:r>
        <w:rPr>
          <w:rFonts w:ascii="Bookman Old Style"/>
          <w:b/>
          <w:color w:val="231F20"/>
          <w:w w:val="85"/>
        </w:rPr>
        <w:t>or</w:t>
      </w:r>
      <w:r>
        <w:rPr>
          <w:rFonts w:ascii="Bookman Old Style"/>
          <w:b/>
          <w:color w:val="231F20"/>
          <w:spacing w:val="-23"/>
          <w:w w:val="85"/>
        </w:rPr>
        <w:t> </w:t>
      </w:r>
      <w:r>
        <w:rPr>
          <w:rFonts w:ascii="Bookman Old Style"/>
          <w:b/>
          <w:color w:val="231F20"/>
          <w:w w:val="85"/>
        </w:rPr>
        <w:t>website</w:t>
      </w:r>
      <w:r>
        <w:rPr>
          <w:rFonts w:ascii="Bookman Old Style"/>
          <w:b/>
          <w:color w:val="231F20"/>
          <w:spacing w:val="-23"/>
          <w:w w:val="85"/>
        </w:rPr>
        <w:t> </w:t>
      </w:r>
      <w:r>
        <w:rPr>
          <w:rFonts w:ascii="Bookman Old Style"/>
          <w:b/>
          <w:color w:val="231F20"/>
          <w:w w:val="85"/>
        </w:rPr>
        <w:t>for</w:t>
      </w:r>
      <w:r>
        <w:rPr>
          <w:rFonts w:ascii="Bookman Old Style"/>
          <w:b/>
          <w:color w:val="231F20"/>
          <w:spacing w:val="-22"/>
          <w:w w:val="85"/>
        </w:rPr>
        <w:t> </w:t>
      </w:r>
      <w:r>
        <w:rPr>
          <w:rFonts w:ascii="Bookman Old Style"/>
          <w:b/>
          <w:color w:val="231F20"/>
          <w:w w:val="85"/>
        </w:rPr>
        <w:t>reports</w:t>
      </w:r>
      <w:r>
        <w:rPr>
          <w:rFonts w:ascii="Bookman Old Style"/>
          <w:b/>
          <w:color w:val="231F20"/>
          <w:spacing w:val="-22"/>
          <w:w w:val="85"/>
        </w:rPr>
        <w:t> </w:t>
      </w:r>
      <w:r>
        <w:rPr>
          <w:rFonts w:ascii="Bookman Old Style"/>
          <w:b/>
          <w:color w:val="231F20"/>
          <w:w w:val="85"/>
        </w:rPr>
        <w:t>of</w:t>
      </w:r>
      <w:r>
        <w:rPr>
          <w:rFonts w:ascii="Bookman Old Style"/>
          <w:b/>
          <w:color w:val="231F20"/>
          <w:spacing w:val="-1"/>
          <w:w w:val="85"/>
        </w:rPr>
        <w:t> </w:t>
      </w:r>
      <w:r>
        <w:rPr>
          <w:rFonts w:ascii="Bookman Old Style"/>
          <w:b/>
          <w:color w:val="231F20"/>
          <w:w w:val="85"/>
        </w:rPr>
        <w:t>illness.</w:t>
      </w:r>
    </w:p>
    <w:p>
      <w:pPr>
        <w:pStyle w:val="BodyText"/>
        <w:spacing w:line="266" w:lineRule="auto" w:before="17"/>
        <w:ind w:left="1440" w:right="414"/>
      </w:pPr>
      <w:r>
        <w:rPr/>
        <w:pict>
          <v:rect style="position:absolute;margin-left:0pt;margin-top:.72497pt;width:45pt;height:18pt;mso-position-horizontal-relative:page;mso-position-vertical-relative:paragraph;z-index:4120" filled="true" fillcolor="#0079c1" stroked="false">
            <v:fill type="solid"/>
            <w10:wrap type="none"/>
          </v:rect>
        </w:pict>
      </w:r>
      <w:r>
        <w:rPr/>
        <w:pict>
          <v:shape style="position:absolute;margin-left:16.402201pt;margin-top:21.748262pt;width:22.3pt;height:183.2pt;mso-position-horizontal-relative:page;mso-position-vertical-relative:paragraph;z-index:4192"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18.200388pt;margin-top:5.475922pt;width:15.85pt;height:8.5pt;mso-position-horizontal-relative:page;mso-position-vertical-relative:paragraph;z-index:4216"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105"/>
        </w:rPr>
        <w:t>Use a telephone number that easily can be</w:t>
      </w:r>
      <w:r>
        <w:rPr>
          <w:color w:val="231F20"/>
          <w:spacing w:val="-12"/>
          <w:w w:val="105"/>
        </w:rPr>
        <w:t> </w:t>
      </w:r>
      <w:r>
        <w:rPr>
          <w:color w:val="231F20"/>
          <w:w w:val="105"/>
        </w:rPr>
        <w:t>remembered</w:t>
      </w:r>
      <w:r>
        <w:rPr>
          <w:color w:val="231F20"/>
          <w:spacing w:val="-13"/>
          <w:w w:val="105"/>
        </w:rPr>
        <w:t> </w:t>
      </w:r>
      <w:r>
        <w:rPr>
          <w:color w:val="231F20"/>
          <w:w w:val="105"/>
        </w:rPr>
        <w:t>or</w:t>
      </w:r>
      <w:r>
        <w:rPr>
          <w:color w:val="231F20"/>
          <w:spacing w:val="-12"/>
          <w:w w:val="105"/>
        </w:rPr>
        <w:t> </w:t>
      </w:r>
      <w:r>
        <w:rPr>
          <w:color w:val="231F20"/>
          <w:w w:val="105"/>
        </w:rPr>
        <w:t>found</w:t>
      </w:r>
      <w:r>
        <w:rPr>
          <w:color w:val="231F20"/>
          <w:spacing w:val="-13"/>
          <w:w w:val="105"/>
        </w:rPr>
        <w:t> </w:t>
      </w:r>
      <w:r>
        <w:rPr>
          <w:color w:val="231F20"/>
          <w:w w:val="105"/>
        </w:rPr>
        <w:t>in</w:t>
      </w:r>
      <w:r>
        <w:rPr>
          <w:color w:val="231F20"/>
          <w:spacing w:val="-13"/>
          <w:w w:val="105"/>
        </w:rPr>
        <w:t> </w:t>
      </w:r>
      <w:r>
        <w:rPr>
          <w:color w:val="231F20"/>
          <w:w w:val="105"/>
        </w:rPr>
        <w:t>the</w:t>
      </w:r>
      <w:r>
        <w:rPr>
          <w:color w:val="231F20"/>
          <w:spacing w:val="-13"/>
          <w:w w:val="105"/>
        </w:rPr>
        <w:t> </w:t>
      </w:r>
      <w:r>
        <w:rPr>
          <w:color w:val="231F20"/>
          <w:w w:val="105"/>
        </w:rPr>
        <w:t>telephone</w:t>
      </w:r>
    </w:p>
    <w:p>
      <w:pPr>
        <w:pStyle w:val="BodyText"/>
        <w:spacing w:line="266" w:lineRule="auto"/>
        <w:ind w:left="1440" w:right="2"/>
      </w:pPr>
      <w:r>
        <w:rPr>
          <w:color w:val="231F20"/>
          <w:spacing w:val="-3"/>
          <w:w w:val="105"/>
        </w:rPr>
        <w:t>directory. Train </w:t>
      </w:r>
      <w:r>
        <w:rPr>
          <w:color w:val="231F20"/>
          <w:w w:val="105"/>
        </w:rPr>
        <w:t>food managers and workers about the importance of reporting unusual patterns</w:t>
      </w:r>
      <w:r>
        <w:rPr>
          <w:color w:val="231F20"/>
          <w:spacing w:val="-20"/>
          <w:w w:val="105"/>
        </w:rPr>
        <w:t> </w:t>
      </w:r>
      <w:r>
        <w:rPr>
          <w:color w:val="231F20"/>
          <w:w w:val="105"/>
        </w:rPr>
        <w:t>of</w:t>
      </w:r>
      <w:r>
        <w:rPr>
          <w:color w:val="231F20"/>
          <w:spacing w:val="-1"/>
          <w:w w:val="105"/>
        </w:rPr>
        <w:t> </w:t>
      </w:r>
      <w:r>
        <w:rPr>
          <w:color w:val="231F20"/>
          <w:w w:val="105"/>
        </w:rPr>
        <w:t>illness</w:t>
      </w:r>
      <w:r>
        <w:rPr>
          <w:color w:val="231F20"/>
          <w:spacing w:val="-20"/>
          <w:w w:val="105"/>
        </w:rPr>
        <w:t> </w:t>
      </w:r>
      <w:r>
        <w:rPr>
          <w:color w:val="231F20"/>
          <w:w w:val="105"/>
        </w:rPr>
        <w:t>among</w:t>
      </w:r>
      <w:r>
        <w:rPr>
          <w:color w:val="231F20"/>
          <w:spacing w:val="-20"/>
          <w:w w:val="105"/>
        </w:rPr>
        <w:t> </w:t>
      </w:r>
      <w:r>
        <w:rPr>
          <w:color w:val="231F20"/>
          <w:w w:val="105"/>
        </w:rPr>
        <w:t>workers</w:t>
      </w:r>
      <w:r>
        <w:rPr>
          <w:color w:val="231F20"/>
          <w:spacing w:val="-20"/>
          <w:w w:val="105"/>
        </w:rPr>
        <w:t> </w:t>
      </w:r>
      <w:r>
        <w:rPr>
          <w:color w:val="231F20"/>
          <w:w w:val="105"/>
        </w:rPr>
        <w:t>or</w:t>
      </w:r>
      <w:r>
        <w:rPr>
          <w:color w:val="231F20"/>
          <w:spacing w:val="-20"/>
          <w:w w:val="105"/>
        </w:rPr>
        <w:t> </w:t>
      </w:r>
      <w:r>
        <w:rPr>
          <w:color w:val="231F20"/>
          <w:w w:val="105"/>
        </w:rPr>
        <w:t>customers and food code requirements for disease reporting. Communicate the value of such reporting,</w:t>
      </w:r>
      <w:r>
        <w:rPr>
          <w:color w:val="231F20"/>
          <w:spacing w:val="-15"/>
          <w:w w:val="105"/>
        </w:rPr>
        <w:t> </w:t>
      </w:r>
      <w:r>
        <w:rPr>
          <w:color w:val="231F20"/>
          <w:w w:val="105"/>
        </w:rPr>
        <w:t>not</w:t>
      </w:r>
      <w:r>
        <w:rPr>
          <w:color w:val="231F20"/>
          <w:spacing w:val="-15"/>
          <w:w w:val="105"/>
        </w:rPr>
        <w:t> </w:t>
      </w:r>
      <w:r>
        <w:rPr>
          <w:color w:val="231F20"/>
          <w:w w:val="105"/>
        </w:rPr>
        <w:t>just</w:t>
      </w:r>
      <w:r>
        <w:rPr>
          <w:color w:val="231F20"/>
          <w:spacing w:val="-15"/>
          <w:w w:val="105"/>
        </w:rPr>
        <w:t> </w:t>
      </w:r>
      <w:r>
        <w:rPr>
          <w:color w:val="231F20"/>
          <w:w w:val="105"/>
        </w:rPr>
        <w:t>to</w:t>
      </w:r>
      <w:r>
        <w:rPr>
          <w:color w:val="231F20"/>
          <w:spacing w:val="-15"/>
          <w:w w:val="105"/>
        </w:rPr>
        <w:t> </w:t>
      </w:r>
      <w:r>
        <w:rPr>
          <w:color w:val="231F20"/>
          <w:w w:val="105"/>
        </w:rPr>
        <w:t>protect</w:t>
      </w:r>
      <w:r>
        <w:rPr>
          <w:color w:val="231F20"/>
          <w:spacing w:val="-15"/>
          <w:w w:val="105"/>
        </w:rPr>
        <w:t> </w:t>
      </w:r>
      <w:r>
        <w:rPr>
          <w:color w:val="231F20"/>
          <w:w w:val="105"/>
        </w:rPr>
        <w:t>public</w:t>
      </w:r>
      <w:r>
        <w:rPr>
          <w:color w:val="231F20"/>
          <w:spacing w:val="-15"/>
          <w:w w:val="105"/>
        </w:rPr>
        <w:t> </w:t>
      </w:r>
      <w:r>
        <w:rPr>
          <w:color w:val="231F20"/>
          <w:w w:val="105"/>
        </w:rPr>
        <w:t>health,</w:t>
      </w:r>
    </w:p>
    <w:p>
      <w:pPr>
        <w:pStyle w:val="BodyText"/>
        <w:ind w:left="1440"/>
      </w:pPr>
      <w:r>
        <w:rPr>
          <w:color w:val="231F20"/>
        </w:rPr>
        <w:t>but also to protect food establishments from</w:t>
      </w:r>
    </w:p>
    <w:p>
      <w:pPr>
        <w:pStyle w:val="BodyText"/>
        <w:spacing w:before="108"/>
        <w:ind w:left="327"/>
      </w:pPr>
      <w:r>
        <w:rPr/>
        <w:br w:type="column"/>
      </w:r>
      <w:r>
        <w:rPr>
          <w:color w:val="231F20"/>
        </w:rPr>
        <w:t>unfounded allegations of  foodborne illness.</w:t>
      </w:r>
    </w:p>
    <w:p>
      <w:pPr>
        <w:pStyle w:val="BodyText"/>
        <w:spacing w:before="2"/>
        <w:rPr>
          <w:sz w:val="18"/>
        </w:rPr>
      </w:pPr>
    </w:p>
    <w:p>
      <w:pPr>
        <w:pStyle w:val="ListParagraph"/>
        <w:numPr>
          <w:ilvl w:val="3"/>
          <w:numId w:val="22"/>
        </w:numPr>
        <w:tabs>
          <w:tab w:pos="1070" w:val="left" w:leader="none"/>
        </w:tabs>
        <w:spacing w:line="254" w:lineRule="auto" w:before="0" w:after="0"/>
        <w:ind w:left="327" w:right="738" w:firstLine="0"/>
        <w:jc w:val="left"/>
        <w:rPr>
          <w:sz w:val="20"/>
        </w:rPr>
      </w:pPr>
      <w:r>
        <w:rPr>
          <w:i/>
          <w:color w:val="E36F1E"/>
          <w:sz w:val="20"/>
        </w:rPr>
        <w:t>Centralized reporting or report review process </w:t>
      </w:r>
      <w:r>
        <w:rPr>
          <w:rFonts w:ascii="Bookman Old Style"/>
          <w:b/>
          <w:color w:val="231F20"/>
          <w:w w:val="90"/>
          <w:sz w:val="20"/>
        </w:rPr>
        <w:t>Set</w:t>
      </w:r>
      <w:r>
        <w:rPr>
          <w:rFonts w:ascii="Bookman Old Style"/>
          <w:b/>
          <w:color w:val="231F20"/>
          <w:spacing w:val="-43"/>
          <w:w w:val="90"/>
          <w:sz w:val="20"/>
        </w:rPr>
        <w:t> </w:t>
      </w:r>
      <w:r>
        <w:rPr>
          <w:rFonts w:ascii="Bookman Old Style"/>
          <w:b/>
          <w:color w:val="231F20"/>
          <w:w w:val="90"/>
          <w:sz w:val="20"/>
        </w:rPr>
        <w:t>up</w:t>
      </w:r>
      <w:r>
        <w:rPr>
          <w:rFonts w:ascii="Bookman Old Style"/>
          <w:b/>
          <w:color w:val="231F20"/>
          <w:spacing w:val="-42"/>
          <w:w w:val="90"/>
          <w:sz w:val="20"/>
        </w:rPr>
        <w:t> </w:t>
      </w:r>
      <w:r>
        <w:rPr>
          <w:rFonts w:ascii="Bookman Old Style"/>
          <w:b/>
          <w:color w:val="231F20"/>
          <w:w w:val="90"/>
          <w:sz w:val="20"/>
        </w:rPr>
        <w:t>the</w:t>
      </w:r>
      <w:r>
        <w:rPr>
          <w:rFonts w:ascii="Bookman Old Style"/>
          <w:b/>
          <w:color w:val="231F20"/>
          <w:spacing w:val="-43"/>
          <w:w w:val="90"/>
          <w:sz w:val="20"/>
        </w:rPr>
        <w:t> </w:t>
      </w:r>
      <w:r>
        <w:rPr>
          <w:rFonts w:ascii="Bookman Old Style"/>
          <w:b/>
          <w:color w:val="231F20"/>
          <w:w w:val="90"/>
          <w:sz w:val="20"/>
        </w:rPr>
        <w:t>reporting</w:t>
      </w:r>
      <w:r>
        <w:rPr>
          <w:rFonts w:ascii="Bookman Old Style"/>
          <w:b/>
          <w:color w:val="231F20"/>
          <w:spacing w:val="-43"/>
          <w:w w:val="90"/>
          <w:sz w:val="20"/>
        </w:rPr>
        <w:t> </w:t>
      </w:r>
      <w:r>
        <w:rPr>
          <w:rFonts w:ascii="Bookman Old Style"/>
          <w:b/>
          <w:color w:val="231F20"/>
          <w:w w:val="90"/>
          <w:sz w:val="20"/>
        </w:rPr>
        <w:t>process</w:t>
      </w:r>
      <w:r>
        <w:rPr>
          <w:rFonts w:ascii="Bookman Old Style"/>
          <w:b/>
          <w:color w:val="231F20"/>
          <w:spacing w:val="-43"/>
          <w:w w:val="90"/>
          <w:sz w:val="20"/>
        </w:rPr>
        <w:t> </w:t>
      </w:r>
      <w:r>
        <w:rPr>
          <w:rFonts w:ascii="Bookman Old Style"/>
          <w:b/>
          <w:color w:val="231F20"/>
          <w:w w:val="90"/>
          <w:sz w:val="20"/>
        </w:rPr>
        <w:t>so</w:t>
      </w:r>
      <w:r>
        <w:rPr>
          <w:rFonts w:ascii="Bookman Old Style"/>
          <w:b/>
          <w:color w:val="231F20"/>
          <w:spacing w:val="-42"/>
          <w:w w:val="90"/>
          <w:sz w:val="20"/>
        </w:rPr>
        <w:t> </w:t>
      </w:r>
      <w:r>
        <w:rPr>
          <w:rFonts w:ascii="Bookman Old Style"/>
          <w:b/>
          <w:color w:val="231F20"/>
          <w:w w:val="90"/>
          <w:sz w:val="20"/>
        </w:rPr>
        <w:t>all</w:t>
      </w:r>
      <w:r>
        <w:rPr>
          <w:rFonts w:ascii="Bookman Old Style"/>
          <w:b/>
          <w:color w:val="231F20"/>
          <w:spacing w:val="-43"/>
          <w:w w:val="90"/>
          <w:sz w:val="20"/>
        </w:rPr>
        <w:t> </w:t>
      </w:r>
      <w:r>
        <w:rPr>
          <w:rFonts w:ascii="Bookman Old Style"/>
          <w:b/>
          <w:color w:val="231F20"/>
          <w:w w:val="90"/>
          <w:sz w:val="20"/>
        </w:rPr>
        <w:t>reports </w:t>
      </w:r>
      <w:r>
        <w:rPr>
          <w:rFonts w:ascii="Bookman Old Style"/>
          <w:b/>
          <w:color w:val="231F20"/>
          <w:sz w:val="20"/>
        </w:rPr>
        <w:t>go</w:t>
      </w:r>
      <w:r>
        <w:rPr>
          <w:rFonts w:ascii="Bookman Old Style"/>
          <w:b/>
          <w:color w:val="231F20"/>
          <w:spacing w:val="-53"/>
          <w:sz w:val="20"/>
        </w:rPr>
        <w:t> </w:t>
      </w:r>
      <w:r>
        <w:rPr>
          <w:rFonts w:ascii="Bookman Old Style"/>
          <w:b/>
          <w:color w:val="231F20"/>
          <w:sz w:val="20"/>
        </w:rPr>
        <w:t>through</w:t>
      </w:r>
      <w:r>
        <w:rPr>
          <w:rFonts w:ascii="Bookman Old Style"/>
          <w:b/>
          <w:color w:val="231F20"/>
          <w:spacing w:val="-53"/>
          <w:sz w:val="20"/>
        </w:rPr>
        <w:t> </w:t>
      </w:r>
      <w:r>
        <w:rPr>
          <w:rFonts w:ascii="Bookman Old Style"/>
          <w:b/>
          <w:color w:val="231F20"/>
          <w:sz w:val="20"/>
        </w:rPr>
        <w:t>one</w:t>
      </w:r>
      <w:r>
        <w:rPr>
          <w:rFonts w:ascii="Bookman Old Style"/>
          <w:b/>
          <w:color w:val="231F20"/>
          <w:spacing w:val="-53"/>
          <w:sz w:val="20"/>
        </w:rPr>
        <w:t> </w:t>
      </w:r>
      <w:r>
        <w:rPr>
          <w:rFonts w:ascii="Bookman Old Style"/>
          <w:b/>
          <w:color w:val="231F20"/>
          <w:sz w:val="20"/>
        </w:rPr>
        <w:t>person</w:t>
      </w:r>
      <w:r>
        <w:rPr>
          <w:rFonts w:ascii="Bookman Old Style"/>
          <w:b/>
          <w:color w:val="231F20"/>
          <w:spacing w:val="-53"/>
          <w:sz w:val="20"/>
        </w:rPr>
        <w:t> </w:t>
      </w:r>
      <w:r>
        <w:rPr>
          <w:rFonts w:ascii="Bookman Old Style"/>
          <w:b/>
          <w:color w:val="231F20"/>
          <w:sz w:val="20"/>
        </w:rPr>
        <w:t>or</w:t>
      </w:r>
      <w:r>
        <w:rPr>
          <w:rFonts w:ascii="Bookman Old Style"/>
          <w:b/>
          <w:color w:val="231F20"/>
          <w:spacing w:val="-53"/>
          <w:sz w:val="20"/>
        </w:rPr>
        <w:t> </w:t>
      </w:r>
      <w:r>
        <w:rPr>
          <w:rFonts w:ascii="Bookman Old Style"/>
          <w:b/>
          <w:color w:val="231F20"/>
          <w:sz w:val="20"/>
        </w:rPr>
        <w:t>one</w:t>
      </w:r>
      <w:r>
        <w:rPr>
          <w:rFonts w:ascii="Bookman Old Style"/>
          <w:b/>
          <w:color w:val="231F20"/>
          <w:spacing w:val="-53"/>
          <w:sz w:val="20"/>
        </w:rPr>
        <w:t> </w:t>
      </w:r>
      <w:r>
        <w:rPr>
          <w:rFonts w:ascii="Bookman Old Style"/>
          <w:b/>
          <w:color w:val="231F20"/>
          <w:sz w:val="20"/>
        </w:rPr>
        <w:t>person </w:t>
      </w:r>
      <w:r>
        <w:rPr>
          <w:rFonts w:ascii="Bookman Old Style"/>
          <w:b/>
          <w:color w:val="231F20"/>
          <w:w w:val="90"/>
          <w:sz w:val="20"/>
        </w:rPr>
        <w:t>routinely</w:t>
      </w:r>
      <w:r>
        <w:rPr>
          <w:rFonts w:ascii="Bookman Old Style"/>
          <w:b/>
          <w:color w:val="231F20"/>
          <w:spacing w:val="-25"/>
          <w:w w:val="90"/>
          <w:sz w:val="20"/>
        </w:rPr>
        <w:t> </w:t>
      </w:r>
      <w:r>
        <w:rPr>
          <w:rFonts w:ascii="Bookman Old Style"/>
          <w:b/>
          <w:color w:val="231F20"/>
          <w:w w:val="90"/>
          <w:sz w:val="20"/>
        </w:rPr>
        <w:t>reviews</w:t>
      </w:r>
      <w:r>
        <w:rPr>
          <w:rFonts w:ascii="Bookman Old Style"/>
          <w:b/>
          <w:color w:val="231F20"/>
          <w:spacing w:val="-25"/>
          <w:w w:val="90"/>
          <w:sz w:val="20"/>
        </w:rPr>
        <w:t> </w:t>
      </w:r>
      <w:r>
        <w:rPr>
          <w:rFonts w:ascii="Bookman Old Style"/>
          <w:b/>
          <w:color w:val="231F20"/>
          <w:w w:val="90"/>
          <w:sz w:val="20"/>
        </w:rPr>
        <w:t>reports.</w:t>
      </w:r>
      <w:r>
        <w:rPr>
          <w:rFonts w:ascii="Bookman Old Style"/>
          <w:b/>
          <w:color w:val="231F20"/>
          <w:spacing w:val="-29"/>
          <w:w w:val="90"/>
          <w:sz w:val="20"/>
        </w:rPr>
        <w:t> </w:t>
      </w:r>
      <w:r>
        <w:rPr>
          <w:color w:val="231F20"/>
          <w:w w:val="90"/>
          <w:sz w:val="20"/>
        </w:rPr>
        <w:t>Centralization</w:t>
      </w:r>
    </w:p>
    <w:p>
      <w:pPr>
        <w:pStyle w:val="BodyText"/>
        <w:spacing w:line="266" w:lineRule="auto" w:before="10"/>
        <w:ind w:left="327" w:right="718"/>
      </w:pPr>
      <w:r>
        <w:rPr>
          <w:color w:val="231F20"/>
          <w:w w:val="105"/>
        </w:rPr>
        <w:t>of the reporting or review process increases the likelihood that patterns among individual complaints and seemingly unrelated outbreaks will be detected.</w:t>
      </w:r>
    </w:p>
    <w:p>
      <w:pPr>
        <w:pStyle w:val="ListParagraph"/>
        <w:numPr>
          <w:ilvl w:val="2"/>
          <w:numId w:val="18"/>
        </w:numPr>
        <w:tabs>
          <w:tab w:pos="995" w:val="left" w:leader="none"/>
        </w:tabs>
        <w:spacing w:line="254" w:lineRule="auto" w:before="159" w:after="0"/>
        <w:ind w:left="327" w:right="841" w:firstLine="0"/>
        <w:jc w:val="left"/>
        <w:rPr>
          <w:rFonts w:ascii="Lucida Sans"/>
          <w:sz w:val="20"/>
        </w:rPr>
      </w:pPr>
      <w:r>
        <w:rPr>
          <w:rFonts w:ascii="Lucida Sans"/>
          <w:color w:val="1C3E94"/>
          <w:w w:val="90"/>
          <w:sz w:val="20"/>
        </w:rPr>
        <w:t>Multijurisdictional Considerations </w:t>
      </w:r>
      <w:r>
        <w:rPr>
          <w:rFonts w:ascii="Lucida Sans"/>
          <w:color w:val="1C3E94"/>
          <w:w w:val="95"/>
          <w:sz w:val="20"/>
        </w:rPr>
        <w:t>for</w:t>
      </w:r>
      <w:r>
        <w:rPr>
          <w:rFonts w:ascii="Lucida Sans"/>
          <w:color w:val="1C3E94"/>
          <w:spacing w:val="-29"/>
          <w:w w:val="95"/>
          <w:sz w:val="20"/>
        </w:rPr>
        <w:t> </w:t>
      </w:r>
      <w:r>
        <w:rPr>
          <w:rFonts w:ascii="Lucida Sans"/>
          <w:color w:val="1C3E94"/>
          <w:w w:val="95"/>
          <w:sz w:val="20"/>
        </w:rPr>
        <w:t>Complaint</w:t>
      </w:r>
      <w:r>
        <w:rPr>
          <w:rFonts w:ascii="Lucida Sans"/>
          <w:color w:val="1C3E94"/>
          <w:spacing w:val="-29"/>
          <w:w w:val="95"/>
          <w:sz w:val="20"/>
        </w:rPr>
        <w:t> </w:t>
      </w:r>
      <w:r>
        <w:rPr>
          <w:rFonts w:ascii="Lucida Sans"/>
          <w:color w:val="1C3E94"/>
          <w:w w:val="95"/>
          <w:sz w:val="20"/>
        </w:rPr>
        <w:t>Systems</w:t>
      </w:r>
    </w:p>
    <w:p>
      <w:pPr>
        <w:pStyle w:val="BodyText"/>
        <w:spacing w:before="1"/>
        <w:rPr>
          <w:rFonts w:ascii="Lucida Sans"/>
          <w:sz w:val="17"/>
        </w:rPr>
      </w:pPr>
    </w:p>
    <w:p>
      <w:pPr>
        <w:pStyle w:val="BodyText"/>
        <w:spacing w:line="266" w:lineRule="auto"/>
        <w:ind w:left="327" w:right="922"/>
      </w:pPr>
      <w:r>
        <w:rPr>
          <w:color w:val="231F20"/>
          <w:w w:val="105"/>
        </w:rPr>
        <w:t>Outbreaks discovered through complaints might span multiple jurisdictions, as evidenced by the 1998 parsley-associated shigellosis outbreak and the 2006 multistate lettuce-associated </w:t>
      </w:r>
      <w:r>
        <w:rPr>
          <w:i/>
          <w:color w:val="231F20"/>
          <w:w w:val="105"/>
        </w:rPr>
        <w:t>E. coli </w:t>
      </w:r>
      <w:r>
        <w:rPr>
          <w:color w:val="231F20"/>
          <w:w w:val="105"/>
        </w:rPr>
        <w:t>O157:H7 outbreak in taco restaurants</w:t>
      </w:r>
      <w:r>
        <w:rPr>
          <w:color w:val="231F20"/>
          <w:w w:val="105"/>
          <w:position w:val="7"/>
          <w:sz w:val="11"/>
        </w:rPr>
        <w:t>12</w:t>
      </w:r>
      <w:r>
        <w:rPr>
          <w:color w:val="231F20"/>
          <w:w w:val="105"/>
        </w:rPr>
        <w:t>. See Chapter 7 for Multijurisdictional Investigation Guidelines.</w:t>
      </w:r>
    </w:p>
    <w:p>
      <w:pPr>
        <w:spacing w:after="0" w:line="266" w:lineRule="auto"/>
        <w:sectPr>
          <w:type w:val="continuous"/>
          <w:pgSz w:w="10080" w:h="14400"/>
          <w:pgMar w:top="0" w:bottom="0" w:left="0" w:right="0"/>
          <w:cols w:num="2" w:equalWidth="0">
            <w:col w:w="5213" w:space="40"/>
            <w:col w:w="4827"/>
          </w:cols>
        </w:sectPr>
      </w:pPr>
    </w:p>
    <w:p>
      <w:pPr>
        <w:pStyle w:val="BodyText"/>
      </w:pPr>
    </w:p>
    <w:p>
      <w:pPr>
        <w:pStyle w:val="BodyText"/>
        <w:rPr>
          <w:sz w:val="18"/>
        </w:rPr>
      </w:pPr>
    </w:p>
    <w:p>
      <w:pPr>
        <w:pStyle w:val="Heading2"/>
        <w:spacing w:line="271" w:lineRule="auto"/>
        <w:ind w:left="3686" w:right="2961" w:firstLine="527"/>
        <w:rPr>
          <w:b/>
        </w:rPr>
      </w:pPr>
      <w:r>
        <w:rPr/>
        <w:pict>
          <v:group style="position:absolute;margin-left:72pt;margin-top:-.768226pt;width:396pt;height:305.3pt;mso-position-horizontal-relative:page;mso-position-vertical-relative:paragraph;z-index:-34000" coordorigin="1440,-15" coordsize="7920,6106">
            <v:rect style="position:absolute;left:1445;top:-10;width:7910;height:6096" filled="true" fillcolor="#e5f3e7" stroked="false">
              <v:fill type="solid"/>
            </v:rect>
            <v:rect style="position:absolute;left:1445;top:-10;width:7910;height:6096" filled="false" stroked="true" strokeweight=".5pt" strokecolor="#00a94f">
              <v:stroke dashstyle="solid"/>
            </v:rect>
            <w10:wrap type="none"/>
          </v:group>
        </w:pict>
      </w:r>
      <w:r>
        <w:rPr>
          <w:b/>
          <w:color w:val="1C3E94"/>
          <w:w w:val="95"/>
        </w:rPr>
        <w:t>CIFOR Keys to Success: </w:t>
      </w:r>
      <w:r>
        <w:rPr>
          <w:b/>
          <w:color w:val="1C3E94"/>
          <w:w w:val="80"/>
        </w:rPr>
        <w:t>Focus Area 4—Complaint  systems</w:t>
      </w:r>
    </w:p>
    <w:p>
      <w:pPr>
        <w:pStyle w:val="BodyText"/>
        <w:spacing w:before="61"/>
        <w:ind w:left="1800"/>
        <w:rPr>
          <w:rFonts w:ascii="Lucida Sans"/>
        </w:rPr>
      </w:pPr>
      <w:r>
        <w:rPr>
          <w:rFonts w:ascii="Lucida Sans"/>
          <w:color w:val="1C3E94"/>
          <w:w w:val="85"/>
        </w:rPr>
        <w:t>Soliciting and receiving reports</w:t>
      </w:r>
    </w:p>
    <w:p>
      <w:pPr>
        <w:pStyle w:val="ListParagraph"/>
        <w:numPr>
          <w:ilvl w:val="3"/>
          <w:numId w:val="18"/>
        </w:numPr>
        <w:tabs>
          <w:tab w:pos="1972" w:val="left" w:leader="none"/>
        </w:tabs>
        <w:spacing w:line="254" w:lineRule="auto" w:before="15" w:after="0"/>
        <w:ind w:left="1971" w:right="1630" w:hanging="171"/>
        <w:jc w:val="left"/>
        <w:rPr>
          <w:rFonts w:ascii="Arial"/>
          <w:sz w:val="18"/>
        </w:rPr>
      </w:pPr>
      <w:r>
        <w:rPr>
          <w:rFonts w:ascii="Arial"/>
          <w:color w:val="231F20"/>
          <w:w w:val="95"/>
          <w:sz w:val="18"/>
        </w:rPr>
        <w:t>Agency/jurisdiction</w:t>
      </w:r>
      <w:r>
        <w:rPr>
          <w:rFonts w:ascii="Arial"/>
          <w:color w:val="231F20"/>
          <w:spacing w:val="-25"/>
          <w:w w:val="95"/>
          <w:sz w:val="18"/>
        </w:rPr>
        <w:t> </w:t>
      </w:r>
      <w:r>
        <w:rPr>
          <w:rFonts w:ascii="Arial"/>
          <w:color w:val="231F20"/>
          <w:w w:val="95"/>
          <w:sz w:val="18"/>
        </w:rPr>
        <w:t>has</w:t>
      </w:r>
      <w:r>
        <w:rPr>
          <w:rFonts w:ascii="Arial"/>
          <w:color w:val="231F20"/>
          <w:spacing w:val="-25"/>
          <w:w w:val="95"/>
          <w:sz w:val="18"/>
        </w:rPr>
        <w:t> </w:t>
      </w:r>
      <w:r>
        <w:rPr>
          <w:rFonts w:ascii="Arial"/>
          <w:color w:val="231F20"/>
          <w:w w:val="95"/>
          <w:sz w:val="18"/>
        </w:rPr>
        <w:t>an</w:t>
      </w:r>
      <w:r>
        <w:rPr>
          <w:rFonts w:ascii="Arial"/>
          <w:color w:val="231F20"/>
          <w:spacing w:val="-25"/>
          <w:w w:val="95"/>
          <w:sz w:val="18"/>
        </w:rPr>
        <w:t> </w:t>
      </w:r>
      <w:r>
        <w:rPr>
          <w:rFonts w:ascii="Arial"/>
          <w:color w:val="231F20"/>
          <w:w w:val="95"/>
          <w:sz w:val="18"/>
        </w:rPr>
        <w:t>established</w:t>
      </w:r>
      <w:r>
        <w:rPr>
          <w:rFonts w:ascii="Arial"/>
          <w:color w:val="231F20"/>
          <w:spacing w:val="-25"/>
          <w:w w:val="95"/>
          <w:sz w:val="18"/>
        </w:rPr>
        <w:t> </w:t>
      </w:r>
      <w:r>
        <w:rPr>
          <w:rFonts w:ascii="Arial"/>
          <w:color w:val="231F20"/>
          <w:w w:val="95"/>
          <w:sz w:val="18"/>
        </w:rPr>
        <w:t>process</w:t>
      </w:r>
      <w:r>
        <w:rPr>
          <w:rFonts w:ascii="Arial"/>
          <w:color w:val="231F20"/>
          <w:spacing w:val="-25"/>
          <w:w w:val="95"/>
          <w:sz w:val="18"/>
        </w:rPr>
        <w:t> </w:t>
      </w:r>
      <w:r>
        <w:rPr>
          <w:rFonts w:ascii="Arial"/>
          <w:color w:val="231F20"/>
          <w:w w:val="95"/>
          <w:sz w:val="18"/>
        </w:rPr>
        <w:t>for</w:t>
      </w:r>
      <w:r>
        <w:rPr>
          <w:rFonts w:ascii="Arial"/>
          <w:color w:val="231F20"/>
          <w:spacing w:val="-25"/>
          <w:w w:val="95"/>
          <w:sz w:val="18"/>
        </w:rPr>
        <w:t> </w:t>
      </w:r>
      <w:r>
        <w:rPr>
          <w:rFonts w:ascii="Arial"/>
          <w:color w:val="231F20"/>
          <w:w w:val="95"/>
          <w:sz w:val="18"/>
        </w:rPr>
        <w:t>receiving</w:t>
      </w:r>
      <w:r>
        <w:rPr>
          <w:rFonts w:ascii="Arial"/>
          <w:color w:val="231F20"/>
          <w:spacing w:val="-25"/>
          <w:w w:val="95"/>
          <w:sz w:val="18"/>
        </w:rPr>
        <w:t> </w:t>
      </w:r>
      <w:r>
        <w:rPr>
          <w:rFonts w:ascii="Arial"/>
          <w:color w:val="231F20"/>
          <w:w w:val="95"/>
          <w:sz w:val="18"/>
        </w:rPr>
        <w:t>reports</w:t>
      </w:r>
      <w:r>
        <w:rPr>
          <w:rFonts w:ascii="Arial"/>
          <w:color w:val="231F20"/>
          <w:spacing w:val="-25"/>
          <w:w w:val="95"/>
          <w:sz w:val="18"/>
        </w:rPr>
        <w:t> </w:t>
      </w:r>
      <w:r>
        <w:rPr>
          <w:rFonts w:ascii="Arial"/>
          <w:color w:val="231F20"/>
          <w:w w:val="95"/>
          <w:sz w:val="18"/>
        </w:rPr>
        <w:t>from</w:t>
      </w:r>
      <w:r>
        <w:rPr>
          <w:rFonts w:ascii="Arial"/>
          <w:color w:val="231F20"/>
          <w:spacing w:val="-25"/>
          <w:w w:val="95"/>
          <w:sz w:val="18"/>
        </w:rPr>
        <w:t> </w:t>
      </w:r>
      <w:r>
        <w:rPr>
          <w:rFonts w:ascii="Arial"/>
          <w:color w:val="231F20"/>
          <w:w w:val="95"/>
          <w:sz w:val="18"/>
        </w:rPr>
        <w:t>the</w:t>
      </w:r>
      <w:r>
        <w:rPr>
          <w:rFonts w:ascii="Arial"/>
          <w:color w:val="231F20"/>
          <w:spacing w:val="-25"/>
          <w:w w:val="95"/>
          <w:sz w:val="18"/>
        </w:rPr>
        <w:t> </w:t>
      </w:r>
      <w:r>
        <w:rPr>
          <w:rFonts w:ascii="Arial"/>
          <w:color w:val="231F20"/>
          <w:w w:val="95"/>
          <w:sz w:val="18"/>
        </w:rPr>
        <w:t>public</w:t>
      </w:r>
      <w:r>
        <w:rPr>
          <w:rFonts w:ascii="Arial"/>
          <w:color w:val="231F20"/>
          <w:spacing w:val="-25"/>
          <w:w w:val="95"/>
          <w:sz w:val="18"/>
        </w:rPr>
        <w:t> </w:t>
      </w:r>
      <w:r>
        <w:rPr>
          <w:rFonts w:ascii="Arial"/>
          <w:color w:val="231F20"/>
          <w:w w:val="95"/>
          <w:sz w:val="18"/>
        </w:rPr>
        <w:t>about</w:t>
      </w:r>
      <w:r>
        <w:rPr>
          <w:rFonts w:ascii="Arial"/>
          <w:color w:val="231F20"/>
          <w:w w:val="93"/>
          <w:sz w:val="18"/>
        </w:rPr>
        <w:t> </w:t>
      </w:r>
      <w:r>
        <w:rPr>
          <w:rFonts w:ascii="Arial"/>
          <w:color w:val="231F20"/>
          <w:w w:val="90"/>
          <w:sz w:val="18"/>
        </w:rPr>
        <w:t>possible foodborne</w:t>
      </w:r>
      <w:r>
        <w:rPr>
          <w:rFonts w:ascii="Arial"/>
          <w:color w:val="231F20"/>
          <w:spacing w:val="-6"/>
          <w:w w:val="90"/>
          <w:sz w:val="18"/>
        </w:rPr>
        <w:t> </w:t>
      </w:r>
      <w:r>
        <w:rPr>
          <w:rFonts w:ascii="Arial"/>
          <w:color w:val="231F20"/>
          <w:w w:val="90"/>
          <w:sz w:val="18"/>
        </w:rPr>
        <w:t>illness(es).</w:t>
      </w:r>
    </w:p>
    <w:p>
      <w:pPr>
        <w:pStyle w:val="ListParagraph"/>
        <w:numPr>
          <w:ilvl w:val="3"/>
          <w:numId w:val="18"/>
        </w:numPr>
        <w:tabs>
          <w:tab w:pos="1972" w:val="left" w:leader="none"/>
        </w:tabs>
        <w:spacing w:line="240" w:lineRule="auto" w:before="7" w:after="0"/>
        <w:ind w:left="1971" w:right="0" w:hanging="171"/>
        <w:jc w:val="left"/>
        <w:rPr>
          <w:rFonts w:ascii="Arial"/>
          <w:sz w:val="18"/>
        </w:rPr>
      </w:pPr>
      <w:r>
        <w:rPr>
          <w:rFonts w:ascii="Arial"/>
          <w:color w:val="231F20"/>
          <w:w w:val="95"/>
          <w:sz w:val="18"/>
        </w:rPr>
        <w:t>Public</w:t>
      </w:r>
      <w:r>
        <w:rPr>
          <w:rFonts w:ascii="Arial"/>
          <w:color w:val="231F20"/>
          <w:spacing w:val="-23"/>
          <w:w w:val="95"/>
          <w:sz w:val="18"/>
        </w:rPr>
        <w:t> </w:t>
      </w:r>
      <w:r>
        <w:rPr>
          <w:rFonts w:ascii="Arial"/>
          <w:color w:val="231F20"/>
          <w:w w:val="95"/>
          <w:sz w:val="18"/>
        </w:rPr>
        <w:t>knows</w:t>
      </w:r>
      <w:r>
        <w:rPr>
          <w:rFonts w:ascii="Arial"/>
          <w:color w:val="231F20"/>
          <w:spacing w:val="-23"/>
          <w:w w:val="95"/>
          <w:sz w:val="18"/>
        </w:rPr>
        <w:t> </w:t>
      </w:r>
      <w:r>
        <w:rPr>
          <w:rFonts w:ascii="Arial"/>
          <w:color w:val="231F20"/>
          <w:w w:val="95"/>
          <w:sz w:val="18"/>
        </w:rPr>
        <w:t>how</w:t>
      </w:r>
      <w:r>
        <w:rPr>
          <w:rFonts w:ascii="Arial"/>
          <w:color w:val="231F20"/>
          <w:spacing w:val="-23"/>
          <w:w w:val="95"/>
          <w:sz w:val="18"/>
        </w:rPr>
        <w:t> </w:t>
      </w:r>
      <w:r>
        <w:rPr>
          <w:rFonts w:ascii="Arial"/>
          <w:color w:val="231F20"/>
          <w:w w:val="95"/>
          <w:sz w:val="18"/>
        </w:rPr>
        <w:t>to</w:t>
      </w:r>
      <w:r>
        <w:rPr>
          <w:rFonts w:ascii="Arial"/>
          <w:color w:val="231F20"/>
          <w:spacing w:val="-23"/>
          <w:w w:val="95"/>
          <w:sz w:val="18"/>
        </w:rPr>
        <w:t> </w:t>
      </w:r>
      <w:r>
        <w:rPr>
          <w:rFonts w:ascii="Arial"/>
          <w:color w:val="231F20"/>
          <w:w w:val="95"/>
          <w:sz w:val="18"/>
        </w:rPr>
        <w:t>report</w:t>
      </w:r>
      <w:r>
        <w:rPr>
          <w:rFonts w:ascii="Arial"/>
          <w:color w:val="231F20"/>
          <w:spacing w:val="-23"/>
          <w:w w:val="95"/>
          <w:sz w:val="18"/>
        </w:rPr>
        <w:t> </w:t>
      </w:r>
      <w:r>
        <w:rPr>
          <w:rFonts w:ascii="Arial"/>
          <w:color w:val="231F20"/>
          <w:w w:val="95"/>
          <w:sz w:val="18"/>
        </w:rPr>
        <w:t>possible</w:t>
      </w:r>
      <w:r>
        <w:rPr>
          <w:rFonts w:ascii="Arial"/>
          <w:color w:val="231F20"/>
          <w:spacing w:val="-23"/>
          <w:w w:val="95"/>
          <w:sz w:val="18"/>
        </w:rPr>
        <w:t> </w:t>
      </w:r>
      <w:r>
        <w:rPr>
          <w:rFonts w:ascii="Arial"/>
          <w:color w:val="231F20"/>
          <w:w w:val="95"/>
          <w:sz w:val="18"/>
        </w:rPr>
        <w:t>foodborne</w:t>
      </w:r>
      <w:r>
        <w:rPr>
          <w:rFonts w:ascii="Arial"/>
          <w:color w:val="231F20"/>
          <w:spacing w:val="-23"/>
          <w:w w:val="95"/>
          <w:sz w:val="18"/>
        </w:rPr>
        <w:t> </w:t>
      </w:r>
      <w:r>
        <w:rPr>
          <w:rFonts w:ascii="Arial"/>
          <w:color w:val="231F20"/>
          <w:w w:val="95"/>
          <w:sz w:val="18"/>
        </w:rPr>
        <w:t>illnesses</w:t>
      </w:r>
      <w:r>
        <w:rPr>
          <w:rFonts w:ascii="Arial"/>
          <w:color w:val="231F20"/>
          <w:spacing w:val="-23"/>
          <w:w w:val="95"/>
          <w:sz w:val="18"/>
        </w:rPr>
        <w:t> </w:t>
      </w:r>
      <w:r>
        <w:rPr>
          <w:rFonts w:ascii="Arial"/>
          <w:color w:val="231F20"/>
          <w:w w:val="95"/>
          <w:sz w:val="18"/>
        </w:rPr>
        <w:t>to</w:t>
      </w:r>
      <w:r>
        <w:rPr>
          <w:rFonts w:ascii="Arial"/>
          <w:color w:val="231F20"/>
          <w:spacing w:val="-23"/>
          <w:w w:val="95"/>
          <w:sz w:val="18"/>
        </w:rPr>
        <w:t> </w:t>
      </w:r>
      <w:r>
        <w:rPr>
          <w:rFonts w:ascii="Arial"/>
          <w:color w:val="231F20"/>
          <w:w w:val="95"/>
          <w:sz w:val="18"/>
        </w:rPr>
        <w:t>the</w:t>
      </w:r>
      <w:r>
        <w:rPr>
          <w:rFonts w:ascii="Arial"/>
          <w:color w:val="231F20"/>
          <w:spacing w:val="-23"/>
          <w:w w:val="95"/>
          <w:sz w:val="18"/>
        </w:rPr>
        <w:t> </w:t>
      </w:r>
      <w:r>
        <w:rPr>
          <w:rFonts w:ascii="Arial"/>
          <w:color w:val="231F20"/>
          <w:w w:val="95"/>
          <w:sz w:val="18"/>
        </w:rPr>
        <w:t>agency/jurisdiction.</w:t>
      </w:r>
    </w:p>
    <w:p>
      <w:pPr>
        <w:pStyle w:val="ListParagraph"/>
        <w:numPr>
          <w:ilvl w:val="3"/>
          <w:numId w:val="18"/>
        </w:numPr>
        <w:tabs>
          <w:tab w:pos="1972" w:val="left" w:leader="none"/>
        </w:tabs>
        <w:spacing w:line="259" w:lineRule="auto" w:before="9" w:after="0"/>
        <w:ind w:left="1971" w:right="1513" w:hanging="171"/>
        <w:jc w:val="left"/>
        <w:rPr>
          <w:rFonts w:ascii="Arial"/>
          <w:sz w:val="18"/>
        </w:rPr>
      </w:pPr>
      <w:r>
        <w:rPr>
          <w:rFonts w:ascii="Arial"/>
          <w:color w:val="231F20"/>
          <w:w w:val="95"/>
          <w:sz w:val="18"/>
        </w:rPr>
        <w:t>Agency/jurisdiction</w:t>
      </w:r>
      <w:r>
        <w:rPr>
          <w:rFonts w:ascii="Arial"/>
          <w:color w:val="231F20"/>
          <w:spacing w:val="-19"/>
          <w:w w:val="95"/>
          <w:sz w:val="18"/>
        </w:rPr>
        <w:t> </w:t>
      </w:r>
      <w:r>
        <w:rPr>
          <w:rFonts w:ascii="Arial"/>
          <w:color w:val="231F20"/>
          <w:w w:val="95"/>
          <w:sz w:val="18"/>
        </w:rPr>
        <w:t>solicits</w:t>
      </w:r>
      <w:r>
        <w:rPr>
          <w:rFonts w:ascii="Arial"/>
          <w:color w:val="231F20"/>
          <w:spacing w:val="-19"/>
          <w:w w:val="95"/>
          <w:sz w:val="18"/>
        </w:rPr>
        <w:t> </w:t>
      </w:r>
      <w:r>
        <w:rPr>
          <w:rFonts w:ascii="Arial"/>
          <w:color w:val="231F20"/>
          <w:w w:val="95"/>
          <w:sz w:val="18"/>
        </w:rPr>
        <w:t>reports</w:t>
      </w:r>
      <w:r>
        <w:rPr>
          <w:rFonts w:ascii="Arial"/>
          <w:color w:val="231F20"/>
          <w:spacing w:val="-19"/>
          <w:w w:val="95"/>
          <w:sz w:val="18"/>
        </w:rPr>
        <w:t> </w:t>
      </w:r>
      <w:r>
        <w:rPr>
          <w:rFonts w:ascii="Arial"/>
          <w:color w:val="231F20"/>
          <w:w w:val="95"/>
          <w:sz w:val="18"/>
        </w:rPr>
        <w:t>of</w:t>
      </w:r>
      <w:r>
        <w:rPr>
          <w:rFonts w:ascii="Arial"/>
          <w:color w:val="231F20"/>
          <w:spacing w:val="-19"/>
          <w:w w:val="95"/>
          <w:sz w:val="18"/>
        </w:rPr>
        <w:t> </w:t>
      </w:r>
      <w:r>
        <w:rPr>
          <w:rFonts w:ascii="Arial"/>
          <w:color w:val="231F20"/>
          <w:w w:val="95"/>
          <w:sz w:val="18"/>
        </w:rPr>
        <w:t>possible</w:t>
      </w:r>
      <w:r>
        <w:rPr>
          <w:rFonts w:ascii="Arial"/>
          <w:color w:val="231F20"/>
          <w:spacing w:val="-19"/>
          <w:w w:val="95"/>
          <w:sz w:val="18"/>
        </w:rPr>
        <w:t> </w:t>
      </w:r>
      <w:r>
        <w:rPr>
          <w:rFonts w:ascii="Arial"/>
          <w:color w:val="231F20"/>
          <w:w w:val="95"/>
          <w:sz w:val="18"/>
        </w:rPr>
        <w:t>foodborne</w:t>
      </w:r>
      <w:r>
        <w:rPr>
          <w:rFonts w:ascii="Arial"/>
          <w:color w:val="231F20"/>
          <w:spacing w:val="-19"/>
          <w:w w:val="95"/>
          <w:sz w:val="18"/>
        </w:rPr>
        <w:t> </w:t>
      </w:r>
      <w:r>
        <w:rPr>
          <w:rFonts w:ascii="Arial"/>
          <w:color w:val="231F20"/>
          <w:w w:val="95"/>
          <w:sz w:val="18"/>
        </w:rPr>
        <w:t>illness</w:t>
      </w:r>
      <w:r>
        <w:rPr>
          <w:rFonts w:ascii="Arial"/>
          <w:color w:val="231F20"/>
          <w:spacing w:val="-19"/>
          <w:w w:val="95"/>
          <w:sz w:val="18"/>
        </w:rPr>
        <w:t> </w:t>
      </w:r>
      <w:r>
        <w:rPr>
          <w:rFonts w:ascii="Arial"/>
          <w:color w:val="231F20"/>
          <w:w w:val="95"/>
          <w:sz w:val="18"/>
        </w:rPr>
        <w:t>from</w:t>
      </w:r>
      <w:r>
        <w:rPr>
          <w:rFonts w:ascii="Arial"/>
          <w:color w:val="231F20"/>
          <w:spacing w:val="-19"/>
          <w:w w:val="95"/>
          <w:sz w:val="18"/>
        </w:rPr>
        <w:t> </w:t>
      </w:r>
      <w:r>
        <w:rPr>
          <w:rFonts w:ascii="Arial"/>
          <w:color w:val="231F20"/>
          <w:w w:val="95"/>
          <w:sz w:val="18"/>
        </w:rPr>
        <w:t>other</w:t>
      </w:r>
      <w:r>
        <w:rPr>
          <w:rFonts w:ascii="Arial"/>
          <w:color w:val="231F20"/>
          <w:spacing w:val="-19"/>
          <w:w w:val="95"/>
          <w:sz w:val="18"/>
        </w:rPr>
        <w:t> </w:t>
      </w:r>
      <w:r>
        <w:rPr>
          <w:rFonts w:ascii="Arial"/>
          <w:color w:val="231F20"/>
          <w:w w:val="95"/>
          <w:sz w:val="18"/>
        </w:rPr>
        <w:t>agencies</w:t>
      </w:r>
      <w:r>
        <w:rPr>
          <w:rFonts w:ascii="Arial"/>
          <w:color w:val="231F20"/>
          <w:spacing w:val="-19"/>
          <w:w w:val="95"/>
          <w:sz w:val="18"/>
        </w:rPr>
        <w:t> </w:t>
      </w:r>
      <w:r>
        <w:rPr>
          <w:rFonts w:ascii="Arial"/>
          <w:color w:val="231F20"/>
          <w:w w:val="95"/>
          <w:sz w:val="18"/>
        </w:rPr>
        <w:t>and organizations</w:t>
      </w:r>
      <w:r>
        <w:rPr>
          <w:rFonts w:ascii="Arial"/>
          <w:color w:val="231F20"/>
          <w:spacing w:val="-27"/>
          <w:w w:val="95"/>
          <w:sz w:val="18"/>
        </w:rPr>
        <w:t> </w:t>
      </w:r>
      <w:r>
        <w:rPr>
          <w:rFonts w:ascii="Arial"/>
          <w:color w:val="231F20"/>
          <w:w w:val="95"/>
          <w:sz w:val="18"/>
        </w:rPr>
        <w:t>likely</w:t>
      </w:r>
      <w:r>
        <w:rPr>
          <w:rFonts w:ascii="Arial"/>
          <w:color w:val="231F20"/>
          <w:spacing w:val="-27"/>
          <w:w w:val="95"/>
          <w:sz w:val="18"/>
        </w:rPr>
        <w:t> </w:t>
      </w:r>
      <w:r>
        <w:rPr>
          <w:rFonts w:ascii="Arial"/>
          <w:color w:val="231F20"/>
          <w:w w:val="95"/>
          <w:sz w:val="18"/>
        </w:rPr>
        <w:t>to</w:t>
      </w:r>
      <w:r>
        <w:rPr>
          <w:rFonts w:ascii="Arial"/>
          <w:color w:val="231F20"/>
          <w:spacing w:val="-27"/>
          <w:w w:val="95"/>
          <w:sz w:val="18"/>
        </w:rPr>
        <w:t> </w:t>
      </w:r>
      <w:r>
        <w:rPr>
          <w:rFonts w:ascii="Arial"/>
          <w:color w:val="231F20"/>
          <w:w w:val="95"/>
          <w:sz w:val="18"/>
        </w:rPr>
        <w:t>receive</w:t>
      </w:r>
      <w:r>
        <w:rPr>
          <w:rFonts w:ascii="Arial"/>
          <w:color w:val="231F20"/>
          <w:spacing w:val="-27"/>
          <w:w w:val="95"/>
          <w:sz w:val="18"/>
        </w:rPr>
        <w:t> </w:t>
      </w:r>
      <w:r>
        <w:rPr>
          <w:rFonts w:ascii="Arial"/>
          <w:color w:val="231F20"/>
          <w:w w:val="95"/>
          <w:sz w:val="18"/>
        </w:rPr>
        <w:t>these</w:t>
      </w:r>
      <w:r>
        <w:rPr>
          <w:rFonts w:ascii="Arial"/>
          <w:color w:val="231F20"/>
          <w:spacing w:val="-27"/>
          <w:w w:val="95"/>
          <w:sz w:val="18"/>
        </w:rPr>
        <w:t> </w:t>
      </w:r>
      <w:r>
        <w:rPr>
          <w:rFonts w:ascii="Arial"/>
          <w:color w:val="231F20"/>
          <w:w w:val="95"/>
          <w:sz w:val="18"/>
        </w:rPr>
        <w:t>reports</w:t>
      </w:r>
      <w:r>
        <w:rPr>
          <w:rFonts w:ascii="Arial"/>
          <w:color w:val="231F20"/>
          <w:spacing w:val="-27"/>
          <w:w w:val="95"/>
          <w:sz w:val="18"/>
        </w:rPr>
        <w:t> </w:t>
      </w:r>
      <w:r>
        <w:rPr>
          <w:rFonts w:ascii="Arial"/>
          <w:color w:val="231F20"/>
          <w:w w:val="95"/>
          <w:sz w:val="18"/>
        </w:rPr>
        <w:t>(e.g.,</w:t>
      </w:r>
      <w:r>
        <w:rPr>
          <w:rFonts w:ascii="Arial"/>
          <w:color w:val="231F20"/>
          <w:spacing w:val="-27"/>
          <w:w w:val="95"/>
          <w:sz w:val="18"/>
        </w:rPr>
        <w:t> </w:t>
      </w:r>
      <w:r>
        <w:rPr>
          <w:rFonts w:ascii="Arial"/>
          <w:color w:val="231F20"/>
          <w:w w:val="95"/>
          <w:sz w:val="18"/>
        </w:rPr>
        <w:t>poison</w:t>
      </w:r>
      <w:r>
        <w:rPr>
          <w:rFonts w:ascii="Arial"/>
          <w:color w:val="231F20"/>
          <w:spacing w:val="-27"/>
          <w:w w:val="95"/>
          <w:sz w:val="18"/>
        </w:rPr>
        <w:t> </w:t>
      </w:r>
      <w:r>
        <w:rPr>
          <w:rFonts w:ascii="Arial"/>
          <w:color w:val="231F20"/>
          <w:w w:val="95"/>
          <w:sz w:val="18"/>
        </w:rPr>
        <w:t>control</w:t>
      </w:r>
      <w:r>
        <w:rPr>
          <w:rFonts w:ascii="Arial"/>
          <w:color w:val="231F20"/>
          <w:spacing w:val="-27"/>
          <w:w w:val="95"/>
          <w:sz w:val="18"/>
        </w:rPr>
        <w:t> </w:t>
      </w:r>
      <w:r>
        <w:rPr>
          <w:rFonts w:ascii="Arial"/>
          <w:color w:val="231F20"/>
          <w:spacing w:val="-3"/>
          <w:w w:val="95"/>
          <w:sz w:val="18"/>
        </w:rPr>
        <w:t>center,</w:t>
      </w:r>
      <w:r>
        <w:rPr>
          <w:rFonts w:ascii="Arial"/>
          <w:color w:val="231F20"/>
          <w:spacing w:val="-27"/>
          <w:w w:val="95"/>
          <w:sz w:val="18"/>
        </w:rPr>
        <w:t> </w:t>
      </w:r>
      <w:r>
        <w:rPr>
          <w:rFonts w:ascii="Arial"/>
          <w:color w:val="231F20"/>
          <w:w w:val="95"/>
          <w:sz w:val="18"/>
        </w:rPr>
        <w:t>industry)</w:t>
      </w:r>
      <w:r>
        <w:rPr>
          <w:rFonts w:ascii="Arial"/>
          <w:color w:val="231F20"/>
          <w:spacing w:val="-27"/>
          <w:w w:val="95"/>
          <w:sz w:val="18"/>
        </w:rPr>
        <w:t> </w:t>
      </w:r>
      <w:r>
        <w:rPr>
          <w:rFonts w:ascii="Arial"/>
          <w:color w:val="231F20"/>
          <w:w w:val="95"/>
          <w:sz w:val="18"/>
        </w:rPr>
        <w:t>inside</w:t>
      </w:r>
      <w:r>
        <w:rPr>
          <w:rFonts w:ascii="Arial"/>
          <w:color w:val="231F20"/>
          <w:spacing w:val="-27"/>
          <w:w w:val="95"/>
          <w:sz w:val="18"/>
        </w:rPr>
        <w:t> </w:t>
      </w:r>
      <w:r>
        <w:rPr>
          <w:rFonts w:ascii="Arial"/>
          <w:color w:val="231F20"/>
          <w:w w:val="95"/>
          <w:sz w:val="18"/>
        </w:rPr>
        <w:t>and</w:t>
      </w:r>
      <w:r>
        <w:rPr>
          <w:rFonts w:ascii="Arial"/>
          <w:color w:val="231F20"/>
          <w:w w:val="90"/>
          <w:sz w:val="18"/>
        </w:rPr>
        <w:t> </w:t>
      </w:r>
      <w:r>
        <w:rPr>
          <w:rFonts w:ascii="Arial"/>
          <w:color w:val="231F20"/>
          <w:w w:val="95"/>
          <w:sz w:val="18"/>
        </w:rPr>
        <w:t>outside</w:t>
      </w:r>
      <w:r>
        <w:rPr>
          <w:rFonts w:ascii="Arial"/>
          <w:color w:val="231F20"/>
          <w:spacing w:val="-25"/>
          <w:w w:val="95"/>
          <w:sz w:val="18"/>
        </w:rPr>
        <w:t> </w:t>
      </w:r>
      <w:r>
        <w:rPr>
          <w:rFonts w:ascii="Arial"/>
          <w:color w:val="231F20"/>
          <w:w w:val="95"/>
          <w:sz w:val="18"/>
        </w:rPr>
        <w:t>the</w:t>
      </w:r>
      <w:r>
        <w:rPr>
          <w:rFonts w:ascii="Arial"/>
          <w:color w:val="231F20"/>
          <w:spacing w:val="-25"/>
          <w:w w:val="95"/>
          <w:sz w:val="18"/>
        </w:rPr>
        <w:t> </w:t>
      </w:r>
      <w:r>
        <w:rPr>
          <w:rFonts w:ascii="Arial"/>
          <w:color w:val="231F20"/>
          <w:w w:val="95"/>
          <w:sz w:val="18"/>
        </w:rPr>
        <w:t>jurisdiction.</w:t>
      </w:r>
    </w:p>
    <w:p>
      <w:pPr>
        <w:pStyle w:val="ListParagraph"/>
        <w:numPr>
          <w:ilvl w:val="3"/>
          <w:numId w:val="18"/>
        </w:numPr>
        <w:tabs>
          <w:tab w:pos="1972" w:val="left" w:leader="none"/>
        </w:tabs>
        <w:spacing w:line="254" w:lineRule="auto" w:before="4" w:after="0"/>
        <w:ind w:left="1971" w:right="1415" w:hanging="171"/>
        <w:jc w:val="left"/>
        <w:rPr>
          <w:rFonts w:ascii="Arial"/>
          <w:sz w:val="18"/>
        </w:rPr>
      </w:pPr>
      <w:r>
        <w:rPr>
          <w:rFonts w:ascii="Arial"/>
          <w:color w:val="231F20"/>
          <w:w w:val="95"/>
          <w:sz w:val="18"/>
        </w:rPr>
        <w:t>Agency/jurisdiction</w:t>
      </w:r>
      <w:r>
        <w:rPr>
          <w:rFonts w:ascii="Arial"/>
          <w:color w:val="231F20"/>
          <w:spacing w:val="-19"/>
          <w:w w:val="95"/>
          <w:sz w:val="18"/>
        </w:rPr>
        <w:t> </w:t>
      </w:r>
      <w:r>
        <w:rPr>
          <w:rFonts w:ascii="Arial"/>
          <w:color w:val="231F20"/>
          <w:w w:val="95"/>
          <w:sz w:val="18"/>
        </w:rPr>
        <w:t>works</w:t>
      </w:r>
      <w:r>
        <w:rPr>
          <w:rFonts w:ascii="Arial"/>
          <w:color w:val="231F20"/>
          <w:spacing w:val="-19"/>
          <w:w w:val="95"/>
          <w:sz w:val="18"/>
        </w:rPr>
        <w:t> </w:t>
      </w:r>
      <w:r>
        <w:rPr>
          <w:rFonts w:ascii="Arial"/>
          <w:color w:val="231F20"/>
          <w:w w:val="95"/>
          <w:sz w:val="18"/>
        </w:rPr>
        <w:t>with</w:t>
      </w:r>
      <w:r>
        <w:rPr>
          <w:rFonts w:ascii="Arial"/>
          <w:color w:val="231F20"/>
          <w:spacing w:val="-19"/>
          <w:w w:val="95"/>
          <w:sz w:val="18"/>
        </w:rPr>
        <w:t> </w:t>
      </w:r>
      <w:r>
        <w:rPr>
          <w:rFonts w:ascii="Arial"/>
          <w:color w:val="231F20"/>
          <w:w w:val="95"/>
          <w:sz w:val="18"/>
        </w:rPr>
        <w:t>the</w:t>
      </w:r>
      <w:r>
        <w:rPr>
          <w:rFonts w:ascii="Arial"/>
          <w:color w:val="231F20"/>
          <w:spacing w:val="-19"/>
          <w:w w:val="95"/>
          <w:sz w:val="18"/>
        </w:rPr>
        <w:t> </w:t>
      </w:r>
      <w:r>
        <w:rPr>
          <w:rFonts w:ascii="Arial"/>
          <w:color w:val="231F20"/>
          <w:w w:val="95"/>
          <w:sz w:val="18"/>
        </w:rPr>
        <w:t>local</w:t>
      </w:r>
      <w:r>
        <w:rPr>
          <w:rFonts w:ascii="Arial"/>
          <w:color w:val="231F20"/>
          <w:spacing w:val="-19"/>
          <w:w w:val="95"/>
          <w:sz w:val="18"/>
        </w:rPr>
        <w:t> </w:t>
      </w:r>
      <w:r>
        <w:rPr>
          <w:rFonts w:ascii="Arial"/>
          <w:color w:val="231F20"/>
          <w:w w:val="95"/>
          <w:sz w:val="18"/>
        </w:rPr>
        <w:t>media</w:t>
      </w:r>
      <w:r>
        <w:rPr>
          <w:rFonts w:ascii="Arial"/>
          <w:color w:val="231F20"/>
          <w:spacing w:val="-19"/>
          <w:w w:val="95"/>
          <w:sz w:val="18"/>
        </w:rPr>
        <w:t> </w:t>
      </w:r>
      <w:r>
        <w:rPr>
          <w:rFonts w:ascii="Arial"/>
          <w:color w:val="231F20"/>
          <w:w w:val="95"/>
          <w:sz w:val="18"/>
        </w:rPr>
        <w:t>to</w:t>
      </w:r>
      <w:r>
        <w:rPr>
          <w:rFonts w:ascii="Arial"/>
          <w:color w:val="231F20"/>
          <w:spacing w:val="-19"/>
          <w:w w:val="95"/>
          <w:sz w:val="18"/>
        </w:rPr>
        <w:t> </w:t>
      </w:r>
      <w:r>
        <w:rPr>
          <w:rFonts w:ascii="Arial"/>
          <w:color w:val="231F20"/>
          <w:w w:val="95"/>
          <w:sz w:val="18"/>
        </w:rPr>
        <w:t>solicit</w:t>
      </w:r>
      <w:r>
        <w:rPr>
          <w:rFonts w:ascii="Arial"/>
          <w:color w:val="231F20"/>
          <w:spacing w:val="-19"/>
          <w:w w:val="95"/>
          <w:sz w:val="18"/>
        </w:rPr>
        <w:t> </w:t>
      </w:r>
      <w:r>
        <w:rPr>
          <w:rFonts w:ascii="Arial"/>
          <w:color w:val="231F20"/>
          <w:w w:val="95"/>
          <w:sz w:val="18"/>
        </w:rPr>
        <w:t>reports</w:t>
      </w:r>
      <w:r>
        <w:rPr>
          <w:rFonts w:ascii="Arial"/>
          <w:color w:val="231F20"/>
          <w:spacing w:val="-19"/>
          <w:w w:val="95"/>
          <w:sz w:val="18"/>
        </w:rPr>
        <w:t> </w:t>
      </w:r>
      <w:r>
        <w:rPr>
          <w:rFonts w:ascii="Arial"/>
          <w:color w:val="231F20"/>
          <w:w w:val="95"/>
          <w:sz w:val="18"/>
        </w:rPr>
        <w:t>of</w:t>
      </w:r>
      <w:r>
        <w:rPr>
          <w:rFonts w:ascii="Arial"/>
          <w:color w:val="231F20"/>
          <w:spacing w:val="-19"/>
          <w:w w:val="95"/>
          <w:sz w:val="18"/>
        </w:rPr>
        <w:t> </w:t>
      </w:r>
      <w:r>
        <w:rPr>
          <w:rFonts w:ascii="Arial"/>
          <w:color w:val="231F20"/>
          <w:w w:val="95"/>
          <w:sz w:val="18"/>
        </w:rPr>
        <w:t>possible</w:t>
      </w:r>
      <w:r>
        <w:rPr>
          <w:rFonts w:ascii="Arial"/>
          <w:color w:val="231F20"/>
          <w:spacing w:val="-19"/>
          <w:w w:val="95"/>
          <w:sz w:val="18"/>
        </w:rPr>
        <w:t> </w:t>
      </w:r>
      <w:r>
        <w:rPr>
          <w:rFonts w:ascii="Arial"/>
          <w:color w:val="231F20"/>
          <w:w w:val="95"/>
          <w:sz w:val="18"/>
        </w:rPr>
        <w:t>foodborne</w:t>
      </w:r>
      <w:r>
        <w:rPr>
          <w:rFonts w:ascii="Arial"/>
          <w:color w:val="231F20"/>
          <w:spacing w:val="-19"/>
          <w:w w:val="95"/>
          <w:sz w:val="18"/>
        </w:rPr>
        <w:t> </w:t>
      </w:r>
      <w:r>
        <w:rPr>
          <w:rFonts w:ascii="Arial"/>
          <w:color w:val="231F20"/>
          <w:w w:val="95"/>
          <w:sz w:val="18"/>
        </w:rPr>
        <w:t>illness from the</w:t>
      </w:r>
      <w:r>
        <w:rPr>
          <w:rFonts w:ascii="Arial"/>
          <w:color w:val="231F20"/>
          <w:spacing w:val="-24"/>
          <w:w w:val="95"/>
          <w:sz w:val="18"/>
        </w:rPr>
        <w:t> </w:t>
      </w:r>
      <w:r>
        <w:rPr>
          <w:rFonts w:ascii="Arial"/>
          <w:color w:val="231F20"/>
          <w:w w:val="95"/>
          <w:sz w:val="18"/>
        </w:rPr>
        <w:t>public.</w:t>
      </w:r>
    </w:p>
    <w:p>
      <w:pPr>
        <w:pStyle w:val="BodyText"/>
        <w:spacing w:before="96"/>
        <w:ind w:left="1800"/>
        <w:rPr>
          <w:rFonts w:ascii="Lucida Sans"/>
        </w:rPr>
      </w:pPr>
      <w:r>
        <w:rPr>
          <w:rFonts w:ascii="Lucida Sans"/>
          <w:color w:val="1C3E94"/>
          <w:w w:val="80"/>
        </w:rPr>
        <w:t>Detection  of clusters/outbreaks</w:t>
      </w:r>
    </w:p>
    <w:p>
      <w:pPr>
        <w:pStyle w:val="ListParagraph"/>
        <w:numPr>
          <w:ilvl w:val="3"/>
          <w:numId w:val="18"/>
        </w:numPr>
        <w:tabs>
          <w:tab w:pos="1972" w:val="left" w:leader="none"/>
        </w:tabs>
        <w:spacing w:line="254" w:lineRule="auto" w:before="16" w:after="0"/>
        <w:ind w:left="1971" w:right="1249" w:hanging="171"/>
        <w:jc w:val="left"/>
        <w:rPr>
          <w:rFonts w:ascii="Arial"/>
          <w:sz w:val="18"/>
        </w:rPr>
      </w:pPr>
      <w:r>
        <w:rPr>
          <w:rFonts w:ascii="Arial"/>
          <w:color w:val="231F20"/>
          <w:w w:val="95"/>
          <w:sz w:val="18"/>
        </w:rPr>
        <w:t>Staff</w:t>
      </w:r>
      <w:r>
        <w:rPr>
          <w:rFonts w:ascii="Arial"/>
          <w:color w:val="231F20"/>
          <w:spacing w:val="-20"/>
          <w:w w:val="95"/>
          <w:sz w:val="18"/>
        </w:rPr>
        <w:t> </w:t>
      </w:r>
      <w:r>
        <w:rPr>
          <w:rFonts w:ascii="Arial"/>
          <w:color w:val="231F20"/>
          <w:w w:val="95"/>
          <w:sz w:val="18"/>
        </w:rPr>
        <w:t>collect</w:t>
      </w:r>
      <w:r>
        <w:rPr>
          <w:rFonts w:ascii="Arial"/>
          <w:color w:val="231F20"/>
          <w:spacing w:val="-20"/>
          <w:w w:val="95"/>
          <w:sz w:val="18"/>
        </w:rPr>
        <w:t> </w:t>
      </w:r>
      <w:r>
        <w:rPr>
          <w:rFonts w:ascii="Arial"/>
          <w:color w:val="231F20"/>
          <w:w w:val="95"/>
          <w:sz w:val="18"/>
        </w:rPr>
        <w:t>specified</w:t>
      </w:r>
      <w:r>
        <w:rPr>
          <w:rFonts w:ascii="Arial"/>
          <w:color w:val="231F20"/>
          <w:spacing w:val="-20"/>
          <w:w w:val="95"/>
          <w:sz w:val="18"/>
        </w:rPr>
        <w:t> </w:t>
      </w:r>
      <w:r>
        <w:rPr>
          <w:rFonts w:ascii="Arial"/>
          <w:color w:val="231F20"/>
          <w:w w:val="95"/>
          <w:sz w:val="18"/>
        </w:rPr>
        <w:t>pieces</w:t>
      </w:r>
      <w:r>
        <w:rPr>
          <w:rFonts w:ascii="Arial"/>
          <w:color w:val="231F20"/>
          <w:spacing w:val="-20"/>
          <w:w w:val="95"/>
          <w:sz w:val="18"/>
        </w:rPr>
        <w:t> </w:t>
      </w:r>
      <w:r>
        <w:rPr>
          <w:rFonts w:ascii="Arial"/>
          <w:color w:val="231F20"/>
          <w:w w:val="95"/>
          <w:sz w:val="18"/>
        </w:rPr>
        <w:t>of</w:t>
      </w:r>
      <w:r>
        <w:rPr>
          <w:rFonts w:ascii="Arial"/>
          <w:color w:val="231F20"/>
          <w:spacing w:val="-20"/>
          <w:w w:val="95"/>
          <w:sz w:val="18"/>
        </w:rPr>
        <w:t> </w:t>
      </w:r>
      <w:r>
        <w:rPr>
          <w:rFonts w:ascii="Arial"/>
          <w:color w:val="231F20"/>
          <w:w w:val="95"/>
          <w:sz w:val="18"/>
        </w:rPr>
        <w:t>information</w:t>
      </w:r>
      <w:r>
        <w:rPr>
          <w:rFonts w:ascii="Arial"/>
          <w:color w:val="231F20"/>
          <w:spacing w:val="-20"/>
          <w:w w:val="95"/>
          <w:sz w:val="18"/>
        </w:rPr>
        <w:t> </w:t>
      </w:r>
      <w:r>
        <w:rPr>
          <w:rFonts w:ascii="Arial"/>
          <w:color w:val="231F20"/>
          <w:w w:val="95"/>
          <w:sz w:val="18"/>
        </w:rPr>
        <w:t>about</w:t>
      </w:r>
      <w:r>
        <w:rPr>
          <w:rFonts w:ascii="Arial"/>
          <w:color w:val="231F20"/>
          <w:spacing w:val="-20"/>
          <w:w w:val="95"/>
          <w:sz w:val="18"/>
        </w:rPr>
        <w:t> </w:t>
      </w:r>
      <w:r>
        <w:rPr>
          <w:rFonts w:ascii="Arial"/>
          <w:color w:val="231F20"/>
          <w:w w:val="95"/>
          <w:sz w:val="18"/>
        </w:rPr>
        <w:t>each</w:t>
      </w:r>
      <w:r>
        <w:rPr>
          <w:rFonts w:ascii="Arial"/>
          <w:color w:val="231F20"/>
          <w:spacing w:val="-20"/>
          <w:w w:val="95"/>
          <w:sz w:val="18"/>
        </w:rPr>
        <w:t> </w:t>
      </w:r>
      <w:r>
        <w:rPr>
          <w:rFonts w:ascii="Arial"/>
          <w:color w:val="231F20"/>
          <w:w w:val="95"/>
          <w:sz w:val="18"/>
        </w:rPr>
        <w:t>foodborne</w:t>
      </w:r>
      <w:r>
        <w:rPr>
          <w:rFonts w:ascii="Arial"/>
          <w:color w:val="231F20"/>
          <w:spacing w:val="-20"/>
          <w:w w:val="95"/>
          <w:sz w:val="18"/>
        </w:rPr>
        <w:t> </w:t>
      </w:r>
      <w:r>
        <w:rPr>
          <w:rFonts w:ascii="Arial"/>
          <w:color w:val="231F20"/>
          <w:w w:val="95"/>
          <w:sz w:val="18"/>
        </w:rPr>
        <w:t>illness</w:t>
      </w:r>
      <w:r>
        <w:rPr>
          <w:rFonts w:ascii="Arial"/>
          <w:color w:val="231F20"/>
          <w:spacing w:val="-20"/>
          <w:w w:val="95"/>
          <w:sz w:val="18"/>
        </w:rPr>
        <w:t> </w:t>
      </w:r>
      <w:r>
        <w:rPr>
          <w:rFonts w:ascii="Arial"/>
          <w:color w:val="231F20"/>
          <w:w w:val="95"/>
          <w:sz w:val="18"/>
        </w:rPr>
        <w:t>report</w:t>
      </w:r>
      <w:r>
        <w:rPr>
          <w:rFonts w:ascii="Arial"/>
          <w:color w:val="231F20"/>
          <w:spacing w:val="-20"/>
          <w:w w:val="95"/>
          <w:sz w:val="18"/>
        </w:rPr>
        <w:t> </w:t>
      </w:r>
      <w:r>
        <w:rPr>
          <w:rFonts w:ascii="Arial"/>
          <w:color w:val="231F20"/>
          <w:w w:val="95"/>
          <w:sz w:val="18"/>
        </w:rPr>
        <w:t>and</w:t>
      </w:r>
      <w:r>
        <w:rPr>
          <w:rFonts w:ascii="Arial"/>
          <w:color w:val="231F20"/>
          <w:spacing w:val="-20"/>
          <w:w w:val="95"/>
          <w:sz w:val="18"/>
        </w:rPr>
        <w:t> </w:t>
      </w:r>
      <w:r>
        <w:rPr>
          <w:rFonts w:ascii="Arial"/>
          <w:color w:val="231F20"/>
          <w:w w:val="95"/>
          <w:sz w:val="18"/>
        </w:rPr>
        <w:t>record</w:t>
      </w:r>
      <w:r>
        <w:rPr>
          <w:rFonts w:ascii="Arial"/>
          <w:color w:val="231F20"/>
          <w:spacing w:val="-20"/>
          <w:w w:val="95"/>
          <w:sz w:val="18"/>
        </w:rPr>
        <w:t> </w:t>
      </w:r>
      <w:r>
        <w:rPr>
          <w:rFonts w:ascii="Arial"/>
          <w:color w:val="231F20"/>
          <w:w w:val="95"/>
          <w:sz w:val="18"/>
        </w:rPr>
        <w:t>the information</w:t>
      </w:r>
      <w:r>
        <w:rPr>
          <w:rFonts w:ascii="Arial"/>
          <w:color w:val="231F20"/>
          <w:spacing w:val="-27"/>
          <w:w w:val="95"/>
          <w:sz w:val="18"/>
        </w:rPr>
        <w:t> </w:t>
      </w:r>
      <w:r>
        <w:rPr>
          <w:rFonts w:ascii="Arial"/>
          <w:color w:val="231F20"/>
          <w:w w:val="95"/>
          <w:sz w:val="18"/>
        </w:rPr>
        <w:t>in</w:t>
      </w:r>
      <w:r>
        <w:rPr>
          <w:rFonts w:ascii="Arial"/>
          <w:color w:val="231F20"/>
          <w:spacing w:val="-27"/>
          <w:w w:val="95"/>
          <w:sz w:val="18"/>
        </w:rPr>
        <w:t> </w:t>
      </w:r>
      <w:r>
        <w:rPr>
          <w:rFonts w:ascii="Arial"/>
          <w:color w:val="231F20"/>
          <w:w w:val="95"/>
          <w:sz w:val="18"/>
        </w:rPr>
        <w:t>an</w:t>
      </w:r>
      <w:r>
        <w:rPr>
          <w:rFonts w:ascii="Arial"/>
          <w:color w:val="231F20"/>
          <w:spacing w:val="-27"/>
          <w:w w:val="95"/>
          <w:sz w:val="18"/>
        </w:rPr>
        <w:t> </w:t>
      </w:r>
      <w:r>
        <w:rPr>
          <w:rFonts w:ascii="Arial"/>
          <w:color w:val="231F20"/>
          <w:w w:val="95"/>
          <w:sz w:val="18"/>
        </w:rPr>
        <w:t>electronic</w:t>
      </w:r>
      <w:r>
        <w:rPr>
          <w:rFonts w:ascii="Arial"/>
          <w:color w:val="231F20"/>
          <w:spacing w:val="-27"/>
          <w:w w:val="95"/>
          <w:sz w:val="18"/>
        </w:rPr>
        <w:t> </w:t>
      </w:r>
      <w:r>
        <w:rPr>
          <w:rFonts w:ascii="Arial"/>
          <w:color w:val="231F20"/>
          <w:w w:val="95"/>
          <w:sz w:val="18"/>
        </w:rPr>
        <w:t>data</w:t>
      </w:r>
      <w:r>
        <w:rPr>
          <w:rFonts w:ascii="Arial"/>
          <w:color w:val="231F20"/>
          <w:spacing w:val="-27"/>
          <w:w w:val="95"/>
          <w:sz w:val="18"/>
        </w:rPr>
        <w:t> </w:t>
      </w:r>
      <w:r>
        <w:rPr>
          <w:rFonts w:ascii="Arial"/>
          <w:color w:val="231F20"/>
          <w:w w:val="95"/>
          <w:sz w:val="18"/>
        </w:rPr>
        <w:t>system.</w:t>
      </w:r>
    </w:p>
    <w:p>
      <w:pPr>
        <w:pStyle w:val="ListParagraph"/>
        <w:numPr>
          <w:ilvl w:val="3"/>
          <w:numId w:val="18"/>
        </w:numPr>
        <w:tabs>
          <w:tab w:pos="1972" w:val="left" w:leader="none"/>
        </w:tabs>
        <w:spacing w:line="254" w:lineRule="auto" w:before="8" w:after="0"/>
        <w:ind w:left="1971" w:right="1268" w:hanging="171"/>
        <w:jc w:val="left"/>
        <w:rPr>
          <w:rFonts w:ascii="Arial"/>
          <w:sz w:val="18"/>
        </w:rPr>
      </w:pPr>
      <w:r>
        <w:rPr>
          <w:rFonts w:ascii="Arial"/>
          <w:color w:val="231F20"/>
          <w:w w:val="95"/>
          <w:sz w:val="18"/>
        </w:rPr>
        <w:t>Staff</w:t>
      </w:r>
      <w:r>
        <w:rPr>
          <w:rFonts w:ascii="Arial"/>
          <w:color w:val="231F20"/>
          <w:spacing w:val="-29"/>
          <w:w w:val="95"/>
          <w:sz w:val="18"/>
        </w:rPr>
        <w:t> </w:t>
      </w:r>
      <w:r>
        <w:rPr>
          <w:rFonts w:ascii="Arial"/>
          <w:color w:val="231F20"/>
          <w:w w:val="95"/>
          <w:sz w:val="18"/>
        </w:rPr>
        <w:t>regularly</w:t>
      </w:r>
      <w:r>
        <w:rPr>
          <w:rFonts w:ascii="Arial"/>
          <w:color w:val="231F20"/>
          <w:spacing w:val="-29"/>
          <w:w w:val="95"/>
          <w:sz w:val="18"/>
        </w:rPr>
        <w:t> </w:t>
      </w:r>
      <w:r>
        <w:rPr>
          <w:rFonts w:ascii="Arial"/>
          <w:color w:val="231F20"/>
          <w:w w:val="95"/>
          <w:sz w:val="18"/>
        </w:rPr>
        <w:t>review</w:t>
      </w:r>
      <w:r>
        <w:rPr>
          <w:rFonts w:ascii="Arial"/>
          <w:color w:val="231F20"/>
          <w:spacing w:val="-29"/>
          <w:w w:val="95"/>
          <w:sz w:val="18"/>
        </w:rPr>
        <w:t> </w:t>
      </w:r>
      <w:r>
        <w:rPr>
          <w:rFonts w:ascii="Arial"/>
          <w:color w:val="231F20"/>
          <w:w w:val="95"/>
          <w:sz w:val="18"/>
        </w:rPr>
        <w:t>reports</w:t>
      </w:r>
      <w:r>
        <w:rPr>
          <w:rFonts w:ascii="Arial"/>
          <w:color w:val="231F20"/>
          <w:spacing w:val="-29"/>
          <w:w w:val="95"/>
          <w:sz w:val="18"/>
        </w:rPr>
        <w:t> </w:t>
      </w:r>
      <w:r>
        <w:rPr>
          <w:rFonts w:ascii="Arial"/>
          <w:color w:val="231F20"/>
          <w:w w:val="95"/>
          <w:sz w:val="18"/>
        </w:rPr>
        <w:t>of</w:t>
      </w:r>
      <w:r>
        <w:rPr>
          <w:rFonts w:ascii="Arial"/>
          <w:color w:val="231F20"/>
          <w:spacing w:val="-29"/>
          <w:w w:val="95"/>
          <w:sz w:val="18"/>
        </w:rPr>
        <w:t> </w:t>
      </w:r>
      <w:r>
        <w:rPr>
          <w:rFonts w:ascii="Arial"/>
          <w:color w:val="231F20"/>
          <w:w w:val="95"/>
          <w:sz w:val="18"/>
        </w:rPr>
        <w:t>foodborne</w:t>
      </w:r>
      <w:r>
        <w:rPr>
          <w:rFonts w:ascii="Arial"/>
          <w:color w:val="231F20"/>
          <w:spacing w:val="-29"/>
          <w:w w:val="95"/>
          <w:sz w:val="18"/>
        </w:rPr>
        <w:t> </w:t>
      </w:r>
      <w:r>
        <w:rPr>
          <w:rFonts w:ascii="Arial"/>
          <w:color w:val="231F20"/>
          <w:w w:val="95"/>
          <w:sz w:val="18"/>
        </w:rPr>
        <w:t>illness</w:t>
      </w:r>
      <w:r>
        <w:rPr>
          <w:rFonts w:ascii="Arial"/>
          <w:color w:val="231F20"/>
          <w:spacing w:val="-29"/>
          <w:w w:val="95"/>
          <w:sz w:val="18"/>
        </w:rPr>
        <w:t> </w:t>
      </w:r>
      <w:r>
        <w:rPr>
          <w:rFonts w:ascii="Arial"/>
          <w:color w:val="231F20"/>
          <w:w w:val="95"/>
          <w:sz w:val="18"/>
        </w:rPr>
        <w:t>to</w:t>
      </w:r>
      <w:r>
        <w:rPr>
          <w:rFonts w:ascii="Arial"/>
          <w:color w:val="231F20"/>
          <w:spacing w:val="-29"/>
          <w:w w:val="95"/>
          <w:sz w:val="18"/>
        </w:rPr>
        <w:t> </w:t>
      </w:r>
      <w:r>
        <w:rPr>
          <w:rFonts w:ascii="Arial"/>
          <w:color w:val="231F20"/>
          <w:w w:val="95"/>
          <w:sz w:val="18"/>
        </w:rPr>
        <w:t>identify</w:t>
      </w:r>
      <w:r>
        <w:rPr>
          <w:rFonts w:ascii="Arial"/>
          <w:color w:val="231F20"/>
          <w:spacing w:val="-29"/>
          <w:w w:val="95"/>
          <w:sz w:val="18"/>
        </w:rPr>
        <w:t> </w:t>
      </w:r>
      <w:r>
        <w:rPr>
          <w:rFonts w:ascii="Arial"/>
          <w:color w:val="231F20"/>
          <w:w w:val="95"/>
          <w:sz w:val="18"/>
        </w:rPr>
        <w:t>cases</w:t>
      </w:r>
      <w:r>
        <w:rPr>
          <w:rFonts w:ascii="Arial"/>
          <w:color w:val="231F20"/>
          <w:spacing w:val="-29"/>
          <w:w w:val="95"/>
          <w:sz w:val="18"/>
        </w:rPr>
        <w:t> </w:t>
      </w:r>
      <w:r>
        <w:rPr>
          <w:rFonts w:ascii="Arial"/>
          <w:color w:val="231F20"/>
          <w:w w:val="95"/>
          <w:sz w:val="18"/>
        </w:rPr>
        <w:t>with</w:t>
      </w:r>
      <w:r>
        <w:rPr>
          <w:rFonts w:ascii="Arial"/>
          <w:color w:val="231F20"/>
          <w:spacing w:val="-29"/>
          <w:w w:val="95"/>
          <w:sz w:val="18"/>
        </w:rPr>
        <w:t> </w:t>
      </w:r>
      <w:r>
        <w:rPr>
          <w:rFonts w:ascii="Arial"/>
          <w:color w:val="231F20"/>
          <w:w w:val="95"/>
          <w:sz w:val="18"/>
        </w:rPr>
        <w:t>common</w:t>
      </w:r>
      <w:r>
        <w:rPr>
          <w:rFonts w:ascii="Arial"/>
          <w:color w:val="231F20"/>
          <w:spacing w:val="-29"/>
          <w:w w:val="95"/>
          <w:sz w:val="18"/>
        </w:rPr>
        <w:t> </w:t>
      </w:r>
      <w:r>
        <w:rPr>
          <w:rFonts w:ascii="Arial"/>
          <w:color w:val="231F20"/>
          <w:w w:val="95"/>
          <w:sz w:val="18"/>
        </w:rPr>
        <w:t>characteristics</w:t>
      </w:r>
      <w:r>
        <w:rPr>
          <w:rFonts w:ascii="Arial"/>
          <w:color w:val="231F20"/>
          <w:w w:val="88"/>
          <w:sz w:val="18"/>
        </w:rPr>
        <w:t> </w:t>
      </w:r>
      <w:r>
        <w:rPr>
          <w:rFonts w:ascii="Arial"/>
          <w:color w:val="231F20"/>
          <w:w w:val="90"/>
          <w:sz w:val="18"/>
        </w:rPr>
        <w:t>or suspicious exposures that might represent a common-source</w:t>
      </w:r>
      <w:r>
        <w:rPr>
          <w:rFonts w:ascii="Arial"/>
          <w:color w:val="231F20"/>
          <w:spacing w:val="15"/>
          <w:w w:val="90"/>
          <w:sz w:val="18"/>
        </w:rPr>
        <w:t> </w:t>
      </w:r>
      <w:r>
        <w:rPr>
          <w:rFonts w:ascii="Arial"/>
          <w:color w:val="231F20"/>
          <w:w w:val="90"/>
          <w:sz w:val="18"/>
        </w:rPr>
        <w:t>outbreak.</w:t>
      </w:r>
    </w:p>
    <w:p>
      <w:pPr>
        <w:pStyle w:val="BodyText"/>
        <w:spacing w:before="78"/>
        <w:ind w:left="1800"/>
        <w:rPr>
          <w:rFonts w:ascii="Lucida Sans"/>
        </w:rPr>
      </w:pPr>
      <w:r>
        <w:rPr>
          <w:rFonts w:ascii="Lucida Sans"/>
          <w:color w:val="1C3E94"/>
          <w:w w:val="85"/>
        </w:rPr>
        <w:t>Responding to complaints</w:t>
      </w:r>
    </w:p>
    <w:p>
      <w:pPr>
        <w:pStyle w:val="ListParagraph"/>
        <w:numPr>
          <w:ilvl w:val="3"/>
          <w:numId w:val="18"/>
        </w:numPr>
        <w:tabs>
          <w:tab w:pos="1972" w:val="left" w:leader="none"/>
        </w:tabs>
        <w:spacing w:line="259" w:lineRule="auto" w:before="16" w:after="0"/>
        <w:ind w:left="1971" w:right="1315" w:hanging="171"/>
        <w:jc w:val="left"/>
        <w:rPr>
          <w:rFonts w:ascii="Arial"/>
          <w:sz w:val="18"/>
        </w:rPr>
      </w:pPr>
      <w:r>
        <w:rPr>
          <w:rFonts w:ascii="Arial"/>
          <w:color w:val="231F20"/>
          <w:w w:val="95"/>
          <w:sz w:val="18"/>
        </w:rPr>
        <w:t>Staff</w:t>
      </w:r>
      <w:r>
        <w:rPr>
          <w:rFonts w:ascii="Arial"/>
          <w:color w:val="231F20"/>
          <w:spacing w:val="-17"/>
          <w:w w:val="95"/>
          <w:sz w:val="18"/>
        </w:rPr>
        <w:t> </w:t>
      </w:r>
      <w:r>
        <w:rPr>
          <w:rFonts w:ascii="Arial"/>
          <w:color w:val="231F20"/>
          <w:w w:val="95"/>
          <w:sz w:val="18"/>
        </w:rPr>
        <w:t>triage</w:t>
      </w:r>
      <w:r>
        <w:rPr>
          <w:rFonts w:ascii="Arial"/>
          <w:color w:val="231F20"/>
          <w:spacing w:val="-17"/>
          <w:w w:val="95"/>
          <w:sz w:val="18"/>
        </w:rPr>
        <w:t> </w:t>
      </w:r>
      <w:r>
        <w:rPr>
          <w:rFonts w:ascii="Arial"/>
          <w:color w:val="231F20"/>
          <w:w w:val="95"/>
          <w:sz w:val="18"/>
        </w:rPr>
        <w:t>and</w:t>
      </w:r>
      <w:r>
        <w:rPr>
          <w:rFonts w:ascii="Arial"/>
          <w:color w:val="231F20"/>
          <w:spacing w:val="-17"/>
          <w:w w:val="95"/>
          <w:sz w:val="18"/>
        </w:rPr>
        <w:t> </w:t>
      </w:r>
      <w:r>
        <w:rPr>
          <w:rFonts w:ascii="Arial"/>
          <w:color w:val="231F20"/>
          <w:w w:val="95"/>
          <w:sz w:val="18"/>
        </w:rPr>
        <w:t>respond</w:t>
      </w:r>
      <w:r>
        <w:rPr>
          <w:rFonts w:ascii="Arial"/>
          <w:color w:val="231F20"/>
          <w:spacing w:val="-17"/>
          <w:w w:val="95"/>
          <w:sz w:val="18"/>
        </w:rPr>
        <w:t> </w:t>
      </w:r>
      <w:r>
        <w:rPr>
          <w:rFonts w:ascii="Arial"/>
          <w:color w:val="231F20"/>
          <w:w w:val="95"/>
          <w:sz w:val="18"/>
        </w:rPr>
        <w:t>to</w:t>
      </w:r>
      <w:r>
        <w:rPr>
          <w:rFonts w:ascii="Arial"/>
          <w:color w:val="231F20"/>
          <w:spacing w:val="-17"/>
          <w:w w:val="95"/>
          <w:sz w:val="18"/>
        </w:rPr>
        <w:t> </w:t>
      </w:r>
      <w:r>
        <w:rPr>
          <w:rFonts w:ascii="Arial"/>
          <w:color w:val="231F20"/>
          <w:w w:val="95"/>
          <w:sz w:val="18"/>
        </w:rPr>
        <w:t>complaints</w:t>
      </w:r>
      <w:r>
        <w:rPr>
          <w:rFonts w:ascii="Arial"/>
          <w:color w:val="231F20"/>
          <w:spacing w:val="-17"/>
          <w:w w:val="95"/>
          <w:sz w:val="18"/>
        </w:rPr>
        <w:t> </w:t>
      </w:r>
      <w:r>
        <w:rPr>
          <w:rFonts w:ascii="Arial"/>
          <w:color w:val="231F20"/>
          <w:w w:val="95"/>
          <w:sz w:val="18"/>
        </w:rPr>
        <w:t>in</w:t>
      </w:r>
      <w:r>
        <w:rPr>
          <w:rFonts w:ascii="Arial"/>
          <w:color w:val="231F20"/>
          <w:spacing w:val="-17"/>
          <w:w w:val="95"/>
          <w:sz w:val="18"/>
        </w:rPr>
        <w:t> </w:t>
      </w:r>
      <w:r>
        <w:rPr>
          <w:rFonts w:ascii="Arial"/>
          <w:color w:val="231F20"/>
          <w:w w:val="95"/>
          <w:sz w:val="18"/>
        </w:rPr>
        <w:t>a</w:t>
      </w:r>
      <w:r>
        <w:rPr>
          <w:rFonts w:ascii="Arial"/>
          <w:color w:val="231F20"/>
          <w:spacing w:val="-17"/>
          <w:w w:val="95"/>
          <w:sz w:val="18"/>
        </w:rPr>
        <w:t> </w:t>
      </w:r>
      <w:r>
        <w:rPr>
          <w:rFonts w:ascii="Arial"/>
          <w:color w:val="231F20"/>
          <w:w w:val="95"/>
          <w:sz w:val="18"/>
        </w:rPr>
        <w:t>manner</w:t>
      </w:r>
      <w:r>
        <w:rPr>
          <w:rFonts w:ascii="Arial"/>
          <w:color w:val="231F20"/>
          <w:spacing w:val="-17"/>
          <w:w w:val="95"/>
          <w:sz w:val="18"/>
        </w:rPr>
        <w:t> </w:t>
      </w:r>
      <w:r>
        <w:rPr>
          <w:rFonts w:ascii="Arial"/>
          <w:color w:val="231F20"/>
          <w:w w:val="95"/>
          <w:sz w:val="18"/>
        </w:rPr>
        <w:t>consistent</w:t>
      </w:r>
      <w:r>
        <w:rPr>
          <w:rFonts w:ascii="Arial"/>
          <w:color w:val="231F20"/>
          <w:spacing w:val="-17"/>
          <w:w w:val="95"/>
          <w:sz w:val="18"/>
        </w:rPr>
        <w:t> </w:t>
      </w:r>
      <w:r>
        <w:rPr>
          <w:rFonts w:ascii="Arial"/>
          <w:color w:val="231F20"/>
          <w:w w:val="95"/>
          <w:sz w:val="18"/>
        </w:rPr>
        <w:t>with</w:t>
      </w:r>
      <w:r>
        <w:rPr>
          <w:rFonts w:ascii="Arial"/>
          <w:color w:val="231F20"/>
          <w:spacing w:val="-17"/>
          <w:w w:val="95"/>
          <w:sz w:val="18"/>
        </w:rPr>
        <w:t> </w:t>
      </w:r>
      <w:r>
        <w:rPr>
          <w:rFonts w:ascii="Arial"/>
          <w:color w:val="231F20"/>
          <w:w w:val="95"/>
          <w:sz w:val="18"/>
        </w:rPr>
        <w:t>the</w:t>
      </w:r>
      <w:r>
        <w:rPr>
          <w:rFonts w:ascii="Arial"/>
          <w:color w:val="231F20"/>
          <w:spacing w:val="-17"/>
          <w:w w:val="95"/>
          <w:sz w:val="18"/>
        </w:rPr>
        <w:t> </w:t>
      </w:r>
      <w:r>
        <w:rPr>
          <w:rFonts w:ascii="Arial"/>
          <w:color w:val="231F20"/>
          <w:w w:val="95"/>
          <w:sz w:val="18"/>
        </w:rPr>
        <w:t>likely</w:t>
      </w:r>
      <w:r>
        <w:rPr>
          <w:rFonts w:ascii="Arial"/>
          <w:color w:val="231F20"/>
          <w:spacing w:val="-17"/>
          <w:w w:val="95"/>
          <w:sz w:val="18"/>
        </w:rPr>
        <w:t> </w:t>
      </w:r>
      <w:r>
        <w:rPr>
          <w:rFonts w:ascii="Arial"/>
          <w:color w:val="231F20"/>
          <w:w w:val="95"/>
          <w:sz w:val="18"/>
        </w:rPr>
        <w:t>resulting</w:t>
      </w:r>
      <w:r>
        <w:rPr>
          <w:rFonts w:ascii="Arial"/>
          <w:color w:val="231F20"/>
          <w:spacing w:val="-17"/>
          <w:w w:val="95"/>
          <w:sz w:val="18"/>
        </w:rPr>
        <w:t> </w:t>
      </w:r>
      <w:r>
        <w:rPr>
          <w:rFonts w:ascii="Arial"/>
          <w:color w:val="231F20"/>
          <w:w w:val="95"/>
          <w:sz w:val="18"/>
        </w:rPr>
        <w:t>public health</w:t>
      </w:r>
      <w:r>
        <w:rPr>
          <w:rFonts w:ascii="Arial"/>
          <w:color w:val="231F20"/>
          <w:spacing w:val="-29"/>
          <w:w w:val="95"/>
          <w:sz w:val="18"/>
        </w:rPr>
        <w:t> </w:t>
      </w:r>
      <w:r>
        <w:rPr>
          <w:rFonts w:ascii="Arial"/>
          <w:color w:val="231F20"/>
          <w:w w:val="95"/>
          <w:sz w:val="18"/>
        </w:rPr>
        <w:t>intervention</w:t>
      </w:r>
      <w:r>
        <w:rPr>
          <w:rFonts w:ascii="Arial"/>
          <w:color w:val="231F20"/>
          <w:spacing w:val="-29"/>
          <w:w w:val="95"/>
          <w:sz w:val="18"/>
        </w:rPr>
        <w:t> </w:t>
      </w:r>
      <w:r>
        <w:rPr>
          <w:rFonts w:ascii="Arial"/>
          <w:color w:val="231F20"/>
          <w:w w:val="95"/>
          <w:sz w:val="18"/>
        </w:rPr>
        <w:t>(e.g.,</w:t>
      </w:r>
      <w:r>
        <w:rPr>
          <w:rFonts w:ascii="Arial"/>
          <w:color w:val="231F20"/>
          <w:spacing w:val="-29"/>
          <w:w w:val="95"/>
          <w:sz w:val="18"/>
        </w:rPr>
        <w:t> </w:t>
      </w:r>
      <w:r>
        <w:rPr>
          <w:rFonts w:ascii="Arial"/>
          <w:color w:val="231F20"/>
          <w:w w:val="95"/>
          <w:sz w:val="18"/>
        </w:rPr>
        <w:t>investigate</w:t>
      </w:r>
      <w:r>
        <w:rPr>
          <w:rFonts w:ascii="Arial"/>
          <w:color w:val="231F20"/>
          <w:spacing w:val="-29"/>
          <w:w w:val="95"/>
          <w:sz w:val="18"/>
        </w:rPr>
        <w:t> </w:t>
      </w:r>
      <w:r>
        <w:rPr>
          <w:rFonts w:ascii="Arial"/>
          <w:color w:val="231F20"/>
          <w:w w:val="95"/>
          <w:sz w:val="18"/>
        </w:rPr>
        <w:t>reports</w:t>
      </w:r>
      <w:r>
        <w:rPr>
          <w:rFonts w:ascii="Arial"/>
          <w:color w:val="231F20"/>
          <w:spacing w:val="-29"/>
          <w:w w:val="95"/>
          <w:sz w:val="18"/>
        </w:rPr>
        <w:t> </w:t>
      </w:r>
      <w:r>
        <w:rPr>
          <w:rFonts w:ascii="Arial"/>
          <w:color w:val="231F20"/>
          <w:w w:val="95"/>
          <w:sz w:val="18"/>
        </w:rPr>
        <w:t>of</w:t>
      </w:r>
      <w:r>
        <w:rPr>
          <w:rFonts w:ascii="Arial"/>
          <w:color w:val="231F20"/>
          <w:spacing w:val="-29"/>
          <w:w w:val="95"/>
          <w:sz w:val="18"/>
        </w:rPr>
        <w:t> </w:t>
      </w:r>
      <w:r>
        <w:rPr>
          <w:rFonts w:ascii="Arial"/>
          <w:color w:val="231F20"/>
          <w:w w:val="95"/>
          <w:sz w:val="18"/>
        </w:rPr>
        <w:t>group</w:t>
      </w:r>
      <w:r>
        <w:rPr>
          <w:rFonts w:ascii="Arial"/>
          <w:color w:val="231F20"/>
          <w:spacing w:val="-29"/>
          <w:w w:val="95"/>
          <w:sz w:val="18"/>
        </w:rPr>
        <w:t> </w:t>
      </w:r>
      <w:r>
        <w:rPr>
          <w:rFonts w:ascii="Arial"/>
          <w:color w:val="231F20"/>
          <w:w w:val="95"/>
          <w:sz w:val="18"/>
        </w:rPr>
        <w:t>illnesses</w:t>
      </w:r>
      <w:r>
        <w:rPr>
          <w:rFonts w:ascii="Arial"/>
          <w:color w:val="231F20"/>
          <w:spacing w:val="-29"/>
          <w:w w:val="95"/>
          <w:sz w:val="18"/>
        </w:rPr>
        <w:t> </w:t>
      </w:r>
      <w:r>
        <w:rPr>
          <w:rFonts w:ascii="Arial"/>
          <w:color w:val="231F20"/>
          <w:w w:val="95"/>
          <w:sz w:val="18"/>
        </w:rPr>
        <w:t>more</w:t>
      </w:r>
      <w:r>
        <w:rPr>
          <w:rFonts w:ascii="Arial"/>
          <w:color w:val="231F20"/>
          <w:spacing w:val="-29"/>
          <w:w w:val="95"/>
          <w:sz w:val="18"/>
        </w:rPr>
        <w:t> </w:t>
      </w:r>
      <w:r>
        <w:rPr>
          <w:rFonts w:ascii="Arial"/>
          <w:color w:val="231F20"/>
          <w:w w:val="95"/>
          <w:sz w:val="18"/>
        </w:rPr>
        <w:t>aggressively</w:t>
      </w:r>
      <w:r>
        <w:rPr>
          <w:rFonts w:ascii="Arial"/>
          <w:color w:val="231F20"/>
          <w:spacing w:val="-29"/>
          <w:w w:val="95"/>
          <w:sz w:val="18"/>
        </w:rPr>
        <w:t> </w:t>
      </w:r>
      <w:r>
        <w:rPr>
          <w:rFonts w:ascii="Arial"/>
          <w:color w:val="231F20"/>
          <w:w w:val="95"/>
          <w:sz w:val="18"/>
        </w:rPr>
        <w:t>than</w:t>
      </w:r>
      <w:r>
        <w:rPr>
          <w:rFonts w:ascii="Arial"/>
          <w:color w:val="231F20"/>
          <w:spacing w:val="-29"/>
          <w:w w:val="95"/>
          <w:sz w:val="18"/>
        </w:rPr>
        <w:t> </w:t>
      </w:r>
      <w:r>
        <w:rPr>
          <w:rFonts w:ascii="Arial"/>
          <w:color w:val="231F20"/>
          <w:w w:val="95"/>
          <w:sz w:val="18"/>
        </w:rPr>
        <w:t>isolated</w:t>
      </w:r>
      <w:r>
        <w:rPr>
          <w:rFonts w:ascii="Arial"/>
          <w:color w:val="231F20"/>
          <w:w w:val="91"/>
          <w:sz w:val="18"/>
        </w:rPr>
        <w:t> </w:t>
      </w:r>
      <w:r>
        <w:rPr>
          <w:rFonts w:ascii="Arial"/>
          <w:color w:val="231F20"/>
          <w:w w:val="90"/>
          <w:sz w:val="18"/>
        </w:rPr>
        <w:t>independent</w:t>
      </w:r>
      <w:r>
        <w:rPr>
          <w:rFonts w:ascii="Arial"/>
          <w:color w:val="231F20"/>
          <w:spacing w:val="-1"/>
          <w:w w:val="90"/>
          <w:sz w:val="18"/>
        </w:rPr>
        <w:t> </w:t>
      </w:r>
      <w:r>
        <w:rPr>
          <w:rFonts w:ascii="Arial"/>
          <w:color w:val="231F20"/>
          <w:w w:val="90"/>
          <w:sz w:val="18"/>
        </w:rPr>
        <w:t>illnesses).</w:t>
      </w:r>
    </w:p>
    <w:p>
      <w:pPr>
        <w:pStyle w:val="BodyText"/>
        <w:spacing w:before="92"/>
        <w:ind w:left="1800"/>
        <w:rPr>
          <w:rFonts w:ascii="Lucida Sans"/>
        </w:rPr>
      </w:pPr>
      <w:r>
        <w:rPr>
          <w:rFonts w:ascii="Lucida Sans"/>
          <w:color w:val="1C3E94"/>
          <w:w w:val="85"/>
        </w:rPr>
        <w:t>Making changes</w:t>
      </w:r>
    </w:p>
    <w:p>
      <w:pPr>
        <w:pStyle w:val="ListParagraph"/>
        <w:numPr>
          <w:ilvl w:val="3"/>
          <w:numId w:val="18"/>
        </w:numPr>
        <w:tabs>
          <w:tab w:pos="1972" w:val="left" w:leader="none"/>
        </w:tabs>
        <w:spacing w:line="254" w:lineRule="auto" w:before="16" w:after="0"/>
        <w:ind w:left="1971" w:right="1600" w:hanging="171"/>
        <w:jc w:val="left"/>
        <w:rPr>
          <w:rFonts w:ascii="Arial"/>
          <w:sz w:val="18"/>
        </w:rPr>
      </w:pPr>
      <w:r>
        <w:rPr>
          <w:rFonts w:ascii="Arial"/>
          <w:color w:val="231F20"/>
          <w:w w:val="95"/>
          <w:sz w:val="18"/>
        </w:rPr>
        <w:t>Agency/jurisdiction</w:t>
      </w:r>
      <w:r>
        <w:rPr>
          <w:rFonts w:ascii="Arial"/>
          <w:color w:val="231F20"/>
          <w:spacing w:val="-30"/>
          <w:w w:val="95"/>
          <w:sz w:val="18"/>
        </w:rPr>
        <w:t> </w:t>
      </w:r>
      <w:r>
        <w:rPr>
          <w:rFonts w:ascii="Arial"/>
          <w:color w:val="231F20"/>
          <w:w w:val="95"/>
          <w:sz w:val="18"/>
        </w:rPr>
        <w:t>has</w:t>
      </w:r>
      <w:r>
        <w:rPr>
          <w:rFonts w:ascii="Arial"/>
          <w:color w:val="231F20"/>
          <w:spacing w:val="-30"/>
          <w:w w:val="95"/>
          <w:sz w:val="18"/>
        </w:rPr>
        <w:t> </w:t>
      </w:r>
      <w:r>
        <w:rPr>
          <w:rFonts w:ascii="Arial"/>
          <w:color w:val="231F20"/>
          <w:w w:val="95"/>
          <w:sz w:val="18"/>
        </w:rPr>
        <w:t>performance</w:t>
      </w:r>
      <w:r>
        <w:rPr>
          <w:rFonts w:ascii="Arial"/>
          <w:color w:val="231F20"/>
          <w:spacing w:val="-30"/>
          <w:w w:val="95"/>
          <w:sz w:val="18"/>
        </w:rPr>
        <w:t> </w:t>
      </w:r>
      <w:r>
        <w:rPr>
          <w:rFonts w:ascii="Arial"/>
          <w:color w:val="231F20"/>
          <w:w w:val="95"/>
          <w:sz w:val="18"/>
        </w:rPr>
        <w:t>indicators</w:t>
      </w:r>
      <w:r>
        <w:rPr>
          <w:rFonts w:ascii="Arial"/>
          <w:color w:val="231F20"/>
          <w:spacing w:val="-30"/>
          <w:w w:val="95"/>
          <w:sz w:val="18"/>
        </w:rPr>
        <w:t> </w:t>
      </w:r>
      <w:r>
        <w:rPr>
          <w:rFonts w:ascii="Arial"/>
          <w:color w:val="231F20"/>
          <w:w w:val="95"/>
          <w:sz w:val="18"/>
        </w:rPr>
        <w:t>related</w:t>
      </w:r>
      <w:r>
        <w:rPr>
          <w:rFonts w:ascii="Arial"/>
          <w:color w:val="231F20"/>
          <w:spacing w:val="-30"/>
          <w:w w:val="95"/>
          <w:sz w:val="18"/>
        </w:rPr>
        <w:t> </w:t>
      </w:r>
      <w:r>
        <w:rPr>
          <w:rFonts w:ascii="Arial"/>
          <w:color w:val="231F20"/>
          <w:w w:val="95"/>
          <w:sz w:val="18"/>
        </w:rPr>
        <w:t>to</w:t>
      </w:r>
      <w:r>
        <w:rPr>
          <w:rFonts w:ascii="Arial"/>
          <w:color w:val="231F20"/>
          <w:spacing w:val="-30"/>
          <w:w w:val="95"/>
          <w:sz w:val="18"/>
        </w:rPr>
        <w:t> </w:t>
      </w:r>
      <w:r>
        <w:rPr>
          <w:rFonts w:ascii="Arial"/>
          <w:color w:val="231F20"/>
          <w:w w:val="95"/>
          <w:sz w:val="18"/>
        </w:rPr>
        <w:t>complaint</w:t>
      </w:r>
      <w:r>
        <w:rPr>
          <w:rFonts w:ascii="Arial"/>
          <w:color w:val="231F20"/>
          <w:spacing w:val="-30"/>
          <w:w w:val="95"/>
          <w:sz w:val="18"/>
        </w:rPr>
        <w:t> </w:t>
      </w:r>
      <w:r>
        <w:rPr>
          <w:rFonts w:ascii="Arial"/>
          <w:color w:val="231F20"/>
          <w:w w:val="95"/>
          <w:sz w:val="18"/>
        </w:rPr>
        <w:t>systems</w:t>
      </w:r>
      <w:r>
        <w:rPr>
          <w:rFonts w:ascii="Arial"/>
          <w:color w:val="231F20"/>
          <w:spacing w:val="-30"/>
          <w:w w:val="95"/>
          <w:sz w:val="18"/>
        </w:rPr>
        <w:t> </w:t>
      </w:r>
      <w:r>
        <w:rPr>
          <w:rFonts w:ascii="Arial"/>
          <w:color w:val="231F20"/>
          <w:w w:val="95"/>
          <w:sz w:val="18"/>
        </w:rPr>
        <w:t>and</w:t>
      </w:r>
      <w:r>
        <w:rPr>
          <w:rFonts w:ascii="Arial"/>
          <w:color w:val="231F20"/>
          <w:spacing w:val="-30"/>
          <w:w w:val="95"/>
          <w:sz w:val="18"/>
        </w:rPr>
        <w:t> </w:t>
      </w:r>
      <w:r>
        <w:rPr>
          <w:rFonts w:ascii="Arial"/>
          <w:color w:val="231F20"/>
          <w:w w:val="95"/>
          <w:sz w:val="18"/>
        </w:rPr>
        <w:t>routinely</w:t>
      </w:r>
      <w:r>
        <w:rPr>
          <w:rFonts w:ascii="Arial"/>
          <w:color w:val="231F20"/>
          <w:w w:val="92"/>
          <w:sz w:val="18"/>
        </w:rPr>
        <w:t> </w:t>
      </w:r>
      <w:r>
        <w:rPr>
          <w:rFonts w:ascii="Arial"/>
          <w:color w:val="231F20"/>
          <w:w w:val="90"/>
          <w:sz w:val="18"/>
        </w:rPr>
        <w:t>evaluates its performance in this Focus</w:t>
      </w:r>
      <w:r>
        <w:rPr>
          <w:rFonts w:ascii="Arial"/>
          <w:color w:val="231F20"/>
          <w:spacing w:val="-24"/>
          <w:w w:val="90"/>
          <w:sz w:val="18"/>
        </w:rPr>
        <w:t> </w:t>
      </w:r>
      <w:r>
        <w:rPr>
          <w:rFonts w:ascii="Arial"/>
          <w:color w:val="231F20"/>
          <w:w w:val="90"/>
          <w:sz w:val="18"/>
        </w:rPr>
        <w:t>Area.</w:t>
      </w:r>
    </w:p>
    <w:p>
      <w:pPr>
        <w:spacing w:after="0" w:line="254" w:lineRule="auto"/>
        <w:jc w:val="left"/>
        <w:rPr>
          <w:rFonts w:ascii="Arial"/>
          <w:sz w:val="18"/>
        </w:rPr>
        <w:sectPr>
          <w:type w:val="continuous"/>
          <w:pgSz w:w="10080" w:h="14400"/>
          <w:pgMar w:top="0" w:bottom="0" w:left="0" w:right="0"/>
        </w:sectPr>
      </w:pPr>
    </w:p>
    <w:p>
      <w:pPr>
        <w:pStyle w:val="BodyText"/>
        <w:spacing w:before="2"/>
        <w:rPr>
          <w:rFonts w:ascii="Arial"/>
          <w:sz w:val="26"/>
        </w:rPr>
      </w:pPr>
    </w:p>
    <w:p>
      <w:pPr>
        <w:pStyle w:val="Heading1"/>
        <w:ind w:left="720"/>
      </w:pPr>
      <w:r>
        <w:rPr/>
        <w:pict>
          <v:line style="position:absolute;mso-position-horizontal-relative:page;mso-position-vertical-relative:paragraph;z-index:4240;mso-wrap-distance-left:0;mso-wrap-distance-right:0" from="36pt,23.995163pt" to="432pt,23.995163pt" stroked="true" strokeweight=".5pt" strokecolor="#00a94f">
            <v:stroke dashstyle="solid"/>
            <w10:wrap type="topAndBottom"/>
          </v:line>
        </w:pict>
      </w:r>
      <w:r>
        <w:rPr>
          <w:color w:val="00A94F"/>
          <w:w w:val="95"/>
        </w:rPr>
        <w:t>4.3.</w:t>
      </w:r>
      <w:r>
        <w:rPr>
          <w:color w:val="00A94F"/>
          <w:spacing w:val="-50"/>
          <w:w w:val="95"/>
        </w:rPr>
        <w:t> </w:t>
      </w:r>
      <w:r>
        <w:rPr>
          <w:color w:val="00A94F"/>
          <w:w w:val="95"/>
        </w:rPr>
        <w:t>Complaint</w:t>
      </w:r>
      <w:r>
        <w:rPr>
          <w:color w:val="00A94F"/>
          <w:spacing w:val="-50"/>
          <w:w w:val="95"/>
        </w:rPr>
        <w:t> </w:t>
      </w:r>
      <w:r>
        <w:rPr>
          <w:color w:val="00A94F"/>
          <w:w w:val="95"/>
        </w:rPr>
        <w:t>Systems</w:t>
      </w:r>
    </w:p>
    <w:p>
      <w:pPr>
        <w:pStyle w:val="BodyText"/>
        <w:spacing w:before="7"/>
        <w:rPr>
          <w:rFonts w:ascii="Lucida Sans"/>
          <w:sz w:val="17"/>
        </w:rPr>
      </w:pPr>
    </w:p>
    <w:p>
      <w:pPr>
        <w:spacing w:after="0"/>
        <w:rPr>
          <w:rFonts w:ascii="Lucida Sans"/>
          <w:sz w:val="17"/>
        </w:rPr>
        <w:sectPr>
          <w:pgSz w:w="10080" w:h="14400"/>
          <w:pgMar w:header="0" w:footer="0" w:top="980" w:bottom="280" w:left="0" w:right="0"/>
        </w:sectPr>
      </w:pPr>
    </w:p>
    <w:p>
      <w:pPr>
        <w:pStyle w:val="BodyText"/>
        <w:spacing w:before="104"/>
        <w:ind w:left="720"/>
        <w:rPr>
          <w:rFonts w:ascii="Lucida Sans"/>
        </w:rPr>
      </w:pPr>
      <w:r>
        <w:rPr>
          <w:rFonts w:ascii="Lucida Sans"/>
          <w:color w:val="1C3E94"/>
          <w:w w:val="90"/>
        </w:rPr>
        <w:t>4.3.11. Indicators/Measures</w:t>
      </w:r>
    </w:p>
    <w:p>
      <w:pPr>
        <w:pStyle w:val="BodyText"/>
        <w:spacing w:before="3"/>
        <w:rPr>
          <w:rFonts w:ascii="Lucida Sans"/>
          <w:sz w:val="18"/>
        </w:rPr>
      </w:pPr>
    </w:p>
    <w:p>
      <w:pPr>
        <w:pStyle w:val="BodyText"/>
        <w:spacing w:line="266" w:lineRule="auto"/>
        <w:ind w:left="720" w:right="-2"/>
      </w:pPr>
      <w:r>
        <w:rPr>
          <w:color w:val="231F20"/>
          <w:w w:val="105"/>
        </w:rPr>
        <w:t>The</w:t>
      </w:r>
      <w:r>
        <w:rPr>
          <w:color w:val="231F20"/>
          <w:spacing w:val="-21"/>
          <w:w w:val="105"/>
        </w:rPr>
        <w:t> </w:t>
      </w:r>
      <w:r>
        <w:rPr>
          <w:color w:val="231F20"/>
          <w:w w:val="105"/>
        </w:rPr>
        <w:t>success</w:t>
      </w:r>
      <w:r>
        <w:rPr>
          <w:color w:val="231F20"/>
          <w:spacing w:val="-21"/>
          <w:w w:val="105"/>
        </w:rPr>
        <w:t> </w:t>
      </w:r>
      <w:r>
        <w:rPr>
          <w:color w:val="231F20"/>
          <w:w w:val="105"/>
        </w:rPr>
        <w:t>of</w:t>
      </w:r>
      <w:r>
        <w:rPr>
          <w:color w:val="231F20"/>
          <w:spacing w:val="-2"/>
          <w:w w:val="105"/>
        </w:rPr>
        <w:t> </w:t>
      </w:r>
      <w:r>
        <w:rPr>
          <w:color w:val="231F20"/>
          <w:w w:val="105"/>
        </w:rPr>
        <w:t>complaint-based</w:t>
      </w:r>
      <w:r>
        <w:rPr>
          <w:color w:val="231F20"/>
          <w:spacing w:val="-20"/>
          <w:w w:val="105"/>
        </w:rPr>
        <w:t> </w:t>
      </w:r>
      <w:r>
        <w:rPr>
          <w:color w:val="231F20"/>
          <w:w w:val="105"/>
        </w:rPr>
        <w:t>surveillance systems</w:t>
      </w:r>
      <w:r>
        <w:rPr>
          <w:color w:val="231F20"/>
          <w:spacing w:val="-21"/>
          <w:w w:val="105"/>
        </w:rPr>
        <w:t> </w:t>
      </w:r>
      <w:r>
        <w:rPr>
          <w:color w:val="231F20"/>
          <w:w w:val="105"/>
        </w:rPr>
        <w:t>at</w:t>
      </w:r>
      <w:r>
        <w:rPr>
          <w:color w:val="231F20"/>
          <w:spacing w:val="-21"/>
          <w:w w:val="105"/>
        </w:rPr>
        <w:t> </w:t>
      </w:r>
      <w:r>
        <w:rPr>
          <w:color w:val="231F20"/>
          <w:w w:val="105"/>
        </w:rPr>
        <w:t>detecting</w:t>
      </w:r>
      <w:r>
        <w:rPr>
          <w:color w:val="231F20"/>
          <w:spacing w:val="-21"/>
          <w:w w:val="105"/>
        </w:rPr>
        <w:t> </w:t>
      </w:r>
      <w:r>
        <w:rPr>
          <w:color w:val="231F20"/>
          <w:w w:val="105"/>
        </w:rPr>
        <w:t>and</w:t>
      </w:r>
      <w:r>
        <w:rPr>
          <w:color w:val="231F20"/>
          <w:spacing w:val="-21"/>
          <w:w w:val="105"/>
        </w:rPr>
        <w:t> </w:t>
      </w:r>
      <w:r>
        <w:rPr>
          <w:color w:val="231F20"/>
          <w:w w:val="105"/>
        </w:rPr>
        <w:t>resolving</w:t>
      </w:r>
      <w:r>
        <w:rPr>
          <w:color w:val="231F20"/>
          <w:spacing w:val="-22"/>
          <w:w w:val="105"/>
        </w:rPr>
        <w:t> </w:t>
      </w:r>
      <w:r>
        <w:rPr>
          <w:color w:val="231F20"/>
          <w:w w:val="105"/>
        </w:rPr>
        <w:t>common-</w:t>
      </w:r>
    </w:p>
    <w:p>
      <w:pPr>
        <w:pStyle w:val="BodyText"/>
        <w:spacing w:line="266" w:lineRule="auto" w:before="108"/>
        <w:ind w:left="554" w:right="1565"/>
      </w:pPr>
      <w:r>
        <w:rPr/>
        <w:br w:type="column"/>
      </w:r>
      <w:r>
        <w:rPr>
          <w:color w:val="231F20"/>
          <w:w w:val="105"/>
        </w:rPr>
        <w:t>source outbreaks depends on multiple interrelated</w:t>
      </w:r>
      <w:r>
        <w:rPr>
          <w:color w:val="231F20"/>
          <w:spacing w:val="-28"/>
          <w:w w:val="105"/>
        </w:rPr>
        <w:t> </w:t>
      </w:r>
      <w:r>
        <w:rPr>
          <w:color w:val="231F20"/>
          <w:w w:val="105"/>
        </w:rPr>
        <w:t>processes.</w:t>
      </w:r>
      <w:r>
        <w:rPr>
          <w:color w:val="231F20"/>
          <w:spacing w:val="-28"/>
          <w:w w:val="105"/>
        </w:rPr>
        <w:t> </w:t>
      </w:r>
      <w:r>
        <w:rPr>
          <w:color w:val="231F20"/>
          <w:w w:val="105"/>
        </w:rPr>
        <w:t>Indicators</w:t>
      </w:r>
      <w:r>
        <w:rPr>
          <w:color w:val="231F20"/>
          <w:spacing w:val="-28"/>
          <w:w w:val="105"/>
        </w:rPr>
        <w:t> </w:t>
      </w:r>
      <w:r>
        <w:rPr>
          <w:color w:val="231F20"/>
          <w:w w:val="105"/>
        </w:rPr>
        <w:t>for</w:t>
      </w:r>
      <w:r>
        <w:rPr>
          <w:color w:val="231F20"/>
          <w:spacing w:val="-28"/>
          <w:w w:val="105"/>
        </w:rPr>
        <w:t> </w:t>
      </w:r>
      <w:r>
        <w:rPr>
          <w:color w:val="231F20"/>
          <w:w w:val="105"/>
        </w:rPr>
        <w:t>assessing and improving surveillance programs can be found in Chapter</w:t>
      </w:r>
      <w:r>
        <w:rPr>
          <w:color w:val="231F20"/>
          <w:spacing w:val="-12"/>
          <w:w w:val="105"/>
        </w:rPr>
        <w:t> </w:t>
      </w:r>
      <w:r>
        <w:rPr>
          <w:color w:val="231F20"/>
          <w:w w:val="105"/>
        </w:rPr>
        <w:t>8.</w:t>
      </w:r>
    </w:p>
    <w:p>
      <w:pPr>
        <w:spacing w:after="0" w:line="266" w:lineRule="auto"/>
        <w:sectPr>
          <w:type w:val="continuous"/>
          <w:pgSz w:w="10080" w:h="14400"/>
          <w:pgMar w:top="0" w:bottom="0" w:left="0" w:right="0"/>
          <w:cols w:num="2" w:equalWidth="0">
            <w:col w:w="4266" w:space="40"/>
            <w:col w:w="5774"/>
          </w:cols>
        </w:sectPr>
      </w:pPr>
    </w:p>
    <w:p>
      <w:pPr>
        <w:pStyle w:val="BodyText"/>
        <w:spacing w:before="5"/>
        <w:rPr>
          <w:sz w:val="29"/>
        </w:rPr>
      </w:pPr>
    </w:p>
    <w:p>
      <w:pPr>
        <w:pStyle w:val="Heading1"/>
        <w:numPr>
          <w:ilvl w:val="1"/>
          <w:numId w:val="23"/>
        </w:numPr>
        <w:tabs>
          <w:tab w:pos="1265" w:val="left" w:leader="none"/>
        </w:tabs>
        <w:spacing w:line="240" w:lineRule="auto" w:before="89" w:after="0"/>
        <w:ind w:left="1264" w:right="0" w:hanging="544"/>
        <w:jc w:val="left"/>
      </w:pPr>
      <w:r>
        <w:rPr/>
        <w:pict>
          <v:line style="position:absolute;mso-position-horizontal-relative:page;mso-position-vertical-relative:paragraph;z-index:4264;mso-wrap-distance-left:0;mso-wrap-distance-right:0" from="36pt,23.995163pt" to="432pt,23.995163pt" stroked="true" strokeweight=".5pt" strokecolor="#00a94f">
            <v:stroke dashstyle="solid"/>
            <w10:wrap type="topAndBottom"/>
          </v:line>
        </w:pict>
      </w:r>
      <w:r>
        <w:rPr>
          <w:color w:val="00A94F"/>
          <w:w w:val="90"/>
        </w:rPr>
        <w:t>Syndromic </w:t>
      </w:r>
      <w:r>
        <w:rPr>
          <w:color w:val="00A94F"/>
          <w:spacing w:val="2"/>
          <w:w w:val="90"/>
        </w:rPr>
        <w:t> </w:t>
      </w:r>
      <w:r>
        <w:rPr>
          <w:color w:val="00A94F"/>
          <w:w w:val="90"/>
        </w:rPr>
        <w:t>Surveillance</w:t>
      </w:r>
    </w:p>
    <w:p>
      <w:pPr>
        <w:pStyle w:val="BodyText"/>
        <w:spacing w:before="1"/>
        <w:rPr>
          <w:rFonts w:ascii="Lucida Sans"/>
          <w:sz w:val="22"/>
        </w:rPr>
      </w:pPr>
    </w:p>
    <w:p>
      <w:pPr>
        <w:spacing w:after="0"/>
        <w:rPr>
          <w:rFonts w:ascii="Lucida Sans"/>
          <w:sz w:val="22"/>
        </w:rPr>
        <w:sectPr>
          <w:type w:val="continuous"/>
          <w:pgSz w:w="10080" w:h="14400"/>
          <w:pgMar w:top="0" w:bottom="0" w:left="0" w:right="0"/>
        </w:sectPr>
      </w:pPr>
    </w:p>
    <w:p>
      <w:pPr>
        <w:pStyle w:val="ListParagraph"/>
        <w:numPr>
          <w:ilvl w:val="2"/>
          <w:numId w:val="23"/>
        </w:numPr>
        <w:tabs>
          <w:tab w:pos="1276" w:val="left" w:leader="none"/>
        </w:tabs>
        <w:spacing w:line="240" w:lineRule="auto" w:before="104" w:after="0"/>
        <w:ind w:left="1276" w:right="0" w:hanging="556"/>
        <w:jc w:val="left"/>
        <w:rPr>
          <w:rFonts w:ascii="Lucida Sans"/>
          <w:sz w:val="20"/>
        </w:rPr>
      </w:pPr>
      <w:r>
        <w:rPr>
          <w:rFonts w:ascii="Lucida Sans"/>
          <w:color w:val="1C3E94"/>
          <w:sz w:val="20"/>
        </w:rPr>
        <w:t>Overview</w:t>
      </w:r>
    </w:p>
    <w:p>
      <w:pPr>
        <w:pStyle w:val="BodyText"/>
        <w:spacing w:before="2"/>
        <w:rPr>
          <w:rFonts w:ascii="Lucida Sans"/>
          <w:sz w:val="18"/>
        </w:rPr>
      </w:pPr>
    </w:p>
    <w:p>
      <w:pPr>
        <w:pStyle w:val="BodyText"/>
        <w:spacing w:line="266" w:lineRule="auto" w:before="1"/>
        <w:ind w:left="720" w:right="123"/>
      </w:pPr>
      <w:r>
        <w:rPr>
          <w:color w:val="231F20"/>
          <w:w w:val="105"/>
        </w:rPr>
        <w:t>The utility of syndromic surveillance for non-specific health indicators has not been established for enteric disease surveillance and outbreak investigation. In theory, the electronic collection of such indicators could permit rapid detection of significant trends,</w:t>
      </w:r>
    </w:p>
    <w:p>
      <w:pPr>
        <w:pStyle w:val="BodyText"/>
        <w:spacing w:line="266" w:lineRule="auto"/>
        <w:ind w:left="720" w:right="57"/>
      </w:pPr>
      <w:r>
        <w:rPr>
          <w:color w:val="231F20"/>
        </w:rPr>
        <w:t>including outbreaks. In practice, the right mix  of sensitivity and specificity has </w:t>
      </w:r>
      <w:r>
        <w:rPr>
          <w:color w:val="231F20"/>
          <w:spacing w:val="-3"/>
        </w:rPr>
        <w:t>proven </w:t>
      </w:r>
      <w:r>
        <w:rPr>
          <w:color w:val="231F20"/>
        </w:rPr>
        <w:t>difficult to find, and the utility of  such systems </w:t>
      </w:r>
      <w:r>
        <w:rPr>
          <w:color w:val="231F20"/>
          <w:spacing w:val="2"/>
        </w:rPr>
        <w:t> </w:t>
      </w:r>
      <w:r>
        <w:rPr>
          <w:color w:val="231F20"/>
        </w:rPr>
        <w:t>may</w:t>
      </w:r>
    </w:p>
    <w:p>
      <w:pPr>
        <w:pStyle w:val="BodyText"/>
        <w:spacing w:line="266" w:lineRule="auto"/>
        <w:ind w:left="720" w:right="123"/>
      </w:pPr>
      <w:r>
        <w:rPr>
          <w:color w:val="231F20"/>
          <w:w w:val="105"/>
        </w:rPr>
        <w:t>be marginal. Surveillance for highly specific syndromes such as HUS or botulism is a critical public health function.</w:t>
      </w:r>
    </w:p>
    <w:p>
      <w:pPr>
        <w:pStyle w:val="ListParagraph"/>
        <w:numPr>
          <w:ilvl w:val="2"/>
          <w:numId w:val="23"/>
        </w:numPr>
        <w:tabs>
          <w:tab w:pos="1276" w:val="left" w:leader="none"/>
        </w:tabs>
        <w:spacing w:line="240" w:lineRule="auto" w:before="159" w:after="0"/>
        <w:ind w:left="1276" w:right="0" w:hanging="556"/>
        <w:jc w:val="left"/>
        <w:rPr>
          <w:rFonts w:ascii="Lucida Sans"/>
          <w:sz w:val="20"/>
        </w:rPr>
      </w:pPr>
      <w:r>
        <w:rPr>
          <w:rFonts w:ascii="Lucida Sans"/>
          <w:color w:val="1C3E94"/>
          <w:sz w:val="20"/>
        </w:rPr>
        <w:t>Background</w:t>
      </w:r>
    </w:p>
    <w:p>
      <w:pPr>
        <w:pStyle w:val="BodyText"/>
        <w:spacing w:before="3"/>
        <w:rPr>
          <w:rFonts w:ascii="Lucida Sans"/>
          <w:sz w:val="18"/>
        </w:rPr>
      </w:pPr>
    </w:p>
    <w:p>
      <w:pPr>
        <w:pStyle w:val="BodyText"/>
        <w:spacing w:line="266" w:lineRule="auto"/>
        <w:ind w:left="720" w:right="469"/>
      </w:pPr>
      <w:r>
        <w:rPr>
          <w:color w:val="231F20"/>
          <w:w w:val="105"/>
        </w:rPr>
        <w:t>Syndromic surveillance is a relatively new</w:t>
      </w:r>
      <w:r>
        <w:rPr>
          <w:color w:val="231F20"/>
          <w:spacing w:val="-11"/>
          <w:w w:val="105"/>
        </w:rPr>
        <w:t> </w:t>
      </w:r>
      <w:r>
        <w:rPr>
          <w:color w:val="231F20"/>
          <w:w w:val="105"/>
        </w:rPr>
        <w:t>concept,</w:t>
      </w:r>
      <w:r>
        <w:rPr>
          <w:color w:val="231F20"/>
          <w:spacing w:val="-11"/>
          <w:w w:val="105"/>
        </w:rPr>
        <w:t> </w:t>
      </w:r>
      <w:r>
        <w:rPr>
          <w:color w:val="231F20"/>
          <w:w w:val="105"/>
        </w:rPr>
        <w:t>developed</w:t>
      </w:r>
      <w:r>
        <w:rPr>
          <w:color w:val="231F20"/>
          <w:spacing w:val="-12"/>
          <w:w w:val="105"/>
        </w:rPr>
        <w:t> </w:t>
      </w:r>
      <w:r>
        <w:rPr>
          <w:color w:val="231F20"/>
          <w:w w:val="105"/>
        </w:rPr>
        <w:t>in</w:t>
      </w:r>
      <w:r>
        <w:rPr>
          <w:color w:val="231F20"/>
          <w:spacing w:val="-12"/>
          <w:w w:val="105"/>
        </w:rPr>
        <w:t> </w:t>
      </w:r>
      <w:r>
        <w:rPr>
          <w:color w:val="231F20"/>
          <w:w w:val="105"/>
        </w:rPr>
        <w:t>the</w:t>
      </w:r>
      <w:r>
        <w:rPr>
          <w:color w:val="231F20"/>
          <w:spacing w:val="-12"/>
          <w:w w:val="105"/>
        </w:rPr>
        <w:t> </w:t>
      </w:r>
      <w:r>
        <w:rPr>
          <w:color w:val="231F20"/>
          <w:w w:val="105"/>
        </w:rPr>
        <w:t>1990s</w:t>
      </w:r>
      <w:r>
        <w:rPr>
          <w:color w:val="231F20"/>
          <w:spacing w:val="-12"/>
          <w:w w:val="105"/>
        </w:rPr>
        <w:t> </w:t>
      </w:r>
      <w:r>
        <w:rPr>
          <w:color w:val="231F20"/>
          <w:w w:val="105"/>
        </w:rPr>
        <w:t>and</w:t>
      </w:r>
    </w:p>
    <w:p>
      <w:pPr>
        <w:pStyle w:val="BodyText"/>
        <w:spacing w:line="266" w:lineRule="auto"/>
        <w:ind w:left="720" w:right="-18"/>
      </w:pPr>
      <w:r>
        <w:rPr>
          <w:color w:val="231F20"/>
          <w:w w:val="105"/>
        </w:rPr>
        <w:t>expanded after the 2001 postal system anthrax attacks in an attempt to improve readiness</w:t>
      </w:r>
    </w:p>
    <w:p>
      <w:pPr>
        <w:pStyle w:val="BodyText"/>
        <w:spacing w:line="266" w:lineRule="auto"/>
        <w:ind w:left="720" w:right="133"/>
      </w:pPr>
      <w:r>
        <w:rPr>
          <w:color w:val="231F20"/>
          <w:w w:val="105"/>
        </w:rPr>
        <w:t>for bioterrorism. One of the first systems implemented was in New York City in 2001.</w:t>
      </w:r>
    </w:p>
    <w:p>
      <w:pPr>
        <w:pStyle w:val="ListParagraph"/>
        <w:numPr>
          <w:ilvl w:val="2"/>
          <w:numId w:val="23"/>
        </w:numPr>
        <w:tabs>
          <w:tab w:pos="1276" w:val="left" w:leader="none"/>
        </w:tabs>
        <w:spacing w:line="240" w:lineRule="auto" w:before="159" w:after="0"/>
        <w:ind w:left="1276" w:right="0" w:hanging="556"/>
        <w:jc w:val="left"/>
        <w:rPr>
          <w:rFonts w:ascii="Lucida Sans"/>
          <w:sz w:val="20"/>
        </w:rPr>
      </w:pPr>
      <w:r>
        <w:rPr>
          <w:rFonts w:ascii="Lucida Sans"/>
          <w:color w:val="1C3E94"/>
          <w:sz w:val="20"/>
        </w:rPr>
        <w:t>Reporting</w:t>
      </w:r>
    </w:p>
    <w:p>
      <w:pPr>
        <w:pStyle w:val="BodyText"/>
        <w:spacing w:before="3"/>
        <w:rPr>
          <w:rFonts w:ascii="Lucida Sans"/>
          <w:sz w:val="18"/>
        </w:rPr>
      </w:pPr>
    </w:p>
    <w:p>
      <w:pPr>
        <w:pStyle w:val="BodyText"/>
        <w:spacing w:line="266" w:lineRule="auto"/>
        <w:ind w:left="720" w:right="123"/>
      </w:pPr>
      <w:r>
        <w:rPr>
          <w:color w:val="231F20"/>
          <w:w w:val="105"/>
        </w:rPr>
        <w:t>Syndromic surveillance typically relies on automated extraction of health information:</w:t>
      </w:r>
    </w:p>
    <w:p>
      <w:pPr>
        <w:pStyle w:val="ListParagraph"/>
        <w:numPr>
          <w:ilvl w:val="0"/>
          <w:numId w:val="24"/>
        </w:numPr>
        <w:tabs>
          <w:tab w:pos="891" w:val="left" w:leader="none"/>
        </w:tabs>
        <w:spacing w:line="266" w:lineRule="auto" w:before="180" w:after="0"/>
        <w:ind w:left="890" w:right="164" w:hanging="170"/>
        <w:jc w:val="left"/>
        <w:rPr>
          <w:sz w:val="20"/>
        </w:rPr>
      </w:pPr>
      <w:r>
        <w:rPr>
          <w:color w:val="231F20"/>
          <w:sz w:val="20"/>
        </w:rPr>
        <w:t>Preclinical  (i.e.,  not  dependent  on  access to health care, consequently less specific and potentially less useful)—school and work absenteeism, nurse help-lines, sales</w:t>
      </w:r>
      <w:r>
        <w:rPr>
          <w:color w:val="231F20"/>
          <w:spacing w:val="49"/>
          <w:sz w:val="20"/>
        </w:rPr>
        <w:t> </w:t>
      </w:r>
      <w:r>
        <w:rPr>
          <w:color w:val="231F20"/>
          <w:sz w:val="20"/>
        </w:rPr>
        <w:t>of</w:t>
      </w:r>
    </w:p>
    <w:p>
      <w:pPr>
        <w:pStyle w:val="BodyText"/>
        <w:spacing w:line="266" w:lineRule="auto"/>
        <w:ind w:left="890" w:right="-2"/>
      </w:pPr>
      <w:r>
        <w:rPr>
          <w:color w:val="231F20"/>
          <w:w w:val="105"/>
        </w:rPr>
        <w:t>over-the-counter drugs, complaints to water companies, calls to poison control centers.</w:t>
      </w:r>
    </w:p>
    <w:p>
      <w:pPr>
        <w:pStyle w:val="ListParagraph"/>
        <w:numPr>
          <w:ilvl w:val="0"/>
          <w:numId w:val="24"/>
        </w:numPr>
        <w:tabs>
          <w:tab w:pos="891" w:val="left" w:leader="none"/>
        </w:tabs>
        <w:spacing w:line="266" w:lineRule="auto" w:before="90" w:after="0"/>
        <w:ind w:left="890" w:right="26" w:hanging="170"/>
        <w:jc w:val="left"/>
        <w:rPr>
          <w:sz w:val="20"/>
        </w:rPr>
      </w:pPr>
      <w:r>
        <w:rPr>
          <w:color w:val="231F20"/>
          <w:w w:val="105"/>
          <w:sz w:val="20"/>
        </w:rPr>
        <w:t>Clinical prediagnostic (i.e., requires contact with</w:t>
      </w:r>
      <w:r>
        <w:rPr>
          <w:color w:val="231F20"/>
          <w:spacing w:val="-13"/>
          <w:w w:val="105"/>
          <w:sz w:val="20"/>
        </w:rPr>
        <w:t> </w:t>
      </w:r>
      <w:r>
        <w:rPr>
          <w:color w:val="231F20"/>
          <w:w w:val="105"/>
          <w:sz w:val="20"/>
        </w:rPr>
        <w:t>the</w:t>
      </w:r>
      <w:r>
        <w:rPr>
          <w:color w:val="231F20"/>
          <w:spacing w:val="-14"/>
          <w:w w:val="105"/>
          <w:sz w:val="20"/>
        </w:rPr>
        <w:t> </w:t>
      </w:r>
      <w:r>
        <w:rPr>
          <w:color w:val="231F20"/>
          <w:w w:val="105"/>
          <w:sz w:val="20"/>
        </w:rPr>
        <w:t>health-care</w:t>
      </w:r>
      <w:r>
        <w:rPr>
          <w:color w:val="231F20"/>
          <w:spacing w:val="-13"/>
          <w:w w:val="105"/>
          <w:sz w:val="20"/>
        </w:rPr>
        <w:t> </w:t>
      </w:r>
      <w:r>
        <w:rPr>
          <w:color w:val="231F20"/>
          <w:w w:val="105"/>
          <w:sz w:val="20"/>
        </w:rPr>
        <w:t>system</w:t>
      </w:r>
      <w:r>
        <w:rPr>
          <w:color w:val="231F20"/>
          <w:spacing w:val="-13"/>
          <w:w w:val="105"/>
          <w:sz w:val="20"/>
        </w:rPr>
        <w:t> </w:t>
      </w:r>
      <w:r>
        <w:rPr>
          <w:color w:val="231F20"/>
          <w:w w:val="105"/>
          <w:sz w:val="20"/>
        </w:rPr>
        <w:t>but</w:t>
      </w:r>
      <w:r>
        <w:rPr>
          <w:color w:val="231F20"/>
          <w:spacing w:val="-13"/>
          <w:w w:val="105"/>
          <w:sz w:val="20"/>
        </w:rPr>
        <w:t> </w:t>
      </w:r>
      <w:r>
        <w:rPr>
          <w:color w:val="231F20"/>
          <w:w w:val="105"/>
          <w:sz w:val="20"/>
        </w:rPr>
        <w:t>does</w:t>
      </w:r>
      <w:r>
        <w:rPr>
          <w:color w:val="231F20"/>
          <w:spacing w:val="-13"/>
          <w:w w:val="105"/>
          <w:sz w:val="20"/>
        </w:rPr>
        <w:t> </w:t>
      </w:r>
      <w:r>
        <w:rPr>
          <w:color w:val="231F20"/>
          <w:w w:val="105"/>
          <w:sz w:val="20"/>
        </w:rPr>
        <w:t>not</w:t>
      </w:r>
      <w:r>
        <w:rPr>
          <w:color w:val="231F20"/>
          <w:spacing w:val="-13"/>
          <w:w w:val="105"/>
          <w:sz w:val="20"/>
        </w:rPr>
        <w:t> </w:t>
      </w:r>
      <w:r>
        <w:rPr>
          <w:color w:val="231F20"/>
          <w:w w:val="105"/>
          <w:sz w:val="20"/>
        </w:rPr>
        <w:t>rely on</w:t>
      </w:r>
      <w:r>
        <w:rPr>
          <w:color w:val="231F20"/>
          <w:spacing w:val="-12"/>
          <w:w w:val="105"/>
          <w:sz w:val="20"/>
        </w:rPr>
        <w:t> </w:t>
      </w:r>
      <w:r>
        <w:rPr>
          <w:color w:val="231F20"/>
          <w:w w:val="105"/>
          <w:sz w:val="20"/>
        </w:rPr>
        <w:t>a</w:t>
      </w:r>
      <w:r>
        <w:rPr>
          <w:color w:val="231F20"/>
          <w:spacing w:val="-12"/>
          <w:w w:val="105"/>
          <w:sz w:val="20"/>
        </w:rPr>
        <w:t> </w:t>
      </w:r>
      <w:r>
        <w:rPr>
          <w:color w:val="231F20"/>
          <w:w w:val="105"/>
          <w:sz w:val="20"/>
        </w:rPr>
        <w:t>full</w:t>
      </w:r>
      <w:r>
        <w:rPr>
          <w:color w:val="231F20"/>
          <w:spacing w:val="-12"/>
          <w:w w:val="105"/>
          <w:sz w:val="20"/>
        </w:rPr>
        <w:t> </w:t>
      </w:r>
      <w:r>
        <w:rPr>
          <w:color w:val="231F20"/>
          <w:w w:val="105"/>
          <w:sz w:val="20"/>
        </w:rPr>
        <w:t>work-up</w:t>
      </w:r>
      <w:r>
        <w:rPr>
          <w:color w:val="231F20"/>
          <w:spacing w:val="-12"/>
          <w:w w:val="105"/>
          <w:sz w:val="20"/>
        </w:rPr>
        <w:t> </w:t>
      </w:r>
      <w:r>
        <w:rPr>
          <w:color w:val="231F20"/>
          <w:w w:val="105"/>
          <w:sz w:val="20"/>
        </w:rPr>
        <w:t>or</w:t>
      </w:r>
      <w:r>
        <w:rPr>
          <w:color w:val="231F20"/>
          <w:spacing w:val="-12"/>
          <w:w w:val="105"/>
          <w:sz w:val="20"/>
        </w:rPr>
        <w:t> </w:t>
      </w:r>
      <w:r>
        <w:rPr>
          <w:color w:val="231F20"/>
          <w:w w:val="105"/>
          <w:sz w:val="20"/>
        </w:rPr>
        <w:t>laboratory</w:t>
      </w:r>
      <w:r>
        <w:rPr>
          <w:color w:val="231F20"/>
          <w:spacing w:val="-12"/>
          <w:w w:val="105"/>
          <w:sz w:val="20"/>
        </w:rPr>
        <w:t> </w:t>
      </w:r>
      <w:r>
        <w:rPr>
          <w:color w:val="231F20"/>
          <w:w w:val="105"/>
          <w:sz w:val="20"/>
        </w:rPr>
        <w:t>confirmation</w:t>
      </w:r>
    </w:p>
    <w:p>
      <w:pPr>
        <w:pStyle w:val="BodyText"/>
        <w:spacing w:line="266" w:lineRule="auto" w:before="108"/>
        <w:ind w:left="502" w:right="1423"/>
      </w:pPr>
      <w:r>
        <w:rPr/>
        <w:br w:type="column"/>
      </w:r>
      <w:r>
        <w:rPr>
          <w:color w:val="231F20"/>
          <w:w w:val="105"/>
        </w:rPr>
        <w:t>and, therefore, takes less time)—emergency department chief complaint, ambulance dispatch, lab test orders. . Surveillance for specific syndromes, such as symptoms and non-pathogen related laboratory findings associated with botulism or hemolytic uremic syndrome (HUS) generally fall in this category.</w:t>
      </w:r>
    </w:p>
    <w:p>
      <w:pPr>
        <w:pStyle w:val="ListParagraph"/>
        <w:numPr>
          <w:ilvl w:val="0"/>
          <w:numId w:val="11"/>
        </w:numPr>
        <w:tabs>
          <w:tab w:pos="503" w:val="left" w:leader="none"/>
        </w:tabs>
        <w:spacing w:line="266" w:lineRule="auto" w:before="90" w:after="0"/>
        <w:ind w:left="502" w:right="1878" w:hanging="171"/>
        <w:jc w:val="left"/>
        <w:rPr>
          <w:sz w:val="20"/>
        </w:rPr>
      </w:pPr>
      <w:r>
        <w:rPr/>
        <w:pict>
          <v:rect style="position:absolute;margin-left:459pt;margin-top:-76.753922pt;width:45pt;height:18pt;mso-position-horizontal-relative:page;mso-position-vertical-relative:paragraph;z-index:4288" filled="true" fillcolor="#0079c1" stroked="false">
            <v:fill type="solid"/>
            <w10:wrap type="none"/>
          </v:rect>
        </w:pict>
      </w:r>
      <w:r>
        <w:rPr/>
        <w:pict>
          <v:line style="position:absolute;mso-position-horizontal-relative:page;mso-position-vertical-relative:paragraph;z-index:4312" from="450.5pt,-76.754326pt" to="450.5pt,125.651674pt" stroked="true" strokeweight="1pt" strokecolor="#0079c1">
            <v:stroke dashstyle="solid"/>
            <w10:wrap type="none"/>
          </v:line>
        </w:pict>
      </w:r>
      <w:r>
        <w:rPr/>
        <w:pict>
          <v:shape style="position:absolute;margin-left:465.346802pt;margin-top:-54.757523pt;width:22.25pt;height:183.2pt;mso-position-horizontal-relative:page;mso-position-vertical-relative:paragraph;z-index:4336" type="#_x0000_t202" filled="false" stroked="false">
            <v:textbox inset="0,0,0,0" style="layout-flow:vertical">
              <w:txbxContent>
                <w:p>
                  <w:pPr>
                    <w:spacing w:before="12"/>
                    <w:ind w:left="20" w:right="-1014" w:firstLine="0"/>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468.849609pt;margin-top:-72.003326pt;width:15.85pt;height:8.5pt;mso-position-horizontal-relative:page;mso-position-vertical-relative:paragraph;z-index:4360" type="#_x0000_t202" filled="false" stroked="false">
            <v:textbox inset="0,0,0,0" style="layout-flow:vertical">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105"/>
          <w:sz w:val="20"/>
        </w:rPr>
        <w:t>Postdiagnostic</w:t>
      </w:r>
      <w:r>
        <w:rPr>
          <w:color w:val="231F20"/>
          <w:spacing w:val="-35"/>
          <w:w w:val="105"/>
          <w:sz w:val="20"/>
        </w:rPr>
        <w:t> </w:t>
      </w:r>
      <w:r>
        <w:rPr>
          <w:color w:val="231F20"/>
          <w:w w:val="105"/>
          <w:sz w:val="20"/>
        </w:rPr>
        <w:t>data—hospital</w:t>
      </w:r>
      <w:r>
        <w:rPr>
          <w:color w:val="231F20"/>
          <w:spacing w:val="-35"/>
          <w:w w:val="105"/>
          <w:sz w:val="20"/>
        </w:rPr>
        <w:t> </w:t>
      </w:r>
      <w:r>
        <w:rPr>
          <w:color w:val="231F20"/>
          <w:w w:val="105"/>
          <w:sz w:val="20"/>
        </w:rPr>
        <w:t>discharge codes</w:t>
      </w:r>
      <w:r>
        <w:rPr>
          <w:color w:val="231F20"/>
          <w:spacing w:val="-28"/>
          <w:w w:val="105"/>
          <w:sz w:val="20"/>
        </w:rPr>
        <w:t> </w:t>
      </w:r>
      <w:r>
        <w:rPr>
          <w:color w:val="231F20"/>
          <w:w w:val="105"/>
          <w:sz w:val="20"/>
        </w:rPr>
        <w:t>(ICD-9,</w:t>
      </w:r>
      <w:r>
        <w:rPr>
          <w:color w:val="231F20"/>
          <w:spacing w:val="-29"/>
          <w:w w:val="105"/>
          <w:sz w:val="20"/>
        </w:rPr>
        <w:t> </w:t>
      </w:r>
      <w:r>
        <w:rPr>
          <w:color w:val="231F20"/>
          <w:w w:val="105"/>
          <w:sz w:val="20"/>
        </w:rPr>
        <w:t>ICD-10).</w:t>
      </w:r>
    </w:p>
    <w:p>
      <w:pPr>
        <w:pStyle w:val="ListParagraph"/>
        <w:numPr>
          <w:ilvl w:val="2"/>
          <w:numId w:val="23"/>
        </w:numPr>
        <w:tabs>
          <w:tab w:pos="888" w:val="left" w:leader="none"/>
        </w:tabs>
        <w:spacing w:line="240" w:lineRule="auto" w:before="159" w:after="0"/>
        <w:ind w:left="887" w:right="0" w:hanging="556"/>
        <w:jc w:val="left"/>
        <w:rPr>
          <w:rFonts w:ascii="Lucida Sans"/>
          <w:sz w:val="20"/>
        </w:rPr>
      </w:pPr>
      <w:r>
        <w:rPr>
          <w:rFonts w:ascii="Lucida Sans"/>
          <w:color w:val="1C3E94"/>
          <w:w w:val="95"/>
          <w:sz w:val="20"/>
        </w:rPr>
        <w:t>Epidemiology</w:t>
      </w:r>
      <w:r>
        <w:rPr>
          <w:rFonts w:ascii="Lucida Sans"/>
          <w:color w:val="1C3E94"/>
          <w:spacing w:val="-16"/>
          <w:w w:val="95"/>
          <w:sz w:val="20"/>
        </w:rPr>
        <w:t> </w:t>
      </w:r>
      <w:r>
        <w:rPr>
          <w:rFonts w:ascii="Lucida Sans"/>
          <w:color w:val="1C3E94"/>
          <w:w w:val="95"/>
          <w:sz w:val="20"/>
        </w:rPr>
        <w:t>Process</w:t>
      </w:r>
    </w:p>
    <w:p>
      <w:pPr>
        <w:pStyle w:val="BodyText"/>
        <w:spacing w:before="3"/>
        <w:rPr>
          <w:rFonts w:ascii="Lucida Sans"/>
          <w:sz w:val="18"/>
        </w:rPr>
      </w:pPr>
    </w:p>
    <w:p>
      <w:pPr>
        <w:pStyle w:val="BodyText"/>
        <w:spacing w:line="266" w:lineRule="auto"/>
        <w:ind w:left="331" w:right="1662"/>
      </w:pPr>
      <w:r>
        <w:rPr>
          <w:color w:val="231F20"/>
          <w:w w:val="105"/>
        </w:rPr>
        <w:t>Epidemiology or emergency preparedness groups evaluate alerts triggered </w:t>
      </w:r>
      <w:r>
        <w:rPr>
          <w:color w:val="231F20"/>
          <w:spacing w:val="-3"/>
          <w:w w:val="105"/>
        </w:rPr>
        <w:t>by </w:t>
      </w:r>
      <w:r>
        <w:rPr>
          <w:color w:val="231F20"/>
          <w:w w:val="105"/>
        </w:rPr>
        <w:t>the syndromic surveillance system. The effectiveness</w:t>
      </w:r>
      <w:r>
        <w:rPr>
          <w:color w:val="231F20"/>
          <w:spacing w:val="-28"/>
          <w:w w:val="105"/>
        </w:rPr>
        <w:t> </w:t>
      </w:r>
      <w:r>
        <w:rPr>
          <w:color w:val="231F20"/>
          <w:w w:val="105"/>
        </w:rPr>
        <w:t>of</w:t>
      </w:r>
      <w:r>
        <w:rPr>
          <w:color w:val="231F20"/>
          <w:spacing w:val="-14"/>
          <w:w w:val="105"/>
        </w:rPr>
        <w:t> </w:t>
      </w:r>
      <w:r>
        <w:rPr>
          <w:color w:val="231F20"/>
          <w:w w:val="105"/>
        </w:rPr>
        <w:t>syndromic</w:t>
      </w:r>
      <w:r>
        <w:rPr>
          <w:color w:val="231F20"/>
          <w:spacing w:val="-28"/>
          <w:w w:val="105"/>
        </w:rPr>
        <w:t> </w:t>
      </w:r>
      <w:r>
        <w:rPr>
          <w:color w:val="231F20"/>
          <w:w w:val="105"/>
        </w:rPr>
        <w:t>surveillance</w:t>
      </w:r>
      <w:r>
        <w:rPr>
          <w:color w:val="231F20"/>
          <w:spacing w:val="-28"/>
          <w:w w:val="105"/>
        </w:rPr>
        <w:t> </w:t>
      </w:r>
      <w:r>
        <w:rPr>
          <w:color w:val="231F20"/>
          <w:w w:val="105"/>
        </w:rPr>
        <w:t>using</w:t>
      </w:r>
      <w:r>
        <w:rPr>
          <w:color w:val="231F20"/>
          <w:w w:val="103"/>
        </w:rPr>
        <w:t> </w:t>
      </w:r>
      <w:r>
        <w:rPr>
          <w:color w:val="231F20"/>
          <w:w w:val="105"/>
        </w:rPr>
        <w:t>non-specific health indicators in detecting outbreaks</w:t>
      </w:r>
      <w:r>
        <w:rPr>
          <w:color w:val="231F20"/>
          <w:spacing w:val="-17"/>
          <w:w w:val="105"/>
        </w:rPr>
        <w:t> </w:t>
      </w:r>
      <w:r>
        <w:rPr>
          <w:color w:val="231F20"/>
          <w:w w:val="105"/>
        </w:rPr>
        <w:t>has</w:t>
      </w:r>
      <w:r>
        <w:rPr>
          <w:color w:val="231F20"/>
          <w:spacing w:val="-17"/>
          <w:w w:val="105"/>
        </w:rPr>
        <w:t> </w:t>
      </w:r>
      <w:r>
        <w:rPr>
          <w:color w:val="231F20"/>
          <w:w w:val="105"/>
        </w:rPr>
        <w:t>not</w:t>
      </w:r>
      <w:r>
        <w:rPr>
          <w:color w:val="231F20"/>
          <w:spacing w:val="-17"/>
          <w:w w:val="105"/>
        </w:rPr>
        <w:t> </w:t>
      </w:r>
      <w:r>
        <w:rPr>
          <w:color w:val="231F20"/>
          <w:w w:val="105"/>
        </w:rPr>
        <w:t>been</w:t>
      </w:r>
      <w:r>
        <w:rPr>
          <w:color w:val="231F20"/>
          <w:spacing w:val="-17"/>
          <w:w w:val="105"/>
        </w:rPr>
        <w:t> </w:t>
      </w:r>
      <w:r>
        <w:rPr>
          <w:color w:val="231F20"/>
          <w:w w:val="105"/>
        </w:rPr>
        <w:t>demonstrated.</w:t>
      </w:r>
    </w:p>
    <w:p>
      <w:pPr>
        <w:pStyle w:val="BodyText"/>
        <w:spacing w:line="266" w:lineRule="auto"/>
        <w:ind w:left="331" w:right="1690"/>
      </w:pPr>
      <w:r>
        <w:rPr>
          <w:color w:val="231F20"/>
          <w:w w:val="105"/>
        </w:rPr>
        <w:t>Presumably, cases would be interviewed and exposures determined if an alert were</w:t>
      </w:r>
    </w:p>
    <w:p>
      <w:pPr>
        <w:pStyle w:val="BodyText"/>
        <w:ind w:left="331"/>
      </w:pPr>
      <w:r>
        <w:rPr>
          <w:color w:val="231F20"/>
          <w:w w:val="105"/>
        </w:rPr>
        <w:t>determined likely to represent a true outbreak.</w:t>
      </w:r>
    </w:p>
    <w:p>
      <w:pPr>
        <w:pStyle w:val="ListParagraph"/>
        <w:numPr>
          <w:ilvl w:val="2"/>
          <w:numId w:val="23"/>
        </w:numPr>
        <w:tabs>
          <w:tab w:pos="888" w:val="left" w:leader="none"/>
        </w:tabs>
        <w:spacing w:line="240" w:lineRule="auto" w:before="183" w:after="0"/>
        <w:ind w:left="887" w:right="0" w:hanging="556"/>
        <w:jc w:val="left"/>
        <w:rPr>
          <w:rFonts w:ascii="Lucida Sans"/>
          <w:sz w:val="20"/>
        </w:rPr>
      </w:pPr>
      <w:r>
        <w:rPr>
          <w:rFonts w:ascii="Lucida Sans"/>
          <w:color w:val="1C3E94"/>
          <w:w w:val="95"/>
          <w:sz w:val="20"/>
        </w:rPr>
        <w:t>Laboratory</w:t>
      </w:r>
      <w:r>
        <w:rPr>
          <w:rFonts w:ascii="Lucida Sans"/>
          <w:color w:val="1C3E94"/>
          <w:spacing w:val="-35"/>
          <w:w w:val="95"/>
          <w:sz w:val="20"/>
        </w:rPr>
        <w:t> </w:t>
      </w:r>
      <w:r>
        <w:rPr>
          <w:rFonts w:ascii="Lucida Sans"/>
          <w:color w:val="1C3E94"/>
          <w:w w:val="95"/>
          <w:sz w:val="20"/>
        </w:rPr>
        <w:t>Process</w:t>
      </w:r>
    </w:p>
    <w:p>
      <w:pPr>
        <w:pStyle w:val="BodyText"/>
        <w:spacing w:before="2"/>
        <w:rPr>
          <w:rFonts w:ascii="Lucida Sans"/>
          <w:sz w:val="18"/>
        </w:rPr>
      </w:pPr>
    </w:p>
    <w:p>
      <w:pPr>
        <w:pStyle w:val="BodyText"/>
        <w:spacing w:line="266" w:lineRule="auto" w:before="1"/>
        <w:ind w:left="331" w:right="1572"/>
      </w:pPr>
      <w:r>
        <w:rPr>
          <w:color w:val="231F20"/>
          <w:w w:val="105"/>
        </w:rPr>
        <w:t>Laboratories do not play a direct role in preclinical syndromic surveillance. Various types of laboratory data may be utilized for clinical pre-diagnostic and post-diagnostic data-based syndromic surveillance. Public health laboratories would be involved during epidemiologic investigations triggered by a syndromic surveillance signal.</w:t>
      </w:r>
    </w:p>
    <w:p>
      <w:pPr>
        <w:pStyle w:val="ListParagraph"/>
        <w:numPr>
          <w:ilvl w:val="2"/>
          <w:numId w:val="23"/>
        </w:numPr>
        <w:tabs>
          <w:tab w:pos="888" w:val="left" w:leader="none"/>
        </w:tabs>
        <w:spacing w:line="240" w:lineRule="auto" w:before="159" w:after="0"/>
        <w:ind w:left="887" w:right="0" w:hanging="556"/>
        <w:jc w:val="left"/>
        <w:rPr>
          <w:rFonts w:ascii="Lucida Sans"/>
          <w:sz w:val="20"/>
        </w:rPr>
      </w:pPr>
      <w:r>
        <w:rPr>
          <w:rFonts w:ascii="Lucida Sans"/>
          <w:color w:val="1C3E94"/>
          <w:w w:val="95"/>
          <w:sz w:val="20"/>
        </w:rPr>
        <w:t>Strengths</w:t>
      </w:r>
      <w:r>
        <w:rPr>
          <w:rFonts w:ascii="Lucida Sans"/>
          <w:color w:val="1C3E94"/>
          <w:spacing w:val="-30"/>
          <w:w w:val="95"/>
          <w:sz w:val="20"/>
        </w:rPr>
        <w:t> </w:t>
      </w:r>
      <w:r>
        <w:rPr>
          <w:rFonts w:ascii="Lucida Sans"/>
          <w:color w:val="1C3E94"/>
          <w:w w:val="95"/>
          <w:sz w:val="20"/>
        </w:rPr>
        <w:t>of</w:t>
      </w:r>
      <w:r>
        <w:rPr>
          <w:rFonts w:ascii="Lucida Sans"/>
          <w:color w:val="1C3E94"/>
          <w:spacing w:val="-30"/>
          <w:w w:val="95"/>
          <w:sz w:val="20"/>
        </w:rPr>
        <w:t> </w:t>
      </w:r>
      <w:r>
        <w:rPr>
          <w:rFonts w:ascii="Lucida Sans"/>
          <w:color w:val="1C3E94"/>
          <w:w w:val="95"/>
          <w:sz w:val="20"/>
        </w:rPr>
        <w:t>Syndromic</w:t>
      </w:r>
      <w:r>
        <w:rPr>
          <w:rFonts w:ascii="Lucida Sans"/>
          <w:color w:val="1C3E94"/>
          <w:spacing w:val="-30"/>
          <w:w w:val="95"/>
          <w:sz w:val="20"/>
        </w:rPr>
        <w:t> </w:t>
      </w:r>
      <w:r>
        <w:rPr>
          <w:rFonts w:ascii="Lucida Sans"/>
          <w:color w:val="1C3E94"/>
          <w:w w:val="95"/>
          <w:sz w:val="20"/>
        </w:rPr>
        <w:t>Surveillance</w:t>
      </w:r>
    </w:p>
    <w:p>
      <w:pPr>
        <w:pStyle w:val="BodyText"/>
        <w:spacing w:before="3"/>
        <w:rPr>
          <w:rFonts w:ascii="Lucida Sans"/>
          <w:sz w:val="18"/>
        </w:rPr>
      </w:pPr>
    </w:p>
    <w:p>
      <w:pPr>
        <w:pStyle w:val="ListParagraph"/>
        <w:numPr>
          <w:ilvl w:val="0"/>
          <w:numId w:val="11"/>
        </w:numPr>
        <w:tabs>
          <w:tab w:pos="503" w:val="left" w:leader="none"/>
        </w:tabs>
        <w:spacing w:line="266" w:lineRule="auto" w:before="0" w:after="0"/>
        <w:ind w:left="502" w:right="1494" w:hanging="171"/>
        <w:jc w:val="both"/>
        <w:rPr>
          <w:sz w:val="20"/>
        </w:rPr>
      </w:pPr>
      <w:r>
        <w:rPr>
          <w:color w:val="231F20"/>
          <w:w w:val="105"/>
          <w:sz w:val="20"/>
        </w:rPr>
        <w:t>In</w:t>
      </w:r>
      <w:r>
        <w:rPr>
          <w:color w:val="231F20"/>
          <w:spacing w:val="-14"/>
          <w:w w:val="105"/>
          <w:sz w:val="20"/>
        </w:rPr>
        <w:t> </w:t>
      </w:r>
      <w:r>
        <w:rPr>
          <w:color w:val="231F20"/>
          <w:spacing w:val="-4"/>
          <w:w w:val="105"/>
          <w:sz w:val="20"/>
        </w:rPr>
        <w:t>theory,</w:t>
      </w:r>
      <w:r>
        <w:rPr>
          <w:color w:val="231F20"/>
          <w:spacing w:val="-13"/>
          <w:w w:val="105"/>
          <w:sz w:val="20"/>
        </w:rPr>
        <w:t> </w:t>
      </w:r>
      <w:r>
        <w:rPr>
          <w:color w:val="231F20"/>
          <w:w w:val="105"/>
          <w:sz w:val="20"/>
        </w:rPr>
        <w:t>syndromic</w:t>
      </w:r>
      <w:r>
        <w:rPr>
          <w:color w:val="231F20"/>
          <w:spacing w:val="-14"/>
          <w:w w:val="105"/>
          <w:sz w:val="20"/>
        </w:rPr>
        <w:t> </w:t>
      </w:r>
      <w:r>
        <w:rPr>
          <w:color w:val="231F20"/>
          <w:w w:val="105"/>
          <w:sz w:val="20"/>
        </w:rPr>
        <w:t>surveillance</w:t>
      </w:r>
      <w:r>
        <w:rPr>
          <w:color w:val="231F20"/>
          <w:spacing w:val="-15"/>
          <w:w w:val="105"/>
          <w:sz w:val="20"/>
        </w:rPr>
        <w:t> </w:t>
      </w:r>
      <w:r>
        <w:rPr>
          <w:color w:val="231F20"/>
          <w:w w:val="105"/>
          <w:sz w:val="20"/>
        </w:rPr>
        <w:t>using</w:t>
      </w:r>
      <w:r>
        <w:rPr>
          <w:color w:val="231F20"/>
          <w:spacing w:val="-14"/>
          <w:w w:val="105"/>
          <w:sz w:val="20"/>
        </w:rPr>
        <w:t> </w:t>
      </w:r>
      <w:r>
        <w:rPr>
          <w:color w:val="231F20"/>
          <w:w w:val="105"/>
          <w:sz w:val="20"/>
        </w:rPr>
        <w:t>non- specific</w:t>
      </w:r>
      <w:r>
        <w:rPr>
          <w:color w:val="231F20"/>
          <w:spacing w:val="-12"/>
          <w:w w:val="105"/>
          <w:sz w:val="20"/>
        </w:rPr>
        <w:t> </w:t>
      </w:r>
      <w:r>
        <w:rPr>
          <w:color w:val="231F20"/>
          <w:w w:val="105"/>
          <w:sz w:val="20"/>
        </w:rPr>
        <w:t>health</w:t>
      </w:r>
      <w:r>
        <w:rPr>
          <w:color w:val="231F20"/>
          <w:spacing w:val="-12"/>
          <w:w w:val="105"/>
          <w:sz w:val="20"/>
        </w:rPr>
        <w:t> </w:t>
      </w:r>
      <w:r>
        <w:rPr>
          <w:color w:val="231F20"/>
          <w:w w:val="105"/>
          <w:sz w:val="20"/>
        </w:rPr>
        <w:t>indicators</w:t>
      </w:r>
      <w:r>
        <w:rPr>
          <w:color w:val="231F20"/>
          <w:spacing w:val="-12"/>
          <w:w w:val="105"/>
          <w:sz w:val="20"/>
        </w:rPr>
        <w:t> </w:t>
      </w:r>
      <w:r>
        <w:rPr>
          <w:color w:val="231F20"/>
          <w:w w:val="105"/>
          <w:sz w:val="20"/>
        </w:rPr>
        <w:t>has</w:t>
      </w:r>
      <w:r>
        <w:rPr>
          <w:color w:val="231F20"/>
          <w:spacing w:val="-12"/>
          <w:w w:val="105"/>
          <w:sz w:val="20"/>
        </w:rPr>
        <w:t> </w:t>
      </w:r>
      <w:r>
        <w:rPr>
          <w:color w:val="231F20"/>
          <w:w w:val="105"/>
          <w:sz w:val="20"/>
        </w:rPr>
        <w:t>the</w:t>
      </w:r>
      <w:r>
        <w:rPr>
          <w:color w:val="231F20"/>
          <w:spacing w:val="-12"/>
          <w:w w:val="105"/>
          <w:sz w:val="20"/>
        </w:rPr>
        <w:t> </w:t>
      </w:r>
      <w:r>
        <w:rPr>
          <w:color w:val="231F20"/>
          <w:w w:val="105"/>
          <w:sz w:val="20"/>
        </w:rPr>
        <w:t>potential</w:t>
      </w:r>
      <w:r>
        <w:rPr>
          <w:color w:val="231F20"/>
          <w:spacing w:val="-12"/>
          <w:w w:val="105"/>
          <w:sz w:val="20"/>
        </w:rPr>
        <w:t> </w:t>
      </w:r>
      <w:r>
        <w:rPr>
          <w:color w:val="231F20"/>
          <w:w w:val="105"/>
          <w:sz w:val="20"/>
        </w:rPr>
        <w:t>to identify</w:t>
      </w:r>
      <w:r>
        <w:rPr>
          <w:color w:val="231F20"/>
          <w:spacing w:val="-23"/>
          <w:w w:val="105"/>
          <w:sz w:val="20"/>
        </w:rPr>
        <w:t> </w:t>
      </w:r>
      <w:r>
        <w:rPr>
          <w:color w:val="231F20"/>
          <w:w w:val="105"/>
          <w:sz w:val="20"/>
        </w:rPr>
        <w:t>clusters</w:t>
      </w:r>
      <w:r>
        <w:rPr>
          <w:color w:val="231F20"/>
          <w:spacing w:val="-23"/>
          <w:w w:val="105"/>
          <w:sz w:val="20"/>
        </w:rPr>
        <w:t> </w:t>
      </w:r>
      <w:r>
        <w:rPr>
          <w:color w:val="231F20"/>
          <w:w w:val="105"/>
          <w:sz w:val="20"/>
        </w:rPr>
        <w:t>of</w:t>
      </w:r>
      <w:r>
        <w:rPr>
          <w:color w:val="231F20"/>
          <w:spacing w:val="-6"/>
          <w:w w:val="105"/>
          <w:sz w:val="20"/>
        </w:rPr>
        <w:t> </w:t>
      </w:r>
      <w:r>
        <w:rPr>
          <w:color w:val="231F20"/>
          <w:w w:val="105"/>
          <w:sz w:val="20"/>
        </w:rPr>
        <w:t>disease</w:t>
      </w:r>
      <w:r>
        <w:rPr>
          <w:color w:val="231F20"/>
          <w:spacing w:val="-23"/>
          <w:w w:val="105"/>
          <w:sz w:val="20"/>
        </w:rPr>
        <w:t> </w:t>
      </w:r>
      <w:r>
        <w:rPr>
          <w:color w:val="231F20"/>
          <w:w w:val="105"/>
          <w:sz w:val="20"/>
        </w:rPr>
        <w:t>before</w:t>
      </w:r>
      <w:r>
        <w:rPr>
          <w:color w:val="231F20"/>
          <w:spacing w:val="-23"/>
          <w:w w:val="105"/>
          <w:sz w:val="20"/>
        </w:rPr>
        <w:t> </w:t>
      </w:r>
      <w:r>
        <w:rPr>
          <w:color w:val="231F20"/>
          <w:w w:val="105"/>
          <w:sz w:val="20"/>
        </w:rPr>
        <w:t>definitive</w:t>
      </w:r>
    </w:p>
    <w:p>
      <w:pPr>
        <w:spacing w:after="0" w:line="266" w:lineRule="auto"/>
        <w:jc w:val="both"/>
        <w:rPr>
          <w:sz w:val="20"/>
        </w:rPr>
        <w:sectPr>
          <w:type w:val="continuous"/>
          <w:pgSz w:w="10080" w:h="14400"/>
          <w:pgMar w:top="0" w:bottom="0" w:left="0" w:right="0"/>
          <w:cols w:num="2" w:equalWidth="0">
            <w:col w:w="4489" w:space="40"/>
            <w:col w:w="5551"/>
          </w:cols>
        </w:sectPr>
      </w:pPr>
    </w:p>
    <w:p>
      <w:pPr>
        <w:pStyle w:val="BodyText"/>
        <w:spacing w:before="8"/>
        <w:rPr>
          <w:sz w:val="10"/>
        </w:rPr>
      </w:pPr>
    </w:p>
    <w:p>
      <w:pPr>
        <w:pStyle w:val="Heading1"/>
        <w:numPr>
          <w:ilvl w:val="1"/>
          <w:numId w:val="25"/>
        </w:numPr>
        <w:tabs>
          <w:tab w:pos="1985" w:val="left" w:leader="none"/>
        </w:tabs>
        <w:spacing w:line="240" w:lineRule="auto" w:before="89" w:after="0"/>
        <w:ind w:left="1984" w:right="0" w:hanging="544"/>
        <w:jc w:val="left"/>
      </w:pPr>
      <w:r>
        <w:rPr/>
        <w:pict>
          <v:line style="position:absolute;mso-position-horizontal-relative:page;mso-position-vertical-relative:paragraph;z-index:4384;mso-wrap-distance-left:0;mso-wrap-distance-right:0" from="72pt,23.995163pt" to="468pt,23.995163pt" stroked="true" strokeweight=".5pt" strokecolor="#00a94f">
            <v:stroke dashstyle="solid"/>
            <w10:wrap type="topAndBottom"/>
          </v:line>
        </w:pict>
      </w:r>
      <w:r>
        <w:rPr>
          <w:color w:val="00A94F"/>
          <w:w w:val="90"/>
        </w:rPr>
        <w:t>Syndromic </w:t>
      </w:r>
      <w:r>
        <w:rPr>
          <w:color w:val="00A94F"/>
          <w:spacing w:val="2"/>
          <w:w w:val="90"/>
        </w:rPr>
        <w:t> </w:t>
      </w:r>
      <w:r>
        <w:rPr>
          <w:color w:val="00A94F"/>
          <w:w w:val="90"/>
        </w:rPr>
        <w:t>Surveillance</w:t>
      </w:r>
    </w:p>
    <w:p>
      <w:pPr>
        <w:pStyle w:val="BodyText"/>
        <w:spacing w:before="7"/>
        <w:rPr>
          <w:rFonts w:ascii="Lucida Sans"/>
          <w:sz w:val="17"/>
        </w:rPr>
      </w:pPr>
    </w:p>
    <w:p>
      <w:pPr>
        <w:spacing w:after="0"/>
        <w:rPr>
          <w:rFonts w:ascii="Lucida Sans"/>
          <w:sz w:val="17"/>
        </w:rPr>
        <w:sectPr>
          <w:pgSz w:w="10080" w:h="14400"/>
          <w:pgMar w:header="0" w:footer="0" w:top="1160" w:bottom="280" w:left="0" w:right="0"/>
        </w:sectPr>
      </w:pPr>
    </w:p>
    <w:p>
      <w:pPr>
        <w:pStyle w:val="BodyText"/>
        <w:spacing w:line="266" w:lineRule="auto" w:before="108"/>
        <w:ind w:left="1610" w:right="362"/>
        <w:jc w:val="both"/>
      </w:pPr>
      <w:r>
        <w:rPr>
          <w:color w:val="231F20"/>
          <w:w w:val="105"/>
        </w:rPr>
        <w:t>diagnosis and reporting, thus</w:t>
      </w:r>
      <w:r>
        <w:rPr>
          <w:color w:val="231F20"/>
          <w:spacing w:val="-38"/>
          <w:w w:val="105"/>
        </w:rPr>
        <w:t> </w:t>
      </w:r>
      <w:r>
        <w:rPr>
          <w:color w:val="231F20"/>
          <w:w w:val="105"/>
        </w:rPr>
        <w:t>generating a</w:t>
      </w:r>
      <w:r>
        <w:rPr>
          <w:color w:val="231F20"/>
          <w:spacing w:val="-7"/>
          <w:w w:val="105"/>
        </w:rPr>
        <w:t> </w:t>
      </w:r>
      <w:r>
        <w:rPr>
          <w:color w:val="231F20"/>
          <w:w w:val="105"/>
        </w:rPr>
        <w:t>faster</w:t>
      </w:r>
      <w:r>
        <w:rPr>
          <w:color w:val="231F20"/>
          <w:spacing w:val="-7"/>
          <w:w w:val="105"/>
        </w:rPr>
        <w:t> </w:t>
      </w:r>
      <w:r>
        <w:rPr>
          <w:color w:val="231F20"/>
          <w:w w:val="105"/>
        </w:rPr>
        <w:t>signal</w:t>
      </w:r>
      <w:r>
        <w:rPr>
          <w:color w:val="231F20"/>
          <w:spacing w:val="-6"/>
          <w:w w:val="105"/>
        </w:rPr>
        <w:t> </w:t>
      </w:r>
      <w:r>
        <w:rPr>
          <w:color w:val="231F20"/>
          <w:w w:val="105"/>
        </w:rPr>
        <w:t>than</w:t>
      </w:r>
      <w:r>
        <w:rPr>
          <w:color w:val="231F20"/>
          <w:spacing w:val="-8"/>
          <w:w w:val="105"/>
        </w:rPr>
        <w:t> </w:t>
      </w:r>
      <w:r>
        <w:rPr>
          <w:color w:val="231F20"/>
          <w:w w:val="105"/>
        </w:rPr>
        <w:t>can</w:t>
      </w:r>
      <w:r>
        <w:rPr>
          <w:color w:val="231F20"/>
          <w:spacing w:val="-7"/>
          <w:w w:val="105"/>
        </w:rPr>
        <w:t> </w:t>
      </w:r>
      <w:r>
        <w:rPr>
          <w:color w:val="231F20"/>
          <w:w w:val="105"/>
        </w:rPr>
        <w:t>be</w:t>
      </w:r>
      <w:r>
        <w:rPr>
          <w:color w:val="231F20"/>
          <w:spacing w:val="-7"/>
          <w:w w:val="105"/>
        </w:rPr>
        <w:t> </w:t>
      </w:r>
      <w:r>
        <w:rPr>
          <w:color w:val="231F20"/>
          <w:w w:val="105"/>
        </w:rPr>
        <w:t>expected</w:t>
      </w:r>
      <w:r>
        <w:rPr>
          <w:color w:val="231F20"/>
          <w:spacing w:val="-7"/>
          <w:w w:val="105"/>
        </w:rPr>
        <w:t> </w:t>
      </w:r>
      <w:r>
        <w:rPr>
          <w:color w:val="231F20"/>
          <w:w w:val="105"/>
        </w:rPr>
        <w:t>with </w:t>
      </w:r>
      <w:r>
        <w:rPr>
          <w:color w:val="231F20"/>
        </w:rPr>
        <w:t>pathogen-specific </w:t>
      </w:r>
      <w:r>
        <w:rPr>
          <w:color w:val="231F20"/>
          <w:spacing w:val="14"/>
        </w:rPr>
        <w:t> </w:t>
      </w:r>
      <w:r>
        <w:rPr>
          <w:color w:val="231F20"/>
        </w:rPr>
        <w:t>surveillance.</w:t>
      </w:r>
    </w:p>
    <w:p>
      <w:pPr>
        <w:pStyle w:val="ListParagraph"/>
        <w:numPr>
          <w:ilvl w:val="1"/>
          <w:numId w:val="11"/>
        </w:numPr>
        <w:tabs>
          <w:tab w:pos="1611" w:val="left" w:leader="none"/>
        </w:tabs>
        <w:spacing w:line="266" w:lineRule="auto" w:before="90" w:after="0"/>
        <w:ind w:left="1610" w:right="8" w:hanging="170"/>
        <w:jc w:val="left"/>
        <w:rPr>
          <w:sz w:val="20"/>
        </w:rPr>
      </w:pPr>
      <w:r>
        <w:rPr>
          <w:color w:val="231F20"/>
          <w:w w:val="105"/>
          <w:sz w:val="20"/>
        </w:rPr>
        <w:t>As with complaint systems, outbreaks from any cause, known or unknown, potentially can be detected. Included are clusters of cases</w:t>
      </w:r>
      <w:r>
        <w:rPr>
          <w:color w:val="231F20"/>
          <w:spacing w:val="-15"/>
          <w:w w:val="105"/>
          <w:sz w:val="20"/>
        </w:rPr>
        <w:t> </w:t>
      </w:r>
      <w:r>
        <w:rPr>
          <w:color w:val="231F20"/>
          <w:w w:val="105"/>
          <w:sz w:val="20"/>
        </w:rPr>
        <w:t>identified</w:t>
      </w:r>
      <w:r>
        <w:rPr>
          <w:color w:val="231F20"/>
          <w:spacing w:val="-15"/>
          <w:w w:val="105"/>
          <w:sz w:val="20"/>
        </w:rPr>
        <w:t> </w:t>
      </w:r>
      <w:r>
        <w:rPr>
          <w:color w:val="231F20"/>
          <w:w w:val="105"/>
          <w:sz w:val="20"/>
        </w:rPr>
        <w:t>with</w:t>
      </w:r>
      <w:r>
        <w:rPr>
          <w:color w:val="231F20"/>
          <w:spacing w:val="-15"/>
          <w:w w:val="105"/>
          <w:sz w:val="20"/>
        </w:rPr>
        <w:t> </w:t>
      </w:r>
      <w:r>
        <w:rPr>
          <w:color w:val="231F20"/>
          <w:w w:val="105"/>
          <w:sz w:val="20"/>
        </w:rPr>
        <w:t>discharge</w:t>
      </w:r>
      <w:r>
        <w:rPr>
          <w:color w:val="231F20"/>
          <w:spacing w:val="-15"/>
          <w:w w:val="105"/>
          <w:sz w:val="20"/>
        </w:rPr>
        <w:t> </w:t>
      </w:r>
      <w:r>
        <w:rPr>
          <w:color w:val="231F20"/>
          <w:w w:val="105"/>
          <w:sz w:val="20"/>
        </w:rPr>
        <w:t>diagnoses</w:t>
      </w:r>
      <w:r>
        <w:rPr>
          <w:color w:val="231F20"/>
          <w:spacing w:val="-15"/>
          <w:w w:val="105"/>
          <w:sz w:val="20"/>
        </w:rPr>
        <w:t> </w:t>
      </w:r>
      <w:r>
        <w:rPr>
          <w:color w:val="231F20"/>
          <w:w w:val="105"/>
          <w:sz w:val="20"/>
        </w:rPr>
        <w:t>that include specific agents not part of standard surveillance.</w:t>
      </w:r>
    </w:p>
    <w:p>
      <w:pPr>
        <w:pStyle w:val="ListParagraph"/>
        <w:numPr>
          <w:ilvl w:val="1"/>
          <w:numId w:val="11"/>
        </w:numPr>
        <w:tabs>
          <w:tab w:pos="1611" w:val="left" w:leader="none"/>
        </w:tabs>
        <w:spacing w:line="266" w:lineRule="auto" w:before="90" w:after="0"/>
        <w:ind w:left="1610" w:right="107" w:hanging="170"/>
        <w:jc w:val="left"/>
        <w:rPr>
          <w:sz w:val="20"/>
        </w:rPr>
      </w:pPr>
      <w:r>
        <w:rPr/>
        <w:pict>
          <v:rect style="position:absolute;margin-left:0pt;margin-top:16.899353pt;width:45pt;height:18pt;mso-position-horizontal-relative:page;mso-position-vertical-relative:paragraph;z-index:4408" filled="true" fillcolor="#0079c1" stroked="false">
            <v:fill type="solid"/>
            <w10:wrap type="none"/>
          </v:rect>
        </w:pict>
      </w:r>
      <w:r>
        <w:rPr/>
        <w:pict>
          <v:line style="position:absolute;mso-position-horizontal-relative:page;mso-position-vertical-relative:paragraph;z-index:4432" from="54.5pt,16.896954pt" to="54.5pt,219.305954pt" stroked="true" strokeweight="1pt" strokecolor="#0079c1">
            <v:stroke dashstyle="solid"/>
            <w10:wrap type="none"/>
          </v:line>
        </w:pict>
      </w:r>
      <w:r>
        <w:rPr/>
        <w:pict>
          <v:shape style="position:absolute;margin-left:16.402201pt;margin-top:37.922646pt;width:22.3pt;height:183.2pt;mso-position-horizontal-relative:page;mso-position-vertical-relative:paragraph;z-index:4456"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18.200388pt;margin-top:21.650305pt;width:15.85pt;height:8.5pt;mso-position-horizontal-relative:page;mso-position-vertical-relative:paragraph;z-index:4480"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105"/>
          <w:sz w:val="20"/>
        </w:rPr>
        <w:t>Syndromic surveillance may be able to detect large, undiagnosed events, such as an</w:t>
      </w:r>
      <w:r>
        <w:rPr>
          <w:color w:val="231F20"/>
          <w:spacing w:val="-10"/>
          <w:w w:val="105"/>
          <w:sz w:val="20"/>
        </w:rPr>
        <w:t> </w:t>
      </w:r>
      <w:r>
        <w:rPr>
          <w:color w:val="231F20"/>
          <w:w w:val="105"/>
          <w:sz w:val="20"/>
        </w:rPr>
        <w:t>increase</w:t>
      </w:r>
      <w:r>
        <w:rPr>
          <w:color w:val="231F20"/>
          <w:spacing w:val="-10"/>
          <w:w w:val="105"/>
          <w:sz w:val="20"/>
        </w:rPr>
        <w:t> </w:t>
      </w:r>
      <w:r>
        <w:rPr>
          <w:color w:val="231F20"/>
          <w:w w:val="105"/>
          <w:sz w:val="20"/>
        </w:rPr>
        <w:t>in</w:t>
      </w:r>
      <w:r>
        <w:rPr>
          <w:color w:val="231F20"/>
          <w:spacing w:val="-10"/>
          <w:w w:val="105"/>
          <w:sz w:val="20"/>
        </w:rPr>
        <w:t> </w:t>
      </w:r>
      <w:r>
        <w:rPr>
          <w:color w:val="231F20"/>
          <w:w w:val="105"/>
          <w:sz w:val="20"/>
        </w:rPr>
        <w:t>gastrointestinal</w:t>
      </w:r>
      <w:r>
        <w:rPr>
          <w:color w:val="231F20"/>
          <w:spacing w:val="-9"/>
          <w:w w:val="105"/>
          <w:sz w:val="20"/>
        </w:rPr>
        <w:t> </w:t>
      </w:r>
      <w:r>
        <w:rPr>
          <w:color w:val="231F20"/>
          <w:w w:val="105"/>
          <w:sz w:val="20"/>
        </w:rPr>
        <w:t>illness</w:t>
      </w:r>
      <w:r>
        <w:rPr>
          <w:color w:val="231F20"/>
          <w:spacing w:val="-10"/>
          <w:w w:val="105"/>
          <w:sz w:val="20"/>
        </w:rPr>
        <w:t> </w:t>
      </w:r>
      <w:r>
        <w:rPr>
          <w:color w:val="231F20"/>
          <w:w w:val="105"/>
          <w:sz w:val="20"/>
        </w:rPr>
        <w:t>among</w:t>
      </w:r>
    </w:p>
    <w:p>
      <w:pPr>
        <w:pStyle w:val="BodyText"/>
        <w:spacing w:line="266" w:lineRule="auto"/>
        <w:ind w:left="1610" w:right="35"/>
      </w:pPr>
      <w:r>
        <w:rPr>
          <w:color w:val="231F20"/>
          <w:w w:val="105"/>
        </w:rPr>
        <w:t>persons</w:t>
      </w:r>
      <w:r>
        <w:rPr>
          <w:color w:val="231F20"/>
          <w:spacing w:val="-22"/>
          <w:w w:val="105"/>
        </w:rPr>
        <w:t> </w:t>
      </w:r>
      <w:r>
        <w:rPr>
          <w:color w:val="231F20"/>
          <w:w w:val="105"/>
        </w:rPr>
        <w:t>of</w:t>
      </w:r>
      <w:r>
        <w:rPr>
          <w:color w:val="231F20"/>
          <w:spacing w:val="-4"/>
          <w:w w:val="105"/>
        </w:rPr>
        <w:t> </w:t>
      </w:r>
      <w:r>
        <w:rPr>
          <w:color w:val="231F20"/>
          <w:w w:val="105"/>
        </w:rPr>
        <w:t>all</w:t>
      </w:r>
      <w:r>
        <w:rPr>
          <w:color w:val="231F20"/>
          <w:spacing w:val="-23"/>
          <w:w w:val="105"/>
        </w:rPr>
        <w:t> </w:t>
      </w:r>
      <w:r>
        <w:rPr>
          <w:color w:val="231F20"/>
          <w:w w:val="105"/>
        </w:rPr>
        <w:t>ages</w:t>
      </w:r>
      <w:r>
        <w:rPr>
          <w:color w:val="231F20"/>
          <w:spacing w:val="-23"/>
          <w:w w:val="105"/>
        </w:rPr>
        <w:t> </w:t>
      </w:r>
      <w:r>
        <w:rPr>
          <w:color w:val="231F20"/>
          <w:w w:val="105"/>
        </w:rPr>
        <w:t>consistent</w:t>
      </w:r>
      <w:r>
        <w:rPr>
          <w:color w:val="231F20"/>
          <w:spacing w:val="-22"/>
          <w:w w:val="105"/>
        </w:rPr>
        <w:t> </w:t>
      </w:r>
      <w:r>
        <w:rPr>
          <w:color w:val="231F20"/>
          <w:w w:val="105"/>
        </w:rPr>
        <w:t>with</w:t>
      </w:r>
      <w:r>
        <w:rPr>
          <w:color w:val="231F20"/>
          <w:spacing w:val="-22"/>
          <w:w w:val="105"/>
        </w:rPr>
        <w:t> </w:t>
      </w:r>
      <w:r>
        <w:rPr>
          <w:color w:val="231F20"/>
          <w:w w:val="105"/>
        </w:rPr>
        <w:t>norovirus, an increase in diarrheal illness among</w:t>
      </w:r>
      <w:r>
        <w:rPr>
          <w:color w:val="231F20"/>
          <w:spacing w:val="-20"/>
          <w:w w:val="105"/>
        </w:rPr>
        <w:t> </w:t>
      </w:r>
      <w:r>
        <w:rPr>
          <w:color w:val="231F20"/>
          <w:w w:val="105"/>
        </w:rPr>
        <w:t>young children consistent with rotavirus, and the arrival of epidemic</w:t>
      </w:r>
      <w:r>
        <w:rPr>
          <w:color w:val="231F20"/>
          <w:spacing w:val="10"/>
          <w:w w:val="105"/>
        </w:rPr>
        <w:t> </w:t>
      </w:r>
      <w:r>
        <w:rPr>
          <w:color w:val="231F20"/>
          <w:w w:val="105"/>
        </w:rPr>
        <w:t>influenza.</w:t>
      </w:r>
    </w:p>
    <w:p>
      <w:pPr>
        <w:pStyle w:val="ListParagraph"/>
        <w:numPr>
          <w:ilvl w:val="1"/>
          <w:numId w:val="11"/>
        </w:numPr>
        <w:tabs>
          <w:tab w:pos="1611" w:val="left" w:leader="none"/>
        </w:tabs>
        <w:spacing w:line="266" w:lineRule="auto" w:before="90" w:after="0"/>
        <w:ind w:left="1610" w:right="69" w:hanging="170"/>
        <w:jc w:val="left"/>
        <w:rPr>
          <w:sz w:val="20"/>
        </w:rPr>
      </w:pPr>
      <w:r>
        <w:rPr>
          <w:color w:val="231F20"/>
          <w:w w:val="105"/>
          <w:sz w:val="20"/>
        </w:rPr>
        <w:t>Most syndromic surveillance systems </w:t>
      </w:r>
      <w:r>
        <w:rPr>
          <w:color w:val="231F20"/>
          <w:spacing w:val="-3"/>
          <w:w w:val="105"/>
          <w:sz w:val="20"/>
        </w:rPr>
        <w:t>have </w:t>
      </w:r>
      <w:r>
        <w:rPr>
          <w:color w:val="231F20"/>
          <w:w w:val="105"/>
          <w:sz w:val="20"/>
        </w:rPr>
        <w:t>been built with automated electronic data </w:t>
      </w:r>
      <w:r>
        <w:rPr>
          <w:color w:val="231F20"/>
          <w:spacing w:val="-3"/>
          <w:w w:val="105"/>
          <w:sz w:val="20"/>
        </w:rPr>
        <w:t>transfer.</w:t>
      </w:r>
      <w:r>
        <w:rPr>
          <w:color w:val="231F20"/>
          <w:spacing w:val="-15"/>
          <w:w w:val="105"/>
          <w:sz w:val="20"/>
        </w:rPr>
        <w:t> </w:t>
      </w:r>
      <w:r>
        <w:rPr>
          <w:color w:val="231F20"/>
          <w:w w:val="105"/>
          <w:sz w:val="20"/>
        </w:rPr>
        <w:t>This</w:t>
      </w:r>
      <w:r>
        <w:rPr>
          <w:color w:val="231F20"/>
          <w:spacing w:val="-15"/>
          <w:w w:val="105"/>
          <w:sz w:val="20"/>
        </w:rPr>
        <w:t> </w:t>
      </w:r>
      <w:r>
        <w:rPr>
          <w:color w:val="231F20"/>
          <w:w w:val="105"/>
          <w:sz w:val="20"/>
        </w:rPr>
        <w:t>infrastructure</w:t>
      </w:r>
      <w:r>
        <w:rPr>
          <w:color w:val="231F20"/>
          <w:spacing w:val="-15"/>
          <w:w w:val="105"/>
          <w:sz w:val="20"/>
        </w:rPr>
        <w:t> </w:t>
      </w:r>
      <w:r>
        <w:rPr>
          <w:color w:val="231F20"/>
          <w:w w:val="105"/>
          <w:sz w:val="20"/>
        </w:rPr>
        <w:t>should</w:t>
      </w:r>
      <w:r>
        <w:rPr>
          <w:color w:val="231F20"/>
          <w:spacing w:val="-15"/>
          <w:w w:val="105"/>
          <w:sz w:val="20"/>
        </w:rPr>
        <w:t> </w:t>
      </w:r>
      <w:r>
        <w:rPr>
          <w:color w:val="231F20"/>
          <w:w w:val="105"/>
          <w:sz w:val="20"/>
        </w:rPr>
        <w:t>be</w:t>
      </w:r>
      <w:r>
        <w:rPr>
          <w:color w:val="231F20"/>
          <w:spacing w:val="-15"/>
          <w:w w:val="105"/>
          <w:sz w:val="20"/>
        </w:rPr>
        <w:t> </w:t>
      </w:r>
      <w:r>
        <w:rPr>
          <w:color w:val="231F20"/>
          <w:w w:val="105"/>
          <w:sz w:val="20"/>
        </w:rPr>
        <w:t>useful for other types of surveillance and public health</w:t>
      </w:r>
      <w:r>
        <w:rPr>
          <w:color w:val="231F20"/>
          <w:spacing w:val="-16"/>
          <w:w w:val="105"/>
          <w:sz w:val="20"/>
        </w:rPr>
        <w:t> </w:t>
      </w:r>
      <w:r>
        <w:rPr>
          <w:color w:val="231F20"/>
          <w:w w:val="105"/>
          <w:sz w:val="20"/>
        </w:rPr>
        <w:t>activities.</w:t>
      </w:r>
    </w:p>
    <w:p>
      <w:pPr>
        <w:pStyle w:val="ListParagraph"/>
        <w:numPr>
          <w:ilvl w:val="1"/>
          <w:numId w:val="11"/>
        </w:numPr>
        <w:tabs>
          <w:tab w:pos="1611" w:val="left" w:leader="none"/>
        </w:tabs>
        <w:spacing w:line="266" w:lineRule="auto" w:before="90" w:after="0"/>
        <w:ind w:left="1610" w:right="84" w:hanging="170"/>
        <w:jc w:val="left"/>
        <w:rPr>
          <w:sz w:val="20"/>
        </w:rPr>
      </w:pPr>
      <w:r>
        <w:rPr>
          <w:color w:val="231F20"/>
          <w:spacing w:val="-6"/>
          <w:w w:val="105"/>
          <w:sz w:val="20"/>
        </w:rPr>
        <w:t>Very </w:t>
      </w:r>
      <w:r>
        <w:rPr>
          <w:color w:val="231F20"/>
          <w:w w:val="105"/>
          <w:sz w:val="20"/>
        </w:rPr>
        <w:t>specific syndromes, such as botulism or HUS, are important indicators</w:t>
      </w:r>
      <w:r>
        <w:rPr>
          <w:color w:val="231F20"/>
          <w:spacing w:val="-35"/>
          <w:w w:val="105"/>
          <w:sz w:val="20"/>
        </w:rPr>
        <w:t> </w:t>
      </w:r>
      <w:r>
        <w:rPr>
          <w:color w:val="231F20"/>
          <w:w w:val="105"/>
          <w:sz w:val="20"/>
        </w:rPr>
        <w:t>of serious public health problems.</w:t>
      </w:r>
      <w:r>
        <w:rPr>
          <w:color w:val="231F20"/>
          <w:spacing w:val="13"/>
          <w:w w:val="105"/>
          <w:sz w:val="20"/>
        </w:rPr>
        <w:t> </w:t>
      </w:r>
      <w:r>
        <w:rPr>
          <w:color w:val="231F20"/>
          <w:w w:val="105"/>
          <w:sz w:val="20"/>
        </w:rPr>
        <w:t>Surveillance</w:t>
      </w:r>
    </w:p>
    <w:p>
      <w:pPr>
        <w:pStyle w:val="BodyText"/>
        <w:spacing w:line="266" w:lineRule="auto"/>
        <w:ind w:left="1610" w:right="7"/>
      </w:pPr>
      <w:r>
        <w:rPr>
          <w:color w:val="231F20"/>
          <w:w w:val="105"/>
        </w:rPr>
        <w:t>for specific syndromes with or without identification of an agent is a critical function of health agencies, and is not subject to artifacts introduced by changes in </w:t>
      </w:r>
      <w:r>
        <w:rPr>
          <w:color w:val="231F20"/>
        </w:rPr>
        <w:t>microbiology testing methodologies.</w:t>
      </w:r>
    </w:p>
    <w:p>
      <w:pPr>
        <w:pStyle w:val="ListParagraph"/>
        <w:numPr>
          <w:ilvl w:val="2"/>
          <w:numId w:val="25"/>
        </w:numPr>
        <w:tabs>
          <w:tab w:pos="1996" w:val="left" w:leader="none"/>
        </w:tabs>
        <w:spacing w:line="254" w:lineRule="auto" w:before="159" w:after="0"/>
        <w:ind w:left="1440" w:right="1004" w:firstLine="0"/>
        <w:jc w:val="left"/>
        <w:rPr>
          <w:rFonts w:ascii="Lucida Sans"/>
          <w:sz w:val="20"/>
        </w:rPr>
      </w:pPr>
      <w:r>
        <w:rPr>
          <w:rFonts w:ascii="Lucida Sans"/>
          <w:color w:val="1C3E94"/>
          <w:w w:val="95"/>
          <w:sz w:val="20"/>
        </w:rPr>
        <w:t>Limitations</w:t>
      </w:r>
      <w:r>
        <w:rPr>
          <w:rFonts w:ascii="Lucida Sans"/>
          <w:color w:val="1C3E94"/>
          <w:spacing w:val="-42"/>
          <w:w w:val="95"/>
          <w:sz w:val="20"/>
        </w:rPr>
        <w:t> </w:t>
      </w:r>
      <w:r>
        <w:rPr>
          <w:rFonts w:ascii="Lucida Sans"/>
          <w:color w:val="1C3E94"/>
          <w:w w:val="95"/>
          <w:sz w:val="20"/>
        </w:rPr>
        <w:t>of</w:t>
      </w:r>
      <w:r>
        <w:rPr>
          <w:rFonts w:ascii="Lucida Sans"/>
          <w:color w:val="1C3E94"/>
          <w:spacing w:val="-42"/>
          <w:w w:val="95"/>
          <w:sz w:val="20"/>
        </w:rPr>
        <w:t> </w:t>
      </w:r>
      <w:r>
        <w:rPr>
          <w:rFonts w:ascii="Lucida Sans"/>
          <w:color w:val="1C3E94"/>
          <w:w w:val="95"/>
          <w:sz w:val="20"/>
        </w:rPr>
        <w:t>Syndromic</w:t>
      </w:r>
      <w:r>
        <w:rPr>
          <w:rFonts w:ascii="Lucida Sans"/>
          <w:color w:val="1C3E94"/>
          <w:w w:val="92"/>
          <w:sz w:val="20"/>
        </w:rPr>
        <w:t> </w:t>
      </w:r>
      <w:r>
        <w:rPr>
          <w:rFonts w:ascii="Lucida Sans"/>
          <w:color w:val="1C3E94"/>
          <w:sz w:val="20"/>
        </w:rPr>
        <w:t>Surveillance</w:t>
      </w:r>
    </w:p>
    <w:p>
      <w:pPr>
        <w:pStyle w:val="BodyText"/>
        <w:spacing w:before="1"/>
        <w:rPr>
          <w:rFonts w:ascii="Lucida Sans"/>
          <w:sz w:val="17"/>
        </w:rPr>
      </w:pPr>
    </w:p>
    <w:p>
      <w:pPr>
        <w:pStyle w:val="ListParagraph"/>
        <w:numPr>
          <w:ilvl w:val="1"/>
          <w:numId w:val="11"/>
        </w:numPr>
        <w:tabs>
          <w:tab w:pos="1611" w:val="left" w:leader="none"/>
        </w:tabs>
        <w:spacing w:line="266" w:lineRule="auto" w:before="0" w:after="0"/>
        <w:ind w:left="1610" w:right="0" w:hanging="170"/>
        <w:jc w:val="left"/>
        <w:rPr>
          <w:sz w:val="20"/>
        </w:rPr>
      </w:pPr>
      <w:r>
        <w:rPr>
          <w:color w:val="231F20"/>
          <w:sz w:val="20"/>
        </w:rPr>
        <w:t>Lack of specificity for most syndromic surveillance indicators in the area of foodborne disease makes for an unfavorable signal-to-noise ratio, meaning that only the largest events would be detected, and many false-positive signals would be expected. Responding to false-positive signals drains an agency’s  resources</w:t>
      </w:r>
      <w:r>
        <w:rPr>
          <w:color w:val="231F20"/>
          <w:spacing w:val="36"/>
          <w:sz w:val="20"/>
        </w:rPr>
        <w:t> </w:t>
      </w:r>
      <w:r>
        <w:rPr>
          <w:color w:val="231F20"/>
          <w:spacing w:val="-3"/>
          <w:sz w:val="20"/>
        </w:rPr>
        <w:t>substantially.</w:t>
      </w:r>
    </w:p>
    <w:p>
      <w:pPr>
        <w:pStyle w:val="ListParagraph"/>
        <w:numPr>
          <w:ilvl w:val="1"/>
          <w:numId w:val="11"/>
        </w:numPr>
        <w:tabs>
          <w:tab w:pos="1611" w:val="left" w:leader="none"/>
        </w:tabs>
        <w:spacing w:line="266" w:lineRule="auto" w:before="90" w:after="0"/>
        <w:ind w:left="1610" w:right="228" w:hanging="170"/>
        <w:jc w:val="left"/>
        <w:rPr>
          <w:sz w:val="20"/>
        </w:rPr>
      </w:pPr>
      <w:r>
        <w:rPr>
          <w:color w:val="231F20"/>
          <w:w w:val="105"/>
          <w:sz w:val="20"/>
        </w:rPr>
        <w:t>Evaluating a signal usually means cross- checking it with routine surveillance reports,</w:t>
      </w:r>
      <w:r>
        <w:rPr>
          <w:color w:val="231F20"/>
          <w:spacing w:val="-9"/>
          <w:w w:val="105"/>
          <w:sz w:val="20"/>
        </w:rPr>
        <w:t> </w:t>
      </w:r>
      <w:r>
        <w:rPr>
          <w:color w:val="231F20"/>
          <w:w w:val="105"/>
          <w:sz w:val="20"/>
        </w:rPr>
        <w:t>meaning</w:t>
      </w:r>
      <w:r>
        <w:rPr>
          <w:color w:val="231F20"/>
          <w:spacing w:val="-9"/>
          <w:w w:val="105"/>
          <w:sz w:val="20"/>
        </w:rPr>
        <w:t> </w:t>
      </w:r>
      <w:r>
        <w:rPr>
          <w:color w:val="231F20"/>
          <w:w w:val="105"/>
          <w:sz w:val="20"/>
        </w:rPr>
        <w:t>it</w:t>
      </w:r>
      <w:r>
        <w:rPr>
          <w:color w:val="231F20"/>
          <w:spacing w:val="-9"/>
          <w:w w:val="105"/>
          <w:sz w:val="20"/>
        </w:rPr>
        <w:t> </w:t>
      </w:r>
      <w:r>
        <w:rPr>
          <w:color w:val="231F20"/>
          <w:w w:val="105"/>
          <w:sz w:val="20"/>
        </w:rPr>
        <w:t>cannot</w:t>
      </w:r>
      <w:r>
        <w:rPr>
          <w:color w:val="231F20"/>
          <w:spacing w:val="-9"/>
          <w:w w:val="105"/>
          <w:sz w:val="20"/>
        </w:rPr>
        <w:t> </w:t>
      </w:r>
      <w:r>
        <w:rPr>
          <w:color w:val="231F20"/>
          <w:w w:val="105"/>
          <w:sz w:val="20"/>
        </w:rPr>
        <w:t>replace</w:t>
      </w:r>
      <w:r>
        <w:rPr>
          <w:color w:val="231F20"/>
          <w:spacing w:val="-9"/>
          <w:w w:val="105"/>
          <w:sz w:val="20"/>
        </w:rPr>
        <w:t> </w:t>
      </w:r>
      <w:r>
        <w:rPr>
          <w:color w:val="231F20"/>
          <w:w w:val="105"/>
          <w:sz w:val="20"/>
        </w:rPr>
        <w:t>routine surveillance.</w:t>
      </w:r>
    </w:p>
    <w:p>
      <w:pPr>
        <w:pStyle w:val="ListParagraph"/>
        <w:numPr>
          <w:ilvl w:val="0"/>
          <w:numId w:val="11"/>
        </w:numPr>
        <w:tabs>
          <w:tab w:pos="500" w:val="left" w:leader="none"/>
        </w:tabs>
        <w:spacing w:line="266" w:lineRule="auto" w:before="108" w:after="0"/>
        <w:ind w:left="499" w:right="749" w:hanging="170"/>
        <w:jc w:val="left"/>
        <w:rPr>
          <w:sz w:val="20"/>
        </w:rPr>
      </w:pPr>
      <w:r>
        <w:rPr>
          <w:color w:val="231F20"/>
          <w:w w:val="106"/>
          <w:sz w:val="20"/>
        </w:rPr>
        <w:br w:type="column"/>
      </w:r>
      <w:r>
        <w:rPr>
          <w:color w:val="231F20"/>
          <w:w w:val="105"/>
          <w:sz w:val="20"/>
        </w:rPr>
        <w:t>More specific signals, such as discharge diagnoses, are less timely and do not appear to</w:t>
      </w:r>
      <w:r>
        <w:rPr>
          <w:color w:val="231F20"/>
          <w:spacing w:val="-12"/>
          <w:w w:val="105"/>
          <w:sz w:val="20"/>
        </w:rPr>
        <w:t> </w:t>
      </w:r>
      <w:r>
        <w:rPr>
          <w:color w:val="231F20"/>
          <w:w w:val="105"/>
          <w:sz w:val="20"/>
        </w:rPr>
        <w:t>offer</w:t>
      </w:r>
      <w:r>
        <w:rPr>
          <w:color w:val="231F20"/>
          <w:spacing w:val="-12"/>
          <w:w w:val="105"/>
          <w:sz w:val="20"/>
        </w:rPr>
        <w:t> </w:t>
      </w:r>
      <w:r>
        <w:rPr>
          <w:color w:val="231F20"/>
          <w:w w:val="105"/>
          <w:sz w:val="20"/>
        </w:rPr>
        <w:t>advantage</w:t>
      </w:r>
      <w:r>
        <w:rPr>
          <w:color w:val="231F20"/>
          <w:spacing w:val="-12"/>
          <w:w w:val="105"/>
          <w:sz w:val="20"/>
        </w:rPr>
        <w:t> </w:t>
      </w:r>
      <w:r>
        <w:rPr>
          <w:color w:val="231F20"/>
          <w:spacing w:val="-3"/>
          <w:w w:val="105"/>
          <w:sz w:val="20"/>
        </w:rPr>
        <w:t>over</w:t>
      </w:r>
      <w:r>
        <w:rPr>
          <w:color w:val="231F20"/>
          <w:spacing w:val="-12"/>
          <w:w w:val="105"/>
          <w:sz w:val="20"/>
        </w:rPr>
        <w:t> </w:t>
      </w:r>
      <w:r>
        <w:rPr>
          <w:color w:val="231F20"/>
          <w:w w:val="105"/>
          <w:sz w:val="20"/>
        </w:rPr>
        <w:t>standard</w:t>
      </w:r>
      <w:r>
        <w:rPr>
          <w:color w:val="231F20"/>
          <w:spacing w:val="-12"/>
          <w:w w:val="105"/>
          <w:sz w:val="20"/>
        </w:rPr>
        <w:t> </w:t>
      </w:r>
      <w:r>
        <w:rPr>
          <w:color w:val="231F20"/>
          <w:w w:val="105"/>
          <w:sz w:val="20"/>
        </w:rPr>
        <w:t>surveillance methods.</w:t>
      </w:r>
    </w:p>
    <w:p>
      <w:pPr>
        <w:pStyle w:val="ListParagraph"/>
        <w:numPr>
          <w:ilvl w:val="0"/>
          <w:numId w:val="11"/>
        </w:numPr>
        <w:tabs>
          <w:tab w:pos="500" w:val="left" w:leader="none"/>
        </w:tabs>
        <w:spacing w:line="266" w:lineRule="auto" w:before="90" w:after="0"/>
        <w:ind w:left="499" w:right="768" w:hanging="170"/>
        <w:jc w:val="left"/>
        <w:rPr>
          <w:sz w:val="20"/>
        </w:rPr>
      </w:pPr>
      <w:r>
        <w:rPr>
          <w:color w:val="231F20"/>
          <w:w w:val="105"/>
          <w:sz w:val="20"/>
        </w:rPr>
        <w:t>The usefulness of syndromic surveillance using non-specific health indicators has not been demonstrated for foodborne disease. After examination of 2.5 million patient records in its first year of operation, the New</w:t>
      </w:r>
      <w:r>
        <w:rPr>
          <w:color w:val="231F20"/>
          <w:spacing w:val="-14"/>
          <w:w w:val="105"/>
          <w:sz w:val="20"/>
        </w:rPr>
        <w:t> </w:t>
      </w:r>
      <w:r>
        <w:rPr>
          <w:color w:val="231F20"/>
          <w:spacing w:val="-8"/>
          <w:w w:val="105"/>
          <w:sz w:val="20"/>
        </w:rPr>
        <w:t>York</w:t>
      </w:r>
      <w:r>
        <w:rPr>
          <w:color w:val="231F20"/>
          <w:spacing w:val="-14"/>
          <w:w w:val="105"/>
          <w:sz w:val="20"/>
        </w:rPr>
        <w:t> </w:t>
      </w:r>
      <w:r>
        <w:rPr>
          <w:color w:val="231F20"/>
          <w:w w:val="105"/>
          <w:sz w:val="20"/>
        </w:rPr>
        <w:t>City</w:t>
      </w:r>
      <w:r>
        <w:rPr>
          <w:color w:val="231F20"/>
          <w:spacing w:val="-14"/>
          <w:w w:val="105"/>
          <w:sz w:val="20"/>
        </w:rPr>
        <w:t> </w:t>
      </w:r>
      <w:r>
        <w:rPr>
          <w:color w:val="231F20"/>
          <w:w w:val="105"/>
          <w:sz w:val="20"/>
        </w:rPr>
        <w:t>surveillance</w:t>
      </w:r>
      <w:r>
        <w:rPr>
          <w:color w:val="231F20"/>
          <w:spacing w:val="-14"/>
          <w:w w:val="105"/>
          <w:sz w:val="20"/>
        </w:rPr>
        <w:t> </w:t>
      </w:r>
      <w:r>
        <w:rPr>
          <w:color w:val="231F20"/>
          <w:w w:val="105"/>
          <w:sz w:val="20"/>
        </w:rPr>
        <w:t>system</w:t>
      </w:r>
      <w:r>
        <w:rPr>
          <w:color w:val="231F20"/>
          <w:spacing w:val="-14"/>
          <w:w w:val="105"/>
          <w:sz w:val="20"/>
        </w:rPr>
        <w:t> </w:t>
      </w:r>
      <w:r>
        <w:rPr>
          <w:color w:val="231F20"/>
          <w:w w:val="105"/>
          <w:sz w:val="20"/>
        </w:rPr>
        <w:t>identified 18 diarrhea or vomiting alerts</w:t>
      </w:r>
      <w:r>
        <w:rPr>
          <w:color w:val="231F20"/>
          <w:spacing w:val="-9"/>
          <w:w w:val="105"/>
          <w:sz w:val="20"/>
        </w:rPr>
        <w:t> </w:t>
      </w:r>
      <w:r>
        <w:rPr>
          <w:color w:val="231F20"/>
          <w:w w:val="105"/>
          <w:sz w:val="20"/>
        </w:rPr>
        <w:t>during</w:t>
      </w:r>
    </w:p>
    <w:p>
      <w:pPr>
        <w:pStyle w:val="BodyText"/>
        <w:spacing w:line="266" w:lineRule="auto"/>
        <w:ind w:left="499" w:right="775"/>
        <w:rPr>
          <w:sz w:val="11"/>
        </w:rPr>
      </w:pPr>
      <w:r>
        <w:rPr>
          <w:color w:val="231F20"/>
          <w:w w:val="105"/>
        </w:rPr>
        <w:t>three outbreak periods. Five institutional outbreaks were identified during one of these periods, but whether the data were sufficiently</w:t>
      </w:r>
      <w:r>
        <w:rPr>
          <w:color w:val="231F20"/>
          <w:spacing w:val="-20"/>
          <w:w w:val="105"/>
        </w:rPr>
        <w:t> </w:t>
      </w:r>
      <w:r>
        <w:rPr>
          <w:color w:val="231F20"/>
          <w:w w:val="105"/>
        </w:rPr>
        <w:t>specific</w:t>
      </w:r>
      <w:r>
        <w:rPr>
          <w:color w:val="231F20"/>
          <w:spacing w:val="-20"/>
          <w:w w:val="105"/>
        </w:rPr>
        <w:t> </w:t>
      </w:r>
      <w:r>
        <w:rPr>
          <w:color w:val="231F20"/>
          <w:w w:val="105"/>
        </w:rPr>
        <w:t>to</w:t>
      </w:r>
      <w:r>
        <w:rPr>
          <w:color w:val="231F20"/>
          <w:spacing w:val="-20"/>
          <w:w w:val="105"/>
        </w:rPr>
        <w:t> </w:t>
      </w:r>
      <w:r>
        <w:rPr>
          <w:color w:val="231F20"/>
          <w:w w:val="105"/>
        </w:rPr>
        <w:t>allow</w:t>
      </w:r>
      <w:r>
        <w:rPr>
          <w:color w:val="231F20"/>
          <w:spacing w:val="-20"/>
          <w:w w:val="105"/>
        </w:rPr>
        <w:t> </w:t>
      </w:r>
      <w:r>
        <w:rPr>
          <w:color w:val="231F20"/>
          <w:w w:val="105"/>
        </w:rPr>
        <w:t>for</w:t>
      </w:r>
      <w:r>
        <w:rPr>
          <w:color w:val="231F20"/>
          <w:spacing w:val="-20"/>
          <w:w w:val="105"/>
        </w:rPr>
        <w:t> </w:t>
      </w:r>
      <w:r>
        <w:rPr>
          <w:color w:val="231F20"/>
          <w:w w:val="105"/>
        </w:rPr>
        <w:t>public</w:t>
      </w:r>
      <w:r>
        <w:rPr>
          <w:color w:val="231F20"/>
          <w:spacing w:val="-20"/>
          <w:w w:val="105"/>
        </w:rPr>
        <w:t> </w:t>
      </w:r>
      <w:r>
        <w:rPr>
          <w:color w:val="231F20"/>
          <w:w w:val="105"/>
        </w:rPr>
        <w:t>health intervention is not</w:t>
      </w:r>
      <w:r>
        <w:rPr>
          <w:color w:val="231F20"/>
          <w:spacing w:val="-29"/>
          <w:w w:val="105"/>
        </w:rPr>
        <w:t> </w:t>
      </w:r>
      <w:r>
        <w:rPr>
          <w:color w:val="231F20"/>
          <w:w w:val="105"/>
        </w:rPr>
        <w:t>clear.</w:t>
      </w:r>
      <w:r>
        <w:rPr>
          <w:color w:val="231F20"/>
          <w:w w:val="105"/>
          <w:position w:val="7"/>
          <w:sz w:val="11"/>
        </w:rPr>
        <w:t>13,14,15</w:t>
      </w:r>
    </w:p>
    <w:p>
      <w:pPr>
        <w:pStyle w:val="ListParagraph"/>
        <w:numPr>
          <w:ilvl w:val="0"/>
          <w:numId w:val="11"/>
        </w:numPr>
        <w:tabs>
          <w:tab w:pos="500" w:val="left" w:leader="none"/>
        </w:tabs>
        <w:spacing w:line="266" w:lineRule="auto" w:before="90" w:after="0"/>
        <w:ind w:left="499" w:right="1269" w:hanging="170"/>
        <w:jc w:val="left"/>
        <w:rPr>
          <w:sz w:val="20"/>
        </w:rPr>
      </w:pPr>
      <w:r>
        <w:rPr>
          <w:color w:val="231F20"/>
          <w:w w:val="105"/>
          <w:sz w:val="20"/>
        </w:rPr>
        <w:t>The cost of developing syndromic surveillance</w:t>
      </w:r>
      <w:r>
        <w:rPr>
          <w:color w:val="231F20"/>
          <w:spacing w:val="-19"/>
          <w:w w:val="105"/>
          <w:sz w:val="20"/>
        </w:rPr>
        <w:t> </w:t>
      </w:r>
      <w:r>
        <w:rPr>
          <w:color w:val="231F20"/>
          <w:w w:val="105"/>
          <w:sz w:val="20"/>
        </w:rPr>
        <w:t>systems</w:t>
      </w:r>
      <w:r>
        <w:rPr>
          <w:color w:val="231F20"/>
          <w:spacing w:val="-18"/>
          <w:w w:val="105"/>
          <w:sz w:val="20"/>
        </w:rPr>
        <w:t> </w:t>
      </w:r>
      <w:r>
        <w:rPr>
          <w:color w:val="231F20"/>
          <w:w w:val="105"/>
          <w:sz w:val="20"/>
        </w:rPr>
        <w:t>is</w:t>
      </w:r>
      <w:r>
        <w:rPr>
          <w:color w:val="231F20"/>
          <w:spacing w:val="-18"/>
          <w:w w:val="105"/>
          <w:sz w:val="20"/>
        </w:rPr>
        <w:t> </w:t>
      </w:r>
      <w:r>
        <w:rPr>
          <w:color w:val="231F20"/>
          <w:w w:val="105"/>
          <w:sz w:val="20"/>
        </w:rPr>
        <w:t>substantial,</w:t>
      </w:r>
      <w:r>
        <w:rPr>
          <w:color w:val="231F20"/>
          <w:spacing w:val="-16"/>
          <w:w w:val="105"/>
          <w:sz w:val="20"/>
        </w:rPr>
        <w:t> </w:t>
      </w:r>
      <w:r>
        <w:rPr>
          <w:color w:val="231F20"/>
          <w:w w:val="105"/>
          <w:sz w:val="20"/>
        </w:rPr>
        <w:t>and if development occurs at the expense of maintaining or upgrading routine surveillance,</w:t>
      </w:r>
      <w:r>
        <w:rPr>
          <w:color w:val="231F20"/>
          <w:spacing w:val="-15"/>
          <w:w w:val="105"/>
          <w:sz w:val="20"/>
        </w:rPr>
        <w:t> </w:t>
      </w:r>
      <w:r>
        <w:rPr>
          <w:color w:val="231F20"/>
          <w:w w:val="105"/>
          <w:sz w:val="20"/>
        </w:rPr>
        <w:t>results</w:t>
      </w:r>
      <w:r>
        <w:rPr>
          <w:color w:val="231F20"/>
          <w:spacing w:val="-16"/>
          <w:w w:val="105"/>
          <w:sz w:val="20"/>
        </w:rPr>
        <w:t> </w:t>
      </w:r>
      <w:r>
        <w:rPr>
          <w:color w:val="231F20"/>
          <w:w w:val="105"/>
          <w:sz w:val="20"/>
        </w:rPr>
        <w:t>of</w:t>
      </w:r>
      <w:r>
        <w:rPr>
          <w:color w:val="231F20"/>
          <w:spacing w:val="6"/>
          <w:w w:val="105"/>
          <w:sz w:val="20"/>
        </w:rPr>
        <w:t> </w:t>
      </w:r>
      <w:r>
        <w:rPr>
          <w:color w:val="231F20"/>
          <w:w w:val="105"/>
          <w:sz w:val="20"/>
        </w:rPr>
        <w:t>surveillance</w:t>
      </w:r>
      <w:r>
        <w:rPr>
          <w:color w:val="231F20"/>
          <w:spacing w:val="-17"/>
          <w:w w:val="105"/>
          <w:sz w:val="20"/>
        </w:rPr>
        <w:t> </w:t>
      </w:r>
      <w:r>
        <w:rPr>
          <w:color w:val="231F20"/>
          <w:w w:val="105"/>
          <w:sz w:val="20"/>
        </w:rPr>
        <w:t>are degraded, rather than</w:t>
      </w:r>
      <w:r>
        <w:rPr>
          <w:color w:val="231F20"/>
          <w:spacing w:val="23"/>
          <w:w w:val="105"/>
          <w:sz w:val="20"/>
        </w:rPr>
        <w:t> </w:t>
      </w:r>
      <w:r>
        <w:rPr>
          <w:color w:val="231F20"/>
          <w:w w:val="105"/>
          <w:sz w:val="20"/>
        </w:rPr>
        <w:t>enhanced.</w:t>
      </w:r>
    </w:p>
    <w:p>
      <w:pPr>
        <w:pStyle w:val="ListParagraph"/>
        <w:numPr>
          <w:ilvl w:val="2"/>
          <w:numId w:val="25"/>
        </w:numPr>
        <w:tabs>
          <w:tab w:pos="886" w:val="left" w:leader="none"/>
        </w:tabs>
        <w:spacing w:line="254" w:lineRule="auto" w:before="159" w:after="0"/>
        <w:ind w:left="329" w:right="1129" w:firstLine="0"/>
        <w:jc w:val="left"/>
        <w:rPr>
          <w:rFonts w:ascii="Lucida Sans"/>
          <w:sz w:val="20"/>
        </w:rPr>
      </w:pPr>
      <w:r>
        <w:rPr>
          <w:rFonts w:ascii="Lucida Sans"/>
          <w:color w:val="1C3E94"/>
          <w:w w:val="95"/>
          <w:sz w:val="20"/>
        </w:rPr>
        <w:t>Key</w:t>
      </w:r>
      <w:r>
        <w:rPr>
          <w:rFonts w:ascii="Lucida Sans"/>
          <w:color w:val="1C3E94"/>
          <w:spacing w:val="-28"/>
          <w:w w:val="95"/>
          <w:sz w:val="20"/>
        </w:rPr>
        <w:t> </w:t>
      </w:r>
      <w:r>
        <w:rPr>
          <w:rFonts w:ascii="Lucida Sans"/>
          <w:color w:val="1C3E94"/>
          <w:w w:val="95"/>
          <w:sz w:val="20"/>
        </w:rPr>
        <w:t>Determinants</w:t>
      </w:r>
      <w:r>
        <w:rPr>
          <w:rFonts w:ascii="Lucida Sans"/>
          <w:color w:val="1C3E94"/>
          <w:spacing w:val="-28"/>
          <w:w w:val="95"/>
          <w:sz w:val="20"/>
        </w:rPr>
        <w:t> </w:t>
      </w:r>
      <w:r>
        <w:rPr>
          <w:rFonts w:ascii="Lucida Sans"/>
          <w:color w:val="1C3E94"/>
          <w:w w:val="95"/>
          <w:sz w:val="20"/>
        </w:rPr>
        <w:t>of</w:t>
      </w:r>
      <w:r>
        <w:rPr>
          <w:rFonts w:ascii="Lucida Sans"/>
          <w:color w:val="1C3E94"/>
          <w:spacing w:val="-28"/>
          <w:w w:val="95"/>
          <w:sz w:val="20"/>
        </w:rPr>
        <w:t> </w:t>
      </w:r>
      <w:r>
        <w:rPr>
          <w:rFonts w:ascii="Lucida Sans"/>
          <w:color w:val="1C3E94"/>
          <w:w w:val="95"/>
          <w:sz w:val="20"/>
        </w:rPr>
        <w:t>Successful</w:t>
      </w:r>
      <w:r>
        <w:rPr>
          <w:rFonts w:ascii="Lucida Sans"/>
          <w:color w:val="1C3E94"/>
          <w:w w:val="91"/>
          <w:sz w:val="20"/>
        </w:rPr>
        <w:t> </w:t>
      </w:r>
      <w:r>
        <w:rPr>
          <w:rFonts w:ascii="Lucida Sans"/>
          <w:color w:val="1C3E94"/>
          <w:w w:val="95"/>
          <w:sz w:val="20"/>
        </w:rPr>
        <w:t>Syndromic</w:t>
      </w:r>
      <w:r>
        <w:rPr>
          <w:rFonts w:ascii="Lucida Sans"/>
          <w:color w:val="1C3E94"/>
          <w:spacing w:val="-39"/>
          <w:w w:val="95"/>
          <w:sz w:val="20"/>
        </w:rPr>
        <w:t> </w:t>
      </w:r>
      <w:r>
        <w:rPr>
          <w:rFonts w:ascii="Lucida Sans"/>
          <w:color w:val="1C3E94"/>
          <w:w w:val="95"/>
          <w:sz w:val="20"/>
        </w:rPr>
        <w:t>Surveillance</w:t>
      </w:r>
      <w:r>
        <w:rPr>
          <w:rFonts w:ascii="Lucida Sans"/>
          <w:color w:val="1C3E94"/>
          <w:spacing w:val="-39"/>
          <w:w w:val="95"/>
          <w:sz w:val="20"/>
        </w:rPr>
        <w:t> </w:t>
      </w:r>
      <w:r>
        <w:rPr>
          <w:rFonts w:ascii="Lucida Sans"/>
          <w:color w:val="1C3E94"/>
          <w:w w:val="95"/>
          <w:sz w:val="20"/>
        </w:rPr>
        <w:t>Systems</w:t>
      </w:r>
    </w:p>
    <w:p>
      <w:pPr>
        <w:pStyle w:val="BodyText"/>
        <w:spacing w:before="1"/>
        <w:rPr>
          <w:rFonts w:ascii="Lucida Sans"/>
          <w:sz w:val="17"/>
        </w:rPr>
      </w:pPr>
    </w:p>
    <w:p>
      <w:pPr>
        <w:pStyle w:val="BodyText"/>
        <w:spacing w:line="266" w:lineRule="auto"/>
        <w:ind w:left="329" w:right="724"/>
      </w:pPr>
      <w:r>
        <w:rPr>
          <w:color w:val="231F20"/>
          <w:w w:val="105"/>
        </w:rPr>
        <w:t>The following factors drive the interpretation of syndromic surveillance data, affect the success</w:t>
      </w:r>
      <w:r>
        <w:rPr>
          <w:color w:val="231F20"/>
          <w:spacing w:val="-21"/>
          <w:w w:val="105"/>
        </w:rPr>
        <w:t> </w:t>
      </w:r>
      <w:r>
        <w:rPr>
          <w:color w:val="231F20"/>
          <w:w w:val="105"/>
        </w:rPr>
        <w:t>of</w:t>
      </w:r>
      <w:r>
        <w:rPr>
          <w:color w:val="231F20"/>
          <w:spacing w:val="-3"/>
          <w:w w:val="105"/>
        </w:rPr>
        <w:t> </w:t>
      </w:r>
      <w:r>
        <w:rPr>
          <w:color w:val="231F20"/>
          <w:w w:val="105"/>
        </w:rPr>
        <w:t>investigations,</w:t>
      </w:r>
      <w:r>
        <w:rPr>
          <w:color w:val="231F20"/>
          <w:spacing w:val="-21"/>
          <w:w w:val="105"/>
        </w:rPr>
        <w:t> </w:t>
      </w:r>
      <w:r>
        <w:rPr>
          <w:color w:val="231F20"/>
          <w:w w:val="105"/>
        </w:rPr>
        <w:t>and</w:t>
      </w:r>
      <w:r>
        <w:rPr>
          <w:color w:val="231F20"/>
          <w:spacing w:val="-22"/>
          <w:w w:val="105"/>
        </w:rPr>
        <w:t> </w:t>
      </w:r>
      <w:r>
        <w:rPr>
          <w:color w:val="231F20"/>
          <w:w w:val="105"/>
        </w:rPr>
        <w:t>form</w:t>
      </w:r>
      <w:r>
        <w:rPr>
          <w:color w:val="231F20"/>
          <w:spacing w:val="-22"/>
          <w:w w:val="105"/>
        </w:rPr>
        <w:t> </w:t>
      </w:r>
      <w:r>
        <w:rPr>
          <w:color w:val="231F20"/>
          <w:w w:val="105"/>
        </w:rPr>
        <w:t>the</w:t>
      </w:r>
      <w:r>
        <w:rPr>
          <w:color w:val="231F20"/>
          <w:spacing w:val="-22"/>
          <w:w w:val="105"/>
        </w:rPr>
        <w:t> </w:t>
      </w:r>
      <w:r>
        <w:rPr>
          <w:color w:val="231F20"/>
          <w:w w:val="105"/>
        </w:rPr>
        <w:t>basis</w:t>
      </w:r>
      <w:r>
        <w:rPr>
          <w:color w:val="231F20"/>
          <w:spacing w:val="-22"/>
          <w:w w:val="105"/>
        </w:rPr>
        <w:t> </w:t>
      </w:r>
      <w:r>
        <w:rPr>
          <w:color w:val="231F20"/>
          <w:w w:val="105"/>
        </w:rPr>
        <w:t>for best</w:t>
      </w:r>
      <w:r>
        <w:rPr>
          <w:color w:val="231F20"/>
          <w:spacing w:val="-25"/>
          <w:w w:val="105"/>
        </w:rPr>
        <w:t> </w:t>
      </w:r>
      <w:r>
        <w:rPr>
          <w:color w:val="231F20"/>
          <w:w w:val="105"/>
        </w:rPr>
        <w:t>practices.</w:t>
      </w:r>
    </w:p>
    <w:p>
      <w:pPr>
        <w:pStyle w:val="ListParagraph"/>
        <w:numPr>
          <w:ilvl w:val="3"/>
          <w:numId w:val="25"/>
        </w:numPr>
        <w:tabs>
          <w:tab w:pos="972" w:val="left" w:leader="none"/>
        </w:tabs>
        <w:spacing w:line="240" w:lineRule="auto" w:before="179" w:after="0"/>
        <w:ind w:left="971" w:right="0" w:hanging="642"/>
        <w:jc w:val="left"/>
        <w:rPr>
          <w:i/>
          <w:sz w:val="20"/>
        </w:rPr>
      </w:pPr>
      <w:r>
        <w:rPr>
          <w:i/>
          <w:color w:val="E36F1E"/>
          <w:w w:val="105"/>
          <w:sz w:val="20"/>
        </w:rPr>
        <w:t>Specificity and</w:t>
      </w:r>
      <w:r>
        <w:rPr>
          <w:i/>
          <w:color w:val="E36F1E"/>
          <w:spacing w:val="-22"/>
          <w:w w:val="105"/>
          <w:sz w:val="20"/>
        </w:rPr>
        <w:t> </w:t>
      </w:r>
      <w:r>
        <w:rPr>
          <w:i/>
          <w:color w:val="E36F1E"/>
          <w:w w:val="105"/>
          <w:sz w:val="20"/>
        </w:rPr>
        <w:t>speed</w:t>
      </w:r>
    </w:p>
    <w:p>
      <w:pPr>
        <w:pStyle w:val="BodyText"/>
        <w:spacing w:line="254" w:lineRule="auto" w:before="8"/>
        <w:ind w:left="329" w:right="870"/>
        <w:rPr>
          <w:rFonts w:ascii="Bookman Old Style"/>
          <w:b/>
        </w:rPr>
      </w:pPr>
      <w:r>
        <w:rPr>
          <w:rFonts w:ascii="Bookman Old Style"/>
          <w:b/>
          <w:color w:val="231F20"/>
          <w:w w:val="85"/>
        </w:rPr>
        <w:t>Although</w:t>
      </w:r>
      <w:r>
        <w:rPr>
          <w:rFonts w:ascii="Bookman Old Style"/>
          <w:b/>
          <w:color w:val="231F20"/>
          <w:spacing w:val="-39"/>
          <w:w w:val="85"/>
        </w:rPr>
        <w:t> </w:t>
      </w:r>
      <w:r>
        <w:rPr>
          <w:rFonts w:ascii="Bookman Old Style"/>
          <w:b/>
          <w:color w:val="231F20"/>
          <w:w w:val="85"/>
        </w:rPr>
        <w:t>the</w:t>
      </w:r>
      <w:r>
        <w:rPr>
          <w:rFonts w:ascii="Bookman Old Style"/>
          <w:b/>
          <w:color w:val="231F20"/>
          <w:spacing w:val="-39"/>
          <w:w w:val="85"/>
        </w:rPr>
        <w:t> </w:t>
      </w:r>
      <w:r>
        <w:rPr>
          <w:rFonts w:ascii="Bookman Old Style"/>
          <w:b/>
          <w:color w:val="231F20"/>
          <w:w w:val="85"/>
        </w:rPr>
        <w:t>potential</w:t>
      </w:r>
      <w:r>
        <w:rPr>
          <w:rFonts w:ascii="Bookman Old Style"/>
          <w:b/>
          <w:color w:val="231F20"/>
          <w:spacing w:val="-39"/>
          <w:w w:val="85"/>
        </w:rPr>
        <w:t> </w:t>
      </w:r>
      <w:r>
        <w:rPr>
          <w:rFonts w:ascii="Bookman Old Style"/>
          <w:b/>
          <w:color w:val="231F20"/>
          <w:w w:val="85"/>
        </w:rPr>
        <w:t>speed</w:t>
      </w:r>
      <w:r>
        <w:rPr>
          <w:rFonts w:ascii="Bookman Old Style"/>
          <w:b/>
          <w:color w:val="231F20"/>
          <w:spacing w:val="-39"/>
          <w:w w:val="85"/>
        </w:rPr>
        <w:t> </w:t>
      </w:r>
      <w:r>
        <w:rPr>
          <w:rFonts w:ascii="Bookman Old Style"/>
          <w:b/>
          <w:color w:val="231F20"/>
          <w:w w:val="85"/>
        </w:rPr>
        <w:t>of</w:t>
      </w:r>
      <w:r>
        <w:rPr>
          <w:rFonts w:ascii="Bookman Old Style"/>
          <w:b/>
          <w:color w:val="231F20"/>
          <w:spacing w:val="-29"/>
          <w:w w:val="85"/>
        </w:rPr>
        <w:t> </w:t>
      </w:r>
      <w:r>
        <w:rPr>
          <w:rFonts w:ascii="Bookman Old Style"/>
          <w:b/>
          <w:color w:val="231F20"/>
          <w:w w:val="85"/>
        </w:rPr>
        <w:t>syndromic</w:t>
      </w:r>
      <w:r>
        <w:rPr>
          <w:rFonts w:ascii="Bookman Old Style"/>
          <w:b/>
          <w:color w:val="231F20"/>
          <w:w w:val="82"/>
        </w:rPr>
        <w:t> </w:t>
      </w:r>
      <w:r>
        <w:rPr>
          <w:rFonts w:ascii="Bookman Old Style"/>
          <w:b/>
          <w:color w:val="231F20"/>
          <w:w w:val="85"/>
        </w:rPr>
        <w:t>surveillance</w:t>
      </w:r>
      <w:r>
        <w:rPr>
          <w:rFonts w:ascii="Bookman Old Style"/>
          <w:b/>
          <w:color w:val="231F20"/>
          <w:spacing w:val="-28"/>
          <w:w w:val="85"/>
        </w:rPr>
        <w:t> </w:t>
      </w:r>
      <w:r>
        <w:rPr>
          <w:rFonts w:ascii="Bookman Old Style"/>
          <w:b/>
          <w:color w:val="231F20"/>
          <w:w w:val="85"/>
        </w:rPr>
        <w:t>is</w:t>
      </w:r>
      <w:r>
        <w:rPr>
          <w:rFonts w:ascii="Bookman Old Style"/>
          <w:b/>
          <w:color w:val="231F20"/>
          <w:spacing w:val="-28"/>
          <w:w w:val="85"/>
        </w:rPr>
        <w:t> </w:t>
      </w:r>
      <w:r>
        <w:rPr>
          <w:rFonts w:ascii="Bookman Old Style"/>
          <w:b/>
          <w:color w:val="231F20"/>
          <w:w w:val="85"/>
        </w:rPr>
        <w:t>its</w:t>
      </w:r>
      <w:r>
        <w:rPr>
          <w:rFonts w:ascii="Bookman Old Style"/>
          <w:b/>
          <w:color w:val="231F20"/>
          <w:spacing w:val="-28"/>
          <w:w w:val="85"/>
        </w:rPr>
        <w:t> </w:t>
      </w:r>
      <w:r>
        <w:rPr>
          <w:rFonts w:ascii="Bookman Old Style"/>
          <w:b/>
          <w:color w:val="231F20"/>
          <w:w w:val="85"/>
        </w:rPr>
        <w:t>chief</w:t>
      </w:r>
      <w:r>
        <w:rPr>
          <w:rFonts w:ascii="Bookman Old Style"/>
          <w:b/>
          <w:color w:val="231F20"/>
          <w:spacing w:val="-11"/>
          <w:w w:val="85"/>
        </w:rPr>
        <w:t> </w:t>
      </w:r>
      <w:r>
        <w:rPr>
          <w:rFonts w:ascii="Bookman Old Style"/>
          <w:b/>
          <w:color w:val="231F20"/>
          <w:w w:val="85"/>
        </w:rPr>
        <w:t>strength,</w:t>
      </w:r>
      <w:r>
        <w:rPr>
          <w:rFonts w:ascii="Bookman Old Style"/>
          <w:b/>
          <w:color w:val="231F20"/>
          <w:spacing w:val="-28"/>
          <w:w w:val="85"/>
        </w:rPr>
        <w:t> </w:t>
      </w:r>
      <w:r>
        <w:rPr>
          <w:rFonts w:ascii="Bookman Old Style"/>
          <w:b/>
          <w:color w:val="231F20"/>
          <w:w w:val="85"/>
        </w:rPr>
        <w:t>speed</w:t>
      </w:r>
      <w:r>
        <w:rPr>
          <w:rFonts w:ascii="Bookman Old Style"/>
          <w:b/>
          <w:color w:val="231F20"/>
          <w:spacing w:val="-28"/>
          <w:w w:val="85"/>
        </w:rPr>
        <w:t> </w:t>
      </w:r>
      <w:r>
        <w:rPr>
          <w:rFonts w:ascii="Bookman Old Style"/>
          <w:b/>
          <w:color w:val="231F20"/>
          <w:w w:val="85"/>
        </w:rPr>
        <w:t>is </w:t>
      </w:r>
      <w:r>
        <w:rPr>
          <w:rFonts w:ascii="Bookman Old Style"/>
          <w:b/>
          <w:color w:val="231F20"/>
          <w:w w:val="80"/>
        </w:rPr>
        <w:t>inversely proportional to the specificity</w:t>
      </w:r>
    </w:p>
    <w:p>
      <w:pPr>
        <w:pStyle w:val="BodyText"/>
        <w:spacing w:line="268" w:lineRule="auto" w:before="1"/>
        <w:ind w:left="329" w:right="797"/>
      </w:pPr>
      <w:r>
        <w:rPr>
          <w:rFonts w:ascii="Bookman Old Style"/>
          <w:b/>
          <w:color w:val="231F20"/>
          <w:w w:val="95"/>
        </w:rPr>
        <w:t>of the indicator disease information. </w:t>
      </w:r>
      <w:r>
        <w:rPr>
          <w:color w:val="231F20"/>
        </w:rPr>
        <w:t>Preclinical information, such as sales of over- the-counter drugs is generally available sooner and is less specific than clinical, prediagnostic signals (such as laboratory test  orders).</w:t>
      </w:r>
    </w:p>
    <w:p>
      <w:pPr>
        <w:pStyle w:val="BodyText"/>
        <w:spacing w:line="266" w:lineRule="auto"/>
        <w:ind w:left="329" w:right="739"/>
      </w:pPr>
      <w:r>
        <w:rPr>
          <w:color w:val="231F20"/>
          <w:w w:val="105"/>
        </w:rPr>
        <w:t>Prediagnostic signals, in turn, are available sooner</w:t>
      </w:r>
      <w:r>
        <w:rPr>
          <w:color w:val="231F20"/>
          <w:spacing w:val="-17"/>
          <w:w w:val="105"/>
        </w:rPr>
        <w:t> </w:t>
      </w:r>
      <w:r>
        <w:rPr>
          <w:color w:val="231F20"/>
          <w:w w:val="105"/>
        </w:rPr>
        <w:t>and</w:t>
      </w:r>
      <w:r>
        <w:rPr>
          <w:color w:val="231F20"/>
          <w:spacing w:val="-17"/>
          <w:w w:val="105"/>
        </w:rPr>
        <w:t> </w:t>
      </w:r>
      <w:r>
        <w:rPr>
          <w:color w:val="231F20"/>
          <w:w w:val="105"/>
        </w:rPr>
        <w:t>are</w:t>
      </w:r>
      <w:r>
        <w:rPr>
          <w:color w:val="231F20"/>
          <w:spacing w:val="-17"/>
          <w:w w:val="105"/>
        </w:rPr>
        <w:t> </w:t>
      </w:r>
      <w:r>
        <w:rPr>
          <w:color w:val="231F20"/>
          <w:w w:val="105"/>
        </w:rPr>
        <w:t>less</w:t>
      </w:r>
      <w:r>
        <w:rPr>
          <w:color w:val="231F20"/>
          <w:spacing w:val="-17"/>
          <w:w w:val="105"/>
        </w:rPr>
        <w:t> </w:t>
      </w:r>
      <w:r>
        <w:rPr>
          <w:color w:val="231F20"/>
          <w:w w:val="105"/>
        </w:rPr>
        <w:t>specific</w:t>
      </w:r>
      <w:r>
        <w:rPr>
          <w:color w:val="231F20"/>
          <w:spacing w:val="-17"/>
          <w:w w:val="105"/>
        </w:rPr>
        <w:t> </w:t>
      </w:r>
      <w:r>
        <w:rPr>
          <w:color w:val="231F20"/>
          <w:w w:val="105"/>
        </w:rPr>
        <w:t>than</w:t>
      </w:r>
      <w:r>
        <w:rPr>
          <w:color w:val="231F20"/>
          <w:spacing w:val="-17"/>
          <w:w w:val="105"/>
        </w:rPr>
        <w:t> </w:t>
      </w:r>
      <w:r>
        <w:rPr>
          <w:color w:val="231F20"/>
          <w:w w:val="105"/>
        </w:rPr>
        <w:t>postdiagnostic signals</w:t>
      </w:r>
      <w:r>
        <w:rPr>
          <w:color w:val="231F20"/>
          <w:spacing w:val="-17"/>
          <w:w w:val="105"/>
        </w:rPr>
        <w:t> </w:t>
      </w:r>
      <w:r>
        <w:rPr>
          <w:color w:val="231F20"/>
          <w:w w:val="105"/>
        </w:rPr>
        <w:t>(such</w:t>
      </w:r>
      <w:r>
        <w:rPr>
          <w:color w:val="231F20"/>
          <w:spacing w:val="-18"/>
          <w:w w:val="105"/>
        </w:rPr>
        <w:t> </w:t>
      </w:r>
      <w:r>
        <w:rPr>
          <w:color w:val="231F20"/>
          <w:w w:val="105"/>
        </w:rPr>
        <w:t>as</w:t>
      </w:r>
      <w:r>
        <w:rPr>
          <w:color w:val="231F20"/>
          <w:spacing w:val="-18"/>
          <w:w w:val="105"/>
        </w:rPr>
        <w:t> </w:t>
      </w:r>
      <w:r>
        <w:rPr>
          <w:color w:val="231F20"/>
          <w:w w:val="105"/>
        </w:rPr>
        <w:t>hospital</w:t>
      </w:r>
      <w:r>
        <w:rPr>
          <w:color w:val="231F20"/>
          <w:spacing w:val="-18"/>
          <w:w w:val="105"/>
        </w:rPr>
        <w:t> </w:t>
      </w:r>
      <w:r>
        <w:rPr>
          <w:color w:val="231F20"/>
          <w:w w:val="105"/>
        </w:rPr>
        <w:t>discharge</w:t>
      </w:r>
      <w:r>
        <w:rPr>
          <w:color w:val="231F20"/>
          <w:spacing w:val="-18"/>
          <w:w w:val="105"/>
        </w:rPr>
        <w:t> </w:t>
      </w:r>
      <w:r>
        <w:rPr>
          <w:color w:val="231F20"/>
          <w:w w:val="105"/>
        </w:rPr>
        <w:t>data).</w:t>
      </w:r>
    </w:p>
    <w:p>
      <w:pPr>
        <w:pStyle w:val="BodyText"/>
        <w:spacing w:line="266" w:lineRule="auto" w:before="182"/>
        <w:ind w:left="329" w:right="869"/>
      </w:pPr>
      <w:r>
        <w:rPr>
          <w:color w:val="231F20"/>
          <w:w w:val="105"/>
        </w:rPr>
        <w:t>Lack of specificity at any level results in type 1 probability error (the suggestion of an</w:t>
      </w:r>
    </w:p>
    <w:p>
      <w:pPr>
        <w:spacing w:after="0" w:line="266" w:lineRule="auto"/>
        <w:sectPr>
          <w:type w:val="continuous"/>
          <w:pgSz w:w="10080" w:h="14400"/>
          <w:pgMar w:top="0" w:bottom="0" w:left="0" w:right="0"/>
          <w:cols w:num="2" w:equalWidth="0">
            <w:col w:w="5211" w:space="40"/>
            <w:col w:w="4829"/>
          </w:cols>
        </w:sectPr>
      </w:pPr>
    </w:p>
    <w:p>
      <w:pPr>
        <w:pStyle w:val="BodyText"/>
        <w:spacing w:before="8"/>
        <w:rPr>
          <w:sz w:val="26"/>
        </w:rPr>
      </w:pPr>
    </w:p>
    <w:p>
      <w:pPr>
        <w:pStyle w:val="Heading1"/>
        <w:ind w:left="720"/>
      </w:pPr>
      <w:r>
        <w:rPr/>
        <w:pict>
          <v:line style="position:absolute;mso-position-horizontal-relative:page;mso-position-vertical-relative:paragraph;z-index:4504;mso-wrap-distance-left:0;mso-wrap-distance-right:0" from="36pt,23.995163pt" to="432pt,23.995163pt" stroked="true" strokeweight=".5pt" strokecolor="#00a94f">
            <v:stroke dashstyle="solid"/>
            <w10:wrap type="topAndBottom"/>
          </v:line>
        </w:pict>
      </w:r>
      <w:r>
        <w:rPr>
          <w:color w:val="00A94F"/>
          <w:w w:val="90"/>
        </w:rPr>
        <w:t>4.4. Syndromic</w:t>
      </w:r>
      <w:r>
        <w:rPr>
          <w:color w:val="00A94F"/>
          <w:spacing w:val="69"/>
          <w:w w:val="90"/>
        </w:rPr>
        <w:t> </w:t>
      </w:r>
      <w:r>
        <w:rPr>
          <w:color w:val="00A94F"/>
          <w:w w:val="90"/>
        </w:rPr>
        <w:t>Surveillance</w:t>
      </w:r>
    </w:p>
    <w:p>
      <w:pPr>
        <w:pStyle w:val="BodyText"/>
        <w:spacing w:before="7"/>
        <w:rPr>
          <w:rFonts w:ascii="Lucida Sans"/>
          <w:sz w:val="17"/>
        </w:rPr>
      </w:pPr>
    </w:p>
    <w:p>
      <w:pPr>
        <w:spacing w:after="0"/>
        <w:rPr>
          <w:rFonts w:ascii="Lucida Sans"/>
          <w:sz w:val="17"/>
        </w:rPr>
        <w:sectPr>
          <w:pgSz w:w="10080" w:h="14400"/>
          <w:pgMar w:header="0" w:footer="0" w:top="980" w:bottom="280" w:left="0" w:right="0"/>
        </w:sectPr>
      </w:pPr>
    </w:p>
    <w:p>
      <w:pPr>
        <w:pStyle w:val="BodyText"/>
        <w:spacing w:line="259" w:lineRule="auto" w:before="108"/>
        <w:ind w:left="720" w:right="197"/>
        <w:rPr>
          <w:rFonts w:ascii="Bookman Old Style"/>
          <w:b/>
        </w:rPr>
      </w:pPr>
      <w:r>
        <w:rPr>
          <w:color w:val="231F20"/>
        </w:rPr>
        <w:t>association between a signal and a significant health event when, in fact, none exists) and type 2 probability error (the lack of signal suggests a disease event is not occurring, </w:t>
      </w:r>
      <w:r>
        <w:rPr>
          <w:color w:val="231F20"/>
          <w:w w:val="95"/>
        </w:rPr>
        <w:t>when,</w:t>
      </w:r>
      <w:r>
        <w:rPr>
          <w:color w:val="231F20"/>
          <w:spacing w:val="-18"/>
          <w:w w:val="95"/>
        </w:rPr>
        <w:t> </w:t>
      </w:r>
      <w:r>
        <w:rPr>
          <w:color w:val="231F20"/>
          <w:w w:val="95"/>
        </w:rPr>
        <w:t>in</w:t>
      </w:r>
      <w:r>
        <w:rPr>
          <w:color w:val="231F20"/>
          <w:spacing w:val="-19"/>
          <w:w w:val="95"/>
        </w:rPr>
        <w:t> </w:t>
      </w:r>
      <w:r>
        <w:rPr>
          <w:color w:val="231F20"/>
          <w:w w:val="95"/>
        </w:rPr>
        <w:t>fact,</w:t>
      </w:r>
      <w:r>
        <w:rPr>
          <w:color w:val="231F20"/>
          <w:spacing w:val="-18"/>
          <w:w w:val="95"/>
        </w:rPr>
        <w:t> </w:t>
      </w:r>
      <w:r>
        <w:rPr>
          <w:color w:val="231F20"/>
          <w:w w:val="95"/>
        </w:rPr>
        <w:t>it</w:t>
      </w:r>
      <w:r>
        <w:rPr>
          <w:color w:val="231F20"/>
          <w:spacing w:val="-18"/>
          <w:w w:val="95"/>
        </w:rPr>
        <w:t> </w:t>
      </w:r>
      <w:r>
        <w:rPr>
          <w:color w:val="231F20"/>
          <w:w w:val="95"/>
        </w:rPr>
        <w:t>is).</w:t>
      </w:r>
      <w:r>
        <w:rPr>
          <w:color w:val="231F20"/>
          <w:spacing w:val="-19"/>
          <w:w w:val="95"/>
        </w:rPr>
        <w:t> </w:t>
      </w:r>
      <w:r>
        <w:rPr>
          <w:rFonts w:ascii="Bookman Old Style"/>
          <w:b/>
          <w:color w:val="231F20"/>
          <w:w w:val="95"/>
        </w:rPr>
        <w:t>Less</w:t>
      </w:r>
      <w:r>
        <w:rPr>
          <w:rFonts w:ascii="Bookman Old Style"/>
          <w:b/>
          <w:color w:val="231F20"/>
          <w:spacing w:val="-38"/>
          <w:w w:val="95"/>
        </w:rPr>
        <w:t> </w:t>
      </w:r>
      <w:r>
        <w:rPr>
          <w:rFonts w:ascii="Bookman Old Style"/>
          <w:b/>
          <w:color w:val="231F20"/>
          <w:w w:val="95"/>
        </w:rPr>
        <w:t>specificity</w:t>
      </w:r>
      <w:r>
        <w:rPr>
          <w:rFonts w:ascii="Bookman Old Style"/>
          <w:b/>
          <w:color w:val="231F20"/>
          <w:spacing w:val="-38"/>
          <w:w w:val="95"/>
        </w:rPr>
        <w:t> </w:t>
      </w:r>
      <w:r>
        <w:rPr>
          <w:rFonts w:ascii="Bookman Old Style"/>
          <w:b/>
          <w:color w:val="231F20"/>
          <w:w w:val="95"/>
        </w:rPr>
        <w:t>means </w:t>
      </w:r>
      <w:r>
        <w:rPr>
          <w:rFonts w:ascii="Bookman Old Style"/>
          <w:b/>
          <w:color w:val="231F20"/>
          <w:w w:val="90"/>
        </w:rPr>
        <w:t>that</w:t>
      </w:r>
      <w:r>
        <w:rPr>
          <w:rFonts w:ascii="Bookman Old Style"/>
          <w:b/>
          <w:color w:val="231F20"/>
          <w:spacing w:val="-46"/>
          <w:w w:val="90"/>
        </w:rPr>
        <w:t> </w:t>
      </w:r>
      <w:r>
        <w:rPr>
          <w:rFonts w:ascii="Bookman Old Style"/>
          <w:b/>
          <w:color w:val="231F20"/>
          <w:w w:val="90"/>
        </w:rPr>
        <w:t>more</w:t>
      </w:r>
      <w:r>
        <w:rPr>
          <w:rFonts w:ascii="Bookman Old Style"/>
          <w:b/>
          <w:color w:val="231F20"/>
          <w:spacing w:val="-46"/>
          <w:w w:val="90"/>
        </w:rPr>
        <w:t> </w:t>
      </w:r>
      <w:r>
        <w:rPr>
          <w:rFonts w:ascii="Bookman Old Style"/>
          <w:b/>
          <w:color w:val="231F20"/>
          <w:w w:val="90"/>
        </w:rPr>
        <w:t>cases</w:t>
      </w:r>
      <w:r>
        <w:rPr>
          <w:rFonts w:ascii="Bookman Old Style"/>
          <w:b/>
          <w:color w:val="231F20"/>
          <w:spacing w:val="-46"/>
          <w:w w:val="90"/>
        </w:rPr>
        <w:t> </w:t>
      </w:r>
      <w:r>
        <w:rPr>
          <w:rFonts w:ascii="Bookman Old Style"/>
          <w:b/>
          <w:color w:val="231F20"/>
          <w:w w:val="90"/>
        </w:rPr>
        <w:t>are</w:t>
      </w:r>
      <w:r>
        <w:rPr>
          <w:rFonts w:ascii="Bookman Old Style"/>
          <w:b/>
          <w:color w:val="231F20"/>
          <w:spacing w:val="-46"/>
          <w:w w:val="90"/>
        </w:rPr>
        <w:t> </w:t>
      </w:r>
      <w:r>
        <w:rPr>
          <w:rFonts w:ascii="Bookman Old Style"/>
          <w:b/>
          <w:color w:val="231F20"/>
          <w:w w:val="90"/>
        </w:rPr>
        <w:t>needed</w:t>
      </w:r>
      <w:r>
        <w:rPr>
          <w:rFonts w:ascii="Bookman Old Style"/>
          <w:b/>
          <w:color w:val="231F20"/>
          <w:spacing w:val="-46"/>
          <w:w w:val="90"/>
        </w:rPr>
        <w:t> </w:t>
      </w:r>
      <w:r>
        <w:rPr>
          <w:rFonts w:ascii="Bookman Old Style"/>
          <w:b/>
          <w:color w:val="231F20"/>
          <w:w w:val="90"/>
        </w:rPr>
        <w:t>to</w:t>
      </w:r>
      <w:r>
        <w:rPr>
          <w:rFonts w:ascii="Bookman Old Style"/>
          <w:b/>
          <w:color w:val="231F20"/>
          <w:spacing w:val="-46"/>
          <w:w w:val="90"/>
        </w:rPr>
        <w:t> </w:t>
      </w:r>
      <w:r>
        <w:rPr>
          <w:rFonts w:ascii="Bookman Old Style"/>
          <w:b/>
          <w:color w:val="231F20"/>
          <w:w w:val="90"/>
        </w:rPr>
        <w:t>overcome </w:t>
      </w:r>
      <w:r>
        <w:rPr>
          <w:rFonts w:ascii="Bookman Old Style"/>
          <w:b/>
          <w:color w:val="231F20"/>
          <w:w w:val="85"/>
        </w:rPr>
        <w:t>background</w:t>
      </w:r>
      <w:r>
        <w:rPr>
          <w:rFonts w:ascii="Bookman Old Style"/>
          <w:b/>
          <w:color w:val="231F20"/>
          <w:spacing w:val="-27"/>
          <w:w w:val="85"/>
        </w:rPr>
        <w:t> </w:t>
      </w:r>
      <w:r>
        <w:rPr>
          <w:rFonts w:ascii="Bookman Old Style"/>
          <w:b/>
          <w:color w:val="231F20"/>
          <w:w w:val="85"/>
        </w:rPr>
        <w:t>noise</w:t>
      </w:r>
      <w:r>
        <w:rPr>
          <w:rFonts w:ascii="Bookman Old Style"/>
          <w:b/>
          <w:color w:val="231F20"/>
          <w:spacing w:val="-27"/>
          <w:w w:val="85"/>
        </w:rPr>
        <w:t> </w:t>
      </w:r>
      <w:r>
        <w:rPr>
          <w:rFonts w:ascii="Bookman Old Style"/>
          <w:b/>
          <w:color w:val="231F20"/>
          <w:w w:val="85"/>
        </w:rPr>
        <w:t>and</w:t>
      </w:r>
      <w:r>
        <w:rPr>
          <w:rFonts w:ascii="Bookman Old Style"/>
          <w:b/>
          <w:color w:val="231F20"/>
          <w:spacing w:val="-27"/>
          <w:w w:val="85"/>
        </w:rPr>
        <w:t> </w:t>
      </w:r>
      <w:r>
        <w:rPr>
          <w:rFonts w:ascii="Bookman Old Style"/>
          <w:b/>
          <w:color w:val="231F20"/>
          <w:w w:val="85"/>
        </w:rPr>
        <w:t>that</w:t>
      </w:r>
      <w:r>
        <w:rPr>
          <w:rFonts w:ascii="Bookman Old Style"/>
          <w:b/>
          <w:color w:val="231F20"/>
          <w:spacing w:val="-27"/>
          <w:w w:val="85"/>
        </w:rPr>
        <w:t> </w:t>
      </w:r>
      <w:r>
        <w:rPr>
          <w:rFonts w:ascii="Bookman Old Style"/>
          <w:b/>
          <w:color w:val="231F20"/>
          <w:w w:val="85"/>
        </w:rPr>
        <w:t>false-positive alerts</w:t>
      </w:r>
      <w:r>
        <w:rPr>
          <w:rFonts w:ascii="Bookman Old Style"/>
          <w:b/>
          <w:color w:val="231F20"/>
          <w:spacing w:val="-26"/>
          <w:w w:val="85"/>
        </w:rPr>
        <w:t> </w:t>
      </w:r>
      <w:r>
        <w:rPr>
          <w:rFonts w:ascii="Bookman Old Style"/>
          <w:b/>
          <w:color w:val="231F20"/>
          <w:w w:val="85"/>
        </w:rPr>
        <w:t>are</w:t>
      </w:r>
      <w:r>
        <w:rPr>
          <w:rFonts w:ascii="Bookman Old Style"/>
          <w:b/>
          <w:color w:val="231F20"/>
          <w:spacing w:val="-26"/>
          <w:w w:val="85"/>
        </w:rPr>
        <w:t> </w:t>
      </w:r>
      <w:r>
        <w:rPr>
          <w:rFonts w:ascii="Bookman Old Style"/>
          <w:b/>
          <w:color w:val="231F20"/>
          <w:spacing w:val="-5"/>
          <w:w w:val="85"/>
        </w:rPr>
        <w:t>likely.</w:t>
      </w:r>
    </w:p>
    <w:p>
      <w:pPr>
        <w:pStyle w:val="BodyText"/>
        <w:spacing w:line="266" w:lineRule="auto" w:before="193"/>
        <w:ind w:left="720" w:right="38"/>
      </w:pPr>
      <w:r>
        <w:rPr>
          <w:color w:val="231F20"/>
          <w:w w:val="105"/>
        </w:rPr>
        <w:t>The most specific signals—hospital discharge data—include</w:t>
      </w:r>
      <w:r>
        <w:rPr>
          <w:color w:val="231F20"/>
          <w:spacing w:val="-20"/>
          <w:w w:val="105"/>
        </w:rPr>
        <w:t> </w:t>
      </w:r>
      <w:r>
        <w:rPr>
          <w:color w:val="231F20"/>
          <w:w w:val="105"/>
        </w:rPr>
        <w:t>both</w:t>
      </w:r>
      <w:r>
        <w:rPr>
          <w:color w:val="231F20"/>
          <w:spacing w:val="-20"/>
          <w:w w:val="105"/>
        </w:rPr>
        <w:t> </w:t>
      </w:r>
      <w:r>
        <w:rPr>
          <w:color w:val="231F20"/>
          <w:w w:val="105"/>
        </w:rPr>
        <w:t>nonspecific</w:t>
      </w:r>
      <w:r>
        <w:rPr>
          <w:color w:val="231F20"/>
          <w:spacing w:val="-20"/>
          <w:w w:val="105"/>
        </w:rPr>
        <w:t> </w:t>
      </w:r>
      <w:r>
        <w:rPr>
          <w:color w:val="231F20"/>
          <w:w w:val="105"/>
        </w:rPr>
        <w:t>diagnoses</w:t>
      </w:r>
      <w:r>
        <w:rPr>
          <w:color w:val="231F20"/>
          <w:spacing w:val="-20"/>
          <w:w w:val="105"/>
        </w:rPr>
        <w:t> </w:t>
      </w:r>
      <w:r>
        <w:rPr>
          <w:color w:val="231F20"/>
          <w:spacing w:val="-4"/>
          <w:w w:val="105"/>
        </w:rPr>
        <w:t>(e.g.,</w:t>
      </w:r>
      <w:r>
        <w:rPr>
          <w:color w:val="231F20"/>
          <w:w w:val="114"/>
        </w:rPr>
        <w:t> </w:t>
      </w:r>
      <w:r>
        <w:rPr>
          <w:color w:val="231F20"/>
          <w:w w:val="105"/>
        </w:rPr>
        <w:t>diarrhea of infectious origin, ICD-9 #009.3) and diagnoses based on specific agents </w:t>
      </w:r>
      <w:r>
        <w:rPr>
          <w:color w:val="231F20"/>
          <w:spacing w:val="-4"/>
          <w:w w:val="105"/>
        </w:rPr>
        <w:t>(e.g., </w:t>
      </w:r>
      <w:r>
        <w:rPr>
          <w:i/>
          <w:color w:val="231F20"/>
          <w:w w:val="105"/>
        </w:rPr>
        <w:t>Salmonella</w:t>
      </w:r>
      <w:r>
        <w:rPr>
          <w:i/>
          <w:color w:val="231F20"/>
          <w:spacing w:val="-21"/>
          <w:w w:val="105"/>
        </w:rPr>
        <w:t> </w:t>
      </w:r>
      <w:r>
        <w:rPr>
          <w:color w:val="231F20"/>
          <w:w w:val="105"/>
        </w:rPr>
        <w:t>gastroenteritis,</w:t>
      </w:r>
      <w:r>
        <w:rPr>
          <w:color w:val="231F20"/>
          <w:spacing w:val="-20"/>
          <w:w w:val="105"/>
        </w:rPr>
        <w:t> </w:t>
      </w:r>
      <w:r>
        <w:rPr>
          <w:color w:val="231F20"/>
          <w:w w:val="105"/>
        </w:rPr>
        <w:t>ICD-9</w:t>
      </w:r>
      <w:r>
        <w:rPr>
          <w:color w:val="231F20"/>
          <w:spacing w:val="-20"/>
          <w:w w:val="105"/>
        </w:rPr>
        <w:t> </w:t>
      </w:r>
      <w:r>
        <w:rPr>
          <w:color w:val="231F20"/>
          <w:w w:val="105"/>
        </w:rPr>
        <w:t>#003.0).</w:t>
      </w:r>
    </w:p>
    <w:p>
      <w:pPr>
        <w:pStyle w:val="BodyText"/>
        <w:spacing w:line="266" w:lineRule="auto"/>
        <w:ind w:left="720" w:right="28"/>
      </w:pPr>
      <w:r>
        <w:rPr>
          <w:color w:val="231F20"/>
          <w:w w:val="105"/>
        </w:rPr>
        <w:t>Discharge signals for reportable disease, such as salmonellosis, should not offer any time advantage over standard surveillance methods because:</w:t>
      </w:r>
    </w:p>
    <w:p>
      <w:pPr>
        <w:pStyle w:val="ListParagraph"/>
        <w:numPr>
          <w:ilvl w:val="4"/>
          <w:numId w:val="25"/>
        </w:numPr>
        <w:tabs>
          <w:tab w:pos="891" w:val="left" w:leader="none"/>
        </w:tabs>
        <w:spacing w:line="266" w:lineRule="auto" w:before="180" w:after="0"/>
        <w:ind w:left="890" w:right="171" w:hanging="170"/>
        <w:jc w:val="left"/>
        <w:rPr>
          <w:sz w:val="20"/>
        </w:rPr>
      </w:pPr>
      <w:r>
        <w:rPr>
          <w:color w:val="231F20"/>
          <w:w w:val="105"/>
          <w:sz w:val="20"/>
        </w:rPr>
        <w:t>The diagnoses requires agent</w:t>
      </w:r>
      <w:r>
        <w:rPr>
          <w:color w:val="231F20"/>
          <w:spacing w:val="-37"/>
          <w:w w:val="105"/>
          <w:sz w:val="20"/>
        </w:rPr>
        <w:t> </w:t>
      </w:r>
      <w:r>
        <w:rPr>
          <w:color w:val="231F20"/>
          <w:w w:val="105"/>
          <w:sz w:val="20"/>
        </w:rPr>
        <w:t>identification and would </w:t>
      </w:r>
      <w:r>
        <w:rPr>
          <w:color w:val="231F20"/>
          <w:spacing w:val="-3"/>
          <w:w w:val="105"/>
          <w:sz w:val="20"/>
        </w:rPr>
        <w:t>have </w:t>
      </w:r>
      <w:r>
        <w:rPr>
          <w:color w:val="231F20"/>
          <w:w w:val="105"/>
          <w:sz w:val="20"/>
        </w:rPr>
        <w:t>the same limitations as </w:t>
      </w:r>
      <w:r>
        <w:rPr>
          <w:color w:val="231F20"/>
          <w:sz w:val="20"/>
        </w:rPr>
        <w:t>pathogen-specific </w:t>
      </w:r>
      <w:r>
        <w:rPr>
          <w:color w:val="231F20"/>
          <w:spacing w:val="14"/>
          <w:sz w:val="20"/>
        </w:rPr>
        <w:t> </w:t>
      </w:r>
      <w:r>
        <w:rPr>
          <w:color w:val="231F20"/>
          <w:sz w:val="20"/>
        </w:rPr>
        <w:t>surveillance,</w:t>
      </w:r>
    </w:p>
    <w:p>
      <w:pPr>
        <w:pStyle w:val="ListParagraph"/>
        <w:numPr>
          <w:ilvl w:val="4"/>
          <w:numId w:val="25"/>
        </w:numPr>
        <w:tabs>
          <w:tab w:pos="891" w:val="left" w:leader="none"/>
        </w:tabs>
        <w:spacing w:line="266" w:lineRule="auto" w:before="90" w:after="0"/>
        <w:ind w:left="890" w:right="269" w:hanging="170"/>
        <w:jc w:val="left"/>
        <w:rPr>
          <w:sz w:val="20"/>
        </w:rPr>
      </w:pPr>
      <w:r>
        <w:rPr>
          <w:color w:val="231F20"/>
          <w:w w:val="105"/>
          <w:sz w:val="20"/>
        </w:rPr>
        <w:t>Standard</w:t>
      </w:r>
      <w:r>
        <w:rPr>
          <w:color w:val="231F20"/>
          <w:spacing w:val="-11"/>
          <w:w w:val="105"/>
          <w:sz w:val="20"/>
        </w:rPr>
        <w:t> </w:t>
      </w:r>
      <w:r>
        <w:rPr>
          <w:color w:val="231F20"/>
          <w:w w:val="105"/>
          <w:sz w:val="20"/>
        </w:rPr>
        <w:t>investigation</w:t>
      </w:r>
      <w:r>
        <w:rPr>
          <w:color w:val="231F20"/>
          <w:spacing w:val="-12"/>
          <w:w w:val="105"/>
          <w:sz w:val="20"/>
        </w:rPr>
        <w:t> </w:t>
      </w:r>
      <w:r>
        <w:rPr>
          <w:color w:val="231F20"/>
          <w:w w:val="105"/>
          <w:sz w:val="20"/>
        </w:rPr>
        <w:t>probably</w:t>
      </w:r>
      <w:r>
        <w:rPr>
          <w:color w:val="231F20"/>
          <w:spacing w:val="-12"/>
          <w:w w:val="105"/>
          <w:sz w:val="20"/>
        </w:rPr>
        <w:t> </w:t>
      </w:r>
      <w:r>
        <w:rPr>
          <w:color w:val="231F20"/>
          <w:w w:val="105"/>
          <w:sz w:val="20"/>
        </w:rPr>
        <w:t>would</w:t>
      </w:r>
      <w:r>
        <w:rPr>
          <w:color w:val="231F20"/>
          <w:spacing w:val="-11"/>
          <w:w w:val="105"/>
          <w:sz w:val="20"/>
        </w:rPr>
        <w:t> </w:t>
      </w:r>
      <w:r>
        <w:rPr>
          <w:color w:val="231F20"/>
          <w:w w:val="105"/>
          <w:sz w:val="20"/>
        </w:rPr>
        <w:t>be required for public health action,</w:t>
      </w:r>
      <w:r>
        <w:rPr>
          <w:color w:val="231F20"/>
          <w:spacing w:val="-32"/>
          <w:w w:val="105"/>
          <w:sz w:val="20"/>
        </w:rPr>
        <w:t> </w:t>
      </w:r>
      <w:r>
        <w:rPr>
          <w:color w:val="231F20"/>
          <w:w w:val="105"/>
          <w:sz w:val="20"/>
        </w:rPr>
        <w:t>and</w:t>
      </w:r>
    </w:p>
    <w:p>
      <w:pPr>
        <w:pStyle w:val="ListParagraph"/>
        <w:numPr>
          <w:ilvl w:val="4"/>
          <w:numId w:val="25"/>
        </w:numPr>
        <w:tabs>
          <w:tab w:pos="891" w:val="left" w:leader="none"/>
        </w:tabs>
        <w:spacing w:line="266" w:lineRule="auto" w:before="90" w:after="0"/>
        <w:ind w:left="890" w:right="708" w:hanging="170"/>
        <w:jc w:val="left"/>
        <w:rPr>
          <w:sz w:val="20"/>
        </w:rPr>
      </w:pPr>
      <w:r>
        <w:rPr>
          <w:color w:val="231F20"/>
          <w:w w:val="105"/>
          <w:sz w:val="20"/>
        </w:rPr>
        <w:t>Identification</w:t>
      </w:r>
      <w:r>
        <w:rPr>
          <w:color w:val="231F20"/>
          <w:spacing w:val="-16"/>
          <w:w w:val="105"/>
          <w:sz w:val="20"/>
        </w:rPr>
        <w:t> </w:t>
      </w:r>
      <w:r>
        <w:rPr>
          <w:color w:val="231F20"/>
          <w:w w:val="105"/>
          <w:sz w:val="20"/>
        </w:rPr>
        <w:t>of</w:t>
      </w:r>
      <w:r>
        <w:rPr>
          <w:color w:val="231F20"/>
          <w:spacing w:val="5"/>
          <w:w w:val="105"/>
          <w:sz w:val="20"/>
        </w:rPr>
        <w:t> </w:t>
      </w:r>
      <w:r>
        <w:rPr>
          <w:color w:val="231F20"/>
          <w:w w:val="105"/>
          <w:sz w:val="20"/>
        </w:rPr>
        <w:t>illness</w:t>
      </w:r>
      <w:r>
        <w:rPr>
          <w:color w:val="231F20"/>
          <w:spacing w:val="-16"/>
          <w:w w:val="105"/>
          <w:sz w:val="20"/>
        </w:rPr>
        <w:t> </w:t>
      </w:r>
      <w:r>
        <w:rPr>
          <w:color w:val="231F20"/>
          <w:w w:val="105"/>
          <w:sz w:val="20"/>
        </w:rPr>
        <w:t>may</w:t>
      </w:r>
      <w:r>
        <w:rPr>
          <w:color w:val="231F20"/>
          <w:spacing w:val="-16"/>
          <w:w w:val="105"/>
          <w:sz w:val="20"/>
        </w:rPr>
        <w:t> </w:t>
      </w:r>
      <w:r>
        <w:rPr>
          <w:color w:val="231F20"/>
          <w:w w:val="105"/>
          <w:sz w:val="20"/>
        </w:rPr>
        <w:t>precede discharge.</w:t>
      </w:r>
    </w:p>
    <w:p>
      <w:pPr>
        <w:pStyle w:val="BodyText"/>
        <w:spacing w:line="266" w:lineRule="auto" w:before="180"/>
        <w:ind w:left="720"/>
      </w:pPr>
      <w:r>
        <w:rPr>
          <w:color w:val="231F20"/>
        </w:rPr>
        <w:t>Signals from rare, specific syndromes without laboratory confirmation, such as botulism-like syndrome, should be as effective as pathogen- specific surveillance. This is the basis for the national  botulism  surveillance  program  at CDC, which provides emergency clinical, epidemiologic, and microbiologic consultation and antitoxin treatment for persons with suspected botulism because of the extremely serious nature of that illness and the possibility that one case might herald other cases from    the same exposure.</w:t>
      </w:r>
      <w:r>
        <w:rPr>
          <w:color w:val="231F20"/>
          <w:position w:val="7"/>
          <w:sz w:val="11"/>
        </w:rPr>
        <w:t>8,16 </w:t>
      </w:r>
      <w:r>
        <w:rPr>
          <w:color w:val="231F20"/>
        </w:rPr>
        <w:t>(</w:t>
      </w:r>
      <w:hyperlink r:id="rId20">
        <w:r>
          <w:rPr>
            <w:color w:val="0079C1"/>
          </w:rPr>
          <w:t>http://www.cdc.gov/</w:t>
        </w:r>
      </w:hyperlink>
      <w:r>
        <w:rPr>
          <w:color w:val="0079C1"/>
        </w:rPr>
        <w:t> </w:t>
      </w:r>
      <w:r>
        <w:rPr>
          <w:color w:val="0079C1"/>
          <w:spacing w:val="-1"/>
        </w:rPr>
        <w:t>ncidod/dbmd/diseaseinfo/files/botulism.PDF</w:t>
      </w:r>
      <w:r>
        <w:rPr>
          <w:color w:val="231F20"/>
          <w:spacing w:val="-1"/>
        </w:rPr>
        <w:t>).</w:t>
      </w:r>
    </w:p>
    <w:p>
      <w:pPr>
        <w:spacing w:before="180"/>
        <w:ind w:left="720" w:right="0" w:firstLine="0"/>
        <w:jc w:val="left"/>
        <w:rPr>
          <w:i/>
          <w:sz w:val="20"/>
        </w:rPr>
      </w:pPr>
      <w:r>
        <w:rPr>
          <w:i/>
          <w:color w:val="E36F1E"/>
          <w:w w:val="105"/>
          <w:sz w:val="20"/>
        </w:rPr>
        <w:t>4.4.8.2. Personal information privacy issues</w:t>
      </w:r>
    </w:p>
    <w:p>
      <w:pPr>
        <w:pStyle w:val="BodyText"/>
        <w:spacing w:line="266" w:lineRule="auto" w:before="25"/>
        <w:ind w:left="720" w:right="207"/>
        <w:jc w:val="both"/>
      </w:pPr>
      <w:r>
        <w:rPr>
          <w:color w:val="231F20"/>
          <w:w w:val="105"/>
        </w:rPr>
        <w:t>In</w:t>
      </w:r>
      <w:r>
        <w:rPr>
          <w:color w:val="231F20"/>
          <w:spacing w:val="-15"/>
          <w:w w:val="105"/>
        </w:rPr>
        <w:t> </w:t>
      </w:r>
      <w:r>
        <w:rPr>
          <w:color w:val="231F20"/>
          <w:w w:val="105"/>
        </w:rPr>
        <w:t>a</w:t>
      </w:r>
      <w:r>
        <w:rPr>
          <w:color w:val="231F20"/>
          <w:spacing w:val="-14"/>
          <w:w w:val="105"/>
        </w:rPr>
        <w:t> </w:t>
      </w:r>
      <w:r>
        <w:rPr>
          <w:color w:val="231F20"/>
          <w:w w:val="105"/>
        </w:rPr>
        <w:t>survey</w:t>
      </w:r>
      <w:r>
        <w:rPr>
          <w:color w:val="231F20"/>
          <w:spacing w:val="-15"/>
          <w:w w:val="105"/>
        </w:rPr>
        <w:t> </w:t>
      </w:r>
      <w:r>
        <w:rPr>
          <w:color w:val="231F20"/>
          <w:w w:val="105"/>
        </w:rPr>
        <w:t>on</w:t>
      </w:r>
      <w:r>
        <w:rPr>
          <w:color w:val="231F20"/>
          <w:spacing w:val="-15"/>
          <w:w w:val="105"/>
        </w:rPr>
        <w:t> </w:t>
      </w:r>
      <w:r>
        <w:rPr>
          <w:color w:val="231F20"/>
          <w:w w:val="105"/>
        </w:rPr>
        <w:t>implementation</w:t>
      </w:r>
      <w:r>
        <w:rPr>
          <w:color w:val="231F20"/>
          <w:spacing w:val="-15"/>
          <w:w w:val="105"/>
        </w:rPr>
        <w:t> </w:t>
      </w:r>
      <w:r>
        <w:rPr>
          <w:color w:val="231F20"/>
          <w:w w:val="105"/>
        </w:rPr>
        <w:t>of</w:t>
      </w:r>
      <w:r>
        <w:rPr>
          <w:color w:val="231F20"/>
          <w:spacing w:val="8"/>
          <w:w w:val="105"/>
        </w:rPr>
        <w:t> </w:t>
      </w:r>
      <w:r>
        <w:rPr>
          <w:color w:val="231F20"/>
          <w:w w:val="105"/>
        </w:rPr>
        <w:t>syndromic surveillance</w:t>
      </w:r>
      <w:r>
        <w:rPr>
          <w:color w:val="231F20"/>
          <w:spacing w:val="-18"/>
          <w:w w:val="105"/>
        </w:rPr>
        <w:t> </w:t>
      </w:r>
      <w:r>
        <w:rPr>
          <w:color w:val="231F20"/>
          <w:w w:val="105"/>
        </w:rPr>
        <w:t>systems,</w:t>
      </w:r>
      <w:r>
        <w:rPr>
          <w:color w:val="231F20"/>
          <w:spacing w:val="-16"/>
          <w:w w:val="105"/>
        </w:rPr>
        <w:t> </w:t>
      </w:r>
      <w:r>
        <w:rPr>
          <w:color w:val="231F20"/>
          <w:w w:val="105"/>
        </w:rPr>
        <w:t>more</w:t>
      </w:r>
      <w:r>
        <w:rPr>
          <w:color w:val="231F20"/>
          <w:spacing w:val="-16"/>
          <w:w w:val="105"/>
        </w:rPr>
        <w:t> </w:t>
      </w:r>
      <w:r>
        <w:rPr>
          <w:color w:val="231F20"/>
          <w:w w:val="105"/>
        </w:rPr>
        <w:t>than</w:t>
      </w:r>
      <w:r>
        <w:rPr>
          <w:color w:val="231F20"/>
          <w:spacing w:val="-17"/>
          <w:w w:val="105"/>
        </w:rPr>
        <w:t> </w:t>
      </w:r>
      <w:r>
        <w:rPr>
          <w:color w:val="231F20"/>
          <w:w w:val="105"/>
        </w:rPr>
        <w:t>half</w:t>
      </w:r>
      <w:r>
        <w:rPr>
          <w:color w:val="231F20"/>
          <w:spacing w:val="5"/>
          <w:w w:val="105"/>
        </w:rPr>
        <w:t> </w:t>
      </w:r>
      <w:r>
        <w:rPr>
          <w:color w:val="231F20"/>
          <w:w w:val="105"/>
        </w:rPr>
        <w:t>(54.2%) of respondents</w:t>
      </w:r>
      <w:r>
        <w:rPr>
          <w:color w:val="231F20"/>
          <w:spacing w:val="-20"/>
          <w:w w:val="105"/>
        </w:rPr>
        <w:t> </w:t>
      </w:r>
      <w:r>
        <w:rPr>
          <w:color w:val="231F20"/>
          <w:w w:val="105"/>
        </w:rPr>
        <w:t>reported</w:t>
      </w:r>
      <w:r>
        <w:rPr>
          <w:color w:val="231F20"/>
          <w:spacing w:val="-19"/>
          <w:w w:val="105"/>
        </w:rPr>
        <w:t> </w:t>
      </w:r>
      <w:r>
        <w:rPr>
          <w:color w:val="231F20"/>
          <w:w w:val="105"/>
        </w:rPr>
        <w:t>some</w:t>
      </w:r>
      <w:r>
        <w:rPr>
          <w:color w:val="231F20"/>
          <w:spacing w:val="-19"/>
          <w:w w:val="105"/>
        </w:rPr>
        <w:t> </w:t>
      </w:r>
      <w:r>
        <w:rPr>
          <w:color w:val="231F20"/>
          <w:w w:val="105"/>
        </w:rPr>
        <w:t>or</w:t>
      </w:r>
      <w:r>
        <w:rPr>
          <w:color w:val="231F20"/>
          <w:spacing w:val="-19"/>
          <w:w w:val="105"/>
        </w:rPr>
        <w:t> </w:t>
      </w:r>
      <w:r>
        <w:rPr>
          <w:color w:val="231F20"/>
          <w:w w:val="105"/>
        </w:rPr>
        <w:t>substantial problems</w:t>
      </w:r>
      <w:r>
        <w:rPr>
          <w:color w:val="231F20"/>
          <w:spacing w:val="-12"/>
          <w:w w:val="105"/>
        </w:rPr>
        <w:t> </w:t>
      </w:r>
      <w:r>
        <w:rPr>
          <w:color w:val="231F20"/>
          <w:w w:val="105"/>
        </w:rPr>
        <w:t>caused</w:t>
      </w:r>
      <w:r>
        <w:rPr>
          <w:color w:val="231F20"/>
          <w:spacing w:val="-11"/>
          <w:w w:val="105"/>
        </w:rPr>
        <w:t> </w:t>
      </w:r>
      <w:r>
        <w:rPr>
          <w:color w:val="231F20"/>
          <w:spacing w:val="-3"/>
          <w:w w:val="105"/>
        </w:rPr>
        <w:t>by</w:t>
      </w:r>
      <w:r>
        <w:rPr>
          <w:color w:val="231F20"/>
          <w:spacing w:val="-12"/>
          <w:w w:val="105"/>
        </w:rPr>
        <w:t> </w:t>
      </w:r>
      <w:r>
        <w:rPr>
          <w:color w:val="231F20"/>
          <w:w w:val="105"/>
        </w:rPr>
        <w:t>real</w:t>
      </w:r>
      <w:r>
        <w:rPr>
          <w:color w:val="231F20"/>
          <w:spacing w:val="-12"/>
          <w:w w:val="105"/>
        </w:rPr>
        <w:t> </w:t>
      </w:r>
      <w:r>
        <w:rPr>
          <w:color w:val="231F20"/>
          <w:w w:val="105"/>
        </w:rPr>
        <w:t>or</w:t>
      </w:r>
      <w:r>
        <w:rPr>
          <w:color w:val="231F20"/>
          <w:spacing w:val="-11"/>
          <w:w w:val="105"/>
        </w:rPr>
        <w:t> </w:t>
      </w:r>
      <w:r>
        <w:rPr>
          <w:color w:val="231F20"/>
          <w:w w:val="105"/>
        </w:rPr>
        <w:t>perceived</w:t>
      </w:r>
      <w:r>
        <w:rPr>
          <w:color w:val="231F20"/>
          <w:spacing w:val="-12"/>
          <w:w w:val="105"/>
        </w:rPr>
        <w:t> </w:t>
      </w:r>
      <w:r>
        <w:rPr>
          <w:color w:val="231F20"/>
          <w:w w:val="105"/>
        </w:rPr>
        <w:t>patient confidentiality concerns and the</w:t>
      </w:r>
      <w:r>
        <w:rPr>
          <w:color w:val="231F20"/>
          <w:spacing w:val="-32"/>
          <w:w w:val="105"/>
        </w:rPr>
        <w:t> </w:t>
      </w:r>
      <w:r>
        <w:rPr>
          <w:color w:val="231F20"/>
          <w:w w:val="105"/>
        </w:rPr>
        <w:t>Health</w:t>
      </w:r>
    </w:p>
    <w:p>
      <w:pPr>
        <w:pStyle w:val="BodyText"/>
        <w:spacing w:line="266" w:lineRule="auto" w:before="108"/>
        <w:ind w:left="320" w:right="1663"/>
      </w:pPr>
      <w:r>
        <w:rPr/>
        <w:br w:type="column"/>
      </w:r>
      <w:r>
        <w:rPr>
          <w:color w:val="231F20"/>
          <w:w w:val="105"/>
        </w:rPr>
        <w:t>Insurance Portability and Accountability Act</w:t>
      </w:r>
      <w:r>
        <w:rPr>
          <w:color w:val="231F20"/>
          <w:spacing w:val="-19"/>
          <w:w w:val="105"/>
        </w:rPr>
        <w:t> </w:t>
      </w:r>
      <w:r>
        <w:rPr>
          <w:color w:val="231F20"/>
          <w:spacing w:val="-3"/>
          <w:w w:val="105"/>
        </w:rPr>
        <w:t>(HIPAA).</w:t>
      </w:r>
      <w:r>
        <w:rPr>
          <w:color w:val="231F20"/>
          <w:spacing w:val="-19"/>
          <w:w w:val="105"/>
        </w:rPr>
        <w:t> </w:t>
      </w:r>
      <w:r>
        <w:rPr>
          <w:color w:val="231F20"/>
          <w:w w:val="105"/>
        </w:rPr>
        <w:t>Respondents</w:t>
      </w:r>
      <w:r>
        <w:rPr>
          <w:color w:val="231F20"/>
          <w:spacing w:val="-21"/>
          <w:w w:val="105"/>
        </w:rPr>
        <w:t> </w:t>
      </w:r>
      <w:r>
        <w:rPr>
          <w:color w:val="231F20"/>
          <w:w w:val="105"/>
        </w:rPr>
        <w:t>noted</w:t>
      </w:r>
      <w:r>
        <w:rPr>
          <w:color w:val="231F20"/>
          <w:spacing w:val="-19"/>
          <w:w w:val="105"/>
        </w:rPr>
        <w:t> </w:t>
      </w:r>
      <w:r>
        <w:rPr>
          <w:color w:val="231F20"/>
          <w:w w:val="105"/>
        </w:rPr>
        <w:t>that</w:t>
      </w:r>
      <w:r>
        <w:rPr>
          <w:color w:val="231F20"/>
          <w:spacing w:val="-19"/>
          <w:w w:val="105"/>
        </w:rPr>
        <w:t> </w:t>
      </w:r>
      <w:r>
        <w:rPr>
          <w:color w:val="231F20"/>
          <w:w w:val="105"/>
        </w:rPr>
        <w:t>many health-care providers and medical staff did not understand </w:t>
      </w:r>
      <w:r>
        <w:rPr>
          <w:color w:val="231F20"/>
          <w:spacing w:val="-5"/>
          <w:w w:val="105"/>
        </w:rPr>
        <w:t>HIPAA </w:t>
      </w:r>
      <w:r>
        <w:rPr>
          <w:color w:val="231F20"/>
          <w:w w:val="105"/>
        </w:rPr>
        <w:t>and so tended to give</w:t>
      </w:r>
      <w:r>
        <w:rPr>
          <w:color w:val="231F20"/>
          <w:spacing w:val="-14"/>
          <w:w w:val="105"/>
        </w:rPr>
        <w:t> </w:t>
      </w:r>
      <w:r>
        <w:rPr>
          <w:color w:val="231F20"/>
          <w:w w:val="105"/>
        </w:rPr>
        <w:t>minimal</w:t>
      </w:r>
      <w:r>
        <w:rPr>
          <w:color w:val="231F20"/>
          <w:spacing w:val="-14"/>
          <w:w w:val="105"/>
        </w:rPr>
        <w:t> </w:t>
      </w:r>
      <w:r>
        <w:rPr>
          <w:color w:val="231F20"/>
          <w:w w:val="105"/>
        </w:rPr>
        <w:t>patient</w:t>
      </w:r>
      <w:r>
        <w:rPr>
          <w:color w:val="231F20"/>
          <w:spacing w:val="-15"/>
          <w:w w:val="105"/>
        </w:rPr>
        <w:t> </w:t>
      </w:r>
      <w:r>
        <w:rPr>
          <w:color w:val="231F20"/>
          <w:w w:val="105"/>
        </w:rPr>
        <w:t>information.</w:t>
      </w:r>
      <w:r>
        <w:rPr>
          <w:color w:val="231F20"/>
          <w:spacing w:val="-15"/>
          <w:w w:val="105"/>
        </w:rPr>
        <w:t> </w:t>
      </w:r>
      <w:r>
        <w:rPr>
          <w:color w:val="231F20"/>
          <w:w w:val="105"/>
        </w:rPr>
        <w:t>Questions also were raised about whether syndromic surveillance</w:t>
      </w:r>
      <w:r>
        <w:rPr>
          <w:color w:val="231F20"/>
          <w:spacing w:val="-12"/>
          <w:w w:val="105"/>
        </w:rPr>
        <w:t> </w:t>
      </w:r>
      <w:r>
        <w:rPr>
          <w:color w:val="231F20"/>
          <w:w w:val="105"/>
        </w:rPr>
        <w:t>falls</w:t>
      </w:r>
      <w:r>
        <w:rPr>
          <w:color w:val="231F20"/>
          <w:spacing w:val="-11"/>
          <w:w w:val="105"/>
        </w:rPr>
        <w:t> </w:t>
      </w:r>
      <w:r>
        <w:rPr>
          <w:color w:val="231F20"/>
          <w:w w:val="105"/>
        </w:rPr>
        <w:t>under</w:t>
      </w:r>
      <w:r>
        <w:rPr>
          <w:color w:val="231F20"/>
          <w:spacing w:val="-11"/>
          <w:w w:val="105"/>
        </w:rPr>
        <w:t> </w:t>
      </w:r>
      <w:r>
        <w:rPr>
          <w:color w:val="231F20"/>
          <w:w w:val="105"/>
        </w:rPr>
        <w:t>the</w:t>
      </w:r>
      <w:r>
        <w:rPr>
          <w:color w:val="231F20"/>
          <w:spacing w:val="-12"/>
          <w:w w:val="105"/>
        </w:rPr>
        <w:t> </w:t>
      </w:r>
      <w:r>
        <w:rPr>
          <w:color w:val="231F20"/>
          <w:w w:val="105"/>
        </w:rPr>
        <w:t>same</w:t>
      </w:r>
      <w:r>
        <w:rPr>
          <w:color w:val="231F20"/>
          <w:spacing w:val="-11"/>
          <w:w w:val="105"/>
        </w:rPr>
        <w:t> </w:t>
      </w:r>
      <w:r>
        <w:rPr>
          <w:color w:val="231F20"/>
          <w:w w:val="105"/>
        </w:rPr>
        <w:t>regulations as reports of diagnosis-related disease. </w:t>
      </w:r>
      <w:r>
        <w:rPr>
          <w:color w:val="231F20"/>
          <w:spacing w:val="-7"/>
          <w:w w:val="105"/>
        </w:rPr>
        <w:t>For </w:t>
      </w:r>
      <w:r>
        <w:rPr>
          <w:color w:val="231F20"/>
          <w:w w:val="105"/>
        </w:rPr>
        <w:t>example, whether health departments </w:t>
      </w:r>
      <w:r>
        <w:rPr>
          <w:color w:val="231F20"/>
          <w:spacing w:val="-3"/>
          <w:w w:val="105"/>
        </w:rPr>
        <w:t>have </w:t>
      </w:r>
      <w:r>
        <w:rPr>
          <w:color w:val="231F20"/>
          <w:w w:val="105"/>
        </w:rPr>
        <w:t>the legal authority to collect these data is not always </w:t>
      </w:r>
      <w:r>
        <w:rPr>
          <w:color w:val="231F20"/>
          <w:spacing w:val="-5"/>
          <w:w w:val="105"/>
        </w:rPr>
        <w:t>clear. </w:t>
      </w:r>
      <w:r>
        <w:rPr>
          <w:color w:val="231F20"/>
          <w:w w:val="105"/>
        </w:rPr>
        <w:t>Most respondents were using current disease reporting regulations to</w:t>
      </w:r>
      <w:r>
        <w:rPr>
          <w:color w:val="231F20"/>
          <w:spacing w:val="-14"/>
          <w:w w:val="105"/>
        </w:rPr>
        <w:t> </w:t>
      </w:r>
      <w:r>
        <w:rPr>
          <w:color w:val="231F20"/>
          <w:spacing w:val="-3"/>
          <w:w w:val="105"/>
        </w:rPr>
        <w:t>cover</w:t>
      </w:r>
      <w:r>
        <w:rPr>
          <w:color w:val="231F20"/>
          <w:spacing w:val="-14"/>
          <w:w w:val="105"/>
        </w:rPr>
        <w:t> </w:t>
      </w:r>
      <w:r>
        <w:rPr>
          <w:color w:val="231F20"/>
          <w:w w:val="105"/>
        </w:rPr>
        <w:t>syndromic</w:t>
      </w:r>
      <w:r>
        <w:rPr>
          <w:color w:val="231F20"/>
          <w:spacing w:val="-14"/>
          <w:w w:val="105"/>
        </w:rPr>
        <w:t> </w:t>
      </w:r>
      <w:r>
        <w:rPr>
          <w:color w:val="231F20"/>
          <w:w w:val="105"/>
        </w:rPr>
        <w:t>surveillance.</w:t>
      </w:r>
      <w:r>
        <w:rPr>
          <w:color w:val="231F20"/>
          <w:spacing w:val="-13"/>
          <w:w w:val="105"/>
        </w:rPr>
        <w:t> </w:t>
      </w:r>
      <w:r>
        <w:rPr>
          <w:color w:val="231F20"/>
          <w:w w:val="105"/>
        </w:rPr>
        <w:t>Many</w:t>
      </w:r>
    </w:p>
    <w:p>
      <w:pPr>
        <w:pStyle w:val="BodyText"/>
        <w:spacing w:line="254" w:lineRule="auto"/>
        <w:ind w:left="320" w:right="1553"/>
        <w:rPr>
          <w:rFonts w:ascii="Bookman Old Style"/>
          <w:b/>
          <w:sz w:val="11"/>
        </w:rPr>
      </w:pPr>
      <w:r>
        <w:rPr/>
        <w:pict>
          <v:rect style="position:absolute;margin-left:459pt;margin-top:-28.602648pt;width:45pt;height:18pt;mso-position-horizontal-relative:page;mso-position-vertical-relative:paragraph;z-index:4528" filled="true" fillcolor="#0079c1" stroked="false">
            <v:fill type="solid"/>
            <w10:wrap type="none"/>
          </v:rect>
        </w:pict>
      </w:r>
      <w:r>
        <w:rPr/>
        <w:pict>
          <v:line style="position:absolute;mso-position-horizontal-relative:page;mso-position-vertical-relative:paragraph;z-index:4552" from="450.5pt,-28.603046pt" to="450.5pt,173.802954pt" stroked="true" strokeweight="1pt" strokecolor="#0079c1">
            <v:stroke dashstyle="solid"/>
            <w10:wrap type="none"/>
          </v:line>
        </w:pict>
      </w:r>
      <w:r>
        <w:rPr/>
        <w:pict>
          <v:shape style="position:absolute;margin-left:465.346802pt;margin-top:-6.606247pt;width:22.25pt;height:183.2pt;mso-position-horizontal-relative:page;mso-position-vertical-relative:paragraph;z-index:4576" type="#_x0000_t202" filled="false" stroked="false">
            <v:textbox inset="0,0,0,0" style="layout-flow:vertical">
              <w:txbxContent>
                <w:p>
                  <w:pPr>
                    <w:spacing w:before="12"/>
                    <w:ind w:left="20" w:right="-1014" w:firstLine="0"/>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468.849609pt;margin-top:-23.852047pt;width:15.85pt;height:8.5pt;mso-position-horizontal-relative:page;mso-position-vertical-relative:paragraph;z-index:4600" type="#_x0000_t202" filled="false" stroked="false">
            <v:textbox inset="0,0,0,0" style="layout-flow:vertical">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w w:val="95"/>
        </w:rPr>
        <w:t>respondents believed more specific syndromic indicators  are  needed  to  incorporate  them  into regulations. </w:t>
      </w:r>
      <w:r>
        <w:rPr>
          <w:rFonts w:ascii="Bookman Old Style"/>
          <w:b/>
          <w:color w:val="231F20"/>
          <w:w w:val="95"/>
        </w:rPr>
        <w:t>Most agencies that had </w:t>
      </w:r>
      <w:r>
        <w:rPr>
          <w:rFonts w:ascii="Bookman Old Style"/>
          <w:b/>
          <w:color w:val="231F20"/>
          <w:w w:val="90"/>
        </w:rPr>
        <w:t>implemented a syndromic surveillance </w:t>
      </w:r>
      <w:r>
        <w:rPr>
          <w:rFonts w:ascii="Bookman Old Style"/>
          <w:b/>
          <w:color w:val="231F20"/>
          <w:w w:val="85"/>
        </w:rPr>
        <w:t>system</w:t>
      </w:r>
      <w:r>
        <w:rPr>
          <w:rFonts w:ascii="Bookman Old Style"/>
          <w:b/>
          <w:color w:val="231F20"/>
          <w:spacing w:val="-34"/>
          <w:w w:val="85"/>
        </w:rPr>
        <w:t> </w:t>
      </w:r>
      <w:r>
        <w:rPr>
          <w:rFonts w:ascii="Bookman Old Style"/>
          <w:b/>
          <w:color w:val="231F20"/>
          <w:w w:val="85"/>
        </w:rPr>
        <w:t>used</w:t>
      </w:r>
      <w:r>
        <w:rPr>
          <w:rFonts w:ascii="Bookman Old Style"/>
          <w:b/>
          <w:color w:val="231F20"/>
          <w:spacing w:val="-34"/>
          <w:w w:val="85"/>
        </w:rPr>
        <w:t> </w:t>
      </w:r>
      <w:r>
        <w:rPr>
          <w:rFonts w:ascii="Bookman Old Style"/>
          <w:b/>
          <w:color w:val="231F20"/>
          <w:w w:val="85"/>
        </w:rPr>
        <w:t>deidentified</w:t>
      </w:r>
      <w:r>
        <w:rPr>
          <w:rFonts w:ascii="Bookman Old Style"/>
          <w:b/>
          <w:color w:val="231F20"/>
          <w:spacing w:val="-34"/>
          <w:w w:val="85"/>
        </w:rPr>
        <w:t> </w:t>
      </w:r>
      <w:r>
        <w:rPr>
          <w:rFonts w:ascii="Bookman Old Style"/>
          <w:b/>
          <w:color w:val="231F20"/>
          <w:w w:val="85"/>
        </w:rPr>
        <w:t>data,</w:t>
      </w:r>
      <w:r>
        <w:rPr>
          <w:rFonts w:ascii="Bookman Old Style"/>
          <w:b/>
          <w:color w:val="231F20"/>
          <w:spacing w:val="-34"/>
          <w:w w:val="85"/>
        </w:rPr>
        <w:t> </w:t>
      </w:r>
      <w:r>
        <w:rPr>
          <w:rFonts w:ascii="Bookman Old Style"/>
          <w:b/>
          <w:color w:val="231F20"/>
          <w:w w:val="85"/>
        </w:rPr>
        <w:t>which</w:t>
      </w:r>
      <w:r>
        <w:rPr>
          <w:rFonts w:ascii="Bookman Old Style"/>
          <w:b/>
          <w:color w:val="231F20"/>
          <w:spacing w:val="-34"/>
          <w:w w:val="85"/>
        </w:rPr>
        <w:t> </w:t>
      </w:r>
      <w:r>
        <w:rPr>
          <w:rFonts w:ascii="Bookman Old Style"/>
          <w:b/>
          <w:color w:val="231F20"/>
          <w:w w:val="85"/>
        </w:rPr>
        <w:t>slows</w:t>
      </w:r>
      <w:r>
        <w:rPr>
          <w:rFonts w:ascii="Bookman Old Style"/>
          <w:b/>
          <w:color w:val="231F20"/>
          <w:w w:val="84"/>
        </w:rPr>
        <w:t> </w:t>
      </w:r>
      <w:r>
        <w:rPr>
          <w:rFonts w:ascii="Bookman Old Style"/>
          <w:b/>
          <w:color w:val="231F20"/>
          <w:w w:val="85"/>
        </w:rPr>
        <w:t>investigations</w:t>
      </w:r>
      <w:r>
        <w:rPr>
          <w:rFonts w:ascii="Bookman Old Style"/>
          <w:b/>
          <w:color w:val="231F20"/>
          <w:spacing w:val="-31"/>
          <w:w w:val="85"/>
        </w:rPr>
        <w:t> </w:t>
      </w:r>
      <w:r>
        <w:rPr>
          <w:rFonts w:ascii="Bookman Old Style"/>
          <w:b/>
          <w:color w:val="231F20"/>
          <w:w w:val="85"/>
        </w:rPr>
        <w:t>of</w:t>
      </w:r>
      <w:r>
        <w:rPr>
          <w:rFonts w:ascii="Bookman Old Style"/>
          <w:b/>
          <w:color w:val="231F20"/>
          <w:spacing w:val="-16"/>
          <w:w w:val="85"/>
        </w:rPr>
        <w:t> </w:t>
      </w:r>
      <w:r>
        <w:rPr>
          <w:rFonts w:ascii="Bookman Old Style"/>
          <w:b/>
          <w:color w:val="231F20"/>
          <w:w w:val="85"/>
        </w:rPr>
        <w:t>positive</w:t>
      </w:r>
      <w:r>
        <w:rPr>
          <w:rFonts w:ascii="Bookman Old Style"/>
          <w:b/>
          <w:color w:val="231F20"/>
          <w:spacing w:val="-31"/>
          <w:w w:val="85"/>
        </w:rPr>
        <w:t> </w:t>
      </w:r>
      <w:r>
        <w:rPr>
          <w:rFonts w:ascii="Bookman Old Style"/>
          <w:b/>
          <w:color w:val="231F20"/>
          <w:w w:val="85"/>
        </w:rPr>
        <w:t>signals</w:t>
      </w:r>
      <w:r>
        <w:rPr>
          <w:rFonts w:ascii="Bookman Old Style"/>
          <w:b/>
          <w:color w:val="231F20"/>
          <w:spacing w:val="-31"/>
          <w:w w:val="85"/>
        </w:rPr>
        <w:t> </w:t>
      </w:r>
      <w:r>
        <w:rPr>
          <w:rFonts w:ascii="Bookman Old Style"/>
          <w:b/>
          <w:color w:val="231F20"/>
          <w:w w:val="85"/>
        </w:rPr>
        <w:t>from</w:t>
      </w:r>
      <w:r>
        <w:rPr>
          <w:rFonts w:ascii="Bookman Old Style"/>
          <w:b/>
          <w:color w:val="231F20"/>
          <w:spacing w:val="-31"/>
          <w:w w:val="85"/>
        </w:rPr>
        <w:t> </w:t>
      </w:r>
      <w:r>
        <w:rPr>
          <w:rFonts w:ascii="Bookman Old Style"/>
          <w:b/>
          <w:color w:val="231F20"/>
          <w:w w:val="85"/>
        </w:rPr>
        <w:t>the </w:t>
      </w:r>
      <w:r>
        <w:rPr>
          <w:rFonts w:ascii="Bookman Old Style"/>
          <w:b/>
          <w:color w:val="231F20"/>
          <w:w w:val="80"/>
        </w:rPr>
        <w:t>surveillance</w:t>
      </w:r>
      <w:r>
        <w:rPr>
          <w:rFonts w:ascii="Bookman Old Style"/>
          <w:b/>
          <w:color w:val="231F20"/>
          <w:spacing w:val="24"/>
          <w:w w:val="80"/>
        </w:rPr>
        <w:t> </w:t>
      </w:r>
      <w:r>
        <w:rPr>
          <w:rFonts w:ascii="Bookman Old Style"/>
          <w:b/>
          <w:color w:val="231F20"/>
          <w:w w:val="80"/>
        </w:rPr>
        <w:t>system.</w:t>
      </w:r>
      <w:r>
        <w:rPr>
          <w:rFonts w:ascii="Bookman Old Style"/>
          <w:b/>
          <w:color w:val="231F20"/>
          <w:w w:val="80"/>
          <w:position w:val="7"/>
          <w:sz w:val="11"/>
        </w:rPr>
        <w:t>17</w:t>
      </w:r>
    </w:p>
    <w:p>
      <w:pPr>
        <w:pStyle w:val="BodyText"/>
        <w:spacing w:line="254" w:lineRule="auto" w:before="176"/>
        <w:ind w:left="320" w:right="1576"/>
        <w:rPr>
          <w:rFonts w:ascii="Lucida Sans"/>
        </w:rPr>
      </w:pPr>
      <w:r>
        <w:rPr>
          <w:rFonts w:ascii="Lucida Sans"/>
          <w:color w:val="1C3E94"/>
          <w:w w:val="95"/>
        </w:rPr>
        <w:t>4.4.9.</w:t>
      </w:r>
      <w:r>
        <w:rPr>
          <w:rFonts w:ascii="Lucida Sans"/>
          <w:color w:val="1C3E94"/>
          <w:spacing w:val="-33"/>
          <w:w w:val="95"/>
        </w:rPr>
        <w:t> </w:t>
      </w:r>
      <w:r>
        <w:rPr>
          <w:rFonts w:ascii="Lucida Sans"/>
          <w:color w:val="1C3E94"/>
          <w:w w:val="95"/>
        </w:rPr>
        <w:t>Practices</w:t>
      </w:r>
      <w:r>
        <w:rPr>
          <w:rFonts w:ascii="Lucida Sans"/>
          <w:color w:val="1C3E94"/>
          <w:spacing w:val="-33"/>
          <w:w w:val="95"/>
        </w:rPr>
        <w:t> </w:t>
      </w:r>
      <w:r>
        <w:rPr>
          <w:rFonts w:ascii="Lucida Sans"/>
          <w:color w:val="1C3E94"/>
          <w:w w:val="95"/>
        </w:rPr>
        <w:t>for</w:t>
      </w:r>
      <w:r>
        <w:rPr>
          <w:rFonts w:ascii="Lucida Sans"/>
          <w:color w:val="1C3E94"/>
          <w:spacing w:val="-33"/>
          <w:w w:val="95"/>
        </w:rPr>
        <w:t> </w:t>
      </w:r>
      <w:r>
        <w:rPr>
          <w:rFonts w:ascii="Lucida Sans"/>
          <w:color w:val="1C3E94"/>
          <w:w w:val="95"/>
        </w:rPr>
        <w:t>Improving</w:t>
      </w:r>
      <w:r>
        <w:rPr>
          <w:rFonts w:ascii="Lucida Sans"/>
          <w:color w:val="1C3E94"/>
          <w:spacing w:val="-33"/>
          <w:w w:val="95"/>
        </w:rPr>
        <w:t> </w:t>
      </w:r>
      <w:r>
        <w:rPr>
          <w:rFonts w:ascii="Lucida Sans"/>
          <w:color w:val="1C3E94"/>
          <w:w w:val="95"/>
        </w:rPr>
        <w:t>Syndromic </w:t>
      </w:r>
      <w:r>
        <w:rPr>
          <w:rFonts w:ascii="Lucida Sans"/>
          <w:color w:val="1C3E94"/>
        </w:rPr>
        <w:t>Surveillance</w:t>
      </w:r>
    </w:p>
    <w:p>
      <w:pPr>
        <w:pStyle w:val="BodyText"/>
        <w:spacing w:line="259" w:lineRule="auto" w:before="185"/>
        <w:ind w:left="320" w:right="1522"/>
      </w:pPr>
      <w:r>
        <w:rPr>
          <w:rFonts w:ascii="Bookman Old Style"/>
          <w:b/>
          <w:color w:val="231F20"/>
          <w:w w:val="95"/>
        </w:rPr>
        <w:t>Because the usefulness of syndromic surveillance for detecting foodborne </w:t>
      </w:r>
      <w:r>
        <w:rPr>
          <w:rFonts w:ascii="Bookman Old Style"/>
          <w:b/>
          <w:color w:val="231F20"/>
          <w:w w:val="85"/>
        </w:rPr>
        <w:t>disease</w:t>
      </w:r>
      <w:r>
        <w:rPr>
          <w:rFonts w:ascii="Bookman Old Style"/>
          <w:b/>
          <w:color w:val="231F20"/>
          <w:spacing w:val="-33"/>
          <w:w w:val="85"/>
        </w:rPr>
        <w:t> </w:t>
      </w:r>
      <w:r>
        <w:rPr>
          <w:rFonts w:ascii="Bookman Old Style"/>
          <w:b/>
          <w:color w:val="231F20"/>
          <w:w w:val="85"/>
        </w:rPr>
        <w:t>events</w:t>
      </w:r>
      <w:r>
        <w:rPr>
          <w:rFonts w:ascii="Bookman Old Style"/>
          <w:b/>
          <w:color w:val="231F20"/>
          <w:spacing w:val="-33"/>
          <w:w w:val="85"/>
        </w:rPr>
        <w:t> </w:t>
      </w:r>
      <w:r>
        <w:rPr>
          <w:rFonts w:ascii="Bookman Old Style"/>
          <w:b/>
          <w:color w:val="231F20"/>
          <w:w w:val="85"/>
        </w:rPr>
        <w:t>has</w:t>
      </w:r>
      <w:r>
        <w:rPr>
          <w:rFonts w:ascii="Bookman Old Style"/>
          <w:b/>
          <w:color w:val="231F20"/>
          <w:spacing w:val="-33"/>
          <w:w w:val="85"/>
        </w:rPr>
        <w:t> </w:t>
      </w:r>
      <w:r>
        <w:rPr>
          <w:rFonts w:ascii="Bookman Old Style"/>
          <w:b/>
          <w:color w:val="231F20"/>
          <w:w w:val="85"/>
        </w:rPr>
        <w:t>not</w:t>
      </w:r>
      <w:r>
        <w:rPr>
          <w:rFonts w:ascii="Bookman Old Style"/>
          <w:b/>
          <w:color w:val="231F20"/>
          <w:spacing w:val="-33"/>
          <w:w w:val="85"/>
        </w:rPr>
        <w:t> </w:t>
      </w:r>
      <w:r>
        <w:rPr>
          <w:rFonts w:ascii="Bookman Old Style"/>
          <w:b/>
          <w:color w:val="231F20"/>
          <w:w w:val="85"/>
        </w:rPr>
        <w:t>been</w:t>
      </w:r>
      <w:r>
        <w:rPr>
          <w:rFonts w:ascii="Bookman Old Style"/>
          <w:b/>
          <w:color w:val="231F20"/>
          <w:spacing w:val="-33"/>
          <w:w w:val="85"/>
        </w:rPr>
        <w:t> </w:t>
      </w:r>
      <w:r>
        <w:rPr>
          <w:rFonts w:ascii="Bookman Old Style"/>
          <w:b/>
          <w:color w:val="231F20"/>
          <w:w w:val="85"/>
        </w:rPr>
        <w:t>demonstrated, </w:t>
      </w:r>
      <w:r>
        <w:rPr>
          <w:rFonts w:ascii="Bookman Old Style"/>
          <w:b/>
          <w:color w:val="231F20"/>
          <w:w w:val="90"/>
        </w:rPr>
        <w:t>the</w:t>
      </w:r>
      <w:r>
        <w:rPr>
          <w:rFonts w:ascii="Bookman Old Style"/>
          <w:b/>
          <w:color w:val="231F20"/>
          <w:spacing w:val="-46"/>
          <w:w w:val="90"/>
        </w:rPr>
        <w:t> </w:t>
      </w:r>
      <w:r>
        <w:rPr>
          <w:rFonts w:ascii="Bookman Old Style"/>
          <w:b/>
          <w:color w:val="231F20"/>
          <w:w w:val="90"/>
        </w:rPr>
        <w:t>need</w:t>
      </w:r>
      <w:r>
        <w:rPr>
          <w:rFonts w:ascii="Bookman Old Style"/>
          <w:b/>
          <w:color w:val="231F20"/>
          <w:spacing w:val="-46"/>
          <w:w w:val="90"/>
        </w:rPr>
        <w:t> </w:t>
      </w:r>
      <w:r>
        <w:rPr>
          <w:rFonts w:ascii="Bookman Old Style"/>
          <w:b/>
          <w:color w:val="231F20"/>
          <w:w w:val="90"/>
        </w:rPr>
        <w:t>for</w:t>
      </w:r>
      <w:r>
        <w:rPr>
          <w:rFonts w:ascii="Bookman Old Style"/>
          <w:b/>
          <w:color w:val="231F20"/>
          <w:spacing w:val="-46"/>
          <w:w w:val="90"/>
        </w:rPr>
        <w:t> </w:t>
      </w:r>
      <w:r>
        <w:rPr>
          <w:rFonts w:ascii="Bookman Old Style"/>
          <w:b/>
          <w:color w:val="231F20"/>
          <w:w w:val="90"/>
        </w:rPr>
        <w:t>additional</w:t>
      </w:r>
      <w:r>
        <w:rPr>
          <w:rFonts w:ascii="Bookman Old Style"/>
          <w:b/>
          <w:color w:val="231F20"/>
          <w:spacing w:val="-46"/>
          <w:w w:val="90"/>
        </w:rPr>
        <w:t> </w:t>
      </w:r>
      <w:r>
        <w:rPr>
          <w:rFonts w:ascii="Bookman Old Style"/>
          <w:b/>
          <w:color w:val="231F20"/>
          <w:w w:val="90"/>
        </w:rPr>
        <w:t>investment</w:t>
      </w:r>
      <w:r>
        <w:rPr>
          <w:rFonts w:ascii="Bookman Old Style"/>
          <w:b/>
          <w:color w:val="231F20"/>
          <w:spacing w:val="-46"/>
          <w:w w:val="90"/>
        </w:rPr>
        <w:t> </w:t>
      </w:r>
      <w:r>
        <w:rPr>
          <w:rFonts w:ascii="Bookman Old Style"/>
          <w:b/>
          <w:color w:val="231F20"/>
          <w:w w:val="90"/>
        </w:rPr>
        <w:t>is</w:t>
      </w:r>
      <w:r>
        <w:rPr>
          <w:rFonts w:ascii="Bookman Old Style"/>
          <w:b/>
          <w:color w:val="231F20"/>
          <w:spacing w:val="-46"/>
          <w:w w:val="90"/>
        </w:rPr>
        <w:t> </w:t>
      </w:r>
      <w:r>
        <w:rPr>
          <w:rFonts w:ascii="Bookman Old Style"/>
          <w:b/>
          <w:color w:val="231F20"/>
          <w:w w:val="90"/>
        </w:rPr>
        <w:t>not </w:t>
      </w:r>
      <w:r>
        <w:rPr>
          <w:rFonts w:ascii="Bookman Old Style"/>
          <w:b/>
          <w:color w:val="231F20"/>
          <w:spacing w:val="-4"/>
          <w:w w:val="85"/>
        </w:rPr>
        <w:t>clear,</w:t>
      </w:r>
      <w:r>
        <w:rPr>
          <w:rFonts w:ascii="Bookman Old Style"/>
          <w:b/>
          <w:color w:val="231F20"/>
          <w:spacing w:val="-28"/>
          <w:w w:val="85"/>
        </w:rPr>
        <w:t> </w:t>
      </w:r>
      <w:r>
        <w:rPr>
          <w:rFonts w:ascii="Bookman Old Style"/>
          <w:b/>
          <w:color w:val="231F20"/>
          <w:w w:val="85"/>
        </w:rPr>
        <w:t>especially</w:t>
      </w:r>
      <w:r>
        <w:rPr>
          <w:rFonts w:ascii="Bookman Old Style"/>
          <w:b/>
          <w:color w:val="231F20"/>
          <w:spacing w:val="-28"/>
          <w:w w:val="85"/>
        </w:rPr>
        <w:t> </w:t>
      </w:r>
      <w:r>
        <w:rPr>
          <w:rFonts w:ascii="Bookman Old Style"/>
          <w:b/>
          <w:color w:val="231F20"/>
          <w:w w:val="85"/>
        </w:rPr>
        <w:t>if</w:t>
      </w:r>
      <w:r>
        <w:rPr>
          <w:rFonts w:ascii="Bookman Old Style"/>
          <w:b/>
          <w:color w:val="231F20"/>
          <w:spacing w:val="-11"/>
          <w:w w:val="85"/>
        </w:rPr>
        <w:t> </w:t>
      </w:r>
      <w:r>
        <w:rPr>
          <w:rFonts w:ascii="Bookman Old Style"/>
          <w:b/>
          <w:color w:val="231F20"/>
          <w:w w:val="85"/>
        </w:rPr>
        <w:t>these</w:t>
      </w:r>
      <w:r>
        <w:rPr>
          <w:rFonts w:ascii="Bookman Old Style"/>
          <w:b/>
          <w:color w:val="231F20"/>
          <w:spacing w:val="-28"/>
          <w:w w:val="85"/>
        </w:rPr>
        <w:t> </w:t>
      </w:r>
      <w:r>
        <w:rPr>
          <w:rFonts w:ascii="Bookman Old Style"/>
          <w:b/>
          <w:color w:val="231F20"/>
          <w:w w:val="85"/>
        </w:rPr>
        <w:t>systems</w:t>
      </w:r>
      <w:r>
        <w:rPr>
          <w:rFonts w:ascii="Bookman Old Style"/>
          <w:b/>
          <w:color w:val="231F20"/>
          <w:spacing w:val="-28"/>
          <w:w w:val="85"/>
        </w:rPr>
        <w:t> </w:t>
      </w:r>
      <w:r>
        <w:rPr>
          <w:rFonts w:ascii="Bookman Old Style"/>
          <w:b/>
          <w:color w:val="231F20"/>
          <w:w w:val="85"/>
        </w:rPr>
        <w:t>compete </w:t>
      </w:r>
      <w:r>
        <w:rPr>
          <w:rFonts w:ascii="Bookman Old Style"/>
          <w:b/>
          <w:color w:val="231F20"/>
        </w:rPr>
        <w:t>for resources with underresourced </w:t>
      </w:r>
      <w:r>
        <w:rPr>
          <w:rFonts w:ascii="Bookman Old Style"/>
          <w:b/>
          <w:color w:val="231F20"/>
          <w:w w:val="90"/>
        </w:rPr>
        <w:t>standard</w:t>
      </w:r>
      <w:r>
        <w:rPr>
          <w:rFonts w:ascii="Bookman Old Style"/>
          <w:b/>
          <w:color w:val="231F20"/>
          <w:spacing w:val="-35"/>
          <w:w w:val="90"/>
        </w:rPr>
        <w:t> </w:t>
      </w:r>
      <w:r>
        <w:rPr>
          <w:rFonts w:ascii="Bookman Old Style"/>
          <w:b/>
          <w:color w:val="231F20"/>
          <w:w w:val="90"/>
        </w:rPr>
        <w:t>surveillance</w:t>
      </w:r>
      <w:r>
        <w:rPr>
          <w:rFonts w:ascii="Bookman Old Style"/>
          <w:b/>
          <w:color w:val="231F20"/>
          <w:spacing w:val="-35"/>
          <w:w w:val="90"/>
        </w:rPr>
        <w:t> </w:t>
      </w:r>
      <w:r>
        <w:rPr>
          <w:rFonts w:ascii="Bookman Old Style"/>
          <w:b/>
          <w:color w:val="231F20"/>
          <w:w w:val="90"/>
        </w:rPr>
        <w:t>systems.</w:t>
      </w:r>
      <w:r>
        <w:rPr>
          <w:rFonts w:ascii="Bookman Old Style"/>
          <w:b/>
          <w:color w:val="231F20"/>
          <w:spacing w:val="-38"/>
          <w:w w:val="90"/>
        </w:rPr>
        <w:t> </w:t>
      </w:r>
      <w:r>
        <w:rPr>
          <w:color w:val="231F20"/>
          <w:w w:val="90"/>
        </w:rPr>
        <w:t>If an</w:t>
      </w:r>
      <w:r>
        <w:rPr>
          <w:color w:val="231F20"/>
          <w:spacing w:val="-17"/>
          <w:w w:val="90"/>
        </w:rPr>
        <w:t> </w:t>
      </w:r>
      <w:r>
        <w:rPr>
          <w:color w:val="231F20"/>
          <w:w w:val="90"/>
        </w:rPr>
        <w:t>agency </w:t>
      </w:r>
      <w:r>
        <w:rPr>
          <w:color w:val="231F20"/>
        </w:rPr>
        <w:t>implements or seeks to improve a syndromic surveillance system, it needs to consider the following</w:t>
      </w:r>
      <w:r>
        <w:rPr>
          <w:color w:val="231F20"/>
          <w:spacing w:val="31"/>
        </w:rPr>
        <w:t> </w:t>
      </w:r>
      <w:r>
        <w:rPr>
          <w:color w:val="231F20"/>
        </w:rPr>
        <w:t>practices:</w:t>
      </w:r>
    </w:p>
    <w:p>
      <w:pPr>
        <w:pStyle w:val="ListParagraph"/>
        <w:numPr>
          <w:ilvl w:val="0"/>
          <w:numId w:val="11"/>
        </w:numPr>
        <w:tabs>
          <w:tab w:pos="491" w:val="left" w:leader="none"/>
        </w:tabs>
        <w:spacing w:line="266" w:lineRule="auto" w:before="186" w:after="0"/>
        <w:ind w:left="490" w:right="1794" w:hanging="170"/>
        <w:jc w:val="both"/>
        <w:rPr>
          <w:sz w:val="20"/>
        </w:rPr>
      </w:pPr>
      <w:r>
        <w:rPr>
          <w:color w:val="231F20"/>
          <w:w w:val="105"/>
          <w:sz w:val="20"/>
        </w:rPr>
        <w:t>Better</w:t>
      </w:r>
      <w:r>
        <w:rPr>
          <w:color w:val="231F20"/>
          <w:spacing w:val="-14"/>
          <w:w w:val="105"/>
          <w:sz w:val="20"/>
        </w:rPr>
        <w:t> </w:t>
      </w:r>
      <w:r>
        <w:rPr>
          <w:color w:val="231F20"/>
          <w:w w:val="105"/>
          <w:sz w:val="20"/>
        </w:rPr>
        <w:t>electronic</w:t>
      </w:r>
      <w:r>
        <w:rPr>
          <w:color w:val="231F20"/>
          <w:spacing w:val="-14"/>
          <w:w w:val="105"/>
          <w:sz w:val="20"/>
        </w:rPr>
        <w:t> </w:t>
      </w:r>
      <w:r>
        <w:rPr>
          <w:color w:val="231F20"/>
          <w:w w:val="105"/>
          <w:sz w:val="20"/>
        </w:rPr>
        <w:t>and</w:t>
      </w:r>
      <w:r>
        <w:rPr>
          <w:color w:val="231F20"/>
          <w:spacing w:val="-14"/>
          <w:w w:val="105"/>
          <w:sz w:val="20"/>
        </w:rPr>
        <w:t> </w:t>
      </w:r>
      <w:r>
        <w:rPr>
          <w:color w:val="231F20"/>
          <w:w w:val="105"/>
          <w:sz w:val="20"/>
        </w:rPr>
        <w:t>process</w:t>
      </w:r>
      <w:r>
        <w:rPr>
          <w:color w:val="231F20"/>
          <w:spacing w:val="-14"/>
          <w:w w:val="105"/>
          <w:sz w:val="20"/>
        </w:rPr>
        <w:t> </w:t>
      </w:r>
      <w:r>
        <w:rPr>
          <w:color w:val="231F20"/>
          <w:w w:val="105"/>
          <w:sz w:val="20"/>
        </w:rPr>
        <w:t>integration with</w:t>
      </w:r>
      <w:r>
        <w:rPr>
          <w:color w:val="231F20"/>
          <w:spacing w:val="-18"/>
          <w:w w:val="105"/>
          <w:sz w:val="20"/>
        </w:rPr>
        <w:t> </w:t>
      </w:r>
      <w:r>
        <w:rPr>
          <w:color w:val="231F20"/>
          <w:w w:val="105"/>
          <w:sz w:val="20"/>
        </w:rPr>
        <w:t>standard</w:t>
      </w:r>
      <w:r>
        <w:rPr>
          <w:color w:val="231F20"/>
          <w:spacing w:val="-18"/>
          <w:w w:val="105"/>
          <w:sz w:val="20"/>
        </w:rPr>
        <w:t> </w:t>
      </w:r>
      <w:r>
        <w:rPr>
          <w:color w:val="231F20"/>
          <w:w w:val="105"/>
          <w:sz w:val="20"/>
        </w:rPr>
        <w:t>surveillance</w:t>
      </w:r>
      <w:r>
        <w:rPr>
          <w:color w:val="231F20"/>
          <w:spacing w:val="-20"/>
          <w:w w:val="105"/>
          <w:sz w:val="20"/>
        </w:rPr>
        <w:t> </w:t>
      </w:r>
      <w:r>
        <w:rPr>
          <w:color w:val="231F20"/>
          <w:w w:val="105"/>
          <w:sz w:val="20"/>
        </w:rPr>
        <w:t>systems</w:t>
      </w:r>
      <w:r>
        <w:rPr>
          <w:color w:val="231F20"/>
          <w:spacing w:val="-18"/>
          <w:w w:val="105"/>
          <w:sz w:val="20"/>
        </w:rPr>
        <w:t> </w:t>
      </w:r>
      <w:r>
        <w:rPr>
          <w:color w:val="231F20"/>
          <w:w w:val="105"/>
          <w:sz w:val="20"/>
        </w:rPr>
        <w:t>might </w:t>
      </w:r>
      <w:r>
        <w:rPr>
          <w:color w:val="231F20"/>
          <w:sz w:val="20"/>
        </w:rPr>
        <w:t>improve</w:t>
      </w:r>
      <w:r>
        <w:rPr>
          <w:color w:val="231F20"/>
          <w:spacing w:val="5"/>
          <w:sz w:val="20"/>
        </w:rPr>
        <w:t> </w:t>
      </w:r>
      <w:r>
        <w:rPr>
          <w:color w:val="231F20"/>
          <w:sz w:val="20"/>
        </w:rPr>
        <w:t>usefulness.</w:t>
      </w:r>
    </w:p>
    <w:p>
      <w:pPr>
        <w:pStyle w:val="ListParagraph"/>
        <w:numPr>
          <w:ilvl w:val="0"/>
          <w:numId w:val="11"/>
        </w:numPr>
        <w:tabs>
          <w:tab w:pos="491" w:val="left" w:leader="none"/>
        </w:tabs>
        <w:spacing w:line="266" w:lineRule="auto" w:before="180" w:after="0"/>
        <w:ind w:left="490" w:right="1533" w:hanging="170"/>
        <w:jc w:val="left"/>
        <w:rPr>
          <w:sz w:val="20"/>
        </w:rPr>
      </w:pPr>
      <w:r>
        <w:rPr>
          <w:color w:val="231F20"/>
          <w:w w:val="105"/>
          <w:sz w:val="20"/>
        </w:rPr>
        <w:t>Syndromic</w:t>
      </w:r>
      <w:r>
        <w:rPr>
          <w:color w:val="231F20"/>
          <w:spacing w:val="-11"/>
          <w:w w:val="105"/>
          <w:sz w:val="20"/>
        </w:rPr>
        <w:t> </w:t>
      </w:r>
      <w:r>
        <w:rPr>
          <w:color w:val="231F20"/>
          <w:w w:val="105"/>
          <w:sz w:val="20"/>
        </w:rPr>
        <w:t>surveillance</w:t>
      </w:r>
      <w:r>
        <w:rPr>
          <w:color w:val="231F20"/>
          <w:spacing w:val="-12"/>
          <w:w w:val="105"/>
          <w:sz w:val="20"/>
        </w:rPr>
        <w:t> </w:t>
      </w:r>
      <w:r>
        <w:rPr>
          <w:color w:val="231F20"/>
          <w:w w:val="105"/>
          <w:sz w:val="20"/>
        </w:rPr>
        <w:t>data</w:t>
      </w:r>
      <w:r>
        <w:rPr>
          <w:color w:val="231F20"/>
          <w:spacing w:val="-11"/>
          <w:w w:val="105"/>
          <w:sz w:val="20"/>
        </w:rPr>
        <w:t> </w:t>
      </w:r>
      <w:r>
        <w:rPr>
          <w:color w:val="231F20"/>
          <w:w w:val="105"/>
          <w:sz w:val="20"/>
        </w:rPr>
        <w:t>are</w:t>
      </w:r>
      <w:r>
        <w:rPr>
          <w:color w:val="231F20"/>
          <w:spacing w:val="-10"/>
          <w:w w:val="105"/>
          <w:sz w:val="20"/>
        </w:rPr>
        <w:t> </w:t>
      </w:r>
      <w:r>
        <w:rPr>
          <w:color w:val="231F20"/>
          <w:w w:val="105"/>
          <w:sz w:val="20"/>
        </w:rPr>
        <w:t>most</w:t>
      </w:r>
      <w:r>
        <w:rPr>
          <w:color w:val="231F20"/>
          <w:spacing w:val="-10"/>
          <w:w w:val="105"/>
          <w:sz w:val="20"/>
        </w:rPr>
        <w:t> </w:t>
      </w:r>
      <w:r>
        <w:rPr>
          <w:color w:val="231F20"/>
          <w:w w:val="105"/>
          <w:sz w:val="20"/>
        </w:rPr>
        <w:t>useful when</w:t>
      </w:r>
      <w:r>
        <w:rPr>
          <w:color w:val="231F20"/>
          <w:spacing w:val="-13"/>
          <w:w w:val="105"/>
          <w:sz w:val="20"/>
        </w:rPr>
        <w:t> </w:t>
      </w:r>
      <w:r>
        <w:rPr>
          <w:color w:val="231F20"/>
          <w:w w:val="105"/>
          <w:sz w:val="20"/>
        </w:rPr>
        <w:t>corroborated</w:t>
      </w:r>
      <w:r>
        <w:rPr>
          <w:color w:val="231F20"/>
          <w:spacing w:val="-14"/>
          <w:w w:val="105"/>
          <w:sz w:val="20"/>
        </w:rPr>
        <w:t> </w:t>
      </w:r>
      <w:r>
        <w:rPr>
          <w:color w:val="231F20"/>
          <w:w w:val="105"/>
          <w:sz w:val="20"/>
        </w:rPr>
        <w:t>with</w:t>
      </w:r>
      <w:r>
        <w:rPr>
          <w:color w:val="231F20"/>
          <w:spacing w:val="-13"/>
          <w:w w:val="105"/>
          <w:sz w:val="20"/>
        </w:rPr>
        <w:t> </w:t>
      </w:r>
      <w:r>
        <w:rPr>
          <w:color w:val="231F20"/>
          <w:w w:val="105"/>
          <w:sz w:val="20"/>
        </w:rPr>
        <w:t>data</w:t>
      </w:r>
      <w:r>
        <w:rPr>
          <w:color w:val="231F20"/>
          <w:spacing w:val="-14"/>
          <w:w w:val="105"/>
          <w:sz w:val="20"/>
        </w:rPr>
        <w:t> </w:t>
      </w:r>
      <w:r>
        <w:rPr>
          <w:color w:val="231F20"/>
          <w:w w:val="105"/>
          <w:sz w:val="20"/>
        </w:rPr>
        <w:t>from</w:t>
      </w:r>
      <w:r>
        <w:rPr>
          <w:color w:val="231F20"/>
          <w:spacing w:val="-14"/>
          <w:w w:val="105"/>
          <w:sz w:val="20"/>
        </w:rPr>
        <w:t> </w:t>
      </w:r>
      <w:r>
        <w:rPr>
          <w:color w:val="231F20"/>
          <w:w w:val="105"/>
          <w:sz w:val="20"/>
        </w:rPr>
        <w:t>multiple sources </w:t>
      </w:r>
      <w:r>
        <w:rPr>
          <w:color w:val="231F20"/>
          <w:spacing w:val="-4"/>
          <w:w w:val="105"/>
          <w:sz w:val="20"/>
        </w:rPr>
        <w:t>(e.g., </w:t>
      </w:r>
      <w:r>
        <w:rPr>
          <w:color w:val="231F20"/>
          <w:w w:val="105"/>
          <w:sz w:val="20"/>
        </w:rPr>
        <w:t>increased sales of over-the- counter diarrheal medicines</w:t>
      </w:r>
      <w:r>
        <w:rPr>
          <w:color w:val="231F20"/>
          <w:spacing w:val="-36"/>
          <w:w w:val="105"/>
          <w:sz w:val="20"/>
        </w:rPr>
        <w:t> </w:t>
      </w:r>
      <w:r>
        <w:rPr>
          <w:color w:val="231F20"/>
          <w:w w:val="105"/>
          <w:sz w:val="20"/>
        </w:rPr>
        <w:t>associated</w:t>
      </w:r>
    </w:p>
    <w:p>
      <w:pPr>
        <w:pStyle w:val="BodyText"/>
        <w:spacing w:line="266" w:lineRule="auto"/>
        <w:ind w:left="490" w:right="1553"/>
      </w:pPr>
      <w:r>
        <w:rPr>
          <w:color w:val="231F20"/>
        </w:rPr>
        <w:t>with a rise in emergency department chief complaints of diarrhea). As historical data accumulate, fine-tuning detection algorithms to reduce false-positive signals might be possible.</w:t>
      </w:r>
    </w:p>
    <w:p>
      <w:pPr>
        <w:spacing w:after="0" w:line="266" w:lineRule="auto"/>
        <w:sectPr>
          <w:type w:val="continuous"/>
          <w:pgSz w:w="10080" w:h="14400"/>
          <w:pgMar w:top="0" w:bottom="0" w:left="0" w:right="0"/>
          <w:cols w:num="2" w:equalWidth="0">
            <w:col w:w="4500" w:space="40"/>
            <w:col w:w="5540"/>
          </w:cols>
        </w:sectPr>
      </w:pPr>
    </w:p>
    <w:p>
      <w:pPr>
        <w:pStyle w:val="BodyText"/>
        <w:spacing w:before="8"/>
        <w:rPr>
          <w:sz w:val="10"/>
        </w:rPr>
      </w:pPr>
    </w:p>
    <w:p>
      <w:pPr>
        <w:pStyle w:val="Heading1"/>
      </w:pPr>
      <w:r>
        <w:rPr/>
        <w:pict>
          <v:line style="position:absolute;mso-position-horizontal-relative:page;mso-position-vertical-relative:paragraph;z-index:4624;mso-wrap-distance-left:0;mso-wrap-distance-right:0" from="72pt,23.995163pt" to="468pt,23.995163pt" stroked="true" strokeweight=".5pt" strokecolor="#00a94f">
            <v:stroke dashstyle="solid"/>
            <w10:wrap type="topAndBottom"/>
          </v:line>
        </w:pict>
      </w:r>
      <w:r>
        <w:rPr>
          <w:color w:val="00A94F"/>
          <w:w w:val="90"/>
        </w:rPr>
        <w:t>4.5. References</w:t>
      </w:r>
    </w:p>
    <w:p>
      <w:pPr>
        <w:pStyle w:val="BodyText"/>
        <w:spacing w:before="1"/>
        <w:rPr>
          <w:rFonts w:ascii="Lucida Sans"/>
          <w:sz w:val="18"/>
        </w:rPr>
      </w:pPr>
    </w:p>
    <w:p>
      <w:pPr>
        <w:spacing w:after="0"/>
        <w:rPr>
          <w:rFonts w:ascii="Lucida Sans"/>
          <w:sz w:val="18"/>
        </w:rPr>
        <w:sectPr>
          <w:pgSz w:w="10080" w:h="14400"/>
          <w:pgMar w:header="0" w:footer="0" w:top="1160" w:bottom="280" w:left="0" w:right="0"/>
        </w:sectPr>
      </w:pPr>
    </w:p>
    <w:p>
      <w:pPr>
        <w:pStyle w:val="ListParagraph"/>
        <w:numPr>
          <w:ilvl w:val="0"/>
          <w:numId w:val="26"/>
        </w:numPr>
        <w:tabs>
          <w:tab w:pos="1603" w:val="left" w:leader="none"/>
        </w:tabs>
        <w:spacing w:line="264" w:lineRule="auto" w:before="111" w:after="0"/>
        <w:ind w:left="1602" w:right="208" w:hanging="162"/>
        <w:jc w:val="left"/>
        <w:rPr>
          <w:sz w:val="17"/>
        </w:rPr>
      </w:pPr>
      <w:r>
        <w:rPr>
          <w:color w:val="231F20"/>
          <w:sz w:val="17"/>
        </w:rPr>
        <w:t>Kupferschmidt</w:t>
      </w:r>
      <w:r>
        <w:rPr>
          <w:color w:val="231F20"/>
          <w:spacing w:val="-11"/>
          <w:sz w:val="17"/>
        </w:rPr>
        <w:t> </w:t>
      </w:r>
      <w:r>
        <w:rPr>
          <w:color w:val="231F20"/>
          <w:sz w:val="17"/>
        </w:rPr>
        <w:t>K.</w:t>
      </w:r>
      <w:r>
        <w:rPr>
          <w:color w:val="231F20"/>
          <w:spacing w:val="-11"/>
          <w:sz w:val="17"/>
        </w:rPr>
        <w:t> </w:t>
      </w:r>
      <w:r>
        <w:rPr>
          <w:color w:val="231F20"/>
          <w:sz w:val="17"/>
        </w:rPr>
        <w:t>Outbreak</w:t>
      </w:r>
      <w:r>
        <w:rPr>
          <w:color w:val="231F20"/>
          <w:spacing w:val="-11"/>
          <w:sz w:val="17"/>
        </w:rPr>
        <w:t> </w:t>
      </w:r>
      <w:r>
        <w:rPr>
          <w:color w:val="231F20"/>
          <w:sz w:val="17"/>
        </w:rPr>
        <w:t>detectives</w:t>
      </w:r>
      <w:r>
        <w:rPr>
          <w:color w:val="231F20"/>
          <w:spacing w:val="-11"/>
          <w:sz w:val="17"/>
        </w:rPr>
        <w:t> </w:t>
      </w:r>
      <w:r>
        <w:rPr>
          <w:color w:val="231F20"/>
          <w:sz w:val="17"/>
        </w:rPr>
        <w:t>embrace</w:t>
      </w:r>
      <w:r>
        <w:rPr>
          <w:color w:val="231F20"/>
          <w:spacing w:val="-11"/>
          <w:sz w:val="17"/>
        </w:rPr>
        <w:t> </w:t>
      </w:r>
      <w:r>
        <w:rPr>
          <w:color w:val="231F20"/>
          <w:sz w:val="17"/>
        </w:rPr>
        <w:t>the genome era. Science</w:t>
      </w:r>
      <w:r>
        <w:rPr>
          <w:color w:val="231F20"/>
          <w:spacing w:val="29"/>
          <w:sz w:val="17"/>
        </w:rPr>
        <w:t> </w:t>
      </w:r>
      <w:r>
        <w:rPr>
          <w:color w:val="231F20"/>
          <w:sz w:val="17"/>
        </w:rPr>
        <w:t>2011;333:1818–9.</w:t>
      </w:r>
    </w:p>
    <w:p>
      <w:pPr>
        <w:pStyle w:val="ListParagraph"/>
        <w:numPr>
          <w:ilvl w:val="0"/>
          <w:numId w:val="26"/>
        </w:numPr>
        <w:tabs>
          <w:tab w:pos="1563" w:val="left" w:leader="none"/>
        </w:tabs>
        <w:spacing w:line="264" w:lineRule="auto" w:before="86" w:after="0"/>
        <w:ind w:left="1562" w:right="4" w:hanging="122"/>
        <w:jc w:val="left"/>
        <w:rPr>
          <w:sz w:val="17"/>
        </w:rPr>
      </w:pPr>
      <w:r>
        <w:rPr>
          <w:color w:val="231F20"/>
          <w:sz w:val="17"/>
        </w:rPr>
        <w:t>Guerrant RL, </w:t>
      </w:r>
      <w:r>
        <w:rPr>
          <w:color w:val="231F20"/>
          <w:spacing w:val="-7"/>
          <w:sz w:val="17"/>
        </w:rPr>
        <w:t>Van </w:t>
      </w:r>
      <w:r>
        <w:rPr>
          <w:color w:val="231F20"/>
          <w:sz w:val="17"/>
        </w:rPr>
        <w:t>Gilder </w:t>
      </w:r>
      <w:r>
        <w:rPr>
          <w:color w:val="231F20"/>
          <w:spacing w:val="-13"/>
          <w:sz w:val="17"/>
        </w:rPr>
        <w:t>T, </w:t>
      </w:r>
      <w:r>
        <w:rPr>
          <w:color w:val="231F20"/>
          <w:spacing w:val="-3"/>
          <w:sz w:val="17"/>
        </w:rPr>
        <w:t>Steiner, </w:t>
      </w:r>
      <w:r>
        <w:rPr>
          <w:color w:val="231F20"/>
          <w:sz w:val="17"/>
        </w:rPr>
        <w:t>TS, et al. Practical guidelines for the management of infectious diarrhea. Clin infect Dis 2001;32:331–50.</w:t>
      </w:r>
    </w:p>
    <w:p>
      <w:pPr>
        <w:pStyle w:val="ListParagraph"/>
        <w:numPr>
          <w:ilvl w:val="0"/>
          <w:numId w:val="26"/>
        </w:numPr>
        <w:tabs>
          <w:tab w:pos="1563" w:val="left" w:leader="none"/>
        </w:tabs>
        <w:spacing w:line="264" w:lineRule="auto" w:before="86" w:after="0"/>
        <w:ind w:left="1562" w:right="157" w:hanging="122"/>
        <w:jc w:val="left"/>
        <w:rPr>
          <w:sz w:val="17"/>
        </w:rPr>
      </w:pPr>
      <w:r>
        <w:rPr>
          <w:color w:val="231F20"/>
          <w:sz w:val="17"/>
        </w:rPr>
        <w:t>American Medical Association, American Nursing Association, CDC, </w:t>
      </w:r>
      <w:r>
        <w:rPr>
          <w:color w:val="231F20"/>
          <w:spacing w:val="-4"/>
          <w:sz w:val="17"/>
        </w:rPr>
        <w:t>FDA, </w:t>
      </w:r>
      <w:r>
        <w:rPr>
          <w:color w:val="231F20"/>
          <w:sz w:val="17"/>
        </w:rPr>
        <w:t>USDA/FSIS. Diagnosis and</w:t>
      </w:r>
      <w:r>
        <w:rPr>
          <w:color w:val="231F20"/>
          <w:spacing w:val="-10"/>
          <w:sz w:val="17"/>
        </w:rPr>
        <w:t> </w:t>
      </w:r>
      <w:r>
        <w:rPr>
          <w:color w:val="231F20"/>
          <w:sz w:val="17"/>
        </w:rPr>
        <w:t>management</w:t>
      </w:r>
      <w:r>
        <w:rPr>
          <w:color w:val="231F20"/>
          <w:spacing w:val="-10"/>
          <w:sz w:val="17"/>
        </w:rPr>
        <w:t> </w:t>
      </w:r>
      <w:r>
        <w:rPr>
          <w:color w:val="231F20"/>
          <w:sz w:val="17"/>
        </w:rPr>
        <w:t>of</w:t>
      </w:r>
      <w:r>
        <w:rPr>
          <w:color w:val="231F20"/>
          <w:spacing w:val="10"/>
          <w:sz w:val="17"/>
        </w:rPr>
        <w:t> </w:t>
      </w:r>
      <w:r>
        <w:rPr>
          <w:color w:val="231F20"/>
          <w:sz w:val="17"/>
        </w:rPr>
        <w:t>foodborne</w:t>
      </w:r>
      <w:r>
        <w:rPr>
          <w:color w:val="231F20"/>
          <w:spacing w:val="-10"/>
          <w:sz w:val="17"/>
        </w:rPr>
        <w:t> </w:t>
      </w:r>
      <w:r>
        <w:rPr>
          <w:color w:val="231F20"/>
          <w:sz w:val="17"/>
        </w:rPr>
        <w:t>illnesses:</w:t>
      </w:r>
      <w:r>
        <w:rPr>
          <w:color w:val="231F20"/>
          <w:spacing w:val="-10"/>
          <w:sz w:val="17"/>
        </w:rPr>
        <w:t> </w:t>
      </w:r>
      <w:r>
        <w:rPr>
          <w:color w:val="231F20"/>
          <w:sz w:val="17"/>
        </w:rPr>
        <w:t>a</w:t>
      </w:r>
      <w:r>
        <w:rPr>
          <w:color w:val="231F20"/>
          <w:spacing w:val="-10"/>
          <w:sz w:val="17"/>
        </w:rPr>
        <w:t> </w:t>
      </w:r>
      <w:r>
        <w:rPr>
          <w:color w:val="231F20"/>
          <w:sz w:val="17"/>
        </w:rPr>
        <w:t>primer</w:t>
      </w:r>
      <w:r>
        <w:rPr>
          <w:color w:val="231F20"/>
          <w:spacing w:val="-10"/>
          <w:sz w:val="17"/>
        </w:rPr>
        <w:t> </w:t>
      </w:r>
      <w:r>
        <w:rPr>
          <w:color w:val="231F20"/>
          <w:sz w:val="17"/>
        </w:rPr>
        <w:t>for</w:t>
      </w:r>
    </w:p>
    <w:p>
      <w:pPr>
        <w:spacing w:line="264" w:lineRule="auto" w:before="0"/>
        <w:ind w:left="1562" w:right="26" w:firstLine="0"/>
        <w:jc w:val="left"/>
        <w:rPr>
          <w:sz w:val="17"/>
        </w:rPr>
      </w:pPr>
      <w:r>
        <w:rPr>
          <w:color w:val="231F20"/>
          <w:w w:val="105"/>
          <w:sz w:val="17"/>
        </w:rPr>
        <w:t>physicians</w:t>
      </w:r>
      <w:r>
        <w:rPr>
          <w:color w:val="231F20"/>
          <w:spacing w:val="-31"/>
          <w:w w:val="105"/>
          <w:sz w:val="17"/>
        </w:rPr>
        <w:t> </w:t>
      </w:r>
      <w:r>
        <w:rPr>
          <w:color w:val="231F20"/>
          <w:w w:val="105"/>
          <w:sz w:val="17"/>
        </w:rPr>
        <w:t>and</w:t>
      </w:r>
      <w:r>
        <w:rPr>
          <w:color w:val="231F20"/>
          <w:spacing w:val="-31"/>
          <w:w w:val="105"/>
          <w:sz w:val="17"/>
        </w:rPr>
        <w:t> </w:t>
      </w:r>
      <w:r>
        <w:rPr>
          <w:color w:val="231F20"/>
          <w:w w:val="105"/>
          <w:sz w:val="17"/>
        </w:rPr>
        <w:t>other</w:t>
      </w:r>
      <w:r>
        <w:rPr>
          <w:color w:val="231F20"/>
          <w:spacing w:val="-31"/>
          <w:w w:val="105"/>
          <w:sz w:val="17"/>
        </w:rPr>
        <w:t> </w:t>
      </w:r>
      <w:r>
        <w:rPr>
          <w:color w:val="231F20"/>
          <w:w w:val="105"/>
          <w:sz w:val="17"/>
        </w:rPr>
        <w:t>health</w:t>
      </w:r>
      <w:r>
        <w:rPr>
          <w:color w:val="231F20"/>
          <w:spacing w:val="-31"/>
          <w:w w:val="105"/>
          <w:sz w:val="17"/>
        </w:rPr>
        <w:t> </w:t>
      </w:r>
      <w:r>
        <w:rPr>
          <w:color w:val="231F20"/>
          <w:w w:val="105"/>
          <w:sz w:val="17"/>
        </w:rPr>
        <w:t>care</w:t>
      </w:r>
      <w:r>
        <w:rPr>
          <w:color w:val="231F20"/>
          <w:spacing w:val="-31"/>
          <w:w w:val="105"/>
          <w:sz w:val="17"/>
        </w:rPr>
        <w:t> </w:t>
      </w:r>
      <w:r>
        <w:rPr>
          <w:color w:val="231F20"/>
          <w:w w:val="105"/>
          <w:sz w:val="17"/>
        </w:rPr>
        <w:t>providers.</w:t>
      </w:r>
      <w:r>
        <w:rPr>
          <w:color w:val="231F20"/>
          <w:spacing w:val="-31"/>
          <w:w w:val="105"/>
          <w:sz w:val="17"/>
        </w:rPr>
        <w:t> </w:t>
      </w:r>
      <w:r>
        <w:rPr>
          <w:color w:val="231F20"/>
          <w:w w:val="105"/>
          <w:sz w:val="17"/>
        </w:rPr>
        <w:t>Available</w:t>
      </w:r>
      <w:r>
        <w:rPr>
          <w:color w:val="231F20"/>
          <w:spacing w:val="-31"/>
          <w:w w:val="105"/>
          <w:sz w:val="17"/>
        </w:rPr>
        <w:t> </w:t>
      </w:r>
      <w:r>
        <w:rPr>
          <w:color w:val="231F20"/>
          <w:w w:val="105"/>
          <w:sz w:val="17"/>
        </w:rPr>
        <w:t>at </w:t>
      </w:r>
      <w:hyperlink r:id="rId21">
        <w:r>
          <w:rPr>
            <w:color w:val="0079C1"/>
            <w:w w:val="105"/>
            <w:sz w:val="17"/>
          </w:rPr>
          <w:t>www.cdc.gov/mmwr/pdf/rr/rr5304.pdf</w:t>
        </w:r>
      </w:hyperlink>
      <w:r>
        <w:rPr>
          <w:color w:val="0079C1"/>
          <w:w w:val="105"/>
          <w:sz w:val="17"/>
        </w:rPr>
        <w:t> </w:t>
      </w:r>
      <w:r>
        <w:rPr>
          <w:color w:val="231F20"/>
          <w:w w:val="105"/>
          <w:sz w:val="17"/>
        </w:rPr>
        <w:t>(accessed </w:t>
      </w:r>
      <w:r>
        <w:rPr>
          <w:color w:val="231F20"/>
          <w:sz w:val="17"/>
        </w:rPr>
        <w:t>October 15,</w:t>
      </w:r>
      <w:r>
        <w:rPr>
          <w:color w:val="231F20"/>
          <w:spacing w:val="-5"/>
          <w:sz w:val="17"/>
        </w:rPr>
        <w:t> </w:t>
      </w:r>
      <w:r>
        <w:rPr>
          <w:color w:val="231F20"/>
          <w:sz w:val="17"/>
        </w:rPr>
        <w:t>2013).</w:t>
      </w:r>
    </w:p>
    <w:p>
      <w:pPr>
        <w:pStyle w:val="ListParagraph"/>
        <w:numPr>
          <w:ilvl w:val="0"/>
          <w:numId w:val="26"/>
        </w:numPr>
        <w:tabs>
          <w:tab w:pos="1603" w:val="left" w:leader="none"/>
        </w:tabs>
        <w:spacing w:line="264" w:lineRule="auto" w:before="86" w:after="0"/>
        <w:ind w:left="1602" w:right="341" w:hanging="162"/>
        <w:jc w:val="left"/>
        <w:rPr>
          <w:sz w:val="17"/>
        </w:rPr>
      </w:pPr>
      <w:r>
        <w:rPr/>
        <w:pict>
          <v:rect style="position:absolute;margin-left:0pt;margin-top:9.286542pt;width:45pt;height:18pt;mso-position-horizontal-relative:page;mso-position-vertical-relative:paragraph;z-index:4648" filled="true" fillcolor="#0079c1" stroked="false">
            <v:fill type="solid"/>
            <w10:wrap type="none"/>
          </v:rect>
        </w:pict>
      </w:r>
      <w:r>
        <w:rPr/>
        <w:pict>
          <v:line style="position:absolute;mso-position-horizontal-relative:page;mso-position-vertical-relative:paragraph;z-index:4672" from="54.5pt,9.284142pt" to="54.5pt,211.693142pt" stroked="true" strokeweight="1pt" strokecolor="#0079c1">
            <v:stroke dashstyle="solid"/>
            <w10:wrap type="none"/>
          </v:line>
        </w:pict>
      </w:r>
      <w:r>
        <w:rPr/>
        <w:pict>
          <v:shape style="position:absolute;margin-left:16.402201pt;margin-top:30.309834pt;width:22.3pt;height:183.2pt;mso-position-horizontal-relative:page;mso-position-vertical-relative:paragraph;z-index:4720" type="#_x0000_t202" filled="false" stroked="false">
            <v:textbox inset="0,0,0,0" style="layout-flow:vertical;mso-layout-flow-alt:bottom-to-top">
              <w:txbxContent>
                <w:p>
                  <w:pPr>
                    <w:spacing w:before="12"/>
                    <w:ind w:left="918" w:right="-1911" w:hanging="899"/>
                    <w:jc w:val="left"/>
                    <w:rPr>
                      <w:rFonts w:ascii="Lucida Sans"/>
                      <w:sz w:val="17"/>
                    </w:rPr>
                  </w:pPr>
                  <w:r>
                    <w:rPr>
                      <w:rFonts w:ascii="Lucida Sans"/>
                      <w:color w:val="0079C1"/>
                      <w:spacing w:val="17"/>
                      <w:w w:val="105"/>
                      <w:sz w:val="17"/>
                    </w:rPr>
                    <w:t>FOODBORN</w:t>
                  </w:r>
                  <w:r>
                    <w:rPr>
                      <w:rFonts w:ascii="Lucida Sans"/>
                      <w:color w:val="0079C1"/>
                      <w:w w:val="105"/>
                      <w:sz w:val="17"/>
                    </w:rPr>
                    <w:t>E</w:t>
                  </w:r>
                  <w:r>
                    <w:rPr>
                      <w:rFonts w:ascii="Lucida Sans"/>
                      <w:color w:val="0079C1"/>
                      <w:sz w:val="17"/>
                    </w:rPr>
                    <w:t> </w:t>
                  </w:r>
                  <w:r>
                    <w:rPr>
                      <w:rFonts w:ascii="Lucida Sans"/>
                      <w:color w:val="0079C1"/>
                      <w:spacing w:val="-27"/>
                      <w:sz w:val="17"/>
                    </w:rPr>
                    <w:t> </w:t>
                  </w:r>
                  <w:r>
                    <w:rPr>
                      <w:rFonts w:ascii="Lucida Sans"/>
                      <w:color w:val="0079C1"/>
                      <w:spacing w:val="17"/>
                      <w:w w:val="104"/>
                      <w:sz w:val="17"/>
                    </w:rPr>
                    <w:t>DISEAS</w:t>
                  </w:r>
                  <w:r>
                    <w:rPr>
                      <w:rFonts w:ascii="Lucida Sans"/>
                      <w:color w:val="0079C1"/>
                      <w:w w:val="104"/>
                      <w:sz w:val="17"/>
                    </w:rPr>
                    <w:t>E</w:t>
                  </w:r>
                  <w:r>
                    <w:rPr>
                      <w:rFonts w:ascii="Lucida Sans"/>
                      <w:color w:val="0079C1"/>
                      <w:sz w:val="17"/>
                    </w:rPr>
                    <w:t> </w:t>
                  </w:r>
                  <w:r>
                    <w:rPr>
                      <w:rFonts w:ascii="Lucida Sans"/>
                      <w:color w:val="0079C1"/>
                      <w:spacing w:val="-27"/>
                      <w:sz w:val="17"/>
                    </w:rPr>
                    <w:t> </w:t>
                  </w:r>
                  <w:r>
                    <w:rPr>
                      <w:rFonts w:ascii="Lucida Sans"/>
                      <w:color w:val="0079C1"/>
                      <w:spacing w:val="17"/>
                      <w:w w:val="102"/>
                      <w:sz w:val="17"/>
                    </w:rPr>
                    <w:t>SURVEILLANC</w:t>
                  </w:r>
                  <w:r>
                    <w:rPr>
                      <w:rFonts w:ascii="Lucida Sans"/>
                      <w:color w:val="0079C1"/>
                      <w:w w:val="102"/>
                      <w:sz w:val="17"/>
                    </w:rPr>
                    <w:t>E</w:t>
                  </w:r>
                  <w:r>
                    <w:rPr>
                      <w:rFonts w:ascii="Lucida Sans"/>
                      <w:color w:val="0079C1"/>
                      <w:spacing w:val="-37"/>
                      <w:sz w:val="17"/>
                    </w:rPr>
                    <w:t> </w:t>
                  </w:r>
                  <w:r>
                    <w:rPr>
                      <w:rFonts w:ascii="Lucida Sans"/>
                      <w:color w:val="0079C1"/>
                      <w:spacing w:val="17"/>
                      <w:w w:val="102"/>
                      <w:sz w:val="17"/>
                    </w:rPr>
                    <w:t>AN</w:t>
                  </w:r>
                  <w:r>
                    <w:rPr>
                      <w:rFonts w:ascii="Lucida Sans"/>
                      <w:color w:val="0079C1"/>
                      <w:w w:val="102"/>
                      <w:sz w:val="17"/>
                    </w:rPr>
                    <w:t>D</w:t>
                  </w:r>
                  <w:r>
                    <w:rPr>
                      <w:rFonts w:ascii="Lucida Sans"/>
                      <w:color w:val="0079C1"/>
                      <w:sz w:val="17"/>
                    </w:rPr>
                    <w:t> </w:t>
                  </w:r>
                  <w:r>
                    <w:rPr>
                      <w:rFonts w:ascii="Lucida Sans"/>
                      <w:color w:val="0079C1"/>
                      <w:spacing w:val="-27"/>
                      <w:sz w:val="17"/>
                    </w:rPr>
                    <w:t> </w:t>
                  </w:r>
                  <w:r>
                    <w:rPr>
                      <w:rFonts w:ascii="Lucida Sans"/>
                      <w:color w:val="0079C1"/>
                      <w:spacing w:val="17"/>
                      <w:w w:val="102"/>
                      <w:sz w:val="17"/>
                    </w:rPr>
                    <w:t>OUTBREA</w:t>
                  </w:r>
                  <w:r>
                    <w:rPr>
                      <w:rFonts w:ascii="Lucida Sans"/>
                      <w:color w:val="0079C1"/>
                      <w:w w:val="102"/>
                      <w:sz w:val="17"/>
                    </w:rPr>
                    <w:t>K</w:t>
                  </w:r>
                  <w:r>
                    <w:rPr>
                      <w:rFonts w:ascii="Lucida Sans"/>
                      <w:color w:val="0079C1"/>
                      <w:sz w:val="17"/>
                    </w:rPr>
                    <w:t> </w:t>
                  </w:r>
                  <w:r>
                    <w:rPr>
                      <w:rFonts w:ascii="Lucida Sans"/>
                      <w:color w:val="0079C1"/>
                      <w:spacing w:val="-27"/>
                      <w:sz w:val="17"/>
                    </w:rPr>
                    <w:t> </w:t>
                  </w:r>
                  <w:r>
                    <w:rPr>
                      <w:rFonts w:ascii="Lucida Sans"/>
                      <w:color w:val="0079C1"/>
                      <w:spacing w:val="17"/>
                      <w:w w:val="102"/>
                      <w:sz w:val="17"/>
                    </w:rPr>
                    <w:t>DETECTIO</w:t>
                  </w:r>
                  <w:r>
                    <w:rPr>
                      <w:rFonts w:ascii="Lucida Sans"/>
                      <w:color w:val="0079C1"/>
                      <w:w w:val="102"/>
                      <w:sz w:val="17"/>
                    </w:rPr>
                    <w:t>N</w:t>
                  </w:r>
                  <w:r>
                    <w:rPr>
                      <w:rFonts w:ascii="Lucida Sans"/>
                      <w:color w:val="0079C1"/>
                      <w:spacing w:val="-37"/>
                      <w:sz w:val="17"/>
                    </w:rPr>
                    <w:t> </w:t>
                  </w:r>
                </w:p>
              </w:txbxContent>
            </v:textbox>
            <w10:wrap type="none"/>
          </v:shape>
        </w:pict>
      </w:r>
      <w:r>
        <w:rPr/>
        <w:pict>
          <v:shape style="position:absolute;margin-left:18.200388pt;margin-top:14.037495pt;width:15.85pt;height:8.5pt;mso-position-horizontal-relative:page;mso-position-vertical-relative:paragraph;z-index:4744" type="#_x0000_t202" filled="false" stroked="false">
            <v:textbox inset="0,0,0,0" style="layout-flow:vertical;mso-layout-flow-alt:bottom-to-top">
              <w:txbxContent>
                <w:p>
                  <w:pPr>
                    <w:spacing w:line="307" w:lineRule="exact" w:before="0"/>
                    <w:ind w:left="20" w:right="0" w:firstLine="0"/>
                    <w:jc w:val="left"/>
                    <w:rPr>
                      <w:rFonts w:ascii="Sitka Display"/>
                      <w:b/>
                      <w:sz w:val="24"/>
                    </w:rPr>
                  </w:pPr>
                  <w:r>
                    <w:rPr>
                      <w:rFonts w:ascii="Sitka Display"/>
                      <w:b/>
                      <w:color w:val="FFFFFF"/>
                      <w:w w:val="100"/>
                      <w:sz w:val="24"/>
                    </w:rPr>
                    <w:t>4</w:t>
                  </w:r>
                </w:p>
              </w:txbxContent>
            </v:textbox>
            <w10:wrap type="none"/>
          </v:shape>
        </w:pict>
      </w:r>
      <w:r>
        <w:rPr>
          <w:color w:val="231F20"/>
          <w:sz w:val="17"/>
        </w:rPr>
        <w:t>Lee LE, Cebelinski EA, Fuller C, et al. Sapovirus outbreaks in long-term care facilities, Oregon</w:t>
      </w:r>
      <w:r>
        <w:rPr>
          <w:color w:val="231F20"/>
          <w:spacing w:val="-28"/>
          <w:sz w:val="17"/>
        </w:rPr>
        <w:t> </w:t>
      </w:r>
      <w:r>
        <w:rPr>
          <w:color w:val="231F20"/>
          <w:sz w:val="17"/>
        </w:rPr>
        <w:t>and Minnesota, USA, 2002–2009. Emerg Infect Dis 2012;18:873–6.</w:t>
      </w:r>
    </w:p>
    <w:p>
      <w:pPr>
        <w:pStyle w:val="ListParagraph"/>
        <w:numPr>
          <w:ilvl w:val="0"/>
          <w:numId w:val="26"/>
        </w:numPr>
        <w:tabs>
          <w:tab w:pos="1603" w:val="left" w:leader="none"/>
        </w:tabs>
        <w:spacing w:line="264" w:lineRule="auto" w:before="85" w:after="0"/>
        <w:ind w:left="1602" w:right="165" w:hanging="162"/>
        <w:jc w:val="left"/>
        <w:rPr>
          <w:sz w:val="17"/>
        </w:rPr>
      </w:pPr>
      <w:r>
        <w:rPr>
          <w:color w:val="231F20"/>
          <w:sz w:val="17"/>
        </w:rPr>
        <w:t>Lappi </w:t>
      </w:r>
      <w:r>
        <w:rPr>
          <w:color w:val="231F20"/>
          <w:spacing w:val="-16"/>
          <w:sz w:val="17"/>
        </w:rPr>
        <w:t>V, </w:t>
      </w:r>
      <w:r>
        <w:rPr>
          <w:color w:val="231F20"/>
          <w:sz w:val="17"/>
        </w:rPr>
        <w:t>Archer JR, Cebelinski E, et al. An outbreak of foodborne illness among attendees of a wedding peception in Wisconsin likely caused </w:t>
      </w:r>
      <w:r>
        <w:rPr>
          <w:color w:val="231F20"/>
          <w:spacing w:val="-3"/>
          <w:sz w:val="17"/>
        </w:rPr>
        <w:t>by </w:t>
      </w:r>
      <w:r>
        <w:rPr>
          <w:i/>
          <w:color w:val="231F20"/>
          <w:sz w:val="17"/>
        </w:rPr>
        <w:t>Arcobacter </w:t>
      </w:r>
      <w:r>
        <w:rPr>
          <w:i/>
          <w:color w:val="231F20"/>
          <w:sz w:val="17"/>
        </w:rPr>
        <w:t>butzleri</w:t>
      </w:r>
      <w:r>
        <w:rPr>
          <w:color w:val="231F20"/>
          <w:sz w:val="17"/>
        </w:rPr>
        <w:t>.</w:t>
      </w:r>
      <w:r>
        <w:rPr>
          <w:color w:val="231F20"/>
          <w:spacing w:val="-16"/>
          <w:sz w:val="17"/>
        </w:rPr>
        <w:t> </w:t>
      </w:r>
      <w:r>
        <w:rPr>
          <w:color w:val="231F20"/>
          <w:sz w:val="17"/>
        </w:rPr>
        <w:t>Foodborne</w:t>
      </w:r>
      <w:r>
        <w:rPr>
          <w:color w:val="231F20"/>
          <w:spacing w:val="-16"/>
          <w:sz w:val="17"/>
        </w:rPr>
        <w:t> </w:t>
      </w:r>
      <w:r>
        <w:rPr>
          <w:color w:val="231F20"/>
          <w:sz w:val="17"/>
        </w:rPr>
        <w:t>Pathog</w:t>
      </w:r>
      <w:r>
        <w:rPr>
          <w:color w:val="231F20"/>
          <w:spacing w:val="-16"/>
          <w:sz w:val="17"/>
        </w:rPr>
        <w:t> </w:t>
      </w:r>
      <w:r>
        <w:rPr>
          <w:color w:val="231F20"/>
          <w:sz w:val="17"/>
        </w:rPr>
        <w:t>Dis</w:t>
      </w:r>
      <w:r>
        <w:rPr>
          <w:color w:val="231F20"/>
          <w:spacing w:val="-16"/>
          <w:sz w:val="17"/>
        </w:rPr>
        <w:t> </w:t>
      </w:r>
      <w:r>
        <w:rPr>
          <w:color w:val="231F20"/>
          <w:sz w:val="17"/>
        </w:rPr>
        <w:t>2013;10:250–5.</w:t>
      </w:r>
    </w:p>
    <w:p>
      <w:pPr>
        <w:pStyle w:val="ListParagraph"/>
        <w:numPr>
          <w:ilvl w:val="0"/>
          <w:numId w:val="26"/>
        </w:numPr>
        <w:tabs>
          <w:tab w:pos="1603" w:val="left" w:leader="none"/>
        </w:tabs>
        <w:spacing w:line="264" w:lineRule="auto" w:before="85" w:after="0"/>
        <w:ind w:left="1602" w:right="0" w:hanging="162"/>
        <w:jc w:val="left"/>
        <w:rPr>
          <w:sz w:val="17"/>
        </w:rPr>
      </w:pPr>
      <w:r>
        <w:rPr>
          <w:color w:val="231F20"/>
          <w:sz w:val="17"/>
        </w:rPr>
        <w:t>Centers</w:t>
      </w:r>
      <w:r>
        <w:rPr>
          <w:color w:val="231F20"/>
          <w:spacing w:val="-10"/>
          <w:sz w:val="17"/>
        </w:rPr>
        <w:t> </w:t>
      </w:r>
      <w:r>
        <w:rPr>
          <w:color w:val="231F20"/>
          <w:sz w:val="17"/>
        </w:rPr>
        <w:t>for</w:t>
      </w:r>
      <w:r>
        <w:rPr>
          <w:color w:val="231F20"/>
          <w:spacing w:val="-10"/>
          <w:sz w:val="17"/>
        </w:rPr>
        <w:t> </w:t>
      </w:r>
      <w:r>
        <w:rPr>
          <w:color w:val="231F20"/>
          <w:sz w:val="17"/>
        </w:rPr>
        <w:t>Disease</w:t>
      </w:r>
      <w:r>
        <w:rPr>
          <w:color w:val="231F20"/>
          <w:spacing w:val="-10"/>
          <w:sz w:val="17"/>
        </w:rPr>
        <w:t> </w:t>
      </w:r>
      <w:r>
        <w:rPr>
          <w:color w:val="231F20"/>
          <w:sz w:val="17"/>
        </w:rPr>
        <w:t>Control</w:t>
      </w:r>
      <w:r>
        <w:rPr>
          <w:color w:val="231F20"/>
          <w:spacing w:val="-10"/>
          <w:sz w:val="17"/>
        </w:rPr>
        <w:t> </w:t>
      </w:r>
      <w:r>
        <w:rPr>
          <w:color w:val="231F20"/>
          <w:sz w:val="17"/>
        </w:rPr>
        <w:t>and</w:t>
      </w:r>
      <w:r>
        <w:rPr>
          <w:color w:val="231F20"/>
          <w:spacing w:val="-10"/>
          <w:sz w:val="17"/>
        </w:rPr>
        <w:t> </w:t>
      </w:r>
      <w:r>
        <w:rPr>
          <w:color w:val="231F20"/>
          <w:sz w:val="17"/>
        </w:rPr>
        <w:t>Prevention.</w:t>
      </w:r>
      <w:r>
        <w:rPr>
          <w:color w:val="231F20"/>
          <w:spacing w:val="-10"/>
          <w:sz w:val="17"/>
        </w:rPr>
        <w:t> </w:t>
      </w:r>
      <w:r>
        <w:rPr>
          <w:color w:val="231F20"/>
          <w:sz w:val="17"/>
        </w:rPr>
        <w:t>Multistate outbreak of </w:t>
      </w:r>
      <w:r>
        <w:rPr>
          <w:i/>
          <w:color w:val="231F20"/>
          <w:sz w:val="17"/>
        </w:rPr>
        <w:t>Salmonella </w:t>
      </w:r>
      <w:r>
        <w:rPr>
          <w:color w:val="231F20"/>
          <w:sz w:val="17"/>
        </w:rPr>
        <w:t>Bareilly and </w:t>
      </w:r>
      <w:r>
        <w:rPr>
          <w:i/>
          <w:color w:val="231F20"/>
          <w:sz w:val="17"/>
        </w:rPr>
        <w:t>Salmonella </w:t>
      </w:r>
      <w:r>
        <w:rPr>
          <w:color w:val="231F20"/>
          <w:sz w:val="17"/>
        </w:rPr>
        <w:t>Nchanga infections associated with a raw scraped ground tuna product (final update). </w:t>
      </w:r>
      <w:hyperlink r:id="rId22">
        <w:r>
          <w:rPr>
            <w:color w:val="0079C1"/>
            <w:sz w:val="17"/>
          </w:rPr>
          <w:t>www.cdc.gov/salmonella/</w:t>
        </w:r>
      </w:hyperlink>
      <w:r>
        <w:rPr>
          <w:color w:val="0079C1"/>
          <w:sz w:val="17"/>
        </w:rPr>
        <w:t> bareilly-04-12/index.html  </w:t>
      </w:r>
      <w:r>
        <w:rPr>
          <w:color w:val="231F20"/>
          <w:sz w:val="17"/>
        </w:rPr>
        <w:t>(accessed  October  2, 2013).</w:t>
      </w:r>
    </w:p>
    <w:p>
      <w:pPr>
        <w:pStyle w:val="ListParagraph"/>
        <w:numPr>
          <w:ilvl w:val="0"/>
          <w:numId w:val="26"/>
        </w:numPr>
        <w:tabs>
          <w:tab w:pos="1603" w:val="left" w:leader="none"/>
        </w:tabs>
        <w:spacing w:line="264" w:lineRule="auto" w:before="85" w:after="0"/>
        <w:ind w:left="1602" w:right="496" w:hanging="162"/>
        <w:jc w:val="both"/>
        <w:rPr>
          <w:sz w:val="17"/>
        </w:rPr>
      </w:pPr>
      <w:r>
        <w:rPr>
          <w:color w:val="231F20"/>
          <w:sz w:val="17"/>
        </w:rPr>
        <w:t>Cavallaro E, Date K, Medus C, et al. </w:t>
      </w:r>
      <w:r>
        <w:rPr>
          <w:i/>
          <w:color w:val="231F20"/>
          <w:sz w:val="17"/>
        </w:rPr>
        <w:t>Salmonella </w:t>
      </w:r>
      <w:r>
        <w:rPr>
          <w:color w:val="231F20"/>
          <w:sz w:val="17"/>
        </w:rPr>
        <w:t>Typhimurium</w:t>
      </w:r>
      <w:r>
        <w:rPr>
          <w:color w:val="231F20"/>
          <w:spacing w:val="-12"/>
          <w:sz w:val="17"/>
        </w:rPr>
        <w:t> </w:t>
      </w:r>
      <w:r>
        <w:rPr>
          <w:color w:val="231F20"/>
          <w:sz w:val="17"/>
        </w:rPr>
        <w:t>infections</w:t>
      </w:r>
      <w:r>
        <w:rPr>
          <w:color w:val="231F20"/>
          <w:spacing w:val="-12"/>
          <w:sz w:val="17"/>
        </w:rPr>
        <w:t> </w:t>
      </w:r>
      <w:r>
        <w:rPr>
          <w:color w:val="231F20"/>
          <w:sz w:val="17"/>
        </w:rPr>
        <w:t>associated</w:t>
      </w:r>
      <w:r>
        <w:rPr>
          <w:color w:val="231F20"/>
          <w:spacing w:val="-12"/>
          <w:sz w:val="17"/>
        </w:rPr>
        <w:t> </w:t>
      </w:r>
      <w:r>
        <w:rPr>
          <w:color w:val="231F20"/>
          <w:sz w:val="17"/>
        </w:rPr>
        <w:t>with</w:t>
      </w:r>
      <w:r>
        <w:rPr>
          <w:color w:val="231F20"/>
          <w:spacing w:val="-12"/>
          <w:sz w:val="17"/>
        </w:rPr>
        <w:t> </w:t>
      </w:r>
      <w:r>
        <w:rPr>
          <w:color w:val="231F20"/>
          <w:sz w:val="17"/>
        </w:rPr>
        <w:t>peanut products. N Engl J Med</w:t>
      </w:r>
      <w:r>
        <w:rPr>
          <w:color w:val="231F20"/>
          <w:spacing w:val="-12"/>
          <w:sz w:val="17"/>
        </w:rPr>
        <w:t> </w:t>
      </w:r>
      <w:r>
        <w:rPr>
          <w:color w:val="231F20"/>
          <w:sz w:val="17"/>
        </w:rPr>
        <w:t>2011;365:601–10.</w:t>
      </w:r>
    </w:p>
    <w:p>
      <w:pPr>
        <w:pStyle w:val="ListParagraph"/>
        <w:numPr>
          <w:ilvl w:val="0"/>
          <w:numId w:val="26"/>
        </w:numPr>
        <w:tabs>
          <w:tab w:pos="1603" w:val="left" w:leader="none"/>
        </w:tabs>
        <w:spacing w:line="264" w:lineRule="auto" w:before="85" w:after="0"/>
        <w:ind w:left="1602" w:right="155" w:hanging="162"/>
        <w:jc w:val="left"/>
        <w:rPr>
          <w:sz w:val="17"/>
        </w:rPr>
      </w:pPr>
      <w:r>
        <w:rPr/>
        <w:pict>
          <v:line style="position:absolute;mso-position-horizontal-relative:page;mso-position-vertical-relative:paragraph;z-index:-33472" from="243.879501pt,33.451344pt" to="245.977501pt,33.451344pt" stroked="true" strokeweight=".436pt" strokecolor="#231f20">
            <v:stroke dashstyle="solid"/>
            <w10:wrap type="none"/>
          </v:line>
        </w:pict>
      </w:r>
      <w:r>
        <w:rPr>
          <w:color w:val="231F20"/>
          <w:w w:val="105"/>
          <w:sz w:val="17"/>
        </w:rPr>
        <w:t>Centers for Disease Control and Prevention. </w:t>
      </w:r>
      <w:r>
        <w:rPr>
          <w:color w:val="231F20"/>
          <w:sz w:val="17"/>
        </w:rPr>
        <w:t>Estimating foodborne illness: an </w:t>
      </w:r>
      <w:r>
        <w:rPr>
          <w:color w:val="231F20"/>
          <w:spacing w:val="-4"/>
          <w:sz w:val="17"/>
        </w:rPr>
        <w:t>overview. </w:t>
      </w:r>
      <w:r>
        <w:rPr>
          <w:color w:val="0079C1"/>
          <w:spacing w:val="-3"/>
          <w:sz w:val="17"/>
        </w:rPr>
        <w:t>www.cdc. </w:t>
      </w:r>
      <w:r>
        <w:rPr>
          <w:color w:val="0079C1"/>
          <w:w w:val="105"/>
          <w:sz w:val="17"/>
        </w:rPr>
        <w:t>gov/foodborneburden/estimates-overview.html </w:t>
      </w:r>
      <w:r>
        <w:rPr>
          <w:color w:val="231F20"/>
          <w:sz w:val="17"/>
        </w:rPr>
        <w:t>(accessed</w:t>
      </w:r>
      <w:r>
        <w:rPr>
          <w:color w:val="231F20"/>
          <w:spacing w:val="-11"/>
          <w:sz w:val="17"/>
        </w:rPr>
        <w:t> </w:t>
      </w:r>
      <w:r>
        <w:rPr>
          <w:color w:val="231F20"/>
          <w:sz w:val="17"/>
        </w:rPr>
        <w:t>October</w:t>
      </w:r>
      <w:r>
        <w:rPr>
          <w:color w:val="231F20"/>
          <w:spacing w:val="-11"/>
          <w:sz w:val="17"/>
        </w:rPr>
        <w:t> </w:t>
      </w:r>
      <w:r>
        <w:rPr>
          <w:color w:val="231F20"/>
          <w:sz w:val="17"/>
        </w:rPr>
        <w:t>3,</w:t>
      </w:r>
      <w:r>
        <w:rPr>
          <w:color w:val="231F20"/>
          <w:spacing w:val="-11"/>
          <w:sz w:val="17"/>
        </w:rPr>
        <w:t> </w:t>
      </w:r>
      <w:r>
        <w:rPr>
          <w:color w:val="231F20"/>
          <w:sz w:val="17"/>
        </w:rPr>
        <w:t>2013).</w:t>
      </w:r>
    </w:p>
    <w:p>
      <w:pPr>
        <w:pStyle w:val="ListParagraph"/>
        <w:numPr>
          <w:ilvl w:val="0"/>
          <w:numId w:val="26"/>
        </w:numPr>
        <w:tabs>
          <w:tab w:pos="1603" w:val="left" w:leader="none"/>
        </w:tabs>
        <w:spacing w:line="264" w:lineRule="auto" w:before="85" w:after="0"/>
        <w:ind w:left="1602" w:right="423" w:hanging="162"/>
        <w:jc w:val="left"/>
        <w:rPr>
          <w:sz w:val="17"/>
        </w:rPr>
      </w:pPr>
      <w:r>
        <w:rPr>
          <w:color w:val="231F20"/>
          <w:sz w:val="17"/>
        </w:rPr>
        <w:t>Mann</w:t>
      </w:r>
      <w:r>
        <w:rPr>
          <w:color w:val="231F20"/>
          <w:spacing w:val="-10"/>
          <w:sz w:val="17"/>
        </w:rPr>
        <w:t> </w:t>
      </w:r>
      <w:r>
        <w:rPr>
          <w:color w:val="231F20"/>
          <w:sz w:val="17"/>
        </w:rPr>
        <w:t>JM.</w:t>
      </w:r>
      <w:r>
        <w:rPr>
          <w:color w:val="231F20"/>
          <w:spacing w:val="-10"/>
          <w:sz w:val="17"/>
        </w:rPr>
        <w:t> </w:t>
      </w:r>
      <w:r>
        <w:rPr>
          <w:color w:val="231F20"/>
          <w:sz w:val="17"/>
        </w:rPr>
        <w:t>A</w:t>
      </w:r>
      <w:r>
        <w:rPr>
          <w:color w:val="231F20"/>
          <w:spacing w:val="-10"/>
          <w:sz w:val="17"/>
        </w:rPr>
        <w:t> </w:t>
      </w:r>
      <w:r>
        <w:rPr>
          <w:color w:val="231F20"/>
          <w:sz w:val="17"/>
        </w:rPr>
        <w:t>prospective</w:t>
      </w:r>
      <w:r>
        <w:rPr>
          <w:color w:val="231F20"/>
          <w:spacing w:val="-10"/>
          <w:sz w:val="17"/>
        </w:rPr>
        <w:t> </w:t>
      </w:r>
      <w:r>
        <w:rPr>
          <w:color w:val="231F20"/>
          <w:sz w:val="17"/>
        </w:rPr>
        <w:t>study</w:t>
      </w:r>
      <w:r>
        <w:rPr>
          <w:color w:val="231F20"/>
          <w:spacing w:val="-10"/>
          <w:sz w:val="17"/>
        </w:rPr>
        <w:t> </w:t>
      </w:r>
      <w:r>
        <w:rPr>
          <w:color w:val="231F20"/>
          <w:sz w:val="17"/>
        </w:rPr>
        <w:t>of</w:t>
      </w:r>
      <w:r>
        <w:rPr>
          <w:color w:val="231F20"/>
          <w:spacing w:val="9"/>
          <w:sz w:val="17"/>
        </w:rPr>
        <w:t> </w:t>
      </w:r>
      <w:r>
        <w:rPr>
          <w:color w:val="231F20"/>
          <w:sz w:val="17"/>
        </w:rPr>
        <w:t>response</w:t>
      </w:r>
      <w:r>
        <w:rPr>
          <w:color w:val="231F20"/>
          <w:spacing w:val="-10"/>
          <w:sz w:val="17"/>
        </w:rPr>
        <w:t> </w:t>
      </w:r>
      <w:r>
        <w:rPr>
          <w:color w:val="231F20"/>
          <w:sz w:val="17"/>
        </w:rPr>
        <w:t>error in</w:t>
      </w:r>
      <w:r>
        <w:rPr>
          <w:color w:val="231F20"/>
          <w:spacing w:val="-16"/>
          <w:sz w:val="17"/>
        </w:rPr>
        <w:t> </w:t>
      </w:r>
      <w:r>
        <w:rPr>
          <w:color w:val="231F20"/>
          <w:sz w:val="17"/>
        </w:rPr>
        <w:t>food</w:t>
      </w:r>
      <w:r>
        <w:rPr>
          <w:color w:val="231F20"/>
          <w:spacing w:val="-16"/>
          <w:sz w:val="17"/>
        </w:rPr>
        <w:t> </w:t>
      </w:r>
      <w:r>
        <w:rPr>
          <w:color w:val="231F20"/>
          <w:sz w:val="17"/>
        </w:rPr>
        <w:t>history</w:t>
      </w:r>
      <w:r>
        <w:rPr>
          <w:color w:val="231F20"/>
          <w:spacing w:val="-16"/>
          <w:sz w:val="17"/>
        </w:rPr>
        <w:t> </w:t>
      </w:r>
      <w:r>
        <w:rPr>
          <w:color w:val="231F20"/>
          <w:sz w:val="17"/>
        </w:rPr>
        <w:t>questionnaires:</w:t>
      </w:r>
      <w:r>
        <w:rPr>
          <w:color w:val="231F20"/>
          <w:spacing w:val="-16"/>
          <w:sz w:val="17"/>
        </w:rPr>
        <w:t> </w:t>
      </w:r>
      <w:r>
        <w:rPr>
          <w:color w:val="231F20"/>
          <w:sz w:val="17"/>
        </w:rPr>
        <w:t>Implications</w:t>
      </w:r>
      <w:r>
        <w:rPr>
          <w:color w:val="231F20"/>
          <w:spacing w:val="-16"/>
          <w:sz w:val="17"/>
        </w:rPr>
        <w:t> </w:t>
      </w:r>
      <w:r>
        <w:rPr>
          <w:color w:val="231F20"/>
          <w:sz w:val="17"/>
        </w:rPr>
        <w:t>for</w:t>
      </w:r>
    </w:p>
    <w:p>
      <w:pPr>
        <w:spacing w:line="264" w:lineRule="auto" w:before="0"/>
        <w:ind w:left="1602" w:right="-4" w:firstLine="0"/>
        <w:jc w:val="left"/>
        <w:rPr>
          <w:sz w:val="17"/>
        </w:rPr>
      </w:pPr>
      <w:r>
        <w:rPr>
          <w:color w:val="231F20"/>
          <w:sz w:val="17"/>
        </w:rPr>
        <w:t>foodborne outbreak investigation. Am J Public Health 1981;71:1362–6.</w:t>
      </w:r>
    </w:p>
    <w:p>
      <w:pPr>
        <w:pStyle w:val="ListParagraph"/>
        <w:numPr>
          <w:ilvl w:val="0"/>
          <w:numId w:val="26"/>
        </w:numPr>
        <w:tabs>
          <w:tab w:pos="595" w:val="left" w:leader="none"/>
        </w:tabs>
        <w:spacing w:line="264" w:lineRule="auto" w:before="111" w:after="0"/>
        <w:ind w:left="594" w:right="1081" w:hanging="244"/>
        <w:jc w:val="left"/>
        <w:rPr>
          <w:sz w:val="17"/>
        </w:rPr>
      </w:pPr>
      <w:r>
        <w:rPr>
          <w:color w:val="231F20"/>
          <w:spacing w:val="-1"/>
          <w:w w:val="96"/>
          <w:sz w:val="17"/>
        </w:rPr>
        <w:br w:type="column"/>
      </w:r>
      <w:r>
        <w:rPr>
          <w:color w:val="231F20"/>
          <w:sz w:val="17"/>
        </w:rPr>
        <w:t>Decker </w:t>
      </w:r>
      <w:r>
        <w:rPr>
          <w:color w:val="231F20"/>
          <w:spacing w:val="-5"/>
          <w:sz w:val="17"/>
        </w:rPr>
        <w:t>MD, </w:t>
      </w:r>
      <w:r>
        <w:rPr>
          <w:color w:val="231F20"/>
          <w:sz w:val="17"/>
        </w:rPr>
        <w:t>Booth AL, Dewey </w:t>
      </w:r>
      <w:r>
        <w:rPr>
          <w:color w:val="231F20"/>
          <w:spacing w:val="-4"/>
          <w:sz w:val="17"/>
        </w:rPr>
        <w:t>MJ, </w:t>
      </w:r>
      <w:r>
        <w:rPr>
          <w:color w:val="231F20"/>
          <w:sz w:val="17"/>
        </w:rPr>
        <w:t>Fricker RS, Hutcheson RH, Schaffner </w:t>
      </w:r>
      <w:r>
        <w:rPr>
          <w:color w:val="231F20"/>
          <w:spacing w:val="-12"/>
          <w:sz w:val="17"/>
        </w:rPr>
        <w:t>W. </w:t>
      </w:r>
      <w:r>
        <w:rPr>
          <w:color w:val="231F20"/>
          <w:spacing w:val="-3"/>
          <w:sz w:val="17"/>
        </w:rPr>
        <w:t>Validity </w:t>
      </w:r>
      <w:r>
        <w:rPr>
          <w:color w:val="231F20"/>
          <w:sz w:val="17"/>
        </w:rPr>
        <w:t>of food consumption histories in a foodborne outbreak investigation. Am J Epidemiol</w:t>
      </w:r>
      <w:r>
        <w:rPr>
          <w:color w:val="231F20"/>
          <w:spacing w:val="-21"/>
          <w:sz w:val="17"/>
        </w:rPr>
        <w:t> </w:t>
      </w:r>
      <w:r>
        <w:rPr>
          <w:color w:val="231F20"/>
          <w:sz w:val="17"/>
        </w:rPr>
        <w:t>1986;124:859–63.</w:t>
      </w:r>
    </w:p>
    <w:p>
      <w:pPr>
        <w:pStyle w:val="ListParagraph"/>
        <w:numPr>
          <w:ilvl w:val="0"/>
          <w:numId w:val="26"/>
        </w:numPr>
        <w:tabs>
          <w:tab w:pos="595" w:val="left" w:leader="none"/>
        </w:tabs>
        <w:spacing w:line="264" w:lineRule="auto" w:before="86" w:after="0"/>
        <w:ind w:left="594" w:right="759" w:hanging="244"/>
        <w:jc w:val="left"/>
        <w:rPr>
          <w:sz w:val="17"/>
        </w:rPr>
      </w:pPr>
      <w:r>
        <w:rPr>
          <w:color w:val="231F20"/>
          <w:sz w:val="17"/>
        </w:rPr>
        <w:t>King L, Nogareda </w:t>
      </w:r>
      <w:r>
        <w:rPr>
          <w:color w:val="231F20"/>
          <w:spacing w:val="-12"/>
          <w:sz w:val="17"/>
        </w:rPr>
        <w:t>F, </w:t>
      </w:r>
      <w:r>
        <w:rPr>
          <w:color w:val="231F20"/>
          <w:spacing w:val="-3"/>
          <w:sz w:val="17"/>
        </w:rPr>
        <w:t>Weill </w:t>
      </w:r>
      <w:r>
        <w:rPr>
          <w:color w:val="231F20"/>
          <w:spacing w:val="-12"/>
          <w:sz w:val="17"/>
        </w:rPr>
        <w:t>F, </w:t>
      </w:r>
      <w:r>
        <w:rPr>
          <w:color w:val="231F20"/>
          <w:sz w:val="17"/>
        </w:rPr>
        <w:t>et al. Outbreak of Shiga toxin–producing </w:t>
      </w:r>
      <w:r>
        <w:rPr>
          <w:i/>
          <w:color w:val="231F20"/>
          <w:sz w:val="17"/>
        </w:rPr>
        <w:t>Escherichia coli </w:t>
      </w:r>
      <w:r>
        <w:rPr>
          <w:color w:val="231F20"/>
          <w:sz w:val="17"/>
        </w:rPr>
        <w:t>O104:H4 associated with organic fenugreek sprouts, </w:t>
      </w:r>
      <w:r>
        <w:rPr>
          <w:color w:val="231F20"/>
          <w:spacing w:val="-3"/>
          <w:sz w:val="17"/>
        </w:rPr>
        <w:t>France, June </w:t>
      </w:r>
      <w:r>
        <w:rPr>
          <w:color w:val="231F20"/>
          <w:sz w:val="17"/>
        </w:rPr>
        <w:t>2011. Clin Infect Dis</w:t>
      </w:r>
      <w:r>
        <w:rPr>
          <w:color w:val="231F20"/>
          <w:spacing w:val="-3"/>
          <w:sz w:val="17"/>
        </w:rPr>
        <w:t> </w:t>
      </w:r>
      <w:r>
        <w:rPr>
          <w:color w:val="231F20"/>
          <w:sz w:val="17"/>
        </w:rPr>
        <w:t>2012;54:1588–94.</w:t>
      </w:r>
    </w:p>
    <w:p>
      <w:pPr>
        <w:pStyle w:val="ListParagraph"/>
        <w:numPr>
          <w:ilvl w:val="0"/>
          <w:numId w:val="26"/>
        </w:numPr>
        <w:tabs>
          <w:tab w:pos="595" w:val="left" w:leader="none"/>
        </w:tabs>
        <w:spacing w:line="264" w:lineRule="auto" w:before="86" w:after="0"/>
        <w:ind w:left="594" w:right="945" w:hanging="244"/>
        <w:jc w:val="left"/>
        <w:rPr>
          <w:sz w:val="17"/>
        </w:rPr>
      </w:pPr>
      <w:r>
        <w:rPr>
          <w:color w:val="231F20"/>
          <w:sz w:val="17"/>
        </w:rPr>
        <w:t>Centers for Disease Control and Prevention. Outbreaks of Shigella sonnei Infection Associated with Eating </w:t>
      </w:r>
      <w:r>
        <w:rPr>
          <w:color w:val="231F20"/>
          <w:spacing w:val="-3"/>
          <w:sz w:val="17"/>
        </w:rPr>
        <w:t>Fresh </w:t>
      </w:r>
      <w:r>
        <w:rPr>
          <w:color w:val="231F20"/>
          <w:sz w:val="17"/>
        </w:rPr>
        <w:t>Parsley – United States and Canada, July-August 1998. </w:t>
      </w:r>
      <w:hyperlink r:id="rId20">
        <w:r>
          <w:rPr>
            <w:color w:val="0079C1"/>
            <w:sz w:val="17"/>
          </w:rPr>
          <w:t>http://www.cdc.gov/</w:t>
        </w:r>
      </w:hyperlink>
      <w:r>
        <w:rPr>
          <w:color w:val="0079C1"/>
          <w:sz w:val="17"/>
        </w:rPr>
        <w:t> mmwr/preview/mmwrhtml/00056895.htm </w:t>
      </w:r>
      <w:r>
        <w:rPr>
          <w:color w:val="231F20"/>
          <w:sz w:val="17"/>
        </w:rPr>
        <w:t>(accessed January 6,</w:t>
      </w:r>
      <w:r>
        <w:rPr>
          <w:color w:val="231F20"/>
          <w:spacing w:val="-10"/>
          <w:sz w:val="17"/>
        </w:rPr>
        <w:t> </w:t>
      </w:r>
      <w:r>
        <w:rPr>
          <w:color w:val="231F20"/>
          <w:sz w:val="17"/>
        </w:rPr>
        <w:t>2014).</w:t>
      </w:r>
    </w:p>
    <w:p>
      <w:pPr>
        <w:pStyle w:val="ListParagraph"/>
        <w:numPr>
          <w:ilvl w:val="0"/>
          <w:numId w:val="26"/>
        </w:numPr>
        <w:tabs>
          <w:tab w:pos="595" w:val="left" w:leader="none"/>
        </w:tabs>
        <w:spacing w:line="264" w:lineRule="auto" w:before="86" w:after="0"/>
        <w:ind w:left="594" w:right="756" w:hanging="244"/>
        <w:jc w:val="left"/>
        <w:rPr>
          <w:sz w:val="17"/>
        </w:rPr>
      </w:pPr>
      <w:r>
        <w:rPr>
          <w:color w:val="231F20"/>
          <w:sz w:val="17"/>
        </w:rPr>
        <w:t>Das </w:t>
      </w:r>
      <w:r>
        <w:rPr>
          <w:color w:val="231F20"/>
          <w:spacing w:val="-7"/>
          <w:sz w:val="17"/>
        </w:rPr>
        <w:t>D, </w:t>
      </w:r>
      <w:r>
        <w:rPr>
          <w:color w:val="231F20"/>
          <w:sz w:val="17"/>
        </w:rPr>
        <w:t>Metzger K, Heffernan R, et al. Monitoring over-the-counter medication sales for early detection of disease outbreaks—New </w:t>
      </w:r>
      <w:r>
        <w:rPr>
          <w:color w:val="231F20"/>
          <w:spacing w:val="-6"/>
          <w:sz w:val="17"/>
        </w:rPr>
        <w:t>York </w:t>
      </w:r>
      <w:r>
        <w:rPr>
          <w:color w:val="231F20"/>
          <w:spacing w:val="-5"/>
          <w:sz w:val="17"/>
        </w:rPr>
        <w:t>City. </w:t>
      </w:r>
      <w:r>
        <w:rPr>
          <w:color w:val="231F20"/>
          <w:sz w:val="17"/>
        </w:rPr>
        <w:t>MMWR Morb Mortal Wkly </w:t>
      </w:r>
      <w:r>
        <w:rPr>
          <w:color w:val="231F20"/>
          <w:spacing w:val="-3"/>
          <w:sz w:val="17"/>
        </w:rPr>
        <w:t>Rep</w:t>
      </w:r>
      <w:r>
        <w:rPr>
          <w:color w:val="231F20"/>
          <w:spacing w:val="22"/>
          <w:sz w:val="17"/>
        </w:rPr>
        <w:t> </w:t>
      </w:r>
      <w:r>
        <w:rPr>
          <w:color w:val="231F20"/>
          <w:sz w:val="17"/>
        </w:rPr>
        <w:t>2005;54(Suppl):41–6.</w:t>
      </w:r>
    </w:p>
    <w:p>
      <w:pPr>
        <w:pStyle w:val="ListParagraph"/>
        <w:numPr>
          <w:ilvl w:val="0"/>
          <w:numId w:val="26"/>
        </w:numPr>
        <w:tabs>
          <w:tab w:pos="595" w:val="left" w:leader="none"/>
        </w:tabs>
        <w:spacing w:line="264" w:lineRule="auto" w:before="86" w:after="0"/>
        <w:ind w:left="594" w:right="854" w:hanging="244"/>
        <w:jc w:val="left"/>
        <w:rPr>
          <w:sz w:val="17"/>
        </w:rPr>
      </w:pPr>
      <w:r>
        <w:rPr>
          <w:color w:val="231F20"/>
          <w:sz w:val="17"/>
        </w:rPr>
        <w:t>Heffernan R, Mostashari </w:t>
      </w:r>
      <w:r>
        <w:rPr>
          <w:color w:val="231F20"/>
          <w:spacing w:val="-12"/>
          <w:sz w:val="17"/>
        </w:rPr>
        <w:t>F, </w:t>
      </w:r>
      <w:r>
        <w:rPr>
          <w:color w:val="231F20"/>
          <w:sz w:val="17"/>
        </w:rPr>
        <w:t>Das </w:t>
      </w:r>
      <w:r>
        <w:rPr>
          <w:color w:val="231F20"/>
          <w:spacing w:val="-7"/>
          <w:sz w:val="17"/>
        </w:rPr>
        <w:t>D, </w:t>
      </w:r>
      <w:r>
        <w:rPr>
          <w:color w:val="231F20"/>
          <w:sz w:val="17"/>
        </w:rPr>
        <w:t>et al. New </w:t>
      </w:r>
      <w:r>
        <w:rPr>
          <w:color w:val="231F20"/>
          <w:spacing w:val="-6"/>
          <w:sz w:val="17"/>
        </w:rPr>
        <w:t>York </w:t>
      </w:r>
      <w:r>
        <w:rPr>
          <w:color w:val="231F20"/>
          <w:sz w:val="17"/>
        </w:rPr>
        <w:t>City syndromic surveillance systems. MMWR Morb Mortal Wkly </w:t>
      </w:r>
      <w:r>
        <w:rPr>
          <w:color w:val="231F20"/>
          <w:spacing w:val="-3"/>
          <w:sz w:val="17"/>
        </w:rPr>
        <w:t>Rep</w:t>
      </w:r>
      <w:r>
        <w:rPr>
          <w:color w:val="231F20"/>
          <w:spacing w:val="22"/>
          <w:sz w:val="17"/>
        </w:rPr>
        <w:t> </w:t>
      </w:r>
      <w:r>
        <w:rPr>
          <w:color w:val="231F20"/>
          <w:sz w:val="17"/>
        </w:rPr>
        <w:t>2004;53(Suppl):23–7.</w:t>
      </w:r>
    </w:p>
    <w:p>
      <w:pPr>
        <w:pStyle w:val="ListParagraph"/>
        <w:numPr>
          <w:ilvl w:val="0"/>
          <w:numId w:val="26"/>
        </w:numPr>
        <w:tabs>
          <w:tab w:pos="595" w:val="left" w:leader="none"/>
        </w:tabs>
        <w:spacing w:line="264" w:lineRule="auto" w:before="86" w:after="0"/>
        <w:ind w:left="594" w:right="741" w:hanging="244"/>
        <w:jc w:val="left"/>
        <w:rPr>
          <w:sz w:val="17"/>
        </w:rPr>
      </w:pPr>
      <w:r>
        <w:rPr>
          <w:color w:val="231F20"/>
          <w:sz w:val="17"/>
        </w:rPr>
        <w:t>Besser</w:t>
      </w:r>
      <w:r>
        <w:rPr>
          <w:color w:val="231F20"/>
          <w:spacing w:val="-8"/>
          <w:sz w:val="17"/>
        </w:rPr>
        <w:t> </w:t>
      </w:r>
      <w:r>
        <w:rPr>
          <w:color w:val="231F20"/>
          <w:sz w:val="17"/>
        </w:rPr>
        <w:t>JM;</w:t>
      </w:r>
      <w:r>
        <w:rPr>
          <w:color w:val="231F20"/>
          <w:spacing w:val="-8"/>
          <w:sz w:val="17"/>
        </w:rPr>
        <w:t> </w:t>
      </w:r>
      <w:r>
        <w:rPr>
          <w:color w:val="231F20"/>
          <w:sz w:val="17"/>
        </w:rPr>
        <w:t>Systems</w:t>
      </w:r>
      <w:r>
        <w:rPr>
          <w:color w:val="231F20"/>
          <w:spacing w:val="-8"/>
          <w:sz w:val="17"/>
        </w:rPr>
        <w:t> </w:t>
      </w:r>
      <w:r>
        <w:rPr>
          <w:color w:val="231F20"/>
          <w:sz w:val="17"/>
        </w:rPr>
        <w:t>to</w:t>
      </w:r>
      <w:r>
        <w:rPr>
          <w:color w:val="231F20"/>
          <w:spacing w:val="-8"/>
          <w:sz w:val="17"/>
        </w:rPr>
        <w:t> </w:t>
      </w:r>
      <w:r>
        <w:rPr>
          <w:color w:val="231F20"/>
          <w:sz w:val="17"/>
        </w:rPr>
        <w:t>detect</w:t>
      </w:r>
      <w:r>
        <w:rPr>
          <w:color w:val="231F20"/>
          <w:spacing w:val="-8"/>
          <w:sz w:val="17"/>
        </w:rPr>
        <w:t> </w:t>
      </w:r>
      <w:r>
        <w:rPr>
          <w:color w:val="231F20"/>
          <w:sz w:val="17"/>
        </w:rPr>
        <w:t>microbial</w:t>
      </w:r>
      <w:r>
        <w:rPr>
          <w:color w:val="231F20"/>
          <w:spacing w:val="-8"/>
          <w:sz w:val="17"/>
        </w:rPr>
        <w:t> </w:t>
      </w:r>
      <w:r>
        <w:rPr>
          <w:color w:val="231F20"/>
          <w:sz w:val="17"/>
        </w:rPr>
        <w:t>contamination of the food </w:t>
      </w:r>
      <w:r>
        <w:rPr>
          <w:color w:val="231F20"/>
          <w:spacing w:val="-4"/>
          <w:sz w:val="17"/>
        </w:rPr>
        <w:t>supply. </w:t>
      </w:r>
      <w:r>
        <w:rPr>
          <w:color w:val="231F20"/>
          <w:sz w:val="17"/>
        </w:rPr>
        <w:t>Institute of Medicine </w:t>
      </w:r>
      <w:r>
        <w:rPr>
          <w:color w:val="231F20"/>
          <w:spacing w:val="-4"/>
          <w:sz w:val="17"/>
        </w:rPr>
        <w:t>Forum </w:t>
      </w:r>
      <w:r>
        <w:rPr>
          <w:color w:val="231F20"/>
          <w:sz w:val="17"/>
        </w:rPr>
        <w:t>on Microbial Threats. Addressing Foodborne Threats to Health; Policies, Practices, and Global Coordination. 2006. Washington, DC: National Academies Press; 2006:178–89.</w:t>
      </w:r>
    </w:p>
    <w:p>
      <w:pPr>
        <w:pStyle w:val="ListParagraph"/>
        <w:numPr>
          <w:ilvl w:val="0"/>
          <w:numId w:val="26"/>
        </w:numPr>
        <w:tabs>
          <w:tab w:pos="595" w:val="left" w:leader="none"/>
        </w:tabs>
        <w:spacing w:line="264" w:lineRule="auto" w:before="86" w:after="0"/>
        <w:ind w:left="594" w:right="972" w:hanging="244"/>
        <w:jc w:val="left"/>
        <w:rPr>
          <w:sz w:val="17"/>
        </w:rPr>
      </w:pPr>
      <w:r>
        <w:rPr>
          <w:color w:val="231F20"/>
          <w:w w:val="105"/>
          <w:sz w:val="17"/>
        </w:rPr>
        <w:t>CDC.</w:t>
      </w:r>
      <w:r>
        <w:rPr>
          <w:color w:val="231F20"/>
          <w:spacing w:val="-21"/>
          <w:w w:val="105"/>
          <w:sz w:val="17"/>
        </w:rPr>
        <w:t> </w:t>
      </w:r>
      <w:r>
        <w:rPr>
          <w:color w:val="231F20"/>
          <w:w w:val="105"/>
          <w:sz w:val="17"/>
        </w:rPr>
        <w:t>Botulism</w:t>
      </w:r>
      <w:r>
        <w:rPr>
          <w:color w:val="231F20"/>
          <w:spacing w:val="-21"/>
          <w:w w:val="105"/>
          <w:sz w:val="17"/>
        </w:rPr>
        <w:t> </w:t>
      </w:r>
      <w:r>
        <w:rPr>
          <w:color w:val="231F20"/>
          <w:w w:val="105"/>
          <w:sz w:val="17"/>
        </w:rPr>
        <w:t>in</w:t>
      </w:r>
      <w:r>
        <w:rPr>
          <w:color w:val="231F20"/>
          <w:spacing w:val="-21"/>
          <w:w w:val="105"/>
          <w:sz w:val="17"/>
        </w:rPr>
        <w:t> </w:t>
      </w:r>
      <w:r>
        <w:rPr>
          <w:color w:val="231F20"/>
          <w:w w:val="105"/>
          <w:sz w:val="17"/>
        </w:rPr>
        <w:t>the</w:t>
      </w:r>
      <w:r>
        <w:rPr>
          <w:color w:val="231F20"/>
          <w:spacing w:val="-21"/>
          <w:w w:val="105"/>
          <w:sz w:val="17"/>
        </w:rPr>
        <w:t> </w:t>
      </w:r>
      <w:r>
        <w:rPr>
          <w:color w:val="231F20"/>
          <w:w w:val="105"/>
          <w:sz w:val="17"/>
        </w:rPr>
        <w:t>United</w:t>
      </w:r>
      <w:r>
        <w:rPr>
          <w:color w:val="231F20"/>
          <w:spacing w:val="-21"/>
          <w:w w:val="105"/>
          <w:sz w:val="17"/>
        </w:rPr>
        <w:t> </w:t>
      </w:r>
      <w:r>
        <w:rPr>
          <w:color w:val="231F20"/>
          <w:w w:val="105"/>
          <w:sz w:val="17"/>
        </w:rPr>
        <w:t>States,</w:t>
      </w:r>
      <w:r>
        <w:rPr>
          <w:color w:val="231F20"/>
          <w:spacing w:val="-21"/>
          <w:w w:val="105"/>
          <w:sz w:val="17"/>
        </w:rPr>
        <w:t> </w:t>
      </w:r>
      <w:r>
        <w:rPr>
          <w:color w:val="231F20"/>
          <w:w w:val="105"/>
          <w:sz w:val="17"/>
        </w:rPr>
        <w:t>1899–1996. </w:t>
      </w:r>
      <w:r>
        <w:rPr>
          <w:color w:val="231F20"/>
          <w:sz w:val="17"/>
        </w:rPr>
        <w:t>In: Handbook for epidemiologists, clinicians, and </w:t>
      </w:r>
      <w:r>
        <w:rPr>
          <w:color w:val="231F20"/>
          <w:w w:val="105"/>
          <w:sz w:val="17"/>
        </w:rPr>
        <w:t>laboratory workers. 1998. Available at </w:t>
      </w:r>
      <w:r>
        <w:rPr>
          <w:color w:val="0079C1"/>
          <w:w w:val="105"/>
          <w:sz w:val="17"/>
        </w:rPr>
        <w:t>http:// </w:t>
      </w:r>
      <w:hyperlink r:id="rId23">
        <w:r>
          <w:rPr>
            <w:color w:val="0079C1"/>
            <w:spacing w:val="-1"/>
            <w:w w:val="105"/>
            <w:sz w:val="17"/>
          </w:rPr>
          <w:t>www.cdc.gov/ncidod/dbmd/diseaseinfo/files/</w:t>
        </w:r>
      </w:hyperlink>
      <w:r>
        <w:rPr>
          <w:color w:val="0079C1"/>
          <w:spacing w:val="-1"/>
          <w:w w:val="105"/>
          <w:sz w:val="17"/>
        </w:rPr>
        <w:t> </w:t>
      </w:r>
      <w:r>
        <w:rPr>
          <w:color w:val="0079C1"/>
          <w:sz w:val="17"/>
        </w:rPr>
        <w:t>botulism.PDF(</w:t>
      </w:r>
      <w:r>
        <w:rPr>
          <w:color w:val="231F20"/>
          <w:sz w:val="17"/>
        </w:rPr>
        <w:t>accessed January 6,</w:t>
      </w:r>
      <w:r>
        <w:rPr>
          <w:color w:val="231F20"/>
          <w:spacing w:val="30"/>
          <w:sz w:val="17"/>
        </w:rPr>
        <w:t> </w:t>
      </w:r>
      <w:r>
        <w:rPr>
          <w:color w:val="231F20"/>
          <w:sz w:val="17"/>
        </w:rPr>
        <w:t>2014).</w:t>
      </w:r>
    </w:p>
    <w:p>
      <w:pPr>
        <w:pStyle w:val="ListParagraph"/>
        <w:numPr>
          <w:ilvl w:val="0"/>
          <w:numId w:val="26"/>
        </w:numPr>
        <w:tabs>
          <w:tab w:pos="595" w:val="left" w:leader="none"/>
        </w:tabs>
        <w:spacing w:line="264" w:lineRule="auto" w:before="86" w:after="0"/>
        <w:ind w:left="594" w:right="784" w:hanging="244"/>
        <w:jc w:val="left"/>
        <w:rPr>
          <w:sz w:val="17"/>
        </w:rPr>
      </w:pPr>
      <w:r>
        <w:rPr>
          <w:color w:val="231F20"/>
          <w:sz w:val="17"/>
        </w:rPr>
        <w:t>Drociuk </w:t>
      </w:r>
      <w:r>
        <w:rPr>
          <w:color w:val="231F20"/>
          <w:spacing w:val="-7"/>
          <w:sz w:val="17"/>
        </w:rPr>
        <w:t>D, </w:t>
      </w:r>
      <w:r>
        <w:rPr>
          <w:color w:val="231F20"/>
          <w:sz w:val="17"/>
        </w:rPr>
        <w:t>Gibson </w:t>
      </w:r>
      <w:r>
        <w:rPr>
          <w:color w:val="231F20"/>
          <w:spacing w:val="-6"/>
          <w:sz w:val="17"/>
        </w:rPr>
        <w:t>J, </w:t>
      </w:r>
      <w:r>
        <w:rPr>
          <w:color w:val="231F20"/>
          <w:sz w:val="17"/>
        </w:rPr>
        <w:t>Hodge </w:t>
      </w:r>
      <w:r>
        <w:rPr>
          <w:color w:val="231F20"/>
          <w:spacing w:val="-6"/>
          <w:sz w:val="17"/>
        </w:rPr>
        <w:t>J. </w:t>
      </w:r>
      <w:r>
        <w:rPr>
          <w:color w:val="231F20"/>
          <w:sz w:val="17"/>
        </w:rPr>
        <w:t>Health information privacy and syndromic surveillance systems. MMWR Morb Mortal Wkly </w:t>
      </w:r>
      <w:r>
        <w:rPr>
          <w:color w:val="231F20"/>
          <w:spacing w:val="-3"/>
          <w:sz w:val="17"/>
        </w:rPr>
        <w:t>Rep</w:t>
      </w:r>
      <w:r>
        <w:rPr>
          <w:color w:val="231F20"/>
          <w:spacing w:val="23"/>
          <w:sz w:val="17"/>
        </w:rPr>
        <w:t> </w:t>
      </w:r>
      <w:r>
        <w:rPr>
          <w:color w:val="231F20"/>
          <w:sz w:val="17"/>
        </w:rPr>
        <w:t>2004;53(Suppl);221–5.</w:t>
      </w:r>
    </w:p>
    <w:sectPr>
      <w:type w:val="continuous"/>
      <w:pgSz w:w="10080" w:h="14400"/>
      <w:pgMar w:top="0" w:bottom="0" w:left="0" w:right="0"/>
      <w:cols w:num="2" w:equalWidth="0">
        <w:col w:w="5190" w:space="40"/>
        <w:col w:w="485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Garamond">
    <w:altName w:val="Garamond"/>
    <w:charset w:val="0"/>
    <w:family w:val="roman"/>
    <w:pitch w:val="variable"/>
  </w:font>
  <w:font w:name="Lucida Sans">
    <w:altName w:val="Lucida Sans"/>
    <w:charset w:val="0"/>
    <w:family w:val="swiss"/>
    <w:pitch w:val="variable"/>
  </w:font>
  <w:font w:name="Bookman Old Style">
    <w:altName w:val="Bookman Old Style"/>
    <w:charset w:val="0"/>
    <w:family w:val="roman"/>
    <w:pitch w:val="variable"/>
  </w:font>
  <w:font w:name="Arial">
    <w:altName w:val="Arial"/>
    <w:charset w:val="0"/>
    <w:family w:val="swiss"/>
    <w:pitch w:val="variable"/>
  </w:font>
  <w:font w:name="Sitka Display">
    <w:altName w:val="Sitka Display"/>
    <w:charset w:val="0"/>
    <w:family w:val="auto"/>
    <w:pitch w:val="variable"/>
  </w:font>
  <w:font w:name="Gill Sans MT">
    <w:altName w:val="Gill Sans MT"/>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37144"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9.498199pt;margin-top:21.131701pt;width:14.95pt;height:12.9pt;mso-position-horizontal-relative:page;mso-position-vertical-relative:page;z-index:-37120" type="#_x0000_t202" filled="false" stroked="false">
          <v:textbox inset="0,0,0,0">
            <w:txbxContent>
              <w:p>
                <w:pPr>
                  <w:spacing w:before="12"/>
                  <w:ind w:left="20" w:right="0" w:firstLine="0"/>
                  <w:jc w:val="left"/>
                  <w:rPr>
                    <w:rFonts w:ascii="Lucida Sans"/>
                    <w:sz w:val="18"/>
                  </w:rPr>
                </w:pPr>
                <w:r>
                  <w:rPr>
                    <w:rFonts w:ascii="Lucida Sans"/>
                    <w:color w:val="0079C1"/>
                    <w:w w:val="80"/>
                    <w:sz w:val="18"/>
                  </w:rPr>
                  <w:t>112</w:t>
                </w:r>
              </w:p>
            </w:txbxContent>
          </v:textbox>
          <w10:wrap type="none"/>
        </v:shape>
      </w:pict>
    </w:r>
    <w:r>
      <w:rPr/>
      <w:pict>
        <v:shape style="position:absolute;margin-left:71pt;margin-top:21.131701pt;width:275.150pt;height:12.9pt;mso-position-horizontal-relative:page;mso-position-vertical-relative:page;z-index:-37096"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37072"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8.498199pt;margin-top:21.131701pt;width:16.95pt;height:12.9pt;mso-position-horizontal-relative:page;mso-position-vertical-relative:page;z-index:-37048"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80"/>
                    <w:sz w:val="18"/>
                  </w:rPr>
                  <w:instrText> PAGE </w:instrText>
                </w:r>
                <w:r>
                  <w:rPr/>
                  <w:fldChar w:fldCharType="separate"/>
                </w:r>
                <w:r>
                  <w:rPr/>
                  <w:t>114</w:t>
                </w:r>
                <w:r>
                  <w:rPr/>
                  <w:fldChar w:fldCharType="end"/>
                </w:r>
              </w:p>
            </w:txbxContent>
          </v:textbox>
          <w10:wrap type="none"/>
        </v:shape>
      </w:pict>
    </w:r>
    <w:r>
      <w:rPr/>
      <w:pict>
        <v:shape style="position:absolute;margin-left:71pt;margin-top:21.131701pt;width:275.150pt;height:12.9pt;mso-position-horizontal-relative:page;mso-position-vertical-relative:page;z-index:-37024"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0.6pt;mso-position-horizontal-relative:page;mso-position-vertical-relative:page;z-index:-37000" coordorigin="-10,-20" coordsize="10100,1012">
          <v:shape style="position:absolute;left:0;top:0;width:10080;height:900" type="#_x0000_t75" stroked="false">
            <v:imagedata r:id="rId1" o:title=""/>
          </v:shape>
          <v:shape style="position:absolute;left:9360;top:360;width:360;height:360" type="#_x0000_t75" stroked="false">
            <v:imagedata r:id="rId2"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50.479797pt;margin-top:21.131701pt;width:283pt;height:12.9pt;mso-position-horizontal-relative:page;mso-position-vertical-relative:page;z-index:-36976" type="#_x0000_t202" filled="false" stroked="false">
          <v:textbox inset="0,0,0,0">
            <w:txbxContent>
              <w:p>
                <w:pPr>
                  <w:spacing w:before="12"/>
                  <w:ind w:left="20" w:right="0" w:firstLine="0"/>
                  <w:jc w:val="left"/>
                  <w:rPr>
                    <w:rFonts w:ascii="Lucida Sans"/>
                    <w:sz w:val="18"/>
                  </w:rPr>
                </w:pPr>
                <w:r>
                  <w:rPr>
                    <w:rFonts w:ascii="Lucida Sans"/>
                    <w:color w:val="FFFFFF"/>
                    <w:sz w:val="18"/>
                  </w:rPr>
                  <w:t>2014 | Guidelines for Foodborne Disease Outbreak Response</w:t>
                </w:r>
              </w:p>
            </w:txbxContent>
          </v:textbox>
          <w10:wrap type="none"/>
        </v:shape>
      </w:pict>
    </w:r>
    <w:r>
      <w:rPr/>
      <w:pict>
        <v:shape style="position:absolute;margin-left:468.447113pt;margin-top:21.131701pt;width:16.95pt;height:12.9pt;mso-position-horizontal-relative:page;mso-position-vertical-relative:page;z-index:-36952"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80"/>
                    <w:sz w:val="18"/>
                  </w:rPr>
                  <w:instrText> PAGE </w:instrText>
                </w:r>
                <w:r>
                  <w:rPr/>
                  <w:fldChar w:fldCharType="separate"/>
                </w:r>
                <w:r>
                  <w:rPr/>
                  <w:t>115</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
    <w:multiLevelType w:val="hybridMultilevel"/>
    <w:lvl w:ilvl="0">
      <w:start w:val="1"/>
      <w:numFmt w:val="decimal"/>
      <w:lvlText w:val="%1"/>
      <w:lvlJc w:val="left"/>
      <w:pPr>
        <w:ind w:left="1602" w:hanging="163"/>
        <w:jc w:val="right"/>
      </w:pPr>
      <w:rPr>
        <w:rFonts w:hint="default" w:ascii="Garamond" w:hAnsi="Garamond" w:eastAsia="Garamond" w:cs="Garamond"/>
        <w:color w:val="231F20"/>
        <w:w w:val="102"/>
        <w:sz w:val="17"/>
        <w:szCs w:val="17"/>
      </w:rPr>
    </w:lvl>
    <w:lvl w:ilvl="1">
      <w:start w:val="0"/>
      <w:numFmt w:val="bullet"/>
      <w:lvlText w:val="•"/>
      <w:lvlJc w:val="left"/>
      <w:pPr>
        <w:ind w:left="1958" w:hanging="163"/>
      </w:pPr>
      <w:rPr>
        <w:rFonts w:hint="default"/>
      </w:rPr>
    </w:lvl>
    <w:lvl w:ilvl="2">
      <w:start w:val="0"/>
      <w:numFmt w:val="bullet"/>
      <w:lvlText w:val="•"/>
      <w:lvlJc w:val="left"/>
      <w:pPr>
        <w:ind w:left="2317" w:hanging="163"/>
      </w:pPr>
      <w:rPr>
        <w:rFonts w:hint="default"/>
      </w:rPr>
    </w:lvl>
    <w:lvl w:ilvl="3">
      <w:start w:val="0"/>
      <w:numFmt w:val="bullet"/>
      <w:lvlText w:val="•"/>
      <w:lvlJc w:val="left"/>
      <w:pPr>
        <w:ind w:left="2676" w:hanging="163"/>
      </w:pPr>
      <w:rPr>
        <w:rFonts w:hint="default"/>
      </w:rPr>
    </w:lvl>
    <w:lvl w:ilvl="4">
      <w:start w:val="0"/>
      <w:numFmt w:val="bullet"/>
      <w:lvlText w:val="•"/>
      <w:lvlJc w:val="left"/>
      <w:pPr>
        <w:ind w:left="3035" w:hanging="163"/>
      </w:pPr>
      <w:rPr>
        <w:rFonts w:hint="default"/>
      </w:rPr>
    </w:lvl>
    <w:lvl w:ilvl="5">
      <w:start w:val="0"/>
      <w:numFmt w:val="bullet"/>
      <w:lvlText w:val="•"/>
      <w:lvlJc w:val="left"/>
      <w:pPr>
        <w:ind w:left="3394" w:hanging="163"/>
      </w:pPr>
      <w:rPr>
        <w:rFonts w:hint="default"/>
      </w:rPr>
    </w:lvl>
    <w:lvl w:ilvl="6">
      <w:start w:val="0"/>
      <w:numFmt w:val="bullet"/>
      <w:lvlText w:val="•"/>
      <w:lvlJc w:val="left"/>
      <w:pPr>
        <w:ind w:left="3753" w:hanging="163"/>
      </w:pPr>
      <w:rPr>
        <w:rFonts w:hint="default"/>
      </w:rPr>
    </w:lvl>
    <w:lvl w:ilvl="7">
      <w:start w:val="0"/>
      <w:numFmt w:val="bullet"/>
      <w:lvlText w:val="•"/>
      <w:lvlJc w:val="left"/>
      <w:pPr>
        <w:ind w:left="4112" w:hanging="163"/>
      </w:pPr>
      <w:rPr>
        <w:rFonts w:hint="default"/>
      </w:rPr>
    </w:lvl>
    <w:lvl w:ilvl="8">
      <w:start w:val="0"/>
      <w:numFmt w:val="bullet"/>
      <w:lvlText w:val="•"/>
      <w:lvlJc w:val="left"/>
      <w:pPr>
        <w:ind w:left="4471" w:hanging="163"/>
      </w:pPr>
      <w:rPr>
        <w:rFonts w:hint="default"/>
      </w:rPr>
    </w:lvl>
  </w:abstractNum>
  <w:abstractNum w:abstractNumId="24">
    <w:multiLevelType w:val="hybridMultilevel"/>
    <w:lvl w:ilvl="0">
      <w:start w:val="4"/>
      <w:numFmt w:val="decimal"/>
      <w:lvlText w:val="%1"/>
      <w:lvlJc w:val="left"/>
      <w:pPr>
        <w:ind w:left="1984" w:hanging="545"/>
        <w:jc w:val="left"/>
      </w:pPr>
      <w:rPr>
        <w:rFonts w:hint="default"/>
      </w:rPr>
    </w:lvl>
    <w:lvl w:ilvl="1">
      <w:start w:val="4"/>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7"/>
      <w:numFmt w:val="decimal"/>
      <w:lvlText w:val="%1.%2.%3."/>
      <w:lvlJc w:val="left"/>
      <w:pPr>
        <w:ind w:left="1440" w:hanging="556"/>
        <w:jc w:val="right"/>
      </w:pPr>
      <w:rPr>
        <w:rFonts w:hint="default" w:ascii="Lucida Sans" w:hAnsi="Lucida Sans" w:eastAsia="Lucida Sans" w:cs="Lucida Sans"/>
        <w:color w:val="1C3E94"/>
        <w:w w:val="87"/>
        <w:sz w:val="20"/>
        <w:szCs w:val="20"/>
      </w:rPr>
    </w:lvl>
    <w:lvl w:ilvl="3">
      <w:start w:val="1"/>
      <w:numFmt w:val="decimal"/>
      <w:lvlText w:val="%1.%2.%3.%4."/>
      <w:lvlJc w:val="left"/>
      <w:pPr>
        <w:ind w:left="971" w:hanging="642"/>
        <w:jc w:val="left"/>
      </w:pPr>
      <w:rPr>
        <w:rFonts w:hint="default" w:ascii="Garamond" w:hAnsi="Garamond" w:eastAsia="Garamond" w:cs="Garamond"/>
        <w:i/>
        <w:color w:val="E36F1E"/>
        <w:w w:val="107"/>
        <w:sz w:val="20"/>
        <w:szCs w:val="20"/>
      </w:rPr>
    </w:lvl>
    <w:lvl w:ilvl="4">
      <w:start w:val="0"/>
      <w:numFmt w:val="bullet"/>
      <w:lvlText w:val="•"/>
      <w:lvlJc w:val="left"/>
      <w:pPr>
        <w:ind w:left="890" w:hanging="171"/>
      </w:pPr>
      <w:rPr>
        <w:rFonts w:hint="default" w:ascii="Garamond" w:hAnsi="Garamond" w:eastAsia="Garamond" w:cs="Garamond"/>
        <w:color w:val="00A94F"/>
        <w:spacing w:val="-6"/>
        <w:w w:val="97"/>
        <w:sz w:val="20"/>
        <w:szCs w:val="20"/>
      </w:rPr>
    </w:lvl>
    <w:lvl w:ilvl="5">
      <w:start w:val="0"/>
      <w:numFmt w:val="bullet"/>
      <w:lvlText w:val="•"/>
      <w:lvlJc w:val="left"/>
      <w:pPr>
        <w:ind w:left="1199" w:hanging="171"/>
      </w:pPr>
      <w:rPr>
        <w:rFonts w:hint="default"/>
      </w:rPr>
    </w:lvl>
    <w:lvl w:ilvl="6">
      <w:start w:val="0"/>
      <w:numFmt w:val="bullet"/>
      <w:lvlText w:val="•"/>
      <w:lvlJc w:val="left"/>
      <w:pPr>
        <w:ind w:left="809" w:hanging="171"/>
      </w:pPr>
      <w:rPr>
        <w:rFonts w:hint="default"/>
      </w:rPr>
    </w:lvl>
    <w:lvl w:ilvl="7">
      <w:start w:val="0"/>
      <w:numFmt w:val="bullet"/>
      <w:lvlText w:val="•"/>
      <w:lvlJc w:val="left"/>
      <w:pPr>
        <w:ind w:left="419" w:hanging="171"/>
      </w:pPr>
      <w:rPr>
        <w:rFonts w:hint="default"/>
      </w:rPr>
    </w:lvl>
    <w:lvl w:ilvl="8">
      <w:start w:val="0"/>
      <w:numFmt w:val="bullet"/>
      <w:lvlText w:val="•"/>
      <w:lvlJc w:val="left"/>
      <w:pPr>
        <w:ind w:left="29" w:hanging="171"/>
      </w:pPr>
      <w:rPr>
        <w:rFonts w:hint="default"/>
      </w:rPr>
    </w:lvl>
  </w:abstractNum>
  <w:abstractNum w:abstractNumId="23">
    <w:multiLevelType w:val="hybridMultilevel"/>
    <w:lvl w:ilvl="0">
      <w:start w:val="0"/>
      <w:numFmt w:val="bullet"/>
      <w:lvlText w:val="•"/>
      <w:lvlJc w:val="left"/>
      <w:pPr>
        <w:ind w:left="890" w:hanging="171"/>
      </w:pPr>
      <w:rPr>
        <w:rFonts w:hint="default" w:ascii="Garamond" w:hAnsi="Garamond" w:eastAsia="Garamond" w:cs="Garamond"/>
        <w:color w:val="00A94F"/>
        <w:spacing w:val="-7"/>
        <w:w w:val="92"/>
        <w:sz w:val="20"/>
        <w:szCs w:val="20"/>
      </w:rPr>
    </w:lvl>
    <w:lvl w:ilvl="1">
      <w:start w:val="0"/>
      <w:numFmt w:val="bullet"/>
      <w:lvlText w:val="•"/>
      <w:lvlJc w:val="left"/>
      <w:pPr>
        <w:ind w:left="1258" w:hanging="171"/>
      </w:pPr>
      <w:rPr>
        <w:rFonts w:hint="default"/>
      </w:rPr>
    </w:lvl>
    <w:lvl w:ilvl="2">
      <w:start w:val="0"/>
      <w:numFmt w:val="bullet"/>
      <w:lvlText w:val="•"/>
      <w:lvlJc w:val="left"/>
      <w:pPr>
        <w:ind w:left="1617" w:hanging="171"/>
      </w:pPr>
      <w:rPr>
        <w:rFonts w:hint="default"/>
      </w:rPr>
    </w:lvl>
    <w:lvl w:ilvl="3">
      <w:start w:val="0"/>
      <w:numFmt w:val="bullet"/>
      <w:lvlText w:val="•"/>
      <w:lvlJc w:val="left"/>
      <w:pPr>
        <w:ind w:left="1976" w:hanging="171"/>
      </w:pPr>
      <w:rPr>
        <w:rFonts w:hint="default"/>
      </w:rPr>
    </w:lvl>
    <w:lvl w:ilvl="4">
      <w:start w:val="0"/>
      <w:numFmt w:val="bullet"/>
      <w:lvlText w:val="•"/>
      <w:lvlJc w:val="left"/>
      <w:pPr>
        <w:ind w:left="2335" w:hanging="171"/>
      </w:pPr>
      <w:rPr>
        <w:rFonts w:hint="default"/>
      </w:rPr>
    </w:lvl>
    <w:lvl w:ilvl="5">
      <w:start w:val="0"/>
      <w:numFmt w:val="bullet"/>
      <w:lvlText w:val="•"/>
      <w:lvlJc w:val="left"/>
      <w:pPr>
        <w:ind w:left="2694" w:hanging="171"/>
      </w:pPr>
      <w:rPr>
        <w:rFonts w:hint="default"/>
      </w:rPr>
    </w:lvl>
    <w:lvl w:ilvl="6">
      <w:start w:val="0"/>
      <w:numFmt w:val="bullet"/>
      <w:lvlText w:val="•"/>
      <w:lvlJc w:val="left"/>
      <w:pPr>
        <w:ind w:left="3052" w:hanging="171"/>
      </w:pPr>
      <w:rPr>
        <w:rFonts w:hint="default"/>
      </w:rPr>
    </w:lvl>
    <w:lvl w:ilvl="7">
      <w:start w:val="0"/>
      <w:numFmt w:val="bullet"/>
      <w:lvlText w:val="•"/>
      <w:lvlJc w:val="left"/>
      <w:pPr>
        <w:ind w:left="3411" w:hanging="171"/>
      </w:pPr>
      <w:rPr>
        <w:rFonts w:hint="default"/>
      </w:rPr>
    </w:lvl>
    <w:lvl w:ilvl="8">
      <w:start w:val="0"/>
      <w:numFmt w:val="bullet"/>
      <w:lvlText w:val="•"/>
      <w:lvlJc w:val="left"/>
      <w:pPr>
        <w:ind w:left="3770" w:hanging="171"/>
      </w:pPr>
      <w:rPr>
        <w:rFonts w:hint="default"/>
      </w:rPr>
    </w:lvl>
  </w:abstractNum>
  <w:abstractNum w:abstractNumId="22">
    <w:multiLevelType w:val="hybridMultilevel"/>
    <w:lvl w:ilvl="0">
      <w:start w:val="4"/>
      <w:numFmt w:val="decimal"/>
      <w:lvlText w:val="%1"/>
      <w:lvlJc w:val="left"/>
      <w:pPr>
        <w:ind w:left="1264" w:hanging="545"/>
        <w:jc w:val="left"/>
      </w:pPr>
      <w:rPr>
        <w:rFonts w:hint="default"/>
      </w:rPr>
    </w:lvl>
    <w:lvl w:ilvl="1">
      <w:start w:val="4"/>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276" w:hanging="556"/>
        <w:jc w:val="right"/>
      </w:pPr>
      <w:rPr>
        <w:rFonts w:hint="default" w:ascii="Lucida Sans" w:hAnsi="Lucida Sans" w:eastAsia="Lucida Sans" w:cs="Lucida Sans"/>
        <w:color w:val="1C3E94"/>
        <w:w w:val="87"/>
        <w:sz w:val="20"/>
        <w:szCs w:val="20"/>
      </w:rPr>
    </w:lvl>
    <w:lvl w:ilvl="3">
      <w:start w:val="0"/>
      <w:numFmt w:val="bullet"/>
      <w:lvlText w:val="•"/>
      <w:lvlJc w:val="left"/>
      <w:pPr>
        <w:ind w:left="1992" w:hanging="556"/>
      </w:pPr>
      <w:rPr>
        <w:rFonts w:hint="default"/>
      </w:rPr>
    </w:lvl>
    <w:lvl w:ilvl="4">
      <w:start w:val="0"/>
      <w:numFmt w:val="bullet"/>
      <w:lvlText w:val="•"/>
      <w:lvlJc w:val="left"/>
      <w:pPr>
        <w:ind w:left="2349" w:hanging="556"/>
      </w:pPr>
      <w:rPr>
        <w:rFonts w:hint="default"/>
      </w:rPr>
    </w:lvl>
    <w:lvl w:ilvl="5">
      <w:start w:val="0"/>
      <w:numFmt w:val="bullet"/>
      <w:lvlText w:val="•"/>
      <w:lvlJc w:val="left"/>
      <w:pPr>
        <w:ind w:left="2705" w:hanging="556"/>
      </w:pPr>
      <w:rPr>
        <w:rFonts w:hint="default"/>
      </w:rPr>
    </w:lvl>
    <w:lvl w:ilvl="6">
      <w:start w:val="0"/>
      <w:numFmt w:val="bullet"/>
      <w:lvlText w:val="•"/>
      <w:lvlJc w:val="left"/>
      <w:pPr>
        <w:ind w:left="3062" w:hanging="556"/>
      </w:pPr>
      <w:rPr>
        <w:rFonts w:hint="default"/>
      </w:rPr>
    </w:lvl>
    <w:lvl w:ilvl="7">
      <w:start w:val="0"/>
      <w:numFmt w:val="bullet"/>
      <w:lvlText w:val="•"/>
      <w:lvlJc w:val="left"/>
      <w:pPr>
        <w:ind w:left="3418" w:hanging="556"/>
      </w:pPr>
      <w:rPr>
        <w:rFonts w:hint="default"/>
      </w:rPr>
    </w:lvl>
    <w:lvl w:ilvl="8">
      <w:start w:val="0"/>
      <w:numFmt w:val="bullet"/>
      <w:lvlText w:val="•"/>
      <w:lvlJc w:val="left"/>
      <w:pPr>
        <w:ind w:left="3775" w:hanging="556"/>
      </w:pPr>
      <w:rPr>
        <w:rFonts w:hint="default"/>
      </w:rPr>
    </w:lvl>
  </w:abstractNum>
  <w:abstractNum w:abstractNumId="21">
    <w:multiLevelType w:val="hybridMultilevel"/>
    <w:lvl w:ilvl="0">
      <w:start w:val="4"/>
      <w:numFmt w:val="decimal"/>
      <w:lvlText w:val="%1"/>
      <w:lvlJc w:val="left"/>
      <w:pPr>
        <w:ind w:left="1440" w:hanging="742"/>
        <w:jc w:val="left"/>
      </w:pPr>
      <w:rPr>
        <w:rFonts w:hint="default"/>
      </w:rPr>
    </w:lvl>
    <w:lvl w:ilvl="1">
      <w:start w:val="3"/>
      <w:numFmt w:val="decimal"/>
      <w:lvlText w:val="%1.%2"/>
      <w:lvlJc w:val="left"/>
      <w:pPr>
        <w:ind w:left="1440" w:hanging="742"/>
        <w:jc w:val="left"/>
      </w:pPr>
      <w:rPr>
        <w:rFonts w:hint="default"/>
      </w:rPr>
    </w:lvl>
    <w:lvl w:ilvl="2">
      <w:start w:val="9"/>
      <w:numFmt w:val="decimal"/>
      <w:lvlText w:val="%1.%2.%3"/>
      <w:lvlJc w:val="left"/>
      <w:pPr>
        <w:ind w:left="1440" w:hanging="742"/>
        <w:jc w:val="left"/>
      </w:pPr>
      <w:rPr>
        <w:rFonts w:hint="default"/>
      </w:rPr>
    </w:lvl>
    <w:lvl w:ilvl="3">
      <w:start w:val="10"/>
      <w:numFmt w:val="decimal"/>
      <w:lvlText w:val="%1.%2.%3.%4."/>
      <w:lvlJc w:val="left"/>
      <w:pPr>
        <w:ind w:left="1440" w:hanging="742"/>
        <w:jc w:val="right"/>
      </w:pPr>
      <w:rPr>
        <w:rFonts w:hint="default" w:ascii="Garamond" w:hAnsi="Garamond" w:eastAsia="Garamond" w:cs="Garamond"/>
        <w:i/>
        <w:color w:val="E36F1E"/>
        <w:w w:val="107"/>
        <w:sz w:val="20"/>
        <w:szCs w:val="20"/>
      </w:rPr>
    </w:lvl>
    <w:lvl w:ilvl="4">
      <w:start w:val="0"/>
      <w:numFmt w:val="bullet"/>
      <w:lvlText w:val="•"/>
      <w:lvlJc w:val="left"/>
      <w:pPr>
        <w:ind w:left="2948" w:hanging="742"/>
      </w:pPr>
      <w:rPr>
        <w:rFonts w:hint="default"/>
      </w:rPr>
    </w:lvl>
    <w:lvl w:ilvl="5">
      <w:start w:val="0"/>
      <w:numFmt w:val="bullet"/>
      <w:lvlText w:val="•"/>
      <w:lvlJc w:val="left"/>
      <w:pPr>
        <w:ind w:left="3326" w:hanging="742"/>
      </w:pPr>
      <w:rPr>
        <w:rFonts w:hint="default"/>
      </w:rPr>
    </w:lvl>
    <w:lvl w:ilvl="6">
      <w:start w:val="0"/>
      <w:numFmt w:val="bullet"/>
      <w:lvlText w:val="•"/>
      <w:lvlJc w:val="left"/>
      <w:pPr>
        <w:ind w:left="3703" w:hanging="742"/>
      </w:pPr>
      <w:rPr>
        <w:rFonts w:hint="default"/>
      </w:rPr>
    </w:lvl>
    <w:lvl w:ilvl="7">
      <w:start w:val="0"/>
      <w:numFmt w:val="bullet"/>
      <w:lvlText w:val="•"/>
      <w:lvlJc w:val="left"/>
      <w:pPr>
        <w:ind w:left="4080" w:hanging="742"/>
      </w:pPr>
      <w:rPr>
        <w:rFonts w:hint="default"/>
      </w:rPr>
    </w:lvl>
    <w:lvl w:ilvl="8">
      <w:start w:val="0"/>
      <w:numFmt w:val="bullet"/>
      <w:lvlText w:val="•"/>
      <w:lvlJc w:val="left"/>
      <w:pPr>
        <w:ind w:left="4457" w:hanging="742"/>
      </w:pPr>
      <w:rPr>
        <w:rFonts w:hint="default"/>
      </w:rPr>
    </w:lvl>
  </w:abstractNum>
  <w:abstractNum w:abstractNumId="20">
    <w:multiLevelType w:val="hybridMultilevel"/>
    <w:lvl w:ilvl="0">
      <w:start w:val="4"/>
      <w:numFmt w:val="decimal"/>
      <w:lvlText w:val="%1"/>
      <w:lvlJc w:val="left"/>
      <w:pPr>
        <w:ind w:left="720" w:hanging="642"/>
        <w:jc w:val="left"/>
      </w:pPr>
      <w:rPr>
        <w:rFonts w:hint="default"/>
      </w:rPr>
    </w:lvl>
    <w:lvl w:ilvl="1">
      <w:start w:val="3"/>
      <w:numFmt w:val="decimal"/>
      <w:lvlText w:val="%1.%2"/>
      <w:lvlJc w:val="left"/>
      <w:pPr>
        <w:ind w:left="720" w:hanging="642"/>
        <w:jc w:val="left"/>
      </w:pPr>
      <w:rPr>
        <w:rFonts w:hint="default"/>
      </w:rPr>
    </w:lvl>
    <w:lvl w:ilvl="2">
      <w:start w:val="9"/>
      <w:numFmt w:val="decimal"/>
      <w:lvlText w:val="%1.%2.%3"/>
      <w:lvlJc w:val="left"/>
      <w:pPr>
        <w:ind w:left="720" w:hanging="642"/>
        <w:jc w:val="left"/>
      </w:pPr>
      <w:rPr>
        <w:rFonts w:hint="default"/>
      </w:rPr>
    </w:lvl>
    <w:lvl w:ilvl="3">
      <w:start w:val="5"/>
      <w:numFmt w:val="decimal"/>
      <w:lvlText w:val="%1.%2.%3.%4."/>
      <w:lvlJc w:val="left"/>
      <w:pPr>
        <w:ind w:left="720" w:hanging="642"/>
        <w:jc w:val="right"/>
      </w:pPr>
      <w:rPr>
        <w:rFonts w:hint="default" w:ascii="Garamond" w:hAnsi="Garamond" w:eastAsia="Garamond" w:cs="Garamond"/>
        <w:i/>
        <w:color w:val="E36F1E"/>
        <w:w w:val="107"/>
        <w:sz w:val="20"/>
        <w:szCs w:val="20"/>
      </w:rPr>
    </w:lvl>
    <w:lvl w:ilvl="4">
      <w:start w:val="0"/>
      <w:numFmt w:val="bullet"/>
      <w:lvlText w:val="•"/>
      <w:lvlJc w:val="left"/>
      <w:pPr>
        <w:ind w:left="2230" w:hanging="642"/>
      </w:pPr>
      <w:rPr>
        <w:rFonts w:hint="default"/>
      </w:rPr>
    </w:lvl>
    <w:lvl w:ilvl="5">
      <w:start w:val="0"/>
      <w:numFmt w:val="bullet"/>
      <w:lvlText w:val="•"/>
      <w:lvlJc w:val="left"/>
      <w:pPr>
        <w:ind w:left="2608" w:hanging="642"/>
      </w:pPr>
      <w:rPr>
        <w:rFonts w:hint="default"/>
      </w:rPr>
    </w:lvl>
    <w:lvl w:ilvl="6">
      <w:start w:val="0"/>
      <w:numFmt w:val="bullet"/>
      <w:lvlText w:val="•"/>
      <w:lvlJc w:val="left"/>
      <w:pPr>
        <w:ind w:left="2986" w:hanging="642"/>
      </w:pPr>
      <w:rPr>
        <w:rFonts w:hint="default"/>
      </w:rPr>
    </w:lvl>
    <w:lvl w:ilvl="7">
      <w:start w:val="0"/>
      <w:numFmt w:val="bullet"/>
      <w:lvlText w:val="•"/>
      <w:lvlJc w:val="left"/>
      <w:pPr>
        <w:ind w:left="3364" w:hanging="642"/>
      </w:pPr>
      <w:rPr>
        <w:rFonts w:hint="default"/>
      </w:rPr>
    </w:lvl>
    <w:lvl w:ilvl="8">
      <w:start w:val="0"/>
      <w:numFmt w:val="bullet"/>
      <w:lvlText w:val="•"/>
      <w:lvlJc w:val="left"/>
      <w:pPr>
        <w:ind w:left="3741" w:hanging="642"/>
      </w:pPr>
      <w:rPr>
        <w:rFonts w:hint="default"/>
      </w:rPr>
    </w:lvl>
  </w:abstractNum>
  <w:abstractNum w:abstractNumId="19">
    <w:multiLevelType w:val="hybridMultilevel"/>
    <w:lvl w:ilvl="0">
      <w:start w:val="4"/>
      <w:numFmt w:val="decimal"/>
      <w:lvlText w:val="%1"/>
      <w:lvlJc w:val="left"/>
      <w:pPr>
        <w:ind w:left="1440" w:hanging="630"/>
        <w:jc w:val="left"/>
      </w:pPr>
      <w:rPr>
        <w:rFonts w:hint="default"/>
      </w:rPr>
    </w:lvl>
    <w:lvl w:ilvl="1">
      <w:start w:val="3"/>
      <w:numFmt w:val="decimal"/>
      <w:lvlText w:val="%1.%2"/>
      <w:lvlJc w:val="left"/>
      <w:pPr>
        <w:ind w:left="1440" w:hanging="630"/>
        <w:jc w:val="left"/>
      </w:pPr>
      <w:rPr>
        <w:rFonts w:hint="default"/>
      </w:rPr>
    </w:lvl>
    <w:lvl w:ilvl="2">
      <w:start w:val="9"/>
      <w:numFmt w:val="decimal"/>
      <w:lvlText w:val="%1.%2.%3"/>
      <w:lvlJc w:val="left"/>
      <w:pPr>
        <w:ind w:left="1440" w:hanging="630"/>
        <w:jc w:val="left"/>
      </w:pPr>
      <w:rPr>
        <w:rFonts w:hint="default"/>
      </w:rPr>
    </w:lvl>
    <w:lvl w:ilvl="3">
      <w:start w:val="3"/>
      <w:numFmt w:val="decimal"/>
      <w:lvlText w:val="%1.%2.%3.%4."/>
      <w:lvlJc w:val="left"/>
      <w:pPr>
        <w:ind w:left="1440" w:hanging="630"/>
        <w:jc w:val="left"/>
      </w:pPr>
      <w:rPr>
        <w:rFonts w:hint="default" w:ascii="Garamond" w:hAnsi="Garamond" w:eastAsia="Garamond" w:cs="Garamond"/>
        <w:i/>
        <w:color w:val="E36F1E"/>
        <w:w w:val="105"/>
        <w:sz w:val="20"/>
        <w:szCs w:val="20"/>
      </w:rPr>
    </w:lvl>
    <w:lvl w:ilvl="4">
      <w:start w:val="0"/>
      <w:numFmt w:val="bullet"/>
      <w:lvlText w:val="•"/>
      <w:lvlJc w:val="left"/>
      <w:pPr>
        <w:ind w:left="2952" w:hanging="630"/>
      </w:pPr>
      <w:rPr>
        <w:rFonts w:hint="default"/>
      </w:rPr>
    </w:lvl>
    <w:lvl w:ilvl="5">
      <w:start w:val="0"/>
      <w:numFmt w:val="bullet"/>
      <w:lvlText w:val="•"/>
      <w:lvlJc w:val="left"/>
      <w:pPr>
        <w:ind w:left="3330" w:hanging="630"/>
      </w:pPr>
      <w:rPr>
        <w:rFonts w:hint="default"/>
      </w:rPr>
    </w:lvl>
    <w:lvl w:ilvl="6">
      <w:start w:val="0"/>
      <w:numFmt w:val="bullet"/>
      <w:lvlText w:val="•"/>
      <w:lvlJc w:val="left"/>
      <w:pPr>
        <w:ind w:left="3708" w:hanging="630"/>
      </w:pPr>
      <w:rPr>
        <w:rFonts w:hint="default"/>
      </w:rPr>
    </w:lvl>
    <w:lvl w:ilvl="7">
      <w:start w:val="0"/>
      <w:numFmt w:val="bullet"/>
      <w:lvlText w:val="•"/>
      <w:lvlJc w:val="left"/>
      <w:pPr>
        <w:ind w:left="4086" w:hanging="630"/>
      </w:pPr>
      <w:rPr>
        <w:rFonts w:hint="default"/>
      </w:rPr>
    </w:lvl>
    <w:lvl w:ilvl="8">
      <w:start w:val="0"/>
      <w:numFmt w:val="bullet"/>
      <w:lvlText w:val="•"/>
      <w:lvlJc w:val="left"/>
      <w:pPr>
        <w:ind w:left="4464" w:hanging="630"/>
      </w:pPr>
      <w:rPr>
        <w:rFonts w:hint="default"/>
      </w:rPr>
    </w:lvl>
  </w:abstractNum>
  <w:abstractNum w:abstractNumId="18">
    <w:multiLevelType w:val="hybridMultilevel"/>
    <w:lvl w:ilvl="0">
      <w:start w:val="4"/>
      <w:numFmt w:val="decimal"/>
      <w:lvlText w:val="%1"/>
      <w:lvlJc w:val="left"/>
      <w:pPr>
        <w:ind w:left="720" w:hanging="642"/>
        <w:jc w:val="left"/>
      </w:pPr>
      <w:rPr>
        <w:rFonts w:hint="default"/>
      </w:rPr>
    </w:lvl>
    <w:lvl w:ilvl="1">
      <w:start w:val="3"/>
      <w:numFmt w:val="decimal"/>
      <w:lvlText w:val="%1.%2"/>
      <w:lvlJc w:val="left"/>
      <w:pPr>
        <w:ind w:left="720" w:hanging="642"/>
        <w:jc w:val="left"/>
      </w:pPr>
      <w:rPr>
        <w:rFonts w:hint="default"/>
      </w:rPr>
    </w:lvl>
    <w:lvl w:ilvl="2">
      <w:start w:val="9"/>
      <w:numFmt w:val="decimal"/>
      <w:lvlText w:val="%1.%2.%3"/>
      <w:lvlJc w:val="left"/>
      <w:pPr>
        <w:ind w:left="720" w:hanging="642"/>
        <w:jc w:val="left"/>
      </w:pPr>
      <w:rPr>
        <w:rFonts w:hint="default"/>
      </w:rPr>
    </w:lvl>
    <w:lvl w:ilvl="3">
      <w:start w:val="1"/>
      <w:numFmt w:val="decimal"/>
      <w:lvlText w:val="%1.%2.%3.%4."/>
      <w:lvlJc w:val="left"/>
      <w:pPr>
        <w:ind w:left="720" w:hanging="642"/>
        <w:jc w:val="right"/>
      </w:pPr>
      <w:rPr>
        <w:rFonts w:hint="default" w:ascii="Garamond" w:hAnsi="Garamond" w:eastAsia="Garamond" w:cs="Garamond"/>
        <w:i/>
        <w:color w:val="E36F1E"/>
        <w:w w:val="107"/>
        <w:sz w:val="20"/>
        <w:szCs w:val="20"/>
      </w:rPr>
    </w:lvl>
    <w:lvl w:ilvl="4">
      <w:start w:val="0"/>
      <w:numFmt w:val="bullet"/>
      <w:lvlText w:val="•"/>
      <w:lvlJc w:val="left"/>
      <w:pPr>
        <w:ind w:left="2232" w:hanging="642"/>
      </w:pPr>
      <w:rPr>
        <w:rFonts w:hint="default"/>
      </w:rPr>
    </w:lvl>
    <w:lvl w:ilvl="5">
      <w:start w:val="0"/>
      <w:numFmt w:val="bullet"/>
      <w:lvlText w:val="•"/>
      <w:lvlJc w:val="left"/>
      <w:pPr>
        <w:ind w:left="2610" w:hanging="642"/>
      </w:pPr>
      <w:rPr>
        <w:rFonts w:hint="default"/>
      </w:rPr>
    </w:lvl>
    <w:lvl w:ilvl="6">
      <w:start w:val="0"/>
      <w:numFmt w:val="bullet"/>
      <w:lvlText w:val="•"/>
      <w:lvlJc w:val="left"/>
      <w:pPr>
        <w:ind w:left="2988" w:hanging="642"/>
      </w:pPr>
      <w:rPr>
        <w:rFonts w:hint="default"/>
      </w:rPr>
    </w:lvl>
    <w:lvl w:ilvl="7">
      <w:start w:val="0"/>
      <w:numFmt w:val="bullet"/>
      <w:lvlText w:val="•"/>
      <w:lvlJc w:val="left"/>
      <w:pPr>
        <w:ind w:left="3366" w:hanging="642"/>
      </w:pPr>
      <w:rPr>
        <w:rFonts w:hint="default"/>
      </w:rPr>
    </w:lvl>
    <w:lvl w:ilvl="8">
      <w:start w:val="0"/>
      <w:numFmt w:val="bullet"/>
      <w:lvlText w:val="•"/>
      <w:lvlJc w:val="left"/>
      <w:pPr>
        <w:ind w:left="3744" w:hanging="642"/>
      </w:pPr>
      <w:rPr>
        <w:rFonts w:hint="default"/>
      </w:rPr>
    </w:lvl>
  </w:abstractNum>
  <w:abstractNum w:abstractNumId="17">
    <w:multiLevelType w:val="hybridMultilevel"/>
    <w:lvl w:ilvl="0">
      <w:start w:val="4"/>
      <w:numFmt w:val="decimal"/>
      <w:lvlText w:val="%1"/>
      <w:lvlJc w:val="left"/>
      <w:pPr>
        <w:ind w:left="319" w:hanging="556"/>
        <w:jc w:val="left"/>
      </w:pPr>
      <w:rPr>
        <w:rFonts w:hint="default"/>
      </w:rPr>
    </w:lvl>
    <w:lvl w:ilvl="1">
      <w:start w:val="3"/>
      <w:numFmt w:val="decimal"/>
      <w:lvlText w:val="%1.%2"/>
      <w:lvlJc w:val="left"/>
      <w:pPr>
        <w:ind w:left="319" w:hanging="556"/>
        <w:jc w:val="left"/>
      </w:pPr>
      <w:rPr>
        <w:rFonts w:hint="default"/>
      </w:rPr>
    </w:lvl>
    <w:lvl w:ilvl="2">
      <w:start w:val="9"/>
      <w:numFmt w:val="decimal"/>
      <w:lvlText w:val="%1.%2.%3."/>
      <w:lvlJc w:val="left"/>
      <w:pPr>
        <w:ind w:left="319"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1971" w:hanging="172"/>
      </w:pPr>
      <w:rPr>
        <w:rFonts w:hint="default" w:ascii="Calibri" w:hAnsi="Calibri" w:eastAsia="Calibri" w:cs="Calibri"/>
        <w:color w:val="1C3E94"/>
        <w:w w:val="90"/>
        <w:sz w:val="18"/>
        <w:szCs w:val="18"/>
      </w:rPr>
    </w:lvl>
    <w:lvl w:ilvl="4">
      <w:start w:val="0"/>
      <w:numFmt w:val="bullet"/>
      <w:lvlText w:val="•"/>
      <w:lvlJc w:val="left"/>
      <w:pPr>
        <w:ind w:left="2926" w:hanging="172"/>
      </w:pPr>
      <w:rPr>
        <w:rFonts w:hint="default"/>
      </w:rPr>
    </w:lvl>
    <w:lvl w:ilvl="5">
      <w:start w:val="0"/>
      <w:numFmt w:val="bullet"/>
      <w:lvlText w:val="•"/>
      <w:lvlJc w:val="left"/>
      <w:pPr>
        <w:ind w:left="3242" w:hanging="172"/>
      </w:pPr>
      <w:rPr>
        <w:rFonts w:hint="default"/>
      </w:rPr>
    </w:lvl>
    <w:lvl w:ilvl="6">
      <w:start w:val="0"/>
      <w:numFmt w:val="bullet"/>
      <w:lvlText w:val="•"/>
      <w:lvlJc w:val="left"/>
      <w:pPr>
        <w:ind w:left="3557" w:hanging="172"/>
      </w:pPr>
      <w:rPr>
        <w:rFonts w:hint="default"/>
      </w:rPr>
    </w:lvl>
    <w:lvl w:ilvl="7">
      <w:start w:val="0"/>
      <w:numFmt w:val="bullet"/>
      <w:lvlText w:val="•"/>
      <w:lvlJc w:val="left"/>
      <w:pPr>
        <w:ind w:left="3873" w:hanging="172"/>
      </w:pPr>
      <w:rPr>
        <w:rFonts w:hint="default"/>
      </w:rPr>
    </w:lvl>
    <w:lvl w:ilvl="8">
      <w:start w:val="0"/>
      <w:numFmt w:val="bullet"/>
      <w:lvlText w:val="•"/>
      <w:lvlJc w:val="left"/>
      <w:pPr>
        <w:ind w:left="4188" w:hanging="172"/>
      </w:pPr>
      <w:rPr>
        <w:rFonts w:hint="default"/>
      </w:rPr>
    </w:lvl>
  </w:abstractNum>
  <w:abstractNum w:abstractNumId="16">
    <w:multiLevelType w:val="hybridMultilevel"/>
    <w:lvl w:ilvl="0">
      <w:start w:val="4"/>
      <w:numFmt w:val="decimal"/>
      <w:lvlText w:val="%1"/>
      <w:lvlJc w:val="left"/>
      <w:pPr>
        <w:ind w:left="1440" w:hanging="642"/>
        <w:jc w:val="left"/>
      </w:pPr>
      <w:rPr>
        <w:rFonts w:hint="default"/>
      </w:rPr>
    </w:lvl>
    <w:lvl w:ilvl="1">
      <w:start w:val="3"/>
      <w:numFmt w:val="decimal"/>
      <w:lvlText w:val="%1.%2"/>
      <w:lvlJc w:val="left"/>
      <w:pPr>
        <w:ind w:left="1440" w:hanging="642"/>
        <w:jc w:val="left"/>
      </w:pPr>
      <w:rPr>
        <w:rFonts w:hint="default"/>
      </w:rPr>
    </w:lvl>
    <w:lvl w:ilvl="2">
      <w:start w:val="8"/>
      <w:numFmt w:val="decimal"/>
      <w:lvlText w:val="%1.%2.%3"/>
      <w:lvlJc w:val="left"/>
      <w:pPr>
        <w:ind w:left="1440" w:hanging="642"/>
        <w:jc w:val="left"/>
      </w:pPr>
      <w:rPr>
        <w:rFonts w:hint="default"/>
      </w:rPr>
    </w:lvl>
    <w:lvl w:ilvl="3">
      <w:start w:val="2"/>
      <w:numFmt w:val="decimal"/>
      <w:lvlText w:val="%1.%2.%3.%4."/>
      <w:lvlJc w:val="left"/>
      <w:pPr>
        <w:ind w:left="1440" w:hanging="642"/>
        <w:jc w:val="left"/>
      </w:pPr>
      <w:rPr>
        <w:rFonts w:hint="default" w:ascii="Garamond" w:hAnsi="Garamond" w:eastAsia="Garamond" w:cs="Garamond"/>
        <w:i/>
        <w:color w:val="E36F1E"/>
        <w:w w:val="107"/>
        <w:sz w:val="20"/>
        <w:szCs w:val="20"/>
      </w:rPr>
    </w:lvl>
    <w:lvl w:ilvl="4">
      <w:start w:val="0"/>
      <w:numFmt w:val="bullet"/>
      <w:lvlText w:val="•"/>
      <w:lvlJc w:val="left"/>
      <w:pPr>
        <w:ind w:left="2952" w:hanging="642"/>
      </w:pPr>
      <w:rPr>
        <w:rFonts w:hint="default"/>
      </w:rPr>
    </w:lvl>
    <w:lvl w:ilvl="5">
      <w:start w:val="0"/>
      <w:numFmt w:val="bullet"/>
      <w:lvlText w:val="•"/>
      <w:lvlJc w:val="left"/>
      <w:pPr>
        <w:ind w:left="3330" w:hanging="642"/>
      </w:pPr>
      <w:rPr>
        <w:rFonts w:hint="default"/>
      </w:rPr>
    </w:lvl>
    <w:lvl w:ilvl="6">
      <w:start w:val="0"/>
      <w:numFmt w:val="bullet"/>
      <w:lvlText w:val="•"/>
      <w:lvlJc w:val="left"/>
      <w:pPr>
        <w:ind w:left="3708" w:hanging="642"/>
      </w:pPr>
      <w:rPr>
        <w:rFonts w:hint="default"/>
      </w:rPr>
    </w:lvl>
    <w:lvl w:ilvl="7">
      <w:start w:val="0"/>
      <w:numFmt w:val="bullet"/>
      <w:lvlText w:val="•"/>
      <w:lvlJc w:val="left"/>
      <w:pPr>
        <w:ind w:left="4086" w:hanging="642"/>
      </w:pPr>
      <w:rPr>
        <w:rFonts w:hint="default"/>
      </w:rPr>
    </w:lvl>
    <w:lvl w:ilvl="8">
      <w:start w:val="0"/>
      <w:numFmt w:val="bullet"/>
      <w:lvlText w:val="•"/>
      <w:lvlJc w:val="left"/>
      <w:pPr>
        <w:ind w:left="4464" w:hanging="642"/>
      </w:pPr>
      <w:rPr>
        <w:rFonts w:hint="default"/>
      </w:rPr>
    </w:lvl>
  </w:abstractNum>
  <w:abstractNum w:abstractNumId="15">
    <w:multiLevelType w:val="hybridMultilevel"/>
    <w:lvl w:ilvl="0">
      <w:start w:val="4"/>
      <w:numFmt w:val="decimal"/>
      <w:lvlText w:val="%1"/>
      <w:lvlJc w:val="left"/>
      <w:pPr>
        <w:ind w:left="1264" w:hanging="545"/>
        <w:jc w:val="left"/>
      </w:pPr>
      <w:rPr>
        <w:rFonts w:hint="default"/>
      </w:rPr>
    </w:lvl>
    <w:lvl w:ilvl="1">
      <w:start w:val="3"/>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7"/>
      <w:numFmt w:val="decimal"/>
      <w:lvlText w:val="%1.%2.%3."/>
      <w:lvlJc w:val="left"/>
      <w:pPr>
        <w:ind w:left="345" w:hanging="556"/>
        <w:jc w:val="right"/>
      </w:pPr>
      <w:rPr>
        <w:rFonts w:hint="default" w:ascii="Lucida Sans" w:hAnsi="Lucida Sans" w:eastAsia="Lucida Sans" w:cs="Lucida Sans"/>
        <w:color w:val="1C3E94"/>
        <w:w w:val="87"/>
        <w:sz w:val="20"/>
        <w:szCs w:val="20"/>
      </w:rPr>
    </w:lvl>
    <w:lvl w:ilvl="3">
      <w:start w:val="1"/>
      <w:numFmt w:val="decimal"/>
      <w:lvlText w:val="%1.%2.%3.%4."/>
      <w:lvlJc w:val="left"/>
      <w:pPr>
        <w:ind w:left="345" w:hanging="642"/>
        <w:jc w:val="left"/>
      </w:pPr>
      <w:rPr>
        <w:rFonts w:hint="default" w:ascii="Garamond" w:hAnsi="Garamond" w:eastAsia="Garamond" w:cs="Garamond"/>
        <w:i/>
        <w:color w:val="E36F1E"/>
        <w:w w:val="107"/>
        <w:sz w:val="20"/>
        <w:szCs w:val="20"/>
      </w:rPr>
    </w:lvl>
    <w:lvl w:ilvl="4">
      <w:start w:val="0"/>
      <w:numFmt w:val="bullet"/>
      <w:lvlText w:val="•"/>
      <w:lvlJc w:val="left"/>
      <w:pPr>
        <w:ind w:left="1610" w:hanging="171"/>
      </w:pPr>
      <w:rPr>
        <w:rFonts w:hint="default" w:ascii="Garamond" w:hAnsi="Garamond" w:eastAsia="Garamond" w:cs="Garamond"/>
        <w:color w:val="00A94F"/>
        <w:spacing w:val="-4"/>
        <w:w w:val="97"/>
        <w:sz w:val="20"/>
        <w:szCs w:val="20"/>
      </w:rPr>
    </w:lvl>
    <w:lvl w:ilvl="5">
      <w:start w:val="0"/>
      <w:numFmt w:val="bullet"/>
      <w:lvlText w:val="•"/>
      <w:lvlJc w:val="left"/>
      <w:pPr>
        <w:ind w:left="997" w:hanging="171"/>
      </w:pPr>
      <w:rPr>
        <w:rFonts w:hint="default"/>
      </w:rPr>
    </w:lvl>
    <w:lvl w:ilvl="6">
      <w:start w:val="0"/>
      <w:numFmt w:val="bullet"/>
      <w:lvlText w:val="•"/>
      <w:lvlJc w:val="left"/>
      <w:pPr>
        <w:ind w:left="790" w:hanging="171"/>
      </w:pPr>
      <w:rPr>
        <w:rFonts w:hint="default"/>
      </w:rPr>
    </w:lvl>
    <w:lvl w:ilvl="7">
      <w:start w:val="0"/>
      <w:numFmt w:val="bullet"/>
      <w:lvlText w:val="•"/>
      <w:lvlJc w:val="left"/>
      <w:pPr>
        <w:ind w:left="582" w:hanging="171"/>
      </w:pPr>
      <w:rPr>
        <w:rFonts w:hint="default"/>
      </w:rPr>
    </w:lvl>
    <w:lvl w:ilvl="8">
      <w:start w:val="0"/>
      <w:numFmt w:val="bullet"/>
      <w:lvlText w:val="•"/>
      <w:lvlJc w:val="left"/>
      <w:pPr>
        <w:ind w:left="375" w:hanging="171"/>
      </w:pPr>
      <w:rPr>
        <w:rFonts w:hint="default"/>
      </w:rPr>
    </w:lvl>
  </w:abstractNum>
  <w:abstractNum w:abstractNumId="14">
    <w:multiLevelType w:val="hybridMultilevel"/>
    <w:lvl w:ilvl="0">
      <w:start w:val="4"/>
      <w:numFmt w:val="decimal"/>
      <w:lvlText w:val="%1"/>
      <w:lvlJc w:val="left"/>
      <w:pPr>
        <w:ind w:left="1984" w:hanging="545"/>
        <w:jc w:val="left"/>
      </w:pPr>
      <w:rPr>
        <w:rFonts w:hint="default"/>
      </w:rPr>
    </w:lvl>
    <w:lvl w:ilvl="1">
      <w:start w:val="3"/>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4"/>
      <w:numFmt w:val="decimal"/>
      <w:lvlText w:val="%1.%2.%3."/>
      <w:lvlJc w:val="left"/>
      <w:pPr>
        <w:ind w:left="321" w:hanging="556"/>
        <w:jc w:val="right"/>
      </w:pPr>
      <w:rPr>
        <w:rFonts w:hint="default" w:ascii="Lucida Sans" w:hAnsi="Lucida Sans" w:eastAsia="Lucida Sans" w:cs="Lucida Sans"/>
        <w:color w:val="1C3E94"/>
        <w:w w:val="87"/>
        <w:sz w:val="20"/>
        <w:szCs w:val="20"/>
      </w:rPr>
    </w:lvl>
    <w:lvl w:ilvl="3">
      <w:start w:val="0"/>
      <w:numFmt w:val="bullet"/>
      <w:lvlText w:val="•"/>
      <w:lvlJc w:val="left"/>
      <w:pPr>
        <w:ind w:left="2699" w:hanging="556"/>
      </w:pPr>
      <w:rPr>
        <w:rFonts w:hint="default"/>
      </w:rPr>
    </w:lvl>
    <w:lvl w:ilvl="4">
      <w:start w:val="0"/>
      <w:numFmt w:val="bullet"/>
      <w:lvlText w:val="•"/>
      <w:lvlJc w:val="left"/>
      <w:pPr>
        <w:ind w:left="3059" w:hanging="556"/>
      </w:pPr>
      <w:rPr>
        <w:rFonts w:hint="default"/>
      </w:rPr>
    </w:lvl>
    <w:lvl w:ilvl="5">
      <w:start w:val="0"/>
      <w:numFmt w:val="bullet"/>
      <w:lvlText w:val="•"/>
      <w:lvlJc w:val="left"/>
      <w:pPr>
        <w:ind w:left="3419" w:hanging="556"/>
      </w:pPr>
      <w:rPr>
        <w:rFonts w:hint="default"/>
      </w:rPr>
    </w:lvl>
    <w:lvl w:ilvl="6">
      <w:start w:val="0"/>
      <w:numFmt w:val="bullet"/>
      <w:lvlText w:val="•"/>
      <w:lvlJc w:val="left"/>
      <w:pPr>
        <w:ind w:left="3779" w:hanging="556"/>
      </w:pPr>
      <w:rPr>
        <w:rFonts w:hint="default"/>
      </w:rPr>
    </w:lvl>
    <w:lvl w:ilvl="7">
      <w:start w:val="0"/>
      <w:numFmt w:val="bullet"/>
      <w:lvlText w:val="•"/>
      <w:lvlJc w:val="left"/>
      <w:pPr>
        <w:ind w:left="4139" w:hanging="556"/>
      </w:pPr>
      <w:rPr>
        <w:rFonts w:hint="default"/>
      </w:rPr>
    </w:lvl>
    <w:lvl w:ilvl="8">
      <w:start w:val="0"/>
      <w:numFmt w:val="bullet"/>
      <w:lvlText w:val="•"/>
      <w:lvlJc w:val="left"/>
      <w:pPr>
        <w:ind w:left="4499" w:hanging="556"/>
      </w:pPr>
      <w:rPr>
        <w:rFonts w:hint="default"/>
      </w:rPr>
    </w:lvl>
  </w:abstractNum>
  <w:abstractNum w:abstractNumId="13">
    <w:multiLevelType w:val="hybridMultilevel"/>
    <w:lvl w:ilvl="0">
      <w:start w:val="4"/>
      <w:numFmt w:val="decimal"/>
      <w:lvlText w:val="%1"/>
      <w:lvlJc w:val="left"/>
      <w:pPr>
        <w:ind w:left="1264" w:hanging="545"/>
        <w:jc w:val="left"/>
      </w:pPr>
      <w:rPr>
        <w:rFonts w:hint="default"/>
      </w:rPr>
    </w:lvl>
    <w:lvl w:ilvl="1">
      <w:start w:val="3"/>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276"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1991" w:hanging="556"/>
      </w:pPr>
      <w:rPr>
        <w:rFonts w:hint="default"/>
      </w:rPr>
    </w:lvl>
    <w:lvl w:ilvl="4">
      <w:start w:val="0"/>
      <w:numFmt w:val="bullet"/>
      <w:lvlText w:val="•"/>
      <w:lvlJc w:val="left"/>
      <w:pPr>
        <w:ind w:left="2347" w:hanging="556"/>
      </w:pPr>
      <w:rPr>
        <w:rFonts w:hint="default"/>
      </w:rPr>
    </w:lvl>
    <w:lvl w:ilvl="5">
      <w:start w:val="0"/>
      <w:numFmt w:val="bullet"/>
      <w:lvlText w:val="•"/>
      <w:lvlJc w:val="left"/>
      <w:pPr>
        <w:ind w:left="2702" w:hanging="556"/>
      </w:pPr>
      <w:rPr>
        <w:rFonts w:hint="default"/>
      </w:rPr>
    </w:lvl>
    <w:lvl w:ilvl="6">
      <w:start w:val="0"/>
      <w:numFmt w:val="bullet"/>
      <w:lvlText w:val="•"/>
      <w:lvlJc w:val="left"/>
      <w:pPr>
        <w:ind w:left="3058" w:hanging="556"/>
      </w:pPr>
      <w:rPr>
        <w:rFonts w:hint="default"/>
      </w:rPr>
    </w:lvl>
    <w:lvl w:ilvl="7">
      <w:start w:val="0"/>
      <w:numFmt w:val="bullet"/>
      <w:lvlText w:val="•"/>
      <w:lvlJc w:val="left"/>
      <w:pPr>
        <w:ind w:left="3414" w:hanging="556"/>
      </w:pPr>
      <w:rPr>
        <w:rFonts w:hint="default"/>
      </w:rPr>
    </w:lvl>
    <w:lvl w:ilvl="8">
      <w:start w:val="0"/>
      <w:numFmt w:val="bullet"/>
      <w:lvlText w:val="•"/>
      <w:lvlJc w:val="left"/>
      <w:pPr>
        <w:ind w:left="3769" w:hanging="556"/>
      </w:pPr>
      <w:rPr>
        <w:rFonts w:hint="default"/>
      </w:rPr>
    </w:lvl>
  </w:abstractNum>
  <w:abstractNum w:abstractNumId="12">
    <w:multiLevelType w:val="hybridMultilevel"/>
    <w:lvl w:ilvl="0">
      <w:start w:val="4"/>
      <w:numFmt w:val="decimal"/>
      <w:lvlText w:val="%1"/>
      <w:lvlJc w:val="left"/>
      <w:pPr>
        <w:ind w:left="1264" w:hanging="545"/>
        <w:jc w:val="left"/>
      </w:pPr>
      <w:rPr>
        <w:rFonts w:hint="default"/>
      </w:rPr>
    </w:lvl>
    <w:lvl w:ilvl="1">
      <w:start w:val="2"/>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11"/>
      <w:numFmt w:val="decimal"/>
      <w:lvlText w:val="%1.%2.%3."/>
      <w:lvlJc w:val="left"/>
      <w:pPr>
        <w:ind w:left="720" w:hanging="668"/>
        <w:jc w:val="right"/>
      </w:pPr>
      <w:rPr>
        <w:rFonts w:hint="default" w:ascii="Lucida Sans" w:hAnsi="Lucida Sans" w:eastAsia="Lucida Sans" w:cs="Lucida Sans"/>
        <w:color w:val="1C3E94"/>
        <w:w w:val="87"/>
        <w:sz w:val="20"/>
        <w:szCs w:val="20"/>
      </w:rPr>
    </w:lvl>
    <w:lvl w:ilvl="3">
      <w:start w:val="0"/>
      <w:numFmt w:val="bullet"/>
      <w:lvlText w:val="•"/>
      <w:lvlJc w:val="left"/>
      <w:pPr>
        <w:ind w:left="1975" w:hanging="668"/>
      </w:pPr>
      <w:rPr>
        <w:rFonts w:hint="default"/>
      </w:rPr>
    </w:lvl>
    <w:lvl w:ilvl="4">
      <w:start w:val="0"/>
      <w:numFmt w:val="bullet"/>
      <w:lvlText w:val="•"/>
      <w:lvlJc w:val="left"/>
      <w:pPr>
        <w:ind w:left="2333" w:hanging="668"/>
      </w:pPr>
      <w:rPr>
        <w:rFonts w:hint="default"/>
      </w:rPr>
    </w:lvl>
    <w:lvl w:ilvl="5">
      <w:start w:val="0"/>
      <w:numFmt w:val="bullet"/>
      <w:lvlText w:val="•"/>
      <w:lvlJc w:val="left"/>
      <w:pPr>
        <w:ind w:left="2691" w:hanging="668"/>
      </w:pPr>
      <w:rPr>
        <w:rFonts w:hint="default"/>
      </w:rPr>
    </w:lvl>
    <w:lvl w:ilvl="6">
      <w:start w:val="0"/>
      <w:numFmt w:val="bullet"/>
      <w:lvlText w:val="•"/>
      <w:lvlJc w:val="left"/>
      <w:pPr>
        <w:ind w:left="3049" w:hanging="668"/>
      </w:pPr>
      <w:rPr>
        <w:rFonts w:hint="default"/>
      </w:rPr>
    </w:lvl>
    <w:lvl w:ilvl="7">
      <w:start w:val="0"/>
      <w:numFmt w:val="bullet"/>
      <w:lvlText w:val="•"/>
      <w:lvlJc w:val="left"/>
      <w:pPr>
        <w:ind w:left="3407" w:hanging="668"/>
      </w:pPr>
      <w:rPr>
        <w:rFonts w:hint="default"/>
      </w:rPr>
    </w:lvl>
    <w:lvl w:ilvl="8">
      <w:start w:val="0"/>
      <w:numFmt w:val="bullet"/>
      <w:lvlText w:val="•"/>
      <w:lvlJc w:val="left"/>
      <w:pPr>
        <w:ind w:left="3765" w:hanging="668"/>
      </w:pPr>
      <w:rPr>
        <w:rFonts w:hint="default"/>
      </w:rPr>
    </w:lvl>
  </w:abstractNum>
  <w:abstractNum w:abstractNumId="11">
    <w:multiLevelType w:val="hybridMultilevel"/>
    <w:lvl w:ilvl="0">
      <w:start w:val="4"/>
      <w:numFmt w:val="decimal"/>
      <w:lvlText w:val="%1"/>
      <w:lvlJc w:val="left"/>
      <w:pPr>
        <w:ind w:left="2182" w:hanging="742"/>
        <w:jc w:val="left"/>
      </w:pPr>
      <w:rPr>
        <w:rFonts w:hint="default"/>
      </w:rPr>
    </w:lvl>
    <w:lvl w:ilvl="1">
      <w:start w:val="2"/>
      <w:numFmt w:val="decimal"/>
      <w:lvlText w:val="%1.%2"/>
      <w:lvlJc w:val="left"/>
      <w:pPr>
        <w:ind w:left="2182" w:hanging="742"/>
        <w:jc w:val="left"/>
      </w:pPr>
      <w:rPr>
        <w:rFonts w:hint="default"/>
      </w:rPr>
    </w:lvl>
    <w:lvl w:ilvl="2">
      <w:start w:val="10"/>
      <w:numFmt w:val="decimal"/>
      <w:lvlText w:val="%1.%2.%3"/>
      <w:lvlJc w:val="left"/>
      <w:pPr>
        <w:ind w:left="2182" w:hanging="742"/>
        <w:jc w:val="left"/>
      </w:pPr>
      <w:rPr>
        <w:rFonts w:hint="default"/>
      </w:rPr>
    </w:lvl>
    <w:lvl w:ilvl="3">
      <w:start w:val="4"/>
      <w:numFmt w:val="decimal"/>
      <w:lvlText w:val="%1.%2.%3.%4."/>
      <w:lvlJc w:val="left"/>
      <w:pPr>
        <w:ind w:left="2182" w:hanging="742"/>
        <w:jc w:val="right"/>
      </w:pPr>
      <w:rPr>
        <w:rFonts w:hint="default" w:ascii="Garamond" w:hAnsi="Garamond" w:eastAsia="Garamond" w:cs="Garamond"/>
        <w:i/>
        <w:color w:val="E36F1E"/>
        <w:w w:val="107"/>
        <w:sz w:val="20"/>
        <w:szCs w:val="20"/>
      </w:rPr>
    </w:lvl>
    <w:lvl w:ilvl="4">
      <w:start w:val="0"/>
      <w:numFmt w:val="bullet"/>
      <w:lvlText w:val="•"/>
      <w:lvlJc w:val="left"/>
      <w:pPr>
        <w:ind w:left="1971" w:hanging="172"/>
      </w:pPr>
      <w:rPr>
        <w:rFonts w:hint="default" w:ascii="Calibri" w:hAnsi="Calibri" w:eastAsia="Calibri" w:cs="Calibri"/>
        <w:color w:val="1C3E94"/>
        <w:w w:val="90"/>
        <w:sz w:val="18"/>
        <w:szCs w:val="18"/>
      </w:rPr>
    </w:lvl>
    <w:lvl w:ilvl="5">
      <w:start w:val="0"/>
      <w:numFmt w:val="bullet"/>
      <w:lvlText w:val="•"/>
      <w:lvlJc w:val="left"/>
      <w:pPr>
        <w:ind w:left="3488" w:hanging="172"/>
      </w:pPr>
      <w:rPr>
        <w:rFonts w:hint="default"/>
      </w:rPr>
    </w:lvl>
    <w:lvl w:ilvl="6">
      <w:start w:val="0"/>
      <w:numFmt w:val="bullet"/>
      <w:lvlText w:val="•"/>
      <w:lvlJc w:val="left"/>
      <w:pPr>
        <w:ind w:left="3815" w:hanging="172"/>
      </w:pPr>
      <w:rPr>
        <w:rFonts w:hint="default"/>
      </w:rPr>
    </w:lvl>
    <w:lvl w:ilvl="7">
      <w:start w:val="0"/>
      <w:numFmt w:val="bullet"/>
      <w:lvlText w:val="•"/>
      <w:lvlJc w:val="left"/>
      <w:pPr>
        <w:ind w:left="4142" w:hanging="172"/>
      </w:pPr>
      <w:rPr>
        <w:rFonts w:hint="default"/>
      </w:rPr>
    </w:lvl>
    <w:lvl w:ilvl="8">
      <w:start w:val="0"/>
      <w:numFmt w:val="bullet"/>
      <w:lvlText w:val="•"/>
      <w:lvlJc w:val="left"/>
      <w:pPr>
        <w:ind w:left="4469" w:hanging="172"/>
      </w:pPr>
      <w:rPr>
        <w:rFonts w:hint="default"/>
      </w:rPr>
    </w:lvl>
  </w:abstractNum>
  <w:abstractNum w:abstractNumId="10">
    <w:multiLevelType w:val="hybridMultilevel"/>
    <w:lvl w:ilvl="0">
      <w:start w:val="0"/>
      <w:numFmt w:val="bullet"/>
      <w:lvlText w:val="•"/>
      <w:lvlJc w:val="left"/>
      <w:pPr>
        <w:ind w:left="506" w:hanging="171"/>
      </w:pPr>
      <w:rPr>
        <w:rFonts w:hint="default" w:ascii="Garamond" w:hAnsi="Garamond" w:eastAsia="Garamond" w:cs="Garamond"/>
        <w:color w:val="00A94F"/>
        <w:spacing w:val="-15"/>
        <w:w w:val="83"/>
        <w:sz w:val="20"/>
        <w:szCs w:val="20"/>
      </w:rPr>
    </w:lvl>
    <w:lvl w:ilvl="1">
      <w:start w:val="0"/>
      <w:numFmt w:val="bullet"/>
      <w:lvlText w:val="•"/>
      <w:lvlJc w:val="left"/>
      <w:pPr>
        <w:ind w:left="890" w:hanging="171"/>
      </w:pPr>
      <w:rPr>
        <w:rFonts w:hint="default" w:ascii="Garamond" w:hAnsi="Garamond" w:eastAsia="Garamond" w:cs="Garamond"/>
        <w:color w:val="00A94F"/>
        <w:spacing w:val="-6"/>
        <w:w w:val="83"/>
        <w:sz w:val="20"/>
        <w:szCs w:val="20"/>
      </w:rPr>
    </w:lvl>
    <w:lvl w:ilvl="2">
      <w:start w:val="0"/>
      <w:numFmt w:val="bullet"/>
      <w:lvlText w:val="•"/>
      <w:lvlJc w:val="left"/>
      <w:pPr>
        <w:ind w:left="1620" w:hanging="171"/>
      </w:pPr>
      <w:rPr>
        <w:rFonts w:hint="default"/>
      </w:rPr>
    </w:lvl>
    <w:lvl w:ilvl="3">
      <w:start w:val="0"/>
      <w:numFmt w:val="bullet"/>
      <w:lvlText w:val="•"/>
      <w:lvlJc w:val="left"/>
      <w:pPr>
        <w:ind w:left="1321" w:hanging="171"/>
      </w:pPr>
      <w:rPr>
        <w:rFonts w:hint="default"/>
      </w:rPr>
    </w:lvl>
    <w:lvl w:ilvl="4">
      <w:start w:val="0"/>
      <w:numFmt w:val="bullet"/>
      <w:lvlText w:val="•"/>
      <w:lvlJc w:val="left"/>
      <w:pPr>
        <w:ind w:left="1022" w:hanging="171"/>
      </w:pPr>
      <w:rPr>
        <w:rFonts w:hint="default"/>
      </w:rPr>
    </w:lvl>
    <w:lvl w:ilvl="5">
      <w:start w:val="0"/>
      <w:numFmt w:val="bullet"/>
      <w:lvlText w:val="•"/>
      <w:lvlJc w:val="left"/>
      <w:pPr>
        <w:ind w:left="724" w:hanging="171"/>
      </w:pPr>
      <w:rPr>
        <w:rFonts w:hint="default"/>
      </w:rPr>
    </w:lvl>
    <w:lvl w:ilvl="6">
      <w:start w:val="0"/>
      <w:numFmt w:val="bullet"/>
      <w:lvlText w:val="•"/>
      <w:lvlJc w:val="left"/>
      <w:pPr>
        <w:ind w:left="425" w:hanging="171"/>
      </w:pPr>
      <w:rPr>
        <w:rFonts w:hint="default"/>
      </w:rPr>
    </w:lvl>
    <w:lvl w:ilvl="7">
      <w:start w:val="0"/>
      <w:numFmt w:val="bullet"/>
      <w:lvlText w:val="•"/>
      <w:lvlJc w:val="left"/>
      <w:pPr>
        <w:ind w:left="126" w:hanging="171"/>
      </w:pPr>
      <w:rPr>
        <w:rFonts w:hint="default"/>
      </w:rPr>
    </w:lvl>
    <w:lvl w:ilvl="8">
      <w:start w:val="0"/>
      <w:numFmt w:val="bullet"/>
      <w:lvlText w:val="•"/>
      <w:lvlJc w:val="left"/>
      <w:pPr>
        <w:ind w:left="-172" w:hanging="171"/>
      </w:pPr>
      <w:rPr>
        <w:rFonts w:hint="default"/>
      </w:rPr>
    </w:lvl>
  </w:abstractNum>
  <w:abstractNum w:abstractNumId="9">
    <w:multiLevelType w:val="hybridMultilevel"/>
    <w:lvl w:ilvl="0">
      <w:start w:val="4"/>
      <w:numFmt w:val="decimal"/>
      <w:lvlText w:val="%1"/>
      <w:lvlJc w:val="left"/>
      <w:pPr>
        <w:ind w:left="1440" w:hanging="742"/>
        <w:jc w:val="left"/>
      </w:pPr>
      <w:rPr>
        <w:rFonts w:hint="default"/>
      </w:rPr>
    </w:lvl>
    <w:lvl w:ilvl="1">
      <w:start w:val="2"/>
      <w:numFmt w:val="decimal"/>
      <w:lvlText w:val="%1.%2"/>
      <w:lvlJc w:val="left"/>
      <w:pPr>
        <w:ind w:left="1440" w:hanging="742"/>
        <w:jc w:val="left"/>
      </w:pPr>
      <w:rPr>
        <w:rFonts w:hint="default"/>
      </w:rPr>
    </w:lvl>
    <w:lvl w:ilvl="2">
      <w:start w:val="10"/>
      <w:numFmt w:val="decimal"/>
      <w:lvlText w:val="%1.%2.%3"/>
      <w:lvlJc w:val="left"/>
      <w:pPr>
        <w:ind w:left="1440" w:hanging="742"/>
        <w:jc w:val="left"/>
      </w:pPr>
      <w:rPr>
        <w:rFonts w:hint="default"/>
      </w:rPr>
    </w:lvl>
    <w:lvl w:ilvl="3">
      <w:start w:val="1"/>
      <w:numFmt w:val="decimal"/>
      <w:lvlText w:val="%1.%2.%3.%4."/>
      <w:lvlJc w:val="left"/>
      <w:pPr>
        <w:ind w:left="1440" w:hanging="742"/>
        <w:jc w:val="right"/>
      </w:pPr>
      <w:rPr>
        <w:rFonts w:hint="default" w:ascii="Garamond" w:hAnsi="Garamond" w:eastAsia="Garamond" w:cs="Garamond"/>
        <w:i/>
        <w:color w:val="E36F1E"/>
        <w:w w:val="107"/>
        <w:sz w:val="20"/>
        <w:szCs w:val="20"/>
      </w:rPr>
    </w:lvl>
    <w:lvl w:ilvl="4">
      <w:start w:val="0"/>
      <w:numFmt w:val="bullet"/>
      <w:lvlText w:val="•"/>
      <w:lvlJc w:val="left"/>
      <w:pPr>
        <w:ind w:left="2945" w:hanging="742"/>
      </w:pPr>
      <w:rPr>
        <w:rFonts w:hint="default"/>
      </w:rPr>
    </w:lvl>
    <w:lvl w:ilvl="5">
      <w:start w:val="0"/>
      <w:numFmt w:val="bullet"/>
      <w:lvlText w:val="•"/>
      <w:lvlJc w:val="left"/>
      <w:pPr>
        <w:ind w:left="3321" w:hanging="742"/>
      </w:pPr>
      <w:rPr>
        <w:rFonts w:hint="default"/>
      </w:rPr>
    </w:lvl>
    <w:lvl w:ilvl="6">
      <w:start w:val="0"/>
      <w:numFmt w:val="bullet"/>
      <w:lvlText w:val="•"/>
      <w:lvlJc w:val="left"/>
      <w:pPr>
        <w:ind w:left="3698" w:hanging="742"/>
      </w:pPr>
      <w:rPr>
        <w:rFonts w:hint="default"/>
      </w:rPr>
    </w:lvl>
    <w:lvl w:ilvl="7">
      <w:start w:val="0"/>
      <w:numFmt w:val="bullet"/>
      <w:lvlText w:val="•"/>
      <w:lvlJc w:val="left"/>
      <w:pPr>
        <w:ind w:left="4074" w:hanging="742"/>
      </w:pPr>
      <w:rPr>
        <w:rFonts w:hint="default"/>
      </w:rPr>
    </w:lvl>
    <w:lvl w:ilvl="8">
      <w:start w:val="0"/>
      <w:numFmt w:val="bullet"/>
      <w:lvlText w:val="•"/>
      <w:lvlJc w:val="left"/>
      <w:pPr>
        <w:ind w:left="4451" w:hanging="742"/>
      </w:pPr>
      <w:rPr>
        <w:rFonts w:hint="default"/>
      </w:rPr>
    </w:lvl>
  </w:abstractNum>
  <w:abstractNum w:abstractNumId="8">
    <w:multiLevelType w:val="hybridMultilevel"/>
    <w:lvl w:ilvl="0">
      <w:start w:val="4"/>
      <w:numFmt w:val="decimal"/>
      <w:lvlText w:val="%1"/>
      <w:lvlJc w:val="left"/>
      <w:pPr>
        <w:ind w:left="1110" w:hanging="790"/>
        <w:jc w:val="left"/>
      </w:pPr>
      <w:rPr>
        <w:rFonts w:hint="default"/>
      </w:rPr>
    </w:lvl>
    <w:lvl w:ilvl="1">
      <w:start w:val="2"/>
      <w:numFmt w:val="decimal"/>
      <w:lvlText w:val="%1.%2"/>
      <w:lvlJc w:val="left"/>
      <w:pPr>
        <w:ind w:left="1110" w:hanging="790"/>
        <w:jc w:val="left"/>
      </w:pPr>
      <w:rPr>
        <w:rFonts w:hint="default"/>
      </w:rPr>
    </w:lvl>
    <w:lvl w:ilvl="2">
      <w:start w:val="9"/>
      <w:numFmt w:val="decimal"/>
      <w:lvlText w:val="%1.%2.%3"/>
      <w:lvlJc w:val="left"/>
      <w:pPr>
        <w:ind w:left="1110" w:hanging="790"/>
        <w:jc w:val="left"/>
      </w:pPr>
      <w:rPr>
        <w:rFonts w:hint="default"/>
      </w:rPr>
    </w:lvl>
    <w:lvl w:ilvl="3">
      <w:start w:val="3"/>
      <w:numFmt w:val="decimal"/>
      <w:lvlText w:val="%1.%2.%3.%4"/>
      <w:lvlJc w:val="left"/>
      <w:pPr>
        <w:ind w:left="1110" w:hanging="790"/>
        <w:jc w:val="left"/>
      </w:pPr>
      <w:rPr>
        <w:rFonts w:hint="default"/>
      </w:rPr>
    </w:lvl>
    <w:lvl w:ilvl="4">
      <w:start w:val="1"/>
      <w:numFmt w:val="decimal"/>
      <w:lvlText w:val="%1.%2.%3.%4.%5."/>
      <w:lvlJc w:val="left"/>
      <w:pPr>
        <w:ind w:left="1110" w:hanging="790"/>
        <w:jc w:val="left"/>
      </w:pPr>
      <w:rPr>
        <w:rFonts w:hint="default" w:ascii="Garamond" w:hAnsi="Garamond" w:eastAsia="Garamond" w:cs="Garamond"/>
        <w:i/>
        <w:color w:val="0079C1"/>
        <w:w w:val="107"/>
        <w:sz w:val="20"/>
        <w:szCs w:val="20"/>
      </w:rPr>
    </w:lvl>
    <w:lvl w:ilvl="5">
      <w:start w:val="0"/>
      <w:numFmt w:val="bullet"/>
      <w:lvlText w:val="•"/>
      <w:lvlJc w:val="left"/>
      <w:pPr>
        <w:ind w:left="890" w:hanging="171"/>
      </w:pPr>
      <w:rPr>
        <w:rFonts w:hint="default" w:ascii="Garamond" w:hAnsi="Garamond" w:eastAsia="Garamond" w:cs="Garamond"/>
        <w:color w:val="00A94F"/>
        <w:spacing w:val="-22"/>
        <w:w w:val="83"/>
        <w:sz w:val="20"/>
        <w:szCs w:val="20"/>
      </w:rPr>
    </w:lvl>
    <w:lvl w:ilvl="6">
      <w:start w:val="0"/>
      <w:numFmt w:val="bullet"/>
      <w:lvlText w:val="•"/>
      <w:lvlJc w:val="left"/>
      <w:pPr>
        <w:ind w:left="71" w:hanging="171"/>
      </w:pPr>
      <w:rPr>
        <w:rFonts w:hint="default"/>
      </w:rPr>
    </w:lvl>
    <w:lvl w:ilvl="7">
      <w:start w:val="0"/>
      <w:numFmt w:val="bullet"/>
      <w:lvlText w:val="•"/>
      <w:lvlJc w:val="left"/>
      <w:pPr>
        <w:ind w:left="-138" w:hanging="171"/>
      </w:pPr>
      <w:rPr>
        <w:rFonts w:hint="default"/>
      </w:rPr>
    </w:lvl>
    <w:lvl w:ilvl="8">
      <w:start w:val="0"/>
      <w:numFmt w:val="bullet"/>
      <w:lvlText w:val="•"/>
      <w:lvlJc w:val="left"/>
      <w:pPr>
        <w:ind w:left="-348" w:hanging="171"/>
      </w:pPr>
      <w:rPr>
        <w:rFonts w:hint="default"/>
      </w:rPr>
    </w:lvl>
  </w:abstractNum>
  <w:abstractNum w:abstractNumId="7">
    <w:multiLevelType w:val="hybridMultilevel"/>
    <w:lvl w:ilvl="0">
      <w:start w:val="4"/>
      <w:numFmt w:val="decimal"/>
      <w:lvlText w:val="%1"/>
      <w:lvlJc w:val="left"/>
      <w:pPr>
        <w:ind w:left="1264" w:hanging="545"/>
        <w:jc w:val="left"/>
      </w:pPr>
      <w:rPr>
        <w:rFonts w:hint="default"/>
      </w:rPr>
    </w:lvl>
    <w:lvl w:ilvl="1">
      <w:start w:val="2"/>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7"/>
      <w:numFmt w:val="decimal"/>
      <w:lvlText w:val="%1.%2.%3."/>
      <w:lvlJc w:val="left"/>
      <w:pPr>
        <w:ind w:left="720" w:hanging="556"/>
        <w:jc w:val="left"/>
      </w:pPr>
      <w:rPr>
        <w:rFonts w:hint="default" w:ascii="Lucida Sans" w:hAnsi="Lucida Sans" w:eastAsia="Lucida Sans" w:cs="Lucida Sans"/>
        <w:color w:val="1C3E94"/>
        <w:w w:val="87"/>
        <w:sz w:val="20"/>
        <w:szCs w:val="20"/>
      </w:rPr>
    </w:lvl>
    <w:lvl w:ilvl="3">
      <w:start w:val="1"/>
      <w:numFmt w:val="decimal"/>
      <w:lvlText w:val="%1.%2.%3.%4."/>
      <w:lvlJc w:val="left"/>
      <w:pPr>
        <w:ind w:left="319" w:hanging="642"/>
        <w:jc w:val="right"/>
      </w:pPr>
      <w:rPr>
        <w:rFonts w:hint="default" w:ascii="Garamond" w:hAnsi="Garamond" w:eastAsia="Garamond" w:cs="Garamond"/>
        <w:i/>
        <w:color w:val="E36F1E"/>
        <w:w w:val="107"/>
        <w:sz w:val="20"/>
        <w:szCs w:val="20"/>
      </w:rPr>
    </w:lvl>
    <w:lvl w:ilvl="4">
      <w:start w:val="0"/>
      <w:numFmt w:val="bullet"/>
      <w:lvlText w:val="•"/>
      <w:lvlJc w:val="left"/>
      <w:pPr>
        <w:ind w:left="2070" w:hanging="642"/>
      </w:pPr>
      <w:rPr>
        <w:rFonts w:hint="default"/>
      </w:rPr>
    </w:lvl>
    <w:lvl w:ilvl="5">
      <w:start w:val="0"/>
      <w:numFmt w:val="bullet"/>
      <w:lvlText w:val="•"/>
      <w:lvlJc w:val="left"/>
      <w:pPr>
        <w:ind w:left="2475" w:hanging="642"/>
      </w:pPr>
      <w:rPr>
        <w:rFonts w:hint="default"/>
      </w:rPr>
    </w:lvl>
    <w:lvl w:ilvl="6">
      <w:start w:val="0"/>
      <w:numFmt w:val="bullet"/>
      <w:lvlText w:val="•"/>
      <w:lvlJc w:val="left"/>
      <w:pPr>
        <w:ind w:left="2880" w:hanging="642"/>
      </w:pPr>
      <w:rPr>
        <w:rFonts w:hint="default"/>
      </w:rPr>
    </w:lvl>
    <w:lvl w:ilvl="7">
      <w:start w:val="0"/>
      <w:numFmt w:val="bullet"/>
      <w:lvlText w:val="•"/>
      <w:lvlJc w:val="left"/>
      <w:pPr>
        <w:ind w:left="3285" w:hanging="642"/>
      </w:pPr>
      <w:rPr>
        <w:rFonts w:hint="default"/>
      </w:rPr>
    </w:lvl>
    <w:lvl w:ilvl="8">
      <w:start w:val="0"/>
      <w:numFmt w:val="bullet"/>
      <w:lvlText w:val="•"/>
      <w:lvlJc w:val="left"/>
      <w:pPr>
        <w:ind w:left="3690" w:hanging="642"/>
      </w:pPr>
      <w:rPr>
        <w:rFonts w:hint="default"/>
      </w:rPr>
    </w:lvl>
  </w:abstractNum>
  <w:abstractNum w:abstractNumId="6">
    <w:multiLevelType w:val="hybridMultilevel"/>
    <w:lvl w:ilvl="0">
      <w:start w:val="1"/>
      <w:numFmt w:val="decimal"/>
      <w:lvlText w:val="%1."/>
      <w:lvlJc w:val="left"/>
      <w:pPr>
        <w:ind w:left="614" w:hanging="251"/>
        <w:jc w:val="left"/>
      </w:pPr>
      <w:rPr>
        <w:rFonts w:hint="default" w:ascii="Lucida Sans" w:hAnsi="Lucida Sans" w:eastAsia="Lucida Sans" w:cs="Lucida Sans"/>
        <w:color w:val="00A94F"/>
        <w:w w:val="87"/>
        <w:sz w:val="18"/>
        <w:szCs w:val="18"/>
      </w:rPr>
    </w:lvl>
    <w:lvl w:ilvl="1">
      <w:start w:val="0"/>
      <w:numFmt w:val="bullet"/>
      <w:lvlText w:val="•"/>
      <w:lvlJc w:val="left"/>
      <w:pPr>
        <w:ind w:left="890" w:hanging="171"/>
      </w:pPr>
      <w:rPr>
        <w:rFonts w:hint="default" w:ascii="Garamond" w:hAnsi="Garamond" w:eastAsia="Garamond" w:cs="Garamond"/>
        <w:color w:val="00A94F"/>
        <w:spacing w:val="-22"/>
        <w:w w:val="83"/>
        <w:sz w:val="20"/>
        <w:szCs w:val="20"/>
      </w:rPr>
    </w:lvl>
    <w:lvl w:ilvl="2">
      <w:start w:val="0"/>
      <w:numFmt w:val="bullet"/>
      <w:lvlText w:val="•"/>
      <w:lvlJc w:val="left"/>
      <w:pPr>
        <w:ind w:left="720" w:hanging="171"/>
      </w:pPr>
      <w:rPr>
        <w:rFonts w:hint="default"/>
      </w:rPr>
    </w:lvl>
    <w:lvl w:ilvl="3">
      <w:start w:val="0"/>
      <w:numFmt w:val="bullet"/>
      <w:lvlText w:val="•"/>
      <w:lvlJc w:val="left"/>
      <w:pPr>
        <w:ind w:left="541" w:hanging="171"/>
      </w:pPr>
      <w:rPr>
        <w:rFonts w:hint="default"/>
      </w:rPr>
    </w:lvl>
    <w:lvl w:ilvl="4">
      <w:start w:val="0"/>
      <w:numFmt w:val="bullet"/>
      <w:lvlText w:val="•"/>
      <w:lvlJc w:val="left"/>
      <w:pPr>
        <w:ind w:left="361" w:hanging="171"/>
      </w:pPr>
      <w:rPr>
        <w:rFonts w:hint="default"/>
      </w:rPr>
    </w:lvl>
    <w:lvl w:ilvl="5">
      <w:start w:val="0"/>
      <w:numFmt w:val="bullet"/>
      <w:lvlText w:val="•"/>
      <w:lvlJc w:val="left"/>
      <w:pPr>
        <w:ind w:left="182" w:hanging="171"/>
      </w:pPr>
      <w:rPr>
        <w:rFonts w:hint="default"/>
      </w:rPr>
    </w:lvl>
    <w:lvl w:ilvl="6">
      <w:start w:val="0"/>
      <w:numFmt w:val="bullet"/>
      <w:lvlText w:val="•"/>
      <w:lvlJc w:val="left"/>
      <w:pPr>
        <w:ind w:left="2" w:hanging="171"/>
      </w:pPr>
      <w:rPr>
        <w:rFonts w:hint="default"/>
      </w:rPr>
    </w:lvl>
    <w:lvl w:ilvl="7">
      <w:start w:val="0"/>
      <w:numFmt w:val="bullet"/>
      <w:lvlText w:val="•"/>
      <w:lvlJc w:val="left"/>
      <w:pPr>
        <w:ind w:left="-177" w:hanging="171"/>
      </w:pPr>
      <w:rPr>
        <w:rFonts w:hint="default"/>
      </w:rPr>
    </w:lvl>
    <w:lvl w:ilvl="8">
      <w:start w:val="0"/>
      <w:numFmt w:val="bullet"/>
      <w:lvlText w:val="•"/>
      <w:lvlJc w:val="left"/>
      <w:pPr>
        <w:ind w:left="-357" w:hanging="171"/>
      </w:pPr>
      <w:rPr>
        <w:rFonts w:hint="default"/>
      </w:rPr>
    </w:lvl>
  </w:abstractNum>
  <w:abstractNum w:abstractNumId="5">
    <w:multiLevelType w:val="hybridMultilevel"/>
    <w:lvl w:ilvl="0">
      <w:start w:val="4"/>
      <w:numFmt w:val="decimal"/>
      <w:lvlText w:val="%1"/>
      <w:lvlJc w:val="left"/>
      <w:pPr>
        <w:ind w:left="1264" w:hanging="545"/>
        <w:jc w:val="left"/>
      </w:pPr>
      <w:rPr>
        <w:rFonts w:hint="default"/>
      </w:rPr>
    </w:lvl>
    <w:lvl w:ilvl="1">
      <w:start w:val="2"/>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3"/>
      <w:numFmt w:val="decimal"/>
      <w:lvlText w:val="%1.%2.%3."/>
      <w:lvlJc w:val="left"/>
      <w:pPr>
        <w:ind w:left="720" w:hanging="556"/>
        <w:jc w:val="right"/>
      </w:pPr>
      <w:rPr>
        <w:rFonts w:hint="default" w:ascii="Lucida Sans" w:hAnsi="Lucida Sans" w:eastAsia="Lucida Sans" w:cs="Lucida Sans"/>
        <w:color w:val="1C3E94"/>
        <w:w w:val="87"/>
        <w:sz w:val="20"/>
        <w:szCs w:val="20"/>
      </w:rPr>
    </w:lvl>
    <w:lvl w:ilvl="3">
      <w:start w:val="0"/>
      <w:numFmt w:val="bullet"/>
      <w:lvlText w:val="•"/>
      <w:lvlJc w:val="left"/>
      <w:pPr>
        <w:ind w:left="1098" w:hanging="556"/>
      </w:pPr>
      <w:rPr>
        <w:rFonts w:hint="default"/>
      </w:rPr>
    </w:lvl>
    <w:lvl w:ilvl="4">
      <w:start w:val="0"/>
      <w:numFmt w:val="bullet"/>
      <w:lvlText w:val="•"/>
      <w:lvlJc w:val="left"/>
      <w:pPr>
        <w:ind w:left="936" w:hanging="556"/>
      </w:pPr>
      <w:rPr>
        <w:rFonts w:hint="default"/>
      </w:rPr>
    </w:lvl>
    <w:lvl w:ilvl="5">
      <w:start w:val="0"/>
      <w:numFmt w:val="bullet"/>
      <w:lvlText w:val="•"/>
      <w:lvlJc w:val="left"/>
      <w:pPr>
        <w:ind w:left="774" w:hanging="556"/>
      </w:pPr>
      <w:rPr>
        <w:rFonts w:hint="default"/>
      </w:rPr>
    </w:lvl>
    <w:lvl w:ilvl="6">
      <w:start w:val="0"/>
      <w:numFmt w:val="bullet"/>
      <w:lvlText w:val="•"/>
      <w:lvlJc w:val="left"/>
      <w:pPr>
        <w:ind w:left="612" w:hanging="556"/>
      </w:pPr>
      <w:rPr>
        <w:rFonts w:hint="default"/>
      </w:rPr>
    </w:lvl>
    <w:lvl w:ilvl="7">
      <w:start w:val="0"/>
      <w:numFmt w:val="bullet"/>
      <w:lvlText w:val="•"/>
      <w:lvlJc w:val="left"/>
      <w:pPr>
        <w:ind w:left="450" w:hanging="556"/>
      </w:pPr>
      <w:rPr>
        <w:rFonts w:hint="default"/>
      </w:rPr>
    </w:lvl>
    <w:lvl w:ilvl="8">
      <w:start w:val="0"/>
      <w:numFmt w:val="bullet"/>
      <w:lvlText w:val="•"/>
      <w:lvlJc w:val="left"/>
      <w:pPr>
        <w:ind w:left="288" w:hanging="556"/>
      </w:pPr>
      <w:rPr>
        <w:rFonts w:hint="default"/>
      </w:rPr>
    </w:lvl>
  </w:abstractNum>
  <w:abstractNum w:abstractNumId="4">
    <w:multiLevelType w:val="hybridMultilevel"/>
    <w:lvl w:ilvl="0">
      <w:start w:val="0"/>
      <w:numFmt w:val="bullet"/>
      <w:lvlText w:val="•"/>
      <w:lvlJc w:val="left"/>
      <w:pPr>
        <w:ind w:left="314" w:hanging="172"/>
      </w:pPr>
      <w:rPr>
        <w:rFonts w:hint="default" w:ascii="Calibri" w:hAnsi="Calibri" w:eastAsia="Calibri" w:cs="Calibri"/>
        <w:color w:val="1C3E94"/>
        <w:w w:val="90"/>
        <w:sz w:val="18"/>
        <w:szCs w:val="18"/>
      </w:rPr>
    </w:lvl>
    <w:lvl w:ilvl="1">
      <w:start w:val="0"/>
      <w:numFmt w:val="bullet"/>
      <w:lvlText w:val="•"/>
      <w:lvlJc w:val="left"/>
      <w:pPr>
        <w:ind w:left="662" w:hanging="172"/>
      </w:pPr>
      <w:rPr>
        <w:rFonts w:hint="default"/>
      </w:rPr>
    </w:lvl>
    <w:lvl w:ilvl="2">
      <w:start w:val="0"/>
      <w:numFmt w:val="bullet"/>
      <w:lvlText w:val="•"/>
      <w:lvlJc w:val="left"/>
      <w:pPr>
        <w:ind w:left="1004" w:hanging="172"/>
      </w:pPr>
      <w:rPr>
        <w:rFonts w:hint="default"/>
      </w:rPr>
    </w:lvl>
    <w:lvl w:ilvl="3">
      <w:start w:val="0"/>
      <w:numFmt w:val="bullet"/>
      <w:lvlText w:val="•"/>
      <w:lvlJc w:val="left"/>
      <w:pPr>
        <w:ind w:left="1347" w:hanging="172"/>
      </w:pPr>
      <w:rPr>
        <w:rFonts w:hint="default"/>
      </w:rPr>
    </w:lvl>
    <w:lvl w:ilvl="4">
      <w:start w:val="0"/>
      <w:numFmt w:val="bullet"/>
      <w:lvlText w:val="•"/>
      <w:lvlJc w:val="left"/>
      <w:pPr>
        <w:ind w:left="1689" w:hanging="172"/>
      </w:pPr>
      <w:rPr>
        <w:rFonts w:hint="default"/>
      </w:rPr>
    </w:lvl>
    <w:lvl w:ilvl="5">
      <w:start w:val="0"/>
      <w:numFmt w:val="bullet"/>
      <w:lvlText w:val="•"/>
      <w:lvlJc w:val="left"/>
      <w:pPr>
        <w:ind w:left="2032" w:hanging="172"/>
      </w:pPr>
      <w:rPr>
        <w:rFonts w:hint="default"/>
      </w:rPr>
    </w:lvl>
    <w:lvl w:ilvl="6">
      <w:start w:val="0"/>
      <w:numFmt w:val="bullet"/>
      <w:lvlText w:val="•"/>
      <w:lvlJc w:val="left"/>
      <w:pPr>
        <w:ind w:left="2374" w:hanging="172"/>
      </w:pPr>
      <w:rPr>
        <w:rFonts w:hint="default"/>
      </w:rPr>
    </w:lvl>
    <w:lvl w:ilvl="7">
      <w:start w:val="0"/>
      <w:numFmt w:val="bullet"/>
      <w:lvlText w:val="•"/>
      <w:lvlJc w:val="left"/>
      <w:pPr>
        <w:ind w:left="2716" w:hanging="172"/>
      </w:pPr>
      <w:rPr>
        <w:rFonts w:hint="default"/>
      </w:rPr>
    </w:lvl>
    <w:lvl w:ilvl="8">
      <w:start w:val="0"/>
      <w:numFmt w:val="bullet"/>
      <w:lvlText w:val="•"/>
      <w:lvlJc w:val="left"/>
      <w:pPr>
        <w:ind w:left="3059" w:hanging="172"/>
      </w:pPr>
      <w:rPr>
        <w:rFonts w:hint="default"/>
      </w:rPr>
    </w:lvl>
  </w:abstractNum>
  <w:abstractNum w:abstractNumId="3">
    <w:multiLevelType w:val="hybridMultilevel"/>
    <w:lvl w:ilvl="0">
      <w:start w:val="4"/>
      <w:numFmt w:val="decimal"/>
      <w:lvlText w:val="%1"/>
      <w:lvlJc w:val="left"/>
      <w:pPr>
        <w:ind w:left="1984" w:hanging="545"/>
        <w:jc w:val="left"/>
      </w:pPr>
      <w:rPr>
        <w:rFonts w:hint="default"/>
      </w:rPr>
    </w:lvl>
    <w:lvl w:ilvl="1">
      <w:start w:val="1"/>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996"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3795" w:hanging="556"/>
      </w:pPr>
      <w:rPr>
        <w:rFonts w:hint="default"/>
      </w:rPr>
    </w:lvl>
    <w:lvl w:ilvl="4">
      <w:start w:val="0"/>
      <w:numFmt w:val="bullet"/>
      <w:lvlText w:val="•"/>
      <w:lvlJc w:val="left"/>
      <w:pPr>
        <w:ind w:left="4693" w:hanging="556"/>
      </w:pPr>
      <w:rPr>
        <w:rFonts w:hint="default"/>
      </w:rPr>
    </w:lvl>
    <w:lvl w:ilvl="5">
      <w:start w:val="0"/>
      <w:numFmt w:val="bullet"/>
      <w:lvlText w:val="•"/>
      <w:lvlJc w:val="left"/>
      <w:pPr>
        <w:ind w:left="5591" w:hanging="556"/>
      </w:pPr>
      <w:rPr>
        <w:rFonts w:hint="default"/>
      </w:rPr>
    </w:lvl>
    <w:lvl w:ilvl="6">
      <w:start w:val="0"/>
      <w:numFmt w:val="bullet"/>
      <w:lvlText w:val="•"/>
      <w:lvlJc w:val="left"/>
      <w:pPr>
        <w:ind w:left="6488" w:hanging="556"/>
      </w:pPr>
      <w:rPr>
        <w:rFonts w:hint="default"/>
      </w:rPr>
    </w:lvl>
    <w:lvl w:ilvl="7">
      <w:start w:val="0"/>
      <w:numFmt w:val="bullet"/>
      <w:lvlText w:val="•"/>
      <w:lvlJc w:val="left"/>
      <w:pPr>
        <w:ind w:left="7386" w:hanging="556"/>
      </w:pPr>
      <w:rPr>
        <w:rFonts w:hint="default"/>
      </w:rPr>
    </w:lvl>
    <w:lvl w:ilvl="8">
      <w:start w:val="0"/>
      <w:numFmt w:val="bullet"/>
      <w:lvlText w:val="•"/>
      <w:lvlJc w:val="left"/>
      <w:pPr>
        <w:ind w:left="8284" w:hanging="556"/>
      </w:pPr>
      <w:rPr>
        <w:rFonts w:hint="default"/>
      </w:rPr>
    </w:lvl>
  </w:abstractNum>
  <w:abstractNum w:abstractNumId="2">
    <w:multiLevelType w:val="hybridMultilevel"/>
    <w:lvl w:ilvl="0">
      <w:start w:val="0"/>
      <w:numFmt w:val="bullet"/>
      <w:lvlText w:val="*"/>
      <w:lvlJc w:val="left"/>
      <w:pPr>
        <w:ind w:left="258" w:hanging="139"/>
      </w:pPr>
      <w:rPr>
        <w:rFonts w:hint="default" w:ascii="Arial" w:hAnsi="Arial" w:eastAsia="Arial" w:cs="Arial"/>
        <w:color w:val="231F20"/>
        <w:w w:val="100"/>
        <w:sz w:val="16"/>
        <w:szCs w:val="16"/>
      </w:rPr>
    </w:lvl>
    <w:lvl w:ilvl="1">
      <w:start w:val="0"/>
      <w:numFmt w:val="bullet"/>
      <w:lvlText w:val="•"/>
      <w:lvlJc w:val="left"/>
      <w:pPr>
        <w:ind w:left="1630" w:hanging="191"/>
      </w:pPr>
      <w:rPr>
        <w:rFonts w:hint="default" w:ascii="Lucida Sans" w:hAnsi="Lucida Sans" w:eastAsia="Lucida Sans" w:cs="Lucida Sans"/>
        <w:color w:val="00A94F"/>
        <w:w w:val="79"/>
        <w:sz w:val="18"/>
        <w:szCs w:val="18"/>
      </w:rPr>
    </w:lvl>
    <w:lvl w:ilvl="2">
      <w:start w:val="0"/>
      <w:numFmt w:val="bullet"/>
      <w:lvlText w:val="•"/>
      <w:lvlJc w:val="left"/>
      <w:pPr>
        <w:ind w:left="1969" w:hanging="191"/>
      </w:pPr>
      <w:rPr>
        <w:rFonts w:hint="default"/>
      </w:rPr>
    </w:lvl>
    <w:lvl w:ilvl="3">
      <w:start w:val="0"/>
      <w:numFmt w:val="bullet"/>
      <w:lvlText w:val="•"/>
      <w:lvlJc w:val="left"/>
      <w:pPr>
        <w:ind w:left="2299" w:hanging="191"/>
      </w:pPr>
      <w:rPr>
        <w:rFonts w:hint="default"/>
      </w:rPr>
    </w:lvl>
    <w:lvl w:ilvl="4">
      <w:start w:val="0"/>
      <w:numFmt w:val="bullet"/>
      <w:lvlText w:val="•"/>
      <w:lvlJc w:val="left"/>
      <w:pPr>
        <w:ind w:left="2629" w:hanging="191"/>
      </w:pPr>
      <w:rPr>
        <w:rFonts w:hint="default"/>
      </w:rPr>
    </w:lvl>
    <w:lvl w:ilvl="5">
      <w:start w:val="0"/>
      <w:numFmt w:val="bullet"/>
      <w:lvlText w:val="•"/>
      <w:lvlJc w:val="left"/>
      <w:pPr>
        <w:ind w:left="2959" w:hanging="191"/>
      </w:pPr>
      <w:rPr>
        <w:rFonts w:hint="default"/>
      </w:rPr>
    </w:lvl>
    <w:lvl w:ilvl="6">
      <w:start w:val="0"/>
      <w:numFmt w:val="bullet"/>
      <w:lvlText w:val="•"/>
      <w:lvlJc w:val="left"/>
      <w:pPr>
        <w:ind w:left="3289" w:hanging="191"/>
      </w:pPr>
      <w:rPr>
        <w:rFonts w:hint="default"/>
      </w:rPr>
    </w:lvl>
    <w:lvl w:ilvl="7">
      <w:start w:val="0"/>
      <w:numFmt w:val="bullet"/>
      <w:lvlText w:val="•"/>
      <w:lvlJc w:val="left"/>
      <w:pPr>
        <w:ind w:left="3619" w:hanging="191"/>
      </w:pPr>
      <w:rPr>
        <w:rFonts w:hint="default"/>
      </w:rPr>
    </w:lvl>
    <w:lvl w:ilvl="8">
      <w:start w:val="0"/>
      <w:numFmt w:val="bullet"/>
      <w:lvlText w:val="•"/>
      <w:lvlJc w:val="left"/>
      <w:pPr>
        <w:ind w:left="3949" w:hanging="191"/>
      </w:pPr>
      <w:rPr>
        <w:rFonts w:hint="default"/>
      </w:rPr>
    </w:lvl>
  </w:abstractNum>
  <w:abstractNum w:abstractNumId="1">
    <w:multiLevelType w:val="hybridMultilevel"/>
    <w:lvl w:ilvl="0">
      <w:start w:val="0"/>
      <w:numFmt w:val="bullet"/>
      <w:lvlText w:val="•"/>
      <w:lvlJc w:val="left"/>
      <w:pPr>
        <w:ind w:left="538" w:hanging="191"/>
      </w:pPr>
      <w:rPr>
        <w:rFonts w:hint="default" w:ascii="Lucida Sans" w:hAnsi="Lucida Sans" w:eastAsia="Lucida Sans" w:cs="Lucida Sans"/>
        <w:color w:val="00A94F"/>
        <w:w w:val="79"/>
        <w:sz w:val="18"/>
        <w:szCs w:val="18"/>
      </w:rPr>
    </w:lvl>
    <w:lvl w:ilvl="1">
      <w:start w:val="0"/>
      <w:numFmt w:val="bullet"/>
      <w:lvlText w:val="•"/>
      <w:lvlJc w:val="left"/>
      <w:pPr>
        <w:ind w:left="970" w:hanging="191"/>
      </w:pPr>
      <w:rPr>
        <w:rFonts w:hint="default"/>
      </w:rPr>
    </w:lvl>
    <w:lvl w:ilvl="2">
      <w:start w:val="0"/>
      <w:numFmt w:val="bullet"/>
      <w:lvlText w:val="•"/>
      <w:lvlJc w:val="left"/>
      <w:pPr>
        <w:ind w:left="1401" w:hanging="191"/>
      </w:pPr>
      <w:rPr>
        <w:rFonts w:hint="default"/>
      </w:rPr>
    </w:lvl>
    <w:lvl w:ilvl="3">
      <w:start w:val="0"/>
      <w:numFmt w:val="bullet"/>
      <w:lvlText w:val="•"/>
      <w:lvlJc w:val="left"/>
      <w:pPr>
        <w:ind w:left="1832" w:hanging="191"/>
      </w:pPr>
      <w:rPr>
        <w:rFonts w:hint="default"/>
      </w:rPr>
    </w:lvl>
    <w:lvl w:ilvl="4">
      <w:start w:val="0"/>
      <w:numFmt w:val="bullet"/>
      <w:lvlText w:val="•"/>
      <w:lvlJc w:val="left"/>
      <w:pPr>
        <w:ind w:left="2263" w:hanging="191"/>
      </w:pPr>
      <w:rPr>
        <w:rFonts w:hint="default"/>
      </w:rPr>
    </w:lvl>
    <w:lvl w:ilvl="5">
      <w:start w:val="0"/>
      <w:numFmt w:val="bullet"/>
      <w:lvlText w:val="•"/>
      <w:lvlJc w:val="left"/>
      <w:pPr>
        <w:ind w:left="2694" w:hanging="191"/>
      </w:pPr>
      <w:rPr>
        <w:rFonts w:hint="default"/>
      </w:rPr>
    </w:lvl>
    <w:lvl w:ilvl="6">
      <w:start w:val="0"/>
      <w:numFmt w:val="bullet"/>
      <w:lvlText w:val="•"/>
      <w:lvlJc w:val="left"/>
      <w:pPr>
        <w:ind w:left="3125" w:hanging="191"/>
      </w:pPr>
      <w:rPr>
        <w:rFonts w:hint="default"/>
      </w:rPr>
    </w:lvl>
    <w:lvl w:ilvl="7">
      <w:start w:val="0"/>
      <w:numFmt w:val="bullet"/>
      <w:lvlText w:val="•"/>
      <w:lvlJc w:val="left"/>
      <w:pPr>
        <w:ind w:left="3555" w:hanging="191"/>
      </w:pPr>
      <w:rPr>
        <w:rFonts w:hint="default"/>
      </w:rPr>
    </w:lvl>
    <w:lvl w:ilvl="8">
      <w:start w:val="0"/>
      <w:numFmt w:val="bullet"/>
      <w:lvlText w:val="•"/>
      <w:lvlJc w:val="left"/>
      <w:pPr>
        <w:ind w:left="3986" w:hanging="191"/>
      </w:pPr>
      <w:rPr>
        <w:rFonts w:hint="default"/>
      </w:rPr>
    </w:lvl>
  </w:abstractNum>
  <w:abstractNum w:abstractNumId="0">
    <w:multiLevelType w:val="hybridMultilevel"/>
    <w:lvl w:ilvl="0">
      <w:start w:val="4"/>
      <w:numFmt w:val="decimal"/>
      <w:lvlText w:val="%1"/>
      <w:lvlJc w:val="left"/>
      <w:pPr>
        <w:ind w:left="1984" w:hanging="545"/>
        <w:jc w:val="left"/>
      </w:pPr>
      <w:rPr>
        <w:rFonts w:hint="default"/>
      </w:rPr>
    </w:lvl>
    <w:lvl w:ilvl="1">
      <w:start w:val="0"/>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0"/>
      <w:numFmt w:val="bullet"/>
      <w:lvlText w:val="•"/>
      <w:lvlJc w:val="left"/>
      <w:pPr>
        <w:ind w:left="3600" w:hanging="545"/>
      </w:pPr>
      <w:rPr>
        <w:rFonts w:hint="default"/>
      </w:rPr>
    </w:lvl>
    <w:lvl w:ilvl="3">
      <w:start w:val="0"/>
      <w:numFmt w:val="bullet"/>
      <w:lvlText w:val="•"/>
      <w:lvlJc w:val="left"/>
      <w:pPr>
        <w:ind w:left="4410" w:hanging="545"/>
      </w:pPr>
      <w:rPr>
        <w:rFonts w:hint="default"/>
      </w:rPr>
    </w:lvl>
    <w:lvl w:ilvl="4">
      <w:start w:val="0"/>
      <w:numFmt w:val="bullet"/>
      <w:lvlText w:val="•"/>
      <w:lvlJc w:val="left"/>
      <w:pPr>
        <w:ind w:left="5220" w:hanging="545"/>
      </w:pPr>
      <w:rPr>
        <w:rFonts w:hint="default"/>
      </w:rPr>
    </w:lvl>
    <w:lvl w:ilvl="5">
      <w:start w:val="0"/>
      <w:numFmt w:val="bullet"/>
      <w:lvlText w:val="•"/>
      <w:lvlJc w:val="left"/>
      <w:pPr>
        <w:ind w:left="6030" w:hanging="545"/>
      </w:pPr>
      <w:rPr>
        <w:rFonts w:hint="default"/>
      </w:rPr>
    </w:lvl>
    <w:lvl w:ilvl="6">
      <w:start w:val="0"/>
      <w:numFmt w:val="bullet"/>
      <w:lvlText w:val="•"/>
      <w:lvlJc w:val="left"/>
      <w:pPr>
        <w:ind w:left="6840" w:hanging="545"/>
      </w:pPr>
      <w:rPr>
        <w:rFonts w:hint="default"/>
      </w:rPr>
    </w:lvl>
    <w:lvl w:ilvl="7">
      <w:start w:val="0"/>
      <w:numFmt w:val="bullet"/>
      <w:lvlText w:val="•"/>
      <w:lvlJc w:val="left"/>
      <w:pPr>
        <w:ind w:left="7650" w:hanging="545"/>
      </w:pPr>
      <w:rPr>
        <w:rFonts w:hint="default"/>
      </w:rPr>
    </w:lvl>
    <w:lvl w:ilvl="8">
      <w:start w:val="0"/>
      <w:numFmt w:val="bullet"/>
      <w:lvlText w:val="•"/>
      <w:lvlJc w:val="left"/>
      <w:pPr>
        <w:ind w:left="8460" w:hanging="545"/>
      </w:pPr>
      <w:rPr>
        <w:rFonts w:hint="default"/>
      </w:rPr>
    </w:lvl>
  </w:abstract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aramond" w:hAnsi="Garamond" w:eastAsia="Garamond" w:cs="Garamond"/>
    </w:rPr>
  </w:style>
  <w:style w:styleId="BodyText" w:type="paragraph">
    <w:name w:val="Body Text"/>
    <w:basedOn w:val="Normal"/>
    <w:uiPriority w:val="1"/>
    <w:qFormat/>
    <w:pPr/>
    <w:rPr>
      <w:rFonts w:ascii="Garamond" w:hAnsi="Garamond" w:eastAsia="Garamond" w:cs="Garamond"/>
      <w:sz w:val="20"/>
      <w:szCs w:val="20"/>
    </w:rPr>
  </w:style>
  <w:style w:styleId="Heading1" w:type="paragraph">
    <w:name w:val="Heading 1"/>
    <w:basedOn w:val="Normal"/>
    <w:uiPriority w:val="1"/>
    <w:qFormat/>
    <w:pPr>
      <w:spacing w:before="89"/>
      <w:ind w:left="1440"/>
      <w:outlineLvl w:val="1"/>
    </w:pPr>
    <w:rPr>
      <w:rFonts w:ascii="Lucida Sans" w:hAnsi="Lucida Sans" w:eastAsia="Lucida Sans" w:cs="Lucida Sans"/>
      <w:sz w:val="28"/>
      <w:szCs w:val="28"/>
    </w:rPr>
  </w:style>
  <w:style w:styleId="Heading2" w:type="paragraph">
    <w:name w:val="Heading 2"/>
    <w:basedOn w:val="Normal"/>
    <w:uiPriority w:val="1"/>
    <w:qFormat/>
    <w:pPr>
      <w:spacing w:before="92"/>
      <w:ind w:left="3121"/>
      <w:outlineLvl w:val="2"/>
    </w:pPr>
    <w:rPr>
      <w:rFonts w:ascii="Lucida Sans" w:hAnsi="Lucida Sans" w:eastAsia="Lucida Sans" w:cs="Lucida Sans"/>
      <w:sz w:val="24"/>
      <w:szCs w:val="24"/>
    </w:rPr>
  </w:style>
  <w:style w:styleId="ListParagraph" w:type="paragraph">
    <w:name w:val="List Paragraph"/>
    <w:basedOn w:val="Normal"/>
    <w:uiPriority w:val="1"/>
    <w:qFormat/>
    <w:pPr>
      <w:spacing w:before="90"/>
      <w:ind w:left="890" w:hanging="170"/>
    </w:pPr>
    <w:rPr>
      <w:rFonts w:ascii="Garamond" w:hAnsi="Garamond" w:eastAsia="Garamond" w:cs="Garamond"/>
    </w:rPr>
  </w:style>
  <w:style w:styleId="TableParagraph" w:type="paragraph">
    <w:name w:val="Table Paragraph"/>
    <w:basedOn w:val="Normal"/>
    <w:uiPriority w:val="1"/>
    <w:qFormat/>
    <w:pPr>
      <w:ind w:left="67"/>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hyperlink" Target="http://www.cdc.gov/nndss/" TargetMode="External"/><Relationship Id="rId15" Type="http://schemas.openxmlformats.org/officeDocument/2006/relationships/hyperlink" Target="http://www.cste.org/group/" TargetMode="External"/><Relationship Id="rId16" Type="http://schemas.openxmlformats.org/officeDocument/2006/relationships/hyperlink" Target="http://www.cifor.us/projelr.cfm)" TargetMode="External"/><Relationship Id="rId17" Type="http://schemas.openxmlformats.org/officeDocument/2006/relationships/hyperlink" Target="http://www.aphl.org/aphlprograms/food/" TargetMode="External"/><Relationship Id="rId18" Type="http://schemas.openxmlformats.org/officeDocument/2006/relationships/hyperlink" Target="http://www.cdc.gov/foodsafety/" TargetMode="External"/><Relationship Id="rId19" Type="http://schemas.openxmlformats.org/officeDocument/2006/relationships/hyperlink" Target="http://www.cifor.us/clearinghouse/keywordsearch" TargetMode="External"/><Relationship Id="rId20" Type="http://schemas.openxmlformats.org/officeDocument/2006/relationships/hyperlink" Target="http://www.cdc.gov/" TargetMode="External"/><Relationship Id="rId21" Type="http://schemas.openxmlformats.org/officeDocument/2006/relationships/hyperlink" Target="http://www.cdc.gov/mmwr/pdf/rr/rr5304.pdf" TargetMode="External"/><Relationship Id="rId22" Type="http://schemas.openxmlformats.org/officeDocument/2006/relationships/hyperlink" Target="http://www.cdc.gov/salmonella/" TargetMode="External"/><Relationship Id="rId23" Type="http://schemas.openxmlformats.org/officeDocument/2006/relationships/hyperlink" Target="http://www.cdc.gov/ncidod/dbmd/diseaseinfo/files/" TargetMode="External"/><Relationship Id="rId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2018-01-23T13:54:08Z</dcterms:created>
  <dcterms:modified xsi:type="dcterms:W3CDTF">2018-01-23T13:54:08Z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2014-04-24T00:00:00Z</vt:filetime>
  </property>
  <property fmtid="{D5CDD505-2E9C-101B-9397-08002B2CF9AE}" pid="3" name="Creator">
    <vt:lpwstr>Adobe InDesign CS6 (Macintosh)</vt:lpwstr>
  </property>
  <property fmtid="{D5CDD505-2E9C-101B-9397-08002B2CF9AE}" pid="4" name="LastSaved">
    <vt:filetime>2018-01-23T00:00:00Z</vt:filetime>
  </property>
</Properties>
</file>