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rPr>
      </w:pPr>
      <w:r>
        <w:rPr/>
        <w:pict>
          <v:group style="position:absolute;margin-left:0pt;margin-top:0pt;width:504pt;height:271pt;mso-position-horizontal-relative:page;mso-position-vertical-relative:page;z-index:1048" coordorigin="0,0" coordsize="10080,5420">
            <v:shape style="position:absolute;left:0;top:900;width:10080;height:4500" type="#_x0000_t75" stroked="false">
              <v:imagedata r:id="rId5" o:title=""/>
            </v:shape>
            <v:shape style="position:absolute;left:0;top:900;width:10080;height:4500" type="#_x0000_t75" stroked="false">
              <v:imagedata r:id="rId6" o:title=""/>
            </v:shape>
            <v:shape style="position:absolute;left:0;top:0;width:10080;height:900" type="#_x0000_t75" stroked="false">
              <v:imagedata r:id="rId7" o:title=""/>
            </v:shape>
            <v:rect style="position:absolute;left:0;top:900;width:10080;height:20" filled="true" fillcolor="#1c3e94" stroked="false">
              <v:fill type="solid"/>
            </v:rect>
            <v:shape style="position:absolute;left:6870;top:390;width:2460;height:2460" coordorigin="6870,390" coordsize="2460,2460" path="m8100,390l8025,392,7951,399,7879,410,7808,425,7739,444,7671,467,7605,494,7541,524,7479,558,7420,595,7362,636,7308,679,7255,726,7206,775,7159,828,7116,882,7075,940,7038,999,7004,1061,6974,1125,6947,1191,6924,1259,6905,1328,6890,1399,6879,1471,6872,1545,6870,1620,6872,1695,6879,1769,6890,1841,6905,1912,6924,1981,6947,2049,6974,2115,7004,2179,7038,2241,7075,2300,7116,2358,7159,2412,7206,2465,7255,2514,7308,2561,7362,2604,7420,2645,7479,2682,7541,2716,7605,2746,7671,2773,7739,2796,7808,2815,7879,2830,7951,2841,8025,2848,8100,2850,8175,2848,8249,2841,8321,2830,8392,2815,8461,2796,8529,2773,8595,2746,8659,2716,8721,2682,8780,2645,8838,2604,8892,2561,8945,2514,8994,2465,9041,2412,9084,2358,9125,2300,9162,2241,9196,2179,9226,2115,9253,2049,9276,1981,9295,1912,9310,1841,9321,1769,9328,1695,9330,1620,9328,1545,9321,1471,9310,1399,9295,1328,9276,1259,9253,1191,9226,1125,9196,1061,9162,999,9125,940,9084,882,9041,828,8994,775,8945,726,8892,679,8838,636,8780,595,8721,558,8659,524,8595,494,8529,467,8461,444,8392,425,8321,410,8249,399,8175,392,8100,390xe" filled="true" fillcolor="#ffffff" stroked="false">
              <v:path arrowok="t"/>
              <v:fill type="solid"/>
            </v:shape>
            <v:shape style="position:absolute;left:6870;top:390;width:2460;height:2460" coordorigin="6870,390" coordsize="2460,2460" path="m8100,2850l8175,2848,8249,2841,8321,2830,8392,2815,8461,2796,8529,2773,8595,2746,8659,2716,8721,2682,8780,2645,8838,2604,8892,2561,8945,2514,8994,2465,9041,2412,9084,2358,9125,2300,9162,2241,9196,2179,9226,2115,9253,2049,9276,1981,9295,1912,9310,1841,9321,1769,9328,1695,9330,1620,9328,1545,9321,1471,9310,1399,9295,1328,9276,1259,9253,1191,9226,1125,9196,1061,9162,999,9125,940,9084,882,9041,828,8994,775,8945,726,8892,679,8838,636,8780,595,8721,558,8659,524,8595,494,8529,467,8461,444,8392,425,8321,410,8249,399,8175,392,8100,390,8025,392,7951,399,7879,410,7808,425,7739,444,7671,467,7605,494,7541,524,7479,558,7420,595,7362,636,7308,679,7255,726,7206,775,7159,828,7116,882,7075,940,7038,999,7004,1061,6974,1125,6947,1191,6924,1259,6905,1328,6890,1399,6879,1471,6872,1545,6870,1620,6872,1695,6879,1769,6890,1841,6905,1912,6924,1981,6947,2049,6974,2115,7004,2179,7038,2241,7075,2300,7116,2358,7159,2412,7206,2465,7255,2514,7308,2561,7362,2604,7420,2645,7479,2682,7541,2716,7605,2746,7671,2773,7739,2796,7808,2815,7879,2830,7951,2841,8025,2848,8100,2850xe" filled="false" stroked="true" strokeweight="3pt" strokecolor="#ffffff">
              <v:path arrowok="t"/>
              <v:stroke dashstyle="solid"/>
            </v:shape>
            <v:shape style="position:absolute;left:6912;top:435;width:2363;height:2363" coordorigin="6912,435" coordsize="2363,2363" path="m8093,435l8019,437,7945,444,7873,455,7803,471,7734,490,7666,514,7601,542,7538,573,7477,608,7419,646,7362,688,7309,733,7258,781,7210,831,7165,885,7124,941,7085,1000,7051,1061,7019,1124,6992,1189,6968,1256,6948,1325,6933,1396,6921,1468,6915,1541,6912,1616,6915,1691,6921,1764,6933,1836,6948,1907,6968,1976,6992,2043,7019,2108,7051,2171,7085,2232,7124,2291,7165,2347,7210,2400,7258,2451,7309,2499,7362,2544,7419,2585,7477,2624,7538,2659,7601,2690,7666,2718,7734,2741,7803,2761,7873,2777,7945,2788,8019,2795,8093,2797,8168,2795,8242,2788,8314,2777,8384,2761,8453,2741,8520,2718,8586,2690,8649,2659,8710,2624,8768,2585,8824,2544,8878,2499,8929,2451,8976,2400,9021,2347,9063,2291,9101,2232,9136,2171,9167,2108,9195,2043,9219,1976,9238,1907,9254,1836,9265,1764,9272,1691,9275,1616,9272,1541,9265,1468,9254,1396,9238,1325,9219,1256,9195,1189,9167,1124,9136,1061,9101,1000,9063,941,9021,885,8976,831,8929,781,8878,733,8824,688,8768,646,8710,608,8649,573,8586,542,8520,514,8453,490,8384,471,8314,455,8242,444,8168,437,8093,435xe" filled="true" fillcolor="#ffffff" stroked="false">
              <v:path arrowok="t"/>
              <v:fill type="solid"/>
            </v:shape>
            <v:shape style="position:absolute;left:6912;top:435;width:2363;height:2363" coordorigin="6912,435" coordsize="2363,2363" path="m8093,2797l8168,2795,8242,2788,8314,2777,8384,2761,8453,2741,8520,2718,8586,2690,8649,2659,8710,2624,8768,2585,8824,2544,8878,2499,8929,2451,8976,2400,9021,2347,9063,2291,9101,2232,9136,2171,9167,2108,9195,2043,9219,1976,9238,1907,9254,1836,9265,1764,9272,1691,9275,1616,9272,1541,9265,1468,9254,1396,9238,1325,9219,1256,9195,1189,9167,1124,9136,1061,9101,1000,9063,941,9021,885,8976,831,8929,781,8878,733,8824,688,8768,646,8710,608,8649,573,8586,542,8520,514,8453,490,8384,471,8314,455,8242,444,8168,437,8093,435,8019,437,7945,444,7873,455,7803,471,7734,490,7666,514,7601,542,7538,573,7477,608,7419,646,7362,688,7309,733,7258,781,7210,831,7165,885,7124,941,7085,1000,7051,1061,7019,1124,6992,1189,6968,1256,6948,1325,6933,1396,6921,1468,6915,1541,6912,1616,6915,1691,6921,1764,6933,1836,6948,1907,6968,1976,6992,2043,7019,2108,7051,2171,7085,2232,7124,2291,7165,2347,7210,2400,7258,2451,7309,2499,7362,2544,7419,2585,7477,2624,7538,2659,7601,2690,7666,2718,7734,2741,7803,2761,7873,2777,7945,2788,8019,2795,8093,2797xe" filled="false" stroked="true" strokeweight="3pt" strokecolor="#0079c1">
              <v:path arrowok="t"/>
              <v:stroke dashstyle="solid"/>
            </v:shape>
            <v:rect style="position:absolute;left:0;top:5400;width:10080;height:20" filled="true" fillcolor="#1c3e94" stroked="false">
              <v:fill type="solid"/>
            </v:rect>
            <v:shapetype id="_x0000_t202" o:spt="202" coordsize="21600,21600" path="m,l,21600r21600,l21600,xe">
              <v:stroke joinstyle="miter"/>
              <v:path gradientshapeok="t" o:connecttype="rect"/>
            </v:shapetype>
            <v:shape style="position:absolute;left:0;top:0;width:10080;height:5420" type="#_x0000_t202" filled="false" stroked="false">
              <v:textbox inset="0,0,0,0">
                <w:txbxContent>
                  <w:p>
                    <w:pPr>
                      <w:spacing w:line="240" w:lineRule="auto" w:before="0"/>
                      <w:rPr>
                        <w:rFonts w:ascii="Lucida Sans"/>
                        <w:sz w:val="28"/>
                      </w:rPr>
                    </w:pPr>
                  </w:p>
                  <w:p>
                    <w:pPr>
                      <w:spacing w:line="240" w:lineRule="auto" w:before="0"/>
                      <w:rPr>
                        <w:rFonts w:ascii="Lucida Sans"/>
                        <w:sz w:val="28"/>
                      </w:rPr>
                    </w:pPr>
                  </w:p>
                  <w:p>
                    <w:pPr>
                      <w:spacing w:before="213"/>
                      <w:ind w:left="0" w:right="1401" w:firstLine="0"/>
                      <w:jc w:val="right"/>
                      <w:rPr>
                        <w:rFonts w:ascii="Trebuchet MS"/>
                        <w:b/>
                        <w:sz w:val="24"/>
                      </w:rPr>
                    </w:pPr>
                    <w:r>
                      <w:rPr>
                        <w:rFonts w:ascii="Trebuchet MS"/>
                        <w:b/>
                        <w:color w:val="0079C1"/>
                        <w:w w:val="105"/>
                        <w:sz w:val="24"/>
                      </w:rPr>
                      <w:t>CHAPTER</w:t>
                    </w:r>
                  </w:p>
                  <w:p>
                    <w:pPr>
                      <w:spacing w:before="54"/>
                      <w:ind w:left="0" w:right="1696" w:firstLine="0"/>
                      <w:jc w:val="right"/>
                      <w:rPr>
                        <w:rFonts w:ascii="Times New Roman"/>
                        <w:b/>
                        <w:sz w:val="104"/>
                      </w:rPr>
                    </w:pPr>
                    <w:r>
                      <w:rPr>
                        <w:rFonts w:ascii="Times New Roman"/>
                        <w:b/>
                        <w:color w:val="0079C1"/>
                        <w:w w:val="108"/>
                        <w:sz w:val="104"/>
                      </w:rPr>
                      <w:t>9</w:t>
                    </w:r>
                  </w:p>
                  <w:p>
                    <w:pPr>
                      <w:spacing w:line="350" w:lineRule="auto" w:before="773"/>
                      <w:ind w:left="2958" w:right="1416" w:firstLine="29"/>
                      <w:jc w:val="right"/>
                      <w:rPr>
                        <w:rFonts w:ascii="Lucida Sans"/>
                        <w:sz w:val="42"/>
                      </w:rPr>
                    </w:pPr>
                    <w:r>
                      <w:rPr>
                        <w:rFonts w:ascii="Lucida Sans"/>
                        <w:color w:val="FFFFFF"/>
                        <w:spacing w:val="16"/>
                        <w:sz w:val="42"/>
                      </w:rPr>
                      <w:t>Legal</w:t>
                    </w:r>
                    <w:r>
                      <w:rPr>
                        <w:rFonts w:ascii="Lucida Sans"/>
                        <w:color w:val="FFFFFF"/>
                        <w:spacing w:val="-52"/>
                        <w:sz w:val="42"/>
                      </w:rPr>
                      <w:t> </w:t>
                    </w:r>
                    <w:r>
                      <w:rPr>
                        <w:rFonts w:ascii="Lucida Sans"/>
                        <w:color w:val="FFFFFF"/>
                        <w:spacing w:val="17"/>
                        <w:sz w:val="42"/>
                      </w:rPr>
                      <w:t>Preparedness</w:t>
                    </w:r>
                    <w:r>
                      <w:rPr>
                        <w:rFonts w:ascii="Lucida Sans"/>
                        <w:color w:val="FFFFFF"/>
                        <w:spacing w:val="-52"/>
                        <w:sz w:val="42"/>
                      </w:rPr>
                      <w:t> </w:t>
                    </w:r>
                    <w:r>
                      <w:rPr>
                        <w:rFonts w:ascii="Lucida Sans"/>
                        <w:color w:val="FFFFFF"/>
                        <w:spacing w:val="14"/>
                        <w:sz w:val="42"/>
                      </w:rPr>
                      <w:t>for</w:t>
                    </w:r>
                    <w:r>
                      <w:rPr>
                        <w:rFonts w:ascii="Lucida Sans"/>
                        <w:color w:val="FFFFFF"/>
                        <w:spacing w:val="-52"/>
                        <w:sz w:val="42"/>
                      </w:rPr>
                      <w:t> </w:t>
                    </w:r>
                    <w:r>
                      <w:rPr>
                        <w:rFonts w:ascii="Lucida Sans"/>
                        <w:color w:val="FFFFFF"/>
                        <w:spacing w:val="21"/>
                        <w:sz w:val="42"/>
                      </w:rPr>
                      <w:t>the</w:t>
                    </w:r>
                    <w:r>
                      <w:rPr>
                        <w:rFonts w:ascii="Lucida Sans"/>
                        <w:color w:val="FFFFFF"/>
                        <w:spacing w:val="21"/>
                        <w:w w:val="95"/>
                        <w:sz w:val="42"/>
                      </w:rPr>
                      <w:t> </w:t>
                    </w:r>
                    <w:r>
                      <w:rPr>
                        <w:rFonts w:ascii="Lucida Sans"/>
                        <w:color w:val="FFFFFF"/>
                        <w:spacing w:val="19"/>
                        <w:sz w:val="42"/>
                      </w:rPr>
                      <w:t>Surveillance</w:t>
                    </w:r>
                    <w:r>
                      <w:rPr>
                        <w:rFonts w:ascii="Lucida Sans"/>
                        <w:color w:val="FFFFFF"/>
                        <w:spacing w:val="-76"/>
                        <w:sz w:val="42"/>
                      </w:rPr>
                      <w:t> </w:t>
                    </w:r>
                    <w:r>
                      <w:rPr>
                        <w:rFonts w:ascii="Lucida Sans"/>
                        <w:color w:val="FFFFFF"/>
                        <w:spacing w:val="14"/>
                        <w:sz w:val="42"/>
                      </w:rPr>
                      <w:t>and</w:t>
                    </w:r>
                    <w:r>
                      <w:rPr>
                        <w:rFonts w:ascii="Lucida Sans"/>
                        <w:color w:val="FFFFFF"/>
                        <w:spacing w:val="-76"/>
                        <w:sz w:val="42"/>
                      </w:rPr>
                      <w:t> </w:t>
                    </w:r>
                    <w:r>
                      <w:rPr>
                        <w:rFonts w:ascii="Lucida Sans"/>
                        <w:color w:val="FFFFFF"/>
                        <w:spacing w:val="16"/>
                        <w:sz w:val="42"/>
                      </w:rPr>
                      <w:t>Control</w:t>
                    </w:r>
                    <w:r>
                      <w:rPr>
                        <w:rFonts w:ascii="Lucida Sans"/>
                        <w:color w:val="FFFFFF"/>
                        <w:spacing w:val="-76"/>
                        <w:sz w:val="42"/>
                      </w:rPr>
                      <w:t> </w:t>
                    </w:r>
                    <w:r>
                      <w:rPr>
                        <w:rFonts w:ascii="Lucida Sans"/>
                        <w:color w:val="FFFFFF"/>
                        <w:spacing w:val="21"/>
                        <w:sz w:val="42"/>
                      </w:rPr>
                      <w:t>of</w:t>
                    </w:r>
                  </w:p>
                  <w:p>
                    <w:pPr>
                      <w:spacing w:before="5"/>
                      <w:ind w:left="0" w:right="1416" w:firstLine="0"/>
                      <w:jc w:val="right"/>
                      <w:rPr>
                        <w:rFonts w:ascii="Lucida Sans"/>
                        <w:sz w:val="42"/>
                      </w:rPr>
                    </w:pPr>
                    <w:r>
                      <w:rPr>
                        <w:rFonts w:ascii="Lucida Sans"/>
                        <w:color w:val="FFFFFF"/>
                        <w:spacing w:val="18"/>
                        <w:w w:val="95"/>
                        <w:sz w:val="42"/>
                      </w:rPr>
                      <w:t>Foodborne Disease</w:t>
                    </w:r>
                    <w:r>
                      <w:rPr>
                        <w:rFonts w:ascii="Lucida Sans"/>
                        <w:color w:val="FFFFFF"/>
                        <w:spacing w:val="82"/>
                        <w:w w:val="95"/>
                        <w:sz w:val="42"/>
                      </w:rPr>
                      <w:t> </w:t>
                    </w:r>
                    <w:r>
                      <w:rPr>
                        <w:rFonts w:ascii="Lucida Sans"/>
                        <w:color w:val="FFFFFF"/>
                        <w:spacing w:val="20"/>
                        <w:w w:val="95"/>
                        <w:sz w:val="42"/>
                      </w:rPr>
                      <w:t>Outbreaks</w:t>
                    </w:r>
                  </w:p>
                </w:txbxContent>
              </v:textbox>
              <w10:wrap type="none"/>
            </v:shape>
            <w10:wrap type="none"/>
          </v:group>
        </w:pict>
      </w:r>
      <w:r>
        <w:rPr/>
        <w:pict>
          <v:line style="position:absolute;mso-position-horizontal-relative:page;mso-position-vertical-relative:page;z-index:-16216" from="0pt,702.5pt" to="432pt,702.5pt" stroked="true" strokeweight="1pt" strokecolor="#00a94f">
            <v:stroke dashstyle="solid"/>
            <w10:wrap type="none"/>
          </v:line>
        </w:pict>
      </w: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7"/>
        <w:rPr>
          <w:rFonts w:ascii="Times New Roman"/>
          <w:sz w:val="19"/>
        </w:rPr>
      </w:pPr>
    </w:p>
    <w:p>
      <w:pPr>
        <w:pStyle w:val="Heading1"/>
        <w:spacing w:before="87"/>
        <w:ind w:left="2520" w:firstLine="0"/>
        <w:rPr>
          <w:rFonts w:ascii="Lucida Sans"/>
        </w:rPr>
      </w:pPr>
      <w:r>
        <w:rPr/>
        <w:pict>
          <v:shape style="position:absolute;margin-left:126pt;margin-top:21.265974pt;width:38.9pt;height:94pt;mso-position-horizontal-relative:page;mso-position-vertical-relative:paragraph;z-index:-16192" type="#_x0000_t202" filled="false" stroked="false">
            <v:textbox inset="0,0,0,0">
              <w:txbxContent>
                <w:p>
                  <w:pPr>
                    <w:spacing w:line="1758" w:lineRule="exact" w:before="0"/>
                    <w:ind w:left="0" w:right="0" w:firstLine="0"/>
                    <w:jc w:val="left"/>
                    <w:rPr>
                      <w:rFonts w:ascii="Lucida Sans"/>
                      <w:sz w:val="155"/>
                    </w:rPr>
                  </w:pPr>
                  <w:r>
                    <w:rPr>
                      <w:rFonts w:ascii="Lucida Sans"/>
                      <w:color w:val="00A94F"/>
                      <w:w w:val="94"/>
                      <w:sz w:val="155"/>
                    </w:rPr>
                    <w:t>L</w:t>
                  </w:r>
                </w:p>
              </w:txbxContent>
            </v:textbox>
            <w10:wrap type="none"/>
          </v:shape>
        </w:pict>
      </w:r>
      <w:r>
        <w:rPr>
          <w:rFonts w:ascii="Lucida Sans"/>
          <w:color w:val="00A94F"/>
          <w:w w:val="95"/>
        </w:rPr>
        <w:t>9.0.1. Public Health Legal Preparedness</w:t>
      </w:r>
    </w:p>
    <w:p>
      <w:pPr>
        <w:pStyle w:val="BodyText"/>
        <w:spacing w:line="489" w:lineRule="auto" w:before="286"/>
        <w:ind w:left="3344" w:right="1431"/>
        <w:jc w:val="both"/>
        <w:rPr>
          <w:rFonts w:ascii="Lucida Sans"/>
        </w:rPr>
      </w:pPr>
      <w:r>
        <w:rPr>
          <w:rFonts w:ascii="Lucida Sans"/>
          <w:color w:val="1C3E94"/>
          <w:spacing w:val="4"/>
        </w:rPr>
        <w:t>egal preparedness </w:t>
      </w:r>
      <w:r>
        <w:rPr>
          <w:rFonts w:ascii="Lucida Sans"/>
          <w:color w:val="1C3E94"/>
          <w:spacing w:val="3"/>
        </w:rPr>
        <w:t>is an </w:t>
      </w:r>
      <w:r>
        <w:rPr>
          <w:rFonts w:ascii="Lucida Sans"/>
          <w:color w:val="1C3E94"/>
          <w:spacing w:val="5"/>
        </w:rPr>
        <w:t>indispensable </w:t>
      </w:r>
      <w:r>
        <w:rPr>
          <w:rFonts w:ascii="Lucida Sans"/>
          <w:color w:val="1C3E94"/>
          <w:spacing w:val="4"/>
        </w:rPr>
        <w:t>part </w:t>
      </w:r>
      <w:r>
        <w:rPr>
          <w:rFonts w:ascii="Lucida Sans"/>
          <w:color w:val="1C3E94"/>
          <w:spacing w:val="6"/>
        </w:rPr>
        <w:t>of</w:t>
      </w:r>
      <w:r>
        <w:rPr>
          <w:rFonts w:ascii="Lucida Sans"/>
          <w:color w:val="1C3E94"/>
          <w:spacing w:val="75"/>
        </w:rPr>
        <w:t> </w:t>
      </w:r>
      <w:r>
        <w:rPr>
          <w:rFonts w:ascii="Lucida Sans"/>
          <w:color w:val="1C3E94"/>
          <w:spacing w:val="5"/>
          <w:w w:val="95"/>
        </w:rPr>
        <w:t>comprehensive </w:t>
      </w:r>
      <w:r>
        <w:rPr>
          <w:rFonts w:ascii="Lucida Sans"/>
          <w:color w:val="1C3E94"/>
          <w:spacing w:val="4"/>
          <w:w w:val="95"/>
        </w:rPr>
        <w:t>preparedness for </w:t>
      </w:r>
      <w:r>
        <w:rPr>
          <w:rFonts w:ascii="Lucida Sans"/>
          <w:color w:val="1C3E94"/>
          <w:spacing w:val="5"/>
          <w:w w:val="95"/>
        </w:rPr>
        <w:t>public health threats. </w:t>
      </w:r>
      <w:r>
        <w:rPr>
          <w:rFonts w:ascii="Lucida Sans"/>
          <w:color w:val="1C3E94"/>
          <w:spacing w:val="4"/>
        </w:rPr>
        <w:t>The</w:t>
      </w:r>
      <w:r>
        <w:rPr>
          <w:rFonts w:ascii="Lucida Sans"/>
          <w:color w:val="1C3E94"/>
          <w:spacing w:val="-23"/>
        </w:rPr>
        <w:t> </w:t>
      </w:r>
      <w:r>
        <w:rPr>
          <w:rFonts w:ascii="Lucida Sans"/>
          <w:color w:val="1C3E94"/>
          <w:spacing w:val="5"/>
        </w:rPr>
        <w:t>Centers</w:t>
      </w:r>
      <w:r>
        <w:rPr>
          <w:rFonts w:ascii="Lucida Sans"/>
          <w:color w:val="1C3E94"/>
          <w:spacing w:val="-23"/>
        </w:rPr>
        <w:t> </w:t>
      </w:r>
      <w:r>
        <w:rPr>
          <w:rFonts w:ascii="Lucida Sans"/>
          <w:color w:val="1C3E94"/>
          <w:spacing w:val="4"/>
        </w:rPr>
        <w:t>for</w:t>
      </w:r>
      <w:r>
        <w:rPr>
          <w:rFonts w:ascii="Lucida Sans"/>
          <w:color w:val="1C3E94"/>
          <w:spacing w:val="-23"/>
        </w:rPr>
        <w:t> </w:t>
      </w:r>
      <w:r>
        <w:rPr>
          <w:rFonts w:ascii="Lucida Sans"/>
          <w:color w:val="1C3E94"/>
          <w:spacing w:val="5"/>
        </w:rPr>
        <w:t>Disease</w:t>
      </w:r>
      <w:r>
        <w:rPr>
          <w:rFonts w:ascii="Lucida Sans"/>
          <w:color w:val="1C3E94"/>
          <w:spacing w:val="-23"/>
        </w:rPr>
        <w:t> </w:t>
      </w:r>
      <w:r>
        <w:rPr>
          <w:rFonts w:ascii="Lucida Sans"/>
          <w:color w:val="1C3E94"/>
          <w:spacing w:val="4"/>
        </w:rPr>
        <w:t>Control</w:t>
      </w:r>
      <w:r>
        <w:rPr>
          <w:rFonts w:ascii="Lucida Sans"/>
          <w:color w:val="1C3E94"/>
          <w:spacing w:val="-23"/>
        </w:rPr>
        <w:t> </w:t>
      </w:r>
      <w:r>
        <w:rPr>
          <w:rFonts w:ascii="Lucida Sans"/>
          <w:color w:val="1C3E94"/>
          <w:spacing w:val="4"/>
        </w:rPr>
        <w:t>and</w:t>
      </w:r>
      <w:r>
        <w:rPr>
          <w:rFonts w:ascii="Lucida Sans"/>
          <w:color w:val="1C3E94"/>
          <w:spacing w:val="-23"/>
        </w:rPr>
        <w:t> </w:t>
      </w:r>
      <w:r>
        <w:rPr>
          <w:rFonts w:ascii="Lucida Sans"/>
          <w:color w:val="1C3E94"/>
          <w:spacing w:val="5"/>
        </w:rPr>
        <w:t>Prevention</w:t>
      </w:r>
      <w:r>
        <w:rPr>
          <w:rFonts w:ascii="Lucida Sans"/>
          <w:color w:val="1C3E94"/>
          <w:spacing w:val="-23"/>
        </w:rPr>
        <w:t> </w:t>
      </w:r>
      <w:r>
        <w:rPr>
          <w:rFonts w:ascii="Lucida Sans"/>
          <w:color w:val="1C3E94"/>
          <w:spacing w:val="6"/>
        </w:rPr>
        <w:t>(CDC)</w:t>
      </w:r>
    </w:p>
    <w:p>
      <w:pPr>
        <w:pStyle w:val="BodyText"/>
        <w:spacing w:line="489" w:lineRule="auto" w:before="7"/>
        <w:ind w:left="2520" w:right="1431"/>
        <w:jc w:val="both"/>
        <w:rPr>
          <w:rFonts w:ascii="Lucida Sans"/>
        </w:rPr>
      </w:pPr>
      <w:r>
        <w:rPr>
          <w:rFonts w:ascii="Lucida Sans"/>
          <w:color w:val="1C3E94"/>
        </w:rPr>
        <w:t>defines public health legal preparedness as attainment by a </w:t>
      </w:r>
      <w:r>
        <w:rPr>
          <w:rFonts w:ascii="Lucida Sans"/>
          <w:color w:val="1C3E94"/>
          <w:w w:val="95"/>
        </w:rPr>
        <w:t>public health agency or system of specified legal benchmarks or standards of preparedness for specified public health concerns. </w:t>
      </w:r>
      <w:r>
        <w:rPr>
          <w:rFonts w:ascii="Lucida Sans"/>
          <w:color w:val="1C3E94"/>
        </w:rPr>
        <w:t>Public health legal preparedness has four core elements: a) </w:t>
      </w:r>
      <w:r>
        <w:rPr>
          <w:rFonts w:ascii="Lucida Sans"/>
          <w:color w:val="1C3E94"/>
          <w:w w:val="95"/>
        </w:rPr>
        <w:t>laws and legal authorities, b) competency in understanding and using law, c) coordination across sectors and jurisdictions in the implementation of law, and d) information about best practices in using law for public health purposes.</w:t>
      </w:r>
    </w:p>
    <w:p>
      <w:pPr>
        <w:spacing w:after="0" w:line="489" w:lineRule="auto"/>
        <w:jc w:val="both"/>
        <w:rPr>
          <w:rFonts w:ascii="Lucida Sans"/>
        </w:rPr>
        <w:sectPr>
          <w:type w:val="continuous"/>
          <w:pgSz w:w="10080" w:h="14400"/>
          <w:pgMar w:top="0" w:bottom="0" w:left="0" w:right="0"/>
        </w:sectPr>
      </w:pPr>
    </w:p>
    <w:p>
      <w:pPr>
        <w:pStyle w:val="BodyText"/>
        <w:spacing w:before="3"/>
        <w:rPr>
          <w:rFonts w:ascii="Lucida Sans"/>
          <w:sz w:val="10"/>
        </w:rPr>
      </w:pPr>
    </w:p>
    <w:p>
      <w:pPr>
        <w:pStyle w:val="Heading1"/>
        <w:numPr>
          <w:ilvl w:val="1"/>
          <w:numId w:val="1"/>
        </w:numPr>
        <w:tabs>
          <w:tab w:pos="1985" w:val="left" w:leader="none"/>
        </w:tabs>
        <w:spacing w:line="240" w:lineRule="auto" w:before="97" w:after="0"/>
        <w:ind w:left="1984" w:right="0" w:hanging="544"/>
        <w:jc w:val="left"/>
      </w:pPr>
      <w:r>
        <w:rPr/>
        <w:pict>
          <v:line style="position:absolute;mso-position-horizontal-relative:page;mso-position-vertical-relative:paragraph;z-index:1120;mso-wrap-distance-left:0;mso-wrap-distance-right:0" from="72pt,23.991844pt" to="468pt,23.991844pt" stroked="true" strokeweight=".5pt" strokecolor="#00a94f">
            <v:stroke dashstyle="solid"/>
            <w10:wrap type="topAndBottom"/>
          </v:line>
        </w:pict>
      </w:r>
      <w:r>
        <w:rPr>
          <w:color w:val="00A94F"/>
          <w:w w:val="105"/>
        </w:rPr>
        <w:t>Introduction</w:t>
      </w:r>
    </w:p>
    <w:p>
      <w:pPr>
        <w:pStyle w:val="BodyText"/>
        <w:rPr>
          <w:rFonts w:ascii="Arial"/>
          <w:sz w:val="18"/>
        </w:rPr>
      </w:pPr>
    </w:p>
    <w:p>
      <w:pPr>
        <w:spacing w:after="0"/>
        <w:rPr>
          <w:rFonts w:ascii="Arial"/>
          <w:sz w:val="18"/>
        </w:rPr>
        <w:sectPr>
          <w:headerReference w:type="even" r:id="rId8"/>
          <w:headerReference w:type="default" r:id="rId9"/>
          <w:pgSz w:w="10080" w:h="14400"/>
          <w:pgMar w:header="0" w:footer="0" w:top="1160" w:bottom="0" w:left="0" w:right="0"/>
          <w:pgNumType w:start="234"/>
        </w:sectPr>
      </w:pPr>
    </w:p>
    <w:p>
      <w:pPr>
        <w:pStyle w:val="ListParagraph"/>
        <w:numPr>
          <w:ilvl w:val="2"/>
          <w:numId w:val="1"/>
        </w:numPr>
        <w:tabs>
          <w:tab w:pos="1996" w:val="left" w:leader="none"/>
        </w:tabs>
        <w:spacing w:line="261" w:lineRule="auto" w:before="110" w:after="0"/>
        <w:ind w:left="1440" w:right="315" w:firstLine="0"/>
        <w:jc w:val="left"/>
        <w:rPr>
          <w:rFonts w:ascii="Arial"/>
          <w:sz w:val="20"/>
        </w:rPr>
      </w:pPr>
      <w:r>
        <w:rPr>
          <w:rFonts w:ascii="Arial"/>
          <w:color w:val="1C3E94"/>
          <w:sz w:val="20"/>
        </w:rPr>
        <w:t>Ensuring Legal Preparedness</w:t>
      </w:r>
      <w:r>
        <w:rPr>
          <w:rFonts w:ascii="Arial"/>
          <w:color w:val="1C3E94"/>
          <w:spacing w:val="-27"/>
          <w:sz w:val="20"/>
        </w:rPr>
        <w:t> </w:t>
      </w:r>
      <w:r>
        <w:rPr>
          <w:rFonts w:ascii="Arial"/>
          <w:color w:val="1C3E94"/>
          <w:sz w:val="20"/>
        </w:rPr>
        <w:t>for Foodborne Disease</w:t>
      </w:r>
      <w:r>
        <w:rPr>
          <w:rFonts w:ascii="Arial"/>
          <w:color w:val="1C3E94"/>
          <w:spacing w:val="22"/>
          <w:sz w:val="20"/>
        </w:rPr>
        <w:t> </w:t>
      </w:r>
      <w:r>
        <w:rPr>
          <w:rFonts w:ascii="Arial"/>
          <w:color w:val="1C3E94"/>
          <w:sz w:val="20"/>
        </w:rPr>
        <w:t>Outbreaks</w:t>
      </w:r>
    </w:p>
    <w:p>
      <w:pPr>
        <w:pStyle w:val="BodyText"/>
        <w:spacing w:line="266" w:lineRule="auto" w:before="194"/>
        <w:ind w:left="1440" w:right="31"/>
      </w:pPr>
      <w:r>
        <w:rPr>
          <w:color w:val="231F20"/>
          <w:w w:val="105"/>
        </w:rPr>
        <w:t>State and local public health officials should ensure their agencies and jurisdictions are legally</w:t>
      </w:r>
      <w:r>
        <w:rPr>
          <w:color w:val="231F20"/>
          <w:spacing w:val="-11"/>
          <w:w w:val="105"/>
        </w:rPr>
        <w:t> </w:t>
      </w:r>
      <w:r>
        <w:rPr>
          <w:color w:val="231F20"/>
          <w:w w:val="105"/>
        </w:rPr>
        <w:t>prepared</w:t>
      </w:r>
      <w:r>
        <w:rPr>
          <w:color w:val="231F20"/>
          <w:spacing w:val="-11"/>
          <w:w w:val="105"/>
        </w:rPr>
        <w:t> </w:t>
      </w:r>
      <w:r>
        <w:rPr>
          <w:color w:val="231F20"/>
          <w:w w:val="105"/>
        </w:rPr>
        <w:t>for</w:t>
      </w:r>
      <w:r>
        <w:rPr>
          <w:color w:val="231F20"/>
          <w:spacing w:val="-11"/>
          <w:w w:val="105"/>
        </w:rPr>
        <w:t> </w:t>
      </w:r>
      <w:r>
        <w:rPr>
          <w:color w:val="231F20"/>
          <w:w w:val="105"/>
        </w:rPr>
        <w:t>surveillance</w:t>
      </w:r>
      <w:r>
        <w:rPr>
          <w:color w:val="231F20"/>
          <w:spacing w:val="-11"/>
          <w:w w:val="105"/>
        </w:rPr>
        <w:t> </w:t>
      </w:r>
      <w:r>
        <w:rPr>
          <w:color w:val="231F20"/>
          <w:w w:val="105"/>
        </w:rPr>
        <w:t>and</w:t>
      </w:r>
      <w:r>
        <w:rPr>
          <w:color w:val="231F20"/>
          <w:spacing w:val="-11"/>
          <w:w w:val="105"/>
        </w:rPr>
        <w:t> </w:t>
      </w:r>
      <w:r>
        <w:rPr>
          <w:color w:val="231F20"/>
          <w:w w:val="105"/>
        </w:rPr>
        <w:t>control</w:t>
      </w:r>
      <w:r>
        <w:rPr>
          <w:color w:val="231F20"/>
          <w:spacing w:val="-11"/>
          <w:w w:val="105"/>
        </w:rPr>
        <w:t> </w:t>
      </w:r>
      <w:r>
        <w:rPr>
          <w:color w:val="231F20"/>
          <w:w w:val="105"/>
        </w:rPr>
        <w:t>of foodborne</w:t>
      </w:r>
      <w:r>
        <w:rPr>
          <w:color w:val="231F20"/>
          <w:spacing w:val="-18"/>
          <w:w w:val="105"/>
        </w:rPr>
        <w:t> </w:t>
      </w:r>
      <w:r>
        <w:rPr>
          <w:color w:val="231F20"/>
          <w:w w:val="105"/>
        </w:rPr>
        <w:t>disease</w:t>
      </w:r>
      <w:r>
        <w:rPr>
          <w:color w:val="231F20"/>
          <w:spacing w:val="-18"/>
          <w:w w:val="105"/>
        </w:rPr>
        <w:t> </w:t>
      </w:r>
      <w:r>
        <w:rPr>
          <w:color w:val="231F20"/>
          <w:w w:val="105"/>
        </w:rPr>
        <w:t>outbreaks.</w:t>
      </w:r>
      <w:r>
        <w:rPr>
          <w:color w:val="231F20"/>
          <w:spacing w:val="-18"/>
          <w:w w:val="105"/>
        </w:rPr>
        <w:t> </w:t>
      </w:r>
      <w:r>
        <w:rPr>
          <w:color w:val="231F20"/>
          <w:w w:val="105"/>
        </w:rPr>
        <w:t>This</w:t>
      </w:r>
      <w:r>
        <w:rPr>
          <w:color w:val="231F20"/>
          <w:spacing w:val="-18"/>
          <w:w w:val="105"/>
        </w:rPr>
        <w:t> </w:t>
      </w:r>
      <w:r>
        <w:rPr>
          <w:color w:val="231F20"/>
          <w:w w:val="105"/>
        </w:rPr>
        <w:t>means:</w:t>
      </w:r>
    </w:p>
    <w:p>
      <w:pPr>
        <w:pStyle w:val="ListParagraph"/>
        <w:numPr>
          <w:ilvl w:val="0"/>
          <w:numId w:val="2"/>
        </w:numPr>
        <w:tabs>
          <w:tab w:pos="1611" w:val="left" w:leader="none"/>
        </w:tabs>
        <w:spacing w:line="266" w:lineRule="auto" w:before="179" w:after="0"/>
        <w:ind w:left="1610" w:right="63" w:hanging="170"/>
        <w:jc w:val="left"/>
        <w:rPr>
          <w:sz w:val="20"/>
        </w:rPr>
      </w:pPr>
      <w:r>
        <w:rPr>
          <w:color w:val="231F20"/>
          <w:w w:val="105"/>
          <w:sz w:val="20"/>
        </w:rPr>
        <w:t>They should </w:t>
      </w:r>
      <w:r>
        <w:rPr>
          <w:color w:val="231F20"/>
          <w:spacing w:val="-3"/>
          <w:w w:val="105"/>
          <w:sz w:val="20"/>
        </w:rPr>
        <w:t>have </w:t>
      </w:r>
      <w:r>
        <w:rPr>
          <w:color w:val="231F20"/>
          <w:w w:val="105"/>
          <w:sz w:val="20"/>
        </w:rPr>
        <w:t>the laws and legal authorities needed to conduct all functions essential</w:t>
      </w:r>
      <w:r>
        <w:rPr>
          <w:color w:val="231F20"/>
          <w:spacing w:val="-20"/>
          <w:w w:val="105"/>
          <w:sz w:val="20"/>
        </w:rPr>
        <w:t> </w:t>
      </w:r>
      <w:r>
        <w:rPr>
          <w:color w:val="231F20"/>
          <w:w w:val="105"/>
          <w:sz w:val="20"/>
        </w:rPr>
        <w:t>to</w:t>
      </w:r>
      <w:r>
        <w:rPr>
          <w:color w:val="231F20"/>
          <w:spacing w:val="-20"/>
          <w:w w:val="105"/>
          <w:sz w:val="20"/>
        </w:rPr>
        <w:t> </w:t>
      </w:r>
      <w:r>
        <w:rPr>
          <w:color w:val="231F20"/>
          <w:w w:val="105"/>
          <w:sz w:val="20"/>
        </w:rPr>
        <w:t>effective</w:t>
      </w:r>
      <w:r>
        <w:rPr>
          <w:color w:val="231F20"/>
          <w:spacing w:val="-20"/>
          <w:w w:val="105"/>
          <w:sz w:val="20"/>
        </w:rPr>
        <w:t> </w:t>
      </w:r>
      <w:r>
        <w:rPr>
          <w:color w:val="231F20"/>
          <w:w w:val="105"/>
          <w:sz w:val="20"/>
        </w:rPr>
        <w:t>surveillance</w:t>
      </w:r>
      <w:r>
        <w:rPr>
          <w:color w:val="231F20"/>
          <w:spacing w:val="-20"/>
          <w:w w:val="105"/>
          <w:sz w:val="20"/>
        </w:rPr>
        <w:t> </w:t>
      </w:r>
      <w:r>
        <w:rPr>
          <w:color w:val="231F20"/>
          <w:w w:val="105"/>
          <w:sz w:val="20"/>
        </w:rPr>
        <w:t>and</w:t>
      </w:r>
      <w:r>
        <w:rPr>
          <w:color w:val="231F20"/>
          <w:spacing w:val="-20"/>
          <w:w w:val="105"/>
          <w:sz w:val="20"/>
        </w:rPr>
        <w:t> </w:t>
      </w:r>
      <w:r>
        <w:rPr>
          <w:color w:val="231F20"/>
          <w:w w:val="105"/>
          <w:sz w:val="20"/>
        </w:rPr>
        <w:t>control </w:t>
      </w:r>
      <w:r>
        <w:rPr>
          <w:color w:val="231F20"/>
          <w:spacing w:val="-4"/>
          <w:w w:val="105"/>
          <w:sz w:val="20"/>
        </w:rPr>
        <w:t>(e.g., </w:t>
      </w:r>
      <w:r>
        <w:rPr>
          <w:color w:val="231F20"/>
          <w:w w:val="105"/>
          <w:sz w:val="20"/>
        </w:rPr>
        <w:t>surveillance, reporting, enforcement, prevention, mitigation, investigation, and regulation).</w:t>
      </w:r>
    </w:p>
    <w:p>
      <w:pPr>
        <w:pStyle w:val="ListParagraph"/>
        <w:numPr>
          <w:ilvl w:val="0"/>
          <w:numId w:val="2"/>
        </w:numPr>
        <w:tabs>
          <w:tab w:pos="1611" w:val="left" w:leader="none"/>
        </w:tabs>
        <w:spacing w:line="266" w:lineRule="auto" w:before="89" w:after="0"/>
        <w:ind w:left="1610" w:right="288" w:hanging="170"/>
        <w:jc w:val="both"/>
        <w:rPr>
          <w:sz w:val="20"/>
        </w:rPr>
      </w:pPr>
      <w:r>
        <w:rPr>
          <w:color w:val="231F20"/>
          <w:w w:val="105"/>
          <w:sz w:val="20"/>
        </w:rPr>
        <w:t>Their</w:t>
      </w:r>
      <w:r>
        <w:rPr>
          <w:color w:val="231F20"/>
          <w:spacing w:val="-15"/>
          <w:w w:val="105"/>
          <w:sz w:val="20"/>
        </w:rPr>
        <w:t> </w:t>
      </w:r>
      <w:r>
        <w:rPr>
          <w:color w:val="231F20"/>
          <w:w w:val="105"/>
          <w:sz w:val="20"/>
        </w:rPr>
        <w:t>professional</w:t>
      </w:r>
      <w:r>
        <w:rPr>
          <w:color w:val="231F20"/>
          <w:spacing w:val="-15"/>
          <w:w w:val="105"/>
          <w:sz w:val="20"/>
        </w:rPr>
        <w:t> </w:t>
      </w:r>
      <w:r>
        <w:rPr>
          <w:color w:val="231F20"/>
          <w:w w:val="105"/>
          <w:sz w:val="20"/>
        </w:rPr>
        <w:t>staff</w:t>
      </w:r>
      <w:r>
        <w:rPr>
          <w:color w:val="231F20"/>
          <w:spacing w:val="-15"/>
          <w:w w:val="105"/>
          <w:sz w:val="20"/>
        </w:rPr>
        <w:t> </w:t>
      </w:r>
      <w:r>
        <w:rPr>
          <w:color w:val="231F20"/>
          <w:w w:val="105"/>
          <w:sz w:val="20"/>
        </w:rPr>
        <w:t>should</w:t>
      </w:r>
      <w:r>
        <w:rPr>
          <w:color w:val="231F20"/>
          <w:spacing w:val="-15"/>
          <w:w w:val="105"/>
          <w:sz w:val="20"/>
        </w:rPr>
        <w:t> </w:t>
      </w:r>
      <w:r>
        <w:rPr>
          <w:color w:val="231F20"/>
          <w:w w:val="105"/>
          <w:sz w:val="20"/>
        </w:rPr>
        <w:t>be</w:t>
      </w:r>
      <w:r>
        <w:rPr>
          <w:color w:val="231F20"/>
          <w:spacing w:val="-15"/>
          <w:w w:val="105"/>
          <w:sz w:val="20"/>
        </w:rPr>
        <w:t> </w:t>
      </w:r>
      <w:r>
        <w:rPr>
          <w:color w:val="231F20"/>
          <w:w w:val="105"/>
          <w:sz w:val="20"/>
        </w:rPr>
        <w:t>trained and demonstrate competence in</w:t>
      </w:r>
      <w:r>
        <w:rPr>
          <w:color w:val="231F20"/>
          <w:spacing w:val="-31"/>
          <w:w w:val="105"/>
          <w:sz w:val="20"/>
        </w:rPr>
        <w:t> </w:t>
      </w:r>
      <w:r>
        <w:rPr>
          <w:color w:val="231F20"/>
          <w:w w:val="105"/>
          <w:sz w:val="20"/>
        </w:rPr>
        <w:t>applying those</w:t>
      </w:r>
      <w:r>
        <w:rPr>
          <w:color w:val="231F20"/>
          <w:spacing w:val="-33"/>
          <w:w w:val="105"/>
          <w:sz w:val="20"/>
        </w:rPr>
        <w:t> </w:t>
      </w:r>
      <w:r>
        <w:rPr>
          <w:color w:val="231F20"/>
          <w:w w:val="105"/>
          <w:sz w:val="20"/>
        </w:rPr>
        <w:t>laws.</w:t>
      </w:r>
    </w:p>
    <w:p>
      <w:pPr>
        <w:pStyle w:val="ListParagraph"/>
        <w:numPr>
          <w:ilvl w:val="0"/>
          <w:numId w:val="2"/>
        </w:numPr>
        <w:tabs>
          <w:tab w:pos="1611" w:val="left" w:leader="none"/>
        </w:tabs>
        <w:spacing w:line="266" w:lineRule="auto" w:before="89" w:after="0"/>
        <w:ind w:left="1610" w:right="242" w:hanging="170"/>
        <w:jc w:val="left"/>
        <w:rPr>
          <w:sz w:val="20"/>
        </w:rPr>
      </w:pPr>
      <w:r>
        <w:rPr>
          <w:color w:val="231F20"/>
          <w:w w:val="105"/>
          <w:sz w:val="20"/>
        </w:rPr>
        <w:t>They should </w:t>
      </w:r>
      <w:r>
        <w:rPr>
          <w:color w:val="231F20"/>
          <w:spacing w:val="-3"/>
          <w:w w:val="105"/>
          <w:sz w:val="20"/>
        </w:rPr>
        <w:t>have </w:t>
      </w:r>
      <w:r>
        <w:rPr>
          <w:color w:val="231F20"/>
          <w:w w:val="105"/>
          <w:sz w:val="20"/>
        </w:rPr>
        <w:t>mutual aid agreements or memoranda of agreement in place to facilitate</w:t>
      </w:r>
      <w:r>
        <w:rPr>
          <w:color w:val="231F20"/>
          <w:spacing w:val="-22"/>
          <w:w w:val="105"/>
          <w:sz w:val="20"/>
        </w:rPr>
        <w:t> </w:t>
      </w:r>
      <w:r>
        <w:rPr>
          <w:color w:val="231F20"/>
          <w:w w:val="105"/>
          <w:sz w:val="20"/>
        </w:rPr>
        <w:t>investigation</w:t>
      </w:r>
      <w:r>
        <w:rPr>
          <w:color w:val="231F20"/>
          <w:spacing w:val="-22"/>
          <w:w w:val="105"/>
          <w:sz w:val="20"/>
        </w:rPr>
        <w:t> </w:t>
      </w:r>
      <w:r>
        <w:rPr>
          <w:color w:val="231F20"/>
          <w:w w:val="105"/>
          <w:sz w:val="20"/>
        </w:rPr>
        <w:t>and</w:t>
      </w:r>
      <w:r>
        <w:rPr>
          <w:color w:val="231F20"/>
          <w:spacing w:val="-22"/>
          <w:w w:val="105"/>
          <w:sz w:val="20"/>
        </w:rPr>
        <w:t> </w:t>
      </w:r>
      <w:r>
        <w:rPr>
          <w:color w:val="231F20"/>
          <w:w w:val="105"/>
          <w:sz w:val="20"/>
        </w:rPr>
        <w:t>response</w:t>
      </w:r>
      <w:r>
        <w:rPr>
          <w:color w:val="231F20"/>
          <w:spacing w:val="-22"/>
          <w:w w:val="105"/>
          <w:sz w:val="20"/>
        </w:rPr>
        <w:t> </w:t>
      </w:r>
      <w:r>
        <w:rPr>
          <w:color w:val="231F20"/>
          <w:w w:val="105"/>
          <w:sz w:val="20"/>
        </w:rPr>
        <w:t>across</w:t>
      </w:r>
    </w:p>
    <w:p>
      <w:pPr>
        <w:pStyle w:val="BodyText"/>
        <w:spacing w:line="266" w:lineRule="auto"/>
        <w:ind w:left="1610" w:right="-15"/>
      </w:pPr>
      <w:r>
        <w:rPr>
          <w:color w:val="231F20"/>
          <w:w w:val="105"/>
        </w:rPr>
        <w:t>jurisdictions and jointly by public health and other agencies.</w:t>
      </w:r>
    </w:p>
    <w:p>
      <w:pPr>
        <w:pStyle w:val="ListParagraph"/>
        <w:numPr>
          <w:ilvl w:val="0"/>
          <w:numId w:val="2"/>
        </w:numPr>
        <w:tabs>
          <w:tab w:pos="1611" w:val="left" w:leader="none"/>
        </w:tabs>
        <w:spacing w:line="266" w:lineRule="auto" w:before="90" w:after="0"/>
        <w:ind w:left="1610" w:right="68" w:hanging="170"/>
        <w:jc w:val="left"/>
        <w:rPr>
          <w:sz w:val="20"/>
        </w:rPr>
      </w:pPr>
      <w:r>
        <w:rPr>
          <w:color w:val="231F20"/>
          <w:w w:val="105"/>
          <w:sz w:val="20"/>
        </w:rPr>
        <w:t>They should </w:t>
      </w:r>
      <w:r>
        <w:rPr>
          <w:color w:val="231F20"/>
          <w:spacing w:val="-3"/>
          <w:w w:val="105"/>
          <w:sz w:val="20"/>
        </w:rPr>
        <w:t>have </w:t>
      </w:r>
      <w:r>
        <w:rPr>
          <w:color w:val="231F20"/>
          <w:w w:val="105"/>
          <w:sz w:val="20"/>
        </w:rPr>
        <w:t>access to information about and apply best practices in using</w:t>
      </w:r>
      <w:r>
        <w:rPr>
          <w:color w:val="231F20"/>
          <w:spacing w:val="-35"/>
          <w:w w:val="105"/>
          <w:sz w:val="20"/>
        </w:rPr>
        <w:t> </w:t>
      </w:r>
      <w:r>
        <w:rPr>
          <w:color w:val="231F20"/>
          <w:w w:val="105"/>
          <w:sz w:val="20"/>
        </w:rPr>
        <w:t>their relevant legal</w:t>
      </w:r>
      <w:r>
        <w:rPr>
          <w:color w:val="231F20"/>
          <w:spacing w:val="-10"/>
          <w:w w:val="105"/>
          <w:sz w:val="20"/>
        </w:rPr>
        <w:t> </w:t>
      </w:r>
      <w:r>
        <w:rPr>
          <w:color w:val="231F20"/>
          <w:w w:val="105"/>
          <w:sz w:val="20"/>
        </w:rPr>
        <w:t>authorities.</w:t>
      </w:r>
    </w:p>
    <w:p>
      <w:pPr>
        <w:pStyle w:val="BodyText"/>
        <w:spacing w:line="266" w:lineRule="auto" w:before="179"/>
        <w:ind w:left="1440" w:right="-15"/>
      </w:pPr>
      <w:r>
        <w:rPr>
          <w:color w:val="231F20"/>
          <w:w w:val="105"/>
        </w:rPr>
        <w:t>The adequacy of state and local legal preparedness for foodborne disease outbreaks should</w:t>
      </w:r>
      <w:r>
        <w:rPr>
          <w:color w:val="231F20"/>
          <w:spacing w:val="-12"/>
          <w:w w:val="105"/>
        </w:rPr>
        <w:t> </w:t>
      </w:r>
      <w:r>
        <w:rPr>
          <w:color w:val="231F20"/>
          <w:w w:val="105"/>
        </w:rPr>
        <w:t>be</w:t>
      </w:r>
      <w:r>
        <w:rPr>
          <w:color w:val="231F20"/>
          <w:spacing w:val="-12"/>
          <w:w w:val="105"/>
        </w:rPr>
        <w:t> </w:t>
      </w:r>
      <w:r>
        <w:rPr>
          <w:color w:val="231F20"/>
          <w:w w:val="105"/>
        </w:rPr>
        <w:t>evaluated</w:t>
      </w:r>
      <w:r>
        <w:rPr>
          <w:color w:val="231F20"/>
          <w:spacing w:val="-12"/>
          <w:w w:val="105"/>
        </w:rPr>
        <w:t> </w:t>
      </w:r>
      <w:r>
        <w:rPr>
          <w:color w:val="231F20"/>
          <w:w w:val="105"/>
        </w:rPr>
        <w:t>regularly</w:t>
      </w:r>
      <w:r>
        <w:rPr>
          <w:color w:val="231F20"/>
          <w:spacing w:val="-12"/>
          <w:w w:val="105"/>
        </w:rPr>
        <w:t> </w:t>
      </w:r>
      <w:r>
        <w:rPr>
          <w:color w:val="231F20"/>
          <w:w w:val="105"/>
        </w:rPr>
        <w:t>through</w:t>
      </w:r>
      <w:r>
        <w:rPr>
          <w:color w:val="231F20"/>
          <w:spacing w:val="-12"/>
          <w:w w:val="105"/>
        </w:rPr>
        <w:t> </w:t>
      </w:r>
      <w:r>
        <w:rPr>
          <w:color w:val="231F20"/>
          <w:w w:val="105"/>
        </w:rPr>
        <w:t>exercises and after-action reports after responses to actual</w:t>
      </w:r>
      <w:r>
        <w:rPr>
          <w:color w:val="231F20"/>
          <w:spacing w:val="-9"/>
          <w:w w:val="105"/>
        </w:rPr>
        <w:t> </w:t>
      </w:r>
      <w:r>
        <w:rPr>
          <w:color w:val="231F20"/>
          <w:w w:val="105"/>
        </w:rPr>
        <w:t>outbreaks.</w:t>
      </w:r>
    </w:p>
    <w:p>
      <w:pPr>
        <w:pStyle w:val="BodyText"/>
        <w:spacing w:line="266" w:lineRule="auto" w:before="179"/>
        <w:ind w:left="1440" w:right="31"/>
      </w:pPr>
      <w:r>
        <w:rPr/>
        <w:pict>
          <v:rect style="position:absolute;margin-left:0pt;margin-top:22.468266pt;width:45pt;height:18pt;mso-position-horizontal-relative:page;mso-position-vertical-relative:paragraph;z-index:1168" filled="true" fillcolor="#0079c1" stroked="false">
            <v:fill type="solid"/>
            <w10:wrap type="none"/>
          </v:rect>
        </w:pict>
      </w:r>
      <w:r>
        <w:rPr/>
        <w:pict>
          <v:line style="position:absolute;mso-position-horizontal-relative:page;mso-position-vertical-relative:paragraph;z-index:1192" from="54.5pt,22.466665pt" to="54.5pt,204.468665pt" stroked="true" strokeweight="1pt" strokecolor="#0079c1">
            <v:stroke dashstyle="solid"/>
            <w10:wrap type="none"/>
          </v:line>
        </w:pict>
      </w:r>
      <w:r>
        <w:rPr/>
        <w:pict>
          <v:shape style="position:absolute;margin-left:11.4022pt;margin-top:43.678459pt;width:12.3pt;height:144.2pt;mso-position-horizontal-relative:page;mso-position-vertical-relative:paragraph;z-index:1216" type="#_x0000_t202" filled="false" stroked="false">
            <v:textbox inset="0,0,0,0" style="layout-flow:vertical;mso-layout-flow-alt:bottom-to-top">
              <w:txbxContent>
                <w:p>
                  <w:pPr>
                    <w:spacing w:before="12"/>
                    <w:ind w:left="20" w:right="-1140" w:firstLine="0"/>
                    <w:jc w:val="left"/>
                    <w:rPr>
                      <w:rFonts w:ascii="Lucida Sans"/>
                      <w:sz w:val="17"/>
                    </w:rPr>
                  </w:pPr>
                  <w:r>
                    <w:rPr>
                      <w:rFonts w:ascii="Lucida Sans"/>
                      <w:color w:val="0079C1"/>
                      <w:spacing w:val="8"/>
                      <w:w w:val="103"/>
                      <w:sz w:val="17"/>
                    </w:rPr>
                    <w:t>LEGA</w:t>
                  </w:r>
                  <w:r>
                    <w:rPr>
                      <w:rFonts w:ascii="Lucida Sans"/>
                      <w:color w:val="0079C1"/>
                      <w:w w:val="103"/>
                      <w:sz w:val="17"/>
                    </w:rPr>
                    <w:t>L</w:t>
                  </w:r>
                  <w:r>
                    <w:rPr>
                      <w:rFonts w:ascii="Lucida Sans"/>
                      <w:color w:val="0079C1"/>
                      <w:spacing w:val="10"/>
                      <w:sz w:val="17"/>
                    </w:rPr>
                    <w:t> </w:t>
                  </w:r>
                  <w:r>
                    <w:rPr>
                      <w:rFonts w:ascii="Lucida Sans"/>
                      <w:color w:val="0079C1"/>
                      <w:spacing w:val="8"/>
                      <w:w w:val="105"/>
                      <w:sz w:val="17"/>
                    </w:rPr>
                    <w:t>PRE</w:t>
                  </w:r>
                  <w:r>
                    <w:rPr>
                      <w:rFonts w:ascii="Lucida Sans"/>
                      <w:color w:val="0079C1"/>
                      <w:spacing w:val="-5"/>
                      <w:w w:val="105"/>
                      <w:sz w:val="17"/>
                    </w:rPr>
                    <w:t>P</w:t>
                  </w:r>
                  <w:r>
                    <w:rPr>
                      <w:rFonts w:ascii="Lucida Sans"/>
                      <w:color w:val="0079C1"/>
                      <w:spacing w:val="8"/>
                      <w:w w:val="104"/>
                      <w:sz w:val="17"/>
                    </w:rPr>
                    <w:t>AREDNES</w:t>
                  </w:r>
                  <w:r>
                    <w:rPr>
                      <w:rFonts w:ascii="Lucida Sans"/>
                      <w:color w:val="0079C1"/>
                      <w:w w:val="104"/>
                      <w:sz w:val="17"/>
                    </w:rPr>
                    <w:t>S</w:t>
                  </w:r>
                  <w:r>
                    <w:rPr>
                      <w:rFonts w:ascii="Lucida Sans"/>
                      <w:color w:val="0079C1"/>
                      <w:spacing w:val="10"/>
                      <w:sz w:val="17"/>
                    </w:rPr>
                    <w:t> </w:t>
                  </w:r>
                  <w:r>
                    <w:rPr>
                      <w:rFonts w:ascii="Lucida Sans"/>
                      <w:color w:val="0079C1"/>
                      <w:spacing w:val="8"/>
                      <w:w w:val="103"/>
                      <w:sz w:val="17"/>
                    </w:rPr>
                    <w:t>FO</w:t>
                  </w:r>
                  <w:r>
                    <w:rPr>
                      <w:rFonts w:ascii="Lucida Sans"/>
                      <w:color w:val="0079C1"/>
                      <w:w w:val="103"/>
                      <w:sz w:val="17"/>
                    </w:rPr>
                    <w:t>R</w:t>
                  </w:r>
                  <w:r>
                    <w:rPr>
                      <w:rFonts w:ascii="Lucida Sans"/>
                      <w:color w:val="0079C1"/>
                      <w:spacing w:val="10"/>
                      <w:sz w:val="17"/>
                    </w:rPr>
                    <w:t> </w:t>
                  </w:r>
                  <w:r>
                    <w:rPr>
                      <w:rFonts w:ascii="Lucida Sans"/>
                      <w:color w:val="0079C1"/>
                      <w:spacing w:val="8"/>
                      <w:w w:val="100"/>
                      <w:sz w:val="17"/>
                    </w:rPr>
                    <w:t>THE</w:t>
                  </w:r>
                </w:p>
              </w:txbxContent>
            </v:textbox>
            <w10:wrap type="none"/>
          </v:shape>
        </w:pict>
      </w:r>
      <w:r>
        <w:rPr/>
        <w:pict>
          <v:shape style="position:absolute;margin-left:18.200388pt;margin-top:27.219217pt;width:25.5pt;height:173.95pt;mso-position-horizontal-relative:page;mso-position-vertical-relative:paragraph;z-index:1240" type="#_x0000_t202" filled="false" stroked="false">
            <v:textbox inset="0,0,0,0" style="layout-flow:vertical;mso-layout-flow-alt:bottom-to-top">
              <w:txbxContent>
                <w:p>
                  <w:pPr>
                    <w:spacing w:line="273" w:lineRule="exact" w:before="7"/>
                    <w:ind w:left="79" w:right="-889" w:firstLine="0"/>
                    <w:jc w:val="left"/>
                    <w:rPr>
                      <w:rFonts w:ascii="Times New Roman"/>
                      <w:b/>
                      <w:sz w:val="24"/>
                    </w:rPr>
                  </w:pPr>
                  <w:r>
                    <w:rPr>
                      <w:rFonts w:ascii="Lucida Sans"/>
                      <w:color w:val="0079C1"/>
                      <w:spacing w:val="8"/>
                      <w:w w:val="102"/>
                      <w:sz w:val="17"/>
                    </w:rPr>
                    <w:t>SURVEILLANC</w:t>
                  </w:r>
                  <w:r>
                    <w:rPr>
                      <w:rFonts w:ascii="Lucida Sans"/>
                      <w:color w:val="0079C1"/>
                      <w:w w:val="102"/>
                      <w:sz w:val="17"/>
                    </w:rPr>
                    <w:t>E</w:t>
                  </w:r>
                  <w:r>
                    <w:rPr>
                      <w:rFonts w:ascii="Lucida Sans"/>
                      <w:color w:val="0079C1"/>
                      <w:spacing w:val="10"/>
                      <w:sz w:val="17"/>
                    </w:rPr>
                    <w:t> </w:t>
                  </w:r>
                  <w:r>
                    <w:rPr>
                      <w:rFonts w:ascii="Lucida Sans"/>
                      <w:color w:val="0079C1"/>
                      <w:spacing w:val="8"/>
                      <w:w w:val="102"/>
                      <w:sz w:val="17"/>
                    </w:rPr>
                    <w:t>AN</w:t>
                  </w:r>
                  <w:r>
                    <w:rPr>
                      <w:rFonts w:ascii="Lucida Sans"/>
                      <w:color w:val="0079C1"/>
                      <w:w w:val="102"/>
                      <w:sz w:val="17"/>
                    </w:rPr>
                    <w:t>D</w:t>
                  </w:r>
                  <w:r>
                    <w:rPr>
                      <w:rFonts w:ascii="Lucida Sans"/>
                      <w:color w:val="0079C1"/>
                      <w:spacing w:val="10"/>
                      <w:sz w:val="17"/>
                    </w:rPr>
                    <w:t> </w:t>
                  </w:r>
                  <w:r>
                    <w:rPr>
                      <w:rFonts w:ascii="Lucida Sans"/>
                      <w:color w:val="0079C1"/>
                      <w:spacing w:val="8"/>
                      <w:w w:val="101"/>
                      <w:sz w:val="17"/>
                    </w:rPr>
                    <w:t>CONTRO</w:t>
                  </w:r>
                  <w:r>
                    <w:rPr>
                      <w:rFonts w:ascii="Lucida Sans"/>
                      <w:color w:val="0079C1"/>
                      <w:w w:val="101"/>
                      <w:sz w:val="17"/>
                    </w:rPr>
                    <w:t>L</w:t>
                  </w:r>
                  <w:r>
                    <w:rPr>
                      <w:rFonts w:ascii="Lucida Sans"/>
                      <w:color w:val="0079C1"/>
                      <w:spacing w:val="10"/>
                      <w:sz w:val="17"/>
                    </w:rPr>
                    <w:t> </w:t>
                  </w:r>
                  <w:r>
                    <w:rPr>
                      <w:rFonts w:ascii="Lucida Sans"/>
                      <w:color w:val="0079C1"/>
                      <w:spacing w:val="8"/>
                      <w:w w:val="107"/>
                      <w:sz w:val="17"/>
                    </w:rPr>
                    <w:t>O</w:t>
                  </w:r>
                  <w:r>
                    <w:rPr>
                      <w:rFonts w:ascii="Lucida Sans"/>
                      <w:color w:val="0079C1"/>
                      <w:w w:val="107"/>
                      <w:sz w:val="17"/>
                    </w:rPr>
                    <w:t>F</w:t>
                  </w:r>
                  <w:r>
                    <w:rPr>
                      <w:rFonts w:ascii="Lucida Sans"/>
                      <w:color w:val="0079C1"/>
                      <w:sz w:val="17"/>
                    </w:rPr>
                    <w:t>  </w:t>
                  </w:r>
                  <w:r>
                    <w:rPr>
                      <w:rFonts w:ascii="Lucida Sans"/>
                      <w:color w:val="0079C1"/>
                      <w:spacing w:val="-12"/>
                      <w:sz w:val="17"/>
                    </w:rPr>
                    <w:t> </w:t>
                  </w:r>
                  <w:r>
                    <w:rPr>
                      <w:rFonts w:ascii="Times New Roman"/>
                      <w:b/>
                      <w:color w:val="FFFFFF"/>
                      <w:w w:val="108"/>
                      <w:position w:val="1"/>
                      <w:sz w:val="24"/>
                    </w:rPr>
                    <w:t>9</w:t>
                  </w:r>
                </w:p>
                <w:p>
                  <w:pPr>
                    <w:spacing w:line="197" w:lineRule="exact" w:before="0"/>
                    <w:ind w:left="20" w:right="-692" w:firstLine="0"/>
                    <w:jc w:val="left"/>
                    <w:rPr>
                      <w:rFonts w:ascii="Lucida Sans"/>
                      <w:sz w:val="17"/>
                    </w:rPr>
                  </w:pPr>
                  <w:r>
                    <w:rPr>
                      <w:rFonts w:ascii="Lucida Sans"/>
                      <w:color w:val="0079C1"/>
                      <w:spacing w:val="8"/>
                      <w:w w:val="105"/>
                      <w:sz w:val="17"/>
                    </w:rPr>
                    <w:t>FOODBORN</w:t>
                  </w:r>
                  <w:r>
                    <w:rPr>
                      <w:rFonts w:ascii="Lucida Sans"/>
                      <w:color w:val="0079C1"/>
                      <w:w w:val="105"/>
                      <w:sz w:val="17"/>
                    </w:rPr>
                    <w:t>E</w:t>
                  </w:r>
                  <w:r>
                    <w:rPr>
                      <w:rFonts w:ascii="Lucida Sans"/>
                      <w:color w:val="0079C1"/>
                      <w:spacing w:val="10"/>
                      <w:sz w:val="17"/>
                    </w:rPr>
                    <w:t> </w:t>
                  </w:r>
                  <w:r>
                    <w:rPr>
                      <w:rFonts w:ascii="Lucida Sans"/>
                      <w:color w:val="0079C1"/>
                      <w:spacing w:val="8"/>
                      <w:w w:val="104"/>
                      <w:sz w:val="17"/>
                    </w:rPr>
                    <w:t>DISEAS</w:t>
                  </w:r>
                  <w:r>
                    <w:rPr>
                      <w:rFonts w:ascii="Lucida Sans"/>
                      <w:color w:val="0079C1"/>
                      <w:w w:val="104"/>
                      <w:sz w:val="17"/>
                    </w:rPr>
                    <w:t>E</w:t>
                  </w:r>
                  <w:r>
                    <w:rPr>
                      <w:rFonts w:ascii="Lucida Sans"/>
                      <w:color w:val="0079C1"/>
                      <w:spacing w:val="10"/>
                      <w:sz w:val="17"/>
                    </w:rPr>
                    <w:t> </w:t>
                  </w:r>
                  <w:r>
                    <w:rPr>
                      <w:rFonts w:ascii="Lucida Sans"/>
                      <w:color w:val="0079C1"/>
                      <w:spacing w:val="8"/>
                      <w:w w:val="102"/>
                      <w:sz w:val="17"/>
                    </w:rPr>
                    <w:t>OUTBREAKS</w:t>
                  </w:r>
                </w:p>
              </w:txbxContent>
            </v:textbox>
            <w10:wrap type="none"/>
          </v:shape>
        </w:pict>
      </w:r>
      <w:r>
        <w:rPr>
          <w:color w:val="231F20"/>
        </w:rPr>
        <w:t>As part of ensuring their jurisdictions’ legal preparedness, state and local health officials should consult with their legal counsel and with counterparts in other government  agencies</w:t>
      </w:r>
    </w:p>
    <w:p>
      <w:pPr>
        <w:pStyle w:val="BodyText"/>
        <w:spacing w:line="266" w:lineRule="auto"/>
        <w:ind w:left="1440" w:right="114"/>
      </w:pPr>
      <w:r>
        <w:rPr/>
        <w:pict>
          <v:line style="position:absolute;mso-position-horizontal-relative:page;mso-position-vertical-relative:paragraph;z-index:1144" from="72pt,146.018265pt" to="504pt,146.018265pt" stroked="true" strokeweight="1pt" strokecolor="#00a94f">
            <v:stroke dashstyle="solid"/>
            <w10:wrap type="none"/>
          </v:line>
        </w:pict>
      </w:r>
      <w:r>
        <w:rPr>
          <w:color w:val="231F20"/>
        </w:rPr>
        <w:t>and private organizations that </w:t>
      </w:r>
      <w:r>
        <w:rPr>
          <w:color w:val="231F20"/>
          <w:spacing w:val="-3"/>
        </w:rPr>
        <w:t>have </w:t>
      </w:r>
      <w:r>
        <w:rPr>
          <w:color w:val="231F20"/>
        </w:rPr>
        <w:t>legal authorities or legal duties relevant to successful surveillance and control of foodborne disease outbreaks. These include such public entities  as food-regulatory and law enforcement agencies, legal counsel to municipal and state governments, and local and state courts and court administrators. Relevant private entities include private laboratories, food wholesalers, grocery retailers, and restaurants and  </w:t>
      </w:r>
      <w:r>
        <w:rPr>
          <w:color w:val="231F20"/>
          <w:spacing w:val="11"/>
        </w:rPr>
        <w:t> </w:t>
      </w:r>
      <w:r>
        <w:rPr>
          <w:color w:val="231F20"/>
        </w:rPr>
        <w:t>other</w:t>
      </w:r>
    </w:p>
    <w:p>
      <w:pPr>
        <w:pStyle w:val="BodyText"/>
        <w:spacing w:line="266" w:lineRule="auto" w:before="108"/>
        <w:ind w:left="329" w:right="993"/>
      </w:pPr>
      <w:r>
        <w:rPr/>
        <w:br w:type="column"/>
      </w:r>
      <w:r>
        <w:rPr>
          <w:color w:val="231F20"/>
        </w:rPr>
        <w:t>food vendors. Food-industry entities should be prepared to address both the  regulatory</w:t>
      </w:r>
    </w:p>
    <w:p>
      <w:pPr>
        <w:pStyle w:val="BodyText"/>
        <w:spacing w:line="266" w:lineRule="auto"/>
        <w:ind w:left="329" w:right="641"/>
      </w:pPr>
      <w:r>
        <w:rPr>
          <w:color w:val="231F20"/>
          <w:w w:val="105"/>
        </w:rPr>
        <w:t>requirements and the way their internal policies on sharing information might be affected by them</w:t>
      </w:r>
      <w:r>
        <w:rPr>
          <w:rFonts w:ascii="Times New Roman"/>
          <w:color w:val="231F20"/>
          <w:w w:val="105"/>
          <w:position w:val="7"/>
          <w:sz w:val="11"/>
        </w:rPr>
        <w:t>1</w:t>
      </w:r>
      <w:r>
        <w:rPr>
          <w:color w:val="231F20"/>
          <w:w w:val="105"/>
        </w:rPr>
        <w:t>. Where possible, these entities should be included in foodborne disease exercises to test their understanding of their legal authorities and duties related to outbreaks.</w:t>
      </w:r>
    </w:p>
    <w:p>
      <w:pPr>
        <w:pStyle w:val="ListParagraph"/>
        <w:numPr>
          <w:ilvl w:val="2"/>
          <w:numId w:val="1"/>
        </w:numPr>
        <w:tabs>
          <w:tab w:pos="886" w:val="left" w:leader="none"/>
        </w:tabs>
        <w:spacing w:line="261" w:lineRule="auto" w:before="164" w:after="0"/>
        <w:ind w:left="329" w:right="1229" w:firstLine="0"/>
        <w:jc w:val="both"/>
        <w:rPr>
          <w:rFonts w:ascii="Arial"/>
          <w:sz w:val="20"/>
        </w:rPr>
      </w:pPr>
      <w:r>
        <w:rPr>
          <w:rFonts w:ascii="Arial"/>
          <w:color w:val="1C3E94"/>
          <w:w w:val="105"/>
          <w:sz w:val="20"/>
        </w:rPr>
        <w:t>The Constitutional Setting for </w:t>
      </w:r>
      <w:r>
        <w:rPr>
          <w:rFonts w:ascii="Arial"/>
          <w:color w:val="1C3E94"/>
          <w:sz w:val="20"/>
        </w:rPr>
        <w:t>Foodborne Disease Surveillance</w:t>
      </w:r>
      <w:r>
        <w:rPr>
          <w:rFonts w:ascii="Arial"/>
          <w:color w:val="1C3E94"/>
          <w:spacing w:val="-12"/>
          <w:sz w:val="20"/>
        </w:rPr>
        <w:t> </w:t>
      </w:r>
      <w:r>
        <w:rPr>
          <w:rFonts w:ascii="Arial"/>
          <w:color w:val="1C3E94"/>
          <w:sz w:val="20"/>
        </w:rPr>
        <w:t>and </w:t>
      </w:r>
      <w:r>
        <w:rPr>
          <w:rFonts w:ascii="Arial"/>
          <w:color w:val="1C3E94"/>
          <w:w w:val="105"/>
          <w:sz w:val="20"/>
        </w:rPr>
        <w:t>Control</w:t>
      </w:r>
    </w:p>
    <w:p>
      <w:pPr>
        <w:pStyle w:val="BodyText"/>
        <w:spacing w:line="266" w:lineRule="auto" w:before="194"/>
        <w:ind w:left="329" w:right="830"/>
      </w:pPr>
      <w:r>
        <w:rPr>
          <w:color w:val="231F20"/>
        </w:rPr>
        <w:t>As government bodies, public health agencies operate in the context of the U.S. Constitution, the fundamental law of  the land. Some of</w:t>
      </w:r>
    </w:p>
    <w:p>
      <w:pPr>
        <w:pStyle w:val="BodyText"/>
        <w:spacing w:line="266" w:lineRule="auto"/>
        <w:ind w:left="329" w:right="993"/>
      </w:pPr>
      <w:r>
        <w:rPr>
          <w:color w:val="231F20"/>
        </w:rPr>
        <w:t>the principal constitutional features relevant to public health agencies are the three- branch system of government, federalism, and protection for civil liberties and property rights. Public health agencies belong to the executive branch and are broadly charged to</w:t>
      </w:r>
    </w:p>
    <w:p>
      <w:pPr>
        <w:pStyle w:val="BodyText"/>
        <w:spacing w:line="266" w:lineRule="auto"/>
        <w:ind w:left="329" w:right="725"/>
      </w:pPr>
      <w:r>
        <w:rPr>
          <w:color w:val="231F20"/>
        </w:rPr>
        <w:t>implement laws enacted </w:t>
      </w:r>
      <w:r>
        <w:rPr>
          <w:color w:val="231F20"/>
          <w:spacing w:val="-3"/>
        </w:rPr>
        <w:t>by </w:t>
      </w:r>
      <w:r>
        <w:rPr>
          <w:color w:val="231F20"/>
        </w:rPr>
        <w:t>the legislature and as interpreted </w:t>
      </w:r>
      <w:r>
        <w:rPr>
          <w:color w:val="231F20"/>
          <w:spacing w:val="-3"/>
        </w:rPr>
        <w:t>by </w:t>
      </w:r>
      <w:r>
        <w:rPr>
          <w:color w:val="231F20"/>
        </w:rPr>
        <w:t>the courts. In the federal system, the Constitution enumerates specified powers for the federal government and reserves other powers to the states (tribes are autonomous or sovereign bodies). In addition, state and local governments</w:t>
      </w:r>
      <w:r>
        <w:rPr>
          <w:color w:val="231F20"/>
          <w:spacing w:val="-18"/>
        </w:rPr>
        <w:t> </w:t>
      </w:r>
      <w:r>
        <w:rPr>
          <w:color w:val="231F20"/>
        </w:rPr>
        <w:t>possess</w:t>
      </w:r>
      <w:r>
        <w:rPr>
          <w:color w:val="231F20"/>
          <w:spacing w:val="-18"/>
        </w:rPr>
        <w:t> </w:t>
      </w:r>
      <w:r>
        <w:rPr>
          <w:color w:val="231F20"/>
        </w:rPr>
        <w:t>inherent</w:t>
      </w:r>
      <w:r>
        <w:rPr>
          <w:color w:val="231F20"/>
          <w:spacing w:val="-18"/>
        </w:rPr>
        <w:t> </w:t>
      </w:r>
      <w:r>
        <w:rPr>
          <w:color w:val="231F20"/>
        </w:rPr>
        <w:t>police</w:t>
      </w:r>
      <w:r>
        <w:rPr>
          <w:color w:val="231F20"/>
          <w:spacing w:val="-18"/>
        </w:rPr>
        <w:t> </w:t>
      </w:r>
      <w:r>
        <w:rPr>
          <w:color w:val="231F20"/>
        </w:rPr>
        <w:t>powers</w:t>
      </w:r>
    </w:p>
    <w:p>
      <w:pPr>
        <w:pStyle w:val="BodyText"/>
        <w:spacing w:line="266" w:lineRule="auto"/>
        <w:ind w:left="329" w:right="731"/>
      </w:pPr>
      <w:r>
        <w:rPr>
          <w:color w:val="231F20"/>
        </w:rPr>
        <w:t>to protect the health and safety of the public. </w:t>
      </w:r>
      <w:r>
        <w:rPr>
          <w:color w:val="231F20"/>
          <w:spacing w:val="-4"/>
        </w:rPr>
        <w:t>Finally, </w:t>
      </w:r>
      <w:r>
        <w:rPr>
          <w:color w:val="231F20"/>
        </w:rPr>
        <w:t>the </w:t>
      </w:r>
      <w:r>
        <w:rPr>
          <w:color w:val="231F20"/>
          <w:spacing w:val="-3"/>
        </w:rPr>
        <w:t>Fourth, </w:t>
      </w:r>
      <w:r>
        <w:rPr>
          <w:color w:val="231F20"/>
        </w:rPr>
        <w:t>Fifth, and </w:t>
      </w:r>
      <w:r>
        <w:rPr>
          <w:color w:val="231F20"/>
          <w:spacing w:val="-3"/>
        </w:rPr>
        <w:t>Fourteenth </w:t>
      </w:r>
      <w:r>
        <w:rPr>
          <w:color w:val="231F20"/>
        </w:rPr>
        <w:t>Amendments protect citizens from</w:t>
      </w:r>
      <w:r>
        <w:rPr>
          <w:color w:val="231F20"/>
          <w:spacing w:val="-36"/>
        </w:rPr>
        <w:t> </w:t>
      </w:r>
      <w:r>
        <w:rPr>
          <w:color w:val="231F20"/>
        </w:rPr>
        <w:t>unreasonable searches and from deprivation of  life, </w:t>
      </w:r>
      <w:r>
        <w:rPr>
          <w:color w:val="231F20"/>
          <w:spacing w:val="-4"/>
        </w:rPr>
        <w:t>liberty, </w:t>
      </w:r>
      <w:r>
        <w:rPr>
          <w:color w:val="231F20"/>
        </w:rPr>
        <w:t>and private property without due process</w:t>
      </w:r>
      <w:r>
        <w:rPr>
          <w:color w:val="231F20"/>
          <w:spacing w:val="-31"/>
        </w:rPr>
        <w:t> </w:t>
      </w:r>
      <w:r>
        <w:rPr>
          <w:color w:val="231F20"/>
        </w:rPr>
        <w:t>of</w:t>
      </w:r>
    </w:p>
    <w:p>
      <w:pPr>
        <w:pStyle w:val="BodyText"/>
        <w:spacing w:line="266" w:lineRule="auto"/>
        <w:ind w:left="329" w:right="749"/>
      </w:pPr>
      <w:r>
        <w:rPr>
          <w:color w:val="231F20"/>
          <w:spacing w:val="-7"/>
        </w:rPr>
        <w:t>law. </w:t>
      </w:r>
      <w:r>
        <w:rPr>
          <w:color w:val="231F20"/>
        </w:rPr>
        <w:t>State constitutions, statutory </w:t>
      </w:r>
      <w:r>
        <w:rPr>
          <w:color w:val="231F20"/>
          <w:spacing w:val="-7"/>
        </w:rPr>
        <w:t>law, </w:t>
      </w:r>
      <w:r>
        <w:rPr>
          <w:color w:val="231F20"/>
        </w:rPr>
        <w:t>and court rulings provide additional protections relevant to the conduct of foodborne disease</w:t>
      </w:r>
      <w:r>
        <w:rPr>
          <w:color w:val="231F20"/>
          <w:spacing w:val="-22"/>
        </w:rPr>
        <w:t> </w:t>
      </w:r>
      <w:r>
        <w:rPr>
          <w:color w:val="231F20"/>
        </w:rPr>
        <w:t>surveillance and operations </w:t>
      </w:r>
      <w:r>
        <w:rPr>
          <w:color w:val="231F20"/>
          <w:spacing w:val="-3"/>
        </w:rPr>
        <w:t>by </w:t>
      </w:r>
      <w:r>
        <w:rPr>
          <w:color w:val="231F20"/>
        </w:rPr>
        <w:t>public health</w:t>
      </w:r>
      <w:r>
        <w:rPr>
          <w:color w:val="231F20"/>
          <w:spacing w:val="24"/>
        </w:rPr>
        <w:t> </w:t>
      </w:r>
      <w:r>
        <w:rPr>
          <w:color w:val="231F20"/>
        </w:rPr>
        <w:t>agencies.</w:t>
      </w:r>
    </w:p>
    <w:p>
      <w:pPr>
        <w:pStyle w:val="ListParagraph"/>
        <w:numPr>
          <w:ilvl w:val="2"/>
          <w:numId w:val="1"/>
        </w:numPr>
        <w:tabs>
          <w:tab w:pos="886" w:val="left" w:leader="none"/>
        </w:tabs>
        <w:spacing w:line="261" w:lineRule="auto" w:before="164" w:after="0"/>
        <w:ind w:left="329" w:right="1089" w:firstLine="0"/>
        <w:jc w:val="left"/>
        <w:rPr>
          <w:rFonts w:ascii="Arial"/>
          <w:sz w:val="20"/>
        </w:rPr>
      </w:pPr>
      <w:r>
        <w:rPr>
          <w:rFonts w:ascii="Arial"/>
          <w:color w:val="1C3E94"/>
          <w:sz w:val="20"/>
        </w:rPr>
        <w:t>Legal Basis for State and Local Public Health Agencies in</w:t>
      </w:r>
      <w:r>
        <w:rPr>
          <w:rFonts w:ascii="Arial"/>
          <w:color w:val="1C3E94"/>
          <w:spacing w:val="-5"/>
          <w:sz w:val="20"/>
        </w:rPr>
        <w:t> </w:t>
      </w:r>
      <w:r>
        <w:rPr>
          <w:rFonts w:ascii="Arial"/>
          <w:color w:val="1C3E94"/>
          <w:sz w:val="20"/>
        </w:rPr>
        <w:t>Surveillance and Control of Foodborne  Disease</w:t>
      </w:r>
    </w:p>
    <w:p>
      <w:pPr>
        <w:pStyle w:val="BodyText"/>
        <w:spacing w:line="266" w:lineRule="auto" w:before="194"/>
        <w:ind w:left="329" w:right="993"/>
      </w:pPr>
      <w:r>
        <w:rPr>
          <w:color w:val="231F20"/>
        </w:rPr>
        <w:t>The primary role of local and state public health agencies is protection and promotion of the public’s health. The legal authority supporting that role stems from statutory,</w:t>
      </w:r>
    </w:p>
    <w:p>
      <w:pPr>
        <w:spacing w:after="0" w:line="266" w:lineRule="auto"/>
        <w:sectPr>
          <w:type w:val="continuous"/>
          <w:pgSz w:w="10080" w:h="14400"/>
          <w:pgMar w:top="0" w:bottom="0" w:left="0" w:right="0"/>
          <w:cols w:num="2" w:equalWidth="0">
            <w:col w:w="5211" w:space="40"/>
            <w:col w:w="4829"/>
          </w:cols>
        </w:sectPr>
      </w:pPr>
    </w:p>
    <w:p>
      <w:pPr>
        <w:pStyle w:val="BodyText"/>
        <w:spacing w:before="8"/>
        <w:rPr>
          <w:sz w:val="26"/>
        </w:rPr>
      </w:pPr>
    </w:p>
    <w:p>
      <w:pPr>
        <w:pStyle w:val="Heading1"/>
        <w:numPr>
          <w:ilvl w:val="1"/>
          <w:numId w:val="3"/>
        </w:numPr>
        <w:tabs>
          <w:tab w:pos="1265" w:val="left" w:leader="none"/>
        </w:tabs>
        <w:spacing w:line="240" w:lineRule="auto" w:before="97" w:after="0"/>
        <w:ind w:left="1264" w:right="0" w:hanging="544"/>
        <w:jc w:val="left"/>
      </w:pPr>
      <w:r>
        <w:rPr/>
        <w:pict>
          <v:line style="position:absolute;mso-position-horizontal-relative:page;mso-position-vertical-relative:paragraph;z-index:1264;mso-wrap-distance-left:0;mso-wrap-distance-right:0" from="36pt,23.991844pt" to="432pt,23.991844pt" stroked="true" strokeweight=".5pt" strokecolor="#00a94f">
            <v:stroke dashstyle="solid"/>
            <w10:wrap type="topAndBottom"/>
          </v:line>
        </w:pict>
      </w:r>
      <w:r>
        <w:rPr>
          <w:color w:val="00A94F"/>
          <w:w w:val="105"/>
        </w:rPr>
        <w:t>Introduction</w:t>
      </w:r>
    </w:p>
    <w:p>
      <w:pPr>
        <w:pStyle w:val="BodyText"/>
        <w:rPr>
          <w:rFonts w:ascii="Arial"/>
          <w:sz w:val="18"/>
        </w:rPr>
      </w:pPr>
    </w:p>
    <w:p>
      <w:pPr>
        <w:spacing w:after="0"/>
        <w:rPr>
          <w:rFonts w:ascii="Arial"/>
          <w:sz w:val="18"/>
        </w:rPr>
        <w:sectPr>
          <w:pgSz w:w="10080" w:h="14400"/>
          <w:pgMar w:header="0" w:footer="0" w:top="980" w:bottom="0" w:left="0" w:right="0"/>
        </w:sectPr>
      </w:pPr>
    </w:p>
    <w:p>
      <w:pPr>
        <w:pStyle w:val="BodyText"/>
        <w:spacing w:line="266" w:lineRule="auto" w:before="108"/>
        <w:ind w:left="720"/>
      </w:pPr>
      <w:r>
        <w:rPr>
          <w:color w:val="231F20"/>
          <w:spacing w:val="-3"/>
          <w:w w:val="105"/>
        </w:rPr>
        <w:t>regulatory, </w:t>
      </w:r>
      <w:r>
        <w:rPr>
          <w:color w:val="231F20"/>
          <w:w w:val="105"/>
        </w:rPr>
        <w:t>and case (judge-made) </w:t>
      </w:r>
      <w:r>
        <w:rPr>
          <w:color w:val="231F20"/>
          <w:spacing w:val="-7"/>
          <w:w w:val="105"/>
        </w:rPr>
        <w:t>law, </w:t>
      </w:r>
      <w:r>
        <w:rPr>
          <w:color w:val="231F20"/>
          <w:w w:val="105"/>
        </w:rPr>
        <w:t>as well as from the general police powers. Important legal</w:t>
      </w:r>
      <w:r>
        <w:rPr>
          <w:color w:val="231F20"/>
          <w:spacing w:val="-12"/>
          <w:w w:val="105"/>
        </w:rPr>
        <w:t> </w:t>
      </w:r>
      <w:r>
        <w:rPr>
          <w:color w:val="231F20"/>
          <w:w w:val="105"/>
        </w:rPr>
        <w:t>parameters</w:t>
      </w:r>
      <w:r>
        <w:rPr>
          <w:color w:val="231F20"/>
          <w:spacing w:val="-12"/>
          <w:w w:val="105"/>
        </w:rPr>
        <w:t> </w:t>
      </w:r>
      <w:r>
        <w:rPr>
          <w:color w:val="231F20"/>
          <w:w w:val="105"/>
        </w:rPr>
        <w:t>for</w:t>
      </w:r>
      <w:r>
        <w:rPr>
          <w:color w:val="231F20"/>
          <w:spacing w:val="-12"/>
          <w:w w:val="105"/>
        </w:rPr>
        <w:t> </w:t>
      </w:r>
      <w:r>
        <w:rPr>
          <w:color w:val="231F20"/>
          <w:w w:val="105"/>
        </w:rPr>
        <w:t>public</w:t>
      </w:r>
      <w:r>
        <w:rPr>
          <w:color w:val="231F20"/>
          <w:spacing w:val="-12"/>
          <w:w w:val="105"/>
        </w:rPr>
        <w:t> </w:t>
      </w:r>
      <w:r>
        <w:rPr>
          <w:color w:val="231F20"/>
          <w:w w:val="105"/>
        </w:rPr>
        <w:t>health</w:t>
      </w:r>
      <w:r>
        <w:rPr>
          <w:color w:val="231F20"/>
          <w:spacing w:val="-12"/>
          <w:w w:val="105"/>
        </w:rPr>
        <w:t> </w:t>
      </w:r>
      <w:r>
        <w:rPr>
          <w:color w:val="231F20"/>
          <w:w w:val="105"/>
        </w:rPr>
        <w:t>practice</w:t>
      </w:r>
      <w:r>
        <w:rPr>
          <w:color w:val="231F20"/>
          <w:spacing w:val="-12"/>
          <w:w w:val="105"/>
        </w:rPr>
        <w:t> </w:t>
      </w:r>
      <w:r>
        <w:rPr>
          <w:color w:val="231F20"/>
          <w:w w:val="105"/>
        </w:rPr>
        <w:t>were articulated in the 1905 </w:t>
      </w:r>
      <w:r>
        <w:rPr>
          <w:color w:val="231F20"/>
          <w:spacing w:val="-7"/>
          <w:w w:val="105"/>
        </w:rPr>
        <w:t>U.S. </w:t>
      </w:r>
      <w:r>
        <w:rPr>
          <w:color w:val="231F20"/>
          <w:w w:val="105"/>
        </w:rPr>
        <w:t>Supreme Court ruling</w:t>
      </w:r>
      <w:r>
        <w:rPr>
          <w:color w:val="231F20"/>
          <w:spacing w:val="-8"/>
          <w:w w:val="105"/>
        </w:rPr>
        <w:t> </w:t>
      </w:r>
      <w:r>
        <w:rPr>
          <w:color w:val="231F20"/>
          <w:w w:val="105"/>
        </w:rPr>
        <w:t>in</w:t>
      </w:r>
      <w:r>
        <w:rPr>
          <w:color w:val="231F20"/>
          <w:spacing w:val="-8"/>
          <w:w w:val="105"/>
        </w:rPr>
        <w:t> </w:t>
      </w:r>
      <w:r>
        <w:rPr>
          <w:color w:val="231F20"/>
          <w:w w:val="105"/>
        </w:rPr>
        <w:t>the</w:t>
      </w:r>
      <w:r>
        <w:rPr>
          <w:color w:val="231F20"/>
          <w:spacing w:val="-8"/>
          <w:w w:val="105"/>
        </w:rPr>
        <w:t> </w:t>
      </w:r>
      <w:r>
        <w:rPr>
          <w:color w:val="231F20"/>
          <w:w w:val="105"/>
        </w:rPr>
        <w:t>case</w:t>
      </w:r>
      <w:r>
        <w:rPr>
          <w:color w:val="231F20"/>
          <w:spacing w:val="-8"/>
          <w:w w:val="105"/>
        </w:rPr>
        <w:t> </w:t>
      </w:r>
      <w:r>
        <w:rPr>
          <w:i/>
          <w:color w:val="231F20"/>
          <w:w w:val="105"/>
        </w:rPr>
        <w:t>Jacobson</w:t>
      </w:r>
      <w:r>
        <w:rPr>
          <w:i/>
          <w:color w:val="231F20"/>
          <w:spacing w:val="-8"/>
          <w:w w:val="105"/>
        </w:rPr>
        <w:t> </w:t>
      </w:r>
      <w:r>
        <w:rPr>
          <w:i/>
          <w:color w:val="231F20"/>
          <w:spacing w:val="-6"/>
          <w:w w:val="105"/>
        </w:rPr>
        <w:t>v.</w:t>
      </w:r>
      <w:r>
        <w:rPr>
          <w:i/>
          <w:color w:val="231F20"/>
          <w:spacing w:val="-8"/>
          <w:w w:val="105"/>
        </w:rPr>
        <w:t> </w:t>
      </w:r>
      <w:r>
        <w:rPr>
          <w:i/>
          <w:color w:val="231F20"/>
          <w:w w:val="105"/>
        </w:rPr>
        <w:t>Massachusetts</w:t>
      </w:r>
      <w:r>
        <w:rPr>
          <w:color w:val="231F20"/>
          <w:w w:val="105"/>
        </w:rPr>
        <w:t>:</w:t>
      </w:r>
    </w:p>
    <w:p>
      <w:pPr>
        <w:pStyle w:val="ListParagraph"/>
        <w:numPr>
          <w:ilvl w:val="0"/>
          <w:numId w:val="4"/>
        </w:numPr>
        <w:tabs>
          <w:tab w:pos="891" w:val="left" w:leader="none"/>
        </w:tabs>
        <w:spacing w:line="266" w:lineRule="auto" w:before="180" w:after="0"/>
        <w:ind w:left="890" w:right="56" w:hanging="170"/>
        <w:jc w:val="left"/>
        <w:rPr>
          <w:sz w:val="20"/>
        </w:rPr>
      </w:pPr>
      <w:r>
        <w:rPr>
          <w:color w:val="231F20"/>
          <w:w w:val="105"/>
          <w:sz w:val="20"/>
        </w:rPr>
        <w:t>With compelling reason, individual liberties can</w:t>
      </w:r>
      <w:r>
        <w:rPr>
          <w:color w:val="231F20"/>
          <w:spacing w:val="-11"/>
          <w:w w:val="105"/>
          <w:sz w:val="20"/>
        </w:rPr>
        <w:t> </w:t>
      </w:r>
      <w:r>
        <w:rPr>
          <w:color w:val="231F20"/>
          <w:w w:val="105"/>
          <w:sz w:val="20"/>
        </w:rPr>
        <w:t>be</w:t>
      </w:r>
      <w:r>
        <w:rPr>
          <w:color w:val="231F20"/>
          <w:spacing w:val="-11"/>
          <w:w w:val="105"/>
          <w:sz w:val="20"/>
        </w:rPr>
        <w:t> </w:t>
      </w:r>
      <w:r>
        <w:rPr>
          <w:color w:val="231F20"/>
          <w:w w:val="105"/>
          <w:sz w:val="20"/>
        </w:rPr>
        <w:t>subordinated</w:t>
      </w:r>
      <w:r>
        <w:rPr>
          <w:color w:val="231F20"/>
          <w:spacing w:val="-11"/>
          <w:w w:val="105"/>
          <w:sz w:val="20"/>
        </w:rPr>
        <w:t> </w:t>
      </w:r>
      <w:r>
        <w:rPr>
          <w:color w:val="231F20"/>
          <w:w w:val="105"/>
          <w:sz w:val="20"/>
        </w:rPr>
        <w:t>to</w:t>
      </w:r>
      <w:r>
        <w:rPr>
          <w:color w:val="231F20"/>
          <w:spacing w:val="-11"/>
          <w:w w:val="105"/>
          <w:sz w:val="20"/>
        </w:rPr>
        <w:t> </w:t>
      </w:r>
      <w:r>
        <w:rPr>
          <w:color w:val="231F20"/>
          <w:w w:val="105"/>
          <w:sz w:val="20"/>
        </w:rPr>
        <w:t>the</w:t>
      </w:r>
      <w:r>
        <w:rPr>
          <w:color w:val="231F20"/>
          <w:spacing w:val="-11"/>
          <w:w w:val="105"/>
          <w:sz w:val="20"/>
        </w:rPr>
        <w:t> </w:t>
      </w:r>
      <w:r>
        <w:rPr>
          <w:color w:val="231F20"/>
          <w:w w:val="105"/>
          <w:sz w:val="20"/>
        </w:rPr>
        <w:t>well-being</w:t>
      </w:r>
      <w:r>
        <w:rPr>
          <w:color w:val="231F20"/>
          <w:spacing w:val="-11"/>
          <w:w w:val="105"/>
          <w:sz w:val="20"/>
        </w:rPr>
        <w:t> </w:t>
      </w:r>
      <w:r>
        <w:rPr>
          <w:color w:val="231F20"/>
          <w:w w:val="105"/>
          <w:sz w:val="20"/>
        </w:rPr>
        <w:t>of</w:t>
      </w:r>
      <w:r>
        <w:rPr>
          <w:color w:val="231F20"/>
          <w:spacing w:val="12"/>
          <w:w w:val="105"/>
          <w:sz w:val="20"/>
        </w:rPr>
        <w:t> </w:t>
      </w:r>
      <w:r>
        <w:rPr>
          <w:color w:val="231F20"/>
          <w:w w:val="105"/>
          <w:sz w:val="20"/>
        </w:rPr>
        <w:t>the </w:t>
      </w:r>
      <w:r>
        <w:rPr>
          <w:color w:val="231F20"/>
          <w:spacing w:val="-3"/>
          <w:w w:val="105"/>
          <w:sz w:val="20"/>
        </w:rPr>
        <w:t>community.</w:t>
      </w:r>
    </w:p>
    <w:p>
      <w:pPr>
        <w:pStyle w:val="ListParagraph"/>
        <w:numPr>
          <w:ilvl w:val="0"/>
          <w:numId w:val="4"/>
        </w:numPr>
        <w:tabs>
          <w:tab w:pos="891" w:val="left" w:leader="none"/>
        </w:tabs>
        <w:spacing w:line="266" w:lineRule="auto" w:before="90" w:after="0"/>
        <w:ind w:left="890" w:right="371" w:hanging="170"/>
        <w:jc w:val="left"/>
        <w:rPr>
          <w:sz w:val="20"/>
        </w:rPr>
      </w:pPr>
      <w:r>
        <w:rPr>
          <w:color w:val="231F20"/>
          <w:sz w:val="20"/>
        </w:rPr>
        <w:t>The police power of the state authorizes issuance and enforcement of reasonable regulations to protect the health of the </w:t>
      </w:r>
      <w:r>
        <w:rPr>
          <w:color w:val="231F20"/>
          <w:spacing w:val="-3"/>
          <w:sz w:val="20"/>
        </w:rPr>
        <w:t>community.</w:t>
      </w:r>
    </w:p>
    <w:p>
      <w:pPr>
        <w:pStyle w:val="ListParagraph"/>
        <w:numPr>
          <w:ilvl w:val="0"/>
          <w:numId w:val="4"/>
        </w:numPr>
        <w:tabs>
          <w:tab w:pos="891" w:val="left" w:leader="none"/>
        </w:tabs>
        <w:spacing w:line="266" w:lineRule="auto" w:before="90" w:after="0"/>
        <w:ind w:left="890" w:right="116" w:hanging="170"/>
        <w:jc w:val="left"/>
        <w:rPr>
          <w:sz w:val="20"/>
        </w:rPr>
      </w:pPr>
      <w:r>
        <w:rPr>
          <w:color w:val="231F20"/>
          <w:w w:val="105"/>
          <w:sz w:val="20"/>
        </w:rPr>
        <w:t>Courts</w:t>
      </w:r>
      <w:r>
        <w:rPr>
          <w:color w:val="231F20"/>
          <w:spacing w:val="-10"/>
          <w:w w:val="105"/>
          <w:sz w:val="20"/>
        </w:rPr>
        <w:t> </w:t>
      </w:r>
      <w:r>
        <w:rPr>
          <w:color w:val="231F20"/>
          <w:w w:val="105"/>
          <w:sz w:val="20"/>
        </w:rPr>
        <w:t>defer</w:t>
      </w:r>
      <w:r>
        <w:rPr>
          <w:color w:val="231F20"/>
          <w:spacing w:val="-10"/>
          <w:w w:val="105"/>
          <w:sz w:val="20"/>
        </w:rPr>
        <w:t> </w:t>
      </w:r>
      <w:r>
        <w:rPr>
          <w:color w:val="231F20"/>
          <w:w w:val="105"/>
          <w:sz w:val="20"/>
        </w:rPr>
        <w:t>to</w:t>
      </w:r>
      <w:r>
        <w:rPr>
          <w:color w:val="231F20"/>
          <w:spacing w:val="-10"/>
          <w:w w:val="105"/>
          <w:sz w:val="20"/>
        </w:rPr>
        <w:t> </w:t>
      </w:r>
      <w:r>
        <w:rPr>
          <w:color w:val="231F20"/>
          <w:w w:val="105"/>
          <w:sz w:val="20"/>
        </w:rPr>
        <w:t>the</w:t>
      </w:r>
      <w:r>
        <w:rPr>
          <w:color w:val="231F20"/>
          <w:spacing w:val="-10"/>
          <w:w w:val="105"/>
          <w:sz w:val="20"/>
        </w:rPr>
        <w:t> </w:t>
      </w:r>
      <w:r>
        <w:rPr>
          <w:color w:val="231F20"/>
          <w:w w:val="105"/>
          <w:sz w:val="20"/>
        </w:rPr>
        <w:t>authority</w:t>
      </w:r>
      <w:r>
        <w:rPr>
          <w:color w:val="231F20"/>
          <w:spacing w:val="-10"/>
          <w:w w:val="105"/>
          <w:sz w:val="20"/>
        </w:rPr>
        <w:t> </w:t>
      </w:r>
      <w:r>
        <w:rPr>
          <w:color w:val="231F20"/>
          <w:w w:val="105"/>
          <w:sz w:val="20"/>
        </w:rPr>
        <w:t>that</w:t>
      </w:r>
      <w:r>
        <w:rPr>
          <w:color w:val="231F20"/>
          <w:spacing w:val="-10"/>
          <w:w w:val="105"/>
          <w:sz w:val="20"/>
        </w:rPr>
        <w:t> </w:t>
      </w:r>
      <w:r>
        <w:rPr>
          <w:color w:val="231F20"/>
          <w:w w:val="105"/>
          <w:sz w:val="20"/>
        </w:rPr>
        <w:t>legislative bodies give to public health agencies if exercised on the basis of persuasive public health and medical</w:t>
      </w:r>
      <w:r>
        <w:rPr>
          <w:color w:val="231F20"/>
          <w:spacing w:val="-5"/>
          <w:w w:val="105"/>
          <w:sz w:val="20"/>
        </w:rPr>
        <w:t> </w:t>
      </w:r>
      <w:r>
        <w:rPr>
          <w:color w:val="231F20"/>
          <w:w w:val="105"/>
          <w:sz w:val="20"/>
        </w:rPr>
        <w:t>evidence.</w:t>
      </w:r>
    </w:p>
    <w:p>
      <w:pPr>
        <w:pStyle w:val="ListParagraph"/>
        <w:numPr>
          <w:ilvl w:val="0"/>
          <w:numId w:val="4"/>
        </w:numPr>
        <w:tabs>
          <w:tab w:pos="891" w:val="left" w:leader="none"/>
        </w:tabs>
        <w:spacing w:line="266" w:lineRule="auto" w:before="90" w:after="0"/>
        <w:ind w:left="890" w:right="354" w:hanging="170"/>
        <w:jc w:val="left"/>
        <w:rPr>
          <w:sz w:val="20"/>
        </w:rPr>
      </w:pPr>
      <w:r>
        <w:rPr>
          <w:color w:val="231F20"/>
          <w:w w:val="105"/>
          <w:sz w:val="20"/>
        </w:rPr>
        <w:t>Public health agencies cannot act in an arbitrary manner nor pose</w:t>
      </w:r>
      <w:r>
        <w:rPr>
          <w:color w:val="231F20"/>
          <w:spacing w:val="-5"/>
          <w:w w:val="105"/>
          <w:sz w:val="20"/>
        </w:rPr>
        <w:t> </w:t>
      </w:r>
      <w:r>
        <w:rPr>
          <w:color w:val="231F20"/>
          <w:w w:val="105"/>
          <w:sz w:val="20"/>
        </w:rPr>
        <w:t>unreasonable risks for</w:t>
      </w:r>
      <w:r>
        <w:rPr>
          <w:color w:val="231F20"/>
          <w:spacing w:val="-27"/>
          <w:w w:val="105"/>
          <w:sz w:val="20"/>
        </w:rPr>
        <w:t> </w:t>
      </w:r>
      <w:r>
        <w:rPr>
          <w:color w:val="231F20"/>
          <w:w w:val="105"/>
          <w:sz w:val="20"/>
        </w:rPr>
        <w:t>harm.</w:t>
      </w:r>
    </w:p>
    <w:p>
      <w:pPr>
        <w:pStyle w:val="BodyText"/>
        <w:spacing w:line="266" w:lineRule="auto" w:before="180"/>
        <w:ind w:left="720" w:right="99"/>
      </w:pPr>
      <w:r>
        <w:rPr>
          <w:color w:val="231F20"/>
          <w:w w:val="105"/>
        </w:rPr>
        <w:t>In</w:t>
      </w:r>
      <w:r>
        <w:rPr>
          <w:color w:val="231F20"/>
          <w:spacing w:val="-15"/>
          <w:w w:val="105"/>
        </w:rPr>
        <w:t> </w:t>
      </w:r>
      <w:r>
        <w:rPr>
          <w:color w:val="231F20"/>
          <w:w w:val="105"/>
        </w:rPr>
        <w:t>general,</w:t>
      </w:r>
      <w:r>
        <w:rPr>
          <w:color w:val="231F20"/>
          <w:spacing w:val="-15"/>
          <w:w w:val="105"/>
        </w:rPr>
        <w:t> </w:t>
      </w:r>
      <w:r>
        <w:rPr>
          <w:color w:val="231F20"/>
          <w:w w:val="105"/>
        </w:rPr>
        <w:t>these</w:t>
      </w:r>
      <w:r>
        <w:rPr>
          <w:color w:val="231F20"/>
          <w:spacing w:val="-16"/>
          <w:w w:val="105"/>
        </w:rPr>
        <w:t> </w:t>
      </w:r>
      <w:r>
        <w:rPr>
          <w:color w:val="231F20"/>
          <w:w w:val="105"/>
        </w:rPr>
        <w:t>parameters</w:t>
      </w:r>
      <w:r>
        <w:rPr>
          <w:color w:val="231F20"/>
          <w:spacing w:val="-15"/>
          <w:w w:val="105"/>
        </w:rPr>
        <w:t> </w:t>
      </w:r>
      <w:r>
        <w:rPr>
          <w:color w:val="231F20"/>
          <w:w w:val="105"/>
        </w:rPr>
        <w:t>apply</w:t>
      </w:r>
      <w:r>
        <w:rPr>
          <w:color w:val="231F20"/>
          <w:spacing w:val="-15"/>
          <w:w w:val="105"/>
        </w:rPr>
        <w:t> </w:t>
      </w:r>
      <w:r>
        <w:rPr>
          <w:color w:val="231F20"/>
          <w:w w:val="105"/>
        </w:rPr>
        <w:t>to</w:t>
      </w:r>
      <w:r>
        <w:rPr>
          <w:color w:val="231F20"/>
          <w:spacing w:val="-15"/>
          <w:w w:val="105"/>
        </w:rPr>
        <w:t> </w:t>
      </w:r>
      <w:r>
        <w:rPr>
          <w:color w:val="231F20"/>
          <w:w w:val="105"/>
        </w:rPr>
        <w:t>state</w:t>
      </w:r>
      <w:r>
        <w:rPr>
          <w:color w:val="231F20"/>
          <w:spacing w:val="-16"/>
          <w:w w:val="105"/>
        </w:rPr>
        <w:t> </w:t>
      </w:r>
      <w:r>
        <w:rPr>
          <w:color w:val="231F20"/>
          <w:w w:val="105"/>
        </w:rPr>
        <w:t>and local public health agencies’ surveillance and control</w:t>
      </w:r>
      <w:r>
        <w:rPr>
          <w:color w:val="231F20"/>
          <w:spacing w:val="-33"/>
          <w:w w:val="105"/>
        </w:rPr>
        <w:t> </w:t>
      </w:r>
      <w:r>
        <w:rPr>
          <w:color w:val="231F20"/>
          <w:w w:val="105"/>
        </w:rPr>
        <w:t>of</w:t>
      </w:r>
      <w:r>
        <w:rPr>
          <w:color w:val="231F20"/>
          <w:spacing w:val="-22"/>
          <w:w w:val="105"/>
        </w:rPr>
        <w:t> </w:t>
      </w:r>
      <w:r>
        <w:rPr>
          <w:color w:val="231F20"/>
          <w:w w:val="105"/>
        </w:rPr>
        <w:t>foodborne</w:t>
      </w:r>
      <w:r>
        <w:rPr>
          <w:color w:val="231F20"/>
          <w:spacing w:val="-34"/>
          <w:w w:val="105"/>
        </w:rPr>
        <w:t> </w:t>
      </w:r>
      <w:r>
        <w:rPr>
          <w:color w:val="231F20"/>
          <w:w w:val="105"/>
        </w:rPr>
        <w:t>disease</w:t>
      </w:r>
      <w:r>
        <w:rPr>
          <w:color w:val="231F20"/>
          <w:spacing w:val="-34"/>
          <w:w w:val="105"/>
        </w:rPr>
        <w:t> </w:t>
      </w:r>
      <w:r>
        <w:rPr>
          <w:color w:val="231F20"/>
          <w:w w:val="105"/>
        </w:rPr>
        <w:t>outbreaks.</w:t>
      </w:r>
      <w:r>
        <w:rPr>
          <w:color w:val="231F20"/>
          <w:spacing w:val="-33"/>
          <w:w w:val="105"/>
        </w:rPr>
        <w:t> </w:t>
      </w:r>
      <w:r>
        <w:rPr>
          <w:color w:val="231F20"/>
          <w:w w:val="105"/>
        </w:rPr>
        <w:t>Those activities,</w:t>
      </w:r>
      <w:r>
        <w:rPr>
          <w:color w:val="231F20"/>
          <w:spacing w:val="-28"/>
          <w:w w:val="105"/>
        </w:rPr>
        <w:t> </w:t>
      </w:r>
      <w:r>
        <w:rPr>
          <w:color w:val="231F20"/>
          <w:spacing w:val="-4"/>
          <w:w w:val="105"/>
        </w:rPr>
        <w:t>however,</w:t>
      </w:r>
      <w:r>
        <w:rPr>
          <w:color w:val="231F20"/>
          <w:spacing w:val="-28"/>
          <w:w w:val="105"/>
        </w:rPr>
        <w:t> </w:t>
      </w:r>
      <w:r>
        <w:rPr>
          <w:color w:val="231F20"/>
          <w:w w:val="105"/>
        </w:rPr>
        <w:t>are</w:t>
      </w:r>
      <w:r>
        <w:rPr>
          <w:color w:val="231F20"/>
          <w:spacing w:val="-29"/>
          <w:w w:val="105"/>
        </w:rPr>
        <w:t> </w:t>
      </w:r>
      <w:r>
        <w:rPr>
          <w:color w:val="231F20"/>
          <w:w w:val="105"/>
        </w:rPr>
        <w:t>further</w:t>
      </w:r>
      <w:r>
        <w:rPr>
          <w:color w:val="231F20"/>
          <w:spacing w:val="-28"/>
          <w:w w:val="105"/>
        </w:rPr>
        <w:t> </w:t>
      </w:r>
      <w:r>
        <w:rPr>
          <w:color w:val="231F20"/>
          <w:w w:val="105"/>
        </w:rPr>
        <w:t>authorized</w:t>
      </w:r>
    </w:p>
    <w:p>
      <w:pPr>
        <w:pStyle w:val="BodyText"/>
        <w:spacing w:line="266" w:lineRule="auto"/>
        <w:ind w:left="720" w:right="146"/>
      </w:pPr>
      <w:r>
        <w:rPr>
          <w:color w:val="231F20"/>
        </w:rPr>
        <w:t>and conditioned by the statutes, regulations, ordinances, and case law of the individual jurisdictions. Some of these laws relate specifically to foodborne diseases, but in many jurisdictions, public health agencies rely on laws (state statutes and local ordinances) that</w:t>
      </w:r>
    </w:p>
    <w:p>
      <w:pPr>
        <w:pStyle w:val="BodyText"/>
        <w:ind w:left="720"/>
      </w:pPr>
      <w:r>
        <w:rPr>
          <w:color w:val="231F20"/>
        </w:rPr>
        <w:t>authorize general infectious disease surveillance.</w:t>
      </w:r>
    </w:p>
    <w:p>
      <w:pPr>
        <w:pStyle w:val="BodyText"/>
        <w:spacing w:before="189"/>
        <w:ind w:left="720"/>
        <w:rPr>
          <w:rFonts w:ascii="Arial"/>
        </w:rPr>
      </w:pPr>
      <w:r>
        <w:rPr>
          <w:rFonts w:ascii="Arial"/>
          <w:color w:val="1C3E94"/>
        </w:rPr>
        <w:t>9.0.5. Legal Basis for CDC in Surveillance</w:t>
      </w:r>
    </w:p>
    <w:p>
      <w:pPr>
        <w:pStyle w:val="BodyText"/>
        <w:spacing w:before="7"/>
        <w:rPr>
          <w:rFonts w:ascii="Arial"/>
          <w:sz w:val="18"/>
        </w:rPr>
      </w:pPr>
    </w:p>
    <w:p>
      <w:pPr>
        <w:pStyle w:val="BodyText"/>
        <w:spacing w:line="266" w:lineRule="auto"/>
        <w:ind w:left="720" w:right="99"/>
      </w:pPr>
      <w:r>
        <w:rPr>
          <w:color w:val="231F20"/>
        </w:rPr>
        <w:t>CDC operates under congressionally enacted statutory law and, especially in the case of</w:t>
      </w:r>
    </w:p>
    <w:p>
      <w:pPr>
        <w:pStyle w:val="BodyText"/>
        <w:spacing w:line="266" w:lineRule="auto" w:before="108"/>
        <w:ind w:left="328" w:right="1433"/>
      </w:pPr>
      <w:r>
        <w:rPr/>
        <w:br w:type="column"/>
      </w:r>
      <w:r>
        <w:rPr>
          <w:color w:val="231F20"/>
        </w:rPr>
        <w:t>foodborne disease surveillance, under provisions of  the Public Health Service Act (the Act).</w:t>
      </w:r>
    </w:p>
    <w:p>
      <w:pPr>
        <w:pStyle w:val="BodyText"/>
        <w:spacing w:line="266" w:lineRule="auto"/>
        <w:ind w:left="328" w:right="1495"/>
        <w:jc w:val="both"/>
      </w:pPr>
      <w:r>
        <w:rPr>
          <w:color w:val="231F20"/>
        </w:rPr>
        <w:t>CDC is not authorized to mandate reporting of diseases and conditions either by state and local governments or by private entities.</w:t>
      </w:r>
    </w:p>
    <w:p>
      <w:pPr>
        <w:pStyle w:val="BodyText"/>
        <w:spacing w:line="266" w:lineRule="auto" w:before="180"/>
        <w:ind w:left="328" w:right="1426"/>
      </w:pPr>
      <w:r>
        <w:rPr>
          <w:color w:val="231F20"/>
          <w:w w:val="105"/>
        </w:rPr>
        <w:t>Among many other provisions, the Public Health Service Act authorizes CDC to gather data on nationally notifiable diseases pursuant to guidelines CDC develops in partnership with state and local public health agencies and professional</w:t>
      </w:r>
      <w:r>
        <w:rPr>
          <w:color w:val="231F20"/>
          <w:spacing w:val="-18"/>
          <w:w w:val="105"/>
        </w:rPr>
        <w:t> </w:t>
      </w:r>
      <w:r>
        <w:rPr>
          <w:color w:val="231F20"/>
          <w:w w:val="105"/>
        </w:rPr>
        <w:t>societies.</w:t>
      </w:r>
      <w:r>
        <w:rPr>
          <w:color w:val="231F20"/>
          <w:spacing w:val="-18"/>
          <w:w w:val="105"/>
        </w:rPr>
        <w:t> </w:t>
      </w:r>
      <w:r>
        <w:rPr>
          <w:color w:val="231F20"/>
          <w:w w:val="105"/>
        </w:rPr>
        <w:t>Many</w:t>
      </w:r>
      <w:r>
        <w:rPr>
          <w:color w:val="231F20"/>
          <w:spacing w:val="-18"/>
          <w:w w:val="105"/>
        </w:rPr>
        <w:t> </w:t>
      </w:r>
      <w:r>
        <w:rPr>
          <w:color w:val="231F20"/>
          <w:w w:val="105"/>
        </w:rPr>
        <w:t>of</w:t>
      </w:r>
      <w:r>
        <w:rPr>
          <w:color w:val="231F20"/>
          <w:spacing w:val="3"/>
          <w:w w:val="105"/>
        </w:rPr>
        <w:t> </w:t>
      </w:r>
      <w:r>
        <w:rPr>
          <w:color w:val="231F20"/>
          <w:w w:val="105"/>
        </w:rPr>
        <w:t>these</w:t>
      </w:r>
      <w:r>
        <w:rPr>
          <w:color w:val="231F20"/>
          <w:spacing w:val="-18"/>
          <w:w w:val="105"/>
        </w:rPr>
        <w:t> </w:t>
      </w:r>
      <w:r>
        <w:rPr>
          <w:color w:val="231F20"/>
          <w:w w:val="105"/>
        </w:rPr>
        <w:t>data</w:t>
      </w:r>
      <w:r>
        <w:rPr>
          <w:color w:val="231F20"/>
          <w:spacing w:val="-18"/>
          <w:w w:val="105"/>
        </w:rPr>
        <w:t> </w:t>
      </w:r>
      <w:r>
        <w:rPr>
          <w:color w:val="231F20"/>
          <w:w w:val="105"/>
        </w:rPr>
        <w:t>come from</w:t>
      </w:r>
      <w:r>
        <w:rPr>
          <w:color w:val="231F20"/>
          <w:spacing w:val="-9"/>
          <w:w w:val="105"/>
        </w:rPr>
        <w:t> </w:t>
      </w:r>
      <w:r>
        <w:rPr>
          <w:color w:val="231F20"/>
          <w:w w:val="105"/>
        </w:rPr>
        <w:t>state</w:t>
      </w:r>
      <w:r>
        <w:rPr>
          <w:color w:val="231F20"/>
          <w:spacing w:val="-9"/>
          <w:w w:val="105"/>
        </w:rPr>
        <w:t> </w:t>
      </w:r>
      <w:r>
        <w:rPr>
          <w:color w:val="231F20"/>
          <w:w w:val="105"/>
        </w:rPr>
        <w:t>and</w:t>
      </w:r>
      <w:r>
        <w:rPr>
          <w:color w:val="231F20"/>
          <w:spacing w:val="-9"/>
          <w:w w:val="105"/>
        </w:rPr>
        <w:t> </w:t>
      </w:r>
      <w:r>
        <w:rPr>
          <w:color w:val="231F20"/>
          <w:w w:val="105"/>
        </w:rPr>
        <w:t>local</w:t>
      </w:r>
      <w:r>
        <w:rPr>
          <w:color w:val="231F20"/>
          <w:spacing w:val="-9"/>
          <w:w w:val="105"/>
        </w:rPr>
        <w:t> </w:t>
      </w:r>
      <w:r>
        <w:rPr>
          <w:color w:val="231F20"/>
          <w:w w:val="105"/>
        </w:rPr>
        <w:t>public</w:t>
      </w:r>
      <w:r>
        <w:rPr>
          <w:color w:val="231F20"/>
          <w:spacing w:val="-9"/>
          <w:w w:val="105"/>
        </w:rPr>
        <w:t> </w:t>
      </w:r>
      <w:r>
        <w:rPr>
          <w:color w:val="231F20"/>
          <w:w w:val="105"/>
        </w:rPr>
        <w:t>health</w:t>
      </w:r>
      <w:r>
        <w:rPr>
          <w:color w:val="231F20"/>
          <w:spacing w:val="-9"/>
          <w:w w:val="105"/>
        </w:rPr>
        <w:t> </w:t>
      </w:r>
      <w:r>
        <w:rPr>
          <w:color w:val="231F20"/>
          <w:w w:val="105"/>
        </w:rPr>
        <w:t>agencies.</w:t>
      </w:r>
    </w:p>
    <w:p>
      <w:pPr>
        <w:pStyle w:val="BodyText"/>
        <w:spacing w:line="266" w:lineRule="auto"/>
        <w:ind w:left="328" w:right="1544"/>
      </w:pPr>
      <w:r>
        <w:rPr>
          <w:color w:val="231F20"/>
        </w:rPr>
        <w:t>CDC partners with the Council of State and Territorial Epidemiologists (CSTE) to establish (and modify as needed) case definitions for diseases. These guidelines and case definitions, </w:t>
      </w:r>
      <w:r>
        <w:rPr>
          <w:color w:val="231F20"/>
          <w:spacing w:val="-4"/>
        </w:rPr>
        <w:t>however,  </w:t>
      </w:r>
      <w:r>
        <w:rPr>
          <w:color w:val="231F20"/>
        </w:rPr>
        <w:t>are not legally binding. CDC does   not collect personal identifiers on routine surveillance data that it receives from public health </w:t>
      </w:r>
      <w:r>
        <w:rPr>
          <w:color w:val="231F20"/>
          <w:spacing w:val="17"/>
        </w:rPr>
        <w:t> </w:t>
      </w:r>
      <w:r>
        <w:rPr>
          <w:color w:val="231F20"/>
        </w:rPr>
        <w:t>departments.</w:t>
      </w:r>
    </w:p>
    <w:p>
      <w:pPr>
        <w:pStyle w:val="BodyText"/>
        <w:spacing w:line="266" w:lineRule="auto" w:before="180"/>
        <w:ind w:left="328" w:right="1290"/>
      </w:pPr>
      <w:r>
        <w:rPr>
          <w:color w:val="231F20"/>
          <w:w w:val="105"/>
        </w:rPr>
        <w:t>The Act also authorizes CDC to perform laboratory tests on specimens received from state and local governments (and from other sources) to identify pathogens, confirm serotypes or molecular subtypes, and perform diagnostic assays and report findings to appropriate state and local health departments. Virtually all enteric disease specimens tested in CDC laboratories are initially tested in state or local public health laboratories.</w:t>
      </w:r>
    </w:p>
    <w:p>
      <w:pPr>
        <w:pStyle w:val="BodyText"/>
        <w:spacing w:line="266" w:lineRule="auto" w:before="180"/>
        <w:ind w:left="328" w:right="1444"/>
      </w:pPr>
      <w:r>
        <w:rPr/>
        <w:pict>
          <v:rect style="position:absolute;margin-left:459pt;margin-top:20.897459pt;width:45pt;height:18pt;mso-position-horizontal-relative:page;mso-position-vertical-relative:paragraph;z-index:1336" filled="true" fillcolor="#0079c1" stroked="false">
            <v:fill type="solid"/>
            <w10:wrap type="none"/>
          </v:rect>
        </w:pict>
      </w:r>
      <w:r>
        <w:rPr/>
        <w:pict>
          <v:line style="position:absolute;mso-position-horizontal-relative:page;mso-position-vertical-relative:paragraph;z-index:1360" from="450.5pt,20.897860pt" to="450.5pt,202.89986pt" stroked="true" strokeweight="1pt" strokecolor="#0079c1">
            <v:stroke dashstyle="solid"/>
            <w10:wrap type="none"/>
          </v:line>
        </w:pict>
      </w:r>
      <w:r>
        <w:rPr/>
        <w:pict>
          <v:shape style="position:absolute;margin-left:460.346802pt;margin-top:42.894661pt;width:32.25pt;height:157.5pt;mso-position-horizontal-relative:page;mso-position-vertical-relative:paragraph;z-index:1384" type="#_x0000_t202" filled="false" stroked="false">
            <v:textbox inset="0,0,0,0" style="layout-flow:vertical">
              <w:txbxContent>
                <w:p>
                  <w:pPr>
                    <w:spacing w:line="200" w:lineRule="exact" w:before="12"/>
                    <w:ind w:left="20" w:right="-741" w:firstLine="0"/>
                    <w:jc w:val="left"/>
                    <w:rPr>
                      <w:rFonts w:ascii="Lucida Sans"/>
                      <w:sz w:val="17"/>
                    </w:rPr>
                  </w:pPr>
                  <w:r>
                    <w:rPr>
                      <w:rFonts w:ascii="Lucida Sans"/>
                      <w:color w:val="0079C1"/>
                      <w:spacing w:val="8"/>
                      <w:w w:val="103"/>
                      <w:sz w:val="17"/>
                    </w:rPr>
                    <w:t>LEGA</w:t>
                  </w:r>
                  <w:r>
                    <w:rPr>
                      <w:rFonts w:ascii="Lucida Sans"/>
                      <w:color w:val="0079C1"/>
                      <w:w w:val="103"/>
                      <w:sz w:val="17"/>
                    </w:rPr>
                    <w:t>L</w:t>
                  </w:r>
                  <w:r>
                    <w:rPr>
                      <w:rFonts w:ascii="Lucida Sans"/>
                      <w:color w:val="0079C1"/>
                      <w:spacing w:val="10"/>
                      <w:sz w:val="17"/>
                    </w:rPr>
                    <w:t> </w:t>
                  </w:r>
                  <w:r>
                    <w:rPr>
                      <w:rFonts w:ascii="Lucida Sans"/>
                      <w:color w:val="0079C1"/>
                      <w:spacing w:val="8"/>
                      <w:w w:val="105"/>
                      <w:sz w:val="17"/>
                    </w:rPr>
                    <w:t>PRE</w:t>
                  </w:r>
                  <w:r>
                    <w:rPr>
                      <w:rFonts w:ascii="Lucida Sans"/>
                      <w:color w:val="0079C1"/>
                      <w:spacing w:val="-5"/>
                      <w:w w:val="105"/>
                      <w:sz w:val="17"/>
                    </w:rPr>
                    <w:t>P</w:t>
                  </w:r>
                  <w:r>
                    <w:rPr>
                      <w:rFonts w:ascii="Lucida Sans"/>
                      <w:color w:val="0079C1"/>
                      <w:spacing w:val="8"/>
                      <w:w w:val="104"/>
                      <w:sz w:val="17"/>
                    </w:rPr>
                    <w:t>AREDNES</w:t>
                  </w:r>
                  <w:r>
                    <w:rPr>
                      <w:rFonts w:ascii="Lucida Sans"/>
                      <w:color w:val="0079C1"/>
                      <w:w w:val="104"/>
                      <w:sz w:val="17"/>
                    </w:rPr>
                    <w:t>S</w:t>
                  </w:r>
                  <w:r>
                    <w:rPr>
                      <w:rFonts w:ascii="Lucida Sans"/>
                      <w:color w:val="0079C1"/>
                      <w:spacing w:val="10"/>
                      <w:sz w:val="17"/>
                    </w:rPr>
                    <w:t> </w:t>
                  </w:r>
                  <w:r>
                    <w:rPr>
                      <w:rFonts w:ascii="Lucida Sans"/>
                      <w:color w:val="0079C1"/>
                      <w:spacing w:val="8"/>
                      <w:w w:val="103"/>
                      <w:sz w:val="17"/>
                    </w:rPr>
                    <w:t>FO</w:t>
                  </w:r>
                  <w:r>
                    <w:rPr>
                      <w:rFonts w:ascii="Lucida Sans"/>
                      <w:color w:val="0079C1"/>
                      <w:w w:val="103"/>
                      <w:sz w:val="17"/>
                    </w:rPr>
                    <w:t>R</w:t>
                  </w:r>
                  <w:r>
                    <w:rPr>
                      <w:rFonts w:ascii="Lucida Sans"/>
                      <w:color w:val="0079C1"/>
                      <w:spacing w:val="10"/>
                      <w:sz w:val="17"/>
                    </w:rPr>
                    <w:t> </w:t>
                  </w:r>
                  <w:r>
                    <w:rPr>
                      <w:rFonts w:ascii="Lucida Sans"/>
                      <w:color w:val="0079C1"/>
                      <w:spacing w:val="8"/>
                      <w:w w:val="100"/>
                      <w:sz w:val="17"/>
                    </w:rPr>
                    <w:t>THE</w:t>
                  </w:r>
                </w:p>
                <w:p>
                  <w:pPr>
                    <w:spacing w:before="0"/>
                    <w:ind w:left="20" w:right="-695" w:firstLine="0"/>
                    <w:jc w:val="left"/>
                    <w:rPr>
                      <w:rFonts w:ascii="Lucida Sans"/>
                      <w:sz w:val="17"/>
                    </w:rPr>
                  </w:pPr>
                  <w:r>
                    <w:rPr>
                      <w:rFonts w:ascii="Lucida Sans"/>
                      <w:color w:val="0079C1"/>
                      <w:spacing w:val="8"/>
                      <w:w w:val="102"/>
                      <w:sz w:val="17"/>
                    </w:rPr>
                    <w:t>SURVEILLANC</w:t>
                  </w:r>
                  <w:r>
                    <w:rPr>
                      <w:rFonts w:ascii="Lucida Sans"/>
                      <w:color w:val="0079C1"/>
                      <w:w w:val="102"/>
                      <w:sz w:val="17"/>
                    </w:rPr>
                    <w:t>E</w:t>
                  </w:r>
                  <w:r>
                    <w:rPr>
                      <w:rFonts w:ascii="Lucida Sans"/>
                      <w:color w:val="0079C1"/>
                      <w:spacing w:val="10"/>
                      <w:sz w:val="17"/>
                    </w:rPr>
                    <w:t> </w:t>
                  </w:r>
                  <w:r>
                    <w:rPr>
                      <w:rFonts w:ascii="Lucida Sans"/>
                      <w:color w:val="0079C1"/>
                      <w:spacing w:val="8"/>
                      <w:w w:val="102"/>
                      <w:sz w:val="17"/>
                    </w:rPr>
                    <w:t>AN</w:t>
                  </w:r>
                  <w:r>
                    <w:rPr>
                      <w:rFonts w:ascii="Lucida Sans"/>
                      <w:color w:val="0079C1"/>
                      <w:w w:val="102"/>
                      <w:sz w:val="17"/>
                    </w:rPr>
                    <w:t>D</w:t>
                  </w:r>
                  <w:r>
                    <w:rPr>
                      <w:rFonts w:ascii="Lucida Sans"/>
                      <w:color w:val="0079C1"/>
                      <w:spacing w:val="10"/>
                      <w:sz w:val="17"/>
                    </w:rPr>
                    <w:t> </w:t>
                  </w:r>
                  <w:r>
                    <w:rPr>
                      <w:rFonts w:ascii="Lucida Sans"/>
                      <w:color w:val="0079C1"/>
                      <w:spacing w:val="8"/>
                      <w:w w:val="101"/>
                      <w:sz w:val="17"/>
                    </w:rPr>
                    <w:t>CONTRO</w:t>
                  </w:r>
                  <w:r>
                    <w:rPr>
                      <w:rFonts w:ascii="Lucida Sans"/>
                      <w:color w:val="0079C1"/>
                      <w:w w:val="101"/>
                      <w:sz w:val="17"/>
                    </w:rPr>
                    <w:t>L</w:t>
                  </w:r>
                  <w:r>
                    <w:rPr>
                      <w:rFonts w:ascii="Lucida Sans"/>
                      <w:color w:val="0079C1"/>
                      <w:spacing w:val="10"/>
                      <w:sz w:val="17"/>
                    </w:rPr>
                    <w:t> </w:t>
                  </w:r>
                  <w:r>
                    <w:rPr>
                      <w:rFonts w:ascii="Lucida Sans"/>
                      <w:color w:val="0079C1"/>
                      <w:spacing w:val="8"/>
                      <w:w w:val="107"/>
                      <w:sz w:val="17"/>
                    </w:rPr>
                    <w:t>OF </w:t>
                  </w:r>
                  <w:r>
                    <w:rPr>
                      <w:rFonts w:ascii="Lucida Sans"/>
                      <w:color w:val="0079C1"/>
                      <w:spacing w:val="8"/>
                      <w:w w:val="105"/>
                      <w:sz w:val="17"/>
                    </w:rPr>
                    <w:t>FOODBORN</w:t>
                  </w:r>
                  <w:r>
                    <w:rPr>
                      <w:rFonts w:ascii="Lucida Sans"/>
                      <w:color w:val="0079C1"/>
                      <w:w w:val="105"/>
                      <w:sz w:val="17"/>
                    </w:rPr>
                    <w:t>E</w:t>
                  </w:r>
                  <w:r>
                    <w:rPr>
                      <w:rFonts w:ascii="Lucida Sans"/>
                      <w:color w:val="0079C1"/>
                      <w:spacing w:val="10"/>
                      <w:sz w:val="17"/>
                    </w:rPr>
                    <w:t> </w:t>
                  </w:r>
                  <w:r>
                    <w:rPr>
                      <w:rFonts w:ascii="Lucida Sans"/>
                      <w:color w:val="0079C1"/>
                      <w:spacing w:val="8"/>
                      <w:w w:val="104"/>
                      <w:sz w:val="17"/>
                    </w:rPr>
                    <w:t>DISEAS</w:t>
                  </w:r>
                  <w:r>
                    <w:rPr>
                      <w:rFonts w:ascii="Lucida Sans"/>
                      <w:color w:val="0079C1"/>
                      <w:w w:val="104"/>
                      <w:sz w:val="17"/>
                    </w:rPr>
                    <w:t>E</w:t>
                  </w:r>
                  <w:r>
                    <w:rPr>
                      <w:rFonts w:ascii="Lucida Sans"/>
                      <w:color w:val="0079C1"/>
                      <w:spacing w:val="10"/>
                      <w:sz w:val="17"/>
                    </w:rPr>
                    <w:t> </w:t>
                  </w:r>
                  <w:r>
                    <w:rPr>
                      <w:rFonts w:ascii="Lucida Sans"/>
                      <w:color w:val="0079C1"/>
                      <w:spacing w:val="8"/>
                      <w:w w:val="102"/>
                      <w:sz w:val="17"/>
                    </w:rPr>
                    <w:t>OUTBREAKS</w:t>
                  </w:r>
                </w:p>
              </w:txbxContent>
            </v:textbox>
            <w10:wrap type="none"/>
          </v:shape>
        </w:pict>
      </w:r>
      <w:r>
        <w:rPr/>
        <w:pict>
          <v:shape style="position:absolute;margin-left:468.849609pt;margin-top:25.648859pt;width:15.85pt;height:8.5pt;mso-position-horizontal-relative:page;mso-position-vertical-relative:paragraph;z-index:1408"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9</w:t>
                  </w:r>
                </w:p>
              </w:txbxContent>
            </v:textbox>
            <w10:wrap type="none"/>
          </v:shape>
        </w:pict>
      </w:r>
      <w:r>
        <w:rPr>
          <w:color w:val="231F20"/>
          <w:w w:val="105"/>
        </w:rPr>
        <w:t>By providing botulinum antiserum, CDC learns</w:t>
      </w:r>
      <w:r>
        <w:rPr>
          <w:color w:val="231F20"/>
          <w:spacing w:val="-14"/>
          <w:w w:val="105"/>
        </w:rPr>
        <w:t> </w:t>
      </w:r>
      <w:r>
        <w:rPr>
          <w:color w:val="231F20"/>
          <w:w w:val="105"/>
        </w:rPr>
        <w:t>of</w:t>
      </w:r>
      <w:r>
        <w:rPr>
          <w:color w:val="231F20"/>
          <w:spacing w:val="8"/>
          <w:w w:val="105"/>
        </w:rPr>
        <w:t> </w:t>
      </w:r>
      <w:r>
        <w:rPr>
          <w:color w:val="231F20"/>
          <w:w w:val="105"/>
        </w:rPr>
        <w:t>cases</w:t>
      </w:r>
      <w:r>
        <w:rPr>
          <w:color w:val="231F20"/>
          <w:spacing w:val="-14"/>
          <w:w w:val="105"/>
        </w:rPr>
        <w:t> </w:t>
      </w:r>
      <w:r>
        <w:rPr>
          <w:color w:val="231F20"/>
          <w:w w:val="105"/>
        </w:rPr>
        <w:t>of</w:t>
      </w:r>
      <w:r>
        <w:rPr>
          <w:color w:val="231F20"/>
          <w:spacing w:val="8"/>
          <w:w w:val="105"/>
        </w:rPr>
        <w:t> </w:t>
      </w:r>
      <w:r>
        <w:rPr>
          <w:color w:val="231F20"/>
          <w:w w:val="105"/>
        </w:rPr>
        <w:t>botulism</w:t>
      </w:r>
      <w:r>
        <w:rPr>
          <w:color w:val="231F20"/>
          <w:spacing w:val="-14"/>
          <w:w w:val="105"/>
        </w:rPr>
        <w:t> </w:t>
      </w:r>
      <w:r>
        <w:rPr>
          <w:color w:val="231F20"/>
          <w:w w:val="105"/>
        </w:rPr>
        <w:t>and</w:t>
      </w:r>
      <w:r>
        <w:rPr>
          <w:color w:val="231F20"/>
          <w:spacing w:val="-14"/>
          <w:w w:val="105"/>
        </w:rPr>
        <w:t> </w:t>
      </w:r>
      <w:r>
        <w:rPr>
          <w:color w:val="231F20"/>
          <w:w w:val="105"/>
        </w:rPr>
        <w:t>verifies</w:t>
      </w:r>
      <w:r>
        <w:rPr>
          <w:color w:val="231F20"/>
          <w:spacing w:val="-14"/>
          <w:w w:val="105"/>
        </w:rPr>
        <w:t> </w:t>
      </w:r>
      <w:r>
        <w:rPr>
          <w:color w:val="231F20"/>
          <w:w w:val="105"/>
        </w:rPr>
        <w:t>that</w:t>
      </w:r>
      <w:r>
        <w:rPr>
          <w:color w:val="231F20"/>
          <w:spacing w:val="-14"/>
          <w:w w:val="105"/>
        </w:rPr>
        <w:t> </w:t>
      </w:r>
      <w:r>
        <w:rPr>
          <w:color w:val="231F20"/>
          <w:w w:val="105"/>
        </w:rPr>
        <w:t>the appropriate state or local health department is aware of</w:t>
      </w:r>
      <w:r>
        <w:rPr>
          <w:color w:val="231F20"/>
          <w:spacing w:val="12"/>
          <w:w w:val="105"/>
        </w:rPr>
        <w:t> </w:t>
      </w:r>
      <w:r>
        <w:rPr>
          <w:color w:val="231F20"/>
          <w:w w:val="105"/>
        </w:rPr>
        <w:t>them.</w:t>
      </w:r>
    </w:p>
    <w:p>
      <w:pPr>
        <w:spacing w:after="0" w:line="266" w:lineRule="auto"/>
        <w:sectPr>
          <w:type w:val="continuous"/>
          <w:pgSz w:w="10080" w:h="14400"/>
          <w:pgMar w:top="0" w:bottom="0" w:left="0" w:right="0"/>
          <w:cols w:num="2" w:equalWidth="0">
            <w:col w:w="4492" w:space="40"/>
            <w:col w:w="5548"/>
          </w:cols>
        </w:sectPr>
      </w:pPr>
    </w:p>
    <w:p>
      <w:pPr>
        <w:pStyle w:val="BodyText"/>
        <w:spacing w:before="10"/>
        <w:rPr>
          <w:sz w:val="16"/>
        </w:rPr>
      </w:pPr>
    </w:p>
    <w:p>
      <w:pPr>
        <w:pStyle w:val="Heading1"/>
        <w:numPr>
          <w:ilvl w:val="1"/>
          <w:numId w:val="3"/>
        </w:numPr>
        <w:tabs>
          <w:tab w:pos="1265" w:val="left" w:leader="none"/>
        </w:tabs>
        <w:spacing w:line="240" w:lineRule="auto" w:before="97" w:after="0"/>
        <w:ind w:left="1264" w:right="0" w:hanging="544"/>
        <w:jc w:val="left"/>
      </w:pPr>
      <w:r>
        <w:rPr/>
        <w:pict>
          <v:line style="position:absolute;mso-position-horizontal-relative:page;mso-position-vertical-relative:paragraph;z-index:1288;mso-wrap-distance-left:0;mso-wrap-distance-right:0" from="36pt,23.991837pt" to="432pt,23.991837pt" stroked="true" strokeweight=".5pt" strokecolor="#00a94f">
            <v:stroke dashstyle="solid"/>
            <w10:wrap type="topAndBottom"/>
          </v:line>
        </w:pict>
      </w:r>
      <w:r>
        <w:rPr>
          <w:color w:val="00A94F"/>
        </w:rPr>
        <w:t>Legal Framework for Mandatory Disease</w:t>
      </w:r>
      <w:r>
        <w:rPr>
          <w:color w:val="00A94F"/>
          <w:spacing w:val="72"/>
        </w:rPr>
        <w:t> </w:t>
      </w:r>
      <w:r>
        <w:rPr>
          <w:color w:val="00A94F"/>
        </w:rPr>
        <w:t>Reporting</w:t>
      </w:r>
    </w:p>
    <w:p>
      <w:pPr>
        <w:pStyle w:val="BodyText"/>
        <w:spacing w:before="4"/>
        <w:rPr>
          <w:rFonts w:ascii="Arial"/>
          <w:sz w:val="7"/>
        </w:rPr>
      </w:pPr>
    </w:p>
    <w:p>
      <w:pPr>
        <w:spacing w:after="0"/>
        <w:rPr>
          <w:rFonts w:ascii="Arial"/>
          <w:sz w:val="7"/>
        </w:rPr>
        <w:sectPr>
          <w:type w:val="continuous"/>
          <w:pgSz w:w="10080" w:h="14400"/>
          <w:pgMar w:top="0" w:bottom="0" w:left="0" w:right="0"/>
        </w:sectPr>
      </w:pPr>
    </w:p>
    <w:p>
      <w:pPr>
        <w:pStyle w:val="ListParagraph"/>
        <w:numPr>
          <w:ilvl w:val="2"/>
          <w:numId w:val="3"/>
        </w:numPr>
        <w:tabs>
          <w:tab w:pos="1276" w:val="left" w:leader="none"/>
        </w:tabs>
        <w:spacing w:line="240" w:lineRule="auto" w:before="110" w:after="0"/>
        <w:ind w:left="1276" w:right="0" w:hanging="556"/>
        <w:jc w:val="left"/>
        <w:rPr>
          <w:rFonts w:ascii="Arial"/>
          <w:sz w:val="20"/>
        </w:rPr>
      </w:pPr>
      <w:r>
        <w:rPr>
          <w:rFonts w:ascii="Arial"/>
          <w:color w:val="1C3E94"/>
          <w:sz w:val="20"/>
        </w:rPr>
        <w:t>Statutes and</w:t>
      </w:r>
      <w:r>
        <w:rPr>
          <w:rFonts w:ascii="Arial"/>
          <w:color w:val="1C3E94"/>
          <w:spacing w:val="-1"/>
          <w:sz w:val="20"/>
        </w:rPr>
        <w:t> </w:t>
      </w:r>
      <w:r>
        <w:rPr>
          <w:rFonts w:ascii="Arial"/>
          <w:color w:val="1C3E94"/>
          <w:sz w:val="20"/>
        </w:rPr>
        <w:t>Regulations</w:t>
      </w:r>
    </w:p>
    <w:p>
      <w:pPr>
        <w:pStyle w:val="BodyText"/>
        <w:spacing w:before="7"/>
        <w:rPr>
          <w:rFonts w:ascii="Arial"/>
          <w:sz w:val="18"/>
        </w:rPr>
      </w:pPr>
    </w:p>
    <w:p>
      <w:pPr>
        <w:pStyle w:val="ListParagraph"/>
        <w:numPr>
          <w:ilvl w:val="3"/>
          <w:numId w:val="3"/>
        </w:numPr>
        <w:tabs>
          <w:tab w:pos="1362" w:val="left" w:leader="none"/>
        </w:tabs>
        <w:spacing w:line="240" w:lineRule="auto" w:before="0" w:after="0"/>
        <w:ind w:left="1362" w:right="0" w:hanging="642"/>
        <w:jc w:val="left"/>
        <w:rPr>
          <w:i/>
          <w:sz w:val="20"/>
        </w:rPr>
      </w:pPr>
      <w:r>
        <w:rPr>
          <w:i/>
          <w:color w:val="E36F1E"/>
          <w:sz w:val="20"/>
        </w:rPr>
        <w:t>Authorization by</w:t>
      </w:r>
      <w:r>
        <w:rPr>
          <w:i/>
          <w:color w:val="E36F1E"/>
          <w:spacing w:val="-1"/>
          <w:sz w:val="20"/>
        </w:rPr>
        <w:t> </w:t>
      </w:r>
      <w:r>
        <w:rPr>
          <w:i/>
          <w:color w:val="E36F1E"/>
          <w:sz w:val="20"/>
        </w:rPr>
        <w:t>legislature</w:t>
      </w:r>
    </w:p>
    <w:p>
      <w:pPr>
        <w:pStyle w:val="BodyText"/>
        <w:spacing w:line="266" w:lineRule="auto" w:before="24"/>
        <w:ind w:left="720" w:right="-7"/>
      </w:pPr>
      <w:r>
        <w:rPr>
          <w:color w:val="231F20"/>
          <w:w w:val="105"/>
        </w:rPr>
        <w:t>The</w:t>
      </w:r>
      <w:r>
        <w:rPr>
          <w:color w:val="231F20"/>
          <w:spacing w:val="-14"/>
          <w:w w:val="105"/>
        </w:rPr>
        <w:t> </w:t>
      </w:r>
      <w:r>
        <w:rPr>
          <w:color w:val="231F20"/>
          <w:w w:val="105"/>
        </w:rPr>
        <w:t>legislature</w:t>
      </w:r>
      <w:r>
        <w:rPr>
          <w:color w:val="231F20"/>
          <w:spacing w:val="-14"/>
          <w:w w:val="105"/>
        </w:rPr>
        <w:t> </w:t>
      </w:r>
      <w:r>
        <w:rPr>
          <w:color w:val="231F20"/>
          <w:w w:val="105"/>
        </w:rPr>
        <w:t>generally</w:t>
      </w:r>
      <w:r>
        <w:rPr>
          <w:color w:val="231F20"/>
          <w:spacing w:val="-14"/>
          <w:w w:val="105"/>
        </w:rPr>
        <w:t> </w:t>
      </w:r>
      <w:r>
        <w:rPr>
          <w:color w:val="231F20"/>
          <w:w w:val="105"/>
        </w:rPr>
        <w:t>gives</w:t>
      </w:r>
      <w:r>
        <w:rPr>
          <w:color w:val="231F20"/>
          <w:spacing w:val="-14"/>
          <w:w w:val="105"/>
        </w:rPr>
        <w:t> </w:t>
      </w:r>
      <w:r>
        <w:rPr>
          <w:color w:val="231F20"/>
          <w:w w:val="105"/>
        </w:rPr>
        <w:t>broad</w:t>
      </w:r>
      <w:r>
        <w:rPr>
          <w:color w:val="231F20"/>
          <w:spacing w:val="-14"/>
          <w:w w:val="105"/>
        </w:rPr>
        <w:t> </w:t>
      </w:r>
      <w:r>
        <w:rPr>
          <w:color w:val="231F20"/>
          <w:w w:val="105"/>
        </w:rPr>
        <w:t>statutory authority</w:t>
      </w:r>
      <w:r>
        <w:rPr>
          <w:color w:val="231F20"/>
          <w:spacing w:val="-14"/>
          <w:w w:val="105"/>
        </w:rPr>
        <w:t> </w:t>
      </w:r>
      <w:r>
        <w:rPr>
          <w:color w:val="231F20"/>
          <w:w w:val="105"/>
        </w:rPr>
        <w:t>to</w:t>
      </w:r>
      <w:r>
        <w:rPr>
          <w:color w:val="231F20"/>
          <w:spacing w:val="-14"/>
          <w:w w:val="105"/>
        </w:rPr>
        <w:t> </w:t>
      </w:r>
      <w:r>
        <w:rPr>
          <w:color w:val="231F20"/>
          <w:w w:val="105"/>
        </w:rPr>
        <w:t>the</w:t>
      </w:r>
      <w:r>
        <w:rPr>
          <w:color w:val="231F20"/>
          <w:spacing w:val="-14"/>
          <w:w w:val="105"/>
        </w:rPr>
        <w:t> </w:t>
      </w:r>
      <w:r>
        <w:rPr>
          <w:color w:val="231F20"/>
          <w:w w:val="105"/>
        </w:rPr>
        <w:t>state</w:t>
      </w:r>
      <w:r>
        <w:rPr>
          <w:color w:val="231F20"/>
          <w:spacing w:val="-14"/>
          <w:w w:val="105"/>
        </w:rPr>
        <w:t> </w:t>
      </w:r>
      <w:r>
        <w:rPr>
          <w:color w:val="231F20"/>
          <w:w w:val="105"/>
        </w:rPr>
        <w:t>health</w:t>
      </w:r>
      <w:r>
        <w:rPr>
          <w:color w:val="231F20"/>
          <w:spacing w:val="-14"/>
          <w:w w:val="105"/>
        </w:rPr>
        <w:t> </w:t>
      </w:r>
      <w:r>
        <w:rPr>
          <w:color w:val="231F20"/>
          <w:w w:val="105"/>
        </w:rPr>
        <w:t>department</w:t>
      </w:r>
    </w:p>
    <w:p>
      <w:pPr>
        <w:pStyle w:val="BodyText"/>
        <w:ind w:left="720"/>
      </w:pPr>
      <w:r>
        <w:rPr/>
        <w:pict>
          <v:line style="position:absolute;mso-position-horizontal-relative:page;mso-position-vertical-relative:paragraph;z-index:1312" from="0pt,29.638264pt" to="432pt,29.638264pt" stroked="true" strokeweight="1pt" strokecolor="#00a94f">
            <v:stroke dashstyle="solid"/>
            <w10:wrap type="none"/>
          </v:line>
        </w:pict>
      </w:r>
      <w:r>
        <w:rPr>
          <w:color w:val="231F20"/>
        </w:rPr>
        <w:t>to collect information and require  reports</w:t>
      </w:r>
    </w:p>
    <w:p>
      <w:pPr>
        <w:pStyle w:val="BodyText"/>
        <w:spacing w:line="266" w:lineRule="auto" w:before="108"/>
        <w:ind w:left="454" w:right="1508"/>
      </w:pPr>
      <w:r>
        <w:rPr/>
        <w:br w:type="column"/>
      </w:r>
      <w:r>
        <w:rPr>
          <w:color w:val="231F20"/>
        </w:rPr>
        <w:t>of conditions of public health importance, without specifying the exact diseases or infections.</w:t>
      </w:r>
    </w:p>
    <w:p>
      <w:pPr>
        <w:pStyle w:val="BodyText"/>
        <w:spacing w:line="266" w:lineRule="auto" w:before="180"/>
        <w:ind w:left="454" w:right="1508"/>
      </w:pPr>
      <w:r>
        <w:rPr>
          <w:color w:val="231F20"/>
          <w:w w:val="105"/>
        </w:rPr>
        <w:t>In addition to broad authority, states typically have several disease-specific statutes, such as</w:t>
      </w:r>
    </w:p>
    <w:p>
      <w:pPr>
        <w:spacing w:after="0" w:line="266" w:lineRule="auto"/>
        <w:sectPr>
          <w:type w:val="continuous"/>
          <w:pgSz w:w="10080" w:h="14400"/>
          <w:pgMar w:top="0" w:bottom="0" w:left="0" w:right="0"/>
          <w:cols w:num="2" w:equalWidth="0">
            <w:col w:w="4366" w:space="40"/>
            <w:col w:w="5674"/>
          </w:cols>
        </w:sectPr>
      </w:pPr>
    </w:p>
    <w:p>
      <w:pPr>
        <w:pStyle w:val="BodyText"/>
        <w:spacing w:before="8"/>
        <w:rPr>
          <w:sz w:val="10"/>
        </w:rPr>
      </w:pPr>
    </w:p>
    <w:p>
      <w:pPr>
        <w:pStyle w:val="Heading1"/>
        <w:ind w:left="1440" w:firstLine="0"/>
      </w:pPr>
      <w:r>
        <w:rPr/>
        <w:pict>
          <v:line style="position:absolute;mso-position-horizontal-relative:page;mso-position-vertical-relative:paragraph;z-index:1432;mso-wrap-distance-left:0;mso-wrap-distance-right:0" from="72pt,23.991844pt" to="468pt,23.991844pt" stroked="true" strokeweight=".5pt" strokecolor="#00a94f">
            <v:stroke dashstyle="solid"/>
            <w10:wrap type="topAndBottom"/>
          </v:line>
        </w:pict>
      </w:r>
      <w:r>
        <w:rPr>
          <w:color w:val="00A94F"/>
        </w:rPr>
        <w:t>9.1. Legal Framework for Mandatory Disease</w:t>
      </w:r>
      <w:r>
        <w:rPr>
          <w:color w:val="00A94F"/>
          <w:spacing w:val="72"/>
        </w:rPr>
        <w:t> </w:t>
      </w:r>
      <w:r>
        <w:rPr>
          <w:color w:val="00A94F"/>
        </w:rPr>
        <w:t>Reporting</w:t>
      </w:r>
    </w:p>
    <w:p>
      <w:pPr>
        <w:pStyle w:val="BodyText"/>
        <w:rPr>
          <w:rFonts w:ascii="Arial"/>
          <w:sz w:val="18"/>
        </w:rPr>
      </w:pPr>
    </w:p>
    <w:p>
      <w:pPr>
        <w:spacing w:after="0"/>
        <w:rPr>
          <w:rFonts w:ascii="Arial"/>
          <w:sz w:val="18"/>
        </w:rPr>
        <w:sectPr>
          <w:pgSz w:w="10080" w:h="14400"/>
          <w:pgMar w:header="0" w:footer="0" w:top="1160" w:bottom="0" w:left="0" w:right="0"/>
        </w:sectPr>
      </w:pPr>
    </w:p>
    <w:p>
      <w:pPr>
        <w:pStyle w:val="BodyText"/>
        <w:spacing w:line="266" w:lineRule="auto" w:before="108"/>
        <w:ind w:left="1440"/>
      </w:pPr>
      <w:r>
        <w:rPr>
          <w:color w:val="231F20"/>
          <w:w w:val="105"/>
        </w:rPr>
        <w:t>those for human immunodeficiency virus/ acquired immunodeficiency syndrome, tuberculosis,</w:t>
      </w:r>
      <w:r>
        <w:rPr>
          <w:color w:val="231F20"/>
          <w:spacing w:val="-25"/>
          <w:w w:val="105"/>
        </w:rPr>
        <w:t> </w:t>
      </w:r>
      <w:r>
        <w:rPr>
          <w:color w:val="231F20"/>
          <w:w w:val="105"/>
        </w:rPr>
        <w:t>and</w:t>
      </w:r>
      <w:r>
        <w:rPr>
          <w:color w:val="231F20"/>
          <w:spacing w:val="-25"/>
          <w:w w:val="105"/>
        </w:rPr>
        <w:t> </w:t>
      </w:r>
      <w:r>
        <w:rPr>
          <w:color w:val="231F20"/>
          <w:w w:val="105"/>
        </w:rPr>
        <w:t>vaccine-preventable</w:t>
      </w:r>
      <w:r>
        <w:rPr>
          <w:color w:val="231F20"/>
          <w:spacing w:val="-25"/>
          <w:w w:val="105"/>
        </w:rPr>
        <w:t> </w:t>
      </w:r>
      <w:r>
        <w:rPr>
          <w:color w:val="231F20"/>
          <w:w w:val="105"/>
        </w:rPr>
        <w:t>diseases, which authorize surveillance and control activities. All states </w:t>
      </w:r>
      <w:r>
        <w:rPr>
          <w:color w:val="231F20"/>
          <w:spacing w:val="-3"/>
          <w:w w:val="105"/>
        </w:rPr>
        <w:t>have </w:t>
      </w:r>
      <w:r>
        <w:rPr>
          <w:color w:val="231F20"/>
          <w:w w:val="105"/>
        </w:rPr>
        <w:t>statutes addressing response</w:t>
      </w:r>
      <w:r>
        <w:rPr>
          <w:color w:val="231F20"/>
          <w:spacing w:val="-28"/>
          <w:w w:val="105"/>
        </w:rPr>
        <w:t> </w:t>
      </w:r>
      <w:r>
        <w:rPr>
          <w:color w:val="231F20"/>
          <w:w w:val="105"/>
        </w:rPr>
        <w:t>to</w:t>
      </w:r>
      <w:r>
        <w:rPr>
          <w:color w:val="231F20"/>
          <w:spacing w:val="-28"/>
          <w:w w:val="105"/>
        </w:rPr>
        <w:t> </w:t>
      </w:r>
      <w:r>
        <w:rPr>
          <w:color w:val="231F20"/>
          <w:w w:val="105"/>
        </w:rPr>
        <w:t>bioterrorism</w:t>
      </w:r>
      <w:r>
        <w:rPr>
          <w:color w:val="231F20"/>
          <w:spacing w:val="-28"/>
          <w:w w:val="105"/>
        </w:rPr>
        <w:t> </w:t>
      </w:r>
      <w:r>
        <w:rPr>
          <w:color w:val="231F20"/>
          <w:w w:val="105"/>
        </w:rPr>
        <w:t>incidents.</w:t>
      </w:r>
    </w:p>
    <w:p>
      <w:pPr>
        <w:spacing w:line="266" w:lineRule="auto" w:before="180"/>
        <w:ind w:left="1440" w:right="0" w:firstLine="0"/>
        <w:jc w:val="left"/>
        <w:rPr>
          <w:i/>
          <w:sz w:val="20"/>
        </w:rPr>
      </w:pPr>
      <w:r>
        <w:rPr>
          <w:i/>
          <w:color w:val="E36F1E"/>
          <w:w w:val="105"/>
          <w:sz w:val="20"/>
        </w:rPr>
        <w:t>9.1.1.2. Regulatory process for maintaining and </w:t>
      </w:r>
      <w:r>
        <w:rPr>
          <w:i/>
          <w:color w:val="E36F1E"/>
          <w:w w:val="105"/>
          <w:sz w:val="20"/>
        </w:rPr>
        <w:t>updating list of reportable diseases</w:t>
      </w:r>
    </w:p>
    <w:p>
      <w:pPr>
        <w:pStyle w:val="BodyText"/>
        <w:spacing w:line="266" w:lineRule="auto"/>
        <w:ind w:left="1440" w:right="-7"/>
      </w:pPr>
      <w:r>
        <w:rPr>
          <w:color w:val="231F20"/>
          <w:w w:val="105"/>
        </w:rPr>
        <w:t>Every state has an oversight body or entity authorized to promulgate reportable disease regulations (typically a board of health established by statute). The reportable disease list is revised or updated after study of, and public input on, the proposed changes.</w:t>
      </w:r>
    </w:p>
    <w:p>
      <w:pPr>
        <w:pStyle w:val="BodyText"/>
        <w:spacing w:line="266" w:lineRule="auto" w:before="180"/>
        <w:ind w:left="1440" w:right="42"/>
      </w:pPr>
      <w:r>
        <w:rPr>
          <w:color w:val="231F20"/>
        </w:rPr>
        <w:t>The list of reportable diseases and conditions and laboratory findings is maintained and updated </w:t>
      </w:r>
      <w:r>
        <w:rPr>
          <w:color w:val="231F20"/>
          <w:spacing w:val="-3"/>
        </w:rPr>
        <w:t>by </w:t>
      </w:r>
      <w:r>
        <w:rPr>
          <w:color w:val="231F20"/>
        </w:rPr>
        <w:t>epidemiologists and health officers in state and local agencies, with review and approval </w:t>
      </w:r>
      <w:r>
        <w:rPr>
          <w:color w:val="231F20"/>
          <w:spacing w:val="-3"/>
        </w:rPr>
        <w:t>by </w:t>
      </w:r>
      <w:r>
        <w:rPr>
          <w:color w:val="231F20"/>
        </w:rPr>
        <w:t>the oversight </w:t>
      </w:r>
      <w:r>
        <w:rPr>
          <w:color w:val="231F20"/>
          <w:spacing w:val="-6"/>
        </w:rPr>
        <w:t>body. </w:t>
      </w:r>
      <w:r>
        <w:rPr>
          <w:color w:val="231F20"/>
        </w:rPr>
        <w:t>Required reporting of specific laboratory test results (rather than regulatory language of “any positive test for …”) generally means the list must  be  regularly</w:t>
      </w:r>
      <w:r>
        <w:rPr>
          <w:color w:val="231F20"/>
          <w:spacing w:val="-9"/>
        </w:rPr>
        <w:t> </w:t>
      </w:r>
      <w:r>
        <w:rPr>
          <w:color w:val="231F20"/>
        </w:rPr>
        <w:t>updated.</w:t>
      </w:r>
    </w:p>
    <w:p>
      <w:pPr>
        <w:pStyle w:val="BodyText"/>
        <w:spacing w:line="266" w:lineRule="auto" w:before="180"/>
        <w:ind w:left="1440" w:right="15"/>
      </w:pPr>
      <w:r>
        <w:rPr>
          <w:color w:val="231F20"/>
          <w:w w:val="105"/>
        </w:rPr>
        <w:t>Reportable disease regulations are established within the context of the basic public</w:t>
      </w:r>
    </w:p>
    <w:p>
      <w:pPr>
        <w:pStyle w:val="BodyText"/>
        <w:spacing w:line="266" w:lineRule="auto"/>
        <w:ind w:left="1440" w:right="-14"/>
      </w:pPr>
      <w:r>
        <w:rPr/>
        <w:pict>
          <v:rect style="position:absolute;margin-left:0pt;margin-top:74.399353pt;width:45pt;height:18pt;mso-position-horizontal-relative:page;mso-position-vertical-relative:paragraph;z-index:1480" filled="true" fillcolor="#0079c1" stroked="false">
            <v:fill type="solid"/>
            <w10:wrap type="none"/>
          </v:rect>
        </w:pict>
      </w:r>
      <w:r>
        <w:rPr/>
        <w:pict>
          <v:line style="position:absolute;mso-position-horizontal-relative:page;mso-position-vertical-relative:paragraph;z-index:1504" from="54.5pt,74.397751pt" to="54.5pt,256.399751pt" stroked="true" strokeweight="1pt" strokecolor="#0079c1">
            <v:stroke dashstyle="solid"/>
            <w10:wrap type="none"/>
          </v:line>
        </w:pict>
      </w:r>
      <w:r>
        <w:rPr>
          <w:color w:val="231F20"/>
          <w:w w:val="105"/>
        </w:rPr>
        <w:t>health compact. In return for allowing the government to collect medical and personal information without consent about selected conditions,</w:t>
      </w:r>
      <w:r>
        <w:rPr>
          <w:color w:val="231F20"/>
          <w:spacing w:val="-17"/>
          <w:w w:val="105"/>
        </w:rPr>
        <w:t> </w:t>
      </w:r>
      <w:r>
        <w:rPr>
          <w:color w:val="231F20"/>
          <w:w w:val="105"/>
        </w:rPr>
        <w:t>the</w:t>
      </w:r>
      <w:r>
        <w:rPr>
          <w:color w:val="231F20"/>
          <w:spacing w:val="-17"/>
          <w:w w:val="105"/>
        </w:rPr>
        <w:t> </w:t>
      </w:r>
      <w:r>
        <w:rPr>
          <w:color w:val="231F20"/>
          <w:w w:val="105"/>
        </w:rPr>
        <w:t>public</w:t>
      </w:r>
      <w:r>
        <w:rPr>
          <w:color w:val="231F20"/>
          <w:spacing w:val="-17"/>
          <w:w w:val="105"/>
        </w:rPr>
        <w:t> </w:t>
      </w:r>
      <w:r>
        <w:rPr>
          <w:color w:val="231F20"/>
          <w:w w:val="105"/>
        </w:rPr>
        <w:t>requires</w:t>
      </w:r>
      <w:r>
        <w:rPr>
          <w:color w:val="231F20"/>
          <w:spacing w:val="-17"/>
          <w:w w:val="105"/>
        </w:rPr>
        <w:t> </w:t>
      </w:r>
      <w:r>
        <w:rPr>
          <w:color w:val="231F20"/>
          <w:w w:val="105"/>
        </w:rPr>
        <w:t>the</w:t>
      </w:r>
      <w:r>
        <w:rPr>
          <w:color w:val="231F20"/>
          <w:spacing w:val="-17"/>
          <w:w w:val="105"/>
        </w:rPr>
        <w:t> </w:t>
      </w:r>
      <w:r>
        <w:rPr>
          <w:color w:val="231F20"/>
          <w:w w:val="105"/>
        </w:rPr>
        <w:t>government to maintain confidentiality of the records and to</w:t>
      </w:r>
      <w:r>
        <w:rPr>
          <w:color w:val="231F20"/>
          <w:spacing w:val="-12"/>
          <w:w w:val="105"/>
        </w:rPr>
        <w:t> </w:t>
      </w:r>
      <w:r>
        <w:rPr>
          <w:color w:val="231F20"/>
          <w:w w:val="105"/>
        </w:rPr>
        <w:t>prevent</w:t>
      </w:r>
      <w:r>
        <w:rPr>
          <w:color w:val="231F20"/>
          <w:spacing w:val="-12"/>
          <w:w w:val="105"/>
        </w:rPr>
        <w:t> </w:t>
      </w:r>
      <w:r>
        <w:rPr>
          <w:color w:val="231F20"/>
          <w:w w:val="105"/>
        </w:rPr>
        <w:t>or</w:t>
      </w:r>
      <w:r>
        <w:rPr>
          <w:color w:val="231F20"/>
          <w:spacing w:val="-12"/>
          <w:w w:val="105"/>
        </w:rPr>
        <w:t> </w:t>
      </w:r>
      <w:r>
        <w:rPr>
          <w:color w:val="231F20"/>
          <w:w w:val="105"/>
        </w:rPr>
        <w:t>minimize</w:t>
      </w:r>
      <w:r>
        <w:rPr>
          <w:color w:val="231F20"/>
          <w:spacing w:val="-12"/>
          <w:w w:val="105"/>
        </w:rPr>
        <w:t> </w:t>
      </w:r>
      <w:r>
        <w:rPr>
          <w:color w:val="231F20"/>
          <w:w w:val="105"/>
        </w:rPr>
        <w:t>public</w:t>
      </w:r>
      <w:r>
        <w:rPr>
          <w:color w:val="231F20"/>
          <w:spacing w:val="-12"/>
          <w:w w:val="105"/>
        </w:rPr>
        <w:t> </w:t>
      </w:r>
      <w:r>
        <w:rPr>
          <w:color w:val="231F20"/>
          <w:w w:val="105"/>
        </w:rPr>
        <w:t>health</w:t>
      </w:r>
      <w:r>
        <w:rPr>
          <w:color w:val="231F20"/>
          <w:spacing w:val="-12"/>
          <w:w w:val="105"/>
        </w:rPr>
        <w:t> </w:t>
      </w:r>
      <w:r>
        <w:rPr>
          <w:color w:val="231F20"/>
          <w:w w:val="105"/>
        </w:rPr>
        <w:t>threats.</w:t>
      </w:r>
    </w:p>
    <w:p>
      <w:pPr>
        <w:pStyle w:val="ListParagraph"/>
        <w:numPr>
          <w:ilvl w:val="2"/>
          <w:numId w:val="5"/>
        </w:numPr>
        <w:tabs>
          <w:tab w:pos="1996" w:val="left" w:leader="none"/>
        </w:tabs>
        <w:spacing w:line="240" w:lineRule="auto" w:before="164" w:after="0"/>
        <w:ind w:left="1996" w:right="0" w:hanging="556"/>
        <w:jc w:val="left"/>
        <w:rPr>
          <w:rFonts w:ascii="Arial"/>
          <w:sz w:val="20"/>
        </w:rPr>
      </w:pPr>
      <w:r>
        <w:rPr/>
        <w:pict>
          <v:shape style="position:absolute;margin-left:11.4022pt;margin-top:20.571281pt;width:12.3pt;height:144.2pt;mso-position-horizontal-relative:page;mso-position-vertical-relative:paragraph;z-index:1528" type="#_x0000_t202" filled="false" stroked="false">
            <v:textbox inset="0,0,0,0" style="layout-flow:vertical;mso-layout-flow-alt:bottom-to-top">
              <w:txbxContent>
                <w:p>
                  <w:pPr>
                    <w:spacing w:before="12"/>
                    <w:ind w:left="20" w:right="-1140" w:firstLine="0"/>
                    <w:jc w:val="left"/>
                    <w:rPr>
                      <w:rFonts w:ascii="Lucida Sans"/>
                      <w:sz w:val="17"/>
                    </w:rPr>
                  </w:pPr>
                  <w:r>
                    <w:rPr>
                      <w:rFonts w:ascii="Lucida Sans"/>
                      <w:color w:val="0079C1"/>
                      <w:spacing w:val="8"/>
                      <w:w w:val="103"/>
                      <w:sz w:val="17"/>
                    </w:rPr>
                    <w:t>LEGA</w:t>
                  </w:r>
                  <w:r>
                    <w:rPr>
                      <w:rFonts w:ascii="Lucida Sans"/>
                      <w:color w:val="0079C1"/>
                      <w:w w:val="103"/>
                      <w:sz w:val="17"/>
                    </w:rPr>
                    <w:t>L</w:t>
                  </w:r>
                  <w:r>
                    <w:rPr>
                      <w:rFonts w:ascii="Lucida Sans"/>
                      <w:color w:val="0079C1"/>
                      <w:spacing w:val="10"/>
                      <w:sz w:val="17"/>
                    </w:rPr>
                    <w:t> </w:t>
                  </w:r>
                  <w:r>
                    <w:rPr>
                      <w:rFonts w:ascii="Lucida Sans"/>
                      <w:color w:val="0079C1"/>
                      <w:spacing w:val="8"/>
                      <w:w w:val="105"/>
                      <w:sz w:val="17"/>
                    </w:rPr>
                    <w:t>PRE</w:t>
                  </w:r>
                  <w:r>
                    <w:rPr>
                      <w:rFonts w:ascii="Lucida Sans"/>
                      <w:color w:val="0079C1"/>
                      <w:spacing w:val="-5"/>
                      <w:w w:val="105"/>
                      <w:sz w:val="17"/>
                    </w:rPr>
                    <w:t>P</w:t>
                  </w:r>
                  <w:r>
                    <w:rPr>
                      <w:rFonts w:ascii="Lucida Sans"/>
                      <w:color w:val="0079C1"/>
                      <w:spacing w:val="8"/>
                      <w:w w:val="104"/>
                      <w:sz w:val="17"/>
                    </w:rPr>
                    <w:t>AREDNES</w:t>
                  </w:r>
                  <w:r>
                    <w:rPr>
                      <w:rFonts w:ascii="Lucida Sans"/>
                      <w:color w:val="0079C1"/>
                      <w:w w:val="104"/>
                      <w:sz w:val="17"/>
                    </w:rPr>
                    <w:t>S</w:t>
                  </w:r>
                  <w:r>
                    <w:rPr>
                      <w:rFonts w:ascii="Lucida Sans"/>
                      <w:color w:val="0079C1"/>
                      <w:spacing w:val="10"/>
                      <w:sz w:val="17"/>
                    </w:rPr>
                    <w:t> </w:t>
                  </w:r>
                  <w:r>
                    <w:rPr>
                      <w:rFonts w:ascii="Lucida Sans"/>
                      <w:color w:val="0079C1"/>
                      <w:spacing w:val="8"/>
                      <w:w w:val="103"/>
                      <w:sz w:val="17"/>
                    </w:rPr>
                    <w:t>FO</w:t>
                  </w:r>
                  <w:r>
                    <w:rPr>
                      <w:rFonts w:ascii="Lucida Sans"/>
                      <w:color w:val="0079C1"/>
                      <w:w w:val="103"/>
                      <w:sz w:val="17"/>
                    </w:rPr>
                    <w:t>R</w:t>
                  </w:r>
                  <w:r>
                    <w:rPr>
                      <w:rFonts w:ascii="Lucida Sans"/>
                      <w:color w:val="0079C1"/>
                      <w:spacing w:val="10"/>
                      <w:sz w:val="17"/>
                    </w:rPr>
                    <w:t> </w:t>
                  </w:r>
                  <w:r>
                    <w:rPr>
                      <w:rFonts w:ascii="Lucida Sans"/>
                      <w:color w:val="0079C1"/>
                      <w:spacing w:val="8"/>
                      <w:w w:val="100"/>
                      <w:sz w:val="17"/>
                    </w:rPr>
                    <w:t>THE</w:t>
                  </w:r>
                </w:p>
              </w:txbxContent>
            </v:textbox>
            <w10:wrap type="none"/>
          </v:shape>
        </w:pict>
      </w:r>
      <w:r>
        <w:rPr/>
        <w:pict>
          <v:shape style="position:absolute;margin-left:18.200388pt;margin-top:4.112040pt;width:25.5pt;height:173.95pt;mso-position-horizontal-relative:page;mso-position-vertical-relative:paragraph;z-index:1552" type="#_x0000_t202" filled="false" stroked="false">
            <v:textbox inset="0,0,0,0" style="layout-flow:vertical;mso-layout-flow-alt:bottom-to-top">
              <w:txbxContent>
                <w:p>
                  <w:pPr>
                    <w:spacing w:line="273" w:lineRule="exact" w:before="7"/>
                    <w:ind w:left="79" w:right="-889" w:firstLine="0"/>
                    <w:jc w:val="left"/>
                    <w:rPr>
                      <w:rFonts w:ascii="Times New Roman"/>
                      <w:b/>
                      <w:sz w:val="24"/>
                    </w:rPr>
                  </w:pPr>
                  <w:r>
                    <w:rPr>
                      <w:rFonts w:ascii="Lucida Sans"/>
                      <w:color w:val="0079C1"/>
                      <w:spacing w:val="8"/>
                      <w:w w:val="102"/>
                      <w:sz w:val="17"/>
                    </w:rPr>
                    <w:t>SURVEILLANC</w:t>
                  </w:r>
                  <w:r>
                    <w:rPr>
                      <w:rFonts w:ascii="Lucida Sans"/>
                      <w:color w:val="0079C1"/>
                      <w:w w:val="102"/>
                      <w:sz w:val="17"/>
                    </w:rPr>
                    <w:t>E</w:t>
                  </w:r>
                  <w:r>
                    <w:rPr>
                      <w:rFonts w:ascii="Lucida Sans"/>
                      <w:color w:val="0079C1"/>
                      <w:spacing w:val="10"/>
                      <w:sz w:val="17"/>
                    </w:rPr>
                    <w:t> </w:t>
                  </w:r>
                  <w:r>
                    <w:rPr>
                      <w:rFonts w:ascii="Lucida Sans"/>
                      <w:color w:val="0079C1"/>
                      <w:spacing w:val="8"/>
                      <w:w w:val="102"/>
                      <w:sz w:val="17"/>
                    </w:rPr>
                    <w:t>AN</w:t>
                  </w:r>
                  <w:r>
                    <w:rPr>
                      <w:rFonts w:ascii="Lucida Sans"/>
                      <w:color w:val="0079C1"/>
                      <w:w w:val="102"/>
                      <w:sz w:val="17"/>
                    </w:rPr>
                    <w:t>D</w:t>
                  </w:r>
                  <w:r>
                    <w:rPr>
                      <w:rFonts w:ascii="Lucida Sans"/>
                      <w:color w:val="0079C1"/>
                      <w:spacing w:val="10"/>
                      <w:sz w:val="17"/>
                    </w:rPr>
                    <w:t> </w:t>
                  </w:r>
                  <w:r>
                    <w:rPr>
                      <w:rFonts w:ascii="Lucida Sans"/>
                      <w:color w:val="0079C1"/>
                      <w:spacing w:val="8"/>
                      <w:w w:val="101"/>
                      <w:sz w:val="17"/>
                    </w:rPr>
                    <w:t>CONTRO</w:t>
                  </w:r>
                  <w:r>
                    <w:rPr>
                      <w:rFonts w:ascii="Lucida Sans"/>
                      <w:color w:val="0079C1"/>
                      <w:w w:val="101"/>
                      <w:sz w:val="17"/>
                    </w:rPr>
                    <w:t>L</w:t>
                  </w:r>
                  <w:r>
                    <w:rPr>
                      <w:rFonts w:ascii="Lucida Sans"/>
                      <w:color w:val="0079C1"/>
                      <w:spacing w:val="10"/>
                      <w:sz w:val="17"/>
                    </w:rPr>
                    <w:t> </w:t>
                  </w:r>
                  <w:r>
                    <w:rPr>
                      <w:rFonts w:ascii="Lucida Sans"/>
                      <w:color w:val="0079C1"/>
                      <w:spacing w:val="8"/>
                      <w:w w:val="107"/>
                      <w:sz w:val="17"/>
                    </w:rPr>
                    <w:t>O</w:t>
                  </w:r>
                  <w:r>
                    <w:rPr>
                      <w:rFonts w:ascii="Lucida Sans"/>
                      <w:color w:val="0079C1"/>
                      <w:w w:val="107"/>
                      <w:sz w:val="17"/>
                    </w:rPr>
                    <w:t>F</w:t>
                  </w:r>
                  <w:r>
                    <w:rPr>
                      <w:rFonts w:ascii="Lucida Sans"/>
                      <w:color w:val="0079C1"/>
                      <w:sz w:val="17"/>
                    </w:rPr>
                    <w:t>  </w:t>
                  </w:r>
                  <w:r>
                    <w:rPr>
                      <w:rFonts w:ascii="Lucida Sans"/>
                      <w:color w:val="0079C1"/>
                      <w:spacing w:val="-12"/>
                      <w:sz w:val="17"/>
                    </w:rPr>
                    <w:t> </w:t>
                  </w:r>
                  <w:r>
                    <w:rPr>
                      <w:rFonts w:ascii="Times New Roman"/>
                      <w:b/>
                      <w:color w:val="FFFFFF"/>
                      <w:w w:val="108"/>
                      <w:position w:val="1"/>
                      <w:sz w:val="24"/>
                    </w:rPr>
                    <w:t>9</w:t>
                  </w:r>
                </w:p>
                <w:p>
                  <w:pPr>
                    <w:spacing w:line="197" w:lineRule="exact" w:before="0"/>
                    <w:ind w:left="20" w:right="-692" w:firstLine="0"/>
                    <w:jc w:val="left"/>
                    <w:rPr>
                      <w:rFonts w:ascii="Lucida Sans"/>
                      <w:sz w:val="17"/>
                    </w:rPr>
                  </w:pPr>
                  <w:r>
                    <w:rPr>
                      <w:rFonts w:ascii="Lucida Sans"/>
                      <w:color w:val="0079C1"/>
                      <w:spacing w:val="8"/>
                      <w:w w:val="105"/>
                      <w:sz w:val="17"/>
                    </w:rPr>
                    <w:t>FOODBORN</w:t>
                  </w:r>
                  <w:r>
                    <w:rPr>
                      <w:rFonts w:ascii="Lucida Sans"/>
                      <w:color w:val="0079C1"/>
                      <w:w w:val="105"/>
                      <w:sz w:val="17"/>
                    </w:rPr>
                    <w:t>E</w:t>
                  </w:r>
                  <w:r>
                    <w:rPr>
                      <w:rFonts w:ascii="Lucida Sans"/>
                      <w:color w:val="0079C1"/>
                      <w:spacing w:val="10"/>
                      <w:sz w:val="17"/>
                    </w:rPr>
                    <w:t> </w:t>
                  </w:r>
                  <w:r>
                    <w:rPr>
                      <w:rFonts w:ascii="Lucida Sans"/>
                      <w:color w:val="0079C1"/>
                      <w:spacing w:val="8"/>
                      <w:w w:val="104"/>
                      <w:sz w:val="17"/>
                    </w:rPr>
                    <w:t>DISEAS</w:t>
                  </w:r>
                  <w:r>
                    <w:rPr>
                      <w:rFonts w:ascii="Lucida Sans"/>
                      <w:color w:val="0079C1"/>
                      <w:w w:val="104"/>
                      <w:sz w:val="17"/>
                    </w:rPr>
                    <w:t>E</w:t>
                  </w:r>
                  <w:r>
                    <w:rPr>
                      <w:rFonts w:ascii="Lucida Sans"/>
                      <w:color w:val="0079C1"/>
                      <w:spacing w:val="10"/>
                      <w:sz w:val="17"/>
                    </w:rPr>
                    <w:t> </w:t>
                  </w:r>
                  <w:r>
                    <w:rPr>
                      <w:rFonts w:ascii="Lucida Sans"/>
                      <w:color w:val="0079C1"/>
                      <w:spacing w:val="8"/>
                      <w:w w:val="102"/>
                      <w:sz w:val="17"/>
                    </w:rPr>
                    <w:t>OUTBREAKS</w:t>
                  </w:r>
                </w:p>
              </w:txbxContent>
            </v:textbox>
            <w10:wrap type="none"/>
          </v:shape>
        </w:pict>
      </w:r>
      <w:r>
        <w:rPr>
          <w:rFonts w:ascii="Arial"/>
          <w:color w:val="1C3E94"/>
          <w:sz w:val="20"/>
        </w:rPr>
        <w:t>Reporting</w:t>
      </w:r>
      <w:r>
        <w:rPr>
          <w:rFonts w:ascii="Arial"/>
          <w:color w:val="1C3E94"/>
          <w:spacing w:val="-27"/>
          <w:sz w:val="20"/>
        </w:rPr>
        <w:t> </w:t>
      </w:r>
      <w:r>
        <w:rPr>
          <w:rFonts w:ascii="Arial"/>
          <w:color w:val="1C3E94"/>
          <w:sz w:val="20"/>
        </w:rPr>
        <w:t>Processes</w:t>
      </w:r>
    </w:p>
    <w:p>
      <w:pPr>
        <w:pStyle w:val="BodyText"/>
        <w:spacing w:before="7"/>
        <w:rPr>
          <w:rFonts w:ascii="Arial"/>
          <w:sz w:val="18"/>
        </w:rPr>
      </w:pPr>
    </w:p>
    <w:p>
      <w:pPr>
        <w:pStyle w:val="ListParagraph"/>
        <w:numPr>
          <w:ilvl w:val="3"/>
          <w:numId w:val="5"/>
        </w:numPr>
        <w:tabs>
          <w:tab w:pos="2082" w:val="left" w:leader="none"/>
        </w:tabs>
        <w:spacing w:line="266" w:lineRule="auto" w:before="0" w:after="0"/>
        <w:ind w:left="1440" w:right="219" w:firstLine="0"/>
        <w:jc w:val="left"/>
        <w:rPr>
          <w:sz w:val="20"/>
        </w:rPr>
      </w:pPr>
      <w:r>
        <w:rPr>
          <w:i/>
          <w:color w:val="E36F1E"/>
          <w:w w:val="105"/>
          <w:sz w:val="20"/>
        </w:rPr>
        <w:t>Time frame and content of reports </w:t>
      </w:r>
      <w:r>
        <w:rPr>
          <w:color w:val="231F20"/>
          <w:w w:val="105"/>
          <w:sz w:val="20"/>
        </w:rPr>
        <w:t>Statutes and regulations usually specify the time</w:t>
      </w:r>
      <w:r>
        <w:rPr>
          <w:color w:val="231F20"/>
          <w:spacing w:val="-8"/>
          <w:w w:val="105"/>
          <w:sz w:val="20"/>
        </w:rPr>
        <w:t> </w:t>
      </w:r>
      <w:r>
        <w:rPr>
          <w:color w:val="231F20"/>
          <w:w w:val="105"/>
          <w:sz w:val="20"/>
        </w:rPr>
        <w:t>frame</w:t>
      </w:r>
      <w:r>
        <w:rPr>
          <w:color w:val="231F20"/>
          <w:spacing w:val="-8"/>
          <w:w w:val="105"/>
          <w:sz w:val="20"/>
        </w:rPr>
        <w:t> </w:t>
      </w:r>
      <w:r>
        <w:rPr>
          <w:color w:val="231F20"/>
          <w:w w:val="105"/>
          <w:sz w:val="20"/>
        </w:rPr>
        <w:t>for</w:t>
      </w:r>
      <w:r>
        <w:rPr>
          <w:color w:val="231F20"/>
          <w:spacing w:val="-8"/>
          <w:w w:val="105"/>
          <w:sz w:val="20"/>
        </w:rPr>
        <w:t> </w:t>
      </w:r>
      <w:r>
        <w:rPr>
          <w:color w:val="231F20"/>
          <w:w w:val="105"/>
          <w:sz w:val="20"/>
        </w:rPr>
        <w:t>reporting</w:t>
      </w:r>
      <w:r>
        <w:rPr>
          <w:color w:val="231F20"/>
          <w:spacing w:val="-8"/>
          <w:w w:val="105"/>
          <w:sz w:val="20"/>
        </w:rPr>
        <w:t> </w:t>
      </w:r>
      <w:r>
        <w:rPr>
          <w:color w:val="231F20"/>
          <w:spacing w:val="-4"/>
          <w:w w:val="105"/>
          <w:sz w:val="20"/>
        </w:rPr>
        <w:t>(e.g.,</w:t>
      </w:r>
      <w:r>
        <w:rPr>
          <w:color w:val="231F20"/>
          <w:spacing w:val="-8"/>
          <w:w w:val="105"/>
          <w:sz w:val="20"/>
        </w:rPr>
        <w:t> </w:t>
      </w:r>
      <w:r>
        <w:rPr>
          <w:color w:val="231F20"/>
          <w:w w:val="105"/>
          <w:sz w:val="20"/>
        </w:rPr>
        <w:t>within</w:t>
      </w:r>
      <w:r>
        <w:rPr>
          <w:color w:val="231F20"/>
          <w:spacing w:val="-8"/>
          <w:w w:val="105"/>
          <w:sz w:val="20"/>
        </w:rPr>
        <w:t> </w:t>
      </w:r>
      <w:r>
        <w:rPr>
          <w:color w:val="231F20"/>
          <w:w w:val="105"/>
          <w:sz w:val="20"/>
        </w:rPr>
        <w:t>7</w:t>
      </w:r>
      <w:r>
        <w:rPr>
          <w:color w:val="231F20"/>
          <w:spacing w:val="-8"/>
          <w:w w:val="105"/>
          <w:sz w:val="20"/>
        </w:rPr>
        <w:t> </w:t>
      </w:r>
      <w:r>
        <w:rPr>
          <w:color w:val="231F20"/>
          <w:w w:val="105"/>
          <w:sz w:val="20"/>
        </w:rPr>
        <w:t>days of diagnosis, within 24 hours,</w:t>
      </w:r>
      <w:r>
        <w:rPr>
          <w:color w:val="231F20"/>
          <w:spacing w:val="-38"/>
          <w:w w:val="105"/>
          <w:sz w:val="20"/>
        </w:rPr>
        <w:t> </w:t>
      </w:r>
      <w:r>
        <w:rPr>
          <w:color w:val="231F20"/>
          <w:w w:val="105"/>
          <w:sz w:val="20"/>
        </w:rPr>
        <w:t>immediately),</w:t>
      </w:r>
    </w:p>
    <w:p>
      <w:pPr>
        <w:pStyle w:val="BodyText"/>
        <w:spacing w:line="266" w:lineRule="auto"/>
        <w:ind w:left="1440" w:right="-9"/>
      </w:pPr>
      <w:r>
        <w:rPr/>
        <w:pict>
          <v:line style="position:absolute;mso-position-horizontal-relative:page;mso-position-vertical-relative:paragraph;z-index:1456" from="72pt,101.399467pt" to="504pt,101.399467pt" stroked="true" strokeweight="1pt" strokecolor="#00a94f">
            <v:stroke dashstyle="solid"/>
            <w10:wrap type="none"/>
          </v:line>
        </w:pict>
      </w:r>
      <w:r>
        <w:rPr>
          <w:color w:val="231F20"/>
          <w:w w:val="105"/>
        </w:rPr>
        <w:t>means of reporting (e.g., electronic laboratory reporting, phone, e-mail, fax), and the information to be reported (e.g., diagnosis; personal identifying and locating information; and date of onset or diagnosis, regardless of whether the case is suspected or confirmed).</w:t>
      </w:r>
    </w:p>
    <w:p>
      <w:pPr>
        <w:pStyle w:val="ListParagraph"/>
        <w:numPr>
          <w:ilvl w:val="3"/>
          <w:numId w:val="5"/>
        </w:numPr>
        <w:tabs>
          <w:tab w:pos="1018" w:val="left" w:leader="none"/>
        </w:tabs>
        <w:spacing w:line="240" w:lineRule="auto" w:before="108" w:after="0"/>
        <w:ind w:left="1017" w:right="0" w:hanging="642"/>
        <w:jc w:val="left"/>
        <w:rPr>
          <w:i/>
          <w:sz w:val="20"/>
        </w:rPr>
      </w:pPr>
      <w:r>
        <w:rPr>
          <w:i/>
          <w:color w:val="E36F1E"/>
          <w:w w:val="98"/>
          <w:sz w:val="20"/>
        </w:rPr>
        <w:br w:type="column"/>
      </w:r>
      <w:r>
        <w:rPr>
          <w:i/>
          <w:color w:val="E36F1E"/>
          <w:w w:val="105"/>
          <w:sz w:val="20"/>
        </w:rPr>
        <w:t>Sources of</w:t>
      </w:r>
      <w:r>
        <w:rPr>
          <w:i/>
          <w:color w:val="E36F1E"/>
          <w:spacing w:val="-1"/>
          <w:w w:val="105"/>
          <w:sz w:val="20"/>
        </w:rPr>
        <w:t> </w:t>
      </w:r>
      <w:r>
        <w:rPr>
          <w:i/>
          <w:color w:val="E36F1E"/>
          <w:w w:val="105"/>
          <w:sz w:val="20"/>
        </w:rPr>
        <w:t>reports</w:t>
      </w:r>
    </w:p>
    <w:p>
      <w:pPr>
        <w:pStyle w:val="BodyText"/>
        <w:spacing w:line="266" w:lineRule="auto" w:before="25"/>
        <w:ind w:left="375" w:right="733"/>
      </w:pPr>
      <w:r>
        <w:rPr>
          <w:color w:val="231F20"/>
          <w:w w:val="105"/>
        </w:rPr>
        <w:t>Regulations specify what entities are required to report. The usual sources of mandatory reports are:</w:t>
      </w:r>
    </w:p>
    <w:p>
      <w:pPr>
        <w:pStyle w:val="ListParagraph"/>
        <w:numPr>
          <w:ilvl w:val="0"/>
          <w:numId w:val="6"/>
        </w:numPr>
        <w:tabs>
          <w:tab w:pos="547" w:val="left" w:leader="none"/>
        </w:tabs>
        <w:spacing w:line="240" w:lineRule="auto" w:before="180" w:after="0"/>
        <w:ind w:left="546" w:right="0" w:hanging="171"/>
        <w:jc w:val="left"/>
        <w:rPr>
          <w:sz w:val="20"/>
        </w:rPr>
      </w:pPr>
      <w:r>
        <w:rPr>
          <w:color w:val="231F20"/>
          <w:w w:val="105"/>
          <w:sz w:val="20"/>
        </w:rPr>
        <w:t>Laboratories,</w:t>
      </w:r>
      <w:r>
        <w:rPr>
          <w:color w:val="231F20"/>
          <w:spacing w:val="-10"/>
          <w:w w:val="105"/>
          <w:sz w:val="20"/>
        </w:rPr>
        <w:t> </w:t>
      </w:r>
      <w:r>
        <w:rPr>
          <w:color w:val="231F20"/>
          <w:w w:val="105"/>
          <w:sz w:val="20"/>
        </w:rPr>
        <w:t>including</w:t>
      </w:r>
    </w:p>
    <w:p>
      <w:pPr>
        <w:pStyle w:val="ListParagraph"/>
        <w:numPr>
          <w:ilvl w:val="1"/>
          <w:numId w:val="6"/>
        </w:numPr>
        <w:tabs>
          <w:tab w:pos="745" w:val="left" w:leader="none"/>
        </w:tabs>
        <w:spacing w:line="240" w:lineRule="auto" w:before="115" w:after="0"/>
        <w:ind w:left="744" w:right="0" w:hanging="189"/>
        <w:jc w:val="left"/>
        <w:rPr>
          <w:sz w:val="20"/>
        </w:rPr>
      </w:pPr>
      <w:r>
        <w:rPr>
          <w:color w:val="231F20"/>
          <w:w w:val="105"/>
          <w:sz w:val="20"/>
        </w:rPr>
        <w:t>Hospital-based</w:t>
      </w:r>
      <w:r>
        <w:rPr>
          <w:color w:val="231F20"/>
          <w:spacing w:val="-31"/>
          <w:w w:val="105"/>
          <w:sz w:val="20"/>
        </w:rPr>
        <w:t> </w:t>
      </w:r>
      <w:r>
        <w:rPr>
          <w:color w:val="231F20"/>
          <w:w w:val="105"/>
          <w:sz w:val="20"/>
        </w:rPr>
        <w:t>laboratories,</w:t>
      </w:r>
    </w:p>
    <w:p>
      <w:pPr>
        <w:pStyle w:val="ListParagraph"/>
        <w:numPr>
          <w:ilvl w:val="1"/>
          <w:numId w:val="6"/>
        </w:numPr>
        <w:tabs>
          <w:tab w:pos="745" w:val="left" w:leader="none"/>
        </w:tabs>
        <w:spacing w:line="240" w:lineRule="auto" w:before="115" w:after="0"/>
        <w:ind w:left="744" w:right="0" w:hanging="189"/>
        <w:jc w:val="left"/>
        <w:rPr>
          <w:sz w:val="20"/>
        </w:rPr>
      </w:pPr>
      <w:r>
        <w:rPr>
          <w:color w:val="231F20"/>
          <w:w w:val="105"/>
          <w:sz w:val="20"/>
        </w:rPr>
        <w:t>Clinical</w:t>
      </w:r>
      <w:r>
        <w:rPr>
          <w:color w:val="231F20"/>
          <w:spacing w:val="8"/>
          <w:w w:val="105"/>
          <w:sz w:val="20"/>
        </w:rPr>
        <w:t> </w:t>
      </w:r>
      <w:r>
        <w:rPr>
          <w:color w:val="231F20"/>
          <w:w w:val="105"/>
          <w:sz w:val="20"/>
        </w:rPr>
        <w:t>laboratories,</w:t>
      </w:r>
    </w:p>
    <w:p>
      <w:pPr>
        <w:pStyle w:val="ListParagraph"/>
        <w:numPr>
          <w:ilvl w:val="1"/>
          <w:numId w:val="6"/>
        </w:numPr>
        <w:tabs>
          <w:tab w:pos="745" w:val="left" w:leader="none"/>
        </w:tabs>
        <w:spacing w:line="266" w:lineRule="auto" w:before="115" w:after="0"/>
        <w:ind w:left="744" w:right="877" w:hanging="189"/>
        <w:jc w:val="left"/>
        <w:rPr>
          <w:sz w:val="20"/>
        </w:rPr>
      </w:pPr>
      <w:r>
        <w:rPr>
          <w:color w:val="231F20"/>
          <w:w w:val="105"/>
          <w:sz w:val="20"/>
        </w:rPr>
        <w:t>National or regional commercial</w:t>
      </w:r>
      <w:r>
        <w:rPr>
          <w:color w:val="231F20"/>
          <w:spacing w:val="-22"/>
          <w:w w:val="105"/>
          <w:sz w:val="20"/>
        </w:rPr>
        <w:t> </w:t>
      </w:r>
      <w:r>
        <w:rPr>
          <w:color w:val="231F20"/>
          <w:w w:val="105"/>
          <w:sz w:val="20"/>
        </w:rPr>
        <w:t>referral laboratories,</w:t>
      </w:r>
    </w:p>
    <w:p>
      <w:pPr>
        <w:pStyle w:val="ListParagraph"/>
        <w:numPr>
          <w:ilvl w:val="1"/>
          <w:numId w:val="6"/>
        </w:numPr>
        <w:tabs>
          <w:tab w:pos="745" w:val="left" w:leader="none"/>
        </w:tabs>
        <w:spacing w:line="266" w:lineRule="auto" w:before="90" w:after="0"/>
        <w:ind w:left="744" w:right="1509" w:hanging="189"/>
        <w:jc w:val="left"/>
        <w:rPr>
          <w:sz w:val="20"/>
        </w:rPr>
      </w:pPr>
      <w:r>
        <w:rPr>
          <w:color w:val="231F20"/>
          <w:w w:val="105"/>
          <w:sz w:val="20"/>
        </w:rPr>
        <w:t>Local or state health</w:t>
      </w:r>
      <w:r>
        <w:rPr>
          <w:color w:val="231F20"/>
          <w:spacing w:val="-20"/>
          <w:w w:val="105"/>
          <w:sz w:val="20"/>
        </w:rPr>
        <w:t> </w:t>
      </w:r>
      <w:r>
        <w:rPr>
          <w:color w:val="231F20"/>
          <w:w w:val="105"/>
          <w:sz w:val="20"/>
        </w:rPr>
        <w:t>department laboratories,</w:t>
      </w:r>
      <w:r>
        <w:rPr>
          <w:color w:val="231F20"/>
          <w:spacing w:val="-4"/>
          <w:w w:val="105"/>
          <w:sz w:val="20"/>
        </w:rPr>
        <w:t> </w:t>
      </w:r>
      <w:r>
        <w:rPr>
          <w:color w:val="231F20"/>
          <w:w w:val="105"/>
          <w:sz w:val="20"/>
        </w:rPr>
        <w:t>and</w:t>
      </w:r>
    </w:p>
    <w:p>
      <w:pPr>
        <w:pStyle w:val="ListParagraph"/>
        <w:numPr>
          <w:ilvl w:val="1"/>
          <w:numId w:val="6"/>
        </w:numPr>
        <w:tabs>
          <w:tab w:pos="745" w:val="left" w:leader="none"/>
        </w:tabs>
        <w:spacing w:line="240" w:lineRule="auto" w:before="90" w:after="0"/>
        <w:ind w:left="744" w:right="0" w:hanging="189"/>
        <w:jc w:val="left"/>
        <w:rPr>
          <w:sz w:val="20"/>
        </w:rPr>
      </w:pPr>
      <w:r>
        <w:rPr>
          <w:color w:val="231F20"/>
          <w:w w:val="105"/>
          <w:sz w:val="20"/>
        </w:rPr>
        <w:t>CDC</w:t>
      </w:r>
      <w:r>
        <w:rPr>
          <w:color w:val="231F20"/>
          <w:spacing w:val="4"/>
          <w:w w:val="105"/>
          <w:sz w:val="20"/>
        </w:rPr>
        <w:t> </w:t>
      </w:r>
      <w:r>
        <w:rPr>
          <w:color w:val="231F20"/>
          <w:w w:val="105"/>
          <w:sz w:val="20"/>
        </w:rPr>
        <w:t>laboratories;</w:t>
      </w:r>
    </w:p>
    <w:p>
      <w:pPr>
        <w:pStyle w:val="ListParagraph"/>
        <w:numPr>
          <w:ilvl w:val="0"/>
          <w:numId w:val="6"/>
        </w:numPr>
        <w:tabs>
          <w:tab w:pos="547" w:val="left" w:leader="none"/>
        </w:tabs>
        <w:spacing w:line="266" w:lineRule="auto" w:before="115" w:after="0"/>
        <w:ind w:left="546" w:right="757" w:hanging="171"/>
        <w:jc w:val="left"/>
        <w:rPr>
          <w:sz w:val="20"/>
        </w:rPr>
      </w:pPr>
      <w:r>
        <w:rPr>
          <w:color w:val="231F20"/>
          <w:w w:val="105"/>
          <w:sz w:val="20"/>
        </w:rPr>
        <w:t>Hospitals</w:t>
      </w:r>
      <w:r>
        <w:rPr>
          <w:color w:val="231F20"/>
          <w:spacing w:val="-18"/>
          <w:w w:val="105"/>
          <w:sz w:val="20"/>
        </w:rPr>
        <w:t> </w:t>
      </w:r>
      <w:r>
        <w:rPr>
          <w:color w:val="231F20"/>
          <w:spacing w:val="-4"/>
          <w:w w:val="105"/>
          <w:sz w:val="20"/>
        </w:rPr>
        <w:t>(e.g.,</w:t>
      </w:r>
      <w:r>
        <w:rPr>
          <w:color w:val="231F20"/>
          <w:spacing w:val="-18"/>
          <w:w w:val="105"/>
          <w:sz w:val="20"/>
        </w:rPr>
        <w:t> </w:t>
      </w:r>
      <w:r>
        <w:rPr>
          <w:color w:val="231F20"/>
          <w:w w:val="105"/>
          <w:sz w:val="20"/>
        </w:rPr>
        <w:t>hospitalized</w:t>
      </w:r>
      <w:r>
        <w:rPr>
          <w:color w:val="231F20"/>
          <w:spacing w:val="-18"/>
          <w:w w:val="105"/>
          <w:sz w:val="20"/>
        </w:rPr>
        <w:t> </w:t>
      </w:r>
      <w:r>
        <w:rPr>
          <w:color w:val="231F20"/>
          <w:w w:val="105"/>
          <w:sz w:val="20"/>
        </w:rPr>
        <w:t>patients</w:t>
      </w:r>
      <w:r>
        <w:rPr>
          <w:color w:val="231F20"/>
          <w:spacing w:val="-18"/>
          <w:w w:val="105"/>
          <w:sz w:val="20"/>
        </w:rPr>
        <w:t> </w:t>
      </w:r>
      <w:r>
        <w:rPr>
          <w:color w:val="231F20"/>
          <w:w w:val="105"/>
          <w:sz w:val="20"/>
        </w:rPr>
        <w:t>reported </w:t>
      </w:r>
      <w:r>
        <w:rPr>
          <w:color w:val="231F20"/>
          <w:spacing w:val="-3"/>
          <w:w w:val="105"/>
          <w:sz w:val="20"/>
        </w:rPr>
        <w:t>by</w:t>
      </w:r>
      <w:r>
        <w:rPr>
          <w:color w:val="231F20"/>
          <w:spacing w:val="-24"/>
          <w:w w:val="105"/>
          <w:sz w:val="20"/>
        </w:rPr>
        <w:t> </w:t>
      </w:r>
      <w:r>
        <w:rPr>
          <w:color w:val="231F20"/>
          <w:w w:val="105"/>
          <w:sz w:val="20"/>
        </w:rPr>
        <w:t>infection</w:t>
      </w:r>
      <w:r>
        <w:rPr>
          <w:color w:val="231F20"/>
          <w:spacing w:val="-24"/>
          <w:w w:val="105"/>
          <w:sz w:val="20"/>
        </w:rPr>
        <w:t> </w:t>
      </w:r>
      <w:r>
        <w:rPr>
          <w:color w:val="231F20"/>
          <w:w w:val="105"/>
          <w:sz w:val="20"/>
        </w:rPr>
        <w:t>control</w:t>
      </w:r>
      <w:r>
        <w:rPr>
          <w:color w:val="231F20"/>
          <w:spacing w:val="-24"/>
          <w:w w:val="105"/>
          <w:sz w:val="20"/>
        </w:rPr>
        <w:t> </w:t>
      </w:r>
      <w:r>
        <w:rPr>
          <w:color w:val="231F20"/>
          <w:w w:val="105"/>
          <w:sz w:val="20"/>
        </w:rPr>
        <w:t>practitioners);</w:t>
      </w:r>
    </w:p>
    <w:p>
      <w:pPr>
        <w:pStyle w:val="ListParagraph"/>
        <w:numPr>
          <w:ilvl w:val="0"/>
          <w:numId w:val="6"/>
        </w:numPr>
        <w:tabs>
          <w:tab w:pos="547" w:val="left" w:leader="none"/>
        </w:tabs>
        <w:spacing w:line="240" w:lineRule="auto" w:before="90" w:after="0"/>
        <w:ind w:left="546" w:right="0" w:hanging="171"/>
        <w:jc w:val="left"/>
        <w:rPr>
          <w:sz w:val="20"/>
        </w:rPr>
      </w:pPr>
      <w:r>
        <w:rPr>
          <w:color w:val="231F20"/>
          <w:w w:val="105"/>
          <w:sz w:val="20"/>
        </w:rPr>
        <w:t>Emergency</w:t>
      </w:r>
      <w:r>
        <w:rPr>
          <w:color w:val="231F20"/>
          <w:spacing w:val="-21"/>
          <w:w w:val="105"/>
          <w:sz w:val="20"/>
        </w:rPr>
        <w:t> </w:t>
      </w:r>
      <w:r>
        <w:rPr>
          <w:color w:val="231F20"/>
          <w:w w:val="105"/>
          <w:sz w:val="20"/>
        </w:rPr>
        <w:t>departments;</w:t>
      </w:r>
    </w:p>
    <w:p>
      <w:pPr>
        <w:pStyle w:val="ListParagraph"/>
        <w:numPr>
          <w:ilvl w:val="0"/>
          <w:numId w:val="6"/>
        </w:numPr>
        <w:tabs>
          <w:tab w:pos="547" w:val="left" w:leader="none"/>
        </w:tabs>
        <w:spacing w:line="240" w:lineRule="auto" w:before="115" w:after="0"/>
        <w:ind w:left="546" w:right="0" w:hanging="171"/>
        <w:jc w:val="left"/>
        <w:rPr>
          <w:sz w:val="20"/>
        </w:rPr>
      </w:pPr>
      <w:r>
        <w:rPr>
          <w:color w:val="231F20"/>
          <w:w w:val="105"/>
          <w:sz w:val="20"/>
        </w:rPr>
        <w:t>Office-based</w:t>
      </w:r>
      <w:r>
        <w:rPr>
          <w:color w:val="231F20"/>
          <w:spacing w:val="-30"/>
          <w:w w:val="105"/>
          <w:sz w:val="20"/>
        </w:rPr>
        <w:t> </w:t>
      </w:r>
      <w:r>
        <w:rPr>
          <w:color w:val="231F20"/>
          <w:w w:val="105"/>
          <w:sz w:val="20"/>
        </w:rPr>
        <w:t>health-care</w:t>
      </w:r>
      <w:r>
        <w:rPr>
          <w:color w:val="231F20"/>
          <w:spacing w:val="-30"/>
          <w:w w:val="105"/>
          <w:sz w:val="20"/>
        </w:rPr>
        <w:t> </w:t>
      </w:r>
      <w:r>
        <w:rPr>
          <w:color w:val="231F20"/>
          <w:w w:val="105"/>
          <w:sz w:val="20"/>
        </w:rPr>
        <w:t>providers;</w:t>
      </w:r>
    </w:p>
    <w:p>
      <w:pPr>
        <w:pStyle w:val="ListParagraph"/>
        <w:numPr>
          <w:ilvl w:val="0"/>
          <w:numId w:val="6"/>
        </w:numPr>
        <w:tabs>
          <w:tab w:pos="547" w:val="left" w:leader="none"/>
        </w:tabs>
        <w:spacing w:line="252" w:lineRule="auto" w:before="115" w:after="0"/>
        <w:ind w:left="546" w:right="832" w:hanging="171"/>
        <w:jc w:val="left"/>
        <w:rPr>
          <w:rFonts w:ascii="Times New Roman" w:hAnsi="Times New Roman"/>
          <w:sz w:val="20"/>
        </w:rPr>
      </w:pPr>
      <w:r>
        <w:rPr>
          <w:color w:val="231F20"/>
          <w:w w:val="105"/>
          <w:sz w:val="20"/>
        </w:rPr>
        <w:t>Long-term–care</w:t>
      </w:r>
      <w:r>
        <w:rPr>
          <w:color w:val="231F20"/>
          <w:spacing w:val="-14"/>
          <w:w w:val="105"/>
          <w:sz w:val="20"/>
        </w:rPr>
        <w:t> </w:t>
      </w:r>
      <w:r>
        <w:rPr>
          <w:color w:val="231F20"/>
          <w:w w:val="105"/>
          <w:sz w:val="20"/>
        </w:rPr>
        <w:t>facilities</w:t>
      </w:r>
      <w:r>
        <w:rPr>
          <w:color w:val="231F20"/>
          <w:spacing w:val="-14"/>
          <w:w w:val="105"/>
          <w:sz w:val="20"/>
        </w:rPr>
        <w:t> </w:t>
      </w:r>
      <w:r>
        <w:rPr>
          <w:color w:val="231F20"/>
          <w:w w:val="105"/>
          <w:sz w:val="20"/>
        </w:rPr>
        <w:t>or</w:t>
      </w:r>
      <w:r>
        <w:rPr>
          <w:color w:val="231F20"/>
          <w:spacing w:val="-14"/>
          <w:w w:val="105"/>
          <w:sz w:val="20"/>
        </w:rPr>
        <w:t> </w:t>
      </w:r>
      <w:r>
        <w:rPr>
          <w:color w:val="231F20"/>
          <w:w w:val="105"/>
          <w:sz w:val="20"/>
        </w:rPr>
        <w:t>nursing</w:t>
      </w:r>
      <w:r>
        <w:rPr>
          <w:color w:val="231F20"/>
          <w:spacing w:val="-14"/>
          <w:w w:val="105"/>
          <w:sz w:val="20"/>
        </w:rPr>
        <w:t> </w:t>
      </w:r>
      <w:r>
        <w:rPr>
          <w:color w:val="231F20"/>
          <w:w w:val="105"/>
          <w:sz w:val="20"/>
        </w:rPr>
        <w:t>homes; </w:t>
      </w:r>
      <w:r>
        <w:rPr>
          <w:rFonts w:ascii="Times New Roman" w:hAnsi="Times New Roman"/>
          <w:color w:val="231F20"/>
          <w:w w:val="105"/>
          <w:sz w:val="20"/>
        </w:rPr>
        <w:t>and</w:t>
      </w:r>
    </w:p>
    <w:p>
      <w:pPr>
        <w:pStyle w:val="ListParagraph"/>
        <w:numPr>
          <w:ilvl w:val="0"/>
          <w:numId w:val="6"/>
        </w:numPr>
        <w:tabs>
          <w:tab w:pos="547" w:val="left" w:leader="none"/>
        </w:tabs>
        <w:spacing w:line="240" w:lineRule="auto" w:before="113" w:after="0"/>
        <w:ind w:left="546" w:right="0" w:hanging="171"/>
        <w:jc w:val="left"/>
        <w:rPr>
          <w:sz w:val="20"/>
        </w:rPr>
      </w:pPr>
      <w:r>
        <w:rPr>
          <w:color w:val="231F20"/>
          <w:w w:val="105"/>
          <w:sz w:val="20"/>
        </w:rPr>
        <w:t>Schools and child-care</w:t>
      </w:r>
      <w:r>
        <w:rPr>
          <w:color w:val="231F20"/>
          <w:spacing w:val="-37"/>
          <w:w w:val="105"/>
          <w:sz w:val="20"/>
        </w:rPr>
        <w:t> </w:t>
      </w:r>
      <w:r>
        <w:rPr>
          <w:color w:val="231F20"/>
          <w:w w:val="105"/>
          <w:sz w:val="20"/>
        </w:rPr>
        <w:t>centers.</w:t>
      </w:r>
    </w:p>
    <w:p>
      <w:pPr>
        <w:pStyle w:val="BodyText"/>
        <w:spacing w:before="2"/>
        <w:rPr>
          <w:sz w:val="18"/>
        </w:rPr>
      </w:pPr>
    </w:p>
    <w:p>
      <w:pPr>
        <w:pStyle w:val="BodyText"/>
        <w:spacing w:line="266" w:lineRule="auto"/>
        <w:ind w:left="375" w:right="733"/>
      </w:pPr>
      <w:r>
        <w:rPr>
          <w:color w:val="231F20"/>
          <w:w w:val="105"/>
        </w:rPr>
        <w:t>An agency also might receive reports, for example, from other state health departments.</w:t>
      </w:r>
    </w:p>
    <w:p>
      <w:pPr>
        <w:pStyle w:val="BodyText"/>
        <w:spacing w:line="266" w:lineRule="auto" w:before="180"/>
        <w:ind w:left="375" w:right="702"/>
      </w:pPr>
      <w:r>
        <w:rPr>
          <w:color w:val="231F20"/>
          <w:w w:val="105"/>
        </w:rPr>
        <w:t>Arrangements and ongoing communication should be established with national or regional commercial and clinical laboratories to ensure results for relevant cases are received by</w:t>
      </w:r>
    </w:p>
    <w:p>
      <w:pPr>
        <w:pStyle w:val="BodyText"/>
        <w:spacing w:line="266" w:lineRule="auto"/>
        <w:ind w:left="375" w:right="659"/>
      </w:pPr>
      <w:r>
        <w:rPr>
          <w:color w:val="231F20"/>
          <w:w w:val="105"/>
        </w:rPr>
        <w:t>the investigating agencies, even when those tests are conducted out of state. The same communication channels should be established with hospitals that are out of state but that serve a population within the community affected by the outbreak.</w:t>
      </w:r>
    </w:p>
    <w:p>
      <w:pPr>
        <w:pStyle w:val="BodyText"/>
        <w:spacing w:line="266" w:lineRule="auto" w:before="180"/>
        <w:ind w:left="375" w:right="733"/>
      </w:pPr>
      <w:r>
        <w:rPr>
          <w:color w:val="231F20"/>
        </w:rPr>
        <w:t>The source of a report does not affect the legal status of  the information—if  it is required</w:t>
      </w:r>
    </w:p>
    <w:p>
      <w:pPr>
        <w:pStyle w:val="BodyText"/>
        <w:spacing w:line="266" w:lineRule="auto"/>
        <w:ind w:left="375" w:right="715"/>
      </w:pPr>
      <w:r>
        <w:rPr>
          <w:color w:val="231F20"/>
          <w:w w:val="105"/>
        </w:rPr>
        <w:t>it is protected </w:t>
      </w:r>
      <w:r>
        <w:rPr>
          <w:color w:val="231F20"/>
          <w:spacing w:val="-3"/>
          <w:w w:val="105"/>
        </w:rPr>
        <w:t>by </w:t>
      </w:r>
      <w:r>
        <w:rPr>
          <w:color w:val="231F20"/>
          <w:w w:val="105"/>
        </w:rPr>
        <w:t>statutes and regulations. </w:t>
      </w:r>
      <w:r>
        <w:rPr>
          <w:color w:val="231F20"/>
          <w:spacing w:val="-4"/>
          <w:w w:val="105"/>
        </w:rPr>
        <w:t>Conversely, </w:t>
      </w:r>
      <w:r>
        <w:rPr>
          <w:color w:val="231F20"/>
          <w:w w:val="105"/>
        </w:rPr>
        <w:t>reports to the agency of illness not listed as a reportable condition might not be subject to disease surveillance regulations and confidentiality protections (see section 9.1.5. below).</w:t>
      </w:r>
    </w:p>
    <w:p>
      <w:pPr>
        <w:spacing w:after="0" w:line="266" w:lineRule="auto"/>
        <w:sectPr>
          <w:type w:val="continuous"/>
          <w:pgSz w:w="10080" w:h="14400"/>
          <w:pgMar w:top="0" w:bottom="0" w:left="0" w:right="0"/>
          <w:cols w:num="2" w:equalWidth="0">
            <w:col w:w="5165" w:space="40"/>
            <w:col w:w="4875"/>
          </w:cols>
        </w:sectPr>
      </w:pPr>
    </w:p>
    <w:p>
      <w:pPr>
        <w:pStyle w:val="BodyText"/>
        <w:spacing w:before="8"/>
        <w:rPr>
          <w:sz w:val="26"/>
        </w:rPr>
      </w:pPr>
    </w:p>
    <w:p>
      <w:pPr>
        <w:pStyle w:val="Heading1"/>
        <w:ind w:left="720" w:firstLine="0"/>
      </w:pPr>
      <w:r>
        <w:rPr/>
        <w:pict>
          <v:line style="position:absolute;mso-position-horizontal-relative:page;mso-position-vertical-relative:paragraph;z-index:1576;mso-wrap-distance-left:0;mso-wrap-distance-right:0" from="36pt,23.991844pt" to="432pt,23.991844pt" stroked="true" strokeweight=".5pt" strokecolor="#00a94f">
            <v:stroke dashstyle="solid"/>
            <w10:wrap type="topAndBottom"/>
          </v:line>
        </w:pict>
      </w:r>
      <w:r>
        <w:rPr>
          <w:color w:val="00A94F"/>
        </w:rPr>
        <w:t>9.1. Legal Framework for Mandatory Disease</w:t>
      </w:r>
      <w:r>
        <w:rPr>
          <w:color w:val="00A94F"/>
          <w:spacing w:val="72"/>
        </w:rPr>
        <w:t> </w:t>
      </w:r>
      <w:r>
        <w:rPr>
          <w:color w:val="00A94F"/>
        </w:rPr>
        <w:t>Reporting</w:t>
      </w:r>
    </w:p>
    <w:p>
      <w:pPr>
        <w:pStyle w:val="BodyText"/>
        <w:rPr>
          <w:rFonts w:ascii="Arial"/>
          <w:sz w:val="18"/>
        </w:rPr>
      </w:pPr>
    </w:p>
    <w:p>
      <w:pPr>
        <w:spacing w:after="0"/>
        <w:rPr>
          <w:rFonts w:ascii="Arial"/>
          <w:sz w:val="18"/>
        </w:rPr>
        <w:sectPr>
          <w:pgSz w:w="10080" w:h="14400"/>
          <w:pgMar w:header="0" w:footer="0" w:top="980" w:bottom="0" w:left="0" w:right="0"/>
        </w:sectPr>
      </w:pPr>
    </w:p>
    <w:p>
      <w:pPr>
        <w:pStyle w:val="ListParagraph"/>
        <w:numPr>
          <w:ilvl w:val="3"/>
          <w:numId w:val="7"/>
        </w:numPr>
        <w:tabs>
          <w:tab w:pos="1362" w:val="left" w:leader="none"/>
        </w:tabs>
        <w:spacing w:line="240" w:lineRule="auto" w:before="108" w:after="0"/>
        <w:ind w:left="720" w:right="0" w:firstLine="0"/>
        <w:jc w:val="left"/>
        <w:rPr>
          <w:i/>
          <w:sz w:val="20"/>
        </w:rPr>
      </w:pPr>
      <w:r>
        <w:rPr>
          <w:i/>
          <w:color w:val="E36F1E"/>
          <w:sz w:val="20"/>
        </w:rPr>
        <w:t>Reporting</w:t>
      </w:r>
      <w:r>
        <w:rPr>
          <w:i/>
          <w:color w:val="E36F1E"/>
          <w:spacing w:val="16"/>
          <w:sz w:val="20"/>
        </w:rPr>
        <w:t> </w:t>
      </w:r>
      <w:r>
        <w:rPr>
          <w:i/>
          <w:color w:val="E36F1E"/>
          <w:sz w:val="20"/>
        </w:rPr>
        <w:t>methods</w:t>
      </w:r>
    </w:p>
    <w:p>
      <w:pPr>
        <w:pStyle w:val="BodyText"/>
        <w:spacing w:line="266" w:lineRule="auto" w:before="25"/>
        <w:ind w:left="720" w:right="-18"/>
      </w:pPr>
      <w:r>
        <w:rPr>
          <w:color w:val="231F20"/>
          <w:w w:val="105"/>
        </w:rPr>
        <w:t>A state or municipality can use any of a</w:t>
      </w:r>
      <w:r>
        <w:rPr>
          <w:color w:val="231F20"/>
          <w:spacing w:val="-11"/>
          <w:w w:val="105"/>
        </w:rPr>
        <w:t> </w:t>
      </w:r>
      <w:r>
        <w:rPr>
          <w:color w:val="231F20"/>
          <w:w w:val="105"/>
        </w:rPr>
        <w:t>variety of methods for reporting. Specifics vary from one</w:t>
      </w:r>
      <w:r>
        <w:rPr>
          <w:color w:val="231F20"/>
          <w:spacing w:val="-8"/>
          <w:w w:val="105"/>
        </w:rPr>
        <w:t> </w:t>
      </w:r>
      <w:r>
        <w:rPr>
          <w:color w:val="231F20"/>
          <w:w w:val="105"/>
        </w:rPr>
        <w:t>locale</w:t>
      </w:r>
      <w:r>
        <w:rPr>
          <w:color w:val="231F20"/>
          <w:spacing w:val="-8"/>
          <w:w w:val="105"/>
        </w:rPr>
        <w:t> </w:t>
      </w:r>
      <w:r>
        <w:rPr>
          <w:color w:val="231F20"/>
          <w:w w:val="105"/>
        </w:rPr>
        <w:t>to</w:t>
      </w:r>
      <w:r>
        <w:rPr>
          <w:color w:val="231F20"/>
          <w:spacing w:val="-8"/>
          <w:w w:val="105"/>
        </w:rPr>
        <w:t> </w:t>
      </w:r>
      <w:r>
        <w:rPr>
          <w:color w:val="231F20"/>
          <w:spacing w:val="-3"/>
          <w:w w:val="105"/>
        </w:rPr>
        <w:t>another.</w:t>
      </w:r>
      <w:r>
        <w:rPr>
          <w:color w:val="231F20"/>
          <w:spacing w:val="-8"/>
          <w:w w:val="105"/>
        </w:rPr>
        <w:t> </w:t>
      </w:r>
      <w:r>
        <w:rPr>
          <w:color w:val="231F20"/>
          <w:w w:val="105"/>
        </w:rPr>
        <w:t>These</w:t>
      </w:r>
      <w:r>
        <w:rPr>
          <w:color w:val="231F20"/>
          <w:spacing w:val="-8"/>
          <w:w w:val="105"/>
        </w:rPr>
        <w:t> </w:t>
      </w:r>
      <w:r>
        <w:rPr>
          <w:color w:val="231F20"/>
          <w:w w:val="105"/>
        </w:rPr>
        <w:t>methods</w:t>
      </w:r>
      <w:r>
        <w:rPr>
          <w:color w:val="231F20"/>
          <w:spacing w:val="-8"/>
          <w:w w:val="105"/>
        </w:rPr>
        <w:t> </w:t>
      </w:r>
      <w:r>
        <w:rPr>
          <w:color w:val="231F20"/>
          <w:w w:val="105"/>
        </w:rPr>
        <w:t>include:</w:t>
      </w:r>
    </w:p>
    <w:p>
      <w:pPr>
        <w:pStyle w:val="ListParagraph"/>
        <w:numPr>
          <w:ilvl w:val="0"/>
          <w:numId w:val="8"/>
        </w:numPr>
        <w:tabs>
          <w:tab w:pos="891" w:val="left" w:leader="none"/>
        </w:tabs>
        <w:spacing w:line="240" w:lineRule="auto" w:before="180" w:after="0"/>
        <w:ind w:left="890" w:right="0" w:hanging="170"/>
        <w:jc w:val="left"/>
        <w:rPr>
          <w:sz w:val="20"/>
        </w:rPr>
      </w:pPr>
      <w:r>
        <w:rPr>
          <w:color w:val="231F20"/>
          <w:w w:val="105"/>
          <w:sz w:val="20"/>
        </w:rPr>
        <w:t>Telephone;</w:t>
      </w:r>
    </w:p>
    <w:p>
      <w:pPr>
        <w:pStyle w:val="ListParagraph"/>
        <w:numPr>
          <w:ilvl w:val="0"/>
          <w:numId w:val="8"/>
        </w:numPr>
        <w:tabs>
          <w:tab w:pos="891" w:val="left" w:leader="none"/>
        </w:tabs>
        <w:spacing w:line="240" w:lineRule="auto" w:before="115" w:after="0"/>
        <w:ind w:left="890" w:right="0" w:hanging="170"/>
        <w:jc w:val="left"/>
        <w:rPr>
          <w:sz w:val="20"/>
        </w:rPr>
      </w:pPr>
      <w:r>
        <w:rPr>
          <w:color w:val="231F20"/>
          <w:w w:val="105"/>
          <w:sz w:val="20"/>
        </w:rPr>
        <w:t>Hardcopy (fax or</w:t>
      </w:r>
      <w:r>
        <w:rPr>
          <w:color w:val="231F20"/>
          <w:spacing w:val="-36"/>
          <w:w w:val="105"/>
          <w:sz w:val="20"/>
        </w:rPr>
        <w:t> </w:t>
      </w:r>
      <w:r>
        <w:rPr>
          <w:color w:val="231F20"/>
          <w:w w:val="105"/>
          <w:sz w:val="20"/>
        </w:rPr>
        <w:t>mail);</w:t>
      </w:r>
    </w:p>
    <w:p>
      <w:pPr>
        <w:pStyle w:val="ListParagraph"/>
        <w:numPr>
          <w:ilvl w:val="0"/>
          <w:numId w:val="8"/>
        </w:numPr>
        <w:tabs>
          <w:tab w:pos="891" w:val="left" w:leader="none"/>
        </w:tabs>
        <w:spacing w:line="240" w:lineRule="auto" w:before="115" w:after="0"/>
        <w:ind w:left="890" w:right="0" w:hanging="170"/>
        <w:jc w:val="left"/>
        <w:rPr>
          <w:sz w:val="20"/>
        </w:rPr>
      </w:pPr>
      <w:r>
        <w:rPr>
          <w:color w:val="231F20"/>
          <w:w w:val="105"/>
          <w:sz w:val="20"/>
        </w:rPr>
        <w:t>Electronic</w:t>
      </w:r>
      <w:r>
        <w:rPr>
          <w:color w:val="231F20"/>
          <w:spacing w:val="-14"/>
          <w:w w:val="105"/>
          <w:sz w:val="20"/>
        </w:rPr>
        <w:t> </w:t>
      </w:r>
      <w:r>
        <w:rPr>
          <w:color w:val="231F20"/>
          <w:w w:val="105"/>
          <w:sz w:val="20"/>
        </w:rPr>
        <w:t>batch</w:t>
      </w:r>
      <w:r>
        <w:rPr>
          <w:color w:val="231F20"/>
          <w:spacing w:val="-14"/>
          <w:w w:val="105"/>
          <w:sz w:val="20"/>
        </w:rPr>
        <w:t> </w:t>
      </w:r>
      <w:r>
        <w:rPr>
          <w:color w:val="231F20"/>
          <w:w w:val="105"/>
          <w:sz w:val="20"/>
        </w:rPr>
        <w:t>reports</w:t>
      </w:r>
      <w:r>
        <w:rPr>
          <w:color w:val="231F20"/>
          <w:spacing w:val="-14"/>
          <w:w w:val="105"/>
          <w:sz w:val="20"/>
        </w:rPr>
        <w:t> </w:t>
      </w:r>
      <w:r>
        <w:rPr>
          <w:color w:val="231F20"/>
          <w:w w:val="105"/>
          <w:sz w:val="20"/>
        </w:rPr>
        <w:t>sent</w:t>
      </w:r>
      <w:r>
        <w:rPr>
          <w:color w:val="231F20"/>
          <w:spacing w:val="-14"/>
          <w:w w:val="105"/>
          <w:sz w:val="20"/>
        </w:rPr>
        <w:t> </w:t>
      </w:r>
      <w:r>
        <w:rPr>
          <w:color w:val="231F20"/>
          <w:spacing w:val="-3"/>
          <w:w w:val="105"/>
          <w:sz w:val="20"/>
        </w:rPr>
        <w:t>by</w:t>
      </w:r>
      <w:r>
        <w:rPr>
          <w:color w:val="231F20"/>
          <w:spacing w:val="-14"/>
          <w:w w:val="105"/>
          <w:sz w:val="20"/>
        </w:rPr>
        <w:t> </w:t>
      </w:r>
      <w:r>
        <w:rPr>
          <w:color w:val="231F20"/>
          <w:w w:val="105"/>
          <w:sz w:val="20"/>
        </w:rPr>
        <w:t>e-mail;</w:t>
      </w:r>
    </w:p>
    <w:p>
      <w:pPr>
        <w:pStyle w:val="ListParagraph"/>
        <w:numPr>
          <w:ilvl w:val="0"/>
          <w:numId w:val="8"/>
        </w:numPr>
        <w:tabs>
          <w:tab w:pos="891" w:val="left" w:leader="none"/>
        </w:tabs>
        <w:spacing w:line="266" w:lineRule="auto" w:before="115" w:after="0"/>
        <w:ind w:left="890" w:right="104" w:hanging="170"/>
        <w:jc w:val="left"/>
        <w:rPr>
          <w:sz w:val="20"/>
        </w:rPr>
      </w:pPr>
      <w:r>
        <w:rPr>
          <w:color w:val="231F20"/>
          <w:w w:val="105"/>
          <w:sz w:val="20"/>
        </w:rPr>
        <w:t>Internet-based, highly secure disease reporting</w:t>
      </w:r>
      <w:r>
        <w:rPr>
          <w:color w:val="231F20"/>
          <w:spacing w:val="-11"/>
          <w:w w:val="105"/>
          <w:sz w:val="20"/>
        </w:rPr>
        <w:t> </w:t>
      </w:r>
      <w:r>
        <w:rPr>
          <w:color w:val="231F20"/>
          <w:w w:val="105"/>
          <w:sz w:val="20"/>
        </w:rPr>
        <w:t>to</w:t>
      </w:r>
      <w:r>
        <w:rPr>
          <w:color w:val="231F20"/>
          <w:spacing w:val="-11"/>
          <w:w w:val="105"/>
          <w:sz w:val="20"/>
        </w:rPr>
        <w:t> </w:t>
      </w:r>
      <w:r>
        <w:rPr>
          <w:color w:val="231F20"/>
          <w:w w:val="105"/>
          <w:sz w:val="20"/>
        </w:rPr>
        <w:t>websites</w:t>
      </w:r>
      <w:r>
        <w:rPr>
          <w:color w:val="231F20"/>
          <w:spacing w:val="-11"/>
          <w:w w:val="105"/>
          <w:sz w:val="20"/>
        </w:rPr>
        <w:t> </w:t>
      </w:r>
      <w:r>
        <w:rPr>
          <w:color w:val="231F20"/>
          <w:w w:val="105"/>
          <w:sz w:val="20"/>
        </w:rPr>
        <w:t>maintained</w:t>
      </w:r>
      <w:r>
        <w:rPr>
          <w:color w:val="231F20"/>
          <w:spacing w:val="-11"/>
          <w:w w:val="105"/>
          <w:sz w:val="20"/>
        </w:rPr>
        <w:t> </w:t>
      </w:r>
      <w:r>
        <w:rPr>
          <w:color w:val="231F20"/>
          <w:spacing w:val="-3"/>
          <w:w w:val="105"/>
          <w:sz w:val="20"/>
        </w:rPr>
        <w:t>by</w:t>
      </w:r>
      <w:r>
        <w:rPr>
          <w:color w:val="231F20"/>
          <w:spacing w:val="-11"/>
          <w:w w:val="105"/>
          <w:sz w:val="20"/>
        </w:rPr>
        <w:t> </w:t>
      </w:r>
      <w:r>
        <w:rPr>
          <w:color w:val="231F20"/>
          <w:w w:val="105"/>
          <w:sz w:val="20"/>
        </w:rPr>
        <w:t>state</w:t>
      </w:r>
      <w:r>
        <w:rPr>
          <w:color w:val="231F20"/>
          <w:spacing w:val="-11"/>
          <w:w w:val="105"/>
          <w:sz w:val="20"/>
        </w:rPr>
        <w:t> </w:t>
      </w:r>
      <w:r>
        <w:rPr>
          <w:color w:val="231F20"/>
          <w:w w:val="105"/>
          <w:sz w:val="20"/>
        </w:rPr>
        <w:t>or local public health agencies;</w:t>
      </w:r>
      <w:r>
        <w:rPr>
          <w:color w:val="231F20"/>
          <w:spacing w:val="-7"/>
          <w:w w:val="105"/>
          <w:sz w:val="20"/>
        </w:rPr>
        <w:t> </w:t>
      </w:r>
      <w:r>
        <w:rPr>
          <w:color w:val="231F20"/>
          <w:w w:val="105"/>
          <w:sz w:val="20"/>
        </w:rPr>
        <w:t>and</w:t>
      </w:r>
    </w:p>
    <w:p>
      <w:pPr>
        <w:pStyle w:val="ListParagraph"/>
        <w:numPr>
          <w:ilvl w:val="0"/>
          <w:numId w:val="8"/>
        </w:numPr>
        <w:tabs>
          <w:tab w:pos="891" w:val="left" w:leader="none"/>
        </w:tabs>
        <w:spacing w:line="266" w:lineRule="auto" w:before="90" w:after="0"/>
        <w:ind w:left="890" w:right="318" w:hanging="170"/>
        <w:jc w:val="left"/>
        <w:rPr>
          <w:sz w:val="20"/>
        </w:rPr>
      </w:pPr>
      <w:r>
        <w:rPr>
          <w:color w:val="231F20"/>
          <w:w w:val="105"/>
          <w:sz w:val="20"/>
        </w:rPr>
        <w:t>Automatic</w:t>
      </w:r>
      <w:r>
        <w:rPr>
          <w:color w:val="231F20"/>
          <w:spacing w:val="-29"/>
          <w:w w:val="105"/>
          <w:sz w:val="20"/>
        </w:rPr>
        <w:t> </w:t>
      </w:r>
      <w:r>
        <w:rPr>
          <w:color w:val="231F20"/>
          <w:w w:val="105"/>
          <w:sz w:val="20"/>
        </w:rPr>
        <w:t>electronic</w:t>
      </w:r>
      <w:r>
        <w:rPr>
          <w:color w:val="231F20"/>
          <w:spacing w:val="-29"/>
          <w:w w:val="105"/>
          <w:sz w:val="20"/>
        </w:rPr>
        <w:t> </w:t>
      </w:r>
      <w:r>
        <w:rPr>
          <w:color w:val="231F20"/>
          <w:w w:val="105"/>
          <w:sz w:val="20"/>
        </w:rPr>
        <w:t>submission</w:t>
      </w:r>
      <w:r>
        <w:rPr>
          <w:color w:val="231F20"/>
          <w:spacing w:val="-29"/>
          <w:w w:val="105"/>
          <w:sz w:val="20"/>
        </w:rPr>
        <w:t> </w:t>
      </w:r>
      <w:r>
        <w:rPr>
          <w:color w:val="231F20"/>
          <w:w w:val="105"/>
          <w:sz w:val="20"/>
        </w:rPr>
        <w:t>through health information</w:t>
      </w:r>
      <w:r>
        <w:rPr>
          <w:color w:val="231F20"/>
          <w:spacing w:val="-24"/>
          <w:w w:val="105"/>
          <w:sz w:val="20"/>
        </w:rPr>
        <w:t> </w:t>
      </w:r>
      <w:r>
        <w:rPr>
          <w:color w:val="231F20"/>
          <w:w w:val="105"/>
          <w:sz w:val="20"/>
        </w:rPr>
        <w:t>exchange.</w:t>
      </w:r>
    </w:p>
    <w:p>
      <w:pPr>
        <w:pStyle w:val="ListParagraph"/>
        <w:numPr>
          <w:ilvl w:val="3"/>
          <w:numId w:val="7"/>
        </w:numPr>
        <w:tabs>
          <w:tab w:pos="1362" w:val="left" w:leader="none"/>
        </w:tabs>
        <w:spacing w:line="266" w:lineRule="auto" w:before="180" w:after="0"/>
        <w:ind w:left="720" w:right="6" w:firstLine="0"/>
        <w:jc w:val="left"/>
        <w:rPr>
          <w:sz w:val="20"/>
        </w:rPr>
      </w:pPr>
      <w:r>
        <w:rPr>
          <w:i/>
          <w:color w:val="E36F1E"/>
          <w:sz w:val="20"/>
        </w:rPr>
        <w:t>Required submission of laboratory specimens </w:t>
      </w:r>
      <w:r>
        <w:rPr>
          <w:color w:val="231F20"/>
          <w:sz w:val="20"/>
        </w:rPr>
        <w:t>Some public health agencies </w:t>
      </w:r>
      <w:r>
        <w:rPr>
          <w:color w:val="231F20"/>
          <w:spacing w:val="-3"/>
          <w:sz w:val="20"/>
        </w:rPr>
        <w:t>have </w:t>
      </w:r>
      <w:r>
        <w:rPr>
          <w:color w:val="231F20"/>
          <w:sz w:val="20"/>
        </w:rPr>
        <w:t>adopted regulations that require hospital and clinical laboratories to submit isolates of specific pathogens to a state or local health department laboratory for further testing. One example would be a requirement for submission of all </w:t>
      </w:r>
      <w:r>
        <w:rPr>
          <w:i/>
          <w:color w:val="231F20"/>
          <w:sz w:val="20"/>
        </w:rPr>
        <w:t>Escherichia coli </w:t>
      </w:r>
      <w:r>
        <w:rPr>
          <w:color w:val="231F20"/>
          <w:sz w:val="20"/>
        </w:rPr>
        <w:t>O157:H7 isolates for pulsed-field gel electrophoresis testing. This requirement improves surveillance for foodborne  disease</w:t>
      </w:r>
    </w:p>
    <w:p>
      <w:pPr>
        <w:pStyle w:val="BodyText"/>
        <w:spacing w:line="266" w:lineRule="auto"/>
        <w:ind w:left="720" w:right="118"/>
      </w:pPr>
      <w:r>
        <w:rPr>
          <w:color w:val="231F20"/>
          <w:w w:val="105"/>
        </w:rPr>
        <w:t>as common subtypes are identified. In some locales, voluntary submission of specimens to the central referral laboratory achieves the same goal.</w:t>
      </w:r>
    </w:p>
    <w:p>
      <w:pPr>
        <w:pStyle w:val="ListParagraph"/>
        <w:numPr>
          <w:ilvl w:val="2"/>
          <w:numId w:val="9"/>
        </w:numPr>
        <w:tabs>
          <w:tab w:pos="1276" w:val="left" w:leader="none"/>
        </w:tabs>
        <w:spacing w:line="261" w:lineRule="auto" w:before="164" w:after="0"/>
        <w:ind w:left="720" w:right="127" w:firstLine="0"/>
        <w:jc w:val="left"/>
        <w:rPr>
          <w:rFonts w:ascii="Arial"/>
          <w:sz w:val="20"/>
        </w:rPr>
      </w:pPr>
      <w:r>
        <w:rPr>
          <w:rFonts w:ascii="Arial"/>
          <w:color w:val="1C3E94"/>
          <w:sz w:val="20"/>
        </w:rPr>
        <w:t>Accessing Medical and Laboratory Records</w:t>
      </w:r>
    </w:p>
    <w:p>
      <w:pPr>
        <w:pStyle w:val="BodyText"/>
        <w:spacing w:line="266" w:lineRule="auto" w:before="194"/>
        <w:ind w:left="720" w:right="59"/>
      </w:pPr>
      <w:r>
        <w:rPr>
          <w:color w:val="231F20"/>
          <w:spacing w:val="-5"/>
          <w:w w:val="105"/>
        </w:rPr>
        <w:t>Typically, </w:t>
      </w:r>
      <w:r>
        <w:rPr>
          <w:color w:val="231F20"/>
          <w:w w:val="105"/>
        </w:rPr>
        <w:t>broad authority to conduct surveillance includes authority to investigate and control diseases of public health significance, including review of relevant and pertinent medical and laboratory records and reports</w:t>
      </w:r>
      <w:r>
        <w:rPr>
          <w:color w:val="231F20"/>
          <w:spacing w:val="-14"/>
          <w:w w:val="105"/>
        </w:rPr>
        <w:t> </w:t>
      </w:r>
      <w:r>
        <w:rPr>
          <w:color w:val="231F20"/>
          <w:w w:val="105"/>
        </w:rPr>
        <w:t>(i.e.,</w:t>
      </w:r>
      <w:r>
        <w:rPr>
          <w:color w:val="231F20"/>
          <w:spacing w:val="-14"/>
          <w:w w:val="105"/>
        </w:rPr>
        <w:t> </w:t>
      </w:r>
      <w:r>
        <w:rPr>
          <w:color w:val="231F20"/>
          <w:w w:val="105"/>
        </w:rPr>
        <w:t>information</w:t>
      </w:r>
      <w:r>
        <w:rPr>
          <w:color w:val="231F20"/>
          <w:spacing w:val="-14"/>
          <w:w w:val="105"/>
        </w:rPr>
        <w:t> </w:t>
      </w:r>
      <w:r>
        <w:rPr>
          <w:color w:val="231F20"/>
          <w:w w:val="105"/>
        </w:rPr>
        <w:t>that</w:t>
      </w:r>
      <w:r>
        <w:rPr>
          <w:color w:val="231F20"/>
          <w:spacing w:val="-14"/>
          <w:w w:val="105"/>
        </w:rPr>
        <w:t> </w:t>
      </w:r>
      <w:r>
        <w:rPr>
          <w:color w:val="231F20"/>
          <w:w w:val="105"/>
        </w:rPr>
        <w:t>is</w:t>
      </w:r>
      <w:r>
        <w:rPr>
          <w:color w:val="231F20"/>
          <w:spacing w:val="-14"/>
          <w:w w:val="105"/>
        </w:rPr>
        <w:t> </w:t>
      </w:r>
      <w:r>
        <w:rPr>
          <w:color w:val="231F20"/>
          <w:w w:val="105"/>
        </w:rPr>
        <w:t>not</w:t>
      </w:r>
      <w:r>
        <w:rPr>
          <w:color w:val="231F20"/>
          <w:spacing w:val="-14"/>
          <w:w w:val="105"/>
        </w:rPr>
        <w:t> </w:t>
      </w:r>
      <w:r>
        <w:rPr>
          <w:color w:val="231F20"/>
          <w:w w:val="105"/>
        </w:rPr>
        <w:t>necessarily included</w:t>
      </w:r>
      <w:r>
        <w:rPr>
          <w:color w:val="231F20"/>
          <w:spacing w:val="-9"/>
          <w:w w:val="105"/>
        </w:rPr>
        <w:t> </w:t>
      </w:r>
      <w:r>
        <w:rPr>
          <w:color w:val="231F20"/>
          <w:w w:val="105"/>
        </w:rPr>
        <w:t>in</w:t>
      </w:r>
      <w:r>
        <w:rPr>
          <w:color w:val="231F20"/>
          <w:spacing w:val="-9"/>
          <w:w w:val="105"/>
        </w:rPr>
        <w:t> </w:t>
      </w:r>
      <w:r>
        <w:rPr>
          <w:color w:val="231F20"/>
          <w:w w:val="105"/>
        </w:rPr>
        <w:t>the</w:t>
      </w:r>
      <w:r>
        <w:rPr>
          <w:color w:val="231F20"/>
          <w:spacing w:val="-9"/>
          <w:w w:val="105"/>
        </w:rPr>
        <w:t> </w:t>
      </w:r>
      <w:r>
        <w:rPr>
          <w:color w:val="231F20"/>
          <w:w w:val="105"/>
        </w:rPr>
        <w:t>basic</w:t>
      </w:r>
      <w:r>
        <w:rPr>
          <w:color w:val="231F20"/>
          <w:spacing w:val="-9"/>
          <w:w w:val="105"/>
        </w:rPr>
        <w:t> </w:t>
      </w:r>
      <w:r>
        <w:rPr>
          <w:color w:val="231F20"/>
          <w:w w:val="105"/>
        </w:rPr>
        <w:t>case</w:t>
      </w:r>
      <w:r>
        <w:rPr>
          <w:color w:val="231F20"/>
          <w:spacing w:val="-9"/>
          <w:w w:val="105"/>
        </w:rPr>
        <w:t> </w:t>
      </w:r>
      <w:r>
        <w:rPr>
          <w:color w:val="231F20"/>
          <w:w w:val="105"/>
        </w:rPr>
        <w:t>report).</w:t>
      </w:r>
    </w:p>
    <w:p>
      <w:pPr>
        <w:pStyle w:val="ListParagraph"/>
        <w:numPr>
          <w:ilvl w:val="2"/>
          <w:numId w:val="9"/>
        </w:numPr>
        <w:tabs>
          <w:tab w:pos="1276" w:val="left" w:leader="none"/>
        </w:tabs>
        <w:spacing w:line="240" w:lineRule="auto" w:before="164" w:after="0"/>
        <w:ind w:left="1276" w:right="0" w:hanging="556"/>
        <w:jc w:val="left"/>
        <w:rPr>
          <w:rFonts w:ascii="Arial"/>
          <w:sz w:val="20"/>
        </w:rPr>
      </w:pPr>
      <w:r>
        <w:rPr>
          <w:rFonts w:ascii="Arial"/>
          <w:color w:val="1C3E94"/>
          <w:sz w:val="20"/>
        </w:rPr>
        <w:t>Enforcement</w:t>
      </w:r>
    </w:p>
    <w:p>
      <w:pPr>
        <w:pStyle w:val="BodyText"/>
        <w:spacing w:before="7"/>
        <w:rPr>
          <w:rFonts w:ascii="Arial"/>
          <w:sz w:val="18"/>
        </w:rPr>
      </w:pPr>
    </w:p>
    <w:p>
      <w:pPr>
        <w:pStyle w:val="BodyText"/>
        <w:spacing w:line="266" w:lineRule="auto" w:before="1"/>
        <w:ind w:left="720" w:right="9"/>
      </w:pPr>
      <w:r>
        <w:rPr/>
        <w:pict>
          <v:line style="position:absolute;mso-position-horizontal-relative:page;mso-position-vertical-relative:paragraph;z-index:1600" from="0pt,74.454269pt" to="432pt,74.454269pt" stroked="true" strokeweight="1pt" strokecolor="#00a94f">
            <v:stroke dashstyle="solid"/>
            <w10:wrap type="none"/>
          </v:line>
        </w:pict>
      </w:r>
      <w:r>
        <w:rPr>
          <w:color w:val="231F20"/>
          <w:w w:val="105"/>
        </w:rPr>
        <w:t>Because</w:t>
      </w:r>
      <w:r>
        <w:rPr>
          <w:color w:val="231F20"/>
          <w:spacing w:val="-13"/>
          <w:w w:val="105"/>
        </w:rPr>
        <w:t> </w:t>
      </w:r>
      <w:r>
        <w:rPr>
          <w:color w:val="231F20"/>
          <w:w w:val="105"/>
        </w:rPr>
        <w:t>nonreporting</w:t>
      </w:r>
      <w:r>
        <w:rPr>
          <w:color w:val="231F20"/>
          <w:spacing w:val="-13"/>
          <w:w w:val="105"/>
        </w:rPr>
        <w:t> </w:t>
      </w:r>
      <w:r>
        <w:rPr>
          <w:color w:val="231F20"/>
          <w:spacing w:val="-3"/>
          <w:w w:val="105"/>
        </w:rPr>
        <w:t>by</w:t>
      </w:r>
      <w:r>
        <w:rPr>
          <w:color w:val="231F20"/>
          <w:spacing w:val="-13"/>
          <w:w w:val="105"/>
        </w:rPr>
        <w:t> </w:t>
      </w:r>
      <w:r>
        <w:rPr>
          <w:color w:val="231F20"/>
          <w:w w:val="105"/>
        </w:rPr>
        <w:t>health-care</w:t>
      </w:r>
      <w:r>
        <w:rPr>
          <w:color w:val="231F20"/>
          <w:spacing w:val="-13"/>
          <w:w w:val="105"/>
        </w:rPr>
        <w:t> </w:t>
      </w:r>
      <w:r>
        <w:rPr>
          <w:color w:val="231F20"/>
          <w:w w:val="105"/>
        </w:rPr>
        <w:t>providers is common, redundant reporting systems </w:t>
      </w:r>
      <w:r>
        <w:rPr>
          <w:color w:val="231F20"/>
          <w:spacing w:val="-3"/>
          <w:w w:val="105"/>
        </w:rPr>
        <w:t>have </w:t>
      </w:r>
      <w:r>
        <w:rPr>
          <w:color w:val="231F20"/>
          <w:w w:val="105"/>
        </w:rPr>
        <w:t>been established </w:t>
      </w:r>
      <w:r>
        <w:rPr>
          <w:color w:val="231F20"/>
          <w:spacing w:val="-4"/>
          <w:w w:val="105"/>
        </w:rPr>
        <w:t>(e.g., </w:t>
      </w:r>
      <w:r>
        <w:rPr>
          <w:i/>
          <w:color w:val="231F20"/>
          <w:w w:val="105"/>
        </w:rPr>
        <w:t>Salmonella </w:t>
      </w:r>
      <w:r>
        <w:rPr>
          <w:color w:val="231F20"/>
          <w:w w:val="105"/>
        </w:rPr>
        <w:t>infection is reportable</w:t>
      </w:r>
      <w:r>
        <w:rPr>
          <w:color w:val="231F20"/>
          <w:spacing w:val="-13"/>
          <w:w w:val="105"/>
        </w:rPr>
        <w:t> </w:t>
      </w:r>
      <w:r>
        <w:rPr>
          <w:color w:val="231F20"/>
          <w:spacing w:val="-3"/>
          <w:w w:val="105"/>
        </w:rPr>
        <w:t>by</w:t>
      </w:r>
      <w:r>
        <w:rPr>
          <w:color w:val="231F20"/>
          <w:spacing w:val="-13"/>
          <w:w w:val="105"/>
        </w:rPr>
        <w:t> </w:t>
      </w:r>
      <w:r>
        <w:rPr>
          <w:color w:val="231F20"/>
          <w:w w:val="105"/>
        </w:rPr>
        <w:t>both</w:t>
      </w:r>
      <w:r>
        <w:rPr>
          <w:color w:val="231F20"/>
          <w:spacing w:val="-13"/>
          <w:w w:val="105"/>
        </w:rPr>
        <w:t> </w:t>
      </w:r>
      <w:r>
        <w:rPr>
          <w:color w:val="231F20"/>
          <w:w w:val="105"/>
        </w:rPr>
        <w:t>physicians</w:t>
      </w:r>
      <w:r>
        <w:rPr>
          <w:color w:val="231F20"/>
          <w:spacing w:val="-13"/>
          <w:w w:val="105"/>
        </w:rPr>
        <w:t> </w:t>
      </w:r>
      <w:r>
        <w:rPr>
          <w:color w:val="231F20"/>
          <w:w w:val="105"/>
        </w:rPr>
        <w:t>and</w:t>
      </w:r>
      <w:r>
        <w:rPr>
          <w:color w:val="231F20"/>
          <w:spacing w:val="-13"/>
          <w:w w:val="105"/>
        </w:rPr>
        <w:t> </w:t>
      </w:r>
      <w:r>
        <w:rPr>
          <w:color w:val="231F20"/>
          <w:w w:val="105"/>
        </w:rPr>
        <w:t>laboratories)</w:t>
      </w:r>
    </w:p>
    <w:p>
      <w:pPr>
        <w:pStyle w:val="BodyText"/>
        <w:spacing w:line="266" w:lineRule="auto" w:before="108"/>
        <w:ind w:left="327" w:right="1549"/>
      </w:pPr>
      <w:r>
        <w:rPr/>
        <w:br w:type="column"/>
      </w:r>
      <w:r>
        <w:rPr>
          <w:color w:val="231F20"/>
        </w:rPr>
        <w:t>to ensure a case will be reported. Nonetheless, failure to comply with reporting   regulations</w:t>
      </w:r>
    </w:p>
    <w:p>
      <w:pPr>
        <w:pStyle w:val="BodyText"/>
        <w:spacing w:line="266" w:lineRule="auto"/>
        <w:ind w:left="327" w:right="1549"/>
      </w:pPr>
      <w:r>
        <w:rPr>
          <w:color w:val="231F20"/>
          <w:w w:val="105"/>
        </w:rPr>
        <w:t>is punishable. This is rarely enforced because penalizing a health-care provider might</w:t>
      </w:r>
    </w:p>
    <w:p>
      <w:pPr>
        <w:pStyle w:val="BodyText"/>
        <w:spacing w:line="266" w:lineRule="auto"/>
        <w:ind w:left="327" w:right="1464"/>
      </w:pPr>
      <w:r>
        <w:rPr>
          <w:color w:val="231F20"/>
          <w:w w:val="105"/>
        </w:rPr>
        <w:t>not result in future compliance and might reverberate throughout the clinical sector (i.e., might be counterproductive to the system).</w:t>
      </w:r>
    </w:p>
    <w:p>
      <w:pPr>
        <w:pStyle w:val="BodyText"/>
        <w:spacing w:line="266" w:lineRule="auto" w:before="180"/>
        <w:ind w:left="327" w:right="1795"/>
      </w:pPr>
      <w:r>
        <w:rPr>
          <w:color w:val="231F20"/>
          <w:w w:val="105"/>
        </w:rPr>
        <w:t>Penalties or sanctions, </w:t>
      </w:r>
      <w:r>
        <w:rPr>
          <w:color w:val="231F20"/>
          <w:spacing w:val="-4"/>
          <w:w w:val="105"/>
        </w:rPr>
        <w:t>however, </w:t>
      </w:r>
      <w:r>
        <w:rPr>
          <w:color w:val="231F20"/>
          <w:w w:val="105"/>
        </w:rPr>
        <w:t>might be imposed if lack of a report leads directly to</w:t>
      </w:r>
      <w:r>
        <w:rPr>
          <w:color w:val="231F20"/>
          <w:spacing w:val="-16"/>
          <w:w w:val="105"/>
        </w:rPr>
        <w:t> </w:t>
      </w:r>
      <w:r>
        <w:rPr>
          <w:color w:val="231F20"/>
          <w:w w:val="105"/>
        </w:rPr>
        <w:t>an</w:t>
      </w:r>
      <w:r>
        <w:rPr>
          <w:color w:val="231F20"/>
          <w:spacing w:val="-16"/>
          <w:w w:val="105"/>
        </w:rPr>
        <w:t> </w:t>
      </w:r>
      <w:r>
        <w:rPr>
          <w:color w:val="231F20"/>
          <w:w w:val="105"/>
        </w:rPr>
        <w:t>outbreak</w:t>
      </w:r>
      <w:r>
        <w:rPr>
          <w:color w:val="231F20"/>
          <w:spacing w:val="-16"/>
          <w:w w:val="105"/>
        </w:rPr>
        <w:t> </w:t>
      </w:r>
      <w:r>
        <w:rPr>
          <w:color w:val="231F20"/>
          <w:w w:val="105"/>
        </w:rPr>
        <w:t>(for</w:t>
      </w:r>
      <w:r>
        <w:rPr>
          <w:color w:val="231F20"/>
          <w:spacing w:val="-16"/>
          <w:w w:val="105"/>
        </w:rPr>
        <w:t> </w:t>
      </w:r>
      <w:r>
        <w:rPr>
          <w:color w:val="231F20"/>
          <w:w w:val="105"/>
        </w:rPr>
        <w:t>example,</w:t>
      </w:r>
      <w:r>
        <w:rPr>
          <w:color w:val="231F20"/>
          <w:spacing w:val="-16"/>
          <w:w w:val="105"/>
        </w:rPr>
        <w:t> </w:t>
      </w:r>
      <w:r>
        <w:rPr>
          <w:color w:val="231F20"/>
          <w:w w:val="105"/>
        </w:rPr>
        <w:t>a</w:t>
      </w:r>
      <w:r>
        <w:rPr>
          <w:color w:val="231F20"/>
          <w:spacing w:val="-16"/>
          <w:w w:val="105"/>
        </w:rPr>
        <w:t> </w:t>
      </w:r>
      <w:r>
        <w:rPr>
          <w:color w:val="231F20"/>
          <w:w w:val="105"/>
        </w:rPr>
        <w:t>food</w:t>
      </w:r>
      <w:r>
        <w:rPr>
          <w:color w:val="231F20"/>
          <w:spacing w:val="-16"/>
          <w:w w:val="105"/>
        </w:rPr>
        <w:t> </w:t>
      </w:r>
      <w:r>
        <w:rPr>
          <w:color w:val="231F20"/>
          <w:w w:val="105"/>
        </w:rPr>
        <w:t>worker</w:t>
      </w:r>
    </w:p>
    <w:p>
      <w:pPr>
        <w:pStyle w:val="BodyText"/>
        <w:spacing w:line="266" w:lineRule="auto"/>
        <w:ind w:left="327" w:right="1502"/>
      </w:pPr>
      <w:r>
        <w:rPr>
          <w:color w:val="231F20"/>
          <w:w w:val="105"/>
        </w:rPr>
        <w:t>with hepatitis A is not reported, and immune globulin</w:t>
      </w:r>
      <w:r>
        <w:rPr>
          <w:color w:val="231F20"/>
          <w:spacing w:val="-11"/>
          <w:w w:val="105"/>
        </w:rPr>
        <w:t> </w:t>
      </w:r>
      <w:r>
        <w:rPr>
          <w:color w:val="231F20"/>
          <w:w w:val="105"/>
        </w:rPr>
        <w:t>is</w:t>
      </w:r>
      <w:r>
        <w:rPr>
          <w:color w:val="231F20"/>
          <w:spacing w:val="-11"/>
          <w:w w:val="105"/>
        </w:rPr>
        <w:t> </w:t>
      </w:r>
      <w:r>
        <w:rPr>
          <w:color w:val="231F20"/>
          <w:w w:val="105"/>
        </w:rPr>
        <w:t>thus</w:t>
      </w:r>
      <w:r>
        <w:rPr>
          <w:color w:val="231F20"/>
          <w:spacing w:val="-11"/>
          <w:w w:val="105"/>
        </w:rPr>
        <w:t> </w:t>
      </w:r>
      <w:r>
        <w:rPr>
          <w:color w:val="231F20"/>
          <w:w w:val="105"/>
        </w:rPr>
        <w:t>not</w:t>
      </w:r>
      <w:r>
        <w:rPr>
          <w:color w:val="231F20"/>
          <w:spacing w:val="-11"/>
          <w:w w:val="105"/>
        </w:rPr>
        <w:t> </w:t>
      </w:r>
      <w:r>
        <w:rPr>
          <w:color w:val="231F20"/>
          <w:w w:val="105"/>
        </w:rPr>
        <w:t>administered</w:t>
      </w:r>
      <w:r>
        <w:rPr>
          <w:color w:val="231F20"/>
          <w:spacing w:val="-11"/>
          <w:w w:val="105"/>
        </w:rPr>
        <w:t> </w:t>
      </w:r>
      <w:r>
        <w:rPr>
          <w:color w:val="231F20"/>
          <w:w w:val="105"/>
        </w:rPr>
        <w:t>to</w:t>
      </w:r>
      <w:r>
        <w:rPr>
          <w:color w:val="231F20"/>
          <w:spacing w:val="-11"/>
          <w:w w:val="105"/>
        </w:rPr>
        <w:t> </w:t>
      </w:r>
      <w:r>
        <w:rPr>
          <w:color w:val="231F20"/>
          <w:w w:val="105"/>
        </w:rPr>
        <w:t>restaurant customers).</w:t>
      </w:r>
      <w:r>
        <w:rPr>
          <w:color w:val="231F20"/>
          <w:spacing w:val="-21"/>
          <w:w w:val="105"/>
        </w:rPr>
        <w:t> </w:t>
      </w:r>
      <w:r>
        <w:rPr>
          <w:color w:val="231F20"/>
          <w:w w:val="105"/>
        </w:rPr>
        <w:t>In</w:t>
      </w:r>
      <w:r>
        <w:rPr>
          <w:color w:val="231F20"/>
          <w:spacing w:val="-21"/>
          <w:w w:val="105"/>
        </w:rPr>
        <w:t> </w:t>
      </w:r>
      <w:r>
        <w:rPr>
          <w:color w:val="231F20"/>
          <w:w w:val="105"/>
        </w:rPr>
        <w:t>most</w:t>
      </w:r>
      <w:r>
        <w:rPr>
          <w:color w:val="231F20"/>
          <w:spacing w:val="-21"/>
          <w:w w:val="105"/>
        </w:rPr>
        <w:t> </w:t>
      </w:r>
      <w:r>
        <w:rPr>
          <w:color w:val="231F20"/>
          <w:w w:val="105"/>
        </w:rPr>
        <w:t>cases</w:t>
      </w:r>
      <w:r>
        <w:rPr>
          <w:color w:val="231F20"/>
          <w:spacing w:val="-21"/>
          <w:w w:val="105"/>
        </w:rPr>
        <w:t> </w:t>
      </w:r>
      <w:r>
        <w:rPr>
          <w:color w:val="231F20"/>
          <w:w w:val="105"/>
        </w:rPr>
        <w:t>of</w:t>
      </w:r>
      <w:r>
        <w:rPr>
          <w:color w:val="231F20"/>
          <w:spacing w:val="-3"/>
          <w:w w:val="105"/>
        </w:rPr>
        <w:t> </w:t>
      </w:r>
      <w:r>
        <w:rPr>
          <w:color w:val="231F20"/>
          <w:w w:val="105"/>
        </w:rPr>
        <w:t>nonreporting,</w:t>
      </w:r>
      <w:r>
        <w:rPr>
          <w:color w:val="231F20"/>
          <w:spacing w:val="-21"/>
          <w:w w:val="105"/>
        </w:rPr>
        <w:t> </w:t>
      </w:r>
      <w:r>
        <w:rPr>
          <w:color w:val="231F20"/>
          <w:w w:val="105"/>
        </w:rPr>
        <w:t>the public health agency explains the regulatory requirement and its rationale and asks for future compliance, rather than seeking penalties or</w:t>
      </w:r>
      <w:r>
        <w:rPr>
          <w:color w:val="231F20"/>
          <w:spacing w:val="-39"/>
          <w:w w:val="105"/>
        </w:rPr>
        <w:t> </w:t>
      </w:r>
      <w:r>
        <w:rPr>
          <w:color w:val="231F20"/>
          <w:w w:val="105"/>
        </w:rPr>
        <w:t>sanctions.</w:t>
      </w:r>
    </w:p>
    <w:p>
      <w:pPr>
        <w:pStyle w:val="BodyText"/>
        <w:spacing w:line="266" w:lineRule="auto" w:before="180"/>
        <w:ind w:left="327" w:right="1458"/>
      </w:pPr>
      <w:r>
        <w:rPr>
          <w:color w:val="231F20"/>
        </w:rPr>
        <w:t>Reporting is difficult to enforce with a laboratory or health-care provider outside the agency’s jurisdiction, such as when state X seeks reports from a referral laboratory in state </w:t>
      </w:r>
      <w:r>
        <w:rPr>
          <w:color w:val="231F20"/>
          <w:spacing w:val="-17"/>
        </w:rPr>
        <w:t>Y. </w:t>
      </w:r>
      <w:r>
        <w:rPr>
          <w:color w:val="231F20"/>
        </w:rPr>
        <w:t>In this situation, lack of reporting usually results from misunderstanding of  how to</w:t>
      </w:r>
      <w:r>
        <w:rPr>
          <w:color w:val="231F20"/>
          <w:spacing w:val="-28"/>
        </w:rPr>
        <w:t> </w:t>
      </w:r>
      <w:r>
        <w:rPr>
          <w:color w:val="231F20"/>
        </w:rPr>
        <w:t>report.</w:t>
      </w:r>
    </w:p>
    <w:p>
      <w:pPr>
        <w:pStyle w:val="BodyText"/>
        <w:spacing w:line="266" w:lineRule="auto" w:before="180"/>
        <w:ind w:left="327" w:right="1389"/>
      </w:pPr>
      <w:r>
        <w:rPr>
          <w:color w:val="231F20"/>
          <w:w w:val="105"/>
        </w:rPr>
        <w:t>Occasionally a laboratory will state it complies with requirements of the public health agency in which it is physically located—which might or might not require reporting of the particular disease, infection, or laboratory result.</w:t>
      </w:r>
    </w:p>
    <w:p>
      <w:pPr>
        <w:pStyle w:val="ListParagraph"/>
        <w:numPr>
          <w:ilvl w:val="2"/>
          <w:numId w:val="9"/>
        </w:numPr>
        <w:tabs>
          <w:tab w:pos="884" w:val="left" w:leader="none"/>
        </w:tabs>
        <w:spacing w:line="240" w:lineRule="auto" w:before="165" w:after="0"/>
        <w:ind w:left="883" w:right="0" w:hanging="556"/>
        <w:jc w:val="left"/>
        <w:rPr>
          <w:rFonts w:ascii="Arial"/>
          <w:sz w:val="20"/>
        </w:rPr>
      </w:pPr>
      <w:r>
        <w:rPr>
          <w:rFonts w:ascii="Arial"/>
          <w:color w:val="1C3E94"/>
          <w:w w:val="105"/>
          <w:sz w:val="20"/>
        </w:rPr>
        <w:t>Protection of</w:t>
      </w:r>
      <w:r>
        <w:rPr>
          <w:rFonts w:ascii="Arial"/>
          <w:color w:val="1C3E94"/>
          <w:spacing w:val="-26"/>
          <w:w w:val="105"/>
          <w:sz w:val="20"/>
        </w:rPr>
        <w:t> </w:t>
      </w:r>
      <w:r>
        <w:rPr>
          <w:rFonts w:ascii="Arial"/>
          <w:color w:val="1C3E94"/>
          <w:w w:val="105"/>
          <w:sz w:val="20"/>
        </w:rPr>
        <w:t>Confidentiality</w:t>
      </w:r>
    </w:p>
    <w:p>
      <w:pPr>
        <w:pStyle w:val="BodyText"/>
        <w:spacing w:before="8"/>
        <w:rPr>
          <w:rFonts w:ascii="Arial"/>
          <w:sz w:val="18"/>
        </w:rPr>
      </w:pPr>
    </w:p>
    <w:p>
      <w:pPr>
        <w:pStyle w:val="BodyText"/>
        <w:spacing w:line="266" w:lineRule="auto"/>
        <w:ind w:left="327" w:right="1449"/>
      </w:pPr>
      <w:r>
        <w:rPr/>
        <w:pict>
          <v:rect style="position:absolute;margin-left:459pt;margin-top:6.397368pt;width:45pt;height:18pt;mso-position-horizontal-relative:page;mso-position-vertical-relative:paragraph;z-index:1624" filled="true" fillcolor="#0079c1" stroked="false">
            <v:fill type="solid"/>
            <w10:wrap type="none"/>
          </v:rect>
        </w:pict>
      </w:r>
      <w:r>
        <w:rPr/>
        <w:pict>
          <v:line style="position:absolute;mso-position-horizontal-relative:page;mso-position-vertical-relative:paragraph;z-index:1648" from="450.5pt,6.397768pt" to="450.5pt,188.399768pt" stroked="true" strokeweight="1pt" strokecolor="#0079c1">
            <v:stroke dashstyle="solid"/>
            <w10:wrap type="none"/>
          </v:line>
        </w:pict>
      </w:r>
      <w:r>
        <w:rPr/>
        <w:pict>
          <v:shape style="position:absolute;margin-left:460.346802pt;margin-top:28.394567pt;width:32.25pt;height:157.5pt;mso-position-horizontal-relative:page;mso-position-vertical-relative:paragraph;z-index:1672" type="#_x0000_t202" filled="false" stroked="false">
            <v:textbox inset="0,0,0,0" style="layout-flow:vertical">
              <w:txbxContent>
                <w:p>
                  <w:pPr>
                    <w:spacing w:line="200" w:lineRule="exact" w:before="12"/>
                    <w:ind w:left="20" w:right="-741" w:firstLine="0"/>
                    <w:jc w:val="left"/>
                    <w:rPr>
                      <w:rFonts w:ascii="Lucida Sans"/>
                      <w:sz w:val="17"/>
                    </w:rPr>
                  </w:pPr>
                  <w:r>
                    <w:rPr>
                      <w:rFonts w:ascii="Lucida Sans"/>
                      <w:color w:val="0079C1"/>
                      <w:spacing w:val="8"/>
                      <w:w w:val="103"/>
                      <w:sz w:val="17"/>
                    </w:rPr>
                    <w:t>LEGA</w:t>
                  </w:r>
                  <w:r>
                    <w:rPr>
                      <w:rFonts w:ascii="Lucida Sans"/>
                      <w:color w:val="0079C1"/>
                      <w:w w:val="103"/>
                      <w:sz w:val="17"/>
                    </w:rPr>
                    <w:t>L</w:t>
                  </w:r>
                  <w:r>
                    <w:rPr>
                      <w:rFonts w:ascii="Lucida Sans"/>
                      <w:color w:val="0079C1"/>
                      <w:spacing w:val="10"/>
                      <w:sz w:val="17"/>
                    </w:rPr>
                    <w:t> </w:t>
                  </w:r>
                  <w:r>
                    <w:rPr>
                      <w:rFonts w:ascii="Lucida Sans"/>
                      <w:color w:val="0079C1"/>
                      <w:spacing w:val="8"/>
                      <w:w w:val="105"/>
                      <w:sz w:val="17"/>
                    </w:rPr>
                    <w:t>PRE</w:t>
                  </w:r>
                  <w:r>
                    <w:rPr>
                      <w:rFonts w:ascii="Lucida Sans"/>
                      <w:color w:val="0079C1"/>
                      <w:spacing w:val="-5"/>
                      <w:w w:val="105"/>
                      <w:sz w:val="17"/>
                    </w:rPr>
                    <w:t>P</w:t>
                  </w:r>
                  <w:r>
                    <w:rPr>
                      <w:rFonts w:ascii="Lucida Sans"/>
                      <w:color w:val="0079C1"/>
                      <w:spacing w:val="8"/>
                      <w:w w:val="104"/>
                      <w:sz w:val="17"/>
                    </w:rPr>
                    <w:t>AREDNES</w:t>
                  </w:r>
                  <w:r>
                    <w:rPr>
                      <w:rFonts w:ascii="Lucida Sans"/>
                      <w:color w:val="0079C1"/>
                      <w:w w:val="104"/>
                      <w:sz w:val="17"/>
                    </w:rPr>
                    <w:t>S</w:t>
                  </w:r>
                  <w:r>
                    <w:rPr>
                      <w:rFonts w:ascii="Lucida Sans"/>
                      <w:color w:val="0079C1"/>
                      <w:spacing w:val="10"/>
                      <w:sz w:val="17"/>
                    </w:rPr>
                    <w:t> </w:t>
                  </w:r>
                  <w:r>
                    <w:rPr>
                      <w:rFonts w:ascii="Lucida Sans"/>
                      <w:color w:val="0079C1"/>
                      <w:spacing w:val="8"/>
                      <w:w w:val="103"/>
                      <w:sz w:val="17"/>
                    </w:rPr>
                    <w:t>FO</w:t>
                  </w:r>
                  <w:r>
                    <w:rPr>
                      <w:rFonts w:ascii="Lucida Sans"/>
                      <w:color w:val="0079C1"/>
                      <w:w w:val="103"/>
                      <w:sz w:val="17"/>
                    </w:rPr>
                    <w:t>R</w:t>
                  </w:r>
                  <w:r>
                    <w:rPr>
                      <w:rFonts w:ascii="Lucida Sans"/>
                      <w:color w:val="0079C1"/>
                      <w:spacing w:val="10"/>
                      <w:sz w:val="17"/>
                    </w:rPr>
                    <w:t> </w:t>
                  </w:r>
                  <w:r>
                    <w:rPr>
                      <w:rFonts w:ascii="Lucida Sans"/>
                      <w:color w:val="0079C1"/>
                      <w:spacing w:val="8"/>
                      <w:w w:val="100"/>
                      <w:sz w:val="17"/>
                    </w:rPr>
                    <w:t>THE</w:t>
                  </w:r>
                </w:p>
                <w:p>
                  <w:pPr>
                    <w:spacing w:before="0"/>
                    <w:ind w:left="20" w:right="-695" w:firstLine="0"/>
                    <w:jc w:val="left"/>
                    <w:rPr>
                      <w:rFonts w:ascii="Lucida Sans"/>
                      <w:sz w:val="17"/>
                    </w:rPr>
                  </w:pPr>
                  <w:r>
                    <w:rPr>
                      <w:rFonts w:ascii="Lucida Sans"/>
                      <w:color w:val="0079C1"/>
                      <w:spacing w:val="8"/>
                      <w:w w:val="102"/>
                      <w:sz w:val="17"/>
                    </w:rPr>
                    <w:t>SURVEILLANC</w:t>
                  </w:r>
                  <w:r>
                    <w:rPr>
                      <w:rFonts w:ascii="Lucida Sans"/>
                      <w:color w:val="0079C1"/>
                      <w:w w:val="102"/>
                      <w:sz w:val="17"/>
                    </w:rPr>
                    <w:t>E</w:t>
                  </w:r>
                  <w:r>
                    <w:rPr>
                      <w:rFonts w:ascii="Lucida Sans"/>
                      <w:color w:val="0079C1"/>
                      <w:spacing w:val="10"/>
                      <w:sz w:val="17"/>
                    </w:rPr>
                    <w:t> </w:t>
                  </w:r>
                  <w:r>
                    <w:rPr>
                      <w:rFonts w:ascii="Lucida Sans"/>
                      <w:color w:val="0079C1"/>
                      <w:spacing w:val="8"/>
                      <w:w w:val="102"/>
                      <w:sz w:val="17"/>
                    </w:rPr>
                    <w:t>AN</w:t>
                  </w:r>
                  <w:r>
                    <w:rPr>
                      <w:rFonts w:ascii="Lucida Sans"/>
                      <w:color w:val="0079C1"/>
                      <w:w w:val="102"/>
                      <w:sz w:val="17"/>
                    </w:rPr>
                    <w:t>D</w:t>
                  </w:r>
                  <w:r>
                    <w:rPr>
                      <w:rFonts w:ascii="Lucida Sans"/>
                      <w:color w:val="0079C1"/>
                      <w:spacing w:val="10"/>
                      <w:sz w:val="17"/>
                    </w:rPr>
                    <w:t> </w:t>
                  </w:r>
                  <w:r>
                    <w:rPr>
                      <w:rFonts w:ascii="Lucida Sans"/>
                      <w:color w:val="0079C1"/>
                      <w:spacing w:val="8"/>
                      <w:w w:val="101"/>
                      <w:sz w:val="17"/>
                    </w:rPr>
                    <w:t>CONTRO</w:t>
                  </w:r>
                  <w:r>
                    <w:rPr>
                      <w:rFonts w:ascii="Lucida Sans"/>
                      <w:color w:val="0079C1"/>
                      <w:w w:val="101"/>
                      <w:sz w:val="17"/>
                    </w:rPr>
                    <w:t>L</w:t>
                  </w:r>
                  <w:r>
                    <w:rPr>
                      <w:rFonts w:ascii="Lucida Sans"/>
                      <w:color w:val="0079C1"/>
                      <w:spacing w:val="10"/>
                      <w:sz w:val="17"/>
                    </w:rPr>
                    <w:t> </w:t>
                  </w:r>
                  <w:r>
                    <w:rPr>
                      <w:rFonts w:ascii="Lucida Sans"/>
                      <w:color w:val="0079C1"/>
                      <w:spacing w:val="8"/>
                      <w:w w:val="107"/>
                      <w:sz w:val="17"/>
                    </w:rPr>
                    <w:t>OF </w:t>
                  </w:r>
                  <w:r>
                    <w:rPr>
                      <w:rFonts w:ascii="Lucida Sans"/>
                      <w:color w:val="0079C1"/>
                      <w:spacing w:val="8"/>
                      <w:w w:val="105"/>
                      <w:sz w:val="17"/>
                    </w:rPr>
                    <w:t>FOODBORN</w:t>
                  </w:r>
                  <w:r>
                    <w:rPr>
                      <w:rFonts w:ascii="Lucida Sans"/>
                      <w:color w:val="0079C1"/>
                      <w:w w:val="105"/>
                      <w:sz w:val="17"/>
                    </w:rPr>
                    <w:t>E</w:t>
                  </w:r>
                  <w:r>
                    <w:rPr>
                      <w:rFonts w:ascii="Lucida Sans"/>
                      <w:color w:val="0079C1"/>
                      <w:spacing w:val="10"/>
                      <w:sz w:val="17"/>
                    </w:rPr>
                    <w:t> </w:t>
                  </w:r>
                  <w:r>
                    <w:rPr>
                      <w:rFonts w:ascii="Lucida Sans"/>
                      <w:color w:val="0079C1"/>
                      <w:spacing w:val="8"/>
                      <w:w w:val="104"/>
                      <w:sz w:val="17"/>
                    </w:rPr>
                    <w:t>DISEAS</w:t>
                  </w:r>
                  <w:r>
                    <w:rPr>
                      <w:rFonts w:ascii="Lucida Sans"/>
                      <w:color w:val="0079C1"/>
                      <w:w w:val="104"/>
                      <w:sz w:val="17"/>
                    </w:rPr>
                    <w:t>E</w:t>
                  </w:r>
                  <w:r>
                    <w:rPr>
                      <w:rFonts w:ascii="Lucida Sans"/>
                      <w:color w:val="0079C1"/>
                      <w:spacing w:val="10"/>
                      <w:sz w:val="17"/>
                    </w:rPr>
                    <w:t> </w:t>
                  </w:r>
                  <w:r>
                    <w:rPr>
                      <w:rFonts w:ascii="Lucida Sans"/>
                      <w:color w:val="0079C1"/>
                      <w:spacing w:val="8"/>
                      <w:w w:val="102"/>
                      <w:sz w:val="17"/>
                    </w:rPr>
                    <w:t>OUTBREAKS</w:t>
                  </w:r>
                </w:p>
              </w:txbxContent>
            </v:textbox>
            <w10:wrap type="none"/>
          </v:shape>
        </w:pict>
      </w:r>
      <w:r>
        <w:rPr/>
        <w:pict>
          <v:shape style="position:absolute;margin-left:468.849609pt;margin-top:11.148768pt;width:15.85pt;height:8.5pt;mso-position-horizontal-relative:page;mso-position-vertical-relative:paragraph;z-index:1696"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9</w:t>
                  </w:r>
                </w:p>
              </w:txbxContent>
            </v:textbox>
            <w10:wrap type="none"/>
          </v:shape>
        </w:pict>
      </w:r>
      <w:r>
        <w:rPr>
          <w:color w:val="231F20"/>
          <w:w w:val="105"/>
        </w:rPr>
        <w:t>Personally identifying information in disease reports</w:t>
      </w:r>
      <w:r>
        <w:rPr>
          <w:color w:val="231F20"/>
          <w:spacing w:val="-20"/>
          <w:w w:val="105"/>
        </w:rPr>
        <w:t> </w:t>
      </w:r>
      <w:r>
        <w:rPr>
          <w:color w:val="231F20"/>
          <w:w w:val="105"/>
        </w:rPr>
        <w:t>and</w:t>
      </w:r>
      <w:r>
        <w:rPr>
          <w:color w:val="231F20"/>
          <w:spacing w:val="-20"/>
          <w:w w:val="105"/>
        </w:rPr>
        <w:t> </w:t>
      </w:r>
      <w:r>
        <w:rPr>
          <w:color w:val="231F20"/>
          <w:w w:val="105"/>
        </w:rPr>
        <w:t>investigation</w:t>
      </w:r>
      <w:r>
        <w:rPr>
          <w:color w:val="231F20"/>
          <w:spacing w:val="-20"/>
          <w:w w:val="105"/>
        </w:rPr>
        <w:t> </w:t>
      </w:r>
      <w:r>
        <w:rPr>
          <w:color w:val="231F20"/>
          <w:w w:val="105"/>
        </w:rPr>
        <w:t>records</w:t>
      </w:r>
      <w:r>
        <w:rPr>
          <w:color w:val="231F20"/>
          <w:spacing w:val="-20"/>
          <w:w w:val="105"/>
        </w:rPr>
        <w:t> </w:t>
      </w:r>
      <w:r>
        <w:rPr>
          <w:color w:val="231F20"/>
          <w:w w:val="105"/>
        </w:rPr>
        <w:t>is</w:t>
      </w:r>
      <w:r>
        <w:rPr>
          <w:color w:val="231F20"/>
          <w:spacing w:val="-20"/>
          <w:w w:val="105"/>
        </w:rPr>
        <w:t> </w:t>
      </w:r>
      <w:r>
        <w:rPr>
          <w:color w:val="231F20"/>
          <w:w w:val="105"/>
        </w:rPr>
        <w:t>confidential and exempt from disclosure in response to freedom</w:t>
      </w:r>
      <w:r>
        <w:rPr>
          <w:color w:val="231F20"/>
          <w:spacing w:val="-17"/>
          <w:w w:val="105"/>
        </w:rPr>
        <w:t> </w:t>
      </w:r>
      <w:r>
        <w:rPr>
          <w:color w:val="231F20"/>
          <w:w w:val="105"/>
        </w:rPr>
        <w:t>of</w:t>
      </w:r>
      <w:r>
        <w:rPr>
          <w:color w:val="231F20"/>
          <w:spacing w:val="3"/>
          <w:w w:val="105"/>
        </w:rPr>
        <w:t> </w:t>
      </w:r>
      <w:r>
        <w:rPr>
          <w:color w:val="231F20"/>
          <w:w w:val="105"/>
        </w:rPr>
        <w:t>information</w:t>
      </w:r>
      <w:r>
        <w:rPr>
          <w:color w:val="231F20"/>
          <w:spacing w:val="-17"/>
          <w:w w:val="105"/>
        </w:rPr>
        <w:t> </w:t>
      </w:r>
      <w:r>
        <w:rPr>
          <w:color w:val="231F20"/>
          <w:w w:val="105"/>
        </w:rPr>
        <w:t>requests.</w:t>
      </w:r>
      <w:r>
        <w:rPr>
          <w:color w:val="231F20"/>
          <w:spacing w:val="-17"/>
          <w:w w:val="105"/>
        </w:rPr>
        <w:t> </w:t>
      </w:r>
      <w:r>
        <w:rPr>
          <w:color w:val="231F20"/>
          <w:w w:val="105"/>
        </w:rPr>
        <w:t>If</w:t>
      </w:r>
      <w:r>
        <w:rPr>
          <w:color w:val="231F20"/>
          <w:spacing w:val="3"/>
          <w:w w:val="105"/>
        </w:rPr>
        <w:t> </w:t>
      </w:r>
      <w:r>
        <w:rPr>
          <w:color w:val="231F20"/>
          <w:w w:val="105"/>
        </w:rPr>
        <w:t>personally identifying information can be redacted and no other exemptions from disclosure </w:t>
      </w:r>
      <w:r>
        <w:rPr>
          <w:color w:val="231F20"/>
          <w:spacing w:val="-5"/>
          <w:w w:val="105"/>
        </w:rPr>
        <w:t>apply, </w:t>
      </w:r>
      <w:r>
        <w:rPr>
          <w:color w:val="231F20"/>
          <w:w w:val="105"/>
        </w:rPr>
        <w:t>such records might </w:t>
      </w:r>
      <w:r>
        <w:rPr>
          <w:color w:val="231F20"/>
          <w:spacing w:val="-3"/>
          <w:w w:val="105"/>
        </w:rPr>
        <w:t>have </w:t>
      </w:r>
      <w:r>
        <w:rPr>
          <w:color w:val="231F20"/>
          <w:w w:val="105"/>
        </w:rPr>
        <w:t>to be released. In redacting personally identifying information, descriptors such as age, sex, race/ethnicity, residence, and date of diagnosis can make the person identifiable. Preparing final outbreak investigation summary reports without any personally</w:t>
      </w:r>
      <w:r>
        <w:rPr>
          <w:color w:val="231F20"/>
          <w:spacing w:val="-12"/>
          <w:w w:val="105"/>
        </w:rPr>
        <w:t> </w:t>
      </w:r>
      <w:r>
        <w:rPr>
          <w:color w:val="231F20"/>
          <w:w w:val="105"/>
        </w:rPr>
        <w:t>identifying</w:t>
      </w:r>
      <w:r>
        <w:rPr>
          <w:color w:val="231F20"/>
          <w:spacing w:val="-12"/>
          <w:w w:val="105"/>
        </w:rPr>
        <w:t> </w:t>
      </w:r>
      <w:r>
        <w:rPr>
          <w:color w:val="231F20"/>
          <w:w w:val="105"/>
        </w:rPr>
        <w:t>information</w:t>
      </w:r>
      <w:r>
        <w:rPr>
          <w:color w:val="231F20"/>
          <w:spacing w:val="-12"/>
          <w:w w:val="105"/>
        </w:rPr>
        <w:t> </w:t>
      </w:r>
      <w:r>
        <w:rPr>
          <w:color w:val="231F20"/>
          <w:w w:val="105"/>
        </w:rPr>
        <w:t>can</w:t>
      </w:r>
      <w:r>
        <w:rPr>
          <w:color w:val="231F20"/>
          <w:spacing w:val="-12"/>
          <w:w w:val="105"/>
        </w:rPr>
        <w:t> </w:t>
      </w:r>
      <w:r>
        <w:rPr>
          <w:color w:val="231F20"/>
          <w:w w:val="105"/>
        </w:rPr>
        <w:t>speed</w:t>
      </w:r>
    </w:p>
    <w:p>
      <w:pPr>
        <w:spacing w:after="0" w:line="266" w:lineRule="auto"/>
        <w:sectPr>
          <w:type w:val="continuous"/>
          <w:pgSz w:w="10080" w:h="14400"/>
          <w:pgMar w:top="0" w:bottom="0" w:left="0" w:right="0"/>
          <w:cols w:num="2" w:equalWidth="0">
            <w:col w:w="4493" w:space="40"/>
            <w:col w:w="5547"/>
          </w:cols>
        </w:sectPr>
      </w:pPr>
    </w:p>
    <w:p>
      <w:pPr>
        <w:pStyle w:val="BodyText"/>
        <w:spacing w:before="8"/>
        <w:rPr>
          <w:sz w:val="10"/>
        </w:rPr>
      </w:pPr>
    </w:p>
    <w:p>
      <w:pPr>
        <w:pStyle w:val="Heading1"/>
        <w:ind w:left="1440" w:firstLine="0"/>
      </w:pPr>
      <w:r>
        <w:rPr/>
        <w:pict>
          <v:line style="position:absolute;mso-position-horizontal-relative:page;mso-position-vertical-relative:paragraph;z-index:1720;mso-wrap-distance-left:0;mso-wrap-distance-right:0" from="72pt,23.991844pt" to="468pt,23.991844pt" stroked="true" strokeweight=".5pt" strokecolor="#00a94f">
            <v:stroke dashstyle="solid"/>
            <w10:wrap type="topAndBottom"/>
          </v:line>
        </w:pict>
      </w:r>
      <w:r>
        <w:rPr>
          <w:color w:val="00A94F"/>
        </w:rPr>
        <w:t>9.1. Legal Framework for Mandatory Disease</w:t>
      </w:r>
      <w:r>
        <w:rPr>
          <w:color w:val="00A94F"/>
          <w:spacing w:val="72"/>
        </w:rPr>
        <w:t> </w:t>
      </w:r>
      <w:r>
        <w:rPr>
          <w:color w:val="00A94F"/>
        </w:rPr>
        <w:t>Reporting</w:t>
      </w:r>
    </w:p>
    <w:p>
      <w:pPr>
        <w:pStyle w:val="BodyText"/>
        <w:rPr>
          <w:rFonts w:ascii="Arial"/>
          <w:sz w:val="18"/>
        </w:rPr>
      </w:pPr>
    </w:p>
    <w:p>
      <w:pPr>
        <w:spacing w:after="0"/>
        <w:rPr>
          <w:rFonts w:ascii="Arial"/>
          <w:sz w:val="18"/>
        </w:rPr>
        <w:sectPr>
          <w:pgSz w:w="10080" w:h="14400"/>
          <w:pgMar w:header="0" w:footer="0" w:top="1160" w:bottom="0" w:left="0" w:right="0"/>
        </w:sectPr>
      </w:pPr>
    </w:p>
    <w:p>
      <w:pPr>
        <w:pStyle w:val="BodyText"/>
        <w:spacing w:line="256" w:lineRule="auto" w:before="108"/>
        <w:ind w:left="1440" w:right="7"/>
      </w:pPr>
      <w:r>
        <w:rPr>
          <w:color w:val="231F20"/>
          <w:w w:val="105"/>
        </w:rPr>
        <w:t>up and simplify release of those reports to attorneys or media when they are requested.</w:t>
      </w:r>
    </w:p>
    <w:p>
      <w:pPr>
        <w:pStyle w:val="BodyText"/>
        <w:spacing w:line="256" w:lineRule="auto" w:before="179"/>
        <w:ind w:left="1440" w:right="7"/>
      </w:pPr>
      <w:r>
        <w:rPr>
          <w:color w:val="231F20"/>
          <w:w w:val="105"/>
        </w:rPr>
        <w:t>Occasionally a public health agency must respond to a media inquiry in which the</w:t>
      </w:r>
      <w:r>
        <w:rPr>
          <w:color w:val="231F20"/>
          <w:spacing w:val="-27"/>
          <w:w w:val="105"/>
        </w:rPr>
        <w:t> </w:t>
      </w:r>
      <w:r>
        <w:rPr>
          <w:color w:val="231F20"/>
          <w:w w:val="105"/>
        </w:rPr>
        <w:t>media has learned the identify of a particular case from</w:t>
      </w:r>
      <w:r>
        <w:rPr>
          <w:color w:val="231F20"/>
          <w:spacing w:val="-14"/>
          <w:w w:val="105"/>
        </w:rPr>
        <w:t> </w:t>
      </w:r>
      <w:r>
        <w:rPr>
          <w:color w:val="231F20"/>
          <w:w w:val="105"/>
        </w:rPr>
        <w:t>another</w:t>
      </w:r>
      <w:r>
        <w:rPr>
          <w:color w:val="231F20"/>
          <w:spacing w:val="-14"/>
          <w:w w:val="105"/>
        </w:rPr>
        <w:t> </w:t>
      </w:r>
      <w:r>
        <w:rPr>
          <w:color w:val="231F20"/>
          <w:w w:val="105"/>
        </w:rPr>
        <w:t>source.</w:t>
      </w:r>
      <w:r>
        <w:rPr>
          <w:color w:val="231F20"/>
          <w:spacing w:val="-14"/>
          <w:w w:val="105"/>
        </w:rPr>
        <w:t> </w:t>
      </w:r>
      <w:r>
        <w:rPr>
          <w:color w:val="231F20"/>
          <w:w w:val="105"/>
        </w:rPr>
        <w:t>The</w:t>
      </w:r>
      <w:r>
        <w:rPr>
          <w:color w:val="231F20"/>
          <w:spacing w:val="-14"/>
          <w:w w:val="105"/>
        </w:rPr>
        <w:t> </w:t>
      </w:r>
      <w:r>
        <w:rPr>
          <w:color w:val="231F20"/>
          <w:w w:val="105"/>
        </w:rPr>
        <w:t>agency’s</w:t>
      </w:r>
      <w:r>
        <w:rPr>
          <w:color w:val="231F20"/>
          <w:spacing w:val="-14"/>
          <w:w w:val="105"/>
        </w:rPr>
        <w:t> </w:t>
      </w:r>
      <w:r>
        <w:rPr>
          <w:color w:val="231F20"/>
          <w:w w:val="105"/>
        </w:rPr>
        <w:t>response</w:t>
      </w:r>
      <w:r>
        <w:rPr>
          <w:color w:val="231F20"/>
          <w:spacing w:val="-14"/>
          <w:w w:val="105"/>
        </w:rPr>
        <w:t> </w:t>
      </w:r>
      <w:r>
        <w:rPr>
          <w:color w:val="231F20"/>
          <w:w w:val="105"/>
        </w:rPr>
        <w:t>to the media inquiry must be carefully structured to avoid unintentional confirmation of the patient’s</w:t>
      </w:r>
      <w:r>
        <w:rPr>
          <w:color w:val="231F20"/>
          <w:spacing w:val="-14"/>
          <w:w w:val="105"/>
        </w:rPr>
        <w:t> </w:t>
      </w:r>
      <w:r>
        <w:rPr>
          <w:color w:val="231F20"/>
          <w:w w:val="105"/>
        </w:rPr>
        <w:t>name.</w:t>
      </w:r>
    </w:p>
    <w:p>
      <w:pPr>
        <w:pStyle w:val="BodyText"/>
        <w:spacing w:line="256" w:lineRule="auto" w:before="179"/>
        <w:ind w:left="1440" w:right="-17"/>
      </w:pPr>
      <w:r>
        <w:rPr>
          <w:color w:val="231F20"/>
          <w:w w:val="105"/>
        </w:rPr>
        <w:t>The public health agency generally is</w:t>
      </w:r>
      <w:r>
        <w:rPr>
          <w:color w:val="231F20"/>
          <w:spacing w:val="-5"/>
          <w:w w:val="105"/>
        </w:rPr>
        <w:t> </w:t>
      </w:r>
      <w:r>
        <w:rPr>
          <w:color w:val="231F20"/>
          <w:w w:val="105"/>
        </w:rPr>
        <w:t>restricted from sharing personal identifying information with other government agencies without the consent</w:t>
      </w:r>
      <w:r>
        <w:rPr>
          <w:color w:val="231F20"/>
          <w:spacing w:val="-17"/>
          <w:w w:val="105"/>
        </w:rPr>
        <w:t> </w:t>
      </w:r>
      <w:r>
        <w:rPr>
          <w:color w:val="231F20"/>
          <w:w w:val="105"/>
        </w:rPr>
        <w:t>of</w:t>
      </w:r>
      <w:r>
        <w:rPr>
          <w:color w:val="231F20"/>
          <w:spacing w:val="3"/>
          <w:w w:val="105"/>
        </w:rPr>
        <w:t> </w:t>
      </w:r>
      <w:r>
        <w:rPr>
          <w:color w:val="231F20"/>
          <w:w w:val="105"/>
        </w:rPr>
        <w:t>the</w:t>
      </w:r>
      <w:r>
        <w:rPr>
          <w:color w:val="231F20"/>
          <w:spacing w:val="-17"/>
          <w:w w:val="105"/>
        </w:rPr>
        <w:t> </w:t>
      </w:r>
      <w:r>
        <w:rPr>
          <w:color w:val="231F20"/>
          <w:w w:val="105"/>
        </w:rPr>
        <w:t>reported</w:t>
      </w:r>
      <w:r>
        <w:rPr>
          <w:color w:val="231F20"/>
          <w:spacing w:val="-17"/>
          <w:w w:val="105"/>
        </w:rPr>
        <w:t> </w:t>
      </w:r>
      <w:r>
        <w:rPr>
          <w:color w:val="231F20"/>
          <w:w w:val="105"/>
        </w:rPr>
        <w:t>person,</w:t>
      </w:r>
      <w:r>
        <w:rPr>
          <w:color w:val="231F20"/>
          <w:spacing w:val="-17"/>
          <w:w w:val="105"/>
        </w:rPr>
        <w:t> </w:t>
      </w:r>
      <w:r>
        <w:rPr>
          <w:color w:val="231F20"/>
          <w:w w:val="105"/>
        </w:rPr>
        <w:t>except:</w:t>
      </w:r>
    </w:p>
    <w:p>
      <w:pPr>
        <w:pStyle w:val="ListParagraph"/>
        <w:numPr>
          <w:ilvl w:val="3"/>
          <w:numId w:val="9"/>
        </w:numPr>
        <w:tabs>
          <w:tab w:pos="1611" w:val="left" w:leader="none"/>
        </w:tabs>
        <w:spacing w:line="256" w:lineRule="auto" w:before="179" w:after="0"/>
        <w:ind w:left="1610" w:right="216" w:hanging="170"/>
        <w:jc w:val="left"/>
        <w:rPr>
          <w:sz w:val="20"/>
        </w:rPr>
      </w:pPr>
      <w:r>
        <w:rPr>
          <w:color w:val="231F20"/>
          <w:w w:val="105"/>
          <w:sz w:val="20"/>
        </w:rPr>
        <w:t>Virtually every state has an exception for sharing</w:t>
      </w:r>
      <w:r>
        <w:rPr>
          <w:color w:val="231F20"/>
          <w:spacing w:val="-15"/>
          <w:w w:val="105"/>
          <w:sz w:val="20"/>
        </w:rPr>
        <w:t> </w:t>
      </w:r>
      <w:r>
        <w:rPr>
          <w:color w:val="231F20"/>
          <w:w w:val="105"/>
          <w:sz w:val="20"/>
        </w:rPr>
        <w:t>information</w:t>
      </w:r>
      <w:r>
        <w:rPr>
          <w:color w:val="231F20"/>
          <w:spacing w:val="-15"/>
          <w:w w:val="105"/>
          <w:sz w:val="20"/>
        </w:rPr>
        <w:t> </w:t>
      </w:r>
      <w:r>
        <w:rPr>
          <w:color w:val="231F20"/>
          <w:w w:val="105"/>
          <w:sz w:val="20"/>
        </w:rPr>
        <w:t>with</w:t>
      </w:r>
      <w:r>
        <w:rPr>
          <w:color w:val="231F20"/>
          <w:spacing w:val="-15"/>
          <w:w w:val="105"/>
          <w:sz w:val="20"/>
        </w:rPr>
        <w:t> </w:t>
      </w:r>
      <w:r>
        <w:rPr>
          <w:color w:val="231F20"/>
          <w:w w:val="105"/>
          <w:sz w:val="20"/>
        </w:rPr>
        <w:t>law</w:t>
      </w:r>
      <w:r>
        <w:rPr>
          <w:color w:val="231F20"/>
          <w:spacing w:val="-15"/>
          <w:w w:val="105"/>
          <w:sz w:val="20"/>
        </w:rPr>
        <w:t> </w:t>
      </w:r>
      <w:r>
        <w:rPr>
          <w:color w:val="231F20"/>
          <w:w w:val="105"/>
          <w:sz w:val="20"/>
        </w:rPr>
        <w:t>enforcement agencies</w:t>
      </w:r>
      <w:r>
        <w:rPr>
          <w:color w:val="231F20"/>
          <w:spacing w:val="-14"/>
          <w:w w:val="105"/>
          <w:sz w:val="20"/>
        </w:rPr>
        <w:t> </w:t>
      </w:r>
      <w:r>
        <w:rPr>
          <w:color w:val="231F20"/>
          <w:w w:val="105"/>
          <w:sz w:val="20"/>
        </w:rPr>
        <w:t>when</w:t>
      </w:r>
      <w:r>
        <w:rPr>
          <w:color w:val="231F20"/>
          <w:spacing w:val="-14"/>
          <w:w w:val="105"/>
          <w:sz w:val="20"/>
        </w:rPr>
        <w:t> </w:t>
      </w:r>
      <w:r>
        <w:rPr>
          <w:color w:val="231F20"/>
          <w:w w:val="105"/>
          <w:sz w:val="20"/>
        </w:rPr>
        <w:t>investigating</w:t>
      </w:r>
      <w:r>
        <w:rPr>
          <w:color w:val="231F20"/>
          <w:spacing w:val="-14"/>
          <w:w w:val="105"/>
          <w:sz w:val="20"/>
        </w:rPr>
        <w:t> </w:t>
      </w:r>
      <w:r>
        <w:rPr>
          <w:color w:val="231F20"/>
          <w:w w:val="105"/>
          <w:sz w:val="20"/>
        </w:rPr>
        <w:t>a</w:t>
      </w:r>
      <w:r>
        <w:rPr>
          <w:color w:val="231F20"/>
          <w:spacing w:val="-14"/>
          <w:w w:val="105"/>
          <w:sz w:val="20"/>
        </w:rPr>
        <w:t> </w:t>
      </w:r>
      <w:r>
        <w:rPr>
          <w:color w:val="231F20"/>
          <w:w w:val="105"/>
          <w:sz w:val="20"/>
        </w:rPr>
        <w:t>bioterrorism incident.</w:t>
      </w:r>
    </w:p>
    <w:p>
      <w:pPr>
        <w:pStyle w:val="ListParagraph"/>
        <w:numPr>
          <w:ilvl w:val="3"/>
          <w:numId w:val="9"/>
        </w:numPr>
        <w:tabs>
          <w:tab w:pos="1611" w:val="left" w:leader="none"/>
        </w:tabs>
        <w:spacing w:line="256" w:lineRule="auto" w:before="89" w:after="0"/>
        <w:ind w:left="1610" w:right="50" w:hanging="170"/>
        <w:jc w:val="left"/>
        <w:rPr>
          <w:sz w:val="20"/>
        </w:rPr>
      </w:pPr>
      <w:r>
        <w:rPr>
          <w:color w:val="231F20"/>
          <w:w w:val="105"/>
          <w:sz w:val="20"/>
        </w:rPr>
        <w:t>Many</w:t>
      </w:r>
      <w:r>
        <w:rPr>
          <w:color w:val="231F20"/>
          <w:spacing w:val="-10"/>
          <w:w w:val="105"/>
          <w:sz w:val="20"/>
        </w:rPr>
        <w:t> </w:t>
      </w:r>
      <w:r>
        <w:rPr>
          <w:color w:val="231F20"/>
          <w:w w:val="105"/>
          <w:sz w:val="20"/>
        </w:rPr>
        <w:t>state</w:t>
      </w:r>
      <w:r>
        <w:rPr>
          <w:color w:val="231F20"/>
          <w:spacing w:val="-10"/>
          <w:w w:val="105"/>
          <w:sz w:val="20"/>
        </w:rPr>
        <w:t> </w:t>
      </w:r>
      <w:r>
        <w:rPr>
          <w:color w:val="231F20"/>
          <w:w w:val="105"/>
          <w:sz w:val="20"/>
        </w:rPr>
        <w:t>statutes</w:t>
      </w:r>
      <w:r>
        <w:rPr>
          <w:color w:val="231F20"/>
          <w:spacing w:val="-10"/>
          <w:w w:val="105"/>
          <w:sz w:val="20"/>
        </w:rPr>
        <w:t> </w:t>
      </w:r>
      <w:r>
        <w:rPr>
          <w:color w:val="231F20"/>
          <w:w w:val="105"/>
          <w:sz w:val="20"/>
        </w:rPr>
        <w:t>contain</w:t>
      </w:r>
      <w:r>
        <w:rPr>
          <w:color w:val="231F20"/>
          <w:spacing w:val="-10"/>
          <w:w w:val="105"/>
          <w:sz w:val="20"/>
        </w:rPr>
        <w:t> </w:t>
      </w:r>
      <w:r>
        <w:rPr>
          <w:color w:val="231F20"/>
          <w:w w:val="105"/>
          <w:sz w:val="20"/>
        </w:rPr>
        <w:t>an</w:t>
      </w:r>
      <w:r>
        <w:rPr>
          <w:color w:val="231F20"/>
          <w:spacing w:val="-10"/>
          <w:w w:val="105"/>
          <w:sz w:val="20"/>
        </w:rPr>
        <w:t> </w:t>
      </w:r>
      <w:r>
        <w:rPr>
          <w:color w:val="231F20"/>
          <w:w w:val="105"/>
          <w:sz w:val="20"/>
        </w:rPr>
        <w:t>exception</w:t>
      </w:r>
      <w:r>
        <w:rPr>
          <w:color w:val="231F20"/>
          <w:spacing w:val="-10"/>
          <w:w w:val="105"/>
          <w:sz w:val="20"/>
        </w:rPr>
        <w:t> </w:t>
      </w:r>
      <w:r>
        <w:rPr>
          <w:color w:val="231F20"/>
          <w:w w:val="105"/>
          <w:sz w:val="20"/>
        </w:rPr>
        <w:t>for sharing information when, in the agency’s judgment,</w:t>
      </w:r>
      <w:r>
        <w:rPr>
          <w:color w:val="231F20"/>
          <w:spacing w:val="-10"/>
          <w:w w:val="105"/>
          <w:sz w:val="20"/>
        </w:rPr>
        <w:t> </w:t>
      </w:r>
      <w:r>
        <w:rPr>
          <w:color w:val="231F20"/>
          <w:w w:val="105"/>
          <w:sz w:val="20"/>
        </w:rPr>
        <w:t>sharing</w:t>
      </w:r>
      <w:r>
        <w:rPr>
          <w:color w:val="231F20"/>
          <w:spacing w:val="-10"/>
          <w:w w:val="105"/>
          <w:sz w:val="20"/>
        </w:rPr>
        <w:t> </w:t>
      </w:r>
      <w:r>
        <w:rPr>
          <w:color w:val="231F20"/>
          <w:w w:val="105"/>
          <w:sz w:val="20"/>
        </w:rPr>
        <w:t>is</w:t>
      </w:r>
      <w:r>
        <w:rPr>
          <w:color w:val="231F20"/>
          <w:spacing w:val="-10"/>
          <w:w w:val="105"/>
          <w:sz w:val="20"/>
        </w:rPr>
        <w:t> </w:t>
      </w:r>
      <w:r>
        <w:rPr>
          <w:color w:val="231F20"/>
          <w:w w:val="105"/>
          <w:sz w:val="20"/>
        </w:rPr>
        <w:t>necessary</w:t>
      </w:r>
      <w:r>
        <w:rPr>
          <w:color w:val="231F20"/>
          <w:spacing w:val="-10"/>
          <w:w w:val="105"/>
          <w:sz w:val="20"/>
        </w:rPr>
        <w:t> </w:t>
      </w:r>
      <w:r>
        <w:rPr>
          <w:color w:val="231F20"/>
          <w:w w:val="105"/>
          <w:sz w:val="20"/>
        </w:rPr>
        <w:t>to</w:t>
      </w:r>
      <w:r>
        <w:rPr>
          <w:color w:val="231F20"/>
          <w:spacing w:val="-10"/>
          <w:w w:val="105"/>
          <w:sz w:val="20"/>
        </w:rPr>
        <w:t> </w:t>
      </w:r>
      <w:r>
        <w:rPr>
          <w:color w:val="231F20"/>
          <w:w w:val="105"/>
          <w:sz w:val="20"/>
        </w:rPr>
        <w:t>protect</w:t>
      </w:r>
      <w:r>
        <w:rPr>
          <w:color w:val="231F20"/>
          <w:spacing w:val="-10"/>
          <w:w w:val="105"/>
          <w:sz w:val="20"/>
        </w:rPr>
        <w:t> </w:t>
      </w:r>
      <w:r>
        <w:rPr>
          <w:color w:val="231F20"/>
          <w:w w:val="105"/>
          <w:sz w:val="20"/>
        </w:rPr>
        <w:t>the public</w:t>
      </w:r>
      <w:r>
        <w:rPr>
          <w:color w:val="231F20"/>
          <w:spacing w:val="-2"/>
          <w:w w:val="105"/>
          <w:sz w:val="20"/>
        </w:rPr>
        <w:t> </w:t>
      </w:r>
      <w:r>
        <w:rPr>
          <w:color w:val="231F20"/>
          <w:w w:val="105"/>
          <w:sz w:val="20"/>
        </w:rPr>
        <w:t>health.</w:t>
      </w:r>
    </w:p>
    <w:p>
      <w:pPr>
        <w:pStyle w:val="ListParagraph"/>
        <w:numPr>
          <w:ilvl w:val="3"/>
          <w:numId w:val="9"/>
        </w:numPr>
        <w:tabs>
          <w:tab w:pos="1611" w:val="left" w:leader="none"/>
        </w:tabs>
        <w:spacing w:line="256" w:lineRule="auto" w:before="89" w:after="0"/>
        <w:ind w:left="1610" w:right="26" w:hanging="170"/>
        <w:jc w:val="left"/>
        <w:rPr>
          <w:sz w:val="20"/>
        </w:rPr>
      </w:pPr>
      <w:r>
        <w:rPr>
          <w:color w:val="231F20"/>
          <w:w w:val="105"/>
          <w:sz w:val="20"/>
        </w:rPr>
        <w:t>State and local public health agencies often expect</w:t>
      </w:r>
      <w:r>
        <w:rPr>
          <w:color w:val="231F20"/>
          <w:spacing w:val="-15"/>
          <w:w w:val="105"/>
          <w:sz w:val="20"/>
        </w:rPr>
        <w:t> </w:t>
      </w:r>
      <w:r>
        <w:rPr>
          <w:color w:val="231F20"/>
          <w:w w:val="105"/>
          <w:sz w:val="20"/>
        </w:rPr>
        <w:t>that</w:t>
      </w:r>
      <w:r>
        <w:rPr>
          <w:color w:val="231F20"/>
          <w:spacing w:val="-15"/>
          <w:w w:val="105"/>
          <w:sz w:val="20"/>
        </w:rPr>
        <w:t> </w:t>
      </w:r>
      <w:r>
        <w:rPr>
          <w:color w:val="231F20"/>
          <w:w w:val="105"/>
          <w:sz w:val="20"/>
        </w:rPr>
        <w:t>when</w:t>
      </w:r>
      <w:r>
        <w:rPr>
          <w:color w:val="231F20"/>
          <w:spacing w:val="-15"/>
          <w:w w:val="105"/>
          <w:sz w:val="20"/>
        </w:rPr>
        <w:t> </w:t>
      </w:r>
      <w:r>
        <w:rPr>
          <w:color w:val="231F20"/>
          <w:w w:val="105"/>
          <w:sz w:val="20"/>
        </w:rPr>
        <w:t>they</w:t>
      </w:r>
      <w:r>
        <w:rPr>
          <w:color w:val="231F20"/>
          <w:spacing w:val="-15"/>
          <w:w w:val="105"/>
          <w:sz w:val="20"/>
        </w:rPr>
        <w:t> </w:t>
      </w:r>
      <w:r>
        <w:rPr>
          <w:color w:val="231F20"/>
          <w:w w:val="105"/>
          <w:sz w:val="20"/>
        </w:rPr>
        <w:t>provide</w:t>
      </w:r>
      <w:r>
        <w:rPr>
          <w:color w:val="231F20"/>
          <w:spacing w:val="-15"/>
          <w:w w:val="105"/>
          <w:sz w:val="20"/>
        </w:rPr>
        <w:t> </w:t>
      </w:r>
      <w:r>
        <w:rPr>
          <w:color w:val="231F20"/>
          <w:w w:val="105"/>
          <w:sz w:val="20"/>
        </w:rPr>
        <w:t>epidemiologic and laboratory data to federal</w:t>
      </w:r>
      <w:r>
        <w:rPr>
          <w:color w:val="231F20"/>
          <w:spacing w:val="-6"/>
          <w:w w:val="105"/>
          <w:sz w:val="20"/>
        </w:rPr>
        <w:t> </w:t>
      </w:r>
      <w:r>
        <w:rPr>
          <w:color w:val="231F20"/>
          <w:w w:val="105"/>
          <w:sz w:val="20"/>
        </w:rPr>
        <w:t>agencies,</w:t>
      </w:r>
    </w:p>
    <w:p>
      <w:pPr>
        <w:pStyle w:val="BodyText"/>
        <w:spacing w:line="256" w:lineRule="auto"/>
        <w:ind w:left="1610" w:right="183"/>
      </w:pPr>
      <w:r>
        <w:rPr/>
        <w:pict>
          <v:rect style="position:absolute;margin-left:0pt;margin-top:89.899353pt;width:45pt;height:18pt;mso-position-horizontal-relative:page;mso-position-vertical-relative:paragraph;z-index:1792" filled="true" fillcolor="#0079c1" stroked="false">
            <v:fill type="solid"/>
            <w10:wrap type="none"/>
          </v:rect>
        </w:pict>
      </w:r>
      <w:r>
        <w:rPr/>
        <w:pict>
          <v:line style="position:absolute;mso-position-horizontal-relative:page;mso-position-vertical-relative:paragraph;z-index:1816" from="54.5pt,89.897751pt" to="54.5pt,271.899751pt" stroked="true" strokeweight="1pt" strokecolor="#0079c1">
            <v:stroke dashstyle="solid"/>
            <w10:wrap type="none"/>
          </v:line>
        </w:pict>
      </w:r>
      <w:r>
        <w:rPr/>
        <w:pict>
          <v:shape style="position:absolute;margin-left:18.200388pt;margin-top:94.650307pt;width:25.5pt;height:173.95pt;mso-position-horizontal-relative:page;mso-position-vertical-relative:paragraph;z-index:1864" type="#_x0000_t202" filled="false" stroked="false">
            <v:textbox inset="0,0,0,0" style="layout-flow:vertical;mso-layout-flow-alt:bottom-to-top">
              <w:txbxContent>
                <w:p>
                  <w:pPr>
                    <w:spacing w:line="273" w:lineRule="exact" w:before="7"/>
                    <w:ind w:left="79" w:right="-889" w:firstLine="0"/>
                    <w:jc w:val="left"/>
                    <w:rPr>
                      <w:rFonts w:ascii="Times New Roman"/>
                      <w:b/>
                      <w:sz w:val="24"/>
                    </w:rPr>
                  </w:pPr>
                  <w:r>
                    <w:rPr>
                      <w:rFonts w:ascii="Lucida Sans"/>
                      <w:color w:val="0079C1"/>
                      <w:spacing w:val="8"/>
                      <w:w w:val="102"/>
                      <w:sz w:val="17"/>
                    </w:rPr>
                    <w:t>SURVEILLANC</w:t>
                  </w:r>
                  <w:r>
                    <w:rPr>
                      <w:rFonts w:ascii="Lucida Sans"/>
                      <w:color w:val="0079C1"/>
                      <w:w w:val="102"/>
                      <w:sz w:val="17"/>
                    </w:rPr>
                    <w:t>E</w:t>
                  </w:r>
                  <w:r>
                    <w:rPr>
                      <w:rFonts w:ascii="Lucida Sans"/>
                      <w:color w:val="0079C1"/>
                      <w:spacing w:val="10"/>
                      <w:sz w:val="17"/>
                    </w:rPr>
                    <w:t> </w:t>
                  </w:r>
                  <w:r>
                    <w:rPr>
                      <w:rFonts w:ascii="Lucida Sans"/>
                      <w:color w:val="0079C1"/>
                      <w:spacing w:val="8"/>
                      <w:w w:val="102"/>
                      <w:sz w:val="17"/>
                    </w:rPr>
                    <w:t>AN</w:t>
                  </w:r>
                  <w:r>
                    <w:rPr>
                      <w:rFonts w:ascii="Lucida Sans"/>
                      <w:color w:val="0079C1"/>
                      <w:w w:val="102"/>
                      <w:sz w:val="17"/>
                    </w:rPr>
                    <w:t>D</w:t>
                  </w:r>
                  <w:r>
                    <w:rPr>
                      <w:rFonts w:ascii="Lucida Sans"/>
                      <w:color w:val="0079C1"/>
                      <w:spacing w:val="10"/>
                      <w:sz w:val="17"/>
                    </w:rPr>
                    <w:t> </w:t>
                  </w:r>
                  <w:r>
                    <w:rPr>
                      <w:rFonts w:ascii="Lucida Sans"/>
                      <w:color w:val="0079C1"/>
                      <w:spacing w:val="8"/>
                      <w:w w:val="101"/>
                      <w:sz w:val="17"/>
                    </w:rPr>
                    <w:t>CONTRO</w:t>
                  </w:r>
                  <w:r>
                    <w:rPr>
                      <w:rFonts w:ascii="Lucida Sans"/>
                      <w:color w:val="0079C1"/>
                      <w:w w:val="101"/>
                      <w:sz w:val="17"/>
                    </w:rPr>
                    <w:t>L</w:t>
                  </w:r>
                  <w:r>
                    <w:rPr>
                      <w:rFonts w:ascii="Lucida Sans"/>
                      <w:color w:val="0079C1"/>
                      <w:spacing w:val="10"/>
                      <w:sz w:val="17"/>
                    </w:rPr>
                    <w:t> </w:t>
                  </w:r>
                  <w:r>
                    <w:rPr>
                      <w:rFonts w:ascii="Lucida Sans"/>
                      <w:color w:val="0079C1"/>
                      <w:spacing w:val="8"/>
                      <w:w w:val="107"/>
                      <w:sz w:val="17"/>
                    </w:rPr>
                    <w:t>O</w:t>
                  </w:r>
                  <w:r>
                    <w:rPr>
                      <w:rFonts w:ascii="Lucida Sans"/>
                      <w:color w:val="0079C1"/>
                      <w:w w:val="107"/>
                      <w:sz w:val="17"/>
                    </w:rPr>
                    <w:t>F</w:t>
                  </w:r>
                  <w:r>
                    <w:rPr>
                      <w:rFonts w:ascii="Lucida Sans"/>
                      <w:color w:val="0079C1"/>
                      <w:sz w:val="17"/>
                    </w:rPr>
                    <w:t>  </w:t>
                  </w:r>
                  <w:r>
                    <w:rPr>
                      <w:rFonts w:ascii="Lucida Sans"/>
                      <w:color w:val="0079C1"/>
                      <w:spacing w:val="-12"/>
                      <w:sz w:val="17"/>
                    </w:rPr>
                    <w:t> </w:t>
                  </w:r>
                  <w:r>
                    <w:rPr>
                      <w:rFonts w:ascii="Times New Roman"/>
                      <w:b/>
                      <w:color w:val="FFFFFF"/>
                      <w:w w:val="108"/>
                      <w:position w:val="1"/>
                      <w:sz w:val="24"/>
                    </w:rPr>
                    <w:t>9</w:t>
                  </w:r>
                </w:p>
                <w:p>
                  <w:pPr>
                    <w:spacing w:line="197" w:lineRule="exact" w:before="0"/>
                    <w:ind w:left="20" w:right="-692" w:firstLine="0"/>
                    <w:jc w:val="left"/>
                    <w:rPr>
                      <w:rFonts w:ascii="Lucida Sans"/>
                      <w:sz w:val="17"/>
                    </w:rPr>
                  </w:pPr>
                  <w:r>
                    <w:rPr>
                      <w:rFonts w:ascii="Lucida Sans"/>
                      <w:color w:val="0079C1"/>
                      <w:spacing w:val="8"/>
                      <w:w w:val="105"/>
                      <w:sz w:val="17"/>
                    </w:rPr>
                    <w:t>FOODBORN</w:t>
                  </w:r>
                  <w:r>
                    <w:rPr>
                      <w:rFonts w:ascii="Lucida Sans"/>
                      <w:color w:val="0079C1"/>
                      <w:w w:val="105"/>
                      <w:sz w:val="17"/>
                    </w:rPr>
                    <w:t>E</w:t>
                  </w:r>
                  <w:r>
                    <w:rPr>
                      <w:rFonts w:ascii="Lucida Sans"/>
                      <w:color w:val="0079C1"/>
                      <w:spacing w:val="10"/>
                      <w:sz w:val="17"/>
                    </w:rPr>
                    <w:t> </w:t>
                  </w:r>
                  <w:r>
                    <w:rPr>
                      <w:rFonts w:ascii="Lucida Sans"/>
                      <w:color w:val="0079C1"/>
                      <w:spacing w:val="8"/>
                      <w:w w:val="104"/>
                      <w:sz w:val="17"/>
                    </w:rPr>
                    <w:t>DISEAS</w:t>
                  </w:r>
                  <w:r>
                    <w:rPr>
                      <w:rFonts w:ascii="Lucida Sans"/>
                      <w:color w:val="0079C1"/>
                      <w:w w:val="104"/>
                      <w:sz w:val="17"/>
                    </w:rPr>
                    <w:t>E</w:t>
                  </w:r>
                  <w:r>
                    <w:rPr>
                      <w:rFonts w:ascii="Lucida Sans"/>
                      <w:color w:val="0079C1"/>
                      <w:spacing w:val="10"/>
                      <w:sz w:val="17"/>
                    </w:rPr>
                    <w:t> </w:t>
                  </w:r>
                  <w:r>
                    <w:rPr>
                      <w:rFonts w:ascii="Lucida Sans"/>
                      <w:color w:val="0079C1"/>
                      <w:spacing w:val="8"/>
                      <w:w w:val="102"/>
                      <w:sz w:val="17"/>
                    </w:rPr>
                    <w:t>OUTBREAKS</w:t>
                  </w:r>
                </w:p>
              </w:txbxContent>
            </v:textbox>
            <w10:wrap type="none"/>
          </v:shape>
        </w:pict>
      </w:r>
      <w:r>
        <w:rPr>
          <w:color w:val="231F20"/>
          <w:w w:val="105"/>
        </w:rPr>
        <w:t>such</w:t>
      </w:r>
      <w:r>
        <w:rPr>
          <w:color w:val="231F20"/>
          <w:spacing w:val="-13"/>
          <w:w w:val="105"/>
        </w:rPr>
        <w:t> </w:t>
      </w:r>
      <w:r>
        <w:rPr>
          <w:color w:val="231F20"/>
          <w:w w:val="105"/>
        </w:rPr>
        <w:t>as</w:t>
      </w:r>
      <w:r>
        <w:rPr>
          <w:color w:val="231F20"/>
          <w:spacing w:val="-13"/>
          <w:w w:val="105"/>
        </w:rPr>
        <w:t> </w:t>
      </w:r>
      <w:r>
        <w:rPr>
          <w:color w:val="231F20"/>
          <w:w w:val="105"/>
        </w:rPr>
        <w:t>the</w:t>
      </w:r>
      <w:r>
        <w:rPr>
          <w:color w:val="231F20"/>
          <w:spacing w:val="-13"/>
          <w:w w:val="105"/>
        </w:rPr>
        <w:t> </w:t>
      </w:r>
      <w:r>
        <w:rPr>
          <w:color w:val="231F20"/>
          <w:spacing w:val="-5"/>
          <w:w w:val="105"/>
        </w:rPr>
        <w:t>Food</w:t>
      </w:r>
      <w:r>
        <w:rPr>
          <w:color w:val="231F20"/>
          <w:spacing w:val="-13"/>
          <w:w w:val="105"/>
        </w:rPr>
        <w:t> </w:t>
      </w:r>
      <w:r>
        <w:rPr>
          <w:color w:val="231F20"/>
          <w:w w:val="105"/>
        </w:rPr>
        <w:t>and</w:t>
      </w:r>
      <w:r>
        <w:rPr>
          <w:color w:val="231F20"/>
          <w:spacing w:val="-13"/>
          <w:w w:val="105"/>
        </w:rPr>
        <w:t> </w:t>
      </w:r>
      <w:r>
        <w:rPr>
          <w:color w:val="231F20"/>
          <w:w w:val="105"/>
        </w:rPr>
        <w:t>Drug</w:t>
      </w:r>
      <w:r>
        <w:rPr>
          <w:color w:val="231F20"/>
          <w:spacing w:val="-13"/>
          <w:w w:val="105"/>
        </w:rPr>
        <w:t> </w:t>
      </w:r>
      <w:r>
        <w:rPr>
          <w:color w:val="231F20"/>
          <w:w w:val="105"/>
        </w:rPr>
        <w:t>Administration </w:t>
      </w:r>
      <w:r>
        <w:rPr>
          <w:color w:val="231F20"/>
          <w:spacing w:val="-4"/>
          <w:w w:val="105"/>
        </w:rPr>
        <w:t>FDA) </w:t>
      </w:r>
      <w:r>
        <w:rPr>
          <w:color w:val="231F20"/>
          <w:w w:val="105"/>
        </w:rPr>
        <w:t>or the </w:t>
      </w:r>
      <w:r>
        <w:rPr>
          <w:color w:val="231F20"/>
          <w:spacing w:val="-8"/>
          <w:w w:val="105"/>
        </w:rPr>
        <w:t>U.S. </w:t>
      </w:r>
      <w:r>
        <w:rPr>
          <w:color w:val="231F20"/>
          <w:w w:val="105"/>
        </w:rPr>
        <w:t>Department of Agriculture</w:t>
      </w:r>
      <w:r>
        <w:rPr>
          <w:color w:val="231F20"/>
          <w:spacing w:val="-19"/>
          <w:w w:val="105"/>
        </w:rPr>
        <w:t> </w:t>
      </w:r>
      <w:r>
        <w:rPr>
          <w:color w:val="231F20"/>
          <w:w w:val="105"/>
        </w:rPr>
        <w:t>(USDA),</w:t>
      </w:r>
      <w:r>
        <w:rPr>
          <w:color w:val="231F20"/>
          <w:spacing w:val="-19"/>
          <w:w w:val="105"/>
        </w:rPr>
        <w:t> </w:t>
      </w:r>
      <w:r>
        <w:rPr>
          <w:color w:val="231F20"/>
          <w:w w:val="105"/>
        </w:rPr>
        <w:t>they</w:t>
      </w:r>
      <w:r>
        <w:rPr>
          <w:color w:val="231F20"/>
          <w:spacing w:val="-19"/>
          <w:w w:val="105"/>
        </w:rPr>
        <w:t> </w:t>
      </w:r>
      <w:r>
        <w:rPr>
          <w:color w:val="231F20"/>
          <w:w w:val="105"/>
        </w:rPr>
        <w:t>will</w:t>
      </w:r>
      <w:r>
        <w:rPr>
          <w:color w:val="231F20"/>
          <w:spacing w:val="-19"/>
          <w:w w:val="105"/>
        </w:rPr>
        <w:t> </w:t>
      </w:r>
      <w:r>
        <w:rPr>
          <w:color w:val="231F20"/>
          <w:w w:val="105"/>
        </w:rPr>
        <w:t>receive</w:t>
      </w:r>
      <w:r>
        <w:rPr>
          <w:color w:val="231F20"/>
          <w:spacing w:val="-19"/>
          <w:w w:val="105"/>
        </w:rPr>
        <w:t> </w:t>
      </w:r>
      <w:r>
        <w:rPr>
          <w:color w:val="231F20"/>
          <w:w w:val="105"/>
        </w:rPr>
        <w:t>from those agencies results of related product investigations. </w:t>
      </w:r>
      <w:r>
        <w:rPr>
          <w:color w:val="231F20"/>
          <w:spacing w:val="-4"/>
          <w:w w:val="105"/>
        </w:rPr>
        <w:t>However, </w:t>
      </w:r>
      <w:r>
        <w:rPr>
          <w:color w:val="231F20"/>
          <w:w w:val="105"/>
        </w:rPr>
        <w:t>this might not happen if the results of the investigations contain trade secrets or commercial confidential information or are part of</w:t>
      </w:r>
      <w:r>
        <w:rPr>
          <w:color w:val="231F20"/>
          <w:spacing w:val="-25"/>
          <w:w w:val="105"/>
        </w:rPr>
        <w:t> </w:t>
      </w:r>
      <w:r>
        <w:rPr>
          <w:color w:val="231F20"/>
          <w:w w:val="105"/>
        </w:rPr>
        <w:t>an</w:t>
      </w:r>
    </w:p>
    <w:p>
      <w:pPr>
        <w:pStyle w:val="BodyText"/>
        <w:spacing w:line="256" w:lineRule="auto"/>
        <w:ind w:left="1610" w:right="-15"/>
      </w:pPr>
      <w:r>
        <w:rPr/>
        <w:pict>
          <v:shape style="position:absolute;margin-left:11.4022pt;margin-top:15.109562pt;width:12.3pt;height:144.2pt;mso-position-horizontal-relative:page;mso-position-vertical-relative:paragraph;z-index:1840" type="#_x0000_t202" filled="false" stroked="false">
            <v:textbox inset="0,0,0,0" style="layout-flow:vertical;mso-layout-flow-alt:bottom-to-top">
              <w:txbxContent>
                <w:p>
                  <w:pPr>
                    <w:spacing w:before="12"/>
                    <w:ind w:left="20" w:right="-1140" w:firstLine="0"/>
                    <w:jc w:val="left"/>
                    <w:rPr>
                      <w:rFonts w:ascii="Lucida Sans"/>
                      <w:sz w:val="17"/>
                    </w:rPr>
                  </w:pPr>
                  <w:r>
                    <w:rPr>
                      <w:rFonts w:ascii="Lucida Sans"/>
                      <w:color w:val="0079C1"/>
                      <w:spacing w:val="8"/>
                      <w:w w:val="103"/>
                      <w:sz w:val="17"/>
                    </w:rPr>
                    <w:t>LEGA</w:t>
                  </w:r>
                  <w:r>
                    <w:rPr>
                      <w:rFonts w:ascii="Lucida Sans"/>
                      <w:color w:val="0079C1"/>
                      <w:w w:val="103"/>
                      <w:sz w:val="17"/>
                    </w:rPr>
                    <w:t>L</w:t>
                  </w:r>
                  <w:r>
                    <w:rPr>
                      <w:rFonts w:ascii="Lucida Sans"/>
                      <w:color w:val="0079C1"/>
                      <w:spacing w:val="10"/>
                      <w:sz w:val="17"/>
                    </w:rPr>
                    <w:t> </w:t>
                  </w:r>
                  <w:r>
                    <w:rPr>
                      <w:rFonts w:ascii="Lucida Sans"/>
                      <w:color w:val="0079C1"/>
                      <w:spacing w:val="8"/>
                      <w:w w:val="105"/>
                      <w:sz w:val="17"/>
                    </w:rPr>
                    <w:t>PRE</w:t>
                  </w:r>
                  <w:r>
                    <w:rPr>
                      <w:rFonts w:ascii="Lucida Sans"/>
                      <w:color w:val="0079C1"/>
                      <w:spacing w:val="-5"/>
                      <w:w w:val="105"/>
                      <w:sz w:val="17"/>
                    </w:rPr>
                    <w:t>P</w:t>
                  </w:r>
                  <w:r>
                    <w:rPr>
                      <w:rFonts w:ascii="Lucida Sans"/>
                      <w:color w:val="0079C1"/>
                      <w:spacing w:val="8"/>
                      <w:w w:val="104"/>
                      <w:sz w:val="17"/>
                    </w:rPr>
                    <w:t>AREDNES</w:t>
                  </w:r>
                  <w:r>
                    <w:rPr>
                      <w:rFonts w:ascii="Lucida Sans"/>
                      <w:color w:val="0079C1"/>
                      <w:w w:val="104"/>
                      <w:sz w:val="17"/>
                    </w:rPr>
                    <w:t>S</w:t>
                  </w:r>
                  <w:r>
                    <w:rPr>
                      <w:rFonts w:ascii="Lucida Sans"/>
                      <w:color w:val="0079C1"/>
                      <w:spacing w:val="10"/>
                      <w:sz w:val="17"/>
                    </w:rPr>
                    <w:t> </w:t>
                  </w:r>
                  <w:r>
                    <w:rPr>
                      <w:rFonts w:ascii="Lucida Sans"/>
                      <w:color w:val="0079C1"/>
                      <w:spacing w:val="8"/>
                      <w:w w:val="103"/>
                      <w:sz w:val="17"/>
                    </w:rPr>
                    <w:t>FO</w:t>
                  </w:r>
                  <w:r>
                    <w:rPr>
                      <w:rFonts w:ascii="Lucida Sans"/>
                      <w:color w:val="0079C1"/>
                      <w:w w:val="103"/>
                      <w:sz w:val="17"/>
                    </w:rPr>
                    <w:t>R</w:t>
                  </w:r>
                  <w:r>
                    <w:rPr>
                      <w:rFonts w:ascii="Lucida Sans"/>
                      <w:color w:val="0079C1"/>
                      <w:spacing w:val="10"/>
                      <w:sz w:val="17"/>
                    </w:rPr>
                    <w:t> </w:t>
                  </w:r>
                  <w:r>
                    <w:rPr>
                      <w:rFonts w:ascii="Lucida Sans"/>
                      <w:color w:val="0079C1"/>
                      <w:spacing w:val="8"/>
                      <w:w w:val="100"/>
                      <w:sz w:val="17"/>
                    </w:rPr>
                    <w:t>THE</w:t>
                  </w:r>
                </w:p>
              </w:txbxContent>
            </v:textbox>
            <w10:wrap type="none"/>
          </v:shape>
        </w:pict>
      </w:r>
      <w:r>
        <w:rPr>
          <w:color w:val="231F20"/>
          <w:w w:val="105"/>
        </w:rPr>
        <w:t>ongoing</w:t>
      </w:r>
      <w:r>
        <w:rPr>
          <w:color w:val="231F20"/>
          <w:spacing w:val="-10"/>
          <w:w w:val="105"/>
        </w:rPr>
        <w:t> </w:t>
      </w:r>
      <w:r>
        <w:rPr>
          <w:color w:val="231F20"/>
          <w:w w:val="105"/>
        </w:rPr>
        <w:t>legal</w:t>
      </w:r>
      <w:r>
        <w:rPr>
          <w:color w:val="231F20"/>
          <w:spacing w:val="-10"/>
          <w:w w:val="105"/>
        </w:rPr>
        <w:t> </w:t>
      </w:r>
      <w:r>
        <w:rPr>
          <w:color w:val="231F20"/>
          <w:w w:val="105"/>
        </w:rPr>
        <w:t>enforcement</w:t>
      </w:r>
      <w:r>
        <w:rPr>
          <w:color w:val="231F20"/>
          <w:spacing w:val="-10"/>
          <w:w w:val="105"/>
        </w:rPr>
        <w:t> </w:t>
      </w:r>
      <w:r>
        <w:rPr>
          <w:color w:val="231F20"/>
          <w:w w:val="105"/>
        </w:rPr>
        <w:t>action</w:t>
      </w:r>
      <w:r>
        <w:rPr>
          <w:color w:val="231F20"/>
          <w:spacing w:val="-10"/>
          <w:w w:val="105"/>
        </w:rPr>
        <w:t> </w:t>
      </w:r>
      <w:r>
        <w:rPr>
          <w:color w:val="231F20"/>
          <w:w w:val="105"/>
        </w:rPr>
        <w:t>or</w:t>
      </w:r>
      <w:r>
        <w:rPr>
          <w:color w:val="231F20"/>
          <w:spacing w:val="-10"/>
          <w:w w:val="105"/>
        </w:rPr>
        <w:t> </w:t>
      </w:r>
      <w:r>
        <w:rPr>
          <w:color w:val="231F20"/>
          <w:w w:val="105"/>
        </w:rPr>
        <w:t>criminal prosecution.</w:t>
      </w:r>
    </w:p>
    <w:p>
      <w:pPr>
        <w:pStyle w:val="BodyText"/>
        <w:spacing w:line="256" w:lineRule="auto" w:before="108"/>
        <w:ind w:left="322" w:right="716"/>
      </w:pPr>
      <w:r>
        <w:rPr/>
        <w:br w:type="column"/>
      </w:r>
      <w:r>
        <w:rPr>
          <w:color w:val="231F20"/>
          <w:w w:val="105"/>
        </w:rPr>
        <w:t>Reporting statutes typically provide for punishment of government employees for a breach of confidential information held by the public health agency.</w:t>
      </w:r>
    </w:p>
    <w:p>
      <w:pPr>
        <w:pStyle w:val="BodyText"/>
        <w:spacing w:line="256" w:lineRule="auto" w:before="179"/>
        <w:ind w:left="322" w:right="906"/>
      </w:pPr>
      <w:r>
        <w:rPr>
          <w:color w:val="231F20"/>
        </w:rPr>
        <w:t>Health information protected by the Health Insurance Portability and Accountability Act of 1996 might be disclosed by the reporting source without individual authorization to</w:t>
      </w:r>
    </w:p>
    <w:p>
      <w:pPr>
        <w:pStyle w:val="BodyText"/>
        <w:spacing w:line="256" w:lineRule="auto"/>
        <w:ind w:left="322" w:right="803"/>
      </w:pPr>
      <w:r>
        <w:rPr>
          <w:color w:val="231F20"/>
        </w:rPr>
        <w:t>a public health agency authorized by law to collect or receive such information, including a contractor (e.g., academic institutions) to which a government agency has granted  authority.</w:t>
      </w:r>
    </w:p>
    <w:p>
      <w:pPr>
        <w:pStyle w:val="BodyText"/>
        <w:spacing w:line="256" w:lineRule="auto"/>
        <w:ind w:left="322" w:right="716"/>
      </w:pPr>
      <w:r>
        <w:rPr>
          <w:color w:val="231F20"/>
        </w:rPr>
        <w:t>This disclosure without individual authorization does not include disclosure of protected health information for research purposes.</w:t>
      </w:r>
    </w:p>
    <w:p>
      <w:pPr>
        <w:pStyle w:val="BodyText"/>
        <w:spacing w:line="256" w:lineRule="auto" w:before="179"/>
        <w:ind w:left="322" w:right="729"/>
      </w:pPr>
      <w:r>
        <w:rPr>
          <w:color w:val="231F20"/>
          <w:w w:val="105"/>
        </w:rPr>
        <w:t>The legal requirement to report relieves the reporting source (e.g., physician) of concern that reporting breaches the privacy of the doctor–patient relationship. Explaining this to physicians often results in better compliance with reporting requirements.</w:t>
      </w:r>
    </w:p>
    <w:p>
      <w:pPr>
        <w:pStyle w:val="ListParagraph"/>
        <w:numPr>
          <w:ilvl w:val="2"/>
          <w:numId w:val="9"/>
        </w:numPr>
        <w:tabs>
          <w:tab w:pos="878" w:val="left" w:leader="none"/>
        </w:tabs>
        <w:spacing w:line="249" w:lineRule="auto" w:before="164" w:after="0"/>
        <w:ind w:left="322" w:right="762" w:firstLine="0"/>
        <w:jc w:val="left"/>
        <w:rPr>
          <w:rFonts w:ascii="Arial"/>
          <w:sz w:val="20"/>
        </w:rPr>
      </w:pPr>
      <w:r>
        <w:rPr>
          <w:rFonts w:ascii="Arial"/>
          <w:color w:val="1C3E94"/>
          <w:sz w:val="20"/>
        </w:rPr>
        <w:t>Cross-Jurisdiction and</w:t>
      </w:r>
      <w:r>
        <w:rPr>
          <w:rFonts w:ascii="Arial"/>
          <w:color w:val="1C3E94"/>
          <w:spacing w:val="-22"/>
          <w:sz w:val="20"/>
        </w:rPr>
        <w:t> </w:t>
      </w:r>
      <w:r>
        <w:rPr>
          <w:rFonts w:ascii="Arial"/>
          <w:color w:val="1C3E94"/>
          <w:sz w:val="20"/>
        </w:rPr>
        <w:t>Cross-Sector Coordination</w:t>
      </w:r>
    </w:p>
    <w:p>
      <w:pPr>
        <w:pStyle w:val="BodyText"/>
        <w:spacing w:line="256" w:lineRule="auto" w:before="196"/>
        <w:ind w:left="322" w:right="643"/>
      </w:pPr>
      <w:r>
        <w:rPr>
          <w:color w:val="231F20"/>
          <w:w w:val="105"/>
        </w:rPr>
        <w:t>Effective reporting of foodborne disease cases hinges on coordination of reporting across jurisdictions (e.g., local, state, tribal, and federal governments) and across sectors (e.g., health care and public health). State and local health officials should periodically assess the need</w:t>
      </w:r>
    </w:p>
    <w:p>
      <w:pPr>
        <w:pStyle w:val="BodyText"/>
        <w:spacing w:line="256" w:lineRule="auto"/>
        <w:ind w:left="322" w:right="630"/>
        <w:rPr>
          <w:sz w:val="11"/>
        </w:rPr>
      </w:pPr>
      <w:r>
        <w:rPr>
          <w:color w:val="231F20"/>
          <w:w w:val="105"/>
        </w:rPr>
        <w:t>for memoranda of agreement (or other legal agreements) with partners in other jurisdictions and sectors to ensure timely and effective reporting. CDC has created several resources for assessing and improving cross-jurisdictional and cross-sector coordination.</w:t>
      </w:r>
      <w:r>
        <w:rPr>
          <w:color w:val="231F20"/>
          <w:w w:val="105"/>
          <w:position w:val="7"/>
          <w:sz w:val="11"/>
        </w:rPr>
        <w:t>2</w:t>
      </w:r>
    </w:p>
    <w:p>
      <w:pPr>
        <w:spacing w:after="0" w:line="256" w:lineRule="auto"/>
        <w:rPr>
          <w:sz w:val="11"/>
        </w:rPr>
        <w:sectPr>
          <w:type w:val="continuous"/>
          <w:pgSz w:w="10080" w:h="14400"/>
          <w:pgMar w:top="0" w:bottom="0" w:left="0" w:right="0"/>
          <w:cols w:num="2" w:equalWidth="0">
            <w:col w:w="5218" w:space="40"/>
            <w:col w:w="4822"/>
          </w:cols>
        </w:sectPr>
      </w:pPr>
    </w:p>
    <w:p>
      <w:pPr>
        <w:pStyle w:val="BodyText"/>
        <w:spacing w:before="6"/>
        <w:rPr>
          <w:sz w:val="22"/>
        </w:rPr>
      </w:pPr>
    </w:p>
    <w:p>
      <w:pPr>
        <w:pStyle w:val="Heading1"/>
        <w:numPr>
          <w:ilvl w:val="1"/>
          <w:numId w:val="10"/>
        </w:numPr>
        <w:tabs>
          <w:tab w:pos="1985" w:val="left" w:leader="none"/>
        </w:tabs>
        <w:spacing w:line="249" w:lineRule="auto" w:before="97" w:after="0"/>
        <w:ind w:left="1984" w:right="1358" w:hanging="544"/>
        <w:jc w:val="left"/>
      </w:pPr>
      <w:r>
        <w:rPr/>
        <w:pict>
          <v:line style="position:absolute;mso-position-horizontal-relative:page;mso-position-vertical-relative:paragraph;z-index:1744;mso-wrap-distance-left:0;mso-wrap-distance-right:0" from="72pt,40.791836pt" to="468pt,40.791836pt" stroked="true" strokeweight=".5pt" strokecolor="#00a94f">
            <v:stroke dashstyle="solid"/>
            <w10:wrap type="topAndBottom"/>
          </v:line>
        </w:pict>
      </w:r>
      <w:r>
        <w:rPr>
          <w:color w:val="00A94F"/>
        </w:rPr>
        <w:t>Legal Framework for Surveillance and Investigation of Foodborne and Enteric Diseases</w:t>
      </w:r>
    </w:p>
    <w:p>
      <w:pPr>
        <w:pStyle w:val="BodyText"/>
        <w:spacing w:before="1"/>
        <w:rPr>
          <w:rFonts w:ascii="Arial"/>
          <w:sz w:val="8"/>
        </w:rPr>
      </w:pPr>
    </w:p>
    <w:p>
      <w:pPr>
        <w:spacing w:after="0"/>
        <w:rPr>
          <w:rFonts w:ascii="Arial"/>
          <w:sz w:val="8"/>
        </w:rPr>
        <w:sectPr>
          <w:type w:val="continuous"/>
          <w:pgSz w:w="10080" w:h="14400"/>
          <w:pgMar w:top="0" w:bottom="0" w:left="0" w:right="0"/>
        </w:sectPr>
      </w:pPr>
    </w:p>
    <w:p>
      <w:pPr>
        <w:pStyle w:val="ListParagraph"/>
        <w:numPr>
          <w:ilvl w:val="2"/>
          <w:numId w:val="10"/>
        </w:numPr>
        <w:tabs>
          <w:tab w:pos="1996" w:val="left" w:leader="none"/>
        </w:tabs>
        <w:spacing w:line="240" w:lineRule="auto" w:before="107" w:after="0"/>
        <w:ind w:left="1996" w:right="0" w:hanging="556"/>
        <w:jc w:val="left"/>
        <w:rPr>
          <w:rFonts w:ascii="Arial"/>
          <w:sz w:val="20"/>
        </w:rPr>
      </w:pPr>
      <w:r>
        <w:rPr>
          <w:rFonts w:ascii="Arial"/>
          <w:color w:val="1C3E94"/>
          <w:sz w:val="20"/>
        </w:rPr>
        <w:t>Sources of Surveillance</w:t>
      </w:r>
      <w:r>
        <w:rPr>
          <w:rFonts w:ascii="Arial"/>
          <w:color w:val="1C3E94"/>
          <w:spacing w:val="-4"/>
          <w:sz w:val="20"/>
        </w:rPr>
        <w:t> </w:t>
      </w:r>
      <w:r>
        <w:rPr>
          <w:rFonts w:ascii="Arial"/>
          <w:color w:val="1C3E94"/>
          <w:sz w:val="20"/>
        </w:rPr>
        <w:t>Information</w:t>
      </w:r>
    </w:p>
    <w:p>
      <w:pPr>
        <w:pStyle w:val="BodyText"/>
        <w:spacing w:before="7"/>
        <w:rPr>
          <w:rFonts w:ascii="Arial"/>
          <w:sz w:val="18"/>
        </w:rPr>
      </w:pPr>
    </w:p>
    <w:p>
      <w:pPr>
        <w:pStyle w:val="BodyText"/>
        <w:spacing w:line="266" w:lineRule="auto"/>
        <w:ind w:left="1440" w:right="-17"/>
      </w:pPr>
      <w:r>
        <w:rPr/>
        <w:pict>
          <v:line style="position:absolute;mso-position-horizontal-relative:page;mso-position-vertical-relative:paragraph;z-index:1768" from="72pt,52.938164pt" to="504pt,52.938164pt" stroked="true" strokeweight="1pt" strokecolor="#00a94f">
            <v:stroke dashstyle="solid"/>
            <w10:wrap type="none"/>
          </v:line>
        </w:pict>
      </w:r>
      <w:r>
        <w:rPr>
          <w:color w:val="231F20"/>
          <w:w w:val="105"/>
        </w:rPr>
        <w:t>Reports of food-related illness may come to the attention of the state or local health</w:t>
      </w:r>
      <w:r>
        <w:rPr>
          <w:color w:val="231F20"/>
          <w:spacing w:val="-32"/>
          <w:w w:val="105"/>
        </w:rPr>
        <w:t> </w:t>
      </w:r>
      <w:r>
        <w:rPr>
          <w:color w:val="231F20"/>
          <w:w w:val="105"/>
        </w:rPr>
        <w:t>agency in a variety of ways, such</w:t>
      </w:r>
      <w:r>
        <w:rPr>
          <w:color w:val="231F20"/>
          <w:spacing w:val="-9"/>
          <w:w w:val="105"/>
        </w:rPr>
        <w:t> </w:t>
      </w:r>
      <w:r>
        <w:rPr>
          <w:color w:val="231F20"/>
          <w:w w:val="105"/>
        </w:rPr>
        <w:t>as:</w:t>
      </w:r>
    </w:p>
    <w:p>
      <w:pPr>
        <w:pStyle w:val="ListParagraph"/>
        <w:numPr>
          <w:ilvl w:val="0"/>
          <w:numId w:val="11"/>
        </w:numPr>
        <w:tabs>
          <w:tab w:pos="604" w:val="left" w:leader="none"/>
        </w:tabs>
        <w:spacing w:line="266" w:lineRule="auto" w:before="107" w:after="0"/>
        <w:ind w:left="603" w:right="1091" w:hanging="277"/>
        <w:jc w:val="left"/>
        <w:rPr>
          <w:sz w:val="20"/>
        </w:rPr>
      </w:pPr>
      <w:r>
        <w:rPr>
          <w:color w:val="231F20"/>
          <w:w w:val="106"/>
          <w:sz w:val="20"/>
        </w:rPr>
        <w:br w:type="column"/>
      </w:r>
      <w:r>
        <w:rPr>
          <w:color w:val="231F20"/>
          <w:w w:val="105"/>
          <w:sz w:val="20"/>
        </w:rPr>
        <w:t>Surveillance reports for enteric diseases,</w:t>
      </w:r>
      <w:r>
        <w:rPr>
          <w:color w:val="231F20"/>
          <w:spacing w:val="-14"/>
          <w:w w:val="105"/>
          <w:sz w:val="20"/>
        </w:rPr>
        <w:t> </w:t>
      </w:r>
      <w:r>
        <w:rPr>
          <w:color w:val="231F20"/>
          <w:w w:val="105"/>
          <w:sz w:val="20"/>
        </w:rPr>
        <w:t>such</w:t>
      </w:r>
      <w:r>
        <w:rPr>
          <w:color w:val="231F20"/>
          <w:spacing w:val="-14"/>
          <w:w w:val="105"/>
          <w:sz w:val="20"/>
        </w:rPr>
        <w:t> </w:t>
      </w:r>
      <w:r>
        <w:rPr>
          <w:color w:val="231F20"/>
          <w:w w:val="105"/>
          <w:sz w:val="20"/>
        </w:rPr>
        <w:t>as</w:t>
      </w:r>
      <w:r>
        <w:rPr>
          <w:color w:val="231F20"/>
          <w:spacing w:val="-14"/>
          <w:w w:val="105"/>
          <w:sz w:val="20"/>
        </w:rPr>
        <w:t> </w:t>
      </w:r>
      <w:r>
        <w:rPr>
          <w:i/>
          <w:color w:val="231F20"/>
          <w:w w:val="105"/>
          <w:sz w:val="20"/>
        </w:rPr>
        <w:t>Salmonella</w:t>
      </w:r>
      <w:r>
        <w:rPr>
          <w:color w:val="231F20"/>
          <w:w w:val="105"/>
          <w:sz w:val="20"/>
        </w:rPr>
        <w:t>,</w:t>
      </w:r>
      <w:r>
        <w:rPr>
          <w:color w:val="231F20"/>
          <w:spacing w:val="-14"/>
          <w:w w:val="105"/>
          <w:sz w:val="20"/>
        </w:rPr>
        <w:t> </w:t>
      </w:r>
      <w:r>
        <w:rPr>
          <w:i/>
          <w:color w:val="231F20"/>
          <w:w w:val="105"/>
          <w:sz w:val="20"/>
        </w:rPr>
        <w:t>Shigella</w:t>
      </w:r>
      <w:r>
        <w:rPr>
          <w:color w:val="231F20"/>
          <w:w w:val="105"/>
          <w:sz w:val="20"/>
        </w:rPr>
        <w:t>,</w:t>
      </w:r>
      <w:r>
        <w:rPr>
          <w:color w:val="231F20"/>
          <w:spacing w:val="-14"/>
          <w:w w:val="105"/>
          <w:sz w:val="20"/>
        </w:rPr>
        <w:t> </w:t>
      </w:r>
      <w:r>
        <w:rPr>
          <w:color w:val="231F20"/>
          <w:w w:val="105"/>
          <w:sz w:val="20"/>
        </w:rPr>
        <w:t>and </w:t>
      </w:r>
      <w:r>
        <w:rPr>
          <w:i/>
          <w:color w:val="231F20"/>
          <w:w w:val="105"/>
          <w:sz w:val="20"/>
        </w:rPr>
        <w:t>Campylobacter</w:t>
      </w:r>
      <w:r>
        <w:rPr>
          <w:color w:val="231F20"/>
          <w:w w:val="105"/>
          <w:sz w:val="20"/>
        </w:rPr>
        <w:t>;</w:t>
      </w:r>
    </w:p>
    <w:p>
      <w:pPr>
        <w:pStyle w:val="ListParagraph"/>
        <w:numPr>
          <w:ilvl w:val="0"/>
          <w:numId w:val="11"/>
        </w:numPr>
        <w:tabs>
          <w:tab w:pos="591" w:val="left" w:leader="none"/>
        </w:tabs>
        <w:spacing w:line="240" w:lineRule="auto" w:before="89" w:after="0"/>
        <w:ind w:left="590" w:right="0" w:hanging="264"/>
        <w:jc w:val="left"/>
        <w:rPr>
          <w:sz w:val="20"/>
        </w:rPr>
      </w:pPr>
      <w:r>
        <w:rPr>
          <w:color w:val="231F20"/>
          <w:sz w:val="20"/>
        </w:rPr>
        <w:t>Request for antitoxin for </w:t>
      </w:r>
      <w:r>
        <w:rPr>
          <w:color w:val="231F20"/>
          <w:spacing w:val="3"/>
          <w:sz w:val="20"/>
        </w:rPr>
        <w:t> </w:t>
      </w:r>
      <w:r>
        <w:rPr>
          <w:color w:val="231F20"/>
          <w:sz w:val="20"/>
        </w:rPr>
        <w:t>botulism;</w:t>
      </w:r>
    </w:p>
    <w:p>
      <w:pPr>
        <w:spacing w:after="0" w:line="240" w:lineRule="auto"/>
        <w:jc w:val="left"/>
        <w:rPr>
          <w:sz w:val="20"/>
        </w:rPr>
        <w:sectPr>
          <w:type w:val="continuous"/>
          <w:pgSz w:w="10080" w:h="14400"/>
          <w:pgMar w:top="0" w:bottom="0" w:left="0" w:right="0"/>
          <w:cols w:num="2" w:equalWidth="0">
            <w:col w:w="5214" w:space="40"/>
            <w:col w:w="4826"/>
          </w:cols>
        </w:sectPr>
      </w:pPr>
    </w:p>
    <w:p>
      <w:pPr>
        <w:pStyle w:val="BodyText"/>
        <w:spacing w:before="8"/>
        <w:rPr>
          <w:sz w:val="26"/>
        </w:rPr>
      </w:pPr>
    </w:p>
    <w:p>
      <w:pPr>
        <w:pStyle w:val="Heading1"/>
        <w:numPr>
          <w:ilvl w:val="1"/>
          <w:numId w:val="12"/>
        </w:numPr>
        <w:tabs>
          <w:tab w:pos="1265" w:val="left" w:leader="none"/>
        </w:tabs>
        <w:spacing w:line="249" w:lineRule="auto" w:before="97" w:after="0"/>
        <w:ind w:left="1264" w:right="2078" w:hanging="544"/>
        <w:jc w:val="left"/>
      </w:pPr>
      <w:r>
        <w:rPr/>
        <w:pict>
          <v:line style="position:absolute;mso-position-horizontal-relative:page;mso-position-vertical-relative:paragraph;z-index:1888;mso-wrap-distance-left:0;mso-wrap-distance-right:0" from="36pt,40.791943pt" to="432pt,40.791943pt" stroked="true" strokeweight=".5pt" strokecolor="#00a94f">
            <v:stroke dashstyle="solid"/>
            <w10:wrap type="topAndBottom"/>
          </v:line>
        </w:pict>
      </w:r>
      <w:r>
        <w:rPr>
          <w:color w:val="00A94F"/>
        </w:rPr>
        <w:t>Legal Framework for Surveillance and Investigation of Foodborne and Enteric Diseases</w:t>
      </w:r>
    </w:p>
    <w:p>
      <w:pPr>
        <w:pStyle w:val="BodyText"/>
        <w:spacing w:before="1"/>
        <w:rPr>
          <w:rFonts w:ascii="Arial"/>
        </w:rPr>
      </w:pPr>
    </w:p>
    <w:p>
      <w:pPr>
        <w:spacing w:after="0"/>
        <w:rPr>
          <w:rFonts w:ascii="Arial"/>
        </w:rPr>
        <w:sectPr>
          <w:pgSz w:w="10080" w:h="14400"/>
          <w:pgMar w:header="0" w:footer="0" w:top="980" w:bottom="0" w:left="0" w:right="0"/>
        </w:sectPr>
      </w:pPr>
    </w:p>
    <w:p>
      <w:pPr>
        <w:pStyle w:val="ListParagraph"/>
        <w:numPr>
          <w:ilvl w:val="0"/>
          <w:numId w:val="11"/>
        </w:numPr>
        <w:tabs>
          <w:tab w:pos="997" w:val="left" w:leader="none"/>
        </w:tabs>
        <w:spacing w:line="266" w:lineRule="auto" w:before="110" w:after="0"/>
        <w:ind w:left="996" w:right="261" w:hanging="276"/>
        <w:jc w:val="left"/>
        <w:rPr>
          <w:sz w:val="20"/>
        </w:rPr>
      </w:pPr>
      <w:r>
        <w:rPr>
          <w:color w:val="231F20"/>
          <w:w w:val="105"/>
          <w:sz w:val="20"/>
        </w:rPr>
        <w:t>Reports of food poisoning or gastrointestinal illness in individuals or defined groups, such as diarrhea and vomiting among residents of a nursing home</w:t>
      </w:r>
      <w:r>
        <w:rPr>
          <w:color w:val="231F20"/>
          <w:spacing w:val="-10"/>
          <w:w w:val="105"/>
          <w:sz w:val="20"/>
        </w:rPr>
        <w:t> </w:t>
      </w:r>
      <w:r>
        <w:rPr>
          <w:color w:val="231F20"/>
          <w:w w:val="105"/>
          <w:sz w:val="20"/>
        </w:rPr>
        <w:t>or</w:t>
      </w:r>
      <w:r>
        <w:rPr>
          <w:color w:val="231F20"/>
          <w:spacing w:val="-10"/>
          <w:w w:val="105"/>
          <w:sz w:val="20"/>
        </w:rPr>
        <w:t> </w:t>
      </w:r>
      <w:r>
        <w:rPr>
          <w:color w:val="231F20"/>
          <w:w w:val="105"/>
          <w:sz w:val="20"/>
        </w:rPr>
        <w:t>school</w:t>
      </w:r>
      <w:r>
        <w:rPr>
          <w:color w:val="231F20"/>
          <w:spacing w:val="-10"/>
          <w:w w:val="105"/>
          <w:sz w:val="20"/>
        </w:rPr>
        <w:t> </w:t>
      </w:r>
      <w:r>
        <w:rPr>
          <w:color w:val="231F20"/>
          <w:w w:val="105"/>
          <w:sz w:val="20"/>
        </w:rPr>
        <w:t>or</w:t>
      </w:r>
      <w:r>
        <w:rPr>
          <w:color w:val="231F20"/>
          <w:spacing w:val="-10"/>
          <w:w w:val="105"/>
          <w:sz w:val="20"/>
        </w:rPr>
        <w:t> </w:t>
      </w:r>
      <w:r>
        <w:rPr>
          <w:color w:val="231F20"/>
          <w:w w:val="105"/>
          <w:sz w:val="20"/>
        </w:rPr>
        <w:t>among</w:t>
      </w:r>
      <w:r>
        <w:rPr>
          <w:color w:val="231F20"/>
          <w:spacing w:val="-10"/>
          <w:w w:val="105"/>
          <w:sz w:val="20"/>
        </w:rPr>
        <w:t> </w:t>
      </w:r>
      <w:r>
        <w:rPr>
          <w:color w:val="231F20"/>
          <w:w w:val="105"/>
          <w:sz w:val="20"/>
        </w:rPr>
        <w:t>attendees</w:t>
      </w:r>
      <w:r>
        <w:rPr>
          <w:color w:val="231F20"/>
          <w:spacing w:val="-10"/>
          <w:w w:val="105"/>
          <w:sz w:val="20"/>
        </w:rPr>
        <w:t> </w:t>
      </w:r>
      <w:r>
        <w:rPr>
          <w:color w:val="231F20"/>
          <w:w w:val="105"/>
          <w:sz w:val="20"/>
        </w:rPr>
        <w:t>at</w:t>
      </w:r>
      <w:r>
        <w:rPr>
          <w:color w:val="231F20"/>
          <w:spacing w:val="-10"/>
          <w:w w:val="105"/>
          <w:sz w:val="20"/>
        </w:rPr>
        <w:t> </w:t>
      </w:r>
      <w:r>
        <w:rPr>
          <w:color w:val="231F20"/>
          <w:w w:val="105"/>
          <w:sz w:val="20"/>
        </w:rPr>
        <w:t>a work-related</w:t>
      </w:r>
      <w:r>
        <w:rPr>
          <w:color w:val="231F20"/>
          <w:spacing w:val="-24"/>
          <w:w w:val="105"/>
          <w:sz w:val="20"/>
        </w:rPr>
        <w:t> </w:t>
      </w:r>
      <w:r>
        <w:rPr>
          <w:color w:val="231F20"/>
          <w:w w:val="105"/>
          <w:sz w:val="20"/>
        </w:rPr>
        <w:t>meeting;</w:t>
      </w:r>
    </w:p>
    <w:p>
      <w:pPr>
        <w:pStyle w:val="ListParagraph"/>
        <w:numPr>
          <w:ilvl w:val="0"/>
          <w:numId w:val="11"/>
        </w:numPr>
        <w:tabs>
          <w:tab w:pos="1004" w:val="left" w:leader="none"/>
        </w:tabs>
        <w:spacing w:line="240" w:lineRule="auto" w:before="89" w:after="0"/>
        <w:ind w:left="1003" w:right="0" w:hanging="283"/>
        <w:jc w:val="left"/>
        <w:rPr>
          <w:sz w:val="20"/>
        </w:rPr>
      </w:pPr>
      <w:r>
        <w:rPr>
          <w:color w:val="231F20"/>
          <w:sz w:val="20"/>
        </w:rPr>
        <w:t>Reports to poison control</w:t>
      </w:r>
      <w:r>
        <w:rPr>
          <w:color w:val="231F20"/>
          <w:spacing w:val="43"/>
          <w:sz w:val="20"/>
        </w:rPr>
        <w:t> </w:t>
      </w:r>
      <w:r>
        <w:rPr>
          <w:color w:val="231F20"/>
          <w:sz w:val="20"/>
        </w:rPr>
        <w:t>centers;</w:t>
      </w:r>
    </w:p>
    <w:p>
      <w:pPr>
        <w:pStyle w:val="ListParagraph"/>
        <w:numPr>
          <w:ilvl w:val="0"/>
          <w:numId w:val="11"/>
        </w:numPr>
        <w:tabs>
          <w:tab w:pos="977" w:val="left" w:leader="none"/>
        </w:tabs>
        <w:spacing w:line="266" w:lineRule="auto" w:before="114" w:after="0"/>
        <w:ind w:left="976" w:right="397" w:hanging="256"/>
        <w:jc w:val="left"/>
        <w:rPr>
          <w:sz w:val="20"/>
        </w:rPr>
      </w:pPr>
      <w:r>
        <w:rPr>
          <w:color w:val="231F20"/>
          <w:w w:val="105"/>
          <w:sz w:val="20"/>
        </w:rPr>
        <w:t>Reports</w:t>
      </w:r>
      <w:r>
        <w:rPr>
          <w:color w:val="231F20"/>
          <w:spacing w:val="-19"/>
          <w:w w:val="105"/>
          <w:sz w:val="20"/>
        </w:rPr>
        <w:t> </w:t>
      </w:r>
      <w:r>
        <w:rPr>
          <w:color w:val="231F20"/>
          <w:w w:val="105"/>
          <w:sz w:val="20"/>
        </w:rPr>
        <w:t>of</w:t>
      </w:r>
      <w:r>
        <w:rPr>
          <w:color w:val="231F20"/>
          <w:spacing w:val="-1"/>
          <w:w w:val="105"/>
          <w:sz w:val="20"/>
        </w:rPr>
        <w:t> </w:t>
      </w:r>
      <w:r>
        <w:rPr>
          <w:color w:val="231F20"/>
          <w:w w:val="105"/>
          <w:sz w:val="20"/>
        </w:rPr>
        <w:t>enteric</w:t>
      </w:r>
      <w:r>
        <w:rPr>
          <w:color w:val="231F20"/>
          <w:spacing w:val="-19"/>
          <w:w w:val="105"/>
          <w:sz w:val="20"/>
        </w:rPr>
        <w:t> </w:t>
      </w:r>
      <w:r>
        <w:rPr>
          <w:color w:val="231F20"/>
          <w:w w:val="105"/>
          <w:sz w:val="20"/>
        </w:rPr>
        <w:t>disease</w:t>
      </w:r>
      <w:r>
        <w:rPr>
          <w:color w:val="231F20"/>
          <w:spacing w:val="-19"/>
          <w:w w:val="105"/>
          <w:sz w:val="20"/>
        </w:rPr>
        <w:t> </w:t>
      </w:r>
      <w:r>
        <w:rPr>
          <w:color w:val="231F20"/>
          <w:w w:val="105"/>
          <w:sz w:val="20"/>
        </w:rPr>
        <w:t>suspected</w:t>
      </w:r>
      <w:r>
        <w:rPr>
          <w:color w:val="231F20"/>
          <w:spacing w:val="-19"/>
          <w:w w:val="105"/>
          <w:sz w:val="20"/>
        </w:rPr>
        <w:t> </w:t>
      </w:r>
      <w:r>
        <w:rPr>
          <w:color w:val="231F20"/>
          <w:w w:val="105"/>
          <w:sz w:val="20"/>
        </w:rPr>
        <w:t>of being caused</w:t>
      </w:r>
      <w:r>
        <w:rPr>
          <w:color w:val="231F20"/>
          <w:spacing w:val="-6"/>
          <w:w w:val="105"/>
          <w:sz w:val="20"/>
        </w:rPr>
        <w:t> </w:t>
      </w:r>
      <w:r>
        <w:rPr>
          <w:color w:val="231F20"/>
          <w:w w:val="105"/>
          <w:sz w:val="20"/>
        </w:rPr>
        <w:t>intentionally;</w:t>
      </w:r>
    </w:p>
    <w:p>
      <w:pPr>
        <w:pStyle w:val="ListParagraph"/>
        <w:numPr>
          <w:ilvl w:val="0"/>
          <w:numId w:val="11"/>
        </w:numPr>
        <w:tabs>
          <w:tab w:pos="942" w:val="left" w:leader="none"/>
        </w:tabs>
        <w:spacing w:line="266" w:lineRule="auto" w:before="90" w:after="0"/>
        <w:ind w:left="941" w:right="51" w:hanging="221"/>
        <w:jc w:val="left"/>
        <w:rPr>
          <w:sz w:val="20"/>
        </w:rPr>
      </w:pPr>
      <w:r>
        <w:rPr>
          <w:color w:val="231F20"/>
          <w:w w:val="105"/>
          <w:sz w:val="20"/>
        </w:rPr>
        <w:t>Complaints of alleged contaminated, adulterated, or improperly cooked food purchased</w:t>
      </w:r>
      <w:r>
        <w:rPr>
          <w:color w:val="231F20"/>
          <w:spacing w:val="-13"/>
          <w:w w:val="105"/>
          <w:sz w:val="20"/>
        </w:rPr>
        <w:t> </w:t>
      </w:r>
      <w:r>
        <w:rPr>
          <w:color w:val="231F20"/>
          <w:w w:val="105"/>
          <w:sz w:val="20"/>
        </w:rPr>
        <w:t>from</w:t>
      </w:r>
      <w:r>
        <w:rPr>
          <w:color w:val="231F20"/>
          <w:spacing w:val="-13"/>
          <w:w w:val="105"/>
          <w:sz w:val="20"/>
        </w:rPr>
        <w:t> </w:t>
      </w:r>
      <w:r>
        <w:rPr>
          <w:color w:val="231F20"/>
          <w:w w:val="105"/>
          <w:sz w:val="20"/>
        </w:rPr>
        <w:t>stores</w:t>
      </w:r>
      <w:r>
        <w:rPr>
          <w:color w:val="231F20"/>
          <w:spacing w:val="-13"/>
          <w:w w:val="105"/>
          <w:sz w:val="20"/>
        </w:rPr>
        <w:t> </w:t>
      </w:r>
      <w:r>
        <w:rPr>
          <w:color w:val="231F20"/>
          <w:w w:val="105"/>
          <w:sz w:val="20"/>
        </w:rPr>
        <w:t>or</w:t>
      </w:r>
      <w:r>
        <w:rPr>
          <w:color w:val="231F20"/>
          <w:spacing w:val="-13"/>
          <w:w w:val="105"/>
          <w:sz w:val="20"/>
        </w:rPr>
        <w:t> </w:t>
      </w:r>
      <w:r>
        <w:rPr>
          <w:color w:val="231F20"/>
          <w:w w:val="105"/>
          <w:sz w:val="20"/>
        </w:rPr>
        <w:t>in</w:t>
      </w:r>
      <w:r>
        <w:rPr>
          <w:color w:val="231F20"/>
          <w:spacing w:val="-13"/>
          <w:w w:val="105"/>
          <w:sz w:val="20"/>
        </w:rPr>
        <w:t> </w:t>
      </w:r>
      <w:r>
        <w:rPr>
          <w:color w:val="231F20"/>
          <w:w w:val="105"/>
          <w:sz w:val="20"/>
        </w:rPr>
        <w:t>restaurants</w:t>
      </w:r>
      <w:r>
        <w:rPr>
          <w:color w:val="231F20"/>
          <w:spacing w:val="-13"/>
          <w:w w:val="105"/>
          <w:sz w:val="20"/>
        </w:rPr>
        <w:t> </w:t>
      </w:r>
      <w:r>
        <w:rPr>
          <w:color w:val="231F20"/>
          <w:w w:val="105"/>
          <w:sz w:val="20"/>
        </w:rPr>
        <w:t>and reported voluntarily </w:t>
      </w:r>
      <w:r>
        <w:rPr>
          <w:color w:val="231F20"/>
          <w:spacing w:val="-3"/>
          <w:w w:val="105"/>
          <w:sz w:val="20"/>
        </w:rPr>
        <w:t>by </w:t>
      </w:r>
      <w:r>
        <w:rPr>
          <w:color w:val="231F20"/>
          <w:w w:val="105"/>
          <w:sz w:val="20"/>
        </w:rPr>
        <w:t>the general</w:t>
      </w:r>
      <w:r>
        <w:rPr>
          <w:color w:val="231F20"/>
          <w:spacing w:val="-17"/>
          <w:w w:val="105"/>
          <w:sz w:val="20"/>
        </w:rPr>
        <w:t> </w:t>
      </w:r>
      <w:r>
        <w:rPr>
          <w:color w:val="231F20"/>
          <w:w w:val="105"/>
          <w:sz w:val="20"/>
        </w:rPr>
        <w:t>public;</w:t>
      </w:r>
    </w:p>
    <w:p>
      <w:pPr>
        <w:pStyle w:val="ListParagraph"/>
        <w:numPr>
          <w:ilvl w:val="0"/>
          <w:numId w:val="11"/>
        </w:numPr>
        <w:tabs>
          <w:tab w:pos="1011" w:val="left" w:leader="none"/>
        </w:tabs>
        <w:spacing w:line="259" w:lineRule="auto" w:before="90" w:after="0"/>
        <w:ind w:left="1010" w:right="55" w:hanging="290"/>
        <w:jc w:val="left"/>
        <w:rPr>
          <w:rFonts w:ascii="Times New Roman"/>
          <w:sz w:val="20"/>
        </w:rPr>
      </w:pPr>
      <w:r>
        <w:rPr>
          <w:color w:val="231F20"/>
          <w:w w:val="105"/>
          <w:sz w:val="20"/>
        </w:rPr>
        <w:t>Syndromic surveillance using deidentified emergency department or pharmacy data; </w:t>
      </w:r>
      <w:r>
        <w:rPr>
          <w:rFonts w:ascii="Times New Roman"/>
          <w:color w:val="231F20"/>
          <w:w w:val="105"/>
          <w:sz w:val="20"/>
        </w:rPr>
        <w:t>and</w:t>
      </w:r>
    </w:p>
    <w:p>
      <w:pPr>
        <w:pStyle w:val="ListParagraph"/>
        <w:numPr>
          <w:ilvl w:val="0"/>
          <w:numId w:val="11"/>
        </w:numPr>
        <w:tabs>
          <w:tab w:pos="1001" w:val="left" w:leader="none"/>
        </w:tabs>
        <w:spacing w:line="266" w:lineRule="auto" w:before="106" w:after="0"/>
        <w:ind w:left="1000" w:right="132" w:hanging="280"/>
        <w:jc w:val="left"/>
        <w:rPr>
          <w:sz w:val="20"/>
        </w:rPr>
      </w:pPr>
      <w:r>
        <w:rPr>
          <w:color w:val="231F20"/>
          <w:w w:val="105"/>
          <w:sz w:val="20"/>
        </w:rPr>
        <w:t>Reports</w:t>
      </w:r>
      <w:r>
        <w:rPr>
          <w:color w:val="231F20"/>
          <w:spacing w:val="-19"/>
          <w:w w:val="105"/>
          <w:sz w:val="20"/>
        </w:rPr>
        <w:t> </w:t>
      </w:r>
      <w:r>
        <w:rPr>
          <w:color w:val="231F20"/>
          <w:w w:val="105"/>
          <w:sz w:val="20"/>
        </w:rPr>
        <w:t>directly</w:t>
      </w:r>
      <w:r>
        <w:rPr>
          <w:color w:val="231F20"/>
          <w:spacing w:val="-19"/>
          <w:w w:val="105"/>
          <w:sz w:val="20"/>
        </w:rPr>
        <w:t> </w:t>
      </w:r>
      <w:r>
        <w:rPr>
          <w:color w:val="231F20"/>
          <w:w w:val="105"/>
          <w:sz w:val="20"/>
        </w:rPr>
        <w:t>from</w:t>
      </w:r>
      <w:r>
        <w:rPr>
          <w:color w:val="231F20"/>
          <w:spacing w:val="-19"/>
          <w:w w:val="105"/>
          <w:sz w:val="20"/>
        </w:rPr>
        <w:t> </w:t>
      </w:r>
      <w:r>
        <w:rPr>
          <w:color w:val="231F20"/>
          <w:w w:val="105"/>
          <w:sz w:val="20"/>
        </w:rPr>
        <w:t>the</w:t>
      </w:r>
      <w:r>
        <w:rPr>
          <w:color w:val="231F20"/>
          <w:spacing w:val="-19"/>
          <w:w w:val="105"/>
          <w:sz w:val="20"/>
        </w:rPr>
        <w:t> </w:t>
      </w:r>
      <w:r>
        <w:rPr>
          <w:color w:val="231F20"/>
          <w:w w:val="105"/>
          <w:sz w:val="20"/>
        </w:rPr>
        <w:t>food</w:t>
      </w:r>
      <w:r>
        <w:rPr>
          <w:color w:val="231F20"/>
          <w:spacing w:val="-19"/>
          <w:w w:val="105"/>
          <w:sz w:val="20"/>
        </w:rPr>
        <w:t> </w:t>
      </w:r>
      <w:r>
        <w:rPr>
          <w:color w:val="231F20"/>
          <w:w w:val="105"/>
          <w:sz w:val="20"/>
        </w:rPr>
        <w:t>industry</w:t>
      </w:r>
      <w:r>
        <w:rPr>
          <w:color w:val="231F20"/>
          <w:spacing w:val="-19"/>
          <w:w w:val="105"/>
          <w:sz w:val="20"/>
        </w:rPr>
        <w:t> </w:t>
      </w:r>
      <w:r>
        <w:rPr>
          <w:color w:val="231F20"/>
          <w:w w:val="105"/>
          <w:sz w:val="20"/>
        </w:rPr>
        <w:t>of consumer</w:t>
      </w:r>
      <w:r>
        <w:rPr>
          <w:color w:val="231F20"/>
          <w:spacing w:val="-14"/>
          <w:w w:val="105"/>
          <w:sz w:val="20"/>
        </w:rPr>
        <w:t> </w:t>
      </w:r>
      <w:r>
        <w:rPr>
          <w:color w:val="231F20"/>
          <w:w w:val="105"/>
          <w:sz w:val="20"/>
        </w:rPr>
        <w:t>complaints</w:t>
      </w:r>
      <w:r>
        <w:rPr>
          <w:color w:val="231F20"/>
          <w:spacing w:val="-14"/>
          <w:w w:val="105"/>
          <w:sz w:val="20"/>
        </w:rPr>
        <w:t> </w:t>
      </w:r>
      <w:r>
        <w:rPr>
          <w:color w:val="231F20"/>
          <w:w w:val="105"/>
          <w:sz w:val="20"/>
        </w:rPr>
        <w:t>of</w:t>
      </w:r>
      <w:r>
        <w:rPr>
          <w:color w:val="231F20"/>
          <w:spacing w:val="8"/>
          <w:w w:val="105"/>
          <w:sz w:val="20"/>
        </w:rPr>
        <w:t> </w:t>
      </w:r>
      <w:r>
        <w:rPr>
          <w:color w:val="231F20"/>
          <w:w w:val="105"/>
          <w:sz w:val="20"/>
        </w:rPr>
        <w:t>illness</w:t>
      </w:r>
      <w:r>
        <w:rPr>
          <w:color w:val="231F20"/>
          <w:spacing w:val="-14"/>
          <w:w w:val="105"/>
          <w:sz w:val="20"/>
        </w:rPr>
        <w:t> </w:t>
      </w:r>
      <w:r>
        <w:rPr>
          <w:color w:val="231F20"/>
          <w:w w:val="105"/>
          <w:sz w:val="20"/>
        </w:rPr>
        <w:t>or</w:t>
      </w:r>
      <w:r>
        <w:rPr>
          <w:color w:val="231F20"/>
          <w:spacing w:val="-14"/>
          <w:w w:val="105"/>
          <w:sz w:val="20"/>
        </w:rPr>
        <w:t> </w:t>
      </w:r>
      <w:r>
        <w:rPr>
          <w:color w:val="231F20"/>
          <w:spacing w:val="-4"/>
          <w:w w:val="105"/>
          <w:sz w:val="20"/>
        </w:rPr>
        <w:t>injury.</w:t>
      </w:r>
    </w:p>
    <w:p>
      <w:pPr>
        <w:pStyle w:val="BodyText"/>
        <w:spacing w:line="261" w:lineRule="auto" w:before="164"/>
        <w:ind w:left="720" w:right="48"/>
        <w:rPr>
          <w:rFonts w:ascii="Arial"/>
        </w:rPr>
      </w:pPr>
      <w:r>
        <w:rPr>
          <w:rFonts w:ascii="Arial"/>
          <w:color w:val="1C3E94"/>
        </w:rPr>
        <w:t>9.2.2. Statutes and Regulations Governing Surveillance and Investigation</w:t>
      </w:r>
    </w:p>
    <w:p>
      <w:pPr>
        <w:pStyle w:val="BodyText"/>
        <w:spacing w:line="266" w:lineRule="auto" w:before="194"/>
        <w:ind w:left="720" w:right="-4"/>
      </w:pPr>
      <w:r>
        <w:rPr>
          <w:color w:val="231F20"/>
          <w:w w:val="105"/>
        </w:rPr>
        <w:t>Confirmed or probable cases identified from items 9.2.1 a–e above are subject to the reporting statute(s) and regulations of the health </w:t>
      </w:r>
      <w:r>
        <w:rPr>
          <w:color w:val="231F20"/>
          <w:spacing w:val="-4"/>
          <w:w w:val="105"/>
        </w:rPr>
        <w:t>agency. </w:t>
      </w:r>
      <w:r>
        <w:rPr>
          <w:color w:val="231F20"/>
          <w:w w:val="105"/>
        </w:rPr>
        <w:t>Items 9.2.1 f and g</w:t>
      </w:r>
      <w:r>
        <w:rPr>
          <w:color w:val="231F20"/>
          <w:spacing w:val="-26"/>
          <w:w w:val="105"/>
        </w:rPr>
        <w:t> </w:t>
      </w:r>
      <w:r>
        <w:rPr>
          <w:color w:val="231F20"/>
          <w:w w:val="105"/>
        </w:rPr>
        <w:t>generally</w:t>
      </w:r>
      <w:r>
        <w:rPr>
          <w:color w:val="231F20"/>
          <w:spacing w:val="-1"/>
          <w:w w:val="105"/>
        </w:rPr>
        <w:t> </w:t>
      </w:r>
      <w:r>
        <w:rPr>
          <w:color w:val="231F20"/>
          <w:w w:val="105"/>
        </w:rPr>
        <w:t>do</w:t>
      </w:r>
      <w:r>
        <w:rPr>
          <w:color w:val="231F20"/>
          <w:w w:val="101"/>
        </w:rPr>
        <w:t> </w:t>
      </w:r>
      <w:r>
        <w:rPr>
          <w:color w:val="231F20"/>
          <w:w w:val="105"/>
        </w:rPr>
        <w:t>not</w:t>
      </w:r>
      <w:r>
        <w:rPr>
          <w:color w:val="231F20"/>
          <w:spacing w:val="-10"/>
          <w:w w:val="105"/>
        </w:rPr>
        <w:t> </w:t>
      </w:r>
      <w:r>
        <w:rPr>
          <w:color w:val="231F20"/>
          <w:spacing w:val="-3"/>
          <w:w w:val="105"/>
        </w:rPr>
        <w:t>have</w:t>
      </w:r>
      <w:r>
        <w:rPr>
          <w:color w:val="231F20"/>
          <w:spacing w:val="-10"/>
          <w:w w:val="105"/>
        </w:rPr>
        <w:t> </w:t>
      </w:r>
      <w:r>
        <w:rPr>
          <w:color w:val="231F20"/>
          <w:w w:val="105"/>
        </w:rPr>
        <w:t>as</w:t>
      </w:r>
      <w:r>
        <w:rPr>
          <w:color w:val="231F20"/>
          <w:spacing w:val="-10"/>
          <w:w w:val="105"/>
        </w:rPr>
        <w:t> </w:t>
      </w:r>
      <w:r>
        <w:rPr>
          <w:color w:val="231F20"/>
          <w:w w:val="105"/>
        </w:rPr>
        <w:t>strong</w:t>
      </w:r>
      <w:r>
        <w:rPr>
          <w:color w:val="231F20"/>
          <w:spacing w:val="-10"/>
          <w:w w:val="105"/>
        </w:rPr>
        <w:t> </w:t>
      </w:r>
      <w:r>
        <w:rPr>
          <w:color w:val="231F20"/>
          <w:w w:val="105"/>
        </w:rPr>
        <w:t>a</w:t>
      </w:r>
      <w:r>
        <w:rPr>
          <w:color w:val="231F20"/>
          <w:spacing w:val="-10"/>
          <w:w w:val="105"/>
        </w:rPr>
        <w:t> </w:t>
      </w:r>
      <w:r>
        <w:rPr>
          <w:color w:val="231F20"/>
          <w:w w:val="105"/>
        </w:rPr>
        <w:t>level</w:t>
      </w:r>
      <w:r>
        <w:rPr>
          <w:color w:val="231F20"/>
          <w:spacing w:val="-10"/>
          <w:w w:val="105"/>
        </w:rPr>
        <w:t> </w:t>
      </w:r>
      <w:r>
        <w:rPr>
          <w:color w:val="231F20"/>
          <w:w w:val="105"/>
        </w:rPr>
        <w:t>of</w:t>
      </w:r>
      <w:r>
        <w:rPr>
          <w:color w:val="231F20"/>
          <w:spacing w:val="13"/>
          <w:w w:val="105"/>
        </w:rPr>
        <w:t> </w:t>
      </w:r>
      <w:r>
        <w:rPr>
          <w:color w:val="231F20"/>
          <w:w w:val="105"/>
        </w:rPr>
        <w:t>legal</w:t>
      </w:r>
      <w:r>
        <w:rPr>
          <w:color w:val="231F20"/>
          <w:spacing w:val="-10"/>
          <w:w w:val="105"/>
        </w:rPr>
        <w:t> </w:t>
      </w:r>
      <w:r>
        <w:rPr>
          <w:color w:val="231F20"/>
          <w:w w:val="105"/>
        </w:rPr>
        <w:t>protection</w:t>
      </w:r>
      <w:r>
        <w:rPr>
          <w:color w:val="231F20"/>
          <w:spacing w:val="-10"/>
          <w:w w:val="105"/>
        </w:rPr>
        <w:t> </w:t>
      </w:r>
      <w:r>
        <w:rPr>
          <w:color w:val="231F20"/>
          <w:w w:val="105"/>
        </w:rPr>
        <w:t>as do named case reports because they are either </w:t>
      </w:r>
      <w:r>
        <w:rPr>
          <w:color w:val="231F20"/>
          <w:spacing w:val="-3"/>
          <w:w w:val="105"/>
        </w:rPr>
        <w:t>voluntary,</w:t>
      </w:r>
      <w:r>
        <w:rPr>
          <w:color w:val="231F20"/>
          <w:spacing w:val="-17"/>
          <w:w w:val="105"/>
        </w:rPr>
        <w:t> </w:t>
      </w:r>
      <w:r>
        <w:rPr>
          <w:color w:val="231F20"/>
          <w:w w:val="105"/>
        </w:rPr>
        <w:t>unconfirmed</w:t>
      </w:r>
      <w:r>
        <w:rPr>
          <w:color w:val="231F20"/>
          <w:spacing w:val="-17"/>
          <w:w w:val="105"/>
        </w:rPr>
        <w:t> </w:t>
      </w:r>
      <w:r>
        <w:rPr>
          <w:color w:val="231F20"/>
          <w:w w:val="105"/>
        </w:rPr>
        <w:t>disease</w:t>
      </w:r>
      <w:r>
        <w:rPr>
          <w:color w:val="231F20"/>
          <w:spacing w:val="-17"/>
          <w:w w:val="105"/>
        </w:rPr>
        <w:t> </w:t>
      </w:r>
      <w:r>
        <w:rPr>
          <w:color w:val="231F20"/>
          <w:w w:val="105"/>
        </w:rPr>
        <w:t>reports</w:t>
      </w:r>
      <w:r>
        <w:rPr>
          <w:color w:val="231F20"/>
          <w:spacing w:val="-17"/>
          <w:w w:val="105"/>
        </w:rPr>
        <w:t> </w:t>
      </w:r>
      <w:r>
        <w:rPr>
          <w:color w:val="231F20"/>
          <w:w w:val="105"/>
        </w:rPr>
        <w:t>(item</w:t>
      </w:r>
      <w:r>
        <w:rPr>
          <w:color w:val="231F20"/>
          <w:spacing w:val="-17"/>
          <w:w w:val="105"/>
        </w:rPr>
        <w:t> </w:t>
      </w:r>
      <w:r>
        <w:rPr>
          <w:color w:val="231F20"/>
          <w:w w:val="105"/>
        </w:rPr>
        <w:t>f) or</w:t>
      </w:r>
      <w:r>
        <w:rPr>
          <w:color w:val="231F20"/>
          <w:spacing w:val="-14"/>
          <w:w w:val="105"/>
        </w:rPr>
        <w:t> </w:t>
      </w:r>
      <w:r>
        <w:rPr>
          <w:color w:val="231F20"/>
          <w:w w:val="105"/>
        </w:rPr>
        <w:t>diagnoses</w:t>
      </w:r>
      <w:r>
        <w:rPr>
          <w:color w:val="231F20"/>
          <w:spacing w:val="-14"/>
          <w:w w:val="105"/>
        </w:rPr>
        <w:t> </w:t>
      </w:r>
      <w:r>
        <w:rPr>
          <w:color w:val="231F20"/>
          <w:w w:val="105"/>
        </w:rPr>
        <w:t>for</w:t>
      </w:r>
      <w:r>
        <w:rPr>
          <w:color w:val="231F20"/>
          <w:spacing w:val="-14"/>
          <w:w w:val="105"/>
        </w:rPr>
        <w:t> </w:t>
      </w:r>
      <w:r>
        <w:rPr>
          <w:color w:val="231F20"/>
          <w:w w:val="105"/>
        </w:rPr>
        <w:t>which</w:t>
      </w:r>
      <w:r>
        <w:rPr>
          <w:color w:val="231F20"/>
          <w:spacing w:val="-14"/>
          <w:w w:val="105"/>
        </w:rPr>
        <w:t> </w:t>
      </w:r>
      <w:r>
        <w:rPr>
          <w:color w:val="231F20"/>
          <w:w w:val="105"/>
        </w:rPr>
        <w:t>names</w:t>
      </w:r>
      <w:r>
        <w:rPr>
          <w:color w:val="231F20"/>
          <w:spacing w:val="-14"/>
          <w:w w:val="105"/>
        </w:rPr>
        <w:t> </w:t>
      </w:r>
      <w:r>
        <w:rPr>
          <w:color w:val="231F20"/>
          <w:w w:val="105"/>
        </w:rPr>
        <w:t>are</w:t>
      </w:r>
      <w:r>
        <w:rPr>
          <w:color w:val="231F20"/>
          <w:spacing w:val="-14"/>
          <w:w w:val="105"/>
        </w:rPr>
        <w:t> </w:t>
      </w:r>
      <w:r>
        <w:rPr>
          <w:color w:val="231F20"/>
          <w:w w:val="105"/>
        </w:rPr>
        <w:t>not</w:t>
      </w:r>
      <w:r>
        <w:rPr>
          <w:color w:val="231F20"/>
          <w:spacing w:val="-14"/>
          <w:w w:val="105"/>
        </w:rPr>
        <w:t> </w:t>
      </w:r>
      <w:r>
        <w:rPr>
          <w:color w:val="231F20"/>
          <w:w w:val="105"/>
        </w:rPr>
        <w:t>collected</w:t>
      </w:r>
    </w:p>
    <w:p>
      <w:pPr>
        <w:pStyle w:val="BodyText"/>
        <w:spacing w:before="108"/>
        <w:ind w:left="358"/>
      </w:pPr>
      <w:r>
        <w:rPr/>
        <w:br w:type="column"/>
      </w:r>
      <w:r>
        <w:rPr>
          <w:color w:val="231F20"/>
        </w:rPr>
        <w:t>cannot be confirmed (item  g).</w:t>
      </w:r>
    </w:p>
    <w:p>
      <w:pPr>
        <w:pStyle w:val="BodyText"/>
        <w:spacing w:before="2"/>
        <w:rPr>
          <w:sz w:val="18"/>
        </w:rPr>
      </w:pPr>
    </w:p>
    <w:p>
      <w:pPr>
        <w:pStyle w:val="BodyText"/>
        <w:spacing w:line="266" w:lineRule="auto"/>
        <w:ind w:left="358" w:right="1429"/>
      </w:pPr>
      <w:r>
        <w:rPr>
          <w:color w:val="231F20"/>
          <w:w w:val="105"/>
        </w:rPr>
        <w:t>Routine investigation of enteric diseases to confirm the diagnosis and determine the source of exposure, risk factors for infection, and contacts of a contagious patient is usually considered part of surveillance and disease control activities authorized by state and local statutes.</w:t>
      </w:r>
    </w:p>
    <w:p>
      <w:pPr>
        <w:pStyle w:val="BodyText"/>
        <w:spacing w:line="266" w:lineRule="auto" w:before="179"/>
        <w:ind w:left="358" w:right="1547"/>
      </w:pPr>
      <w:r>
        <w:rPr>
          <w:color w:val="231F20"/>
          <w:w w:val="105"/>
        </w:rPr>
        <w:t>CDC may participate in an investigation of an</w:t>
      </w:r>
      <w:r>
        <w:rPr>
          <w:color w:val="231F20"/>
          <w:spacing w:val="-9"/>
          <w:w w:val="105"/>
        </w:rPr>
        <w:t> </w:t>
      </w:r>
      <w:r>
        <w:rPr>
          <w:color w:val="231F20"/>
          <w:w w:val="105"/>
        </w:rPr>
        <w:t>outbreak</w:t>
      </w:r>
      <w:r>
        <w:rPr>
          <w:color w:val="231F20"/>
          <w:spacing w:val="-9"/>
          <w:w w:val="105"/>
        </w:rPr>
        <w:t> </w:t>
      </w:r>
      <w:r>
        <w:rPr>
          <w:color w:val="231F20"/>
          <w:w w:val="105"/>
        </w:rPr>
        <w:t>of</w:t>
      </w:r>
      <w:r>
        <w:rPr>
          <w:color w:val="231F20"/>
          <w:spacing w:val="15"/>
          <w:w w:val="105"/>
        </w:rPr>
        <w:t> </w:t>
      </w:r>
      <w:r>
        <w:rPr>
          <w:color w:val="231F20"/>
          <w:w w:val="105"/>
        </w:rPr>
        <w:t>enteric</w:t>
      </w:r>
      <w:r>
        <w:rPr>
          <w:color w:val="231F20"/>
          <w:spacing w:val="-9"/>
          <w:w w:val="105"/>
        </w:rPr>
        <w:t> </w:t>
      </w:r>
      <w:r>
        <w:rPr>
          <w:color w:val="231F20"/>
          <w:w w:val="105"/>
        </w:rPr>
        <w:t>disease</w:t>
      </w:r>
      <w:r>
        <w:rPr>
          <w:color w:val="231F20"/>
          <w:spacing w:val="-9"/>
          <w:w w:val="105"/>
        </w:rPr>
        <w:t> </w:t>
      </w:r>
      <w:r>
        <w:rPr>
          <w:color w:val="231F20"/>
          <w:w w:val="105"/>
        </w:rPr>
        <w:t>within</w:t>
      </w:r>
      <w:r>
        <w:rPr>
          <w:color w:val="231F20"/>
          <w:spacing w:val="-9"/>
          <w:w w:val="105"/>
        </w:rPr>
        <w:t> </w:t>
      </w:r>
      <w:r>
        <w:rPr>
          <w:color w:val="231F20"/>
          <w:w w:val="105"/>
        </w:rPr>
        <w:t>a</w:t>
      </w:r>
      <w:r>
        <w:rPr>
          <w:color w:val="231F20"/>
          <w:spacing w:val="-9"/>
          <w:w w:val="105"/>
        </w:rPr>
        <w:t> </w:t>
      </w:r>
      <w:r>
        <w:rPr>
          <w:color w:val="231F20"/>
          <w:w w:val="105"/>
        </w:rPr>
        <w:t>state</w:t>
      </w:r>
      <w:r>
        <w:rPr>
          <w:color w:val="231F20"/>
          <w:spacing w:val="-9"/>
          <w:w w:val="105"/>
        </w:rPr>
        <w:t> </w:t>
      </w:r>
      <w:r>
        <w:rPr>
          <w:color w:val="231F20"/>
          <w:w w:val="105"/>
        </w:rPr>
        <w:t>if</w:t>
      </w:r>
    </w:p>
    <w:p>
      <w:pPr>
        <w:pStyle w:val="BodyText"/>
        <w:spacing w:line="266" w:lineRule="auto"/>
        <w:ind w:left="358" w:right="1429"/>
      </w:pPr>
      <w:r>
        <w:rPr>
          <w:color w:val="231F20"/>
          <w:w w:val="105"/>
        </w:rPr>
        <w:t>invited by the state. States usually expect CDC to help coordinate large multistate outbreaks of enteric disease.</w:t>
      </w:r>
    </w:p>
    <w:p>
      <w:pPr>
        <w:pStyle w:val="BodyText"/>
        <w:spacing w:line="266" w:lineRule="auto" w:before="180"/>
        <w:ind w:left="358" w:right="1732"/>
      </w:pPr>
      <w:r>
        <w:rPr>
          <w:color w:val="231F20"/>
          <w:w w:val="105"/>
        </w:rPr>
        <w:t>Methods</w:t>
      </w:r>
      <w:r>
        <w:rPr>
          <w:color w:val="231F20"/>
          <w:spacing w:val="-14"/>
          <w:w w:val="105"/>
        </w:rPr>
        <w:t> </w:t>
      </w:r>
      <w:r>
        <w:rPr>
          <w:color w:val="231F20"/>
          <w:w w:val="105"/>
        </w:rPr>
        <w:t>for</w:t>
      </w:r>
      <w:r>
        <w:rPr>
          <w:color w:val="231F20"/>
          <w:spacing w:val="-14"/>
          <w:w w:val="105"/>
        </w:rPr>
        <w:t> </w:t>
      </w:r>
      <w:r>
        <w:rPr>
          <w:color w:val="231F20"/>
          <w:w w:val="105"/>
        </w:rPr>
        <w:t>detecting</w:t>
      </w:r>
      <w:r>
        <w:rPr>
          <w:color w:val="231F20"/>
          <w:spacing w:val="-14"/>
          <w:w w:val="105"/>
        </w:rPr>
        <w:t> </w:t>
      </w:r>
      <w:r>
        <w:rPr>
          <w:color w:val="231F20"/>
          <w:w w:val="105"/>
        </w:rPr>
        <w:t>a</w:t>
      </w:r>
      <w:r>
        <w:rPr>
          <w:color w:val="231F20"/>
          <w:spacing w:val="-14"/>
          <w:w w:val="105"/>
        </w:rPr>
        <w:t> </w:t>
      </w:r>
      <w:r>
        <w:rPr>
          <w:color w:val="231F20"/>
          <w:w w:val="105"/>
        </w:rPr>
        <w:t>foodborne</w:t>
      </w:r>
      <w:r>
        <w:rPr>
          <w:color w:val="231F20"/>
          <w:spacing w:val="-14"/>
          <w:w w:val="105"/>
        </w:rPr>
        <w:t> </w:t>
      </w:r>
      <w:r>
        <w:rPr>
          <w:color w:val="231F20"/>
          <w:w w:val="105"/>
        </w:rPr>
        <w:t>disease outbreak resulting from an unannounced intentional act of contamination are the same</w:t>
      </w:r>
      <w:r>
        <w:rPr>
          <w:color w:val="231F20"/>
          <w:spacing w:val="-9"/>
          <w:w w:val="105"/>
        </w:rPr>
        <w:t> </w:t>
      </w:r>
      <w:r>
        <w:rPr>
          <w:color w:val="231F20"/>
          <w:w w:val="105"/>
        </w:rPr>
        <w:t>as</w:t>
      </w:r>
      <w:r>
        <w:rPr>
          <w:color w:val="231F20"/>
          <w:spacing w:val="-9"/>
          <w:w w:val="105"/>
        </w:rPr>
        <w:t> </w:t>
      </w:r>
      <w:r>
        <w:rPr>
          <w:color w:val="231F20"/>
          <w:w w:val="105"/>
        </w:rPr>
        <w:t>those</w:t>
      </w:r>
      <w:r>
        <w:rPr>
          <w:color w:val="231F20"/>
          <w:spacing w:val="-9"/>
          <w:w w:val="105"/>
        </w:rPr>
        <w:t> </w:t>
      </w:r>
      <w:r>
        <w:rPr>
          <w:color w:val="231F20"/>
          <w:w w:val="105"/>
        </w:rPr>
        <w:t>for</w:t>
      </w:r>
      <w:r>
        <w:rPr>
          <w:color w:val="231F20"/>
          <w:spacing w:val="-9"/>
          <w:w w:val="105"/>
        </w:rPr>
        <w:t> </w:t>
      </w:r>
      <w:r>
        <w:rPr>
          <w:color w:val="231F20"/>
          <w:w w:val="105"/>
        </w:rPr>
        <w:t>detecting</w:t>
      </w:r>
      <w:r>
        <w:rPr>
          <w:color w:val="231F20"/>
          <w:spacing w:val="-9"/>
          <w:w w:val="105"/>
        </w:rPr>
        <w:t> </w:t>
      </w:r>
      <w:r>
        <w:rPr>
          <w:color w:val="231F20"/>
          <w:w w:val="105"/>
        </w:rPr>
        <w:t>a</w:t>
      </w:r>
      <w:r>
        <w:rPr>
          <w:color w:val="231F20"/>
          <w:spacing w:val="-9"/>
          <w:w w:val="105"/>
        </w:rPr>
        <w:t> </w:t>
      </w:r>
      <w:r>
        <w:rPr>
          <w:color w:val="231F20"/>
          <w:w w:val="105"/>
        </w:rPr>
        <w:t>“regular”</w:t>
      </w:r>
      <w:r>
        <w:rPr>
          <w:color w:val="231F20"/>
          <w:spacing w:val="-9"/>
          <w:w w:val="105"/>
        </w:rPr>
        <w:t> </w:t>
      </w:r>
      <w:r>
        <w:rPr>
          <w:color w:val="231F20"/>
          <w:w w:val="105"/>
        </w:rPr>
        <w:t>(i.e., unintentional contamination) foodborne disease outbreak. The legal authorities to conduct outbreak detection activities are the same—at least initially—regardless of the intentionality of the contamination </w:t>
      </w:r>
      <w:r>
        <w:rPr>
          <w:color w:val="231F20"/>
          <w:spacing w:val="-4"/>
          <w:w w:val="105"/>
        </w:rPr>
        <w:t>(e.g., </w:t>
      </w:r>
      <w:r>
        <w:rPr>
          <w:color w:val="231F20"/>
          <w:w w:val="105"/>
        </w:rPr>
        <w:t>disease surveillance and reporting requirements). </w:t>
      </w:r>
      <w:r>
        <w:rPr>
          <w:color w:val="231F20"/>
          <w:spacing w:val="-5"/>
          <w:w w:val="105"/>
        </w:rPr>
        <w:t>However, </w:t>
      </w:r>
      <w:r>
        <w:rPr>
          <w:color w:val="231F20"/>
          <w:w w:val="105"/>
        </w:rPr>
        <w:t>once intentional contamination</w:t>
      </w:r>
      <w:r>
        <w:rPr>
          <w:color w:val="231F20"/>
          <w:spacing w:val="-13"/>
          <w:w w:val="105"/>
        </w:rPr>
        <w:t> </w:t>
      </w:r>
      <w:r>
        <w:rPr>
          <w:color w:val="231F20"/>
          <w:w w:val="105"/>
        </w:rPr>
        <w:t>is</w:t>
      </w:r>
      <w:r>
        <w:rPr>
          <w:color w:val="231F20"/>
          <w:spacing w:val="-13"/>
          <w:w w:val="105"/>
        </w:rPr>
        <w:t> </w:t>
      </w:r>
      <w:r>
        <w:rPr>
          <w:color w:val="231F20"/>
          <w:w w:val="105"/>
        </w:rPr>
        <w:t>suspected,</w:t>
      </w:r>
      <w:r>
        <w:rPr>
          <w:color w:val="231F20"/>
          <w:spacing w:val="-13"/>
          <w:w w:val="105"/>
        </w:rPr>
        <w:t> </w:t>
      </w:r>
      <w:r>
        <w:rPr>
          <w:color w:val="231F20"/>
          <w:w w:val="105"/>
        </w:rPr>
        <w:t>additional</w:t>
      </w:r>
      <w:r>
        <w:rPr>
          <w:color w:val="231F20"/>
          <w:spacing w:val="-13"/>
          <w:w w:val="105"/>
        </w:rPr>
        <w:t> </w:t>
      </w:r>
      <w:r>
        <w:rPr>
          <w:color w:val="231F20"/>
          <w:w w:val="105"/>
        </w:rPr>
        <w:t>state criminal, antiterrorism, and emergency response</w:t>
      </w:r>
      <w:r>
        <w:rPr>
          <w:color w:val="231F20"/>
          <w:spacing w:val="-14"/>
          <w:w w:val="105"/>
        </w:rPr>
        <w:t> </w:t>
      </w:r>
      <w:r>
        <w:rPr>
          <w:color w:val="231F20"/>
          <w:w w:val="105"/>
        </w:rPr>
        <w:t>laws</w:t>
      </w:r>
      <w:r>
        <w:rPr>
          <w:color w:val="231F20"/>
          <w:spacing w:val="-14"/>
          <w:w w:val="105"/>
        </w:rPr>
        <w:t> </w:t>
      </w:r>
      <w:r>
        <w:rPr>
          <w:color w:val="231F20"/>
          <w:w w:val="105"/>
        </w:rPr>
        <w:t>most</w:t>
      </w:r>
      <w:r>
        <w:rPr>
          <w:color w:val="231F20"/>
          <w:spacing w:val="-14"/>
          <w:w w:val="105"/>
        </w:rPr>
        <w:t> </w:t>
      </w:r>
      <w:r>
        <w:rPr>
          <w:color w:val="231F20"/>
          <w:w w:val="105"/>
        </w:rPr>
        <w:t>likely</w:t>
      </w:r>
      <w:r>
        <w:rPr>
          <w:color w:val="231F20"/>
          <w:spacing w:val="-14"/>
          <w:w w:val="105"/>
        </w:rPr>
        <w:t> </w:t>
      </w:r>
      <w:r>
        <w:rPr>
          <w:color w:val="231F20"/>
          <w:w w:val="105"/>
        </w:rPr>
        <w:t>will</w:t>
      </w:r>
      <w:r>
        <w:rPr>
          <w:color w:val="231F20"/>
          <w:spacing w:val="-14"/>
          <w:w w:val="105"/>
        </w:rPr>
        <w:t> </w:t>
      </w:r>
      <w:r>
        <w:rPr>
          <w:color w:val="231F20"/>
          <w:w w:val="105"/>
        </w:rPr>
        <w:t>enhance</w:t>
      </w:r>
      <w:r>
        <w:rPr>
          <w:color w:val="231F20"/>
          <w:spacing w:val="-14"/>
          <w:w w:val="105"/>
        </w:rPr>
        <w:t> </w:t>
      </w:r>
      <w:r>
        <w:rPr>
          <w:color w:val="231F20"/>
          <w:w w:val="105"/>
        </w:rPr>
        <w:t>or</w:t>
      </w:r>
    </w:p>
    <w:p>
      <w:pPr>
        <w:pStyle w:val="BodyText"/>
        <w:spacing w:line="266" w:lineRule="auto"/>
        <w:ind w:left="358" w:right="1427"/>
      </w:pPr>
      <w:r>
        <w:rPr>
          <w:color w:val="231F20"/>
          <w:w w:val="105"/>
        </w:rPr>
        <w:t>control</w:t>
      </w:r>
      <w:r>
        <w:rPr>
          <w:color w:val="231F20"/>
          <w:spacing w:val="-20"/>
          <w:w w:val="105"/>
        </w:rPr>
        <w:t> </w:t>
      </w:r>
      <w:r>
        <w:rPr>
          <w:color w:val="231F20"/>
          <w:w w:val="105"/>
        </w:rPr>
        <w:t>the</w:t>
      </w:r>
      <w:r>
        <w:rPr>
          <w:color w:val="231F20"/>
          <w:spacing w:val="-20"/>
          <w:w w:val="105"/>
        </w:rPr>
        <w:t> </w:t>
      </w:r>
      <w:r>
        <w:rPr>
          <w:color w:val="231F20"/>
          <w:w w:val="105"/>
        </w:rPr>
        <w:t>course</w:t>
      </w:r>
      <w:r>
        <w:rPr>
          <w:color w:val="231F20"/>
          <w:spacing w:val="-20"/>
          <w:w w:val="105"/>
        </w:rPr>
        <w:t> </w:t>
      </w:r>
      <w:r>
        <w:rPr>
          <w:color w:val="231F20"/>
          <w:w w:val="105"/>
        </w:rPr>
        <w:t>of the</w:t>
      </w:r>
      <w:r>
        <w:rPr>
          <w:color w:val="231F20"/>
          <w:spacing w:val="-20"/>
          <w:w w:val="105"/>
        </w:rPr>
        <w:t> </w:t>
      </w:r>
      <w:r>
        <w:rPr>
          <w:color w:val="231F20"/>
          <w:w w:val="105"/>
        </w:rPr>
        <w:t>outbreak</w:t>
      </w:r>
      <w:r>
        <w:rPr>
          <w:color w:val="231F20"/>
          <w:spacing w:val="-19"/>
          <w:w w:val="105"/>
        </w:rPr>
        <w:t> </w:t>
      </w:r>
      <w:r>
        <w:rPr>
          <w:color w:val="231F20"/>
          <w:w w:val="105"/>
        </w:rPr>
        <w:t>investigation and</w:t>
      </w:r>
      <w:r>
        <w:rPr>
          <w:color w:val="231F20"/>
          <w:spacing w:val="-20"/>
          <w:w w:val="105"/>
        </w:rPr>
        <w:t> </w:t>
      </w:r>
      <w:r>
        <w:rPr>
          <w:color w:val="231F20"/>
          <w:w w:val="105"/>
        </w:rPr>
        <w:t>response</w:t>
      </w:r>
      <w:r>
        <w:rPr>
          <w:color w:val="231F20"/>
          <w:spacing w:val="-20"/>
          <w:w w:val="105"/>
        </w:rPr>
        <w:t> </w:t>
      </w:r>
      <w:r>
        <w:rPr>
          <w:color w:val="231F20"/>
          <w:w w:val="105"/>
        </w:rPr>
        <w:t>(see</w:t>
      </w:r>
      <w:r>
        <w:rPr>
          <w:color w:val="231F20"/>
          <w:spacing w:val="-20"/>
          <w:w w:val="105"/>
        </w:rPr>
        <w:t> </w:t>
      </w:r>
      <w:r>
        <w:rPr>
          <w:color w:val="231F20"/>
          <w:w w:val="105"/>
        </w:rPr>
        <w:t>section</w:t>
      </w:r>
      <w:r>
        <w:rPr>
          <w:color w:val="231F20"/>
          <w:spacing w:val="-20"/>
          <w:w w:val="105"/>
        </w:rPr>
        <w:t> </w:t>
      </w:r>
      <w:r>
        <w:rPr>
          <w:color w:val="231F20"/>
          <w:w w:val="105"/>
        </w:rPr>
        <w:t>9.4).</w:t>
      </w:r>
    </w:p>
    <w:p>
      <w:pPr>
        <w:spacing w:after="0" w:line="266" w:lineRule="auto"/>
        <w:sectPr>
          <w:type w:val="continuous"/>
          <w:pgSz w:w="10080" w:h="14400"/>
          <w:pgMar w:top="0" w:bottom="0" w:left="0" w:right="0"/>
          <w:cols w:num="2" w:equalWidth="0">
            <w:col w:w="4462" w:space="40"/>
            <w:col w:w="5578"/>
          </w:cols>
        </w:sectPr>
      </w:pPr>
    </w:p>
    <w:p>
      <w:pPr>
        <w:pStyle w:val="Heading1"/>
        <w:numPr>
          <w:ilvl w:val="1"/>
          <w:numId w:val="12"/>
        </w:numPr>
        <w:tabs>
          <w:tab w:pos="1265" w:val="left" w:leader="none"/>
        </w:tabs>
        <w:spacing w:line="249" w:lineRule="auto" w:before="185" w:after="0"/>
        <w:ind w:left="1264" w:right="1470" w:hanging="544"/>
        <w:jc w:val="left"/>
      </w:pPr>
      <w:r>
        <w:rPr/>
        <w:pict>
          <v:line style="position:absolute;mso-position-horizontal-relative:page;mso-position-vertical-relative:paragraph;z-index:1912;mso-wrap-distance-left:0;mso-wrap-distance-right:0" from="36pt,45.191845pt" to="432pt,45.191845pt" stroked="true" strokeweight=".5pt" strokecolor="#00a94f">
            <v:stroke dashstyle="solid"/>
            <w10:wrap type="topAndBottom"/>
          </v:line>
        </w:pict>
      </w:r>
      <w:r>
        <w:rPr/>
        <w:pict>
          <v:rect style="position:absolute;margin-left:459pt;margin-top:5.239944pt;width:45pt;height:18pt;mso-position-horizontal-relative:page;mso-position-vertical-relative:paragraph;z-index:1960" filled="true" fillcolor="#0079c1" stroked="false">
            <v:fill type="solid"/>
            <w10:wrap type="none"/>
          </v:rect>
        </w:pict>
      </w:r>
      <w:r>
        <w:rPr/>
        <w:pict>
          <v:line style="position:absolute;mso-position-horizontal-relative:page;mso-position-vertical-relative:paragraph;z-index:1984" from="450.5pt,5.240344pt" to="450.5pt,187.242344pt" stroked="true" strokeweight="1pt" strokecolor="#0079c1">
            <v:stroke dashstyle="solid"/>
            <w10:wrap type="none"/>
          </v:line>
        </w:pict>
      </w:r>
      <w:r>
        <w:rPr/>
        <w:pict>
          <v:shape style="position:absolute;margin-left:460.346802pt;margin-top:27.237143pt;width:32.25pt;height:157.5pt;mso-position-horizontal-relative:page;mso-position-vertical-relative:paragraph;z-index:2008" type="#_x0000_t202" filled="false" stroked="false">
            <v:textbox inset="0,0,0,0" style="layout-flow:vertical">
              <w:txbxContent>
                <w:p>
                  <w:pPr>
                    <w:spacing w:line="200" w:lineRule="exact" w:before="12"/>
                    <w:ind w:left="20" w:right="-741" w:firstLine="0"/>
                    <w:jc w:val="left"/>
                    <w:rPr>
                      <w:rFonts w:ascii="Lucida Sans"/>
                      <w:sz w:val="17"/>
                    </w:rPr>
                  </w:pPr>
                  <w:r>
                    <w:rPr>
                      <w:rFonts w:ascii="Lucida Sans"/>
                      <w:color w:val="0079C1"/>
                      <w:spacing w:val="8"/>
                      <w:w w:val="103"/>
                      <w:sz w:val="17"/>
                    </w:rPr>
                    <w:t>LEGA</w:t>
                  </w:r>
                  <w:r>
                    <w:rPr>
                      <w:rFonts w:ascii="Lucida Sans"/>
                      <w:color w:val="0079C1"/>
                      <w:w w:val="103"/>
                      <w:sz w:val="17"/>
                    </w:rPr>
                    <w:t>L</w:t>
                  </w:r>
                  <w:r>
                    <w:rPr>
                      <w:rFonts w:ascii="Lucida Sans"/>
                      <w:color w:val="0079C1"/>
                      <w:spacing w:val="10"/>
                      <w:sz w:val="17"/>
                    </w:rPr>
                    <w:t> </w:t>
                  </w:r>
                  <w:r>
                    <w:rPr>
                      <w:rFonts w:ascii="Lucida Sans"/>
                      <w:color w:val="0079C1"/>
                      <w:spacing w:val="8"/>
                      <w:w w:val="105"/>
                      <w:sz w:val="17"/>
                    </w:rPr>
                    <w:t>PRE</w:t>
                  </w:r>
                  <w:r>
                    <w:rPr>
                      <w:rFonts w:ascii="Lucida Sans"/>
                      <w:color w:val="0079C1"/>
                      <w:spacing w:val="-5"/>
                      <w:w w:val="105"/>
                      <w:sz w:val="17"/>
                    </w:rPr>
                    <w:t>P</w:t>
                  </w:r>
                  <w:r>
                    <w:rPr>
                      <w:rFonts w:ascii="Lucida Sans"/>
                      <w:color w:val="0079C1"/>
                      <w:spacing w:val="8"/>
                      <w:w w:val="104"/>
                      <w:sz w:val="17"/>
                    </w:rPr>
                    <w:t>AREDNES</w:t>
                  </w:r>
                  <w:r>
                    <w:rPr>
                      <w:rFonts w:ascii="Lucida Sans"/>
                      <w:color w:val="0079C1"/>
                      <w:w w:val="104"/>
                      <w:sz w:val="17"/>
                    </w:rPr>
                    <w:t>S</w:t>
                  </w:r>
                  <w:r>
                    <w:rPr>
                      <w:rFonts w:ascii="Lucida Sans"/>
                      <w:color w:val="0079C1"/>
                      <w:spacing w:val="10"/>
                      <w:sz w:val="17"/>
                    </w:rPr>
                    <w:t> </w:t>
                  </w:r>
                  <w:r>
                    <w:rPr>
                      <w:rFonts w:ascii="Lucida Sans"/>
                      <w:color w:val="0079C1"/>
                      <w:spacing w:val="8"/>
                      <w:w w:val="103"/>
                      <w:sz w:val="17"/>
                    </w:rPr>
                    <w:t>FO</w:t>
                  </w:r>
                  <w:r>
                    <w:rPr>
                      <w:rFonts w:ascii="Lucida Sans"/>
                      <w:color w:val="0079C1"/>
                      <w:w w:val="103"/>
                      <w:sz w:val="17"/>
                    </w:rPr>
                    <w:t>R</w:t>
                  </w:r>
                  <w:r>
                    <w:rPr>
                      <w:rFonts w:ascii="Lucida Sans"/>
                      <w:color w:val="0079C1"/>
                      <w:spacing w:val="10"/>
                      <w:sz w:val="17"/>
                    </w:rPr>
                    <w:t> </w:t>
                  </w:r>
                  <w:r>
                    <w:rPr>
                      <w:rFonts w:ascii="Lucida Sans"/>
                      <w:color w:val="0079C1"/>
                      <w:spacing w:val="8"/>
                      <w:w w:val="100"/>
                      <w:sz w:val="17"/>
                    </w:rPr>
                    <w:t>THE</w:t>
                  </w:r>
                </w:p>
                <w:p>
                  <w:pPr>
                    <w:spacing w:before="0"/>
                    <w:ind w:left="20" w:right="-695" w:firstLine="0"/>
                    <w:jc w:val="left"/>
                    <w:rPr>
                      <w:rFonts w:ascii="Lucida Sans"/>
                      <w:sz w:val="17"/>
                    </w:rPr>
                  </w:pPr>
                  <w:r>
                    <w:rPr>
                      <w:rFonts w:ascii="Lucida Sans"/>
                      <w:color w:val="0079C1"/>
                      <w:spacing w:val="8"/>
                      <w:w w:val="102"/>
                      <w:sz w:val="17"/>
                    </w:rPr>
                    <w:t>SURVEILLANC</w:t>
                  </w:r>
                  <w:r>
                    <w:rPr>
                      <w:rFonts w:ascii="Lucida Sans"/>
                      <w:color w:val="0079C1"/>
                      <w:w w:val="102"/>
                      <w:sz w:val="17"/>
                    </w:rPr>
                    <w:t>E</w:t>
                  </w:r>
                  <w:r>
                    <w:rPr>
                      <w:rFonts w:ascii="Lucida Sans"/>
                      <w:color w:val="0079C1"/>
                      <w:spacing w:val="10"/>
                      <w:sz w:val="17"/>
                    </w:rPr>
                    <w:t> </w:t>
                  </w:r>
                  <w:r>
                    <w:rPr>
                      <w:rFonts w:ascii="Lucida Sans"/>
                      <w:color w:val="0079C1"/>
                      <w:spacing w:val="8"/>
                      <w:w w:val="102"/>
                      <w:sz w:val="17"/>
                    </w:rPr>
                    <w:t>AN</w:t>
                  </w:r>
                  <w:r>
                    <w:rPr>
                      <w:rFonts w:ascii="Lucida Sans"/>
                      <w:color w:val="0079C1"/>
                      <w:w w:val="102"/>
                      <w:sz w:val="17"/>
                    </w:rPr>
                    <w:t>D</w:t>
                  </w:r>
                  <w:r>
                    <w:rPr>
                      <w:rFonts w:ascii="Lucida Sans"/>
                      <w:color w:val="0079C1"/>
                      <w:spacing w:val="10"/>
                      <w:sz w:val="17"/>
                    </w:rPr>
                    <w:t> </w:t>
                  </w:r>
                  <w:r>
                    <w:rPr>
                      <w:rFonts w:ascii="Lucida Sans"/>
                      <w:color w:val="0079C1"/>
                      <w:spacing w:val="8"/>
                      <w:w w:val="101"/>
                      <w:sz w:val="17"/>
                    </w:rPr>
                    <w:t>CONTRO</w:t>
                  </w:r>
                  <w:r>
                    <w:rPr>
                      <w:rFonts w:ascii="Lucida Sans"/>
                      <w:color w:val="0079C1"/>
                      <w:w w:val="101"/>
                      <w:sz w:val="17"/>
                    </w:rPr>
                    <w:t>L</w:t>
                  </w:r>
                  <w:r>
                    <w:rPr>
                      <w:rFonts w:ascii="Lucida Sans"/>
                      <w:color w:val="0079C1"/>
                      <w:spacing w:val="10"/>
                      <w:sz w:val="17"/>
                    </w:rPr>
                    <w:t> </w:t>
                  </w:r>
                  <w:r>
                    <w:rPr>
                      <w:rFonts w:ascii="Lucida Sans"/>
                      <w:color w:val="0079C1"/>
                      <w:spacing w:val="8"/>
                      <w:w w:val="107"/>
                      <w:sz w:val="17"/>
                    </w:rPr>
                    <w:t>OF </w:t>
                  </w:r>
                  <w:r>
                    <w:rPr>
                      <w:rFonts w:ascii="Lucida Sans"/>
                      <w:color w:val="0079C1"/>
                      <w:spacing w:val="8"/>
                      <w:w w:val="105"/>
                      <w:sz w:val="17"/>
                    </w:rPr>
                    <w:t>FOODBORN</w:t>
                  </w:r>
                  <w:r>
                    <w:rPr>
                      <w:rFonts w:ascii="Lucida Sans"/>
                      <w:color w:val="0079C1"/>
                      <w:w w:val="105"/>
                      <w:sz w:val="17"/>
                    </w:rPr>
                    <w:t>E</w:t>
                  </w:r>
                  <w:r>
                    <w:rPr>
                      <w:rFonts w:ascii="Lucida Sans"/>
                      <w:color w:val="0079C1"/>
                      <w:spacing w:val="10"/>
                      <w:sz w:val="17"/>
                    </w:rPr>
                    <w:t> </w:t>
                  </w:r>
                  <w:r>
                    <w:rPr>
                      <w:rFonts w:ascii="Lucida Sans"/>
                      <w:color w:val="0079C1"/>
                      <w:spacing w:val="8"/>
                      <w:w w:val="104"/>
                      <w:sz w:val="17"/>
                    </w:rPr>
                    <w:t>DISEAS</w:t>
                  </w:r>
                  <w:r>
                    <w:rPr>
                      <w:rFonts w:ascii="Lucida Sans"/>
                      <w:color w:val="0079C1"/>
                      <w:w w:val="104"/>
                      <w:sz w:val="17"/>
                    </w:rPr>
                    <w:t>E</w:t>
                  </w:r>
                  <w:r>
                    <w:rPr>
                      <w:rFonts w:ascii="Lucida Sans"/>
                      <w:color w:val="0079C1"/>
                      <w:spacing w:val="10"/>
                      <w:sz w:val="17"/>
                    </w:rPr>
                    <w:t> </w:t>
                  </w:r>
                  <w:r>
                    <w:rPr>
                      <w:rFonts w:ascii="Lucida Sans"/>
                      <w:color w:val="0079C1"/>
                      <w:spacing w:val="8"/>
                      <w:w w:val="102"/>
                      <w:sz w:val="17"/>
                    </w:rPr>
                    <w:t>OUTBREAKS</w:t>
                  </w:r>
                </w:p>
              </w:txbxContent>
            </v:textbox>
            <w10:wrap type="none"/>
          </v:shape>
        </w:pict>
      </w:r>
      <w:r>
        <w:rPr/>
        <w:pict>
          <v:shape style="position:absolute;margin-left:468.849609pt;margin-top:9.991343pt;width:15.85pt;height:8.5pt;mso-position-horizontal-relative:page;mso-position-vertical-relative:paragraph;z-index:2032"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9</w:t>
                  </w:r>
                </w:p>
              </w:txbxContent>
            </v:textbox>
            <w10:wrap type="none"/>
          </v:shape>
        </w:pict>
      </w:r>
      <w:r>
        <w:rPr>
          <w:color w:val="00A94F"/>
          <w:w w:val="105"/>
        </w:rPr>
        <w:t>Legal</w:t>
      </w:r>
      <w:r>
        <w:rPr>
          <w:color w:val="00A94F"/>
          <w:spacing w:val="-34"/>
          <w:w w:val="105"/>
        </w:rPr>
        <w:t> </w:t>
      </w:r>
      <w:r>
        <w:rPr>
          <w:color w:val="00A94F"/>
          <w:w w:val="105"/>
        </w:rPr>
        <w:t>Framework</w:t>
      </w:r>
      <w:r>
        <w:rPr>
          <w:color w:val="00A94F"/>
          <w:spacing w:val="-34"/>
          <w:w w:val="105"/>
        </w:rPr>
        <w:t> </w:t>
      </w:r>
      <w:r>
        <w:rPr>
          <w:color w:val="00A94F"/>
          <w:w w:val="105"/>
        </w:rPr>
        <w:t>for</w:t>
      </w:r>
      <w:r>
        <w:rPr>
          <w:color w:val="00A94F"/>
          <w:spacing w:val="-34"/>
          <w:w w:val="105"/>
        </w:rPr>
        <w:t> </w:t>
      </w:r>
      <w:r>
        <w:rPr>
          <w:color w:val="00A94F"/>
          <w:w w:val="105"/>
        </w:rPr>
        <w:t>Measures</w:t>
      </w:r>
      <w:r>
        <w:rPr>
          <w:color w:val="00A94F"/>
          <w:spacing w:val="-34"/>
          <w:w w:val="105"/>
        </w:rPr>
        <w:t> </w:t>
      </w:r>
      <w:r>
        <w:rPr>
          <w:color w:val="00A94F"/>
          <w:w w:val="105"/>
        </w:rPr>
        <w:t>and</w:t>
      </w:r>
      <w:r>
        <w:rPr>
          <w:color w:val="00A94F"/>
          <w:spacing w:val="-34"/>
          <w:w w:val="105"/>
        </w:rPr>
        <w:t> </w:t>
      </w:r>
      <w:r>
        <w:rPr>
          <w:color w:val="00A94F"/>
          <w:w w:val="105"/>
        </w:rPr>
        <w:t>Methods</w:t>
      </w:r>
      <w:r>
        <w:rPr>
          <w:color w:val="00A94F"/>
          <w:spacing w:val="-34"/>
          <w:w w:val="105"/>
        </w:rPr>
        <w:t> </w:t>
      </w:r>
      <w:r>
        <w:rPr>
          <w:color w:val="00A94F"/>
          <w:w w:val="105"/>
        </w:rPr>
        <w:t>to</w:t>
      </w:r>
      <w:r>
        <w:rPr>
          <w:color w:val="00A94F"/>
          <w:spacing w:val="-34"/>
          <w:w w:val="105"/>
        </w:rPr>
        <w:t> </w:t>
      </w:r>
      <w:r>
        <w:rPr>
          <w:color w:val="00A94F"/>
          <w:w w:val="105"/>
        </w:rPr>
        <w:t>Prevent</w:t>
      </w:r>
      <w:r>
        <w:rPr>
          <w:color w:val="00A94F"/>
          <w:spacing w:val="-34"/>
          <w:w w:val="105"/>
        </w:rPr>
        <w:t> </w:t>
      </w:r>
      <w:r>
        <w:rPr>
          <w:color w:val="00A94F"/>
          <w:w w:val="105"/>
        </w:rPr>
        <w:t>or Mitigate</w:t>
      </w:r>
      <w:r>
        <w:rPr>
          <w:color w:val="00A94F"/>
          <w:spacing w:val="-46"/>
          <w:w w:val="105"/>
        </w:rPr>
        <w:t> </w:t>
      </w:r>
      <w:r>
        <w:rPr>
          <w:color w:val="00A94F"/>
          <w:w w:val="105"/>
        </w:rPr>
        <w:t>Foodborne</w:t>
      </w:r>
      <w:r>
        <w:rPr>
          <w:color w:val="00A94F"/>
          <w:spacing w:val="-46"/>
          <w:w w:val="105"/>
        </w:rPr>
        <w:t> </w:t>
      </w:r>
      <w:r>
        <w:rPr>
          <w:color w:val="00A94F"/>
          <w:w w:val="105"/>
        </w:rPr>
        <w:t>Disease</w:t>
      </w:r>
      <w:r>
        <w:rPr>
          <w:color w:val="00A94F"/>
          <w:spacing w:val="-46"/>
          <w:w w:val="105"/>
        </w:rPr>
        <w:t> </w:t>
      </w:r>
      <w:r>
        <w:rPr>
          <w:color w:val="00A94F"/>
          <w:w w:val="105"/>
        </w:rPr>
        <w:t>Outbreaks</w:t>
      </w:r>
    </w:p>
    <w:p>
      <w:pPr>
        <w:pStyle w:val="BodyText"/>
        <w:spacing w:before="11"/>
        <w:rPr>
          <w:rFonts w:ascii="Arial"/>
          <w:sz w:val="22"/>
        </w:rPr>
      </w:pPr>
    </w:p>
    <w:p>
      <w:pPr>
        <w:spacing w:after="0"/>
        <w:rPr>
          <w:rFonts w:ascii="Arial"/>
          <w:sz w:val="22"/>
        </w:rPr>
        <w:sectPr>
          <w:type w:val="continuous"/>
          <w:pgSz w:w="10080" w:h="14400"/>
          <w:pgMar w:top="0" w:bottom="0" w:left="0" w:right="0"/>
        </w:sectPr>
      </w:pPr>
    </w:p>
    <w:p>
      <w:pPr>
        <w:pStyle w:val="ListParagraph"/>
        <w:numPr>
          <w:ilvl w:val="2"/>
          <w:numId w:val="12"/>
        </w:numPr>
        <w:tabs>
          <w:tab w:pos="1276" w:val="left" w:leader="none"/>
        </w:tabs>
        <w:spacing w:line="240" w:lineRule="auto" w:before="110" w:after="0"/>
        <w:ind w:left="372" w:right="0" w:firstLine="348"/>
        <w:jc w:val="left"/>
        <w:rPr>
          <w:rFonts w:ascii="Arial"/>
          <w:sz w:val="20"/>
        </w:rPr>
      </w:pPr>
      <w:r>
        <w:rPr>
          <w:rFonts w:ascii="Arial"/>
          <w:color w:val="1C3E94"/>
          <w:sz w:val="20"/>
        </w:rPr>
        <w:t>General</w:t>
      </w:r>
    </w:p>
    <w:p>
      <w:pPr>
        <w:pStyle w:val="BodyText"/>
        <w:spacing w:before="8"/>
        <w:rPr>
          <w:rFonts w:ascii="Arial"/>
          <w:sz w:val="18"/>
        </w:rPr>
      </w:pPr>
    </w:p>
    <w:p>
      <w:pPr>
        <w:pStyle w:val="BodyText"/>
        <w:spacing w:line="266" w:lineRule="auto"/>
        <w:ind w:left="720"/>
        <w:jc w:val="both"/>
      </w:pPr>
      <w:r>
        <w:rPr>
          <w:color w:val="231F20"/>
          <w:w w:val="105"/>
        </w:rPr>
        <w:t>Because</w:t>
      </w:r>
      <w:r>
        <w:rPr>
          <w:color w:val="231F20"/>
          <w:spacing w:val="-12"/>
          <w:w w:val="105"/>
        </w:rPr>
        <w:t> </w:t>
      </w:r>
      <w:r>
        <w:rPr>
          <w:color w:val="231F20"/>
          <w:w w:val="105"/>
        </w:rPr>
        <w:t>of</w:t>
      </w:r>
      <w:r>
        <w:rPr>
          <w:color w:val="231F20"/>
          <w:spacing w:val="10"/>
          <w:w w:val="105"/>
        </w:rPr>
        <w:t> </w:t>
      </w:r>
      <w:r>
        <w:rPr>
          <w:color w:val="231F20"/>
          <w:w w:val="105"/>
        </w:rPr>
        <w:t>a)</w:t>
      </w:r>
      <w:r>
        <w:rPr>
          <w:color w:val="231F20"/>
          <w:spacing w:val="-12"/>
          <w:w w:val="105"/>
        </w:rPr>
        <w:t> </w:t>
      </w:r>
      <w:r>
        <w:rPr>
          <w:color w:val="231F20"/>
          <w:w w:val="105"/>
        </w:rPr>
        <w:t>improvements</w:t>
      </w:r>
      <w:r>
        <w:rPr>
          <w:color w:val="231F20"/>
          <w:spacing w:val="-12"/>
          <w:w w:val="105"/>
        </w:rPr>
        <w:t> </w:t>
      </w:r>
      <w:r>
        <w:rPr>
          <w:color w:val="231F20"/>
          <w:w w:val="105"/>
        </w:rPr>
        <w:t>in</w:t>
      </w:r>
      <w:r>
        <w:rPr>
          <w:color w:val="231F20"/>
          <w:spacing w:val="-12"/>
          <w:w w:val="105"/>
        </w:rPr>
        <w:t> </w:t>
      </w:r>
      <w:r>
        <w:rPr>
          <w:color w:val="231F20"/>
          <w:w w:val="105"/>
        </w:rPr>
        <w:t>laboratory</w:t>
      </w:r>
      <w:r>
        <w:rPr>
          <w:color w:val="231F20"/>
          <w:spacing w:val="-12"/>
          <w:w w:val="105"/>
        </w:rPr>
        <w:t> </w:t>
      </w:r>
      <w:r>
        <w:rPr>
          <w:color w:val="231F20"/>
          <w:w w:val="105"/>
        </w:rPr>
        <w:t>and communication</w:t>
      </w:r>
      <w:r>
        <w:rPr>
          <w:color w:val="231F20"/>
          <w:spacing w:val="-12"/>
          <w:w w:val="105"/>
        </w:rPr>
        <w:t> </w:t>
      </w:r>
      <w:r>
        <w:rPr>
          <w:color w:val="231F20"/>
          <w:w w:val="105"/>
        </w:rPr>
        <w:t>technologies</w:t>
      </w:r>
      <w:r>
        <w:rPr>
          <w:color w:val="231F20"/>
          <w:spacing w:val="-12"/>
          <w:w w:val="105"/>
        </w:rPr>
        <w:t> </w:t>
      </w:r>
      <w:r>
        <w:rPr>
          <w:color w:val="231F20"/>
          <w:w w:val="105"/>
        </w:rPr>
        <w:t>that</w:t>
      </w:r>
      <w:r>
        <w:rPr>
          <w:color w:val="231F20"/>
          <w:spacing w:val="-12"/>
          <w:w w:val="105"/>
        </w:rPr>
        <w:t> </w:t>
      </w:r>
      <w:r>
        <w:rPr>
          <w:color w:val="231F20"/>
          <w:w w:val="105"/>
        </w:rPr>
        <w:t>can</w:t>
      </w:r>
      <w:r>
        <w:rPr>
          <w:color w:val="231F20"/>
          <w:spacing w:val="-12"/>
          <w:w w:val="105"/>
        </w:rPr>
        <w:t> </w:t>
      </w:r>
      <w:r>
        <w:rPr>
          <w:color w:val="231F20"/>
          <w:w w:val="105"/>
        </w:rPr>
        <w:t>be</w:t>
      </w:r>
      <w:r>
        <w:rPr>
          <w:color w:val="231F20"/>
          <w:spacing w:val="-12"/>
          <w:w w:val="105"/>
        </w:rPr>
        <w:t> </w:t>
      </w:r>
      <w:r>
        <w:rPr>
          <w:color w:val="231F20"/>
          <w:w w:val="105"/>
        </w:rPr>
        <w:t>used to</w:t>
      </w:r>
      <w:r>
        <w:rPr>
          <w:color w:val="231F20"/>
          <w:spacing w:val="-12"/>
          <w:w w:val="105"/>
        </w:rPr>
        <w:t> </w:t>
      </w:r>
      <w:r>
        <w:rPr>
          <w:color w:val="231F20"/>
          <w:w w:val="105"/>
        </w:rPr>
        <w:t>link</w:t>
      </w:r>
      <w:r>
        <w:rPr>
          <w:color w:val="231F20"/>
          <w:spacing w:val="-12"/>
          <w:w w:val="105"/>
        </w:rPr>
        <w:t> </w:t>
      </w:r>
      <w:r>
        <w:rPr>
          <w:color w:val="231F20"/>
          <w:w w:val="105"/>
        </w:rPr>
        <w:t>cases</w:t>
      </w:r>
      <w:r>
        <w:rPr>
          <w:color w:val="231F20"/>
          <w:spacing w:val="-12"/>
          <w:w w:val="105"/>
        </w:rPr>
        <w:t> </w:t>
      </w:r>
      <w:r>
        <w:rPr>
          <w:color w:val="231F20"/>
          <w:w w:val="105"/>
        </w:rPr>
        <w:t>previously</w:t>
      </w:r>
      <w:r>
        <w:rPr>
          <w:color w:val="231F20"/>
          <w:spacing w:val="-12"/>
          <w:w w:val="105"/>
        </w:rPr>
        <w:t> </w:t>
      </w:r>
      <w:r>
        <w:rPr>
          <w:color w:val="231F20"/>
          <w:w w:val="105"/>
        </w:rPr>
        <w:t>termed</w:t>
      </w:r>
      <w:r>
        <w:rPr>
          <w:color w:val="231F20"/>
          <w:spacing w:val="-12"/>
          <w:w w:val="105"/>
        </w:rPr>
        <w:t> </w:t>
      </w:r>
      <w:r>
        <w:rPr>
          <w:color w:val="231F20"/>
          <w:w w:val="105"/>
        </w:rPr>
        <w:t>“sporadic”</w:t>
      </w:r>
      <w:r>
        <w:rPr>
          <w:color w:val="231F20"/>
          <w:spacing w:val="-12"/>
          <w:w w:val="105"/>
        </w:rPr>
        <w:t> </w:t>
      </w:r>
      <w:r>
        <w:rPr>
          <w:color w:val="231F20"/>
          <w:w w:val="105"/>
        </w:rPr>
        <w:t>and</w:t>
      </w:r>
    </w:p>
    <w:p>
      <w:pPr>
        <w:pStyle w:val="BodyText"/>
        <w:spacing w:line="266" w:lineRule="auto"/>
        <w:ind w:left="720"/>
      </w:pPr>
      <w:r>
        <w:rPr>
          <w:color w:val="231F20"/>
        </w:rPr>
        <w:t>b) globalization of food-production industries, more multistate and international foodborne disease outbreaks are being discovered,  thus</w:t>
      </w:r>
    </w:p>
    <w:p>
      <w:pPr>
        <w:pStyle w:val="BodyText"/>
        <w:spacing w:line="266" w:lineRule="auto" w:before="107"/>
        <w:ind w:left="389" w:right="1459"/>
      </w:pPr>
      <w:r>
        <w:rPr/>
        <w:br w:type="column"/>
      </w:r>
      <w:r>
        <w:rPr>
          <w:color w:val="231F20"/>
        </w:rPr>
        <w:t>changing the locus of outbreak investigations and  control measures.</w:t>
      </w:r>
    </w:p>
    <w:p>
      <w:pPr>
        <w:pStyle w:val="ListParagraph"/>
        <w:numPr>
          <w:ilvl w:val="2"/>
          <w:numId w:val="12"/>
        </w:numPr>
        <w:tabs>
          <w:tab w:pos="946" w:val="left" w:leader="none"/>
        </w:tabs>
        <w:spacing w:line="240" w:lineRule="auto" w:before="164" w:after="0"/>
        <w:ind w:left="945" w:right="0" w:hanging="556"/>
        <w:jc w:val="left"/>
        <w:rPr>
          <w:rFonts w:ascii="Arial"/>
          <w:sz w:val="20"/>
        </w:rPr>
      </w:pPr>
      <w:r>
        <w:rPr>
          <w:rFonts w:ascii="Arial"/>
          <w:color w:val="1C3E94"/>
          <w:sz w:val="20"/>
        </w:rPr>
        <w:t>Federal Roles and</w:t>
      </w:r>
      <w:r>
        <w:rPr>
          <w:rFonts w:ascii="Arial"/>
          <w:color w:val="1C3E94"/>
          <w:spacing w:val="7"/>
          <w:sz w:val="20"/>
        </w:rPr>
        <w:t> </w:t>
      </w:r>
      <w:r>
        <w:rPr>
          <w:rFonts w:ascii="Arial"/>
          <w:color w:val="1C3E94"/>
          <w:sz w:val="20"/>
        </w:rPr>
        <w:t>Authorizations</w:t>
      </w:r>
    </w:p>
    <w:p>
      <w:pPr>
        <w:pStyle w:val="BodyText"/>
        <w:spacing w:before="7"/>
        <w:rPr>
          <w:rFonts w:ascii="Arial"/>
          <w:sz w:val="18"/>
        </w:rPr>
      </w:pPr>
    </w:p>
    <w:p>
      <w:pPr>
        <w:pStyle w:val="BodyText"/>
        <w:spacing w:line="266" w:lineRule="auto"/>
        <w:ind w:left="389" w:right="1790"/>
      </w:pPr>
      <w:r>
        <w:rPr/>
        <w:pict>
          <v:line style="position:absolute;mso-position-horizontal-relative:page;mso-position-vertical-relative:paragraph;z-index:1936" from="0pt,66.775368pt" to="432pt,66.775368pt" stroked="true" strokeweight="1pt" strokecolor="#00a94f">
            <v:stroke dashstyle="solid"/>
            <w10:wrap type="none"/>
          </v:line>
        </w:pict>
      </w:r>
      <w:r>
        <w:rPr>
          <w:color w:val="231F20"/>
          <w:w w:val="105"/>
        </w:rPr>
        <w:t>The changes noted above have resulted in an increasingly direct, leading role in the control of foodborne diseases by several federal agencies: U.S. Department of</w:t>
      </w:r>
    </w:p>
    <w:p>
      <w:pPr>
        <w:spacing w:after="0" w:line="266" w:lineRule="auto"/>
        <w:sectPr>
          <w:type w:val="continuous"/>
          <w:pgSz w:w="10080" w:h="14400"/>
          <w:pgMar w:top="0" w:bottom="0" w:left="0" w:right="0"/>
          <w:cols w:num="2" w:equalWidth="0">
            <w:col w:w="4431" w:space="40"/>
            <w:col w:w="5609"/>
          </w:cols>
        </w:sectPr>
      </w:pPr>
    </w:p>
    <w:p>
      <w:pPr>
        <w:pStyle w:val="BodyText"/>
        <w:spacing w:before="8"/>
        <w:rPr>
          <w:sz w:val="10"/>
        </w:rPr>
      </w:pPr>
    </w:p>
    <w:p>
      <w:pPr>
        <w:pStyle w:val="Heading1"/>
        <w:spacing w:line="249" w:lineRule="auto"/>
        <w:ind w:left="1984" w:right="739" w:hanging="545"/>
      </w:pPr>
      <w:r>
        <w:rPr/>
        <w:pict>
          <v:line style="position:absolute;mso-position-horizontal-relative:page;mso-position-vertical-relative:paragraph;z-index:2056;mso-wrap-distance-left:0;mso-wrap-distance-right:0" from="72pt,40.791943pt" to="468pt,40.791943pt" stroked="true" strokeweight=".5pt" strokecolor="#00a94f">
            <v:stroke dashstyle="solid"/>
            <w10:wrap type="topAndBottom"/>
          </v:line>
        </w:pict>
      </w:r>
      <w:r>
        <w:rPr>
          <w:color w:val="00A94F"/>
          <w:w w:val="105"/>
        </w:rPr>
        <w:t>9.3.</w:t>
      </w:r>
      <w:r>
        <w:rPr>
          <w:color w:val="00A94F"/>
          <w:spacing w:val="-34"/>
          <w:w w:val="105"/>
        </w:rPr>
        <w:t> </w:t>
      </w:r>
      <w:r>
        <w:rPr>
          <w:color w:val="00A94F"/>
          <w:w w:val="105"/>
        </w:rPr>
        <w:t>Legal</w:t>
      </w:r>
      <w:r>
        <w:rPr>
          <w:color w:val="00A94F"/>
          <w:spacing w:val="-34"/>
          <w:w w:val="105"/>
        </w:rPr>
        <w:t> </w:t>
      </w:r>
      <w:r>
        <w:rPr>
          <w:color w:val="00A94F"/>
          <w:w w:val="105"/>
        </w:rPr>
        <w:t>Framework</w:t>
      </w:r>
      <w:r>
        <w:rPr>
          <w:color w:val="00A94F"/>
          <w:spacing w:val="-34"/>
          <w:w w:val="105"/>
        </w:rPr>
        <w:t> </w:t>
      </w:r>
      <w:r>
        <w:rPr>
          <w:color w:val="00A94F"/>
          <w:w w:val="105"/>
        </w:rPr>
        <w:t>for</w:t>
      </w:r>
      <w:r>
        <w:rPr>
          <w:color w:val="00A94F"/>
          <w:spacing w:val="-34"/>
          <w:w w:val="105"/>
        </w:rPr>
        <w:t> </w:t>
      </w:r>
      <w:r>
        <w:rPr>
          <w:color w:val="00A94F"/>
          <w:w w:val="105"/>
        </w:rPr>
        <w:t>Measures</w:t>
      </w:r>
      <w:r>
        <w:rPr>
          <w:color w:val="00A94F"/>
          <w:spacing w:val="-34"/>
          <w:w w:val="105"/>
        </w:rPr>
        <w:t> </w:t>
      </w:r>
      <w:r>
        <w:rPr>
          <w:color w:val="00A94F"/>
          <w:w w:val="105"/>
        </w:rPr>
        <w:t>and</w:t>
      </w:r>
      <w:r>
        <w:rPr>
          <w:color w:val="00A94F"/>
          <w:spacing w:val="-34"/>
          <w:w w:val="105"/>
        </w:rPr>
        <w:t> </w:t>
      </w:r>
      <w:r>
        <w:rPr>
          <w:color w:val="00A94F"/>
          <w:w w:val="105"/>
        </w:rPr>
        <w:t>Methods</w:t>
      </w:r>
      <w:r>
        <w:rPr>
          <w:color w:val="00A94F"/>
          <w:spacing w:val="-34"/>
          <w:w w:val="105"/>
        </w:rPr>
        <w:t> </w:t>
      </w:r>
      <w:r>
        <w:rPr>
          <w:color w:val="00A94F"/>
          <w:w w:val="105"/>
        </w:rPr>
        <w:t>to</w:t>
      </w:r>
      <w:r>
        <w:rPr>
          <w:color w:val="00A94F"/>
          <w:spacing w:val="-34"/>
          <w:w w:val="105"/>
        </w:rPr>
        <w:t> </w:t>
      </w:r>
      <w:r>
        <w:rPr>
          <w:color w:val="00A94F"/>
          <w:w w:val="105"/>
        </w:rPr>
        <w:t>Prevent</w:t>
      </w:r>
      <w:r>
        <w:rPr>
          <w:color w:val="00A94F"/>
          <w:spacing w:val="-34"/>
          <w:w w:val="105"/>
        </w:rPr>
        <w:t> </w:t>
      </w:r>
      <w:r>
        <w:rPr>
          <w:color w:val="00A94F"/>
          <w:w w:val="105"/>
        </w:rPr>
        <w:t>or Mitigate</w:t>
      </w:r>
      <w:r>
        <w:rPr>
          <w:color w:val="00A94F"/>
          <w:spacing w:val="-46"/>
          <w:w w:val="105"/>
        </w:rPr>
        <w:t> </w:t>
      </w:r>
      <w:r>
        <w:rPr>
          <w:color w:val="00A94F"/>
          <w:w w:val="105"/>
        </w:rPr>
        <w:t>Foodborne</w:t>
      </w:r>
      <w:r>
        <w:rPr>
          <w:color w:val="00A94F"/>
          <w:spacing w:val="-46"/>
          <w:w w:val="105"/>
        </w:rPr>
        <w:t> </w:t>
      </w:r>
      <w:r>
        <w:rPr>
          <w:color w:val="00A94F"/>
          <w:w w:val="105"/>
        </w:rPr>
        <w:t>Disease</w:t>
      </w:r>
      <w:r>
        <w:rPr>
          <w:color w:val="00A94F"/>
          <w:spacing w:val="-46"/>
          <w:w w:val="105"/>
        </w:rPr>
        <w:t> </w:t>
      </w:r>
      <w:r>
        <w:rPr>
          <w:color w:val="00A94F"/>
          <w:w w:val="105"/>
        </w:rPr>
        <w:t>Outbreaks</w:t>
      </w:r>
    </w:p>
    <w:p>
      <w:pPr>
        <w:pStyle w:val="BodyText"/>
        <w:spacing w:before="1"/>
        <w:rPr>
          <w:rFonts w:ascii="Arial"/>
        </w:rPr>
      </w:pPr>
    </w:p>
    <w:p>
      <w:pPr>
        <w:spacing w:after="0"/>
        <w:rPr>
          <w:rFonts w:ascii="Arial"/>
        </w:rPr>
        <w:sectPr>
          <w:pgSz w:w="10080" w:h="14400"/>
          <w:pgMar w:header="0" w:footer="0" w:top="1160" w:bottom="0" w:left="0" w:right="0"/>
        </w:sectPr>
      </w:pPr>
    </w:p>
    <w:p>
      <w:pPr>
        <w:pStyle w:val="BodyText"/>
        <w:spacing w:line="266" w:lineRule="auto" w:before="108"/>
        <w:ind w:left="1440" w:right="199"/>
      </w:pPr>
      <w:r>
        <w:rPr>
          <w:color w:val="231F20"/>
          <w:w w:val="105"/>
        </w:rPr>
        <w:t>Health and Human Services (CDC and </w:t>
      </w:r>
      <w:r>
        <w:rPr>
          <w:color w:val="231F20"/>
          <w:spacing w:val="-3"/>
          <w:w w:val="105"/>
        </w:rPr>
        <w:t>FDA), </w:t>
      </w:r>
      <w:r>
        <w:rPr>
          <w:color w:val="231F20"/>
          <w:spacing w:val="-8"/>
          <w:w w:val="105"/>
        </w:rPr>
        <w:t>U.S. </w:t>
      </w:r>
      <w:r>
        <w:rPr>
          <w:color w:val="231F20"/>
          <w:w w:val="105"/>
        </w:rPr>
        <w:t>Department of Agriculture </w:t>
      </w:r>
      <w:r>
        <w:rPr>
          <w:color w:val="231F20"/>
          <w:spacing w:val="-4"/>
          <w:w w:val="105"/>
        </w:rPr>
        <w:t>(Food </w:t>
      </w:r>
      <w:r>
        <w:rPr>
          <w:color w:val="231F20"/>
          <w:w w:val="105"/>
        </w:rPr>
        <w:t>Safety Inspection Service and Animal and Plant Health Inspection Service), </w:t>
      </w:r>
      <w:r>
        <w:rPr>
          <w:color w:val="231F20"/>
          <w:spacing w:val="-8"/>
          <w:w w:val="105"/>
        </w:rPr>
        <w:t>U.S.</w:t>
      </w:r>
    </w:p>
    <w:p>
      <w:pPr>
        <w:pStyle w:val="BodyText"/>
        <w:spacing w:line="266" w:lineRule="auto"/>
        <w:ind w:left="1440" w:right="77"/>
      </w:pPr>
      <w:r>
        <w:rPr>
          <w:color w:val="231F20"/>
          <w:w w:val="105"/>
        </w:rPr>
        <w:t>Environmental Protection Agency; and when bioterrorism is suspected, U.S. Department</w:t>
      </w:r>
    </w:p>
    <w:p>
      <w:pPr>
        <w:pStyle w:val="BodyText"/>
        <w:spacing w:line="266" w:lineRule="auto"/>
        <w:ind w:left="1440" w:right="44"/>
      </w:pPr>
      <w:r>
        <w:rPr>
          <w:color w:val="231F20"/>
          <w:w w:val="105"/>
        </w:rPr>
        <w:t>of Justice and U.S. Department of Homeland Security.</w:t>
      </w:r>
      <w:r>
        <w:rPr>
          <w:rFonts w:ascii="Times New Roman"/>
          <w:color w:val="231F20"/>
          <w:w w:val="105"/>
          <w:position w:val="7"/>
          <w:sz w:val="11"/>
        </w:rPr>
        <w:t>3 </w:t>
      </w:r>
      <w:r>
        <w:rPr>
          <w:color w:val="231F20"/>
          <w:w w:val="105"/>
        </w:rPr>
        <w:t>These agencies undertake regulatory and nonregulatory actions over food safety</w:t>
      </w:r>
    </w:p>
    <w:p>
      <w:pPr>
        <w:pStyle w:val="BodyText"/>
        <w:spacing w:line="266" w:lineRule="auto"/>
        <w:ind w:left="1440" w:right="509"/>
      </w:pPr>
      <w:r>
        <w:rPr>
          <w:color w:val="231F20"/>
          <w:w w:val="105"/>
        </w:rPr>
        <w:t>at various stages along the farm-to-table continuum related to:</w:t>
      </w:r>
    </w:p>
    <w:p>
      <w:pPr>
        <w:pStyle w:val="ListParagraph"/>
        <w:numPr>
          <w:ilvl w:val="3"/>
          <w:numId w:val="12"/>
        </w:numPr>
        <w:tabs>
          <w:tab w:pos="1611" w:val="left" w:leader="none"/>
        </w:tabs>
        <w:spacing w:line="240" w:lineRule="auto" w:before="180" w:after="0"/>
        <w:ind w:left="1610" w:right="0" w:hanging="170"/>
        <w:jc w:val="left"/>
        <w:rPr>
          <w:sz w:val="20"/>
        </w:rPr>
      </w:pPr>
      <w:r>
        <w:rPr>
          <w:color w:val="231F20"/>
          <w:sz w:val="20"/>
        </w:rPr>
        <w:t>Safety of  food, feed, and animals on the</w:t>
      </w:r>
      <w:r>
        <w:rPr>
          <w:color w:val="231F20"/>
          <w:spacing w:val="2"/>
          <w:sz w:val="20"/>
        </w:rPr>
        <w:t> </w:t>
      </w:r>
      <w:r>
        <w:rPr>
          <w:color w:val="231F20"/>
          <w:sz w:val="20"/>
        </w:rPr>
        <w:t>farm;</w:t>
      </w:r>
    </w:p>
    <w:p>
      <w:pPr>
        <w:pStyle w:val="ListParagraph"/>
        <w:numPr>
          <w:ilvl w:val="3"/>
          <w:numId w:val="12"/>
        </w:numPr>
        <w:tabs>
          <w:tab w:pos="1611" w:val="left" w:leader="none"/>
        </w:tabs>
        <w:spacing w:line="266" w:lineRule="auto" w:before="115" w:after="0"/>
        <w:ind w:left="1610" w:right="634" w:hanging="170"/>
        <w:jc w:val="left"/>
        <w:rPr>
          <w:sz w:val="20"/>
        </w:rPr>
      </w:pPr>
      <w:r>
        <w:rPr>
          <w:color w:val="231F20"/>
          <w:w w:val="105"/>
          <w:sz w:val="20"/>
        </w:rPr>
        <w:t>Plant and animal health on the farm, including animal</w:t>
      </w:r>
      <w:r>
        <w:rPr>
          <w:color w:val="231F20"/>
          <w:spacing w:val="2"/>
          <w:w w:val="105"/>
          <w:sz w:val="20"/>
        </w:rPr>
        <w:t> </w:t>
      </w:r>
      <w:r>
        <w:rPr>
          <w:color w:val="231F20"/>
          <w:w w:val="105"/>
          <w:sz w:val="20"/>
        </w:rPr>
        <w:t>vaccines;</w:t>
      </w:r>
    </w:p>
    <w:p>
      <w:pPr>
        <w:pStyle w:val="ListParagraph"/>
        <w:numPr>
          <w:ilvl w:val="3"/>
          <w:numId w:val="12"/>
        </w:numPr>
        <w:tabs>
          <w:tab w:pos="1611" w:val="left" w:leader="none"/>
        </w:tabs>
        <w:spacing w:line="240" w:lineRule="auto" w:before="90" w:after="0"/>
        <w:ind w:left="1610" w:right="0" w:hanging="170"/>
        <w:jc w:val="left"/>
        <w:rPr>
          <w:sz w:val="20"/>
        </w:rPr>
      </w:pPr>
      <w:r>
        <w:rPr>
          <w:color w:val="231F20"/>
          <w:w w:val="105"/>
          <w:sz w:val="20"/>
        </w:rPr>
        <w:t>Pesticide</w:t>
      </w:r>
      <w:r>
        <w:rPr>
          <w:color w:val="231F20"/>
          <w:spacing w:val="-13"/>
          <w:w w:val="105"/>
          <w:sz w:val="20"/>
        </w:rPr>
        <w:t> </w:t>
      </w:r>
      <w:r>
        <w:rPr>
          <w:color w:val="231F20"/>
          <w:w w:val="105"/>
          <w:sz w:val="20"/>
        </w:rPr>
        <w:t>use</w:t>
      </w:r>
      <w:r>
        <w:rPr>
          <w:color w:val="231F20"/>
          <w:spacing w:val="-13"/>
          <w:w w:val="105"/>
          <w:sz w:val="20"/>
        </w:rPr>
        <w:t> </w:t>
      </w:r>
      <w:r>
        <w:rPr>
          <w:color w:val="231F20"/>
          <w:w w:val="105"/>
          <w:sz w:val="20"/>
        </w:rPr>
        <w:t>on</w:t>
      </w:r>
      <w:r>
        <w:rPr>
          <w:color w:val="231F20"/>
          <w:spacing w:val="-13"/>
          <w:w w:val="105"/>
          <w:sz w:val="20"/>
        </w:rPr>
        <w:t> </w:t>
      </w:r>
      <w:r>
        <w:rPr>
          <w:color w:val="231F20"/>
          <w:w w:val="105"/>
          <w:sz w:val="20"/>
        </w:rPr>
        <w:t>the</w:t>
      </w:r>
      <w:r>
        <w:rPr>
          <w:color w:val="231F20"/>
          <w:spacing w:val="-13"/>
          <w:w w:val="105"/>
          <w:sz w:val="20"/>
        </w:rPr>
        <w:t> </w:t>
      </w:r>
      <w:r>
        <w:rPr>
          <w:color w:val="231F20"/>
          <w:w w:val="105"/>
          <w:sz w:val="20"/>
        </w:rPr>
        <w:t>farm;</w:t>
      </w:r>
    </w:p>
    <w:p>
      <w:pPr>
        <w:pStyle w:val="ListParagraph"/>
        <w:numPr>
          <w:ilvl w:val="3"/>
          <w:numId w:val="12"/>
        </w:numPr>
        <w:tabs>
          <w:tab w:pos="1611" w:val="left" w:leader="none"/>
        </w:tabs>
        <w:spacing w:line="240" w:lineRule="auto" w:before="114" w:after="0"/>
        <w:ind w:left="1610" w:right="0" w:hanging="170"/>
        <w:jc w:val="left"/>
        <w:rPr>
          <w:sz w:val="20"/>
        </w:rPr>
      </w:pPr>
      <w:r>
        <w:rPr>
          <w:color w:val="231F20"/>
          <w:spacing w:val="-5"/>
          <w:sz w:val="20"/>
        </w:rPr>
        <w:t>Food</w:t>
      </w:r>
      <w:r>
        <w:rPr>
          <w:color w:val="231F20"/>
          <w:spacing w:val="13"/>
          <w:sz w:val="20"/>
        </w:rPr>
        <w:t> </w:t>
      </w:r>
      <w:r>
        <w:rPr>
          <w:color w:val="231F20"/>
          <w:sz w:val="20"/>
        </w:rPr>
        <w:t>processing;</w:t>
      </w:r>
    </w:p>
    <w:p>
      <w:pPr>
        <w:pStyle w:val="ListParagraph"/>
        <w:numPr>
          <w:ilvl w:val="3"/>
          <w:numId w:val="12"/>
        </w:numPr>
        <w:tabs>
          <w:tab w:pos="1611" w:val="left" w:leader="none"/>
        </w:tabs>
        <w:spacing w:line="266" w:lineRule="auto" w:before="114" w:after="0"/>
        <w:ind w:left="1610" w:right="564" w:hanging="170"/>
        <w:jc w:val="left"/>
        <w:rPr>
          <w:sz w:val="20"/>
        </w:rPr>
      </w:pPr>
      <w:r>
        <w:rPr>
          <w:color w:val="231F20"/>
          <w:sz w:val="20"/>
        </w:rPr>
        <w:t>Slaughter and processing of meat and poultry products and egg </w:t>
      </w:r>
      <w:r>
        <w:rPr>
          <w:color w:val="231F20"/>
          <w:spacing w:val="32"/>
          <w:sz w:val="20"/>
        </w:rPr>
        <w:t> </w:t>
      </w:r>
      <w:r>
        <w:rPr>
          <w:color w:val="231F20"/>
          <w:sz w:val="20"/>
        </w:rPr>
        <w:t>products;</w:t>
      </w:r>
    </w:p>
    <w:p>
      <w:pPr>
        <w:pStyle w:val="ListParagraph"/>
        <w:numPr>
          <w:ilvl w:val="3"/>
          <w:numId w:val="12"/>
        </w:numPr>
        <w:tabs>
          <w:tab w:pos="1611" w:val="left" w:leader="none"/>
        </w:tabs>
        <w:spacing w:line="266" w:lineRule="auto" w:before="90" w:after="0"/>
        <w:ind w:left="1610" w:right="140" w:hanging="170"/>
        <w:jc w:val="left"/>
        <w:rPr>
          <w:sz w:val="20"/>
        </w:rPr>
      </w:pPr>
      <w:r>
        <w:rPr>
          <w:color w:val="231F20"/>
          <w:w w:val="105"/>
          <w:sz w:val="20"/>
        </w:rPr>
        <w:t>Labeling, transportation, storage, and</w:t>
      </w:r>
      <w:r>
        <w:rPr>
          <w:color w:val="231F20"/>
          <w:spacing w:val="-15"/>
          <w:w w:val="105"/>
          <w:sz w:val="20"/>
        </w:rPr>
        <w:t> </w:t>
      </w:r>
      <w:r>
        <w:rPr>
          <w:color w:val="231F20"/>
          <w:w w:val="105"/>
          <w:sz w:val="20"/>
        </w:rPr>
        <w:t>retail sale of food;</w:t>
      </w:r>
      <w:r>
        <w:rPr>
          <w:color w:val="231F20"/>
          <w:spacing w:val="-22"/>
          <w:w w:val="105"/>
          <w:sz w:val="20"/>
        </w:rPr>
        <w:t> </w:t>
      </w:r>
      <w:r>
        <w:rPr>
          <w:color w:val="231F20"/>
          <w:w w:val="105"/>
          <w:sz w:val="20"/>
        </w:rPr>
        <w:t>and</w:t>
      </w:r>
    </w:p>
    <w:p>
      <w:pPr>
        <w:pStyle w:val="ListParagraph"/>
        <w:numPr>
          <w:ilvl w:val="3"/>
          <w:numId w:val="12"/>
        </w:numPr>
        <w:tabs>
          <w:tab w:pos="1611" w:val="left" w:leader="none"/>
        </w:tabs>
        <w:spacing w:line="266" w:lineRule="auto" w:before="90" w:after="0"/>
        <w:ind w:left="1610" w:right="128" w:hanging="170"/>
        <w:jc w:val="left"/>
        <w:rPr>
          <w:sz w:val="20"/>
        </w:rPr>
      </w:pPr>
      <w:r>
        <w:rPr>
          <w:color w:val="231F20"/>
          <w:w w:val="105"/>
          <w:sz w:val="20"/>
        </w:rPr>
        <w:t>Cruise</w:t>
      </w:r>
      <w:r>
        <w:rPr>
          <w:color w:val="231F20"/>
          <w:spacing w:val="-7"/>
          <w:w w:val="105"/>
          <w:sz w:val="20"/>
        </w:rPr>
        <w:t> </w:t>
      </w:r>
      <w:r>
        <w:rPr>
          <w:color w:val="231F20"/>
          <w:w w:val="105"/>
          <w:sz w:val="20"/>
        </w:rPr>
        <w:t>ships,</w:t>
      </w:r>
      <w:r>
        <w:rPr>
          <w:color w:val="231F20"/>
          <w:spacing w:val="-7"/>
          <w:w w:val="105"/>
          <w:sz w:val="20"/>
        </w:rPr>
        <w:t> </w:t>
      </w:r>
      <w:r>
        <w:rPr>
          <w:color w:val="231F20"/>
          <w:w w:val="105"/>
          <w:sz w:val="20"/>
        </w:rPr>
        <w:t>trains,</w:t>
      </w:r>
      <w:r>
        <w:rPr>
          <w:color w:val="231F20"/>
          <w:spacing w:val="-7"/>
          <w:w w:val="105"/>
          <w:sz w:val="20"/>
        </w:rPr>
        <w:t> </w:t>
      </w:r>
      <w:r>
        <w:rPr>
          <w:color w:val="231F20"/>
          <w:w w:val="105"/>
          <w:sz w:val="20"/>
        </w:rPr>
        <w:t>buses,</w:t>
      </w:r>
      <w:r>
        <w:rPr>
          <w:color w:val="231F20"/>
          <w:spacing w:val="-7"/>
          <w:w w:val="105"/>
          <w:sz w:val="20"/>
        </w:rPr>
        <w:t> </w:t>
      </w:r>
      <w:r>
        <w:rPr>
          <w:color w:val="231F20"/>
          <w:w w:val="105"/>
          <w:sz w:val="20"/>
        </w:rPr>
        <w:t>airplanes</w:t>
      </w:r>
      <w:r>
        <w:rPr>
          <w:color w:val="231F20"/>
          <w:spacing w:val="-7"/>
          <w:w w:val="105"/>
          <w:sz w:val="20"/>
        </w:rPr>
        <w:t> </w:t>
      </w:r>
      <w:r>
        <w:rPr>
          <w:color w:val="231F20"/>
          <w:w w:val="105"/>
          <w:sz w:val="20"/>
        </w:rPr>
        <w:t>(i.e.,</w:t>
      </w:r>
      <w:r>
        <w:rPr>
          <w:color w:val="231F20"/>
          <w:spacing w:val="-7"/>
          <w:w w:val="105"/>
          <w:sz w:val="20"/>
        </w:rPr>
        <w:t> </w:t>
      </w:r>
      <w:r>
        <w:rPr>
          <w:color w:val="231F20"/>
          <w:w w:val="105"/>
          <w:sz w:val="20"/>
        </w:rPr>
        <w:t>all interstate transportation) and the servicing areas for these transportation vehicles (21 CFR 1240 and</w:t>
      </w:r>
      <w:r>
        <w:rPr>
          <w:color w:val="231F20"/>
          <w:spacing w:val="19"/>
          <w:w w:val="105"/>
          <w:sz w:val="20"/>
        </w:rPr>
        <w:t> </w:t>
      </w:r>
      <w:r>
        <w:rPr>
          <w:color w:val="231F20"/>
          <w:w w:val="105"/>
          <w:sz w:val="20"/>
        </w:rPr>
        <w:t>1250).</w:t>
      </w:r>
    </w:p>
    <w:p>
      <w:pPr>
        <w:pStyle w:val="BodyText"/>
        <w:spacing w:line="266" w:lineRule="auto" w:before="180"/>
        <w:ind w:left="1440" w:right="-5"/>
      </w:pPr>
      <w:r>
        <w:rPr>
          <w:color w:val="231F20"/>
          <w:w w:val="105"/>
        </w:rPr>
        <w:t>These agencies also coordinate and</w:t>
      </w:r>
      <w:r>
        <w:rPr>
          <w:color w:val="231F20"/>
          <w:spacing w:val="-34"/>
          <w:w w:val="105"/>
        </w:rPr>
        <w:t> </w:t>
      </w:r>
      <w:r>
        <w:rPr>
          <w:color w:val="231F20"/>
          <w:w w:val="105"/>
        </w:rPr>
        <w:t>collaborate in</w:t>
      </w:r>
      <w:r>
        <w:rPr>
          <w:color w:val="231F20"/>
          <w:spacing w:val="-29"/>
          <w:w w:val="105"/>
        </w:rPr>
        <w:t> </w:t>
      </w:r>
      <w:r>
        <w:rPr>
          <w:color w:val="231F20"/>
          <w:w w:val="105"/>
        </w:rPr>
        <w:t>multistate</w:t>
      </w:r>
      <w:r>
        <w:rPr>
          <w:color w:val="231F20"/>
          <w:spacing w:val="-29"/>
          <w:w w:val="105"/>
        </w:rPr>
        <w:t> </w:t>
      </w:r>
      <w:r>
        <w:rPr>
          <w:color w:val="231F20"/>
          <w:w w:val="105"/>
        </w:rPr>
        <w:t>investigations.</w:t>
      </w:r>
    </w:p>
    <w:p>
      <w:pPr>
        <w:pStyle w:val="BodyText"/>
        <w:spacing w:line="266" w:lineRule="auto" w:before="180"/>
        <w:ind w:left="1440" w:right="-8"/>
      </w:pPr>
      <w:r>
        <w:rPr/>
        <w:pict>
          <v:rect style="position:absolute;margin-left:0pt;margin-top:25.899368pt;width:45pt;height:18pt;mso-position-horizontal-relative:page;mso-position-vertical-relative:paragraph;z-index:2104" filled="true" fillcolor="#0079c1" stroked="false">
            <v:fill type="solid"/>
            <w10:wrap type="none"/>
          </v:rect>
        </w:pict>
      </w:r>
      <w:r>
        <w:rPr/>
        <w:pict>
          <v:line style="position:absolute;mso-position-horizontal-relative:page;mso-position-vertical-relative:paragraph;z-index:2128" from="54.5pt,25.897768pt" to="54.5pt,207.899768pt" stroked="true" strokeweight="1pt" strokecolor="#0079c1">
            <v:stroke dashstyle="solid"/>
            <w10:wrap type="none"/>
          </v:line>
        </w:pict>
      </w:r>
      <w:r>
        <w:rPr/>
        <w:pict>
          <v:shape style="position:absolute;margin-left:11.4022pt;margin-top:47.109562pt;width:12.3pt;height:144.2pt;mso-position-horizontal-relative:page;mso-position-vertical-relative:paragraph;z-index:2152" type="#_x0000_t202" filled="false" stroked="false">
            <v:textbox inset="0,0,0,0" style="layout-flow:vertical;mso-layout-flow-alt:bottom-to-top">
              <w:txbxContent>
                <w:p>
                  <w:pPr>
                    <w:spacing w:before="12"/>
                    <w:ind w:left="20" w:right="-1140" w:firstLine="0"/>
                    <w:jc w:val="left"/>
                    <w:rPr>
                      <w:rFonts w:ascii="Lucida Sans"/>
                      <w:sz w:val="17"/>
                    </w:rPr>
                  </w:pPr>
                  <w:r>
                    <w:rPr>
                      <w:rFonts w:ascii="Lucida Sans"/>
                      <w:color w:val="0079C1"/>
                      <w:spacing w:val="8"/>
                      <w:w w:val="103"/>
                      <w:sz w:val="17"/>
                    </w:rPr>
                    <w:t>LEGA</w:t>
                  </w:r>
                  <w:r>
                    <w:rPr>
                      <w:rFonts w:ascii="Lucida Sans"/>
                      <w:color w:val="0079C1"/>
                      <w:w w:val="103"/>
                      <w:sz w:val="17"/>
                    </w:rPr>
                    <w:t>L</w:t>
                  </w:r>
                  <w:r>
                    <w:rPr>
                      <w:rFonts w:ascii="Lucida Sans"/>
                      <w:color w:val="0079C1"/>
                      <w:spacing w:val="10"/>
                      <w:sz w:val="17"/>
                    </w:rPr>
                    <w:t> </w:t>
                  </w:r>
                  <w:r>
                    <w:rPr>
                      <w:rFonts w:ascii="Lucida Sans"/>
                      <w:color w:val="0079C1"/>
                      <w:spacing w:val="8"/>
                      <w:w w:val="105"/>
                      <w:sz w:val="17"/>
                    </w:rPr>
                    <w:t>PRE</w:t>
                  </w:r>
                  <w:r>
                    <w:rPr>
                      <w:rFonts w:ascii="Lucida Sans"/>
                      <w:color w:val="0079C1"/>
                      <w:spacing w:val="-5"/>
                      <w:w w:val="105"/>
                      <w:sz w:val="17"/>
                    </w:rPr>
                    <w:t>P</w:t>
                  </w:r>
                  <w:r>
                    <w:rPr>
                      <w:rFonts w:ascii="Lucida Sans"/>
                      <w:color w:val="0079C1"/>
                      <w:spacing w:val="8"/>
                      <w:w w:val="104"/>
                      <w:sz w:val="17"/>
                    </w:rPr>
                    <w:t>AREDNES</w:t>
                  </w:r>
                  <w:r>
                    <w:rPr>
                      <w:rFonts w:ascii="Lucida Sans"/>
                      <w:color w:val="0079C1"/>
                      <w:w w:val="104"/>
                      <w:sz w:val="17"/>
                    </w:rPr>
                    <w:t>S</w:t>
                  </w:r>
                  <w:r>
                    <w:rPr>
                      <w:rFonts w:ascii="Lucida Sans"/>
                      <w:color w:val="0079C1"/>
                      <w:spacing w:val="10"/>
                      <w:sz w:val="17"/>
                    </w:rPr>
                    <w:t> </w:t>
                  </w:r>
                  <w:r>
                    <w:rPr>
                      <w:rFonts w:ascii="Lucida Sans"/>
                      <w:color w:val="0079C1"/>
                      <w:spacing w:val="8"/>
                      <w:w w:val="103"/>
                      <w:sz w:val="17"/>
                    </w:rPr>
                    <w:t>FO</w:t>
                  </w:r>
                  <w:r>
                    <w:rPr>
                      <w:rFonts w:ascii="Lucida Sans"/>
                      <w:color w:val="0079C1"/>
                      <w:w w:val="103"/>
                      <w:sz w:val="17"/>
                    </w:rPr>
                    <w:t>R</w:t>
                  </w:r>
                  <w:r>
                    <w:rPr>
                      <w:rFonts w:ascii="Lucida Sans"/>
                      <w:color w:val="0079C1"/>
                      <w:spacing w:val="10"/>
                      <w:sz w:val="17"/>
                    </w:rPr>
                    <w:t> </w:t>
                  </w:r>
                  <w:r>
                    <w:rPr>
                      <w:rFonts w:ascii="Lucida Sans"/>
                      <w:color w:val="0079C1"/>
                      <w:spacing w:val="8"/>
                      <w:w w:val="100"/>
                      <w:sz w:val="17"/>
                    </w:rPr>
                    <w:t>THE</w:t>
                  </w:r>
                </w:p>
              </w:txbxContent>
            </v:textbox>
            <w10:wrap type="none"/>
          </v:shape>
        </w:pict>
      </w:r>
      <w:r>
        <w:rPr/>
        <w:pict>
          <v:shape style="position:absolute;margin-left:18.200388pt;margin-top:30.65032pt;width:25.5pt;height:173.95pt;mso-position-horizontal-relative:page;mso-position-vertical-relative:paragraph;z-index:2176" type="#_x0000_t202" filled="false" stroked="false">
            <v:textbox inset="0,0,0,0" style="layout-flow:vertical;mso-layout-flow-alt:bottom-to-top">
              <w:txbxContent>
                <w:p>
                  <w:pPr>
                    <w:spacing w:line="273" w:lineRule="exact" w:before="7"/>
                    <w:ind w:left="79" w:right="-889" w:firstLine="0"/>
                    <w:jc w:val="left"/>
                    <w:rPr>
                      <w:rFonts w:ascii="Times New Roman"/>
                      <w:b/>
                      <w:sz w:val="24"/>
                    </w:rPr>
                  </w:pPr>
                  <w:r>
                    <w:rPr>
                      <w:rFonts w:ascii="Lucida Sans"/>
                      <w:color w:val="0079C1"/>
                      <w:spacing w:val="8"/>
                      <w:w w:val="102"/>
                      <w:sz w:val="17"/>
                    </w:rPr>
                    <w:t>SURVEILLANC</w:t>
                  </w:r>
                  <w:r>
                    <w:rPr>
                      <w:rFonts w:ascii="Lucida Sans"/>
                      <w:color w:val="0079C1"/>
                      <w:w w:val="102"/>
                      <w:sz w:val="17"/>
                    </w:rPr>
                    <w:t>E</w:t>
                  </w:r>
                  <w:r>
                    <w:rPr>
                      <w:rFonts w:ascii="Lucida Sans"/>
                      <w:color w:val="0079C1"/>
                      <w:spacing w:val="10"/>
                      <w:sz w:val="17"/>
                    </w:rPr>
                    <w:t> </w:t>
                  </w:r>
                  <w:r>
                    <w:rPr>
                      <w:rFonts w:ascii="Lucida Sans"/>
                      <w:color w:val="0079C1"/>
                      <w:spacing w:val="8"/>
                      <w:w w:val="102"/>
                      <w:sz w:val="17"/>
                    </w:rPr>
                    <w:t>AN</w:t>
                  </w:r>
                  <w:r>
                    <w:rPr>
                      <w:rFonts w:ascii="Lucida Sans"/>
                      <w:color w:val="0079C1"/>
                      <w:w w:val="102"/>
                      <w:sz w:val="17"/>
                    </w:rPr>
                    <w:t>D</w:t>
                  </w:r>
                  <w:r>
                    <w:rPr>
                      <w:rFonts w:ascii="Lucida Sans"/>
                      <w:color w:val="0079C1"/>
                      <w:spacing w:val="10"/>
                      <w:sz w:val="17"/>
                    </w:rPr>
                    <w:t> </w:t>
                  </w:r>
                  <w:r>
                    <w:rPr>
                      <w:rFonts w:ascii="Lucida Sans"/>
                      <w:color w:val="0079C1"/>
                      <w:spacing w:val="8"/>
                      <w:w w:val="101"/>
                      <w:sz w:val="17"/>
                    </w:rPr>
                    <w:t>CONTRO</w:t>
                  </w:r>
                  <w:r>
                    <w:rPr>
                      <w:rFonts w:ascii="Lucida Sans"/>
                      <w:color w:val="0079C1"/>
                      <w:w w:val="101"/>
                      <w:sz w:val="17"/>
                    </w:rPr>
                    <w:t>L</w:t>
                  </w:r>
                  <w:r>
                    <w:rPr>
                      <w:rFonts w:ascii="Lucida Sans"/>
                      <w:color w:val="0079C1"/>
                      <w:spacing w:val="10"/>
                      <w:sz w:val="17"/>
                    </w:rPr>
                    <w:t> </w:t>
                  </w:r>
                  <w:r>
                    <w:rPr>
                      <w:rFonts w:ascii="Lucida Sans"/>
                      <w:color w:val="0079C1"/>
                      <w:spacing w:val="8"/>
                      <w:w w:val="107"/>
                      <w:sz w:val="17"/>
                    </w:rPr>
                    <w:t>O</w:t>
                  </w:r>
                  <w:r>
                    <w:rPr>
                      <w:rFonts w:ascii="Lucida Sans"/>
                      <w:color w:val="0079C1"/>
                      <w:w w:val="107"/>
                      <w:sz w:val="17"/>
                    </w:rPr>
                    <w:t>F</w:t>
                  </w:r>
                  <w:r>
                    <w:rPr>
                      <w:rFonts w:ascii="Lucida Sans"/>
                      <w:color w:val="0079C1"/>
                      <w:sz w:val="17"/>
                    </w:rPr>
                    <w:t>  </w:t>
                  </w:r>
                  <w:r>
                    <w:rPr>
                      <w:rFonts w:ascii="Lucida Sans"/>
                      <w:color w:val="0079C1"/>
                      <w:spacing w:val="-12"/>
                      <w:sz w:val="17"/>
                    </w:rPr>
                    <w:t> </w:t>
                  </w:r>
                  <w:r>
                    <w:rPr>
                      <w:rFonts w:ascii="Times New Roman"/>
                      <w:b/>
                      <w:color w:val="FFFFFF"/>
                      <w:w w:val="108"/>
                      <w:position w:val="1"/>
                      <w:sz w:val="24"/>
                    </w:rPr>
                    <w:t>9</w:t>
                  </w:r>
                </w:p>
                <w:p>
                  <w:pPr>
                    <w:spacing w:line="197" w:lineRule="exact" w:before="0"/>
                    <w:ind w:left="20" w:right="-692" w:firstLine="0"/>
                    <w:jc w:val="left"/>
                    <w:rPr>
                      <w:rFonts w:ascii="Lucida Sans"/>
                      <w:sz w:val="17"/>
                    </w:rPr>
                  </w:pPr>
                  <w:r>
                    <w:rPr>
                      <w:rFonts w:ascii="Lucida Sans"/>
                      <w:color w:val="0079C1"/>
                      <w:spacing w:val="8"/>
                      <w:w w:val="105"/>
                      <w:sz w:val="17"/>
                    </w:rPr>
                    <w:t>FOODBORN</w:t>
                  </w:r>
                  <w:r>
                    <w:rPr>
                      <w:rFonts w:ascii="Lucida Sans"/>
                      <w:color w:val="0079C1"/>
                      <w:w w:val="105"/>
                      <w:sz w:val="17"/>
                    </w:rPr>
                    <w:t>E</w:t>
                  </w:r>
                  <w:r>
                    <w:rPr>
                      <w:rFonts w:ascii="Lucida Sans"/>
                      <w:color w:val="0079C1"/>
                      <w:spacing w:val="10"/>
                      <w:sz w:val="17"/>
                    </w:rPr>
                    <w:t> </w:t>
                  </w:r>
                  <w:r>
                    <w:rPr>
                      <w:rFonts w:ascii="Lucida Sans"/>
                      <w:color w:val="0079C1"/>
                      <w:spacing w:val="8"/>
                      <w:w w:val="104"/>
                      <w:sz w:val="17"/>
                    </w:rPr>
                    <w:t>DISEAS</w:t>
                  </w:r>
                  <w:r>
                    <w:rPr>
                      <w:rFonts w:ascii="Lucida Sans"/>
                      <w:color w:val="0079C1"/>
                      <w:w w:val="104"/>
                      <w:sz w:val="17"/>
                    </w:rPr>
                    <w:t>E</w:t>
                  </w:r>
                  <w:r>
                    <w:rPr>
                      <w:rFonts w:ascii="Lucida Sans"/>
                      <w:color w:val="0079C1"/>
                      <w:spacing w:val="10"/>
                      <w:sz w:val="17"/>
                    </w:rPr>
                    <w:t> </w:t>
                  </w:r>
                  <w:r>
                    <w:rPr>
                      <w:rFonts w:ascii="Lucida Sans"/>
                      <w:color w:val="0079C1"/>
                      <w:spacing w:val="8"/>
                      <w:w w:val="102"/>
                      <w:sz w:val="17"/>
                    </w:rPr>
                    <w:t>OUTBREAKS</w:t>
                  </w:r>
                </w:p>
              </w:txbxContent>
            </v:textbox>
            <w10:wrap type="none"/>
          </v:shape>
        </w:pict>
      </w:r>
      <w:r>
        <w:rPr>
          <w:color w:val="231F20"/>
          <w:w w:val="105"/>
        </w:rPr>
        <w:t>The following sections briefly review the authorizations that are particularly pertinent</w:t>
      </w:r>
      <w:r>
        <w:rPr>
          <w:color w:val="231F20"/>
          <w:spacing w:val="-16"/>
          <w:w w:val="105"/>
        </w:rPr>
        <w:t> </w:t>
      </w:r>
      <w:r>
        <w:rPr>
          <w:color w:val="231F20"/>
          <w:w w:val="105"/>
        </w:rPr>
        <w:t>to foodborne disease outbreak investigations and control.</w:t>
      </w:r>
    </w:p>
    <w:p>
      <w:pPr>
        <w:pStyle w:val="ListParagraph"/>
        <w:numPr>
          <w:ilvl w:val="3"/>
          <w:numId w:val="13"/>
        </w:numPr>
        <w:tabs>
          <w:tab w:pos="2082" w:val="left" w:leader="none"/>
        </w:tabs>
        <w:spacing w:line="266" w:lineRule="auto" w:before="180" w:after="0"/>
        <w:ind w:left="1440" w:right="323" w:firstLine="0"/>
        <w:jc w:val="left"/>
        <w:rPr>
          <w:sz w:val="20"/>
        </w:rPr>
      </w:pPr>
      <w:r>
        <w:rPr>
          <w:i/>
          <w:color w:val="E36F1E"/>
          <w:spacing w:val="-3"/>
          <w:w w:val="105"/>
          <w:sz w:val="20"/>
        </w:rPr>
        <w:t>Federal Food, </w:t>
      </w:r>
      <w:r>
        <w:rPr>
          <w:i/>
          <w:color w:val="E36F1E"/>
          <w:w w:val="105"/>
          <w:sz w:val="20"/>
        </w:rPr>
        <w:t>Drug, and Cosmetic Act </w:t>
      </w:r>
      <w:r>
        <w:rPr>
          <w:color w:val="231F20"/>
          <w:w w:val="105"/>
          <w:sz w:val="20"/>
        </w:rPr>
        <w:t>The primary legislation </w:t>
      </w:r>
      <w:r>
        <w:rPr>
          <w:color w:val="231F20"/>
          <w:spacing w:val="-3"/>
          <w:w w:val="105"/>
          <w:sz w:val="20"/>
        </w:rPr>
        <w:t>by </w:t>
      </w:r>
      <w:r>
        <w:rPr>
          <w:color w:val="231F20"/>
          <w:w w:val="105"/>
          <w:sz w:val="20"/>
        </w:rPr>
        <w:t>which </w:t>
      </w:r>
      <w:r>
        <w:rPr>
          <w:color w:val="231F20"/>
          <w:spacing w:val="-5"/>
          <w:w w:val="105"/>
          <w:sz w:val="20"/>
        </w:rPr>
        <w:t>FDA </w:t>
      </w:r>
      <w:r>
        <w:rPr>
          <w:color w:val="231F20"/>
          <w:w w:val="105"/>
          <w:sz w:val="20"/>
        </w:rPr>
        <w:t>exercises</w:t>
      </w:r>
      <w:r>
        <w:rPr>
          <w:color w:val="231F20"/>
          <w:spacing w:val="-12"/>
          <w:w w:val="105"/>
          <w:sz w:val="20"/>
        </w:rPr>
        <w:t> </w:t>
      </w:r>
      <w:r>
        <w:rPr>
          <w:color w:val="231F20"/>
          <w:w w:val="105"/>
          <w:sz w:val="20"/>
        </w:rPr>
        <w:t>authority</w:t>
      </w:r>
      <w:r>
        <w:rPr>
          <w:color w:val="231F20"/>
          <w:spacing w:val="-12"/>
          <w:w w:val="105"/>
          <w:sz w:val="20"/>
        </w:rPr>
        <w:t> </w:t>
      </w:r>
      <w:r>
        <w:rPr>
          <w:color w:val="231F20"/>
          <w:spacing w:val="-3"/>
          <w:w w:val="105"/>
          <w:sz w:val="20"/>
        </w:rPr>
        <w:t>over</w:t>
      </w:r>
      <w:r>
        <w:rPr>
          <w:color w:val="231F20"/>
          <w:spacing w:val="-12"/>
          <w:w w:val="105"/>
          <w:sz w:val="20"/>
        </w:rPr>
        <w:t> </w:t>
      </w:r>
      <w:r>
        <w:rPr>
          <w:color w:val="231F20"/>
          <w:w w:val="105"/>
          <w:sz w:val="20"/>
        </w:rPr>
        <w:t>food</w:t>
      </w:r>
      <w:r>
        <w:rPr>
          <w:color w:val="231F20"/>
          <w:spacing w:val="-12"/>
          <w:w w:val="105"/>
          <w:sz w:val="20"/>
        </w:rPr>
        <w:t> </w:t>
      </w:r>
      <w:r>
        <w:rPr>
          <w:color w:val="231F20"/>
          <w:w w:val="105"/>
          <w:sz w:val="20"/>
        </w:rPr>
        <w:t>is</w:t>
      </w:r>
      <w:r>
        <w:rPr>
          <w:color w:val="231F20"/>
          <w:spacing w:val="-12"/>
          <w:w w:val="105"/>
          <w:sz w:val="20"/>
        </w:rPr>
        <w:t> </w:t>
      </w:r>
      <w:r>
        <w:rPr>
          <w:color w:val="231F20"/>
          <w:w w:val="105"/>
          <w:sz w:val="20"/>
        </w:rPr>
        <w:t>the</w:t>
      </w:r>
      <w:r>
        <w:rPr>
          <w:color w:val="231F20"/>
          <w:spacing w:val="-12"/>
          <w:w w:val="105"/>
          <w:sz w:val="20"/>
        </w:rPr>
        <w:t> </w:t>
      </w:r>
      <w:r>
        <w:rPr>
          <w:color w:val="231F20"/>
          <w:spacing w:val="-3"/>
          <w:w w:val="105"/>
          <w:sz w:val="20"/>
        </w:rPr>
        <w:t>Federal </w:t>
      </w:r>
      <w:r>
        <w:rPr>
          <w:color w:val="231F20"/>
          <w:spacing w:val="-4"/>
          <w:w w:val="105"/>
          <w:sz w:val="20"/>
        </w:rPr>
        <w:t>Food, </w:t>
      </w:r>
      <w:r>
        <w:rPr>
          <w:color w:val="231F20"/>
          <w:w w:val="105"/>
          <w:sz w:val="20"/>
        </w:rPr>
        <w:t>Drug, and Cosmetic Act (FFDCA). A</w:t>
      </w:r>
      <w:r>
        <w:rPr>
          <w:color w:val="231F20"/>
          <w:spacing w:val="-15"/>
          <w:w w:val="105"/>
          <w:sz w:val="20"/>
        </w:rPr>
        <w:t> </w:t>
      </w:r>
      <w:r>
        <w:rPr>
          <w:color w:val="231F20"/>
          <w:w w:val="105"/>
          <w:sz w:val="20"/>
        </w:rPr>
        <w:t>goal</w:t>
      </w:r>
      <w:r>
        <w:rPr>
          <w:color w:val="231F20"/>
          <w:spacing w:val="-15"/>
          <w:w w:val="105"/>
          <w:sz w:val="20"/>
        </w:rPr>
        <w:t> </w:t>
      </w:r>
      <w:r>
        <w:rPr>
          <w:color w:val="231F20"/>
          <w:w w:val="105"/>
          <w:sz w:val="20"/>
        </w:rPr>
        <w:t>of</w:t>
      </w:r>
      <w:r>
        <w:rPr>
          <w:color w:val="231F20"/>
          <w:spacing w:val="7"/>
          <w:w w:val="105"/>
          <w:sz w:val="20"/>
        </w:rPr>
        <w:t> </w:t>
      </w:r>
      <w:r>
        <w:rPr>
          <w:color w:val="231F20"/>
          <w:spacing w:val="-5"/>
          <w:w w:val="105"/>
          <w:sz w:val="20"/>
        </w:rPr>
        <w:t>FDA</w:t>
      </w:r>
      <w:r>
        <w:rPr>
          <w:color w:val="231F20"/>
          <w:spacing w:val="-15"/>
          <w:w w:val="105"/>
          <w:sz w:val="20"/>
        </w:rPr>
        <w:t> </w:t>
      </w:r>
      <w:r>
        <w:rPr>
          <w:color w:val="231F20"/>
          <w:w w:val="105"/>
          <w:sz w:val="20"/>
        </w:rPr>
        <w:t>is</w:t>
      </w:r>
      <w:r>
        <w:rPr>
          <w:color w:val="231F20"/>
          <w:spacing w:val="-15"/>
          <w:w w:val="105"/>
          <w:sz w:val="20"/>
        </w:rPr>
        <w:t> </w:t>
      </w:r>
      <w:r>
        <w:rPr>
          <w:color w:val="231F20"/>
          <w:w w:val="105"/>
          <w:sz w:val="20"/>
        </w:rPr>
        <w:t>to</w:t>
      </w:r>
      <w:r>
        <w:rPr>
          <w:color w:val="231F20"/>
          <w:spacing w:val="-15"/>
          <w:w w:val="105"/>
          <w:sz w:val="20"/>
        </w:rPr>
        <w:t> </w:t>
      </w:r>
      <w:r>
        <w:rPr>
          <w:color w:val="231F20"/>
          <w:w w:val="105"/>
          <w:sz w:val="20"/>
        </w:rPr>
        <w:t>prevent</w:t>
      </w:r>
      <w:r>
        <w:rPr>
          <w:color w:val="231F20"/>
          <w:spacing w:val="-15"/>
          <w:w w:val="105"/>
          <w:sz w:val="20"/>
        </w:rPr>
        <w:t> </w:t>
      </w:r>
      <w:r>
        <w:rPr>
          <w:color w:val="231F20"/>
          <w:w w:val="105"/>
          <w:sz w:val="20"/>
        </w:rPr>
        <w:t>contamination of</w:t>
      </w:r>
      <w:r>
        <w:rPr>
          <w:color w:val="231F20"/>
          <w:spacing w:val="-3"/>
          <w:w w:val="105"/>
          <w:sz w:val="20"/>
        </w:rPr>
        <w:t> </w:t>
      </w:r>
      <w:r>
        <w:rPr>
          <w:color w:val="231F20"/>
          <w:w w:val="105"/>
          <w:sz w:val="20"/>
        </w:rPr>
        <w:t>food</w:t>
      </w:r>
      <w:r>
        <w:rPr>
          <w:color w:val="231F20"/>
          <w:spacing w:val="-21"/>
          <w:w w:val="105"/>
          <w:sz w:val="20"/>
        </w:rPr>
        <w:t> </w:t>
      </w:r>
      <w:r>
        <w:rPr>
          <w:color w:val="231F20"/>
          <w:w w:val="105"/>
          <w:sz w:val="20"/>
        </w:rPr>
        <w:t>product</w:t>
      </w:r>
      <w:r>
        <w:rPr>
          <w:color w:val="231F20"/>
          <w:spacing w:val="-21"/>
          <w:w w:val="105"/>
          <w:sz w:val="20"/>
        </w:rPr>
        <w:t> </w:t>
      </w:r>
      <w:r>
        <w:rPr>
          <w:color w:val="231F20"/>
          <w:w w:val="105"/>
          <w:sz w:val="20"/>
        </w:rPr>
        <w:t>before</w:t>
      </w:r>
      <w:r>
        <w:rPr>
          <w:color w:val="231F20"/>
          <w:spacing w:val="-21"/>
          <w:w w:val="105"/>
          <w:sz w:val="20"/>
        </w:rPr>
        <w:t> </w:t>
      </w:r>
      <w:r>
        <w:rPr>
          <w:color w:val="231F20"/>
          <w:w w:val="105"/>
          <w:sz w:val="20"/>
        </w:rPr>
        <w:t>distribution,</w:t>
      </w:r>
      <w:r>
        <w:rPr>
          <w:color w:val="231F20"/>
          <w:spacing w:val="-21"/>
          <w:w w:val="105"/>
          <w:sz w:val="20"/>
        </w:rPr>
        <w:t> </w:t>
      </w:r>
      <w:r>
        <w:rPr>
          <w:color w:val="231F20"/>
          <w:w w:val="105"/>
          <w:sz w:val="20"/>
        </w:rPr>
        <w:t>but</w:t>
      </w:r>
      <w:r>
        <w:rPr>
          <w:color w:val="231F20"/>
          <w:spacing w:val="-21"/>
          <w:w w:val="105"/>
          <w:sz w:val="20"/>
        </w:rPr>
        <w:t> </w:t>
      </w:r>
      <w:r>
        <w:rPr>
          <w:color w:val="231F20"/>
          <w:w w:val="105"/>
          <w:sz w:val="20"/>
        </w:rPr>
        <w:t>the legislation</w:t>
      </w:r>
      <w:r>
        <w:rPr>
          <w:color w:val="231F20"/>
          <w:spacing w:val="-13"/>
          <w:w w:val="105"/>
          <w:sz w:val="20"/>
        </w:rPr>
        <w:t> </w:t>
      </w:r>
      <w:r>
        <w:rPr>
          <w:color w:val="231F20"/>
          <w:w w:val="105"/>
          <w:sz w:val="20"/>
        </w:rPr>
        <w:t>allows</w:t>
      </w:r>
      <w:r>
        <w:rPr>
          <w:color w:val="231F20"/>
          <w:spacing w:val="-13"/>
          <w:w w:val="105"/>
          <w:sz w:val="20"/>
        </w:rPr>
        <w:t> </w:t>
      </w:r>
      <w:r>
        <w:rPr>
          <w:color w:val="231F20"/>
          <w:w w:val="105"/>
          <w:sz w:val="20"/>
        </w:rPr>
        <w:t>it</w:t>
      </w:r>
      <w:r>
        <w:rPr>
          <w:color w:val="231F20"/>
          <w:spacing w:val="-13"/>
          <w:w w:val="105"/>
          <w:sz w:val="20"/>
        </w:rPr>
        <w:t> </w:t>
      </w:r>
      <w:r>
        <w:rPr>
          <w:color w:val="231F20"/>
          <w:w w:val="105"/>
          <w:sz w:val="20"/>
        </w:rPr>
        <w:t>to</w:t>
      </w:r>
      <w:r>
        <w:rPr>
          <w:color w:val="231F20"/>
          <w:spacing w:val="-13"/>
          <w:w w:val="105"/>
          <w:sz w:val="20"/>
        </w:rPr>
        <w:t> </w:t>
      </w:r>
      <w:r>
        <w:rPr>
          <w:color w:val="231F20"/>
          <w:w w:val="105"/>
          <w:sz w:val="20"/>
        </w:rPr>
        <w:t>pursue:</w:t>
      </w:r>
    </w:p>
    <w:p>
      <w:pPr>
        <w:pStyle w:val="ListParagraph"/>
        <w:numPr>
          <w:ilvl w:val="3"/>
          <w:numId w:val="12"/>
        </w:numPr>
        <w:tabs>
          <w:tab w:pos="1611" w:val="left" w:leader="none"/>
        </w:tabs>
        <w:spacing w:line="266" w:lineRule="auto" w:before="180" w:after="0"/>
        <w:ind w:left="1610" w:right="83" w:hanging="170"/>
        <w:jc w:val="left"/>
        <w:rPr>
          <w:sz w:val="20"/>
        </w:rPr>
      </w:pPr>
      <w:r>
        <w:rPr/>
        <w:pict>
          <v:line style="position:absolute;mso-position-horizontal-relative:page;mso-position-vertical-relative:paragraph;z-index:2080" from="72pt,52.899464pt" to="504pt,52.899464pt" stroked="true" strokeweight="1pt" strokecolor="#00a94f">
            <v:stroke dashstyle="solid"/>
            <w10:wrap type="none"/>
          </v:line>
        </w:pict>
      </w:r>
      <w:r>
        <w:rPr>
          <w:color w:val="231F20"/>
          <w:spacing w:val="-3"/>
          <w:w w:val="105"/>
          <w:sz w:val="20"/>
        </w:rPr>
        <w:t>Voluntary </w:t>
      </w:r>
      <w:r>
        <w:rPr>
          <w:color w:val="231F20"/>
          <w:w w:val="105"/>
          <w:sz w:val="20"/>
        </w:rPr>
        <w:t>compliance through the issuance of</w:t>
      </w:r>
      <w:r>
        <w:rPr>
          <w:color w:val="231F20"/>
          <w:spacing w:val="-5"/>
          <w:w w:val="105"/>
          <w:sz w:val="20"/>
        </w:rPr>
        <w:t> </w:t>
      </w:r>
      <w:r>
        <w:rPr>
          <w:color w:val="231F20"/>
          <w:w w:val="105"/>
          <w:sz w:val="20"/>
        </w:rPr>
        <w:t>inspectional</w:t>
      </w:r>
      <w:r>
        <w:rPr>
          <w:color w:val="231F20"/>
          <w:spacing w:val="-23"/>
          <w:w w:val="105"/>
          <w:sz w:val="20"/>
        </w:rPr>
        <w:t> </w:t>
      </w:r>
      <w:r>
        <w:rPr>
          <w:color w:val="231F20"/>
          <w:w w:val="105"/>
          <w:sz w:val="20"/>
        </w:rPr>
        <w:t>observations,</w:t>
      </w:r>
      <w:r>
        <w:rPr>
          <w:color w:val="231F20"/>
          <w:spacing w:val="-23"/>
          <w:w w:val="105"/>
          <w:sz w:val="20"/>
        </w:rPr>
        <w:t> </w:t>
      </w:r>
      <w:r>
        <w:rPr>
          <w:color w:val="231F20"/>
          <w:w w:val="105"/>
          <w:sz w:val="20"/>
        </w:rPr>
        <w:t>untitled</w:t>
      </w:r>
      <w:r>
        <w:rPr>
          <w:color w:val="231F20"/>
          <w:spacing w:val="-23"/>
          <w:w w:val="105"/>
          <w:sz w:val="20"/>
        </w:rPr>
        <w:t> </w:t>
      </w:r>
      <w:r>
        <w:rPr>
          <w:color w:val="231F20"/>
          <w:w w:val="105"/>
          <w:sz w:val="20"/>
        </w:rPr>
        <w:t>letters,</w:t>
      </w:r>
    </w:p>
    <w:p>
      <w:pPr>
        <w:pStyle w:val="BodyText"/>
        <w:spacing w:before="108"/>
        <w:ind w:left="491"/>
      </w:pPr>
      <w:r>
        <w:rPr/>
        <w:br w:type="column"/>
      </w:r>
      <w:r>
        <w:rPr>
          <w:color w:val="231F20"/>
          <w:w w:val="105"/>
        </w:rPr>
        <w:t>and warning letters;</w:t>
      </w:r>
    </w:p>
    <w:p>
      <w:pPr>
        <w:pStyle w:val="ListParagraph"/>
        <w:numPr>
          <w:ilvl w:val="0"/>
          <w:numId w:val="6"/>
        </w:numPr>
        <w:tabs>
          <w:tab w:pos="492" w:val="left" w:leader="none"/>
        </w:tabs>
        <w:spacing w:line="266" w:lineRule="auto" w:before="115" w:after="0"/>
        <w:ind w:left="491" w:right="767" w:hanging="171"/>
        <w:jc w:val="left"/>
        <w:rPr>
          <w:sz w:val="20"/>
        </w:rPr>
      </w:pPr>
      <w:r>
        <w:rPr>
          <w:color w:val="231F20"/>
          <w:w w:val="105"/>
          <w:sz w:val="20"/>
        </w:rPr>
        <w:t>Civil action, such as an injunction to prevent</w:t>
      </w:r>
      <w:r>
        <w:rPr>
          <w:color w:val="231F20"/>
          <w:spacing w:val="-19"/>
          <w:w w:val="105"/>
          <w:sz w:val="20"/>
        </w:rPr>
        <w:t> </w:t>
      </w:r>
      <w:r>
        <w:rPr>
          <w:color w:val="231F20"/>
          <w:w w:val="105"/>
          <w:sz w:val="20"/>
        </w:rPr>
        <w:t>future</w:t>
      </w:r>
      <w:r>
        <w:rPr>
          <w:color w:val="231F20"/>
          <w:spacing w:val="-19"/>
          <w:w w:val="105"/>
          <w:sz w:val="20"/>
        </w:rPr>
        <w:t> </w:t>
      </w:r>
      <w:r>
        <w:rPr>
          <w:color w:val="231F20"/>
          <w:w w:val="105"/>
          <w:sz w:val="20"/>
        </w:rPr>
        <w:t>violations</w:t>
      </w:r>
      <w:r>
        <w:rPr>
          <w:color w:val="231F20"/>
          <w:spacing w:val="-19"/>
          <w:w w:val="105"/>
          <w:sz w:val="20"/>
        </w:rPr>
        <w:t> </w:t>
      </w:r>
      <w:r>
        <w:rPr>
          <w:color w:val="231F20"/>
          <w:w w:val="105"/>
          <w:sz w:val="20"/>
        </w:rPr>
        <w:t>of</w:t>
      </w:r>
      <w:r>
        <w:rPr>
          <w:color w:val="231F20"/>
          <w:spacing w:val="-1"/>
          <w:w w:val="105"/>
          <w:sz w:val="20"/>
        </w:rPr>
        <w:t> </w:t>
      </w:r>
      <w:r>
        <w:rPr>
          <w:color w:val="231F20"/>
          <w:w w:val="105"/>
          <w:sz w:val="20"/>
        </w:rPr>
        <w:t>the</w:t>
      </w:r>
      <w:r>
        <w:rPr>
          <w:color w:val="231F20"/>
          <w:spacing w:val="-19"/>
          <w:w w:val="105"/>
          <w:sz w:val="20"/>
        </w:rPr>
        <w:t> </w:t>
      </w:r>
      <w:r>
        <w:rPr>
          <w:color w:val="231F20"/>
          <w:w w:val="105"/>
          <w:sz w:val="20"/>
        </w:rPr>
        <w:t>FFDCA</w:t>
      </w:r>
      <w:r>
        <w:rPr>
          <w:color w:val="231F20"/>
          <w:spacing w:val="-19"/>
          <w:w w:val="105"/>
          <w:sz w:val="20"/>
        </w:rPr>
        <w:t> </w:t>
      </w:r>
      <w:r>
        <w:rPr>
          <w:color w:val="231F20"/>
          <w:w w:val="105"/>
          <w:sz w:val="20"/>
        </w:rPr>
        <w:t>(i.e., continued</w:t>
      </w:r>
      <w:r>
        <w:rPr>
          <w:color w:val="231F20"/>
          <w:spacing w:val="-22"/>
          <w:w w:val="105"/>
          <w:sz w:val="20"/>
        </w:rPr>
        <w:t> </w:t>
      </w:r>
      <w:r>
        <w:rPr>
          <w:color w:val="231F20"/>
          <w:w w:val="105"/>
          <w:sz w:val="20"/>
        </w:rPr>
        <w:t>distribution</w:t>
      </w:r>
      <w:r>
        <w:rPr>
          <w:color w:val="231F20"/>
          <w:spacing w:val="-22"/>
          <w:w w:val="105"/>
          <w:sz w:val="20"/>
        </w:rPr>
        <w:t> </w:t>
      </w:r>
      <w:r>
        <w:rPr>
          <w:color w:val="231F20"/>
          <w:w w:val="105"/>
          <w:sz w:val="20"/>
        </w:rPr>
        <w:t>of</w:t>
      </w:r>
      <w:r>
        <w:rPr>
          <w:color w:val="231F20"/>
          <w:spacing w:val="-4"/>
          <w:w w:val="105"/>
          <w:sz w:val="20"/>
        </w:rPr>
        <w:t> </w:t>
      </w:r>
      <w:r>
        <w:rPr>
          <w:color w:val="231F20"/>
          <w:w w:val="105"/>
          <w:sz w:val="20"/>
        </w:rPr>
        <w:t>adulterated</w:t>
      </w:r>
      <w:r>
        <w:rPr>
          <w:color w:val="231F20"/>
          <w:spacing w:val="-22"/>
          <w:w w:val="105"/>
          <w:sz w:val="20"/>
        </w:rPr>
        <w:t> </w:t>
      </w:r>
      <w:r>
        <w:rPr>
          <w:color w:val="231F20"/>
          <w:w w:val="105"/>
          <w:sz w:val="20"/>
        </w:rPr>
        <w:t>food);</w:t>
      </w:r>
    </w:p>
    <w:p>
      <w:pPr>
        <w:pStyle w:val="ListParagraph"/>
        <w:numPr>
          <w:ilvl w:val="0"/>
          <w:numId w:val="6"/>
        </w:numPr>
        <w:tabs>
          <w:tab w:pos="492" w:val="left" w:leader="none"/>
        </w:tabs>
        <w:spacing w:line="266" w:lineRule="auto" w:before="90" w:after="0"/>
        <w:ind w:left="491" w:right="1183" w:hanging="171"/>
        <w:jc w:val="left"/>
        <w:rPr>
          <w:sz w:val="20"/>
        </w:rPr>
      </w:pPr>
      <w:r>
        <w:rPr>
          <w:color w:val="231F20"/>
          <w:w w:val="105"/>
          <w:sz w:val="20"/>
        </w:rPr>
        <w:t>Seizure</w:t>
      </w:r>
      <w:r>
        <w:rPr>
          <w:color w:val="231F20"/>
          <w:spacing w:val="-17"/>
          <w:w w:val="105"/>
          <w:sz w:val="20"/>
        </w:rPr>
        <w:t> </w:t>
      </w:r>
      <w:r>
        <w:rPr>
          <w:color w:val="231F20"/>
          <w:w w:val="105"/>
          <w:sz w:val="20"/>
        </w:rPr>
        <w:t>action</w:t>
      </w:r>
      <w:r>
        <w:rPr>
          <w:color w:val="231F20"/>
          <w:spacing w:val="-17"/>
          <w:w w:val="105"/>
          <w:sz w:val="20"/>
        </w:rPr>
        <w:t> </w:t>
      </w:r>
      <w:r>
        <w:rPr>
          <w:color w:val="231F20"/>
          <w:w w:val="105"/>
          <w:sz w:val="20"/>
        </w:rPr>
        <w:t>to</w:t>
      </w:r>
      <w:r>
        <w:rPr>
          <w:color w:val="231F20"/>
          <w:spacing w:val="-17"/>
          <w:w w:val="105"/>
          <w:sz w:val="20"/>
        </w:rPr>
        <w:t> </w:t>
      </w:r>
      <w:r>
        <w:rPr>
          <w:color w:val="231F20"/>
          <w:spacing w:val="-3"/>
          <w:w w:val="105"/>
          <w:sz w:val="20"/>
        </w:rPr>
        <w:t>remove</w:t>
      </w:r>
      <w:r>
        <w:rPr>
          <w:color w:val="231F20"/>
          <w:spacing w:val="-17"/>
          <w:w w:val="105"/>
          <w:sz w:val="20"/>
        </w:rPr>
        <w:t> </w:t>
      </w:r>
      <w:r>
        <w:rPr>
          <w:color w:val="231F20"/>
          <w:w w:val="105"/>
          <w:sz w:val="20"/>
        </w:rPr>
        <w:t>specific</w:t>
      </w:r>
      <w:r>
        <w:rPr>
          <w:color w:val="231F20"/>
          <w:spacing w:val="-17"/>
          <w:w w:val="105"/>
          <w:sz w:val="20"/>
        </w:rPr>
        <w:t> </w:t>
      </w:r>
      <w:r>
        <w:rPr>
          <w:color w:val="231F20"/>
          <w:w w:val="105"/>
          <w:sz w:val="20"/>
        </w:rPr>
        <w:t>lots</w:t>
      </w:r>
      <w:r>
        <w:rPr>
          <w:color w:val="231F20"/>
          <w:spacing w:val="-17"/>
          <w:w w:val="105"/>
          <w:sz w:val="20"/>
        </w:rPr>
        <w:t> </w:t>
      </w:r>
      <w:r>
        <w:rPr>
          <w:color w:val="231F20"/>
          <w:w w:val="105"/>
          <w:sz w:val="20"/>
        </w:rPr>
        <w:t>of adulterated</w:t>
      </w:r>
      <w:r>
        <w:rPr>
          <w:color w:val="231F20"/>
          <w:spacing w:val="-19"/>
          <w:w w:val="105"/>
          <w:sz w:val="20"/>
        </w:rPr>
        <w:t> </w:t>
      </w:r>
      <w:r>
        <w:rPr>
          <w:color w:val="231F20"/>
          <w:w w:val="105"/>
          <w:sz w:val="20"/>
        </w:rPr>
        <w:t>food;</w:t>
      </w:r>
    </w:p>
    <w:p>
      <w:pPr>
        <w:pStyle w:val="ListParagraph"/>
        <w:numPr>
          <w:ilvl w:val="0"/>
          <w:numId w:val="6"/>
        </w:numPr>
        <w:tabs>
          <w:tab w:pos="492" w:val="left" w:leader="none"/>
        </w:tabs>
        <w:spacing w:line="266" w:lineRule="auto" w:before="90" w:after="0"/>
        <w:ind w:left="491" w:right="1217" w:hanging="171"/>
        <w:jc w:val="left"/>
        <w:rPr>
          <w:sz w:val="20"/>
        </w:rPr>
      </w:pPr>
      <w:r>
        <w:rPr>
          <w:color w:val="231F20"/>
          <w:w w:val="105"/>
          <w:sz w:val="20"/>
        </w:rPr>
        <w:t>Mandatory recall of violative food</w:t>
      </w:r>
      <w:r>
        <w:rPr>
          <w:color w:val="231F20"/>
          <w:spacing w:val="-26"/>
          <w:w w:val="105"/>
          <w:sz w:val="20"/>
        </w:rPr>
        <w:t> </w:t>
      </w:r>
      <w:r>
        <w:rPr>
          <w:color w:val="231F20"/>
          <w:w w:val="105"/>
          <w:sz w:val="20"/>
        </w:rPr>
        <w:t>that presents</w:t>
      </w:r>
      <w:r>
        <w:rPr>
          <w:color w:val="231F20"/>
          <w:spacing w:val="-8"/>
          <w:w w:val="105"/>
          <w:sz w:val="20"/>
        </w:rPr>
        <w:t> </w:t>
      </w:r>
      <w:r>
        <w:rPr>
          <w:color w:val="231F20"/>
          <w:w w:val="105"/>
          <w:sz w:val="20"/>
        </w:rPr>
        <w:t>a</w:t>
      </w:r>
      <w:r>
        <w:rPr>
          <w:color w:val="231F20"/>
          <w:spacing w:val="-8"/>
          <w:w w:val="105"/>
          <w:sz w:val="20"/>
        </w:rPr>
        <w:t> </w:t>
      </w:r>
      <w:r>
        <w:rPr>
          <w:color w:val="231F20"/>
          <w:w w:val="105"/>
          <w:sz w:val="20"/>
        </w:rPr>
        <w:t>certain</w:t>
      </w:r>
      <w:r>
        <w:rPr>
          <w:color w:val="231F20"/>
          <w:spacing w:val="-8"/>
          <w:w w:val="105"/>
          <w:sz w:val="20"/>
        </w:rPr>
        <w:t> </w:t>
      </w:r>
      <w:r>
        <w:rPr>
          <w:color w:val="231F20"/>
          <w:w w:val="105"/>
          <w:sz w:val="20"/>
        </w:rPr>
        <w:t>risk</w:t>
      </w:r>
      <w:r>
        <w:rPr>
          <w:color w:val="231F20"/>
          <w:spacing w:val="-8"/>
          <w:w w:val="105"/>
          <w:sz w:val="20"/>
        </w:rPr>
        <w:t> </w:t>
      </w:r>
      <w:r>
        <w:rPr>
          <w:color w:val="231F20"/>
          <w:w w:val="105"/>
          <w:sz w:val="20"/>
        </w:rPr>
        <w:t>to</w:t>
      </w:r>
      <w:r>
        <w:rPr>
          <w:color w:val="231F20"/>
          <w:spacing w:val="-8"/>
          <w:w w:val="105"/>
          <w:sz w:val="20"/>
        </w:rPr>
        <w:t> </w:t>
      </w:r>
      <w:r>
        <w:rPr>
          <w:color w:val="231F20"/>
          <w:w w:val="105"/>
          <w:sz w:val="20"/>
        </w:rPr>
        <w:t>public</w:t>
      </w:r>
      <w:r>
        <w:rPr>
          <w:color w:val="231F20"/>
          <w:spacing w:val="-8"/>
          <w:w w:val="105"/>
          <w:sz w:val="20"/>
        </w:rPr>
        <w:t> </w:t>
      </w:r>
      <w:r>
        <w:rPr>
          <w:color w:val="231F20"/>
          <w:w w:val="105"/>
          <w:sz w:val="20"/>
        </w:rPr>
        <w:t>health;</w:t>
      </w:r>
    </w:p>
    <w:p>
      <w:pPr>
        <w:pStyle w:val="ListParagraph"/>
        <w:numPr>
          <w:ilvl w:val="0"/>
          <w:numId w:val="6"/>
        </w:numPr>
        <w:tabs>
          <w:tab w:pos="492" w:val="left" w:leader="none"/>
        </w:tabs>
        <w:spacing w:line="266" w:lineRule="auto" w:before="90" w:after="0"/>
        <w:ind w:left="491" w:right="905" w:hanging="171"/>
        <w:jc w:val="left"/>
        <w:rPr>
          <w:sz w:val="20"/>
        </w:rPr>
      </w:pPr>
      <w:r>
        <w:rPr>
          <w:color w:val="231F20"/>
          <w:w w:val="105"/>
          <w:sz w:val="20"/>
        </w:rPr>
        <w:t>Criminal action against an individual or company</w:t>
      </w:r>
      <w:r>
        <w:rPr>
          <w:color w:val="231F20"/>
          <w:spacing w:val="-13"/>
          <w:w w:val="105"/>
          <w:sz w:val="20"/>
        </w:rPr>
        <w:t> </w:t>
      </w:r>
      <w:r>
        <w:rPr>
          <w:color w:val="231F20"/>
          <w:w w:val="105"/>
          <w:sz w:val="20"/>
        </w:rPr>
        <w:t>that</w:t>
      </w:r>
      <w:r>
        <w:rPr>
          <w:color w:val="231F20"/>
          <w:spacing w:val="-13"/>
          <w:w w:val="105"/>
          <w:sz w:val="20"/>
        </w:rPr>
        <w:t> </w:t>
      </w:r>
      <w:r>
        <w:rPr>
          <w:color w:val="231F20"/>
          <w:w w:val="105"/>
          <w:sz w:val="20"/>
        </w:rPr>
        <w:t>violates</w:t>
      </w:r>
      <w:r>
        <w:rPr>
          <w:color w:val="231F20"/>
          <w:spacing w:val="-13"/>
          <w:w w:val="105"/>
          <w:sz w:val="20"/>
        </w:rPr>
        <w:t> </w:t>
      </w:r>
      <w:r>
        <w:rPr>
          <w:color w:val="231F20"/>
          <w:w w:val="105"/>
          <w:sz w:val="20"/>
        </w:rPr>
        <w:t>the</w:t>
      </w:r>
      <w:r>
        <w:rPr>
          <w:color w:val="231F20"/>
          <w:spacing w:val="-13"/>
          <w:w w:val="105"/>
          <w:sz w:val="20"/>
        </w:rPr>
        <w:t> </w:t>
      </w:r>
      <w:r>
        <w:rPr>
          <w:color w:val="231F20"/>
          <w:w w:val="105"/>
          <w:sz w:val="20"/>
        </w:rPr>
        <w:t>FFDCA,</w:t>
      </w:r>
      <w:r>
        <w:rPr>
          <w:color w:val="231F20"/>
          <w:spacing w:val="-13"/>
          <w:w w:val="105"/>
          <w:sz w:val="20"/>
        </w:rPr>
        <w:t> </w:t>
      </w:r>
      <w:r>
        <w:rPr>
          <w:color w:val="231F20"/>
          <w:w w:val="105"/>
          <w:sz w:val="20"/>
        </w:rPr>
        <w:t>such</w:t>
      </w:r>
      <w:r>
        <w:rPr>
          <w:color w:val="231F20"/>
          <w:spacing w:val="-13"/>
          <w:w w:val="105"/>
          <w:sz w:val="20"/>
        </w:rPr>
        <w:t> </w:t>
      </w:r>
      <w:r>
        <w:rPr>
          <w:color w:val="231F20"/>
          <w:w w:val="105"/>
          <w:sz w:val="20"/>
        </w:rPr>
        <w:t>as </w:t>
      </w:r>
      <w:r>
        <w:rPr>
          <w:color w:val="231F20"/>
          <w:spacing w:val="-3"/>
          <w:w w:val="105"/>
          <w:sz w:val="20"/>
        </w:rPr>
        <w:t>by </w:t>
      </w:r>
      <w:r>
        <w:rPr>
          <w:color w:val="231F20"/>
          <w:w w:val="105"/>
          <w:sz w:val="20"/>
        </w:rPr>
        <w:t>causing food to become adulterated </w:t>
      </w:r>
      <w:r>
        <w:rPr>
          <w:color w:val="231F20"/>
          <w:spacing w:val="-3"/>
          <w:w w:val="105"/>
          <w:sz w:val="20"/>
        </w:rPr>
        <w:t>by </w:t>
      </w:r>
      <w:r>
        <w:rPr>
          <w:color w:val="231F20"/>
          <w:w w:val="105"/>
          <w:sz w:val="20"/>
        </w:rPr>
        <w:t>inadequate processing and</w:t>
      </w:r>
      <w:r>
        <w:rPr>
          <w:color w:val="231F20"/>
          <w:spacing w:val="-10"/>
          <w:w w:val="105"/>
          <w:sz w:val="20"/>
        </w:rPr>
        <w:t> </w:t>
      </w:r>
      <w:r>
        <w:rPr>
          <w:color w:val="231F20"/>
          <w:w w:val="105"/>
          <w:sz w:val="20"/>
        </w:rPr>
        <w:t>handling;</w:t>
      </w:r>
    </w:p>
    <w:p>
      <w:pPr>
        <w:pStyle w:val="ListParagraph"/>
        <w:numPr>
          <w:ilvl w:val="0"/>
          <w:numId w:val="6"/>
        </w:numPr>
        <w:tabs>
          <w:tab w:pos="492" w:val="left" w:leader="none"/>
        </w:tabs>
        <w:spacing w:line="266" w:lineRule="auto" w:before="90" w:after="0"/>
        <w:ind w:left="491" w:right="1095" w:hanging="171"/>
        <w:jc w:val="left"/>
        <w:rPr>
          <w:sz w:val="20"/>
        </w:rPr>
      </w:pPr>
      <w:r>
        <w:rPr>
          <w:color w:val="231F20"/>
          <w:w w:val="105"/>
          <w:sz w:val="20"/>
        </w:rPr>
        <w:t>Administrative</w:t>
      </w:r>
      <w:r>
        <w:rPr>
          <w:color w:val="231F20"/>
          <w:spacing w:val="-20"/>
          <w:w w:val="105"/>
          <w:sz w:val="20"/>
        </w:rPr>
        <w:t> </w:t>
      </w:r>
      <w:r>
        <w:rPr>
          <w:color w:val="231F20"/>
          <w:w w:val="105"/>
          <w:sz w:val="20"/>
        </w:rPr>
        <w:t>detention</w:t>
      </w:r>
      <w:r>
        <w:rPr>
          <w:color w:val="231F20"/>
          <w:spacing w:val="-20"/>
          <w:w w:val="105"/>
          <w:sz w:val="20"/>
        </w:rPr>
        <w:t> </w:t>
      </w:r>
      <w:r>
        <w:rPr>
          <w:color w:val="231F20"/>
          <w:w w:val="105"/>
          <w:sz w:val="20"/>
        </w:rPr>
        <w:t>of</w:t>
      </w:r>
      <w:r>
        <w:rPr>
          <w:color w:val="231F20"/>
          <w:spacing w:val="-2"/>
          <w:w w:val="105"/>
          <w:sz w:val="20"/>
        </w:rPr>
        <w:t> </w:t>
      </w:r>
      <w:r>
        <w:rPr>
          <w:color w:val="231F20"/>
          <w:w w:val="105"/>
          <w:sz w:val="20"/>
        </w:rPr>
        <w:t>certain</w:t>
      </w:r>
      <w:r>
        <w:rPr>
          <w:color w:val="231F20"/>
          <w:spacing w:val="-20"/>
          <w:w w:val="105"/>
          <w:sz w:val="20"/>
        </w:rPr>
        <w:t> </w:t>
      </w:r>
      <w:r>
        <w:rPr>
          <w:color w:val="231F20"/>
          <w:w w:val="105"/>
          <w:sz w:val="20"/>
        </w:rPr>
        <w:t>food for</w:t>
      </w:r>
      <w:r>
        <w:rPr>
          <w:color w:val="231F20"/>
          <w:spacing w:val="-11"/>
          <w:w w:val="105"/>
          <w:sz w:val="20"/>
        </w:rPr>
        <w:t> </w:t>
      </w:r>
      <w:r>
        <w:rPr>
          <w:color w:val="231F20"/>
          <w:w w:val="105"/>
          <w:sz w:val="20"/>
        </w:rPr>
        <w:t>up</w:t>
      </w:r>
      <w:r>
        <w:rPr>
          <w:color w:val="231F20"/>
          <w:spacing w:val="-11"/>
          <w:w w:val="105"/>
          <w:sz w:val="20"/>
        </w:rPr>
        <w:t> </w:t>
      </w:r>
      <w:r>
        <w:rPr>
          <w:color w:val="231F20"/>
          <w:w w:val="105"/>
          <w:sz w:val="20"/>
        </w:rPr>
        <w:t>to</w:t>
      </w:r>
      <w:r>
        <w:rPr>
          <w:color w:val="231F20"/>
          <w:spacing w:val="-11"/>
          <w:w w:val="105"/>
          <w:sz w:val="20"/>
        </w:rPr>
        <w:t> </w:t>
      </w:r>
      <w:r>
        <w:rPr>
          <w:color w:val="231F20"/>
          <w:w w:val="105"/>
          <w:sz w:val="20"/>
        </w:rPr>
        <w:t>30</w:t>
      </w:r>
      <w:r>
        <w:rPr>
          <w:color w:val="231F20"/>
          <w:spacing w:val="-11"/>
          <w:w w:val="105"/>
          <w:sz w:val="20"/>
        </w:rPr>
        <w:t> </w:t>
      </w:r>
      <w:r>
        <w:rPr>
          <w:color w:val="231F20"/>
          <w:w w:val="105"/>
          <w:sz w:val="20"/>
        </w:rPr>
        <w:t>days</w:t>
      </w:r>
      <w:r>
        <w:rPr>
          <w:color w:val="231F20"/>
          <w:spacing w:val="-11"/>
          <w:w w:val="105"/>
          <w:sz w:val="20"/>
        </w:rPr>
        <w:t> </w:t>
      </w:r>
      <w:r>
        <w:rPr>
          <w:color w:val="231F20"/>
          <w:w w:val="105"/>
          <w:sz w:val="20"/>
        </w:rPr>
        <w:t>(the</w:t>
      </w:r>
      <w:r>
        <w:rPr>
          <w:color w:val="231F20"/>
          <w:spacing w:val="-11"/>
          <w:w w:val="105"/>
          <w:sz w:val="20"/>
        </w:rPr>
        <w:t> </w:t>
      </w:r>
      <w:r>
        <w:rPr>
          <w:color w:val="231F20"/>
          <w:spacing w:val="-5"/>
          <w:w w:val="105"/>
          <w:sz w:val="20"/>
        </w:rPr>
        <w:t>FDA</w:t>
      </w:r>
      <w:r>
        <w:rPr>
          <w:color w:val="231F20"/>
          <w:spacing w:val="-11"/>
          <w:w w:val="105"/>
          <w:sz w:val="20"/>
        </w:rPr>
        <w:t> </w:t>
      </w:r>
      <w:r>
        <w:rPr>
          <w:color w:val="231F20"/>
          <w:w w:val="105"/>
          <w:sz w:val="20"/>
        </w:rPr>
        <w:t>has</w:t>
      </w:r>
      <w:r>
        <w:rPr>
          <w:color w:val="231F20"/>
          <w:spacing w:val="-11"/>
          <w:w w:val="105"/>
          <w:sz w:val="20"/>
        </w:rPr>
        <w:t> </w:t>
      </w:r>
      <w:r>
        <w:rPr>
          <w:color w:val="231F20"/>
          <w:w w:val="105"/>
          <w:sz w:val="20"/>
        </w:rPr>
        <w:t>had</w:t>
      </w:r>
      <w:r>
        <w:rPr>
          <w:color w:val="231F20"/>
          <w:spacing w:val="-11"/>
          <w:w w:val="105"/>
          <w:sz w:val="20"/>
        </w:rPr>
        <w:t> </w:t>
      </w:r>
      <w:r>
        <w:rPr>
          <w:color w:val="231F20"/>
          <w:w w:val="105"/>
          <w:sz w:val="20"/>
        </w:rPr>
        <w:t>this</w:t>
      </w:r>
    </w:p>
    <w:p>
      <w:pPr>
        <w:pStyle w:val="BodyText"/>
        <w:spacing w:line="266" w:lineRule="auto"/>
        <w:ind w:left="491" w:right="436"/>
      </w:pPr>
      <w:r>
        <w:rPr>
          <w:color w:val="231F20"/>
          <w:w w:val="105"/>
        </w:rPr>
        <w:t>authority since the Bioterrorism Act of 2002; administrative detention does not require a court order); and</w:t>
      </w:r>
    </w:p>
    <w:p>
      <w:pPr>
        <w:pStyle w:val="ListParagraph"/>
        <w:numPr>
          <w:ilvl w:val="0"/>
          <w:numId w:val="6"/>
        </w:numPr>
        <w:tabs>
          <w:tab w:pos="492" w:val="left" w:leader="none"/>
        </w:tabs>
        <w:spacing w:line="266" w:lineRule="auto" w:before="90" w:after="0"/>
        <w:ind w:left="491" w:right="977" w:hanging="171"/>
        <w:jc w:val="left"/>
        <w:rPr>
          <w:sz w:val="20"/>
        </w:rPr>
      </w:pPr>
      <w:r>
        <w:rPr>
          <w:color w:val="231F20"/>
          <w:w w:val="105"/>
          <w:sz w:val="20"/>
        </w:rPr>
        <w:t>Suspension of the registration of a</w:t>
      </w:r>
      <w:r>
        <w:rPr>
          <w:color w:val="231F20"/>
          <w:spacing w:val="-30"/>
          <w:w w:val="105"/>
          <w:sz w:val="20"/>
        </w:rPr>
        <w:t> </w:t>
      </w:r>
      <w:r>
        <w:rPr>
          <w:color w:val="231F20"/>
          <w:w w:val="105"/>
          <w:sz w:val="20"/>
        </w:rPr>
        <w:t>facility so that food from the facility cannot be introduced</w:t>
      </w:r>
      <w:r>
        <w:rPr>
          <w:color w:val="231F20"/>
          <w:spacing w:val="-22"/>
          <w:w w:val="105"/>
          <w:sz w:val="20"/>
        </w:rPr>
        <w:t> </w:t>
      </w:r>
      <w:r>
        <w:rPr>
          <w:color w:val="231F20"/>
          <w:w w:val="105"/>
          <w:sz w:val="20"/>
        </w:rPr>
        <w:t>into</w:t>
      </w:r>
      <w:r>
        <w:rPr>
          <w:color w:val="231F20"/>
          <w:spacing w:val="-22"/>
          <w:w w:val="105"/>
          <w:sz w:val="20"/>
        </w:rPr>
        <w:t> </w:t>
      </w:r>
      <w:r>
        <w:rPr>
          <w:color w:val="231F20"/>
          <w:w w:val="105"/>
          <w:sz w:val="20"/>
        </w:rPr>
        <w:t>commerce.</w:t>
      </w:r>
    </w:p>
    <w:p>
      <w:pPr>
        <w:pStyle w:val="BodyText"/>
        <w:spacing w:line="266" w:lineRule="auto" w:before="180"/>
        <w:ind w:left="320" w:right="832"/>
      </w:pPr>
      <w:r>
        <w:rPr>
          <w:color w:val="231F20"/>
          <w:spacing w:val="-11"/>
          <w:w w:val="105"/>
        </w:rPr>
        <w:t>FDA’s </w:t>
      </w:r>
      <w:r>
        <w:rPr>
          <w:color w:val="231F20"/>
          <w:w w:val="105"/>
        </w:rPr>
        <w:t>authority under the FFDCA is limited </w:t>
      </w:r>
      <w:r>
        <w:rPr>
          <w:color w:val="231F20"/>
          <w:spacing w:val="-3"/>
          <w:w w:val="105"/>
        </w:rPr>
        <w:t>by </w:t>
      </w:r>
      <w:r>
        <w:rPr>
          <w:color w:val="231F20"/>
          <w:w w:val="105"/>
        </w:rPr>
        <w:t>the requirement for interstate commerce in some circumstances. </w:t>
      </w:r>
      <w:r>
        <w:rPr>
          <w:color w:val="231F20"/>
          <w:spacing w:val="-4"/>
          <w:w w:val="105"/>
        </w:rPr>
        <w:t>However, </w:t>
      </w:r>
      <w:r>
        <w:rPr>
          <w:color w:val="231F20"/>
          <w:w w:val="105"/>
        </w:rPr>
        <w:t>under the Public Health Service Act, </w:t>
      </w:r>
      <w:r>
        <w:rPr>
          <w:color w:val="231F20"/>
          <w:spacing w:val="-5"/>
          <w:w w:val="105"/>
        </w:rPr>
        <w:t>FDA </w:t>
      </w:r>
      <w:r>
        <w:rPr>
          <w:color w:val="231F20"/>
          <w:w w:val="105"/>
        </w:rPr>
        <w:t>can regulate intrastate commerce in some additional circumstances. State agencies might in some instances be swifter than </w:t>
      </w:r>
      <w:r>
        <w:rPr>
          <w:color w:val="231F20"/>
          <w:spacing w:val="-5"/>
          <w:w w:val="105"/>
        </w:rPr>
        <w:t>FDA </w:t>
      </w:r>
      <w:r>
        <w:rPr>
          <w:color w:val="231F20"/>
          <w:w w:val="105"/>
        </w:rPr>
        <w:t>because they</w:t>
      </w:r>
    </w:p>
    <w:p>
      <w:pPr>
        <w:pStyle w:val="BodyText"/>
        <w:spacing w:line="266" w:lineRule="auto"/>
        <w:ind w:left="320" w:right="747"/>
      </w:pPr>
      <w:r>
        <w:rPr>
          <w:color w:val="231F20"/>
          <w:w w:val="105"/>
        </w:rPr>
        <w:t>might</w:t>
      </w:r>
      <w:r>
        <w:rPr>
          <w:color w:val="231F20"/>
          <w:spacing w:val="-18"/>
          <w:w w:val="105"/>
        </w:rPr>
        <w:t> </w:t>
      </w:r>
      <w:r>
        <w:rPr>
          <w:color w:val="231F20"/>
          <w:w w:val="105"/>
        </w:rPr>
        <w:t>require</w:t>
      </w:r>
      <w:r>
        <w:rPr>
          <w:color w:val="231F20"/>
          <w:spacing w:val="-18"/>
          <w:w w:val="105"/>
        </w:rPr>
        <w:t> </w:t>
      </w:r>
      <w:r>
        <w:rPr>
          <w:color w:val="231F20"/>
          <w:w w:val="105"/>
        </w:rPr>
        <w:t>less</w:t>
      </w:r>
      <w:r>
        <w:rPr>
          <w:color w:val="231F20"/>
          <w:spacing w:val="-18"/>
          <w:w w:val="105"/>
        </w:rPr>
        <w:t> </w:t>
      </w:r>
      <w:r>
        <w:rPr>
          <w:color w:val="231F20"/>
          <w:w w:val="105"/>
        </w:rPr>
        <w:t>evidence</w:t>
      </w:r>
      <w:r>
        <w:rPr>
          <w:color w:val="231F20"/>
          <w:spacing w:val="-18"/>
          <w:w w:val="105"/>
        </w:rPr>
        <w:t> </w:t>
      </w:r>
      <w:r>
        <w:rPr>
          <w:color w:val="231F20"/>
          <w:w w:val="105"/>
        </w:rPr>
        <w:t>of</w:t>
      </w:r>
      <w:r>
        <w:rPr>
          <w:color w:val="231F20"/>
          <w:spacing w:val="1"/>
          <w:w w:val="105"/>
        </w:rPr>
        <w:t> </w:t>
      </w:r>
      <w:r>
        <w:rPr>
          <w:color w:val="231F20"/>
          <w:w w:val="105"/>
        </w:rPr>
        <w:t>problems</w:t>
      </w:r>
      <w:r>
        <w:rPr>
          <w:color w:val="231F20"/>
          <w:spacing w:val="-18"/>
          <w:w w:val="105"/>
        </w:rPr>
        <w:t> </w:t>
      </w:r>
      <w:r>
        <w:rPr>
          <w:color w:val="231F20"/>
          <w:w w:val="105"/>
        </w:rPr>
        <w:t>before taking action than the requirements imposed on</w:t>
      </w:r>
      <w:r>
        <w:rPr>
          <w:color w:val="231F20"/>
          <w:spacing w:val="-15"/>
          <w:w w:val="105"/>
        </w:rPr>
        <w:t> </w:t>
      </w:r>
      <w:r>
        <w:rPr>
          <w:color w:val="231F20"/>
          <w:spacing w:val="-5"/>
          <w:w w:val="105"/>
        </w:rPr>
        <w:t>FDA</w:t>
      </w:r>
      <w:r>
        <w:rPr>
          <w:color w:val="231F20"/>
          <w:spacing w:val="-15"/>
          <w:w w:val="105"/>
        </w:rPr>
        <w:t> </w:t>
      </w:r>
      <w:r>
        <w:rPr>
          <w:color w:val="231F20"/>
          <w:spacing w:val="-3"/>
          <w:w w:val="105"/>
        </w:rPr>
        <w:t>by</w:t>
      </w:r>
      <w:r>
        <w:rPr>
          <w:color w:val="231F20"/>
          <w:spacing w:val="-15"/>
          <w:w w:val="105"/>
        </w:rPr>
        <w:t> </w:t>
      </w:r>
      <w:r>
        <w:rPr>
          <w:color w:val="231F20"/>
          <w:w w:val="105"/>
        </w:rPr>
        <w:t>its</w:t>
      </w:r>
      <w:r>
        <w:rPr>
          <w:color w:val="231F20"/>
          <w:spacing w:val="-15"/>
          <w:w w:val="105"/>
        </w:rPr>
        <w:t> </w:t>
      </w:r>
      <w:r>
        <w:rPr>
          <w:color w:val="231F20"/>
          <w:w w:val="105"/>
        </w:rPr>
        <w:t>legislation.</w:t>
      </w:r>
    </w:p>
    <w:p>
      <w:pPr>
        <w:pStyle w:val="BodyText"/>
        <w:spacing w:line="266" w:lineRule="auto" w:before="180"/>
        <w:ind w:left="320" w:right="663"/>
      </w:pPr>
      <w:r>
        <w:rPr>
          <w:color w:val="231F20"/>
          <w:w w:val="105"/>
        </w:rPr>
        <w:t>Amendments to the FFDCA in 2007 require FDA to establish a registry for reporting by individuals, companies, and local and state agencies of food that can cause serious adverse health consequences or death to humans or animals.</w:t>
      </w:r>
    </w:p>
    <w:p>
      <w:pPr>
        <w:pStyle w:val="ListParagraph"/>
        <w:numPr>
          <w:ilvl w:val="3"/>
          <w:numId w:val="13"/>
        </w:numPr>
        <w:tabs>
          <w:tab w:pos="963" w:val="left" w:leader="none"/>
        </w:tabs>
        <w:spacing w:line="266" w:lineRule="auto" w:before="180" w:after="0"/>
        <w:ind w:left="320" w:right="1155" w:firstLine="0"/>
        <w:jc w:val="left"/>
        <w:rPr>
          <w:sz w:val="20"/>
        </w:rPr>
      </w:pPr>
      <w:r>
        <w:rPr>
          <w:i/>
          <w:color w:val="E36F1E"/>
          <w:spacing w:val="-4"/>
          <w:sz w:val="20"/>
        </w:rPr>
        <w:t>FDA </w:t>
      </w:r>
      <w:r>
        <w:rPr>
          <w:i/>
          <w:color w:val="E36F1E"/>
          <w:spacing w:val="-3"/>
          <w:sz w:val="20"/>
        </w:rPr>
        <w:t>Food </w:t>
      </w:r>
      <w:r>
        <w:rPr>
          <w:i/>
          <w:color w:val="E36F1E"/>
          <w:sz w:val="20"/>
        </w:rPr>
        <w:t>Safety Modernization Act </w:t>
      </w:r>
      <w:r>
        <w:rPr>
          <w:color w:val="231F20"/>
          <w:sz w:val="20"/>
        </w:rPr>
        <w:t>The </w:t>
      </w:r>
      <w:r>
        <w:rPr>
          <w:color w:val="231F20"/>
          <w:spacing w:val="-5"/>
          <w:sz w:val="20"/>
        </w:rPr>
        <w:t>FDA Food </w:t>
      </w:r>
      <w:r>
        <w:rPr>
          <w:color w:val="231F20"/>
          <w:sz w:val="20"/>
        </w:rPr>
        <w:t>Safety Modernization Act (FSMA), signed into law in January  </w:t>
      </w:r>
      <w:r>
        <w:rPr>
          <w:color w:val="231F20"/>
          <w:spacing w:val="34"/>
          <w:sz w:val="20"/>
        </w:rPr>
        <w:t> </w:t>
      </w:r>
      <w:r>
        <w:rPr>
          <w:color w:val="231F20"/>
          <w:sz w:val="20"/>
        </w:rPr>
        <w:t>2011,</w:t>
      </w:r>
    </w:p>
    <w:p>
      <w:pPr>
        <w:pStyle w:val="BodyText"/>
        <w:ind w:left="320"/>
      </w:pPr>
      <w:r>
        <w:rPr>
          <w:color w:val="231F20"/>
          <w:w w:val="105"/>
        </w:rPr>
        <w:t>amended the FFDCA to enhance the federal</w:t>
      </w:r>
    </w:p>
    <w:p>
      <w:pPr>
        <w:spacing w:after="0"/>
        <w:sectPr>
          <w:type w:val="continuous"/>
          <w:pgSz w:w="10080" w:h="14400"/>
          <w:pgMar w:top="0" w:bottom="0" w:left="0" w:right="0"/>
          <w:cols w:num="2" w:equalWidth="0">
            <w:col w:w="5220" w:space="40"/>
            <w:col w:w="4820"/>
          </w:cols>
        </w:sectPr>
      </w:pPr>
    </w:p>
    <w:p>
      <w:pPr>
        <w:pStyle w:val="BodyText"/>
        <w:spacing w:before="8"/>
        <w:rPr>
          <w:sz w:val="26"/>
        </w:rPr>
      </w:pPr>
    </w:p>
    <w:p>
      <w:pPr>
        <w:pStyle w:val="Heading1"/>
        <w:spacing w:line="249" w:lineRule="auto"/>
        <w:ind w:right="1459" w:hanging="545"/>
      </w:pPr>
      <w:r>
        <w:rPr/>
        <w:pict>
          <v:line style="position:absolute;mso-position-horizontal-relative:page;mso-position-vertical-relative:paragraph;z-index:2200;mso-wrap-distance-left:0;mso-wrap-distance-right:0" from="36pt,40.791943pt" to="432pt,40.791943pt" stroked="true" strokeweight=".5pt" strokecolor="#00a94f">
            <v:stroke dashstyle="solid"/>
            <w10:wrap type="topAndBottom"/>
          </v:line>
        </w:pict>
      </w:r>
      <w:r>
        <w:rPr>
          <w:color w:val="00A94F"/>
          <w:w w:val="105"/>
        </w:rPr>
        <w:t>9.3.</w:t>
      </w:r>
      <w:r>
        <w:rPr>
          <w:color w:val="00A94F"/>
          <w:spacing w:val="-34"/>
          <w:w w:val="105"/>
        </w:rPr>
        <w:t> </w:t>
      </w:r>
      <w:r>
        <w:rPr>
          <w:color w:val="00A94F"/>
          <w:w w:val="105"/>
        </w:rPr>
        <w:t>Legal</w:t>
      </w:r>
      <w:r>
        <w:rPr>
          <w:color w:val="00A94F"/>
          <w:spacing w:val="-34"/>
          <w:w w:val="105"/>
        </w:rPr>
        <w:t> </w:t>
      </w:r>
      <w:r>
        <w:rPr>
          <w:color w:val="00A94F"/>
          <w:w w:val="105"/>
        </w:rPr>
        <w:t>Framework</w:t>
      </w:r>
      <w:r>
        <w:rPr>
          <w:color w:val="00A94F"/>
          <w:spacing w:val="-34"/>
          <w:w w:val="105"/>
        </w:rPr>
        <w:t> </w:t>
      </w:r>
      <w:r>
        <w:rPr>
          <w:color w:val="00A94F"/>
          <w:w w:val="105"/>
        </w:rPr>
        <w:t>for</w:t>
      </w:r>
      <w:r>
        <w:rPr>
          <w:color w:val="00A94F"/>
          <w:spacing w:val="-34"/>
          <w:w w:val="105"/>
        </w:rPr>
        <w:t> </w:t>
      </w:r>
      <w:r>
        <w:rPr>
          <w:color w:val="00A94F"/>
          <w:w w:val="105"/>
        </w:rPr>
        <w:t>Measures</w:t>
      </w:r>
      <w:r>
        <w:rPr>
          <w:color w:val="00A94F"/>
          <w:spacing w:val="-34"/>
          <w:w w:val="105"/>
        </w:rPr>
        <w:t> </w:t>
      </w:r>
      <w:r>
        <w:rPr>
          <w:color w:val="00A94F"/>
          <w:w w:val="105"/>
        </w:rPr>
        <w:t>and</w:t>
      </w:r>
      <w:r>
        <w:rPr>
          <w:color w:val="00A94F"/>
          <w:spacing w:val="-34"/>
          <w:w w:val="105"/>
        </w:rPr>
        <w:t> </w:t>
      </w:r>
      <w:r>
        <w:rPr>
          <w:color w:val="00A94F"/>
          <w:w w:val="105"/>
        </w:rPr>
        <w:t>Methods</w:t>
      </w:r>
      <w:r>
        <w:rPr>
          <w:color w:val="00A94F"/>
          <w:spacing w:val="-34"/>
          <w:w w:val="105"/>
        </w:rPr>
        <w:t> </w:t>
      </w:r>
      <w:r>
        <w:rPr>
          <w:color w:val="00A94F"/>
          <w:w w:val="105"/>
        </w:rPr>
        <w:t>to</w:t>
      </w:r>
      <w:r>
        <w:rPr>
          <w:color w:val="00A94F"/>
          <w:spacing w:val="-34"/>
          <w:w w:val="105"/>
        </w:rPr>
        <w:t> </w:t>
      </w:r>
      <w:r>
        <w:rPr>
          <w:color w:val="00A94F"/>
          <w:w w:val="105"/>
        </w:rPr>
        <w:t>Prevent</w:t>
      </w:r>
      <w:r>
        <w:rPr>
          <w:color w:val="00A94F"/>
          <w:spacing w:val="-34"/>
          <w:w w:val="105"/>
        </w:rPr>
        <w:t> </w:t>
      </w:r>
      <w:r>
        <w:rPr>
          <w:color w:val="00A94F"/>
          <w:w w:val="105"/>
        </w:rPr>
        <w:t>or Mitigate</w:t>
      </w:r>
      <w:r>
        <w:rPr>
          <w:color w:val="00A94F"/>
          <w:spacing w:val="-46"/>
          <w:w w:val="105"/>
        </w:rPr>
        <w:t> </w:t>
      </w:r>
      <w:r>
        <w:rPr>
          <w:color w:val="00A94F"/>
          <w:w w:val="105"/>
        </w:rPr>
        <w:t>Foodborne</w:t>
      </w:r>
      <w:r>
        <w:rPr>
          <w:color w:val="00A94F"/>
          <w:spacing w:val="-46"/>
          <w:w w:val="105"/>
        </w:rPr>
        <w:t> </w:t>
      </w:r>
      <w:r>
        <w:rPr>
          <w:color w:val="00A94F"/>
          <w:w w:val="105"/>
        </w:rPr>
        <w:t>Disease</w:t>
      </w:r>
      <w:r>
        <w:rPr>
          <w:color w:val="00A94F"/>
          <w:spacing w:val="-46"/>
          <w:w w:val="105"/>
        </w:rPr>
        <w:t> </w:t>
      </w:r>
      <w:r>
        <w:rPr>
          <w:color w:val="00A94F"/>
          <w:w w:val="105"/>
        </w:rPr>
        <w:t>Outbreaks</w:t>
      </w:r>
    </w:p>
    <w:p>
      <w:pPr>
        <w:pStyle w:val="BodyText"/>
        <w:spacing w:before="1"/>
        <w:rPr>
          <w:rFonts w:ascii="Arial"/>
        </w:rPr>
      </w:pPr>
    </w:p>
    <w:p>
      <w:pPr>
        <w:spacing w:after="0"/>
        <w:rPr>
          <w:rFonts w:ascii="Arial"/>
        </w:rPr>
        <w:sectPr>
          <w:pgSz w:w="10080" w:h="14400"/>
          <w:pgMar w:header="0" w:footer="0" w:top="980" w:bottom="0" w:left="0" w:right="0"/>
        </w:sectPr>
      </w:pPr>
    </w:p>
    <w:p>
      <w:pPr>
        <w:pStyle w:val="BodyText"/>
        <w:spacing w:line="266" w:lineRule="auto" w:before="108"/>
        <w:ind w:left="720" w:right="38"/>
      </w:pPr>
      <w:r>
        <w:rPr>
          <w:color w:val="231F20"/>
          <w:w w:val="105"/>
        </w:rPr>
        <w:t>government’s ability to prevent and respond to contamination in the food </w:t>
      </w:r>
      <w:r>
        <w:rPr>
          <w:color w:val="231F20"/>
          <w:spacing w:val="-4"/>
          <w:w w:val="105"/>
        </w:rPr>
        <w:t>supply. </w:t>
      </w:r>
      <w:r>
        <w:rPr>
          <w:color w:val="231F20"/>
          <w:w w:val="105"/>
        </w:rPr>
        <w:t>The law addresses</w:t>
      </w:r>
      <w:r>
        <w:rPr>
          <w:color w:val="231F20"/>
          <w:spacing w:val="-20"/>
          <w:w w:val="105"/>
        </w:rPr>
        <w:t> </w:t>
      </w:r>
      <w:r>
        <w:rPr>
          <w:color w:val="231F20"/>
          <w:w w:val="105"/>
        </w:rPr>
        <w:t>prevention,</w:t>
      </w:r>
      <w:r>
        <w:rPr>
          <w:color w:val="231F20"/>
          <w:spacing w:val="-20"/>
          <w:w w:val="105"/>
        </w:rPr>
        <w:t> </w:t>
      </w:r>
      <w:r>
        <w:rPr>
          <w:color w:val="231F20"/>
          <w:w w:val="105"/>
        </w:rPr>
        <w:t>inspection,</w:t>
      </w:r>
      <w:r>
        <w:rPr>
          <w:color w:val="231F20"/>
          <w:spacing w:val="-20"/>
          <w:w w:val="105"/>
        </w:rPr>
        <w:t> </w:t>
      </w:r>
      <w:r>
        <w:rPr>
          <w:color w:val="231F20"/>
          <w:w w:val="105"/>
        </w:rPr>
        <w:t>compliance, and</w:t>
      </w:r>
      <w:r>
        <w:rPr>
          <w:color w:val="231F20"/>
          <w:spacing w:val="-13"/>
          <w:w w:val="105"/>
        </w:rPr>
        <w:t> </w:t>
      </w:r>
      <w:r>
        <w:rPr>
          <w:color w:val="231F20"/>
          <w:w w:val="105"/>
        </w:rPr>
        <w:t>response</w:t>
      </w:r>
      <w:r>
        <w:rPr>
          <w:color w:val="231F20"/>
          <w:spacing w:val="-13"/>
          <w:w w:val="105"/>
        </w:rPr>
        <w:t> </w:t>
      </w:r>
      <w:r>
        <w:rPr>
          <w:color w:val="231F20"/>
          <w:w w:val="105"/>
        </w:rPr>
        <w:t>activities.</w:t>
      </w:r>
      <w:r>
        <w:rPr>
          <w:color w:val="231F20"/>
          <w:spacing w:val="-13"/>
          <w:w w:val="105"/>
        </w:rPr>
        <w:t> </w:t>
      </w:r>
      <w:r>
        <w:rPr>
          <w:color w:val="231F20"/>
          <w:w w:val="105"/>
        </w:rPr>
        <w:t>It</w:t>
      </w:r>
      <w:r>
        <w:rPr>
          <w:color w:val="231F20"/>
          <w:spacing w:val="-13"/>
          <w:w w:val="105"/>
        </w:rPr>
        <w:t> </w:t>
      </w:r>
      <w:r>
        <w:rPr>
          <w:color w:val="231F20"/>
          <w:w w:val="105"/>
        </w:rPr>
        <w:t>also</w:t>
      </w:r>
      <w:r>
        <w:rPr>
          <w:color w:val="231F20"/>
          <w:spacing w:val="-13"/>
          <w:w w:val="105"/>
        </w:rPr>
        <w:t> </w:t>
      </w:r>
      <w:r>
        <w:rPr>
          <w:color w:val="231F20"/>
          <w:w w:val="105"/>
        </w:rPr>
        <w:t>adds</w:t>
      </w:r>
      <w:r>
        <w:rPr>
          <w:color w:val="231F20"/>
          <w:spacing w:val="-13"/>
          <w:w w:val="105"/>
        </w:rPr>
        <w:t> </w:t>
      </w:r>
      <w:r>
        <w:rPr>
          <w:color w:val="231F20"/>
          <w:w w:val="105"/>
        </w:rPr>
        <w:t>authorities to ensure that imported products are as safe as domestically produced food. FSMA also requires </w:t>
      </w:r>
      <w:r>
        <w:rPr>
          <w:color w:val="231F20"/>
          <w:spacing w:val="-5"/>
          <w:w w:val="105"/>
        </w:rPr>
        <w:t>FDA </w:t>
      </w:r>
      <w:r>
        <w:rPr>
          <w:color w:val="231F20"/>
          <w:w w:val="105"/>
        </w:rPr>
        <w:t>to build an integrated national food-safety system in partnership with state and local</w:t>
      </w:r>
      <w:r>
        <w:rPr>
          <w:color w:val="231F20"/>
          <w:spacing w:val="-2"/>
          <w:w w:val="105"/>
        </w:rPr>
        <w:t> </w:t>
      </w:r>
      <w:r>
        <w:rPr>
          <w:color w:val="231F20"/>
          <w:w w:val="105"/>
        </w:rPr>
        <w:t>agencies.</w:t>
      </w:r>
    </w:p>
    <w:p>
      <w:pPr>
        <w:pStyle w:val="ListParagraph"/>
        <w:numPr>
          <w:ilvl w:val="0"/>
          <w:numId w:val="14"/>
        </w:numPr>
        <w:tabs>
          <w:tab w:pos="911" w:val="left" w:leader="none"/>
        </w:tabs>
        <w:spacing w:line="266" w:lineRule="auto" w:before="178" w:after="0"/>
        <w:ind w:left="910" w:right="63" w:hanging="190"/>
        <w:jc w:val="left"/>
        <w:rPr>
          <w:sz w:val="20"/>
        </w:rPr>
      </w:pPr>
      <w:r>
        <w:rPr>
          <w:rFonts w:ascii="Lucida Sans"/>
          <w:color w:val="00A94F"/>
          <w:w w:val="105"/>
          <w:sz w:val="18"/>
        </w:rPr>
        <w:t>Prevention. </w:t>
      </w:r>
      <w:r>
        <w:rPr>
          <w:color w:val="231F20"/>
          <w:w w:val="105"/>
          <w:sz w:val="20"/>
        </w:rPr>
        <w:t>FSMA directs </w:t>
      </w:r>
      <w:r>
        <w:rPr>
          <w:color w:val="231F20"/>
          <w:spacing w:val="-5"/>
          <w:w w:val="105"/>
          <w:sz w:val="20"/>
        </w:rPr>
        <w:t>FDA </w:t>
      </w:r>
      <w:r>
        <w:rPr>
          <w:color w:val="231F20"/>
          <w:w w:val="105"/>
          <w:sz w:val="20"/>
        </w:rPr>
        <w:t>to create minimum standards for safely producing and harvesting fruits and vegetables. FSMA</w:t>
      </w:r>
      <w:r>
        <w:rPr>
          <w:color w:val="231F20"/>
          <w:spacing w:val="-15"/>
          <w:w w:val="105"/>
          <w:sz w:val="20"/>
        </w:rPr>
        <w:t> </w:t>
      </w:r>
      <w:r>
        <w:rPr>
          <w:color w:val="231F20"/>
          <w:w w:val="105"/>
          <w:sz w:val="20"/>
        </w:rPr>
        <w:t>requires</w:t>
      </w:r>
      <w:r>
        <w:rPr>
          <w:color w:val="231F20"/>
          <w:spacing w:val="-15"/>
          <w:w w:val="105"/>
          <w:sz w:val="20"/>
        </w:rPr>
        <w:t> </w:t>
      </w:r>
      <w:r>
        <w:rPr>
          <w:color w:val="231F20"/>
          <w:w w:val="105"/>
          <w:sz w:val="20"/>
        </w:rPr>
        <w:t>food</w:t>
      </w:r>
      <w:r>
        <w:rPr>
          <w:color w:val="231F20"/>
          <w:spacing w:val="-15"/>
          <w:w w:val="105"/>
          <w:sz w:val="20"/>
        </w:rPr>
        <w:t> </w:t>
      </w:r>
      <w:r>
        <w:rPr>
          <w:color w:val="231F20"/>
          <w:w w:val="105"/>
          <w:sz w:val="20"/>
        </w:rPr>
        <w:t>facilities</w:t>
      </w:r>
      <w:r>
        <w:rPr>
          <w:color w:val="231F20"/>
          <w:spacing w:val="-15"/>
          <w:w w:val="105"/>
          <w:sz w:val="20"/>
        </w:rPr>
        <w:t> </w:t>
      </w:r>
      <w:r>
        <w:rPr>
          <w:color w:val="231F20"/>
          <w:w w:val="105"/>
          <w:sz w:val="20"/>
        </w:rPr>
        <w:t>to</w:t>
      </w:r>
      <w:r>
        <w:rPr>
          <w:color w:val="231F20"/>
          <w:spacing w:val="-15"/>
          <w:w w:val="105"/>
          <w:sz w:val="20"/>
        </w:rPr>
        <w:t> </w:t>
      </w:r>
      <w:r>
        <w:rPr>
          <w:color w:val="231F20"/>
          <w:w w:val="105"/>
          <w:sz w:val="20"/>
        </w:rPr>
        <w:t>implement preventive and control plans that, for example, identify possible hazards, prevention measures to control hazards, and</w:t>
      </w:r>
      <w:r>
        <w:rPr>
          <w:color w:val="231F20"/>
          <w:spacing w:val="-7"/>
          <w:w w:val="105"/>
          <w:sz w:val="20"/>
        </w:rPr>
        <w:t> </w:t>
      </w:r>
      <w:r>
        <w:rPr>
          <w:color w:val="231F20"/>
          <w:w w:val="105"/>
          <w:sz w:val="20"/>
        </w:rPr>
        <w:t>actions</w:t>
      </w:r>
      <w:r>
        <w:rPr>
          <w:color w:val="231F20"/>
          <w:spacing w:val="-7"/>
          <w:w w:val="105"/>
          <w:sz w:val="20"/>
        </w:rPr>
        <w:t> </w:t>
      </w:r>
      <w:r>
        <w:rPr>
          <w:color w:val="231F20"/>
          <w:w w:val="105"/>
          <w:sz w:val="20"/>
        </w:rPr>
        <w:t>to</w:t>
      </w:r>
      <w:r>
        <w:rPr>
          <w:color w:val="231F20"/>
          <w:spacing w:val="-7"/>
          <w:w w:val="105"/>
          <w:sz w:val="20"/>
        </w:rPr>
        <w:t> </w:t>
      </w:r>
      <w:r>
        <w:rPr>
          <w:color w:val="231F20"/>
          <w:w w:val="105"/>
          <w:sz w:val="20"/>
        </w:rPr>
        <w:t>be</w:t>
      </w:r>
      <w:r>
        <w:rPr>
          <w:color w:val="231F20"/>
          <w:spacing w:val="-7"/>
          <w:w w:val="105"/>
          <w:sz w:val="20"/>
        </w:rPr>
        <w:t> </w:t>
      </w:r>
      <w:r>
        <w:rPr>
          <w:color w:val="231F20"/>
          <w:w w:val="105"/>
          <w:sz w:val="20"/>
        </w:rPr>
        <w:t>taken</w:t>
      </w:r>
      <w:r>
        <w:rPr>
          <w:color w:val="231F20"/>
          <w:spacing w:val="-7"/>
          <w:w w:val="105"/>
          <w:sz w:val="20"/>
        </w:rPr>
        <w:t> </w:t>
      </w:r>
      <w:r>
        <w:rPr>
          <w:color w:val="231F20"/>
          <w:w w:val="105"/>
          <w:sz w:val="20"/>
        </w:rPr>
        <w:t>when</w:t>
      </w:r>
      <w:r>
        <w:rPr>
          <w:color w:val="231F20"/>
          <w:spacing w:val="-7"/>
          <w:w w:val="105"/>
          <w:sz w:val="20"/>
        </w:rPr>
        <w:t> </w:t>
      </w:r>
      <w:r>
        <w:rPr>
          <w:color w:val="231F20"/>
          <w:w w:val="105"/>
          <w:sz w:val="20"/>
        </w:rPr>
        <w:t>hazards</w:t>
      </w:r>
      <w:r>
        <w:rPr>
          <w:color w:val="231F20"/>
          <w:spacing w:val="-7"/>
          <w:w w:val="105"/>
          <w:sz w:val="20"/>
        </w:rPr>
        <w:t> </w:t>
      </w:r>
      <w:r>
        <w:rPr>
          <w:color w:val="231F20"/>
          <w:w w:val="105"/>
          <w:sz w:val="20"/>
        </w:rPr>
        <w:t>arise. The law also requires </w:t>
      </w:r>
      <w:r>
        <w:rPr>
          <w:color w:val="231F20"/>
          <w:spacing w:val="-5"/>
          <w:w w:val="105"/>
          <w:sz w:val="20"/>
        </w:rPr>
        <w:t>FDA </w:t>
      </w:r>
      <w:r>
        <w:rPr>
          <w:color w:val="231F20"/>
          <w:w w:val="105"/>
          <w:sz w:val="20"/>
        </w:rPr>
        <w:t>to establish regulations to protect against intentional contamination of</w:t>
      </w:r>
      <w:r>
        <w:rPr>
          <w:color w:val="231F20"/>
          <w:spacing w:val="-32"/>
          <w:w w:val="105"/>
          <w:sz w:val="20"/>
        </w:rPr>
        <w:t> </w:t>
      </w:r>
      <w:r>
        <w:rPr>
          <w:color w:val="231F20"/>
          <w:w w:val="105"/>
          <w:sz w:val="20"/>
        </w:rPr>
        <w:t>food.</w:t>
      </w:r>
    </w:p>
    <w:p>
      <w:pPr>
        <w:pStyle w:val="ListParagraph"/>
        <w:numPr>
          <w:ilvl w:val="0"/>
          <w:numId w:val="14"/>
        </w:numPr>
        <w:tabs>
          <w:tab w:pos="911" w:val="left" w:leader="none"/>
        </w:tabs>
        <w:spacing w:line="266" w:lineRule="auto" w:before="88" w:after="0"/>
        <w:ind w:left="910" w:right="213" w:hanging="190"/>
        <w:jc w:val="left"/>
        <w:rPr>
          <w:sz w:val="20"/>
        </w:rPr>
      </w:pPr>
      <w:r>
        <w:rPr>
          <w:rFonts w:ascii="Lucida Sans"/>
          <w:color w:val="00A94F"/>
          <w:w w:val="105"/>
          <w:sz w:val="18"/>
        </w:rPr>
        <w:t>Inspection and Compliance. </w:t>
      </w:r>
      <w:r>
        <w:rPr>
          <w:color w:val="231F20"/>
          <w:w w:val="105"/>
          <w:sz w:val="20"/>
        </w:rPr>
        <w:t>FSMA mandates inspection frequency of food facilities on the basis of risk and requires that</w:t>
      </w:r>
      <w:r>
        <w:rPr>
          <w:color w:val="231F20"/>
          <w:spacing w:val="-15"/>
          <w:w w:val="105"/>
          <w:sz w:val="20"/>
        </w:rPr>
        <w:t> </w:t>
      </w:r>
      <w:r>
        <w:rPr>
          <w:color w:val="231F20"/>
          <w:w w:val="105"/>
          <w:sz w:val="20"/>
        </w:rPr>
        <w:t>the</w:t>
      </w:r>
      <w:r>
        <w:rPr>
          <w:color w:val="231F20"/>
          <w:spacing w:val="-15"/>
          <w:w w:val="105"/>
          <w:sz w:val="20"/>
        </w:rPr>
        <w:t> </w:t>
      </w:r>
      <w:r>
        <w:rPr>
          <w:color w:val="231F20"/>
          <w:w w:val="105"/>
          <w:sz w:val="20"/>
        </w:rPr>
        <w:t>frequency</w:t>
      </w:r>
      <w:r>
        <w:rPr>
          <w:color w:val="231F20"/>
          <w:spacing w:val="-15"/>
          <w:w w:val="105"/>
          <w:sz w:val="20"/>
        </w:rPr>
        <w:t> </w:t>
      </w:r>
      <w:r>
        <w:rPr>
          <w:color w:val="231F20"/>
          <w:w w:val="105"/>
          <w:sz w:val="20"/>
        </w:rPr>
        <w:t>of</w:t>
      </w:r>
      <w:r>
        <w:rPr>
          <w:color w:val="231F20"/>
          <w:spacing w:val="6"/>
          <w:w w:val="105"/>
          <w:sz w:val="20"/>
        </w:rPr>
        <w:t> </w:t>
      </w:r>
      <w:r>
        <w:rPr>
          <w:color w:val="231F20"/>
          <w:w w:val="105"/>
          <w:sz w:val="20"/>
        </w:rPr>
        <w:t>inspection</w:t>
      </w:r>
      <w:r>
        <w:rPr>
          <w:color w:val="231F20"/>
          <w:spacing w:val="-15"/>
          <w:w w:val="105"/>
          <w:sz w:val="20"/>
        </w:rPr>
        <w:t> </w:t>
      </w:r>
      <w:r>
        <w:rPr>
          <w:color w:val="231F20"/>
          <w:w w:val="105"/>
          <w:sz w:val="20"/>
        </w:rPr>
        <w:t>increases as</w:t>
      </w:r>
      <w:r>
        <w:rPr>
          <w:color w:val="231F20"/>
          <w:spacing w:val="-9"/>
          <w:w w:val="105"/>
          <w:sz w:val="20"/>
        </w:rPr>
        <w:t> </w:t>
      </w:r>
      <w:r>
        <w:rPr>
          <w:color w:val="231F20"/>
          <w:w w:val="105"/>
          <w:sz w:val="20"/>
        </w:rPr>
        <w:t>risk</w:t>
      </w:r>
      <w:r>
        <w:rPr>
          <w:color w:val="231F20"/>
          <w:spacing w:val="-9"/>
          <w:w w:val="105"/>
          <w:sz w:val="20"/>
        </w:rPr>
        <w:t> </w:t>
      </w:r>
      <w:r>
        <w:rPr>
          <w:color w:val="231F20"/>
          <w:w w:val="105"/>
          <w:sz w:val="20"/>
        </w:rPr>
        <w:t>increases.</w:t>
      </w:r>
      <w:r>
        <w:rPr>
          <w:color w:val="231F20"/>
          <w:spacing w:val="-9"/>
          <w:w w:val="105"/>
          <w:sz w:val="20"/>
        </w:rPr>
        <w:t> </w:t>
      </w:r>
      <w:r>
        <w:rPr>
          <w:color w:val="231F20"/>
          <w:w w:val="105"/>
          <w:sz w:val="20"/>
        </w:rPr>
        <w:t>The</w:t>
      </w:r>
      <w:r>
        <w:rPr>
          <w:color w:val="231F20"/>
          <w:spacing w:val="-9"/>
          <w:w w:val="105"/>
          <w:sz w:val="20"/>
        </w:rPr>
        <w:t> </w:t>
      </w:r>
      <w:r>
        <w:rPr>
          <w:color w:val="231F20"/>
          <w:w w:val="105"/>
          <w:sz w:val="20"/>
        </w:rPr>
        <w:t>law</w:t>
      </w:r>
      <w:r>
        <w:rPr>
          <w:color w:val="231F20"/>
          <w:spacing w:val="-9"/>
          <w:w w:val="105"/>
          <w:sz w:val="20"/>
        </w:rPr>
        <w:t> </w:t>
      </w:r>
      <w:r>
        <w:rPr>
          <w:color w:val="231F20"/>
          <w:w w:val="105"/>
          <w:sz w:val="20"/>
        </w:rPr>
        <w:t>gives</w:t>
      </w:r>
      <w:r>
        <w:rPr>
          <w:color w:val="231F20"/>
          <w:spacing w:val="-9"/>
          <w:w w:val="105"/>
          <w:sz w:val="20"/>
        </w:rPr>
        <w:t> </w:t>
      </w:r>
      <w:r>
        <w:rPr>
          <w:color w:val="231F20"/>
          <w:spacing w:val="-5"/>
          <w:w w:val="105"/>
          <w:sz w:val="20"/>
        </w:rPr>
        <w:t>FDA</w:t>
      </w:r>
      <w:r>
        <w:rPr>
          <w:color w:val="231F20"/>
          <w:spacing w:val="-9"/>
          <w:w w:val="105"/>
          <w:sz w:val="20"/>
        </w:rPr>
        <w:t> </w:t>
      </w:r>
      <w:r>
        <w:rPr>
          <w:color w:val="231F20"/>
          <w:w w:val="105"/>
          <w:sz w:val="20"/>
        </w:rPr>
        <w:t>clear authority</w:t>
      </w:r>
      <w:r>
        <w:rPr>
          <w:color w:val="231F20"/>
          <w:spacing w:val="-15"/>
          <w:w w:val="105"/>
          <w:sz w:val="20"/>
        </w:rPr>
        <w:t> </w:t>
      </w:r>
      <w:r>
        <w:rPr>
          <w:color w:val="231F20"/>
          <w:w w:val="105"/>
          <w:sz w:val="20"/>
        </w:rPr>
        <w:t>to</w:t>
      </w:r>
      <w:r>
        <w:rPr>
          <w:color w:val="231F20"/>
          <w:spacing w:val="-15"/>
          <w:w w:val="105"/>
          <w:sz w:val="20"/>
        </w:rPr>
        <w:t> </w:t>
      </w:r>
      <w:r>
        <w:rPr>
          <w:color w:val="231F20"/>
          <w:w w:val="105"/>
          <w:sz w:val="20"/>
        </w:rPr>
        <w:t>access</w:t>
      </w:r>
      <w:r>
        <w:rPr>
          <w:color w:val="231F20"/>
          <w:spacing w:val="-15"/>
          <w:w w:val="105"/>
          <w:sz w:val="20"/>
        </w:rPr>
        <w:t> </w:t>
      </w:r>
      <w:r>
        <w:rPr>
          <w:color w:val="231F20"/>
          <w:w w:val="105"/>
          <w:sz w:val="20"/>
        </w:rPr>
        <w:t>records,</w:t>
      </w:r>
      <w:r>
        <w:rPr>
          <w:color w:val="231F20"/>
          <w:spacing w:val="-15"/>
          <w:w w:val="105"/>
          <w:sz w:val="20"/>
        </w:rPr>
        <w:t> </w:t>
      </w:r>
      <w:r>
        <w:rPr>
          <w:color w:val="231F20"/>
          <w:w w:val="105"/>
          <w:sz w:val="20"/>
        </w:rPr>
        <w:t>such</w:t>
      </w:r>
      <w:r>
        <w:rPr>
          <w:color w:val="231F20"/>
          <w:spacing w:val="-15"/>
          <w:w w:val="105"/>
          <w:sz w:val="20"/>
        </w:rPr>
        <w:t> </w:t>
      </w:r>
      <w:r>
        <w:rPr>
          <w:color w:val="231F20"/>
          <w:w w:val="105"/>
          <w:sz w:val="20"/>
        </w:rPr>
        <w:t>as</w:t>
      </w:r>
      <w:r>
        <w:rPr>
          <w:color w:val="231F20"/>
          <w:spacing w:val="-15"/>
          <w:w w:val="105"/>
          <w:sz w:val="20"/>
        </w:rPr>
        <w:t> </w:t>
      </w:r>
      <w:r>
        <w:rPr>
          <w:color w:val="231F20"/>
          <w:w w:val="105"/>
          <w:sz w:val="20"/>
        </w:rPr>
        <w:t>food- safety plans. FSMA further requires that </w:t>
      </w:r>
      <w:r>
        <w:rPr>
          <w:color w:val="231F20"/>
          <w:spacing w:val="-5"/>
          <w:w w:val="105"/>
          <w:sz w:val="20"/>
        </w:rPr>
        <w:t>FDA </w:t>
      </w:r>
      <w:r>
        <w:rPr>
          <w:color w:val="231F20"/>
          <w:w w:val="105"/>
          <w:sz w:val="20"/>
        </w:rPr>
        <w:t>create an accreditation program for food-testing laboratories and that certain foods</w:t>
      </w:r>
      <w:r>
        <w:rPr>
          <w:color w:val="231F20"/>
          <w:spacing w:val="-16"/>
          <w:w w:val="105"/>
          <w:sz w:val="20"/>
        </w:rPr>
        <w:t> </w:t>
      </w:r>
      <w:r>
        <w:rPr>
          <w:color w:val="231F20"/>
          <w:w w:val="105"/>
          <w:sz w:val="20"/>
        </w:rPr>
        <w:t>be</w:t>
      </w:r>
      <w:r>
        <w:rPr>
          <w:color w:val="231F20"/>
          <w:spacing w:val="-16"/>
          <w:w w:val="105"/>
          <w:sz w:val="20"/>
        </w:rPr>
        <w:t> </w:t>
      </w:r>
      <w:r>
        <w:rPr>
          <w:color w:val="231F20"/>
          <w:w w:val="105"/>
          <w:sz w:val="20"/>
        </w:rPr>
        <w:t>tested</w:t>
      </w:r>
      <w:r>
        <w:rPr>
          <w:color w:val="231F20"/>
          <w:spacing w:val="-16"/>
          <w:w w:val="105"/>
          <w:sz w:val="20"/>
        </w:rPr>
        <w:t> </w:t>
      </w:r>
      <w:r>
        <w:rPr>
          <w:color w:val="231F20"/>
          <w:w w:val="105"/>
          <w:sz w:val="20"/>
        </w:rPr>
        <w:t>in</w:t>
      </w:r>
      <w:r>
        <w:rPr>
          <w:color w:val="231F20"/>
          <w:spacing w:val="-16"/>
          <w:w w:val="105"/>
          <w:sz w:val="20"/>
        </w:rPr>
        <w:t> </w:t>
      </w:r>
      <w:r>
        <w:rPr>
          <w:color w:val="231F20"/>
          <w:w w:val="105"/>
          <w:sz w:val="20"/>
        </w:rPr>
        <w:t>accredited</w:t>
      </w:r>
      <w:r>
        <w:rPr>
          <w:color w:val="231F20"/>
          <w:spacing w:val="-16"/>
          <w:w w:val="105"/>
          <w:sz w:val="20"/>
        </w:rPr>
        <w:t> </w:t>
      </w:r>
      <w:r>
        <w:rPr>
          <w:color w:val="231F20"/>
          <w:w w:val="105"/>
          <w:sz w:val="20"/>
        </w:rPr>
        <w:t>laboratories.</w:t>
      </w:r>
    </w:p>
    <w:p>
      <w:pPr>
        <w:pStyle w:val="ListParagraph"/>
        <w:numPr>
          <w:ilvl w:val="0"/>
          <w:numId w:val="14"/>
        </w:numPr>
        <w:tabs>
          <w:tab w:pos="911" w:val="left" w:leader="none"/>
        </w:tabs>
        <w:spacing w:line="266" w:lineRule="auto" w:before="88" w:after="0"/>
        <w:ind w:left="910" w:right="0" w:hanging="190"/>
        <w:jc w:val="left"/>
        <w:rPr>
          <w:sz w:val="20"/>
        </w:rPr>
      </w:pPr>
      <w:r>
        <w:rPr>
          <w:rFonts w:ascii="Lucida Sans" w:hAnsi="Lucida Sans"/>
          <w:color w:val="00A94F"/>
          <w:w w:val="105"/>
          <w:sz w:val="18"/>
        </w:rPr>
        <w:t>Response. </w:t>
      </w:r>
      <w:r>
        <w:rPr>
          <w:color w:val="231F20"/>
          <w:w w:val="105"/>
          <w:sz w:val="20"/>
        </w:rPr>
        <w:t>FSMA gives </w:t>
      </w:r>
      <w:r>
        <w:rPr>
          <w:color w:val="231F20"/>
          <w:spacing w:val="-5"/>
          <w:w w:val="105"/>
          <w:sz w:val="20"/>
        </w:rPr>
        <w:t>FDA </w:t>
      </w:r>
      <w:r>
        <w:rPr>
          <w:color w:val="231F20"/>
          <w:w w:val="105"/>
          <w:sz w:val="20"/>
        </w:rPr>
        <w:t>a number of new authorities to respond to food-safety events, including mandatory recall</w:t>
      </w:r>
      <w:r>
        <w:rPr>
          <w:color w:val="231F20"/>
          <w:spacing w:val="-15"/>
          <w:w w:val="105"/>
          <w:sz w:val="20"/>
        </w:rPr>
        <w:t> </w:t>
      </w:r>
      <w:r>
        <w:rPr>
          <w:color w:val="231F20"/>
          <w:w w:val="105"/>
          <w:sz w:val="20"/>
        </w:rPr>
        <w:t>authority and suspending food-facility registration. The law also expands </w:t>
      </w:r>
      <w:r>
        <w:rPr>
          <w:color w:val="231F20"/>
          <w:spacing w:val="-11"/>
          <w:w w:val="105"/>
          <w:sz w:val="20"/>
        </w:rPr>
        <w:t>FDA’s </w:t>
      </w:r>
      <w:r>
        <w:rPr>
          <w:color w:val="231F20"/>
          <w:w w:val="105"/>
          <w:sz w:val="20"/>
        </w:rPr>
        <w:t>authority to administratively detain products, track and trace domestic and imported foods, and require additional recordkeeping for high- risk foods. FSMA directs CDC to improve surveillance for foodborne disease and to establish Integrated </w:t>
      </w:r>
      <w:r>
        <w:rPr>
          <w:color w:val="231F20"/>
          <w:spacing w:val="-5"/>
          <w:w w:val="105"/>
          <w:sz w:val="20"/>
        </w:rPr>
        <w:t>Food </w:t>
      </w:r>
      <w:r>
        <w:rPr>
          <w:color w:val="231F20"/>
          <w:w w:val="105"/>
          <w:sz w:val="20"/>
        </w:rPr>
        <w:t>Safety Centers of Excellence in five state health departments and their partnering academic</w:t>
      </w:r>
      <w:r>
        <w:rPr>
          <w:color w:val="231F20"/>
          <w:spacing w:val="-13"/>
          <w:w w:val="105"/>
          <w:sz w:val="20"/>
        </w:rPr>
        <w:t> </w:t>
      </w:r>
      <w:r>
        <w:rPr>
          <w:color w:val="231F20"/>
          <w:w w:val="105"/>
          <w:sz w:val="20"/>
        </w:rPr>
        <w:t>institutions.</w:t>
      </w:r>
    </w:p>
    <w:p>
      <w:pPr>
        <w:pStyle w:val="ListParagraph"/>
        <w:numPr>
          <w:ilvl w:val="0"/>
          <w:numId w:val="15"/>
        </w:numPr>
        <w:tabs>
          <w:tab w:pos="563" w:val="left" w:leader="none"/>
        </w:tabs>
        <w:spacing w:line="268" w:lineRule="auto" w:before="108" w:after="0"/>
        <w:ind w:left="562" w:right="1535" w:hanging="190"/>
        <w:jc w:val="left"/>
        <w:rPr>
          <w:sz w:val="20"/>
        </w:rPr>
      </w:pPr>
      <w:r>
        <w:rPr>
          <w:rFonts w:ascii="Lucida Sans"/>
          <w:color w:val="00A94F"/>
          <w:w w:val="92"/>
          <w:sz w:val="18"/>
        </w:rPr>
        <w:br w:type="column"/>
      </w:r>
      <w:r>
        <w:rPr>
          <w:rFonts w:ascii="Lucida Sans"/>
          <w:color w:val="00A94F"/>
          <w:sz w:val="18"/>
        </w:rPr>
        <w:t>Partnership with Government Agencies. </w:t>
      </w:r>
      <w:r>
        <w:rPr>
          <w:color w:val="231F20"/>
          <w:w w:val="105"/>
          <w:sz w:val="20"/>
        </w:rPr>
        <w:t>FSMA creates a system of collaboration among domestic and foreign government agencies. The law directs </w:t>
      </w:r>
      <w:r>
        <w:rPr>
          <w:color w:val="231F20"/>
          <w:spacing w:val="-5"/>
          <w:w w:val="105"/>
          <w:sz w:val="20"/>
        </w:rPr>
        <w:t>FDA </w:t>
      </w:r>
      <w:r>
        <w:rPr>
          <w:color w:val="231F20"/>
          <w:w w:val="105"/>
          <w:sz w:val="20"/>
        </w:rPr>
        <w:t>to create and implement strategies to enhance the food safety capacity of state and local governments, including a new multiyear grant program. FSMA allows </w:t>
      </w:r>
      <w:r>
        <w:rPr>
          <w:color w:val="231F20"/>
          <w:spacing w:val="-5"/>
          <w:w w:val="105"/>
          <w:sz w:val="20"/>
        </w:rPr>
        <w:t>FDA </w:t>
      </w:r>
      <w:r>
        <w:rPr>
          <w:color w:val="231F20"/>
          <w:w w:val="105"/>
          <w:sz w:val="20"/>
        </w:rPr>
        <w:t>to rely on</w:t>
      </w:r>
      <w:r>
        <w:rPr>
          <w:color w:val="231F20"/>
          <w:spacing w:val="-6"/>
          <w:w w:val="105"/>
          <w:sz w:val="20"/>
        </w:rPr>
        <w:t> </w:t>
      </w:r>
      <w:r>
        <w:rPr>
          <w:color w:val="231F20"/>
          <w:w w:val="105"/>
          <w:sz w:val="20"/>
        </w:rPr>
        <w:t>other</w:t>
      </w:r>
      <w:r>
        <w:rPr>
          <w:color w:val="231F20"/>
          <w:spacing w:val="-6"/>
          <w:w w:val="105"/>
          <w:sz w:val="20"/>
        </w:rPr>
        <w:t> </w:t>
      </w:r>
      <w:r>
        <w:rPr>
          <w:color w:val="231F20"/>
          <w:w w:val="105"/>
          <w:sz w:val="20"/>
        </w:rPr>
        <w:t>federal,</w:t>
      </w:r>
      <w:r>
        <w:rPr>
          <w:color w:val="231F20"/>
          <w:spacing w:val="-6"/>
          <w:w w:val="105"/>
          <w:sz w:val="20"/>
        </w:rPr>
        <w:t> </w:t>
      </w:r>
      <w:r>
        <w:rPr>
          <w:color w:val="231F20"/>
          <w:w w:val="105"/>
          <w:sz w:val="20"/>
        </w:rPr>
        <w:t>state,</w:t>
      </w:r>
      <w:r>
        <w:rPr>
          <w:color w:val="231F20"/>
          <w:spacing w:val="-6"/>
          <w:w w:val="105"/>
          <w:sz w:val="20"/>
        </w:rPr>
        <w:t> </w:t>
      </w:r>
      <w:r>
        <w:rPr>
          <w:color w:val="231F20"/>
          <w:w w:val="105"/>
          <w:sz w:val="20"/>
        </w:rPr>
        <w:t>and</w:t>
      </w:r>
      <w:r>
        <w:rPr>
          <w:color w:val="231F20"/>
          <w:spacing w:val="-6"/>
          <w:w w:val="105"/>
          <w:sz w:val="20"/>
        </w:rPr>
        <w:t> </w:t>
      </w:r>
      <w:r>
        <w:rPr>
          <w:color w:val="231F20"/>
          <w:w w:val="105"/>
          <w:sz w:val="20"/>
        </w:rPr>
        <w:t>local</w:t>
      </w:r>
      <w:r>
        <w:rPr>
          <w:color w:val="231F20"/>
          <w:spacing w:val="-6"/>
          <w:w w:val="105"/>
          <w:sz w:val="20"/>
        </w:rPr>
        <w:t> </w:t>
      </w:r>
      <w:r>
        <w:rPr>
          <w:color w:val="231F20"/>
          <w:w w:val="105"/>
          <w:sz w:val="20"/>
        </w:rPr>
        <w:t>agencies</w:t>
      </w:r>
      <w:r>
        <w:rPr>
          <w:color w:val="231F20"/>
          <w:spacing w:val="-6"/>
          <w:w w:val="105"/>
          <w:sz w:val="20"/>
        </w:rPr>
        <w:t> </w:t>
      </w:r>
      <w:r>
        <w:rPr>
          <w:color w:val="231F20"/>
          <w:w w:val="105"/>
          <w:sz w:val="20"/>
        </w:rPr>
        <w:t>in conducting</w:t>
      </w:r>
      <w:r>
        <w:rPr>
          <w:color w:val="231F20"/>
          <w:spacing w:val="-10"/>
          <w:w w:val="105"/>
          <w:sz w:val="20"/>
        </w:rPr>
        <w:t> </w:t>
      </w:r>
      <w:r>
        <w:rPr>
          <w:color w:val="231F20"/>
          <w:w w:val="105"/>
          <w:sz w:val="20"/>
        </w:rPr>
        <w:t>inspections</w:t>
      </w:r>
      <w:r>
        <w:rPr>
          <w:color w:val="231F20"/>
          <w:spacing w:val="-10"/>
          <w:w w:val="105"/>
          <w:sz w:val="20"/>
        </w:rPr>
        <w:t> </w:t>
      </w:r>
      <w:r>
        <w:rPr>
          <w:color w:val="231F20"/>
          <w:w w:val="105"/>
          <w:sz w:val="20"/>
        </w:rPr>
        <w:t>required</w:t>
      </w:r>
      <w:r>
        <w:rPr>
          <w:color w:val="231F20"/>
          <w:spacing w:val="-10"/>
          <w:w w:val="105"/>
          <w:sz w:val="20"/>
        </w:rPr>
        <w:t> </w:t>
      </w:r>
      <w:r>
        <w:rPr>
          <w:color w:val="231F20"/>
          <w:spacing w:val="-3"/>
          <w:w w:val="105"/>
          <w:sz w:val="20"/>
        </w:rPr>
        <w:t>by</w:t>
      </w:r>
      <w:r>
        <w:rPr>
          <w:color w:val="231F20"/>
          <w:spacing w:val="-10"/>
          <w:w w:val="105"/>
          <w:sz w:val="20"/>
        </w:rPr>
        <w:t> </w:t>
      </w:r>
      <w:r>
        <w:rPr>
          <w:color w:val="231F20"/>
          <w:w w:val="105"/>
          <w:sz w:val="20"/>
        </w:rPr>
        <w:t>the</w:t>
      </w:r>
      <w:r>
        <w:rPr>
          <w:color w:val="231F20"/>
          <w:spacing w:val="-10"/>
          <w:w w:val="105"/>
          <w:sz w:val="20"/>
        </w:rPr>
        <w:t> </w:t>
      </w:r>
      <w:r>
        <w:rPr>
          <w:color w:val="231F20"/>
          <w:spacing w:val="-7"/>
          <w:w w:val="105"/>
          <w:sz w:val="20"/>
        </w:rPr>
        <w:t>law.</w:t>
      </w:r>
    </w:p>
    <w:p>
      <w:pPr>
        <w:pStyle w:val="BodyText"/>
        <w:spacing w:line="266" w:lineRule="auto" w:before="177"/>
        <w:ind w:left="372" w:right="1418"/>
      </w:pPr>
      <w:r>
        <w:rPr>
          <w:color w:val="231F20"/>
          <w:w w:val="105"/>
        </w:rPr>
        <w:t>The FDA website (</w:t>
      </w:r>
      <w:r>
        <w:rPr>
          <w:color w:val="0079C1"/>
          <w:w w:val="105"/>
        </w:rPr>
        <w:t>www.fda.gov</w:t>
      </w:r>
      <w:r>
        <w:rPr>
          <w:color w:val="231F20"/>
          <w:w w:val="105"/>
        </w:rPr>
        <w:t>) provides details about the law and updates on the status of FSMA implementation.</w:t>
      </w:r>
    </w:p>
    <w:p>
      <w:pPr>
        <w:pStyle w:val="ListParagraph"/>
        <w:numPr>
          <w:ilvl w:val="3"/>
          <w:numId w:val="13"/>
        </w:numPr>
        <w:tabs>
          <w:tab w:pos="1015" w:val="left" w:leader="none"/>
        </w:tabs>
        <w:spacing w:line="240" w:lineRule="auto" w:before="180" w:after="0"/>
        <w:ind w:left="1014" w:right="0" w:hanging="642"/>
        <w:jc w:val="left"/>
        <w:rPr>
          <w:i/>
          <w:sz w:val="20"/>
        </w:rPr>
      </w:pPr>
      <w:r>
        <w:rPr>
          <w:i/>
          <w:color w:val="E36F1E"/>
          <w:w w:val="95"/>
          <w:sz w:val="20"/>
        </w:rPr>
        <w:t>Acts Authorizing</w:t>
      </w:r>
      <w:r>
        <w:rPr>
          <w:i/>
          <w:color w:val="E36F1E"/>
          <w:spacing w:val="-12"/>
          <w:w w:val="95"/>
          <w:sz w:val="20"/>
        </w:rPr>
        <w:t> </w:t>
      </w:r>
      <w:r>
        <w:rPr>
          <w:i/>
          <w:color w:val="E36F1E"/>
          <w:w w:val="95"/>
          <w:sz w:val="20"/>
        </w:rPr>
        <w:t>USDA-FSIS</w:t>
      </w:r>
    </w:p>
    <w:p>
      <w:pPr>
        <w:pStyle w:val="BodyText"/>
        <w:spacing w:line="266" w:lineRule="auto" w:before="25"/>
        <w:ind w:left="372" w:right="1465"/>
      </w:pPr>
      <w:r>
        <w:rPr>
          <w:color w:val="231F20"/>
        </w:rPr>
        <w:t>FSIS operates under the authority of  the </w:t>
      </w:r>
      <w:r>
        <w:rPr>
          <w:color w:val="231F20"/>
          <w:spacing w:val="-3"/>
        </w:rPr>
        <w:t>Federal </w:t>
      </w:r>
      <w:r>
        <w:rPr>
          <w:color w:val="231F20"/>
        </w:rPr>
        <w:t>Meat Inspection Act (FMIA), the Poultry Products Inspection Act (PPIA), and</w:t>
      </w:r>
      <w:r>
        <w:rPr>
          <w:color w:val="231F20"/>
          <w:spacing w:val="-32"/>
        </w:rPr>
        <w:t> </w:t>
      </w:r>
      <w:r>
        <w:rPr>
          <w:color w:val="231F20"/>
        </w:rPr>
        <w:t>the Egg Products Inspection Act (EPIA). </w:t>
      </w:r>
      <w:r>
        <w:rPr>
          <w:color w:val="231F20"/>
          <w:spacing w:val="-3"/>
        </w:rPr>
        <w:t>Following </w:t>
      </w:r>
      <w:r>
        <w:rPr>
          <w:color w:val="231F20"/>
        </w:rPr>
        <w:t>the provisions of these Acts, FSIS sets</w:t>
      </w:r>
      <w:r>
        <w:rPr>
          <w:color w:val="231F20"/>
          <w:spacing w:val="-19"/>
        </w:rPr>
        <w:t> </w:t>
      </w:r>
      <w:r>
        <w:rPr>
          <w:color w:val="231F20"/>
        </w:rPr>
        <w:t>standards for food safety and inspects and regulates all raw and processed meat and poultry products, and egg products sold in interstate commerce, including imported</w:t>
      </w:r>
      <w:r>
        <w:rPr>
          <w:color w:val="231F20"/>
          <w:spacing w:val="23"/>
        </w:rPr>
        <w:t> </w:t>
      </w:r>
      <w:r>
        <w:rPr>
          <w:color w:val="231F20"/>
        </w:rPr>
        <w:t>products.</w:t>
      </w:r>
    </w:p>
    <w:p>
      <w:pPr>
        <w:pStyle w:val="ListParagraph"/>
        <w:numPr>
          <w:ilvl w:val="0"/>
          <w:numId w:val="15"/>
        </w:numPr>
        <w:tabs>
          <w:tab w:pos="563" w:val="left" w:leader="none"/>
        </w:tabs>
        <w:spacing w:line="266" w:lineRule="auto" w:before="178" w:after="0"/>
        <w:ind w:left="562" w:right="1509" w:hanging="190"/>
        <w:jc w:val="left"/>
        <w:rPr>
          <w:sz w:val="20"/>
        </w:rPr>
      </w:pPr>
      <w:r>
        <w:rPr>
          <w:rFonts w:ascii="Lucida Sans"/>
          <w:color w:val="00A94F"/>
          <w:w w:val="105"/>
          <w:sz w:val="18"/>
        </w:rPr>
        <w:t>FMIA. </w:t>
      </w:r>
      <w:r>
        <w:rPr>
          <w:color w:val="231F20"/>
          <w:w w:val="105"/>
          <w:sz w:val="20"/>
        </w:rPr>
        <w:t>Prohibits the sale of adulterated or misbranded meat and meat products for food</w:t>
      </w:r>
      <w:r>
        <w:rPr>
          <w:color w:val="231F20"/>
          <w:spacing w:val="-12"/>
          <w:w w:val="105"/>
          <w:sz w:val="20"/>
        </w:rPr>
        <w:t> </w:t>
      </w:r>
      <w:r>
        <w:rPr>
          <w:color w:val="231F20"/>
          <w:w w:val="105"/>
          <w:sz w:val="20"/>
        </w:rPr>
        <w:t>and</w:t>
      </w:r>
      <w:r>
        <w:rPr>
          <w:color w:val="231F20"/>
          <w:spacing w:val="-12"/>
          <w:w w:val="105"/>
          <w:sz w:val="20"/>
        </w:rPr>
        <w:t> </w:t>
      </w:r>
      <w:r>
        <w:rPr>
          <w:color w:val="231F20"/>
          <w:w w:val="105"/>
          <w:sz w:val="20"/>
        </w:rPr>
        <w:t>ensures</w:t>
      </w:r>
      <w:r>
        <w:rPr>
          <w:color w:val="231F20"/>
          <w:spacing w:val="-12"/>
          <w:w w:val="105"/>
          <w:sz w:val="20"/>
        </w:rPr>
        <w:t> </w:t>
      </w:r>
      <w:r>
        <w:rPr>
          <w:color w:val="231F20"/>
          <w:w w:val="105"/>
          <w:sz w:val="20"/>
        </w:rPr>
        <w:t>that</w:t>
      </w:r>
      <w:r>
        <w:rPr>
          <w:color w:val="231F20"/>
          <w:spacing w:val="-12"/>
          <w:w w:val="105"/>
          <w:sz w:val="20"/>
        </w:rPr>
        <w:t> </w:t>
      </w:r>
      <w:r>
        <w:rPr>
          <w:color w:val="231F20"/>
          <w:w w:val="105"/>
          <w:sz w:val="20"/>
        </w:rPr>
        <w:t>animals</w:t>
      </w:r>
      <w:r>
        <w:rPr>
          <w:color w:val="231F20"/>
          <w:spacing w:val="-12"/>
          <w:w w:val="105"/>
          <w:sz w:val="20"/>
        </w:rPr>
        <w:t> </w:t>
      </w:r>
      <w:r>
        <w:rPr>
          <w:color w:val="231F20"/>
          <w:w w:val="105"/>
          <w:sz w:val="20"/>
        </w:rPr>
        <w:t>used</w:t>
      </w:r>
      <w:r>
        <w:rPr>
          <w:color w:val="231F20"/>
          <w:spacing w:val="-12"/>
          <w:w w:val="105"/>
          <w:sz w:val="20"/>
        </w:rPr>
        <w:t> </w:t>
      </w:r>
      <w:r>
        <w:rPr>
          <w:color w:val="231F20"/>
          <w:w w:val="105"/>
          <w:sz w:val="20"/>
        </w:rPr>
        <w:t>for</w:t>
      </w:r>
      <w:r>
        <w:rPr>
          <w:color w:val="231F20"/>
          <w:spacing w:val="-12"/>
          <w:w w:val="105"/>
          <w:sz w:val="20"/>
        </w:rPr>
        <w:t> </w:t>
      </w:r>
      <w:r>
        <w:rPr>
          <w:color w:val="231F20"/>
          <w:w w:val="105"/>
          <w:sz w:val="20"/>
        </w:rPr>
        <w:t>meat and meat products are slaughtered and processed</w:t>
      </w:r>
      <w:r>
        <w:rPr>
          <w:color w:val="231F20"/>
          <w:spacing w:val="-18"/>
          <w:w w:val="105"/>
          <w:sz w:val="20"/>
        </w:rPr>
        <w:t> </w:t>
      </w:r>
      <w:r>
        <w:rPr>
          <w:color w:val="231F20"/>
          <w:w w:val="105"/>
          <w:sz w:val="20"/>
        </w:rPr>
        <w:t>under</w:t>
      </w:r>
      <w:r>
        <w:rPr>
          <w:color w:val="231F20"/>
          <w:spacing w:val="-18"/>
          <w:w w:val="105"/>
          <w:sz w:val="20"/>
        </w:rPr>
        <w:t> </w:t>
      </w:r>
      <w:r>
        <w:rPr>
          <w:color w:val="231F20"/>
          <w:w w:val="105"/>
          <w:sz w:val="20"/>
        </w:rPr>
        <w:t>sanitary</w:t>
      </w:r>
      <w:r>
        <w:rPr>
          <w:color w:val="231F20"/>
          <w:spacing w:val="-18"/>
          <w:w w:val="105"/>
          <w:sz w:val="20"/>
        </w:rPr>
        <w:t> </w:t>
      </w:r>
      <w:r>
        <w:rPr>
          <w:color w:val="231F20"/>
          <w:w w:val="105"/>
          <w:sz w:val="20"/>
        </w:rPr>
        <w:t>conditions.</w:t>
      </w:r>
    </w:p>
    <w:p>
      <w:pPr>
        <w:pStyle w:val="ListParagraph"/>
        <w:numPr>
          <w:ilvl w:val="0"/>
          <w:numId w:val="15"/>
        </w:numPr>
        <w:tabs>
          <w:tab w:pos="563" w:val="left" w:leader="none"/>
        </w:tabs>
        <w:spacing w:line="266" w:lineRule="auto" w:before="178" w:after="0"/>
        <w:ind w:left="562" w:right="1516" w:hanging="190"/>
        <w:jc w:val="left"/>
        <w:rPr>
          <w:sz w:val="20"/>
        </w:rPr>
      </w:pPr>
      <w:r>
        <w:rPr/>
        <w:pict>
          <v:rect style="position:absolute;margin-left:459pt;margin-top:18.759176pt;width:45pt;height:18pt;mso-position-horizontal-relative:page;mso-position-vertical-relative:paragraph;z-index:2248" filled="true" fillcolor="#0079c1" stroked="false">
            <v:fill type="solid"/>
            <w10:wrap type="none"/>
          </v:rect>
        </w:pict>
      </w:r>
      <w:r>
        <w:rPr/>
        <w:pict>
          <v:line style="position:absolute;mso-position-horizontal-relative:page;mso-position-vertical-relative:paragraph;z-index:2272" from="450.5pt,18.759575pt" to="450.5pt,200.761575pt" stroked="true" strokeweight="1pt" strokecolor="#0079c1">
            <v:stroke dashstyle="solid"/>
            <w10:wrap type="none"/>
          </v:line>
        </w:pict>
      </w:r>
      <w:r>
        <w:rPr/>
        <w:pict>
          <v:shape style="position:absolute;margin-left:460.346802pt;margin-top:40.756374pt;width:32.25pt;height:157.5pt;mso-position-horizontal-relative:page;mso-position-vertical-relative:paragraph;z-index:2296" type="#_x0000_t202" filled="false" stroked="false">
            <v:textbox inset="0,0,0,0" style="layout-flow:vertical">
              <w:txbxContent>
                <w:p>
                  <w:pPr>
                    <w:spacing w:line="200" w:lineRule="exact" w:before="12"/>
                    <w:ind w:left="20" w:right="-741" w:firstLine="0"/>
                    <w:jc w:val="left"/>
                    <w:rPr>
                      <w:rFonts w:ascii="Lucida Sans"/>
                      <w:sz w:val="17"/>
                    </w:rPr>
                  </w:pPr>
                  <w:r>
                    <w:rPr>
                      <w:rFonts w:ascii="Lucida Sans"/>
                      <w:color w:val="0079C1"/>
                      <w:spacing w:val="8"/>
                      <w:w w:val="103"/>
                      <w:sz w:val="17"/>
                    </w:rPr>
                    <w:t>LEGA</w:t>
                  </w:r>
                  <w:r>
                    <w:rPr>
                      <w:rFonts w:ascii="Lucida Sans"/>
                      <w:color w:val="0079C1"/>
                      <w:w w:val="103"/>
                      <w:sz w:val="17"/>
                    </w:rPr>
                    <w:t>L</w:t>
                  </w:r>
                  <w:r>
                    <w:rPr>
                      <w:rFonts w:ascii="Lucida Sans"/>
                      <w:color w:val="0079C1"/>
                      <w:spacing w:val="10"/>
                      <w:sz w:val="17"/>
                    </w:rPr>
                    <w:t> </w:t>
                  </w:r>
                  <w:r>
                    <w:rPr>
                      <w:rFonts w:ascii="Lucida Sans"/>
                      <w:color w:val="0079C1"/>
                      <w:spacing w:val="8"/>
                      <w:w w:val="105"/>
                      <w:sz w:val="17"/>
                    </w:rPr>
                    <w:t>PRE</w:t>
                  </w:r>
                  <w:r>
                    <w:rPr>
                      <w:rFonts w:ascii="Lucida Sans"/>
                      <w:color w:val="0079C1"/>
                      <w:spacing w:val="-5"/>
                      <w:w w:val="105"/>
                      <w:sz w:val="17"/>
                    </w:rPr>
                    <w:t>P</w:t>
                  </w:r>
                  <w:r>
                    <w:rPr>
                      <w:rFonts w:ascii="Lucida Sans"/>
                      <w:color w:val="0079C1"/>
                      <w:spacing w:val="8"/>
                      <w:w w:val="104"/>
                      <w:sz w:val="17"/>
                    </w:rPr>
                    <w:t>AREDNES</w:t>
                  </w:r>
                  <w:r>
                    <w:rPr>
                      <w:rFonts w:ascii="Lucida Sans"/>
                      <w:color w:val="0079C1"/>
                      <w:w w:val="104"/>
                      <w:sz w:val="17"/>
                    </w:rPr>
                    <w:t>S</w:t>
                  </w:r>
                  <w:r>
                    <w:rPr>
                      <w:rFonts w:ascii="Lucida Sans"/>
                      <w:color w:val="0079C1"/>
                      <w:spacing w:val="10"/>
                      <w:sz w:val="17"/>
                    </w:rPr>
                    <w:t> </w:t>
                  </w:r>
                  <w:r>
                    <w:rPr>
                      <w:rFonts w:ascii="Lucida Sans"/>
                      <w:color w:val="0079C1"/>
                      <w:spacing w:val="8"/>
                      <w:w w:val="103"/>
                      <w:sz w:val="17"/>
                    </w:rPr>
                    <w:t>FO</w:t>
                  </w:r>
                  <w:r>
                    <w:rPr>
                      <w:rFonts w:ascii="Lucida Sans"/>
                      <w:color w:val="0079C1"/>
                      <w:w w:val="103"/>
                      <w:sz w:val="17"/>
                    </w:rPr>
                    <w:t>R</w:t>
                  </w:r>
                  <w:r>
                    <w:rPr>
                      <w:rFonts w:ascii="Lucida Sans"/>
                      <w:color w:val="0079C1"/>
                      <w:spacing w:val="10"/>
                      <w:sz w:val="17"/>
                    </w:rPr>
                    <w:t> </w:t>
                  </w:r>
                  <w:r>
                    <w:rPr>
                      <w:rFonts w:ascii="Lucida Sans"/>
                      <w:color w:val="0079C1"/>
                      <w:spacing w:val="8"/>
                      <w:w w:val="100"/>
                      <w:sz w:val="17"/>
                    </w:rPr>
                    <w:t>THE</w:t>
                  </w:r>
                </w:p>
                <w:p>
                  <w:pPr>
                    <w:spacing w:before="0"/>
                    <w:ind w:left="20" w:right="-695" w:firstLine="0"/>
                    <w:jc w:val="left"/>
                    <w:rPr>
                      <w:rFonts w:ascii="Lucida Sans"/>
                      <w:sz w:val="17"/>
                    </w:rPr>
                  </w:pPr>
                  <w:r>
                    <w:rPr>
                      <w:rFonts w:ascii="Lucida Sans"/>
                      <w:color w:val="0079C1"/>
                      <w:spacing w:val="8"/>
                      <w:w w:val="102"/>
                      <w:sz w:val="17"/>
                    </w:rPr>
                    <w:t>SURVEILLANC</w:t>
                  </w:r>
                  <w:r>
                    <w:rPr>
                      <w:rFonts w:ascii="Lucida Sans"/>
                      <w:color w:val="0079C1"/>
                      <w:w w:val="102"/>
                      <w:sz w:val="17"/>
                    </w:rPr>
                    <w:t>E</w:t>
                  </w:r>
                  <w:r>
                    <w:rPr>
                      <w:rFonts w:ascii="Lucida Sans"/>
                      <w:color w:val="0079C1"/>
                      <w:spacing w:val="10"/>
                      <w:sz w:val="17"/>
                    </w:rPr>
                    <w:t> </w:t>
                  </w:r>
                  <w:r>
                    <w:rPr>
                      <w:rFonts w:ascii="Lucida Sans"/>
                      <w:color w:val="0079C1"/>
                      <w:spacing w:val="8"/>
                      <w:w w:val="102"/>
                      <w:sz w:val="17"/>
                    </w:rPr>
                    <w:t>AN</w:t>
                  </w:r>
                  <w:r>
                    <w:rPr>
                      <w:rFonts w:ascii="Lucida Sans"/>
                      <w:color w:val="0079C1"/>
                      <w:w w:val="102"/>
                      <w:sz w:val="17"/>
                    </w:rPr>
                    <w:t>D</w:t>
                  </w:r>
                  <w:r>
                    <w:rPr>
                      <w:rFonts w:ascii="Lucida Sans"/>
                      <w:color w:val="0079C1"/>
                      <w:spacing w:val="10"/>
                      <w:sz w:val="17"/>
                    </w:rPr>
                    <w:t> </w:t>
                  </w:r>
                  <w:r>
                    <w:rPr>
                      <w:rFonts w:ascii="Lucida Sans"/>
                      <w:color w:val="0079C1"/>
                      <w:spacing w:val="8"/>
                      <w:w w:val="101"/>
                      <w:sz w:val="17"/>
                    </w:rPr>
                    <w:t>CONTRO</w:t>
                  </w:r>
                  <w:r>
                    <w:rPr>
                      <w:rFonts w:ascii="Lucida Sans"/>
                      <w:color w:val="0079C1"/>
                      <w:w w:val="101"/>
                      <w:sz w:val="17"/>
                    </w:rPr>
                    <w:t>L</w:t>
                  </w:r>
                  <w:r>
                    <w:rPr>
                      <w:rFonts w:ascii="Lucida Sans"/>
                      <w:color w:val="0079C1"/>
                      <w:spacing w:val="10"/>
                      <w:sz w:val="17"/>
                    </w:rPr>
                    <w:t> </w:t>
                  </w:r>
                  <w:r>
                    <w:rPr>
                      <w:rFonts w:ascii="Lucida Sans"/>
                      <w:color w:val="0079C1"/>
                      <w:spacing w:val="8"/>
                      <w:w w:val="107"/>
                      <w:sz w:val="17"/>
                    </w:rPr>
                    <w:t>OF </w:t>
                  </w:r>
                  <w:r>
                    <w:rPr>
                      <w:rFonts w:ascii="Lucida Sans"/>
                      <w:color w:val="0079C1"/>
                      <w:spacing w:val="8"/>
                      <w:w w:val="105"/>
                      <w:sz w:val="17"/>
                    </w:rPr>
                    <w:t>FOODBORN</w:t>
                  </w:r>
                  <w:r>
                    <w:rPr>
                      <w:rFonts w:ascii="Lucida Sans"/>
                      <w:color w:val="0079C1"/>
                      <w:w w:val="105"/>
                      <w:sz w:val="17"/>
                    </w:rPr>
                    <w:t>E</w:t>
                  </w:r>
                  <w:r>
                    <w:rPr>
                      <w:rFonts w:ascii="Lucida Sans"/>
                      <w:color w:val="0079C1"/>
                      <w:spacing w:val="10"/>
                      <w:sz w:val="17"/>
                    </w:rPr>
                    <w:t> </w:t>
                  </w:r>
                  <w:r>
                    <w:rPr>
                      <w:rFonts w:ascii="Lucida Sans"/>
                      <w:color w:val="0079C1"/>
                      <w:spacing w:val="8"/>
                      <w:w w:val="104"/>
                      <w:sz w:val="17"/>
                    </w:rPr>
                    <w:t>DISEAS</w:t>
                  </w:r>
                  <w:r>
                    <w:rPr>
                      <w:rFonts w:ascii="Lucida Sans"/>
                      <w:color w:val="0079C1"/>
                      <w:w w:val="104"/>
                      <w:sz w:val="17"/>
                    </w:rPr>
                    <w:t>E</w:t>
                  </w:r>
                  <w:r>
                    <w:rPr>
                      <w:rFonts w:ascii="Lucida Sans"/>
                      <w:color w:val="0079C1"/>
                      <w:spacing w:val="10"/>
                      <w:sz w:val="17"/>
                    </w:rPr>
                    <w:t> </w:t>
                  </w:r>
                  <w:r>
                    <w:rPr>
                      <w:rFonts w:ascii="Lucida Sans"/>
                      <w:color w:val="0079C1"/>
                      <w:spacing w:val="8"/>
                      <w:w w:val="102"/>
                      <w:sz w:val="17"/>
                    </w:rPr>
                    <w:t>OUTBREAKS</w:t>
                  </w:r>
                </w:p>
              </w:txbxContent>
            </v:textbox>
            <w10:wrap type="none"/>
          </v:shape>
        </w:pict>
      </w:r>
      <w:r>
        <w:rPr/>
        <w:pict>
          <v:shape style="position:absolute;margin-left:468.849609pt;margin-top:23.510576pt;width:15.85pt;height:8.5pt;mso-position-horizontal-relative:page;mso-position-vertical-relative:paragraph;z-index:2320"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9</w:t>
                  </w:r>
                </w:p>
              </w:txbxContent>
            </v:textbox>
            <w10:wrap type="none"/>
          </v:shape>
        </w:pict>
      </w:r>
      <w:r>
        <w:rPr>
          <w:rFonts w:ascii="Lucida Sans"/>
          <w:color w:val="00A94F"/>
          <w:w w:val="105"/>
          <w:sz w:val="18"/>
        </w:rPr>
        <w:t>PPIA. </w:t>
      </w:r>
      <w:r>
        <w:rPr>
          <w:color w:val="231F20"/>
          <w:w w:val="105"/>
          <w:sz w:val="20"/>
        </w:rPr>
        <w:t>Ensures the inspection of domestic and</w:t>
      </w:r>
      <w:r>
        <w:rPr>
          <w:color w:val="231F20"/>
          <w:spacing w:val="-9"/>
          <w:w w:val="105"/>
          <w:sz w:val="20"/>
        </w:rPr>
        <w:t> </w:t>
      </w:r>
      <w:r>
        <w:rPr>
          <w:color w:val="231F20"/>
          <w:w w:val="105"/>
          <w:sz w:val="20"/>
        </w:rPr>
        <w:t>imported</w:t>
      </w:r>
      <w:r>
        <w:rPr>
          <w:color w:val="231F20"/>
          <w:spacing w:val="-9"/>
          <w:w w:val="105"/>
          <w:sz w:val="20"/>
        </w:rPr>
        <w:t> </w:t>
      </w:r>
      <w:r>
        <w:rPr>
          <w:color w:val="231F20"/>
          <w:w w:val="105"/>
          <w:sz w:val="20"/>
        </w:rPr>
        <w:t>poultry</w:t>
      </w:r>
      <w:r>
        <w:rPr>
          <w:color w:val="231F20"/>
          <w:spacing w:val="-9"/>
          <w:w w:val="105"/>
          <w:sz w:val="20"/>
        </w:rPr>
        <w:t> </w:t>
      </w:r>
      <w:r>
        <w:rPr>
          <w:color w:val="231F20"/>
          <w:w w:val="105"/>
          <w:sz w:val="20"/>
        </w:rPr>
        <w:t>products</w:t>
      </w:r>
      <w:r>
        <w:rPr>
          <w:color w:val="231F20"/>
          <w:spacing w:val="-9"/>
          <w:w w:val="105"/>
          <w:sz w:val="20"/>
        </w:rPr>
        <w:t> </w:t>
      </w:r>
      <w:r>
        <w:rPr>
          <w:color w:val="231F20"/>
          <w:w w:val="105"/>
          <w:sz w:val="20"/>
        </w:rPr>
        <w:t>and</w:t>
      </w:r>
      <w:r>
        <w:rPr>
          <w:color w:val="231F20"/>
          <w:spacing w:val="-9"/>
          <w:w w:val="105"/>
          <w:sz w:val="20"/>
        </w:rPr>
        <w:t> </w:t>
      </w:r>
      <w:r>
        <w:rPr>
          <w:color w:val="231F20"/>
          <w:w w:val="105"/>
          <w:sz w:val="20"/>
        </w:rPr>
        <w:t>requires that plant facilities are sanitary and that product labels are</w:t>
      </w:r>
      <w:r>
        <w:rPr>
          <w:color w:val="231F20"/>
          <w:spacing w:val="-10"/>
          <w:w w:val="105"/>
          <w:sz w:val="20"/>
        </w:rPr>
        <w:t> </w:t>
      </w:r>
      <w:r>
        <w:rPr>
          <w:color w:val="231F20"/>
          <w:w w:val="105"/>
          <w:sz w:val="20"/>
        </w:rPr>
        <w:t>accurate.</w:t>
      </w:r>
    </w:p>
    <w:p>
      <w:pPr>
        <w:pStyle w:val="ListParagraph"/>
        <w:numPr>
          <w:ilvl w:val="0"/>
          <w:numId w:val="15"/>
        </w:numPr>
        <w:tabs>
          <w:tab w:pos="563" w:val="left" w:leader="none"/>
        </w:tabs>
        <w:spacing w:line="266" w:lineRule="auto" w:before="178" w:after="0"/>
        <w:ind w:left="562" w:right="1680" w:hanging="190"/>
        <w:jc w:val="left"/>
        <w:rPr>
          <w:sz w:val="20"/>
        </w:rPr>
      </w:pPr>
      <w:r>
        <w:rPr>
          <w:rFonts w:ascii="Lucida Sans"/>
          <w:color w:val="00A94F"/>
          <w:sz w:val="18"/>
        </w:rPr>
        <w:t>EPIA. </w:t>
      </w:r>
      <w:r>
        <w:rPr>
          <w:color w:val="231F20"/>
          <w:sz w:val="20"/>
        </w:rPr>
        <w:t>Mandates continuous inspection of the processing of liquid, frozen, and dried egg</w:t>
      </w:r>
      <w:r>
        <w:rPr>
          <w:color w:val="231F20"/>
          <w:spacing w:val="35"/>
          <w:sz w:val="20"/>
        </w:rPr>
        <w:t> </w:t>
      </w:r>
      <w:r>
        <w:rPr>
          <w:color w:val="231F20"/>
          <w:sz w:val="20"/>
        </w:rPr>
        <w:t>product.</w:t>
      </w:r>
    </w:p>
    <w:p>
      <w:pPr>
        <w:pStyle w:val="ListParagraph"/>
        <w:numPr>
          <w:ilvl w:val="2"/>
          <w:numId w:val="12"/>
        </w:numPr>
        <w:tabs>
          <w:tab w:pos="929" w:val="left" w:leader="none"/>
        </w:tabs>
        <w:spacing w:line="261" w:lineRule="auto" w:before="164" w:after="0"/>
        <w:ind w:left="372" w:right="1442" w:firstLine="0"/>
        <w:jc w:val="left"/>
        <w:rPr>
          <w:rFonts w:ascii="Arial"/>
          <w:sz w:val="20"/>
        </w:rPr>
      </w:pPr>
      <w:r>
        <w:rPr>
          <w:rFonts w:ascii="Arial"/>
          <w:color w:val="1C3E94"/>
          <w:sz w:val="20"/>
        </w:rPr>
        <w:t>Roles and Legal Authority of State and Local Public Health</w:t>
      </w:r>
      <w:r>
        <w:rPr>
          <w:rFonts w:ascii="Arial"/>
          <w:color w:val="1C3E94"/>
          <w:spacing w:val="6"/>
          <w:sz w:val="20"/>
        </w:rPr>
        <w:t> </w:t>
      </w:r>
      <w:r>
        <w:rPr>
          <w:rFonts w:ascii="Arial"/>
          <w:color w:val="1C3E94"/>
          <w:sz w:val="20"/>
        </w:rPr>
        <w:t>Agencies</w:t>
      </w:r>
    </w:p>
    <w:p>
      <w:pPr>
        <w:pStyle w:val="BodyText"/>
        <w:spacing w:line="266" w:lineRule="auto" w:before="194"/>
        <w:ind w:left="372" w:right="1365"/>
      </w:pPr>
      <w:r>
        <w:rPr/>
        <w:pict>
          <v:line style="position:absolute;mso-position-horizontal-relative:page;mso-position-vertical-relative:paragraph;z-index:2224" from="0pt,62.478165pt" to="432pt,62.478165pt" stroked="true" strokeweight="1pt" strokecolor="#00a94f">
            <v:stroke dashstyle="solid"/>
            <w10:wrap type="none"/>
          </v:line>
        </w:pict>
      </w:r>
      <w:r>
        <w:rPr>
          <w:color w:val="231F20"/>
          <w:w w:val="105"/>
        </w:rPr>
        <w:t>Environmental health specialists, laboratorians, and epidemiologists should understand their respective roles and legal authorities for</w:t>
      </w:r>
    </w:p>
    <w:p>
      <w:pPr>
        <w:spacing w:after="0" w:line="266" w:lineRule="auto"/>
        <w:sectPr>
          <w:type w:val="continuous"/>
          <w:pgSz w:w="10080" w:h="14400"/>
          <w:pgMar w:top="0" w:bottom="0" w:left="0" w:right="0"/>
          <w:cols w:num="2" w:equalWidth="0">
            <w:col w:w="4448" w:space="40"/>
            <w:col w:w="5592"/>
          </w:cols>
        </w:sectPr>
      </w:pPr>
    </w:p>
    <w:p>
      <w:pPr>
        <w:pStyle w:val="BodyText"/>
        <w:spacing w:before="8"/>
        <w:rPr>
          <w:sz w:val="10"/>
        </w:rPr>
      </w:pPr>
    </w:p>
    <w:p>
      <w:pPr>
        <w:pStyle w:val="Heading1"/>
        <w:numPr>
          <w:ilvl w:val="1"/>
          <w:numId w:val="16"/>
        </w:numPr>
        <w:tabs>
          <w:tab w:pos="1985" w:val="left" w:leader="none"/>
        </w:tabs>
        <w:spacing w:line="249" w:lineRule="auto" w:before="97" w:after="0"/>
        <w:ind w:left="1984" w:right="750" w:hanging="544"/>
        <w:jc w:val="left"/>
      </w:pPr>
      <w:r>
        <w:rPr/>
        <w:pict>
          <v:line style="position:absolute;mso-position-horizontal-relative:page;mso-position-vertical-relative:paragraph;z-index:2344;mso-wrap-distance-left:0;mso-wrap-distance-right:0" from="72pt,40.791943pt" to="468pt,40.791943pt" stroked="true" strokeweight=".5pt" strokecolor="#00a94f">
            <v:stroke dashstyle="solid"/>
            <w10:wrap type="topAndBottom"/>
          </v:line>
        </w:pict>
      </w:r>
      <w:r>
        <w:rPr>
          <w:color w:val="00A94F"/>
          <w:w w:val="105"/>
        </w:rPr>
        <w:t>Legal</w:t>
      </w:r>
      <w:r>
        <w:rPr>
          <w:color w:val="00A94F"/>
          <w:spacing w:val="-34"/>
          <w:w w:val="105"/>
        </w:rPr>
        <w:t> </w:t>
      </w:r>
      <w:r>
        <w:rPr>
          <w:color w:val="00A94F"/>
          <w:w w:val="105"/>
        </w:rPr>
        <w:t>Framework</w:t>
      </w:r>
      <w:r>
        <w:rPr>
          <w:color w:val="00A94F"/>
          <w:spacing w:val="-34"/>
          <w:w w:val="105"/>
        </w:rPr>
        <w:t> </w:t>
      </w:r>
      <w:r>
        <w:rPr>
          <w:color w:val="00A94F"/>
          <w:w w:val="105"/>
        </w:rPr>
        <w:t>for</w:t>
      </w:r>
      <w:r>
        <w:rPr>
          <w:color w:val="00A94F"/>
          <w:spacing w:val="-34"/>
          <w:w w:val="105"/>
        </w:rPr>
        <w:t> </w:t>
      </w:r>
      <w:r>
        <w:rPr>
          <w:color w:val="00A94F"/>
          <w:w w:val="105"/>
        </w:rPr>
        <w:t>Measures</w:t>
      </w:r>
      <w:r>
        <w:rPr>
          <w:color w:val="00A94F"/>
          <w:spacing w:val="-34"/>
          <w:w w:val="105"/>
        </w:rPr>
        <w:t> </w:t>
      </w:r>
      <w:r>
        <w:rPr>
          <w:color w:val="00A94F"/>
          <w:w w:val="105"/>
        </w:rPr>
        <w:t>and</w:t>
      </w:r>
      <w:r>
        <w:rPr>
          <w:color w:val="00A94F"/>
          <w:spacing w:val="-34"/>
          <w:w w:val="105"/>
        </w:rPr>
        <w:t> </w:t>
      </w:r>
      <w:r>
        <w:rPr>
          <w:color w:val="00A94F"/>
          <w:w w:val="105"/>
        </w:rPr>
        <w:t>Methods</w:t>
      </w:r>
      <w:r>
        <w:rPr>
          <w:color w:val="00A94F"/>
          <w:spacing w:val="-34"/>
          <w:w w:val="105"/>
        </w:rPr>
        <w:t> </w:t>
      </w:r>
      <w:r>
        <w:rPr>
          <w:color w:val="00A94F"/>
          <w:w w:val="105"/>
        </w:rPr>
        <w:t>to</w:t>
      </w:r>
      <w:r>
        <w:rPr>
          <w:color w:val="00A94F"/>
          <w:spacing w:val="-34"/>
          <w:w w:val="105"/>
        </w:rPr>
        <w:t> </w:t>
      </w:r>
      <w:r>
        <w:rPr>
          <w:color w:val="00A94F"/>
          <w:w w:val="105"/>
        </w:rPr>
        <w:t>Prevent</w:t>
      </w:r>
      <w:r>
        <w:rPr>
          <w:color w:val="00A94F"/>
          <w:spacing w:val="-34"/>
          <w:w w:val="105"/>
        </w:rPr>
        <w:t> </w:t>
      </w:r>
      <w:r>
        <w:rPr>
          <w:color w:val="00A94F"/>
          <w:w w:val="105"/>
        </w:rPr>
        <w:t>or Mitigate</w:t>
      </w:r>
      <w:r>
        <w:rPr>
          <w:color w:val="00A94F"/>
          <w:spacing w:val="-46"/>
          <w:w w:val="105"/>
        </w:rPr>
        <w:t> </w:t>
      </w:r>
      <w:r>
        <w:rPr>
          <w:color w:val="00A94F"/>
          <w:w w:val="105"/>
        </w:rPr>
        <w:t>Foodborne</w:t>
      </w:r>
      <w:r>
        <w:rPr>
          <w:color w:val="00A94F"/>
          <w:spacing w:val="-46"/>
          <w:w w:val="105"/>
        </w:rPr>
        <w:t> </w:t>
      </w:r>
      <w:r>
        <w:rPr>
          <w:color w:val="00A94F"/>
          <w:w w:val="105"/>
        </w:rPr>
        <w:t>Disease</w:t>
      </w:r>
      <w:r>
        <w:rPr>
          <w:color w:val="00A94F"/>
          <w:spacing w:val="-46"/>
          <w:w w:val="105"/>
        </w:rPr>
        <w:t> </w:t>
      </w:r>
      <w:r>
        <w:rPr>
          <w:color w:val="00A94F"/>
          <w:w w:val="105"/>
        </w:rPr>
        <w:t>Outbreaks</w:t>
      </w:r>
    </w:p>
    <w:p>
      <w:pPr>
        <w:pStyle w:val="BodyText"/>
        <w:spacing w:before="1"/>
        <w:rPr>
          <w:rFonts w:ascii="Arial"/>
        </w:rPr>
      </w:pPr>
    </w:p>
    <w:p>
      <w:pPr>
        <w:spacing w:after="0"/>
        <w:rPr>
          <w:rFonts w:ascii="Arial"/>
        </w:rPr>
        <w:sectPr>
          <w:pgSz w:w="10080" w:h="14400"/>
          <w:pgMar w:header="0" w:footer="0" w:top="1160" w:bottom="0" w:left="0" w:right="0"/>
        </w:sectPr>
      </w:pPr>
    </w:p>
    <w:p>
      <w:pPr>
        <w:pStyle w:val="BodyText"/>
        <w:spacing w:line="266" w:lineRule="auto" w:before="108"/>
        <w:ind w:left="1440" w:right="15"/>
      </w:pPr>
      <w:r>
        <w:rPr>
          <w:color w:val="231F20"/>
          <w:w w:val="105"/>
        </w:rPr>
        <w:t>various public health actions. In addition, they should know how and when they need to obtain expert legal counsel and upper-level management support and decision-making.</w:t>
      </w:r>
    </w:p>
    <w:p>
      <w:pPr>
        <w:pStyle w:val="BodyText"/>
        <w:spacing w:line="266" w:lineRule="auto" w:before="180"/>
        <w:ind w:left="1440" w:right="-17"/>
      </w:pPr>
      <w:r>
        <w:rPr>
          <w:color w:val="231F20"/>
          <w:w w:val="105"/>
        </w:rPr>
        <w:t>In instances in which improper food preparation at the local level results in foodborne disease, the broad authority of public health agencies to control epidemics and</w:t>
      </w:r>
      <w:r>
        <w:rPr>
          <w:color w:val="231F20"/>
          <w:spacing w:val="-9"/>
          <w:w w:val="105"/>
        </w:rPr>
        <w:t> </w:t>
      </w:r>
      <w:r>
        <w:rPr>
          <w:color w:val="231F20"/>
          <w:w w:val="105"/>
        </w:rPr>
        <w:t>end</w:t>
      </w:r>
      <w:r>
        <w:rPr>
          <w:color w:val="231F20"/>
          <w:spacing w:val="-9"/>
          <w:w w:val="105"/>
        </w:rPr>
        <w:t> </w:t>
      </w:r>
      <w:r>
        <w:rPr>
          <w:color w:val="231F20"/>
          <w:w w:val="105"/>
        </w:rPr>
        <w:t>nuisances,</w:t>
      </w:r>
      <w:r>
        <w:rPr>
          <w:color w:val="231F20"/>
          <w:spacing w:val="-9"/>
          <w:w w:val="105"/>
        </w:rPr>
        <w:t> </w:t>
      </w:r>
      <w:r>
        <w:rPr>
          <w:color w:val="231F20"/>
          <w:w w:val="105"/>
        </w:rPr>
        <w:t>as</w:t>
      </w:r>
      <w:r>
        <w:rPr>
          <w:color w:val="231F20"/>
          <w:spacing w:val="-9"/>
          <w:w w:val="105"/>
        </w:rPr>
        <w:t> </w:t>
      </w:r>
      <w:r>
        <w:rPr>
          <w:color w:val="231F20"/>
          <w:w w:val="105"/>
        </w:rPr>
        <w:t>well</w:t>
      </w:r>
      <w:r>
        <w:rPr>
          <w:color w:val="231F20"/>
          <w:spacing w:val="-9"/>
          <w:w w:val="105"/>
        </w:rPr>
        <w:t> </w:t>
      </w:r>
      <w:r>
        <w:rPr>
          <w:color w:val="231F20"/>
          <w:w w:val="105"/>
        </w:rPr>
        <w:t>as</w:t>
      </w:r>
      <w:r>
        <w:rPr>
          <w:color w:val="231F20"/>
          <w:spacing w:val="-9"/>
          <w:w w:val="105"/>
        </w:rPr>
        <w:t> </w:t>
      </w:r>
      <w:r>
        <w:rPr>
          <w:color w:val="231F20"/>
          <w:w w:val="105"/>
        </w:rPr>
        <w:t>specific</w:t>
      </w:r>
      <w:r>
        <w:rPr>
          <w:color w:val="231F20"/>
          <w:spacing w:val="-9"/>
          <w:w w:val="105"/>
        </w:rPr>
        <w:t> </w:t>
      </w:r>
      <w:r>
        <w:rPr>
          <w:color w:val="231F20"/>
          <w:w w:val="105"/>
        </w:rPr>
        <w:t>authority</w:t>
      </w:r>
      <w:r>
        <w:rPr>
          <w:color w:val="231F20"/>
          <w:w w:val="105"/>
        </w:rPr>
        <w:t> </w:t>
      </w:r>
      <w:r>
        <w:rPr>
          <w:color w:val="231F20"/>
          <w:w w:val="105"/>
        </w:rPr>
        <w:t>they </w:t>
      </w:r>
      <w:r>
        <w:rPr>
          <w:color w:val="231F20"/>
          <w:spacing w:val="-3"/>
          <w:w w:val="105"/>
        </w:rPr>
        <w:t>have </w:t>
      </w:r>
      <w:r>
        <w:rPr>
          <w:color w:val="231F20"/>
          <w:w w:val="105"/>
        </w:rPr>
        <w:t>to inspect restaurants and ensure proper</w:t>
      </w:r>
      <w:r>
        <w:rPr>
          <w:color w:val="231F20"/>
          <w:spacing w:val="-18"/>
          <w:w w:val="105"/>
        </w:rPr>
        <w:t> </w:t>
      </w:r>
      <w:r>
        <w:rPr>
          <w:color w:val="231F20"/>
          <w:w w:val="105"/>
        </w:rPr>
        <w:t>food</w:t>
      </w:r>
      <w:r>
        <w:rPr>
          <w:color w:val="231F20"/>
          <w:spacing w:val="-18"/>
          <w:w w:val="105"/>
        </w:rPr>
        <w:t> </w:t>
      </w:r>
      <w:r>
        <w:rPr>
          <w:color w:val="231F20"/>
          <w:spacing w:val="-4"/>
          <w:w w:val="105"/>
        </w:rPr>
        <w:t>safety,</w:t>
      </w:r>
      <w:r>
        <w:rPr>
          <w:color w:val="231F20"/>
          <w:spacing w:val="-18"/>
          <w:w w:val="105"/>
        </w:rPr>
        <w:t> </w:t>
      </w:r>
      <w:r>
        <w:rPr>
          <w:color w:val="231F20"/>
          <w:w w:val="105"/>
        </w:rPr>
        <w:t>is</w:t>
      </w:r>
      <w:r>
        <w:rPr>
          <w:color w:val="231F20"/>
          <w:spacing w:val="-18"/>
          <w:w w:val="105"/>
        </w:rPr>
        <w:t> </w:t>
      </w:r>
      <w:r>
        <w:rPr>
          <w:color w:val="231F20"/>
          <w:w w:val="105"/>
        </w:rPr>
        <w:t>used</w:t>
      </w:r>
      <w:r>
        <w:rPr>
          <w:color w:val="231F20"/>
          <w:spacing w:val="-18"/>
          <w:w w:val="105"/>
        </w:rPr>
        <w:t> </w:t>
      </w:r>
      <w:r>
        <w:rPr>
          <w:color w:val="231F20"/>
          <w:w w:val="105"/>
        </w:rPr>
        <w:t>to:</w:t>
      </w:r>
    </w:p>
    <w:p>
      <w:pPr>
        <w:pStyle w:val="ListParagraph"/>
        <w:numPr>
          <w:ilvl w:val="3"/>
          <w:numId w:val="12"/>
        </w:numPr>
        <w:tabs>
          <w:tab w:pos="1611" w:val="left" w:leader="none"/>
        </w:tabs>
        <w:spacing w:line="240" w:lineRule="auto" w:before="180" w:after="0"/>
        <w:ind w:left="1610" w:right="0" w:hanging="170"/>
        <w:jc w:val="left"/>
        <w:rPr>
          <w:sz w:val="20"/>
        </w:rPr>
      </w:pPr>
      <w:r>
        <w:rPr>
          <w:color w:val="231F20"/>
          <w:w w:val="105"/>
          <w:sz w:val="20"/>
        </w:rPr>
        <w:t>Close</w:t>
      </w:r>
      <w:r>
        <w:rPr>
          <w:color w:val="231F20"/>
          <w:spacing w:val="-11"/>
          <w:w w:val="105"/>
          <w:sz w:val="20"/>
        </w:rPr>
        <w:t> </w:t>
      </w:r>
      <w:r>
        <w:rPr>
          <w:color w:val="231F20"/>
          <w:w w:val="105"/>
          <w:sz w:val="20"/>
        </w:rPr>
        <w:t>restaurants;</w:t>
      </w:r>
    </w:p>
    <w:p>
      <w:pPr>
        <w:pStyle w:val="ListParagraph"/>
        <w:numPr>
          <w:ilvl w:val="0"/>
          <w:numId w:val="17"/>
        </w:numPr>
        <w:tabs>
          <w:tab w:pos="553" w:val="left" w:leader="none"/>
        </w:tabs>
        <w:spacing w:line="266" w:lineRule="auto" w:before="108" w:after="0"/>
        <w:ind w:left="552" w:right="719" w:hanging="170"/>
        <w:jc w:val="left"/>
        <w:rPr>
          <w:sz w:val="20"/>
        </w:rPr>
      </w:pPr>
      <w:r>
        <w:rPr>
          <w:color w:val="231F20"/>
          <w:w w:val="103"/>
          <w:sz w:val="20"/>
        </w:rPr>
        <w:br w:type="column"/>
      </w:r>
      <w:r>
        <w:rPr>
          <w:color w:val="231F20"/>
          <w:w w:val="105"/>
          <w:sz w:val="20"/>
        </w:rPr>
        <w:t>Embargo, seize, or destroy contaminated food</w:t>
      </w:r>
      <w:r>
        <w:rPr>
          <w:color w:val="231F20"/>
          <w:spacing w:val="-16"/>
          <w:w w:val="105"/>
          <w:sz w:val="20"/>
        </w:rPr>
        <w:t> </w:t>
      </w:r>
      <w:r>
        <w:rPr>
          <w:color w:val="231F20"/>
          <w:w w:val="105"/>
          <w:sz w:val="20"/>
        </w:rPr>
        <w:t>or</w:t>
      </w:r>
      <w:r>
        <w:rPr>
          <w:color w:val="231F20"/>
          <w:spacing w:val="-16"/>
          <w:w w:val="105"/>
          <w:sz w:val="20"/>
        </w:rPr>
        <w:t> </w:t>
      </w:r>
      <w:r>
        <w:rPr>
          <w:color w:val="231F20"/>
          <w:w w:val="105"/>
          <w:sz w:val="20"/>
        </w:rPr>
        <w:t>require</w:t>
      </w:r>
      <w:r>
        <w:rPr>
          <w:color w:val="231F20"/>
          <w:spacing w:val="-16"/>
          <w:w w:val="105"/>
          <w:sz w:val="20"/>
        </w:rPr>
        <w:t> </w:t>
      </w:r>
      <w:r>
        <w:rPr>
          <w:color w:val="231F20"/>
          <w:w w:val="105"/>
          <w:sz w:val="20"/>
        </w:rPr>
        <w:t>removal</w:t>
      </w:r>
      <w:r>
        <w:rPr>
          <w:color w:val="231F20"/>
          <w:spacing w:val="-16"/>
          <w:w w:val="105"/>
          <w:sz w:val="20"/>
        </w:rPr>
        <w:t> </w:t>
      </w:r>
      <w:r>
        <w:rPr>
          <w:color w:val="231F20"/>
          <w:w w:val="105"/>
          <w:sz w:val="20"/>
        </w:rPr>
        <w:t>of</w:t>
      </w:r>
      <w:r>
        <w:rPr>
          <w:color w:val="231F20"/>
          <w:spacing w:val="5"/>
          <w:w w:val="105"/>
          <w:sz w:val="20"/>
        </w:rPr>
        <w:t> </w:t>
      </w:r>
      <w:r>
        <w:rPr>
          <w:color w:val="231F20"/>
          <w:w w:val="105"/>
          <w:sz w:val="20"/>
        </w:rPr>
        <w:t>contaminated</w:t>
      </w:r>
      <w:r>
        <w:rPr>
          <w:color w:val="231F20"/>
          <w:spacing w:val="-16"/>
          <w:w w:val="105"/>
          <w:sz w:val="20"/>
        </w:rPr>
        <w:t> </w:t>
      </w:r>
      <w:r>
        <w:rPr>
          <w:color w:val="231F20"/>
          <w:w w:val="105"/>
          <w:sz w:val="20"/>
        </w:rPr>
        <w:t>lots from</w:t>
      </w:r>
      <w:r>
        <w:rPr>
          <w:color w:val="231F20"/>
          <w:spacing w:val="-23"/>
          <w:w w:val="105"/>
          <w:sz w:val="20"/>
        </w:rPr>
        <w:t> </w:t>
      </w:r>
      <w:r>
        <w:rPr>
          <w:color w:val="231F20"/>
          <w:w w:val="105"/>
          <w:sz w:val="20"/>
        </w:rPr>
        <w:t>retail</w:t>
      </w:r>
      <w:r>
        <w:rPr>
          <w:color w:val="231F20"/>
          <w:spacing w:val="-23"/>
          <w:w w:val="105"/>
          <w:sz w:val="20"/>
        </w:rPr>
        <w:t> </w:t>
      </w:r>
      <w:r>
        <w:rPr>
          <w:color w:val="231F20"/>
          <w:w w:val="105"/>
          <w:sz w:val="20"/>
        </w:rPr>
        <w:t>stores;</w:t>
      </w:r>
    </w:p>
    <w:p>
      <w:pPr>
        <w:pStyle w:val="ListParagraph"/>
        <w:numPr>
          <w:ilvl w:val="0"/>
          <w:numId w:val="17"/>
        </w:numPr>
        <w:tabs>
          <w:tab w:pos="553" w:val="left" w:leader="none"/>
        </w:tabs>
        <w:spacing w:line="240" w:lineRule="auto" w:before="90" w:after="0"/>
        <w:ind w:left="552" w:right="0" w:hanging="170"/>
        <w:jc w:val="left"/>
        <w:rPr>
          <w:sz w:val="20"/>
        </w:rPr>
      </w:pPr>
      <w:r>
        <w:rPr>
          <w:color w:val="231F20"/>
          <w:w w:val="105"/>
          <w:sz w:val="20"/>
        </w:rPr>
        <w:t>Require changes in food preparation;</w:t>
      </w:r>
      <w:r>
        <w:rPr>
          <w:color w:val="231F20"/>
          <w:spacing w:val="-27"/>
          <w:w w:val="105"/>
          <w:sz w:val="20"/>
        </w:rPr>
        <w:t> </w:t>
      </w:r>
      <w:r>
        <w:rPr>
          <w:color w:val="231F20"/>
          <w:w w:val="105"/>
          <w:sz w:val="20"/>
        </w:rPr>
        <w:t>and</w:t>
      </w:r>
    </w:p>
    <w:p>
      <w:pPr>
        <w:pStyle w:val="ListParagraph"/>
        <w:numPr>
          <w:ilvl w:val="0"/>
          <w:numId w:val="17"/>
        </w:numPr>
        <w:tabs>
          <w:tab w:pos="553" w:val="left" w:leader="none"/>
        </w:tabs>
        <w:spacing w:line="266" w:lineRule="auto" w:before="114" w:after="0"/>
        <w:ind w:left="552" w:right="785" w:hanging="170"/>
        <w:jc w:val="left"/>
        <w:rPr>
          <w:sz w:val="20"/>
        </w:rPr>
      </w:pPr>
      <w:r>
        <w:rPr>
          <w:color w:val="231F20"/>
          <w:w w:val="105"/>
          <w:sz w:val="20"/>
        </w:rPr>
        <w:t>Temporarily</w:t>
      </w:r>
      <w:r>
        <w:rPr>
          <w:color w:val="231F20"/>
          <w:spacing w:val="-25"/>
          <w:w w:val="105"/>
          <w:sz w:val="20"/>
        </w:rPr>
        <w:t> </w:t>
      </w:r>
      <w:r>
        <w:rPr>
          <w:color w:val="231F20"/>
          <w:spacing w:val="-3"/>
          <w:w w:val="105"/>
          <w:sz w:val="20"/>
        </w:rPr>
        <w:t>remove</w:t>
      </w:r>
      <w:r>
        <w:rPr>
          <w:color w:val="231F20"/>
          <w:spacing w:val="-25"/>
          <w:w w:val="105"/>
          <w:sz w:val="20"/>
        </w:rPr>
        <w:t> </w:t>
      </w:r>
      <w:r>
        <w:rPr>
          <w:color w:val="231F20"/>
          <w:w w:val="105"/>
          <w:sz w:val="20"/>
        </w:rPr>
        <w:t>infectious</w:t>
      </w:r>
      <w:r>
        <w:rPr>
          <w:color w:val="231F20"/>
          <w:spacing w:val="-25"/>
          <w:w w:val="105"/>
          <w:sz w:val="20"/>
        </w:rPr>
        <w:t> </w:t>
      </w:r>
      <w:r>
        <w:rPr>
          <w:color w:val="231F20"/>
          <w:w w:val="105"/>
          <w:sz w:val="20"/>
        </w:rPr>
        <w:t>persons</w:t>
      </w:r>
      <w:r>
        <w:rPr>
          <w:color w:val="231F20"/>
          <w:spacing w:val="-25"/>
          <w:w w:val="105"/>
          <w:sz w:val="20"/>
        </w:rPr>
        <w:t> </w:t>
      </w:r>
      <w:r>
        <w:rPr>
          <w:color w:val="231F20"/>
          <w:w w:val="105"/>
          <w:sz w:val="20"/>
        </w:rPr>
        <w:t>from the</w:t>
      </w:r>
      <w:r>
        <w:rPr>
          <w:color w:val="231F20"/>
          <w:spacing w:val="-28"/>
          <w:w w:val="105"/>
          <w:sz w:val="20"/>
        </w:rPr>
        <w:t> </w:t>
      </w:r>
      <w:r>
        <w:rPr>
          <w:color w:val="231F20"/>
          <w:w w:val="105"/>
          <w:sz w:val="20"/>
        </w:rPr>
        <w:t>workplace.</w:t>
      </w:r>
    </w:p>
    <w:p>
      <w:pPr>
        <w:pStyle w:val="BodyText"/>
        <w:spacing w:line="266" w:lineRule="auto" w:before="179"/>
        <w:ind w:left="382" w:right="774"/>
      </w:pPr>
      <w:r>
        <w:rPr>
          <w:color w:val="231F20"/>
          <w:w w:val="105"/>
        </w:rPr>
        <w:t>These actions are taken through agency authority granted by rule or through administrative orders. Such orders should contain time limits and specify the conditions for removing them. If necessary, agencies can seek enforcement through court orders.</w:t>
      </w:r>
    </w:p>
    <w:p>
      <w:pPr>
        <w:spacing w:after="0" w:line="266" w:lineRule="auto"/>
        <w:sectPr>
          <w:type w:val="continuous"/>
          <w:pgSz w:w="10080" w:h="14400"/>
          <w:pgMar w:top="0" w:bottom="0" w:left="0" w:right="0"/>
          <w:cols w:num="2" w:equalWidth="0">
            <w:col w:w="5158" w:space="40"/>
            <w:col w:w="4882"/>
          </w:cols>
        </w:sectPr>
      </w:pPr>
    </w:p>
    <w:p>
      <w:pPr>
        <w:pStyle w:val="BodyText"/>
        <w:spacing w:before="5"/>
        <w:rPr>
          <w:sz w:val="18"/>
        </w:rPr>
      </w:pPr>
    </w:p>
    <w:p>
      <w:pPr>
        <w:pStyle w:val="Heading1"/>
        <w:numPr>
          <w:ilvl w:val="1"/>
          <w:numId w:val="16"/>
        </w:numPr>
        <w:tabs>
          <w:tab w:pos="1985" w:val="left" w:leader="none"/>
        </w:tabs>
        <w:spacing w:line="249" w:lineRule="auto" w:before="97" w:after="0"/>
        <w:ind w:left="1984" w:right="1214" w:hanging="544"/>
        <w:jc w:val="left"/>
      </w:pPr>
      <w:r>
        <w:rPr/>
        <w:pict>
          <v:line style="position:absolute;mso-position-horizontal-relative:page;mso-position-vertical-relative:paragraph;z-index:2368;mso-wrap-distance-left:0;mso-wrap-distance-right:0" from="72pt,40.791836pt" to="468pt,40.791836pt" stroked="true" strokeweight=".5pt" strokecolor="#00a94f">
            <v:stroke dashstyle="solid"/>
            <w10:wrap type="topAndBottom"/>
          </v:line>
        </w:pict>
      </w:r>
      <w:r>
        <w:rPr>
          <w:color w:val="00A94F"/>
        </w:rPr>
        <w:t>Public Health Investigations as the Basis for Regulatory Actions or Criminal</w:t>
      </w:r>
      <w:r>
        <w:rPr>
          <w:color w:val="00A94F"/>
          <w:spacing w:val="46"/>
        </w:rPr>
        <w:t> </w:t>
      </w:r>
      <w:r>
        <w:rPr>
          <w:color w:val="00A94F"/>
        </w:rPr>
        <w:t>Prosecution</w:t>
      </w:r>
    </w:p>
    <w:p>
      <w:pPr>
        <w:pStyle w:val="BodyText"/>
        <w:spacing w:before="9"/>
        <w:rPr>
          <w:rFonts w:ascii="Arial"/>
          <w:sz w:val="8"/>
        </w:rPr>
      </w:pPr>
    </w:p>
    <w:p>
      <w:pPr>
        <w:spacing w:after="0"/>
        <w:rPr>
          <w:rFonts w:ascii="Arial"/>
          <w:sz w:val="8"/>
        </w:rPr>
        <w:sectPr>
          <w:type w:val="continuous"/>
          <w:pgSz w:w="10080" w:h="14400"/>
          <w:pgMar w:top="0" w:bottom="0" w:left="0" w:right="0"/>
        </w:sectPr>
      </w:pPr>
    </w:p>
    <w:p>
      <w:pPr>
        <w:pStyle w:val="ListParagraph"/>
        <w:numPr>
          <w:ilvl w:val="2"/>
          <w:numId w:val="16"/>
        </w:numPr>
        <w:tabs>
          <w:tab w:pos="1996" w:val="left" w:leader="none"/>
        </w:tabs>
        <w:spacing w:line="240" w:lineRule="auto" w:before="110" w:after="0"/>
        <w:ind w:left="1440" w:right="0" w:firstLine="0"/>
        <w:jc w:val="left"/>
        <w:rPr>
          <w:rFonts w:ascii="Arial"/>
          <w:sz w:val="20"/>
        </w:rPr>
      </w:pPr>
      <w:r>
        <w:rPr>
          <w:rFonts w:ascii="Arial"/>
          <w:color w:val="1C3E94"/>
          <w:sz w:val="20"/>
        </w:rPr>
        <w:t>Role of Data in Regulatory</w:t>
      </w:r>
      <w:r>
        <w:rPr>
          <w:rFonts w:ascii="Arial"/>
          <w:color w:val="1C3E94"/>
          <w:spacing w:val="48"/>
          <w:sz w:val="20"/>
        </w:rPr>
        <w:t> </w:t>
      </w:r>
      <w:r>
        <w:rPr>
          <w:rFonts w:ascii="Arial"/>
          <w:color w:val="1C3E94"/>
          <w:sz w:val="20"/>
        </w:rPr>
        <w:t>Action</w:t>
      </w:r>
    </w:p>
    <w:p>
      <w:pPr>
        <w:pStyle w:val="BodyText"/>
        <w:spacing w:before="7"/>
        <w:rPr>
          <w:rFonts w:ascii="Arial"/>
          <w:sz w:val="18"/>
        </w:rPr>
      </w:pPr>
    </w:p>
    <w:p>
      <w:pPr>
        <w:pStyle w:val="BodyText"/>
        <w:spacing w:line="266" w:lineRule="auto" w:before="1"/>
        <w:ind w:left="1440" w:right="-12"/>
      </w:pPr>
      <w:r>
        <w:rPr>
          <w:color w:val="231F20"/>
          <w:w w:val="105"/>
        </w:rPr>
        <w:t>Epidemiologic</w:t>
      </w:r>
      <w:r>
        <w:rPr>
          <w:color w:val="231F20"/>
          <w:spacing w:val="-9"/>
          <w:w w:val="105"/>
        </w:rPr>
        <w:t> </w:t>
      </w:r>
      <w:r>
        <w:rPr>
          <w:color w:val="231F20"/>
          <w:w w:val="105"/>
        </w:rPr>
        <w:t>and</w:t>
      </w:r>
      <w:r>
        <w:rPr>
          <w:color w:val="231F20"/>
          <w:spacing w:val="-9"/>
          <w:w w:val="105"/>
        </w:rPr>
        <w:t> </w:t>
      </w:r>
      <w:r>
        <w:rPr>
          <w:color w:val="231F20"/>
          <w:w w:val="105"/>
        </w:rPr>
        <w:t>laboratory</w:t>
      </w:r>
      <w:r>
        <w:rPr>
          <w:color w:val="231F20"/>
          <w:spacing w:val="-9"/>
          <w:w w:val="105"/>
        </w:rPr>
        <w:t> </w:t>
      </w:r>
      <w:r>
        <w:rPr>
          <w:color w:val="231F20"/>
          <w:w w:val="105"/>
        </w:rPr>
        <w:t>data</w:t>
      </w:r>
      <w:r>
        <w:rPr>
          <w:color w:val="231F20"/>
          <w:spacing w:val="-9"/>
          <w:w w:val="105"/>
        </w:rPr>
        <w:t> </w:t>
      </w:r>
      <w:r>
        <w:rPr>
          <w:color w:val="231F20"/>
          <w:w w:val="105"/>
        </w:rPr>
        <w:t>can</w:t>
      </w:r>
      <w:r>
        <w:rPr>
          <w:color w:val="231F20"/>
          <w:spacing w:val="-9"/>
          <w:w w:val="105"/>
        </w:rPr>
        <w:t> </w:t>
      </w:r>
      <w:r>
        <w:rPr>
          <w:color w:val="231F20"/>
          <w:w w:val="105"/>
        </w:rPr>
        <w:t>provide strong evidence linking illness to consumption of a particular food, resulting in a traceback investigation. When involving multiple states, federal regulatory agencies typically lead the traceback</w:t>
      </w:r>
      <w:r>
        <w:rPr>
          <w:color w:val="231F20"/>
          <w:spacing w:val="-24"/>
          <w:w w:val="105"/>
        </w:rPr>
        <w:t> </w:t>
      </w:r>
      <w:r>
        <w:rPr>
          <w:color w:val="231F20"/>
          <w:w w:val="105"/>
        </w:rPr>
        <w:t>investigation.</w:t>
      </w:r>
    </w:p>
    <w:p>
      <w:pPr>
        <w:pStyle w:val="BodyText"/>
        <w:spacing w:line="266" w:lineRule="auto" w:before="180"/>
        <w:ind w:left="1440" w:right="-13"/>
      </w:pPr>
      <w:r>
        <w:rPr/>
        <w:pict>
          <v:rect style="position:absolute;margin-left:0pt;margin-top:67.169861pt;width:45pt;height:18pt;mso-position-horizontal-relative:page;mso-position-vertical-relative:paragraph;z-index:2416" filled="true" fillcolor="#0079c1" stroked="false">
            <v:fill type="solid"/>
            <w10:wrap type="none"/>
          </v:rect>
        </w:pict>
      </w:r>
      <w:r>
        <w:rPr/>
        <w:pict>
          <v:line style="position:absolute;mso-position-horizontal-relative:page;mso-position-vertical-relative:paragraph;z-index:2440" from="54.5pt,67.168259pt" to="54.5pt,249.170259pt" stroked="true" strokeweight="1pt" strokecolor="#0079c1">
            <v:stroke dashstyle="solid"/>
            <w10:wrap type="none"/>
          </v:line>
        </w:pict>
      </w:r>
      <w:r>
        <w:rPr/>
        <w:pict>
          <v:shape style="position:absolute;margin-left:18.200388pt;margin-top:71.920815pt;width:25.5pt;height:173.95pt;mso-position-horizontal-relative:page;mso-position-vertical-relative:paragraph;z-index:2488" type="#_x0000_t202" filled="false" stroked="false">
            <v:textbox inset="0,0,0,0" style="layout-flow:vertical;mso-layout-flow-alt:bottom-to-top">
              <w:txbxContent>
                <w:p>
                  <w:pPr>
                    <w:spacing w:line="273" w:lineRule="exact" w:before="7"/>
                    <w:ind w:left="79" w:right="-889" w:firstLine="0"/>
                    <w:jc w:val="left"/>
                    <w:rPr>
                      <w:rFonts w:ascii="Times New Roman"/>
                      <w:b/>
                      <w:sz w:val="24"/>
                    </w:rPr>
                  </w:pPr>
                  <w:r>
                    <w:rPr>
                      <w:rFonts w:ascii="Lucida Sans"/>
                      <w:color w:val="0079C1"/>
                      <w:spacing w:val="8"/>
                      <w:w w:val="102"/>
                      <w:sz w:val="17"/>
                    </w:rPr>
                    <w:t>SURVEILLANC</w:t>
                  </w:r>
                  <w:r>
                    <w:rPr>
                      <w:rFonts w:ascii="Lucida Sans"/>
                      <w:color w:val="0079C1"/>
                      <w:w w:val="102"/>
                      <w:sz w:val="17"/>
                    </w:rPr>
                    <w:t>E</w:t>
                  </w:r>
                  <w:r>
                    <w:rPr>
                      <w:rFonts w:ascii="Lucida Sans"/>
                      <w:color w:val="0079C1"/>
                      <w:spacing w:val="10"/>
                      <w:sz w:val="17"/>
                    </w:rPr>
                    <w:t> </w:t>
                  </w:r>
                  <w:r>
                    <w:rPr>
                      <w:rFonts w:ascii="Lucida Sans"/>
                      <w:color w:val="0079C1"/>
                      <w:spacing w:val="8"/>
                      <w:w w:val="102"/>
                      <w:sz w:val="17"/>
                    </w:rPr>
                    <w:t>AN</w:t>
                  </w:r>
                  <w:r>
                    <w:rPr>
                      <w:rFonts w:ascii="Lucida Sans"/>
                      <w:color w:val="0079C1"/>
                      <w:w w:val="102"/>
                      <w:sz w:val="17"/>
                    </w:rPr>
                    <w:t>D</w:t>
                  </w:r>
                  <w:r>
                    <w:rPr>
                      <w:rFonts w:ascii="Lucida Sans"/>
                      <w:color w:val="0079C1"/>
                      <w:spacing w:val="10"/>
                      <w:sz w:val="17"/>
                    </w:rPr>
                    <w:t> </w:t>
                  </w:r>
                  <w:r>
                    <w:rPr>
                      <w:rFonts w:ascii="Lucida Sans"/>
                      <w:color w:val="0079C1"/>
                      <w:spacing w:val="8"/>
                      <w:w w:val="101"/>
                      <w:sz w:val="17"/>
                    </w:rPr>
                    <w:t>CONTRO</w:t>
                  </w:r>
                  <w:r>
                    <w:rPr>
                      <w:rFonts w:ascii="Lucida Sans"/>
                      <w:color w:val="0079C1"/>
                      <w:w w:val="101"/>
                      <w:sz w:val="17"/>
                    </w:rPr>
                    <w:t>L</w:t>
                  </w:r>
                  <w:r>
                    <w:rPr>
                      <w:rFonts w:ascii="Lucida Sans"/>
                      <w:color w:val="0079C1"/>
                      <w:spacing w:val="10"/>
                      <w:sz w:val="17"/>
                    </w:rPr>
                    <w:t> </w:t>
                  </w:r>
                  <w:r>
                    <w:rPr>
                      <w:rFonts w:ascii="Lucida Sans"/>
                      <w:color w:val="0079C1"/>
                      <w:spacing w:val="8"/>
                      <w:w w:val="107"/>
                      <w:sz w:val="17"/>
                    </w:rPr>
                    <w:t>O</w:t>
                  </w:r>
                  <w:r>
                    <w:rPr>
                      <w:rFonts w:ascii="Lucida Sans"/>
                      <w:color w:val="0079C1"/>
                      <w:w w:val="107"/>
                      <w:sz w:val="17"/>
                    </w:rPr>
                    <w:t>F</w:t>
                  </w:r>
                  <w:r>
                    <w:rPr>
                      <w:rFonts w:ascii="Lucida Sans"/>
                      <w:color w:val="0079C1"/>
                      <w:sz w:val="17"/>
                    </w:rPr>
                    <w:t>  </w:t>
                  </w:r>
                  <w:r>
                    <w:rPr>
                      <w:rFonts w:ascii="Lucida Sans"/>
                      <w:color w:val="0079C1"/>
                      <w:spacing w:val="-12"/>
                      <w:sz w:val="17"/>
                    </w:rPr>
                    <w:t> </w:t>
                  </w:r>
                  <w:r>
                    <w:rPr>
                      <w:rFonts w:ascii="Times New Roman"/>
                      <w:b/>
                      <w:color w:val="FFFFFF"/>
                      <w:w w:val="108"/>
                      <w:position w:val="1"/>
                      <w:sz w:val="24"/>
                    </w:rPr>
                    <w:t>9</w:t>
                  </w:r>
                </w:p>
                <w:p>
                  <w:pPr>
                    <w:spacing w:line="197" w:lineRule="exact" w:before="0"/>
                    <w:ind w:left="20" w:right="-692" w:firstLine="0"/>
                    <w:jc w:val="left"/>
                    <w:rPr>
                      <w:rFonts w:ascii="Lucida Sans"/>
                      <w:sz w:val="17"/>
                    </w:rPr>
                  </w:pPr>
                  <w:r>
                    <w:rPr>
                      <w:rFonts w:ascii="Lucida Sans"/>
                      <w:color w:val="0079C1"/>
                      <w:spacing w:val="8"/>
                      <w:w w:val="105"/>
                      <w:sz w:val="17"/>
                    </w:rPr>
                    <w:t>FOODBORN</w:t>
                  </w:r>
                  <w:r>
                    <w:rPr>
                      <w:rFonts w:ascii="Lucida Sans"/>
                      <w:color w:val="0079C1"/>
                      <w:w w:val="105"/>
                      <w:sz w:val="17"/>
                    </w:rPr>
                    <w:t>E</w:t>
                  </w:r>
                  <w:r>
                    <w:rPr>
                      <w:rFonts w:ascii="Lucida Sans"/>
                      <w:color w:val="0079C1"/>
                      <w:spacing w:val="10"/>
                      <w:sz w:val="17"/>
                    </w:rPr>
                    <w:t> </w:t>
                  </w:r>
                  <w:r>
                    <w:rPr>
                      <w:rFonts w:ascii="Lucida Sans"/>
                      <w:color w:val="0079C1"/>
                      <w:spacing w:val="8"/>
                      <w:w w:val="104"/>
                      <w:sz w:val="17"/>
                    </w:rPr>
                    <w:t>DISEAS</w:t>
                  </w:r>
                  <w:r>
                    <w:rPr>
                      <w:rFonts w:ascii="Lucida Sans"/>
                      <w:color w:val="0079C1"/>
                      <w:w w:val="104"/>
                      <w:sz w:val="17"/>
                    </w:rPr>
                    <w:t>E</w:t>
                  </w:r>
                  <w:r>
                    <w:rPr>
                      <w:rFonts w:ascii="Lucida Sans"/>
                      <w:color w:val="0079C1"/>
                      <w:spacing w:val="10"/>
                      <w:sz w:val="17"/>
                    </w:rPr>
                    <w:t> </w:t>
                  </w:r>
                  <w:r>
                    <w:rPr>
                      <w:rFonts w:ascii="Lucida Sans"/>
                      <w:color w:val="0079C1"/>
                      <w:spacing w:val="8"/>
                      <w:w w:val="102"/>
                      <w:sz w:val="17"/>
                    </w:rPr>
                    <w:t>OUTBREAKS</w:t>
                  </w:r>
                </w:p>
              </w:txbxContent>
            </v:textbox>
            <w10:wrap type="none"/>
          </v:shape>
        </w:pict>
      </w:r>
      <w:r>
        <w:rPr>
          <w:color w:val="231F20"/>
          <w:w w:val="105"/>
        </w:rPr>
        <w:t>Because</w:t>
      </w:r>
      <w:r>
        <w:rPr>
          <w:color w:val="231F20"/>
          <w:spacing w:val="-10"/>
          <w:w w:val="105"/>
        </w:rPr>
        <w:t> </w:t>
      </w:r>
      <w:r>
        <w:rPr>
          <w:color w:val="231F20"/>
          <w:w w:val="105"/>
        </w:rPr>
        <w:t>of</w:t>
      </w:r>
      <w:r>
        <w:rPr>
          <w:color w:val="231F20"/>
          <w:spacing w:val="15"/>
          <w:w w:val="105"/>
        </w:rPr>
        <w:t> </w:t>
      </w:r>
      <w:r>
        <w:rPr>
          <w:color w:val="231F20"/>
          <w:w w:val="105"/>
        </w:rPr>
        <w:t>the</w:t>
      </w:r>
      <w:r>
        <w:rPr>
          <w:color w:val="231F20"/>
          <w:spacing w:val="-10"/>
          <w:w w:val="105"/>
        </w:rPr>
        <w:t> </w:t>
      </w:r>
      <w:r>
        <w:rPr>
          <w:color w:val="231F20"/>
          <w:w w:val="105"/>
        </w:rPr>
        <w:t>need</w:t>
      </w:r>
      <w:r>
        <w:rPr>
          <w:color w:val="231F20"/>
          <w:spacing w:val="-10"/>
          <w:w w:val="105"/>
        </w:rPr>
        <w:t> </w:t>
      </w:r>
      <w:r>
        <w:rPr>
          <w:color w:val="231F20"/>
          <w:w w:val="105"/>
        </w:rPr>
        <w:t>to</w:t>
      </w:r>
      <w:r>
        <w:rPr>
          <w:color w:val="231F20"/>
          <w:spacing w:val="-10"/>
          <w:w w:val="105"/>
        </w:rPr>
        <w:t> </w:t>
      </w:r>
      <w:r>
        <w:rPr>
          <w:color w:val="231F20"/>
          <w:w w:val="105"/>
        </w:rPr>
        <w:t>link</w:t>
      </w:r>
      <w:r>
        <w:rPr>
          <w:color w:val="231F20"/>
          <w:spacing w:val="-10"/>
          <w:w w:val="105"/>
        </w:rPr>
        <w:t> </w:t>
      </w:r>
      <w:r>
        <w:rPr>
          <w:color w:val="231F20"/>
          <w:w w:val="105"/>
        </w:rPr>
        <w:t>epidemiologic</w:t>
      </w:r>
      <w:r>
        <w:rPr>
          <w:color w:val="231F20"/>
          <w:spacing w:val="-10"/>
          <w:w w:val="105"/>
        </w:rPr>
        <w:t> </w:t>
      </w:r>
      <w:r>
        <w:rPr>
          <w:color w:val="231F20"/>
          <w:w w:val="105"/>
        </w:rPr>
        <w:t>data with product information to take actions that protect</w:t>
      </w:r>
      <w:r>
        <w:rPr>
          <w:color w:val="231F20"/>
          <w:spacing w:val="-10"/>
          <w:w w:val="105"/>
        </w:rPr>
        <w:t> </w:t>
      </w:r>
      <w:r>
        <w:rPr>
          <w:color w:val="231F20"/>
          <w:w w:val="105"/>
        </w:rPr>
        <w:t>the</w:t>
      </w:r>
      <w:r>
        <w:rPr>
          <w:color w:val="231F20"/>
          <w:spacing w:val="-10"/>
          <w:w w:val="105"/>
        </w:rPr>
        <w:t> </w:t>
      </w:r>
      <w:r>
        <w:rPr>
          <w:color w:val="231F20"/>
          <w:w w:val="105"/>
        </w:rPr>
        <w:t>public</w:t>
      </w:r>
      <w:r>
        <w:rPr>
          <w:color w:val="231F20"/>
          <w:spacing w:val="-10"/>
          <w:w w:val="105"/>
        </w:rPr>
        <w:t> </w:t>
      </w:r>
      <w:r>
        <w:rPr>
          <w:color w:val="231F20"/>
          <w:w w:val="105"/>
        </w:rPr>
        <w:t>health,</w:t>
      </w:r>
      <w:r>
        <w:rPr>
          <w:color w:val="231F20"/>
          <w:spacing w:val="-10"/>
          <w:w w:val="105"/>
        </w:rPr>
        <w:t> </w:t>
      </w:r>
      <w:r>
        <w:rPr>
          <w:color w:val="231F20"/>
          <w:w w:val="105"/>
        </w:rPr>
        <w:t>the</w:t>
      </w:r>
      <w:r>
        <w:rPr>
          <w:color w:val="231F20"/>
          <w:spacing w:val="-10"/>
          <w:w w:val="105"/>
        </w:rPr>
        <w:t> </w:t>
      </w:r>
      <w:r>
        <w:rPr>
          <w:color w:val="231F20"/>
          <w:w w:val="105"/>
        </w:rPr>
        <w:t>roles</w:t>
      </w:r>
      <w:r>
        <w:rPr>
          <w:color w:val="231F20"/>
          <w:spacing w:val="-10"/>
          <w:w w:val="105"/>
        </w:rPr>
        <w:t> </w:t>
      </w:r>
      <w:r>
        <w:rPr>
          <w:color w:val="231F20"/>
          <w:w w:val="105"/>
        </w:rPr>
        <w:t>of</w:t>
      </w:r>
      <w:r>
        <w:rPr>
          <w:color w:val="231F20"/>
          <w:spacing w:val="14"/>
          <w:w w:val="105"/>
        </w:rPr>
        <w:t> </w:t>
      </w:r>
      <w:r>
        <w:rPr>
          <w:color w:val="231F20"/>
          <w:w w:val="105"/>
        </w:rPr>
        <w:t>state</w:t>
      </w:r>
      <w:r>
        <w:rPr>
          <w:color w:val="231F20"/>
          <w:spacing w:val="-10"/>
          <w:w w:val="105"/>
        </w:rPr>
        <w:t> </w:t>
      </w:r>
      <w:r>
        <w:rPr>
          <w:color w:val="231F20"/>
          <w:w w:val="105"/>
        </w:rPr>
        <w:t>and local public health agencies and CDC must be coordinated</w:t>
      </w:r>
      <w:r>
        <w:rPr>
          <w:color w:val="231F20"/>
          <w:spacing w:val="-13"/>
          <w:w w:val="105"/>
        </w:rPr>
        <w:t> </w:t>
      </w:r>
      <w:r>
        <w:rPr>
          <w:color w:val="231F20"/>
          <w:w w:val="105"/>
        </w:rPr>
        <w:t>with</w:t>
      </w:r>
      <w:r>
        <w:rPr>
          <w:color w:val="231F20"/>
          <w:spacing w:val="-13"/>
          <w:w w:val="105"/>
        </w:rPr>
        <w:t> </w:t>
      </w:r>
      <w:r>
        <w:rPr>
          <w:color w:val="231F20"/>
          <w:w w:val="105"/>
        </w:rPr>
        <w:t>the</w:t>
      </w:r>
      <w:r>
        <w:rPr>
          <w:color w:val="231F20"/>
          <w:spacing w:val="-13"/>
          <w:w w:val="105"/>
        </w:rPr>
        <w:t> </w:t>
      </w:r>
      <w:r>
        <w:rPr>
          <w:color w:val="231F20"/>
          <w:w w:val="105"/>
        </w:rPr>
        <w:t>roles</w:t>
      </w:r>
      <w:r>
        <w:rPr>
          <w:color w:val="231F20"/>
          <w:spacing w:val="-13"/>
          <w:w w:val="105"/>
        </w:rPr>
        <w:t> </w:t>
      </w:r>
      <w:r>
        <w:rPr>
          <w:color w:val="231F20"/>
          <w:w w:val="105"/>
        </w:rPr>
        <w:t>of</w:t>
      </w:r>
      <w:r>
        <w:rPr>
          <w:color w:val="231F20"/>
          <w:spacing w:val="11"/>
          <w:w w:val="105"/>
        </w:rPr>
        <w:t> </w:t>
      </w:r>
      <w:r>
        <w:rPr>
          <w:color w:val="231F20"/>
          <w:w w:val="105"/>
        </w:rPr>
        <w:t>federal</w:t>
      </w:r>
      <w:r>
        <w:rPr>
          <w:color w:val="231F20"/>
          <w:spacing w:val="-13"/>
          <w:w w:val="105"/>
        </w:rPr>
        <w:t> </w:t>
      </w:r>
      <w:r>
        <w:rPr>
          <w:color w:val="231F20"/>
          <w:w w:val="105"/>
        </w:rPr>
        <w:t>regulatory agencies.</w:t>
      </w:r>
    </w:p>
    <w:p>
      <w:pPr>
        <w:pStyle w:val="ListParagraph"/>
        <w:numPr>
          <w:ilvl w:val="2"/>
          <w:numId w:val="16"/>
        </w:numPr>
        <w:tabs>
          <w:tab w:pos="1996" w:val="left" w:leader="none"/>
        </w:tabs>
        <w:spacing w:line="261" w:lineRule="auto" w:before="164" w:after="0"/>
        <w:ind w:left="1440" w:right="212" w:firstLine="0"/>
        <w:jc w:val="left"/>
        <w:rPr>
          <w:rFonts w:ascii="Arial"/>
          <w:sz w:val="20"/>
        </w:rPr>
      </w:pPr>
      <w:r>
        <w:rPr/>
        <w:pict>
          <v:shape style="position:absolute;margin-left:11.4022pt;margin-top:4.341774pt;width:12.3pt;height:144.2pt;mso-position-horizontal-relative:page;mso-position-vertical-relative:paragraph;z-index:2464" type="#_x0000_t202" filled="false" stroked="false">
            <v:textbox inset="0,0,0,0" style="layout-flow:vertical;mso-layout-flow-alt:bottom-to-top">
              <w:txbxContent>
                <w:p>
                  <w:pPr>
                    <w:spacing w:before="12"/>
                    <w:ind w:left="20" w:right="-1140" w:firstLine="0"/>
                    <w:jc w:val="left"/>
                    <w:rPr>
                      <w:rFonts w:ascii="Lucida Sans"/>
                      <w:sz w:val="17"/>
                    </w:rPr>
                  </w:pPr>
                  <w:r>
                    <w:rPr>
                      <w:rFonts w:ascii="Lucida Sans"/>
                      <w:color w:val="0079C1"/>
                      <w:spacing w:val="8"/>
                      <w:w w:val="103"/>
                      <w:sz w:val="17"/>
                    </w:rPr>
                    <w:t>LEGA</w:t>
                  </w:r>
                  <w:r>
                    <w:rPr>
                      <w:rFonts w:ascii="Lucida Sans"/>
                      <w:color w:val="0079C1"/>
                      <w:w w:val="103"/>
                      <w:sz w:val="17"/>
                    </w:rPr>
                    <w:t>L</w:t>
                  </w:r>
                  <w:r>
                    <w:rPr>
                      <w:rFonts w:ascii="Lucida Sans"/>
                      <w:color w:val="0079C1"/>
                      <w:spacing w:val="10"/>
                      <w:sz w:val="17"/>
                    </w:rPr>
                    <w:t> </w:t>
                  </w:r>
                  <w:r>
                    <w:rPr>
                      <w:rFonts w:ascii="Lucida Sans"/>
                      <w:color w:val="0079C1"/>
                      <w:spacing w:val="8"/>
                      <w:w w:val="105"/>
                      <w:sz w:val="17"/>
                    </w:rPr>
                    <w:t>PRE</w:t>
                  </w:r>
                  <w:r>
                    <w:rPr>
                      <w:rFonts w:ascii="Lucida Sans"/>
                      <w:color w:val="0079C1"/>
                      <w:spacing w:val="-5"/>
                      <w:w w:val="105"/>
                      <w:sz w:val="17"/>
                    </w:rPr>
                    <w:t>P</w:t>
                  </w:r>
                  <w:r>
                    <w:rPr>
                      <w:rFonts w:ascii="Lucida Sans"/>
                      <w:color w:val="0079C1"/>
                      <w:spacing w:val="8"/>
                      <w:w w:val="104"/>
                      <w:sz w:val="17"/>
                    </w:rPr>
                    <w:t>AREDNES</w:t>
                  </w:r>
                  <w:r>
                    <w:rPr>
                      <w:rFonts w:ascii="Lucida Sans"/>
                      <w:color w:val="0079C1"/>
                      <w:w w:val="104"/>
                      <w:sz w:val="17"/>
                    </w:rPr>
                    <w:t>S</w:t>
                  </w:r>
                  <w:r>
                    <w:rPr>
                      <w:rFonts w:ascii="Lucida Sans"/>
                      <w:color w:val="0079C1"/>
                      <w:spacing w:val="10"/>
                      <w:sz w:val="17"/>
                    </w:rPr>
                    <w:t> </w:t>
                  </w:r>
                  <w:r>
                    <w:rPr>
                      <w:rFonts w:ascii="Lucida Sans"/>
                      <w:color w:val="0079C1"/>
                      <w:spacing w:val="8"/>
                      <w:w w:val="103"/>
                      <w:sz w:val="17"/>
                    </w:rPr>
                    <w:t>FO</w:t>
                  </w:r>
                  <w:r>
                    <w:rPr>
                      <w:rFonts w:ascii="Lucida Sans"/>
                      <w:color w:val="0079C1"/>
                      <w:w w:val="103"/>
                      <w:sz w:val="17"/>
                    </w:rPr>
                    <w:t>R</w:t>
                  </w:r>
                  <w:r>
                    <w:rPr>
                      <w:rFonts w:ascii="Lucida Sans"/>
                      <w:color w:val="0079C1"/>
                      <w:spacing w:val="10"/>
                      <w:sz w:val="17"/>
                    </w:rPr>
                    <w:t> </w:t>
                  </w:r>
                  <w:r>
                    <w:rPr>
                      <w:rFonts w:ascii="Lucida Sans"/>
                      <w:color w:val="0079C1"/>
                      <w:spacing w:val="8"/>
                      <w:w w:val="100"/>
                      <w:sz w:val="17"/>
                    </w:rPr>
                    <w:t>THE</w:t>
                  </w:r>
                </w:p>
              </w:txbxContent>
            </v:textbox>
            <w10:wrap type="none"/>
          </v:shape>
        </w:pict>
      </w:r>
      <w:r>
        <w:rPr>
          <w:rFonts w:ascii="Arial"/>
          <w:color w:val="1C3E94"/>
          <w:sz w:val="20"/>
        </w:rPr>
        <w:t>Joint Investigation and Collection of Evidence in Criminal</w:t>
      </w:r>
      <w:r>
        <w:rPr>
          <w:rFonts w:ascii="Arial"/>
          <w:color w:val="1C3E94"/>
          <w:spacing w:val="3"/>
          <w:sz w:val="20"/>
        </w:rPr>
        <w:t> </w:t>
      </w:r>
      <w:r>
        <w:rPr>
          <w:rFonts w:ascii="Arial"/>
          <w:color w:val="1C3E94"/>
          <w:sz w:val="20"/>
        </w:rPr>
        <w:t>Prosecutions</w:t>
      </w:r>
    </w:p>
    <w:p>
      <w:pPr>
        <w:pStyle w:val="BodyText"/>
        <w:spacing w:line="266" w:lineRule="auto" w:before="194"/>
        <w:ind w:left="1440" w:right="26"/>
      </w:pPr>
      <w:r>
        <w:rPr>
          <w:color w:val="231F20"/>
          <w:w w:val="105"/>
        </w:rPr>
        <w:t>Some investigations are initiated by public health officials but widen to other interests and agencies when a public health event results from a potential criminal act. Joint investigation by regulatory and nonregulatory public health and law enforcement agencies may be hindered by the different legal powers and investigatory practices each agency brings</w:t>
      </w:r>
    </w:p>
    <w:p>
      <w:pPr>
        <w:pStyle w:val="BodyText"/>
        <w:spacing w:line="266" w:lineRule="auto" w:before="108"/>
        <w:ind w:left="319" w:right="965"/>
      </w:pPr>
      <w:r>
        <w:rPr/>
        <w:br w:type="column"/>
      </w:r>
      <w:r>
        <w:rPr>
          <w:color w:val="231F20"/>
          <w:w w:val="105"/>
        </w:rPr>
        <w:t>to</w:t>
      </w:r>
      <w:r>
        <w:rPr>
          <w:color w:val="231F20"/>
          <w:spacing w:val="-17"/>
          <w:w w:val="105"/>
        </w:rPr>
        <w:t> </w:t>
      </w:r>
      <w:r>
        <w:rPr>
          <w:color w:val="231F20"/>
          <w:w w:val="105"/>
        </w:rPr>
        <w:t>such</w:t>
      </w:r>
      <w:r>
        <w:rPr>
          <w:color w:val="231F20"/>
          <w:spacing w:val="-17"/>
          <w:w w:val="105"/>
        </w:rPr>
        <w:t> </w:t>
      </w:r>
      <w:r>
        <w:rPr>
          <w:color w:val="231F20"/>
          <w:w w:val="105"/>
        </w:rPr>
        <w:t>an</w:t>
      </w:r>
      <w:r>
        <w:rPr>
          <w:color w:val="231F20"/>
          <w:spacing w:val="-17"/>
          <w:w w:val="105"/>
        </w:rPr>
        <w:t> </w:t>
      </w:r>
      <w:r>
        <w:rPr>
          <w:color w:val="231F20"/>
          <w:w w:val="105"/>
        </w:rPr>
        <w:t>event.</w:t>
      </w:r>
      <w:r>
        <w:rPr>
          <w:color w:val="231F20"/>
          <w:spacing w:val="-17"/>
          <w:w w:val="105"/>
        </w:rPr>
        <w:t> </w:t>
      </w:r>
      <w:r>
        <w:rPr>
          <w:color w:val="231F20"/>
          <w:spacing w:val="-7"/>
          <w:w w:val="105"/>
        </w:rPr>
        <w:t>For</w:t>
      </w:r>
      <w:r>
        <w:rPr>
          <w:color w:val="231F20"/>
          <w:spacing w:val="-17"/>
          <w:w w:val="105"/>
        </w:rPr>
        <w:t> </w:t>
      </w:r>
      <w:r>
        <w:rPr>
          <w:color w:val="231F20"/>
          <w:w w:val="105"/>
        </w:rPr>
        <w:t>example,</w:t>
      </w:r>
      <w:r>
        <w:rPr>
          <w:color w:val="231F20"/>
          <w:spacing w:val="-17"/>
          <w:w w:val="105"/>
        </w:rPr>
        <w:t> </w:t>
      </w:r>
      <w:r>
        <w:rPr>
          <w:color w:val="231F20"/>
          <w:w w:val="105"/>
        </w:rPr>
        <w:t>officials</w:t>
      </w:r>
      <w:r>
        <w:rPr>
          <w:color w:val="231F20"/>
          <w:spacing w:val="-17"/>
          <w:w w:val="105"/>
        </w:rPr>
        <w:t> </w:t>
      </w:r>
      <w:r>
        <w:rPr>
          <w:color w:val="231F20"/>
          <w:w w:val="105"/>
        </w:rPr>
        <w:t>from regulatory and nonregulatory public health agencies are authorized to collect and test samples to determine their public health threat, whereas law enforcement officials can consider samples subject to seizure as evidence. Regulatory and nonregulatory public health and law enforcement officials all</w:t>
      </w:r>
      <w:r>
        <w:rPr>
          <w:color w:val="231F20"/>
          <w:spacing w:val="-18"/>
          <w:w w:val="105"/>
        </w:rPr>
        <w:t> </w:t>
      </w:r>
      <w:r>
        <w:rPr>
          <w:color w:val="231F20"/>
          <w:w w:val="105"/>
        </w:rPr>
        <w:t>must</w:t>
      </w:r>
      <w:r>
        <w:rPr>
          <w:color w:val="231F20"/>
          <w:spacing w:val="-18"/>
          <w:w w:val="105"/>
        </w:rPr>
        <w:t> </w:t>
      </w:r>
      <w:r>
        <w:rPr>
          <w:color w:val="231F20"/>
          <w:w w:val="105"/>
        </w:rPr>
        <w:t>conform</w:t>
      </w:r>
      <w:r>
        <w:rPr>
          <w:color w:val="231F20"/>
          <w:spacing w:val="-18"/>
          <w:w w:val="105"/>
        </w:rPr>
        <w:t> </w:t>
      </w:r>
      <w:r>
        <w:rPr>
          <w:color w:val="231F20"/>
          <w:w w:val="105"/>
        </w:rPr>
        <w:t>to</w:t>
      </w:r>
      <w:r>
        <w:rPr>
          <w:color w:val="231F20"/>
          <w:spacing w:val="-18"/>
          <w:w w:val="105"/>
        </w:rPr>
        <w:t> </w:t>
      </w:r>
      <w:r>
        <w:rPr>
          <w:color w:val="231F20"/>
          <w:w w:val="105"/>
        </w:rPr>
        <w:t>constitutional</w:t>
      </w:r>
      <w:r>
        <w:rPr>
          <w:color w:val="231F20"/>
          <w:spacing w:val="-18"/>
          <w:w w:val="105"/>
        </w:rPr>
        <w:t> </w:t>
      </w:r>
      <w:r>
        <w:rPr>
          <w:color w:val="231F20"/>
          <w:w w:val="105"/>
        </w:rPr>
        <w:t>standards </w:t>
      </w:r>
      <w:r>
        <w:rPr>
          <w:color w:val="231F20"/>
          <w:spacing w:val="-4"/>
          <w:w w:val="105"/>
        </w:rPr>
        <w:t>(e.g.,</w:t>
      </w:r>
      <w:r>
        <w:rPr>
          <w:color w:val="231F20"/>
          <w:spacing w:val="-16"/>
          <w:w w:val="105"/>
        </w:rPr>
        <w:t> </w:t>
      </w:r>
      <w:r>
        <w:rPr>
          <w:color w:val="231F20"/>
          <w:spacing w:val="-4"/>
          <w:w w:val="105"/>
        </w:rPr>
        <w:t>Fourth</w:t>
      </w:r>
      <w:r>
        <w:rPr>
          <w:color w:val="231F20"/>
          <w:spacing w:val="-16"/>
          <w:w w:val="105"/>
        </w:rPr>
        <w:t> </w:t>
      </w:r>
      <w:r>
        <w:rPr>
          <w:color w:val="231F20"/>
          <w:w w:val="105"/>
        </w:rPr>
        <w:t>and</w:t>
      </w:r>
      <w:r>
        <w:rPr>
          <w:color w:val="231F20"/>
          <w:spacing w:val="-16"/>
          <w:w w:val="105"/>
        </w:rPr>
        <w:t> </w:t>
      </w:r>
      <w:r>
        <w:rPr>
          <w:color w:val="231F20"/>
          <w:w w:val="105"/>
        </w:rPr>
        <w:t>Fifth</w:t>
      </w:r>
      <w:r>
        <w:rPr>
          <w:color w:val="231F20"/>
          <w:spacing w:val="-16"/>
          <w:w w:val="105"/>
        </w:rPr>
        <w:t> </w:t>
      </w:r>
      <w:r>
        <w:rPr>
          <w:color w:val="231F20"/>
          <w:w w:val="105"/>
        </w:rPr>
        <w:t>Amendments)</w:t>
      </w:r>
      <w:r>
        <w:rPr>
          <w:color w:val="231F20"/>
          <w:spacing w:val="-16"/>
          <w:w w:val="105"/>
        </w:rPr>
        <w:t> </w:t>
      </w:r>
      <w:r>
        <w:rPr>
          <w:color w:val="231F20"/>
          <w:w w:val="105"/>
        </w:rPr>
        <w:t>about</w:t>
      </w:r>
    </w:p>
    <w:p>
      <w:pPr>
        <w:pStyle w:val="BodyText"/>
        <w:spacing w:line="266" w:lineRule="auto"/>
        <w:ind w:left="319" w:right="806"/>
      </w:pPr>
      <w:r>
        <w:rPr>
          <w:color w:val="231F20"/>
          <w:w w:val="105"/>
        </w:rPr>
        <w:t>collection of evidence, especially in situations requiring a joint investigation by regulatory and nonregulatory public health and law </w:t>
      </w:r>
      <w:r>
        <w:rPr>
          <w:color w:val="231F20"/>
        </w:rPr>
        <w:t>enforcement agencies.</w:t>
      </w:r>
    </w:p>
    <w:p>
      <w:pPr>
        <w:pStyle w:val="BodyText"/>
        <w:spacing w:line="266" w:lineRule="auto" w:before="180"/>
        <w:ind w:left="319" w:right="803"/>
        <w:rPr>
          <w:sz w:val="11"/>
        </w:rPr>
      </w:pPr>
      <w:r>
        <w:rPr>
          <w:color w:val="231F20"/>
          <w:w w:val="105"/>
        </w:rPr>
        <w:t>Laboratory specimens must be collected and submitted using procedures that ensure the chain-of-custody of the specimen, defined by one author as follows: “Everyone handling the sample [or specimen] must be able to demonstrate it is, and has been, identified as coming from the person [or item] in question to be admissible and probative in court.”</w:t>
      </w:r>
      <w:r>
        <w:rPr>
          <w:color w:val="231F20"/>
          <w:w w:val="105"/>
          <w:position w:val="7"/>
          <w:sz w:val="11"/>
        </w:rPr>
        <w:t>4</w:t>
      </w:r>
    </w:p>
    <w:p>
      <w:pPr>
        <w:pStyle w:val="BodyText"/>
        <w:spacing w:line="266" w:lineRule="auto" w:before="180"/>
        <w:ind w:left="319" w:right="732"/>
        <w:jc w:val="both"/>
      </w:pPr>
      <w:r>
        <w:rPr/>
        <w:pict>
          <v:line style="position:absolute;mso-position-horizontal-relative:page;mso-position-vertical-relative:paragraph;z-index:2392" from="72pt,63.051064pt" to="504pt,63.051064pt" stroked="true" strokeweight="1pt" strokecolor="#00a94f">
            <v:stroke dashstyle="solid"/>
            <w10:wrap type="none"/>
          </v:line>
        </w:pict>
      </w:r>
      <w:r>
        <w:rPr>
          <w:color w:val="231F20"/>
          <w:w w:val="105"/>
        </w:rPr>
        <w:t>State</w:t>
      </w:r>
      <w:r>
        <w:rPr>
          <w:color w:val="231F20"/>
          <w:spacing w:val="-8"/>
          <w:w w:val="105"/>
        </w:rPr>
        <w:t> </w:t>
      </w:r>
      <w:r>
        <w:rPr>
          <w:color w:val="231F20"/>
          <w:w w:val="105"/>
        </w:rPr>
        <w:t>and</w:t>
      </w:r>
      <w:r>
        <w:rPr>
          <w:color w:val="231F20"/>
          <w:spacing w:val="-8"/>
          <w:w w:val="105"/>
        </w:rPr>
        <w:t> </w:t>
      </w:r>
      <w:r>
        <w:rPr>
          <w:color w:val="231F20"/>
          <w:w w:val="105"/>
        </w:rPr>
        <w:t>local</w:t>
      </w:r>
      <w:r>
        <w:rPr>
          <w:color w:val="231F20"/>
          <w:spacing w:val="-8"/>
          <w:w w:val="105"/>
        </w:rPr>
        <w:t> </w:t>
      </w:r>
      <w:r>
        <w:rPr>
          <w:color w:val="231F20"/>
          <w:w w:val="105"/>
        </w:rPr>
        <w:t>health</w:t>
      </w:r>
      <w:r>
        <w:rPr>
          <w:color w:val="231F20"/>
          <w:spacing w:val="-8"/>
          <w:w w:val="105"/>
        </w:rPr>
        <w:t> </w:t>
      </w:r>
      <w:r>
        <w:rPr>
          <w:color w:val="231F20"/>
          <w:w w:val="105"/>
        </w:rPr>
        <w:t>officials,</w:t>
      </w:r>
      <w:r>
        <w:rPr>
          <w:color w:val="231F20"/>
          <w:spacing w:val="-8"/>
          <w:w w:val="105"/>
        </w:rPr>
        <w:t> </w:t>
      </w:r>
      <w:r>
        <w:rPr>
          <w:color w:val="231F20"/>
          <w:w w:val="105"/>
        </w:rPr>
        <w:t>in</w:t>
      </w:r>
      <w:r>
        <w:rPr>
          <w:color w:val="231F20"/>
          <w:spacing w:val="-8"/>
          <w:w w:val="105"/>
        </w:rPr>
        <w:t> </w:t>
      </w:r>
      <w:r>
        <w:rPr>
          <w:color w:val="231F20"/>
          <w:w w:val="105"/>
        </w:rPr>
        <w:t>collaboration with</w:t>
      </w:r>
      <w:r>
        <w:rPr>
          <w:color w:val="231F20"/>
          <w:spacing w:val="-12"/>
          <w:w w:val="105"/>
        </w:rPr>
        <w:t> </w:t>
      </w:r>
      <w:r>
        <w:rPr>
          <w:color w:val="231F20"/>
          <w:w w:val="105"/>
        </w:rPr>
        <w:t>counterparts</w:t>
      </w:r>
      <w:r>
        <w:rPr>
          <w:color w:val="231F20"/>
          <w:spacing w:val="-12"/>
          <w:w w:val="105"/>
        </w:rPr>
        <w:t> </w:t>
      </w:r>
      <w:r>
        <w:rPr>
          <w:color w:val="231F20"/>
          <w:w w:val="105"/>
        </w:rPr>
        <w:t>in</w:t>
      </w:r>
      <w:r>
        <w:rPr>
          <w:color w:val="231F20"/>
          <w:spacing w:val="-12"/>
          <w:w w:val="105"/>
        </w:rPr>
        <w:t> </w:t>
      </w:r>
      <w:r>
        <w:rPr>
          <w:color w:val="231F20"/>
          <w:w w:val="105"/>
        </w:rPr>
        <w:t>law</w:t>
      </w:r>
      <w:r>
        <w:rPr>
          <w:color w:val="231F20"/>
          <w:spacing w:val="-12"/>
          <w:w w:val="105"/>
        </w:rPr>
        <w:t> </w:t>
      </w:r>
      <w:r>
        <w:rPr>
          <w:color w:val="231F20"/>
          <w:w w:val="105"/>
        </w:rPr>
        <w:t>enforcement</w:t>
      </w:r>
      <w:r>
        <w:rPr>
          <w:color w:val="231F20"/>
          <w:spacing w:val="-12"/>
          <w:w w:val="105"/>
        </w:rPr>
        <w:t> </w:t>
      </w:r>
      <w:r>
        <w:rPr>
          <w:color w:val="231F20"/>
          <w:w w:val="105"/>
        </w:rPr>
        <w:t>agencies, should</w:t>
      </w:r>
      <w:r>
        <w:rPr>
          <w:color w:val="231F20"/>
          <w:spacing w:val="-17"/>
          <w:w w:val="105"/>
        </w:rPr>
        <w:t> </w:t>
      </w:r>
      <w:r>
        <w:rPr>
          <w:color w:val="231F20"/>
          <w:w w:val="105"/>
        </w:rPr>
        <w:t>periodically</w:t>
      </w:r>
      <w:r>
        <w:rPr>
          <w:color w:val="231F20"/>
          <w:spacing w:val="-17"/>
          <w:w w:val="105"/>
        </w:rPr>
        <w:t> </w:t>
      </w:r>
      <w:r>
        <w:rPr>
          <w:color w:val="231F20"/>
          <w:w w:val="105"/>
        </w:rPr>
        <w:t>assess</w:t>
      </w:r>
      <w:r>
        <w:rPr>
          <w:color w:val="231F20"/>
          <w:spacing w:val="-17"/>
          <w:w w:val="105"/>
        </w:rPr>
        <w:t> </w:t>
      </w:r>
      <w:r>
        <w:rPr>
          <w:color w:val="231F20"/>
          <w:w w:val="105"/>
        </w:rPr>
        <w:t>the</w:t>
      </w:r>
      <w:r>
        <w:rPr>
          <w:color w:val="231F20"/>
          <w:spacing w:val="-17"/>
          <w:w w:val="105"/>
        </w:rPr>
        <w:t> </w:t>
      </w:r>
      <w:r>
        <w:rPr>
          <w:color w:val="231F20"/>
          <w:w w:val="105"/>
        </w:rPr>
        <w:t>need</w:t>
      </w:r>
      <w:r>
        <w:rPr>
          <w:color w:val="231F20"/>
          <w:spacing w:val="-17"/>
          <w:w w:val="105"/>
        </w:rPr>
        <w:t> </w:t>
      </w:r>
      <w:r>
        <w:rPr>
          <w:color w:val="231F20"/>
          <w:w w:val="105"/>
        </w:rPr>
        <w:t>for</w:t>
      </w:r>
    </w:p>
    <w:p>
      <w:pPr>
        <w:spacing w:after="0" w:line="266" w:lineRule="auto"/>
        <w:jc w:val="both"/>
        <w:sectPr>
          <w:type w:val="continuous"/>
          <w:pgSz w:w="10080" w:h="14400"/>
          <w:pgMar w:top="0" w:bottom="0" w:left="0" w:right="0"/>
          <w:cols w:num="2" w:equalWidth="0">
            <w:col w:w="5221" w:space="40"/>
            <w:col w:w="4819"/>
          </w:cols>
        </w:sectPr>
      </w:pPr>
    </w:p>
    <w:p>
      <w:pPr>
        <w:pStyle w:val="BodyText"/>
        <w:spacing w:before="8"/>
        <w:rPr>
          <w:sz w:val="26"/>
        </w:rPr>
      </w:pPr>
    </w:p>
    <w:p>
      <w:pPr>
        <w:pStyle w:val="Heading1"/>
        <w:numPr>
          <w:ilvl w:val="1"/>
          <w:numId w:val="18"/>
        </w:numPr>
        <w:tabs>
          <w:tab w:pos="1265" w:val="left" w:leader="none"/>
        </w:tabs>
        <w:spacing w:line="249" w:lineRule="auto" w:before="97" w:after="0"/>
        <w:ind w:left="1264" w:right="1934" w:hanging="544"/>
        <w:jc w:val="left"/>
      </w:pPr>
      <w:r>
        <w:rPr/>
        <w:pict>
          <v:line style="position:absolute;mso-position-horizontal-relative:page;mso-position-vertical-relative:paragraph;z-index:2512;mso-wrap-distance-left:0;mso-wrap-distance-right:0" from="36pt,40.791943pt" to="432pt,40.791943pt" stroked="true" strokeweight=".5pt" strokecolor="#00a94f">
            <v:stroke dashstyle="solid"/>
            <w10:wrap type="topAndBottom"/>
          </v:line>
        </w:pict>
      </w:r>
      <w:r>
        <w:rPr>
          <w:color w:val="00A94F"/>
        </w:rPr>
        <w:t>Public Health Investigations as the Basis for Regulatory Actions or Criminal</w:t>
      </w:r>
      <w:r>
        <w:rPr>
          <w:color w:val="00A94F"/>
          <w:spacing w:val="46"/>
        </w:rPr>
        <w:t> </w:t>
      </w:r>
      <w:r>
        <w:rPr>
          <w:color w:val="00A94F"/>
        </w:rPr>
        <w:t>Prosecution</w:t>
      </w:r>
    </w:p>
    <w:p>
      <w:pPr>
        <w:pStyle w:val="BodyText"/>
        <w:spacing w:before="1"/>
        <w:rPr>
          <w:rFonts w:ascii="Arial"/>
        </w:rPr>
      </w:pPr>
    </w:p>
    <w:p>
      <w:pPr>
        <w:spacing w:after="0"/>
        <w:rPr>
          <w:rFonts w:ascii="Arial"/>
        </w:rPr>
        <w:sectPr>
          <w:pgSz w:w="10080" w:h="14400"/>
          <w:pgMar w:header="0" w:footer="0" w:top="980" w:bottom="0" w:left="0" w:right="0"/>
        </w:sectPr>
      </w:pPr>
    </w:p>
    <w:p>
      <w:pPr>
        <w:pStyle w:val="BodyText"/>
        <w:spacing w:line="266" w:lineRule="auto" w:before="108"/>
        <w:ind w:left="720" w:right="-18"/>
      </w:pPr>
      <w:r>
        <w:rPr>
          <w:color w:val="231F20"/>
          <w:w w:val="105"/>
        </w:rPr>
        <w:t>memoranda of understanding to clarify</w:t>
      </w:r>
      <w:r>
        <w:rPr>
          <w:color w:val="231F20"/>
          <w:spacing w:val="-11"/>
          <w:w w:val="105"/>
        </w:rPr>
        <w:t> </w:t>
      </w:r>
      <w:r>
        <w:rPr>
          <w:color w:val="231F20"/>
          <w:w w:val="105"/>
        </w:rPr>
        <w:t>the roles</w:t>
      </w:r>
      <w:r>
        <w:rPr>
          <w:color w:val="231F20"/>
          <w:spacing w:val="-12"/>
          <w:w w:val="105"/>
        </w:rPr>
        <w:t> </w:t>
      </w:r>
      <w:r>
        <w:rPr>
          <w:color w:val="231F20"/>
          <w:w w:val="105"/>
        </w:rPr>
        <w:t>of</w:t>
      </w:r>
      <w:r>
        <w:rPr>
          <w:color w:val="231F20"/>
          <w:spacing w:val="11"/>
          <w:w w:val="105"/>
        </w:rPr>
        <w:t> </w:t>
      </w:r>
      <w:r>
        <w:rPr>
          <w:color w:val="231F20"/>
          <w:w w:val="105"/>
        </w:rPr>
        <w:t>public</w:t>
      </w:r>
      <w:r>
        <w:rPr>
          <w:color w:val="231F20"/>
          <w:spacing w:val="-12"/>
          <w:w w:val="105"/>
        </w:rPr>
        <w:t> </w:t>
      </w:r>
      <w:r>
        <w:rPr>
          <w:color w:val="231F20"/>
          <w:w w:val="105"/>
        </w:rPr>
        <w:t>health</w:t>
      </w:r>
      <w:r>
        <w:rPr>
          <w:color w:val="231F20"/>
          <w:spacing w:val="-12"/>
          <w:w w:val="105"/>
        </w:rPr>
        <w:t> </w:t>
      </w:r>
      <w:r>
        <w:rPr>
          <w:color w:val="231F20"/>
          <w:w w:val="105"/>
        </w:rPr>
        <w:t>and</w:t>
      </w:r>
      <w:r>
        <w:rPr>
          <w:color w:val="231F20"/>
          <w:spacing w:val="-12"/>
          <w:w w:val="105"/>
        </w:rPr>
        <w:t> </w:t>
      </w:r>
      <w:r>
        <w:rPr>
          <w:color w:val="231F20"/>
          <w:w w:val="105"/>
        </w:rPr>
        <w:t>law</w:t>
      </w:r>
      <w:r>
        <w:rPr>
          <w:color w:val="231F20"/>
          <w:spacing w:val="-12"/>
          <w:w w:val="105"/>
        </w:rPr>
        <w:t> </w:t>
      </w:r>
      <w:r>
        <w:rPr>
          <w:color w:val="231F20"/>
          <w:w w:val="105"/>
        </w:rPr>
        <w:t>enforcement agencies in conducting joint investigations. State and local health and law</w:t>
      </w:r>
      <w:r>
        <w:rPr>
          <w:color w:val="231F20"/>
          <w:spacing w:val="-22"/>
          <w:w w:val="105"/>
        </w:rPr>
        <w:t> </w:t>
      </w:r>
      <w:r>
        <w:rPr>
          <w:color w:val="231F20"/>
          <w:w w:val="105"/>
        </w:rPr>
        <w:t>enforcement officials who </w:t>
      </w:r>
      <w:r>
        <w:rPr>
          <w:color w:val="231F20"/>
          <w:spacing w:val="-3"/>
          <w:w w:val="105"/>
        </w:rPr>
        <w:t>have </w:t>
      </w:r>
      <w:r>
        <w:rPr>
          <w:color w:val="231F20"/>
          <w:w w:val="105"/>
        </w:rPr>
        <w:t>roles in investigating foodborne</w:t>
      </w:r>
      <w:r>
        <w:rPr>
          <w:color w:val="231F20"/>
          <w:spacing w:val="-30"/>
          <w:w w:val="105"/>
        </w:rPr>
        <w:t> </w:t>
      </w:r>
      <w:r>
        <w:rPr>
          <w:color w:val="231F20"/>
          <w:w w:val="105"/>
        </w:rPr>
        <w:t>disease</w:t>
      </w:r>
      <w:r>
        <w:rPr>
          <w:color w:val="231F20"/>
          <w:spacing w:val="-30"/>
          <w:w w:val="105"/>
        </w:rPr>
        <w:t> </w:t>
      </w:r>
      <w:r>
        <w:rPr>
          <w:color w:val="231F20"/>
          <w:w w:val="105"/>
        </w:rPr>
        <w:t>outbreaks</w:t>
      </w:r>
      <w:r>
        <w:rPr>
          <w:color w:val="231F20"/>
          <w:spacing w:val="-30"/>
          <w:w w:val="105"/>
        </w:rPr>
        <w:t> </w:t>
      </w:r>
      <w:r>
        <w:rPr>
          <w:color w:val="231F20"/>
          <w:w w:val="105"/>
        </w:rPr>
        <w:t>should</w:t>
      </w:r>
    </w:p>
    <w:p>
      <w:pPr>
        <w:pStyle w:val="BodyText"/>
        <w:spacing w:line="266" w:lineRule="auto" w:before="108"/>
        <w:ind w:left="624" w:right="1220"/>
        <w:rPr>
          <w:sz w:val="11"/>
        </w:rPr>
      </w:pPr>
      <w:r>
        <w:rPr/>
        <w:br w:type="column"/>
      </w:r>
      <w:r>
        <w:rPr>
          <w:color w:val="231F20"/>
          <w:w w:val="105"/>
        </w:rPr>
        <w:t>understand, and demonstrate competence in applying, their legal authorities in conducting joint investigations. Valuable resources for improving competency in joint investigations include CDC training curricula</w:t>
      </w:r>
      <w:r>
        <w:rPr>
          <w:color w:val="231F20"/>
          <w:w w:val="105"/>
          <w:position w:val="7"/>
          <w:sz w:val="11"/>
        </w:rPr>
        <w:t>5 </w:t>
      </w:r>
      <w:r>
        <w:rPr>
          <w:color w:val="231F20"/>
          <w:w w:val="105"/>
        </w:rPr>
        <w:t>and sample memoranda of understanding.</w:t>
      </w:r>
      <w:r>
        <w:rPr>
          <w:color w:val="231F20"/>
          <w:w w:val="105"/>
          <w:position w:val="7"/>
          <w:sz w:val="11"/>
        </w:rPr>
        <w:t>6</w:t>
      </w:r>
    </w:p>
    <w:p>
      <w:pPr>
        <w:spacing w:after="0" w:line="266" w:lineRule="auto"/>
        <w:rPr>
          <w:sz w:val="11"/>
        </w:rPr>
        <w:sectPr>
          <w:type w:val="continuous"/>
          <w:pgSz w:w="10080" w:h="14400"/>
          <w:pgMar w:top="0" w:bottom="0" w:left="0" w:right="0"/>
          <w:cols w:num="2" w:equalWidth="0">
            <w:col w:w="4196" w:space="40"/>
            <w:col w:w="5844"/>
          </w:cols>
        </w:sectPr>
      </w:pPr>
    </w:p>
    <w:p>
      <w:pPr>
        <w:pStyle w:val="BodyText"/>
        <w:spacing w:before="6"/>
        <w:rPr>
          <w:sz w:val="22"/>
        </w:rPr>
      </w:pPr>
    </w:p>
    <w:p>
      <w:pPr>
        <w:pStyle w:val="Heading1"/>
        <w:numPr>
          <w:ilvl w:val="1"/>
          <w:numId w:val="18"/>
        </w:numPr>
        <w:tabs>
          <w:tab w:pos="1265" w:val="left" w:leader="none"/>
        </w:tabs>
        <w:spacing w:line="240" w:lineRule="auto" w:before="97" w:after="0"/>
        <w:ind w:left="1264" w:right="0" w:hanging="544"/>
        <w:jc w:val="left"/>
      </w:pPr>
      <w:r>
        <w:rPr/>
        <w:pict>
          <v:line style="position:absolute;mso-position-horizontal-relative:page;mso-position-vertical-relative:paragraph;z-index:2536;mso-wrap-distance-left:0;mso-wrap-distance-right:0" from="36pt,23.991838pt" to="432pt,23.991838pt" stroked="true" strokeweight=".5pt" strokecolor="#00a94f">
            <v:stroke dashstyle="solid"/>
            <w10:wrap type="topAndBottom"/>
          </v:line>
        </w:pict>
      </w:r>
      <w:r>
        <w:rPr>
          <w:color w:val="00A94F"/>
        </w:rPr>
        <w:t>CIFOR</w:t>
      </w:r>
      <w:r>
        <w:rPr>
          <w:color w:val="00A94F"/>
          <w:spacing w:val="-52"/>
        </w:rPr>
        <w:t> </w:t>
      </w:r>
      <w:r>
        <w:rPr>
          <w:color w:val="00A94F"/>
        </w:rPr>
        <w:t>Legal</w:t>
      </w:r>
      <w:r>
        <w:rPr>
          <w:color w:val="00A94F"/>
          <w:spacing w:val="-52"/>
        </w:rPr>
        <w:t> </w:t>
      </w:r>
      <w:r>
        <w:rPr>
          <w:color w:val="00A94F"/>
        </w:rPr>
        <w:t>Preparedness</w:t>
      </w:r>
      <w:r>
        <w:rPr>
          <w:color w:val="00A94F"/>
          <w:spacing w:val="-52"/>
        </w:rPr>
        <w:t> </w:t>
      </w:r>
      <w:r>
        <w:rPr>
          <w:color w:val="00A94F"/>
        </w:rPr>
        <w:t>Resources</w:t>
      </w:r>
    </w:p>
    <w:p>
      <w:pPr>
        <w:pStyle w:val="BodyText"/>
        <w:spacing w:before="8"/>
        <w:rPr>
          <w:rFonts w:ascii="Arial"/>
          <w:sz w:val="13"/>
        </w:rPr>
      </w:pPr>
    </w:p>
    <w:p>
      <w:pPr>
        <w:spacing w:after="0"/>
        <w:rPr>
          <w:rFonts w:ascii="Arial"/>
          <w:sz w:val="13"/>
        </w:rPr>
        <w:sectPr>
          <w:type w:val="continuous"/>
          <w:pgSz w:w="10080" w:h="14400"/>
          <w:pgMar w:top="0" w:bottom="0" w:left="0" w:right="0"/>
        </w:sectPr>
      </w:pPr>
    </w:p>
    <w:p>
      <w:pPr>
        <w:pStyle w:val="BodyText"/>
        <w:spacing w:line="266" w:lineRule="auto" w:before="108"/>
        <w:ind w:left="720" w:right="124"/>
      </w:pPr>
      <w:r>
        <w:rPr>
          <w:color w:val="231F20"/>
          <w:w w:val="105"/>
        </w:rPr>
        <w:t>CIFOR has created several resource documents to further assist state and local public health agencies in improving their legal</w:t>
      </w:r>
      <w:r>
        <w:rPr>
          <w:color w:val="231F20"/>
          <w:spacing w:val="-15"/>
          <w:w w:val="105"/>
        </w:rPr>
        <w:t> </w:t>
      </w:r>
      <w:r>
        <w:rPr>
          <w:color w:val="231F20"/>
          <w:w w:val="105"/>
        </w:rPr>
        <w:t>preparedness</w:t>
      </w:r>
      <w:r>
        <w:rPr>
          <w:color w:val="231F20"/>
          <w:spacing w:val="-15"/>
          <w:w w:val="105"/>
        </w:rPr>
        <w:t> </w:t>
      </w:r>
      <w:r>
        <w:rPr>
          <w:color w:val="231F20"/>
          <w:w w:val="105"/>
        </w:rPr>
        <w:t>to</w:t>
      </w:r>
      <w:r>
        <w:rPr>
          <w:color w:val="231F20"/>
          <w:spacing w:val="-15"/>
          <w:w w:val="105"/>
        </w:rPr>
        <w:t> </w:t>
      </w:r>
      <w:r>
        <w:rPr>
          <w:color w:val="231F20"/>
          <w:w w:val="105"/>
        </w:rPr>
        <w:t>conduct</w:t>
      </w:r>
      <w:r>
        <w:rPr>
          <w:color w:val="231F20"/>
          <w:spacing w:val="-15"/>
          <w:w w:val="105"/>
        </w:rPr>
        <w:t> </w:t>
      </w:r>
      <w:r>
        <w:rPr>
          <w:color w:val="231F20"/>
          <w:w w:val="105"/>
        </w:rPr>
        <w:t>surveillance</w:t>
      </w:r>
      <w:r>
        <w:rPr>
          <w:color w:val="231F20"/>
          <w:spacing w:val="-15"/>
          <w:w w:val="105"/>
        </w:rPr>
        <w:t> </w:t>
      </w:r>
      <w:r>
        <w:rPr>
          <w:color w:val="231F20"/>
          <w:w w:val="105"/>
        </w:rPr>
        <w:t>for foodborne</w:t>
      </w:r>
      <w:r>
        <w:rPr>
          <w:color w:val="231F20"/>
          <w:spacing w:val="-19"/>
          <w:w w:val="105"/>
        </w:rPr>
        <w:t> </w:t>
      </w:r>
      <w:r>
        <w:rPr>
          <w:color w:val="231F20"/>
          <w:w w:val="105"/>
        </w:rPr>
        <w:t>diseases</w:t>
      </w:r>
      <w:r>
        <w:rPr>
          <w:color w:val="231F20"/>
          <w:spacing w:val="-19"/>
          <w:w w:val="105"/>
        </w:rPr>
        <w:t> </w:t>
      </w:r>
      <w:r>
        <w:rPr>
          <w:color w:val="231F20"/>
          <w:w w:val="105"/>
        </w:rPr>
        <w:t>and</w:t>
      </w:r>
      <w:r>
        <w:rPr>
          <w:color w:val="231F20"/>
          <w:spacing w:val="-19"/>
          <w:w w:val="105"/>
        </w:rPr>
        <w:t> </w:t>
      </w:r>
      <w:r>
        <w:rPr>
          <w:color w:val="231F20"/>
          <w:w w:val="105"/>
        </w:rPr>
        <w:t>respond</w:t>
      </w:r>
      <w:r>
        <w:rPr>
          <w:color w:val="231F20"/>
          <w:spacing w:val="-19"/>
          <w:w w:val="105"/>
        </w:rPr>
        <w:t> </w:t>
      </w:r>
      <w:r>
        <w:rPr>
          <w:color w:val="231F20"/>
          <w:w w:val="105"/>
        </w:rPr>
        <w:t>to</w:t>
      </w:r>
      <w:r>
        <w:rPr>
          <w:color w:val="231F20"/>
          <w:spacing w:val="-19"/>
          <w:w w:val="105"/>
        </w:rPr>
        <w:t> </w:t>
      </w:r>
      <w:r>
        <w:rPr>
          <w:color w:val="231F20"/>
          <w:w w:val="105"/>
        </w:rPr>
        <w:t>outbreaks within their jurisdictions and across multiple states</w:t>
      </w:r>
      <w:r>
        <w:rPr>
          <w:color w:val="231F20"/>
          <w:spacing w:val="-11"/>
          <w:w w:val="105"/>
        </w:rPr>
        <w:t> </w:t>
      </w:r>
      <w:r>
        <w:rPr>
          <w:color w:val="231F20"/>
          <w:w w:val="105"/>
        </w:rPr>
        <w:t>and</w:t>
      </w:r>
      <w:r>
        <w:rPr>
          <w:color w:val="231F20"/>
          <w:spacing w:val="-11"/>
          <w:w w:val="105"/>
        </w:rPr>
        <w:t> </w:t>
      </w:r>
      <w:r>
        <w:rPr>
          <w:color w:val="231F20"/>
          <w:w w:val="105"/>
        </w:rPr>
        <w:t>other</w:t>
      </w:r>
      <w:r>
        <w:rPr>
          <w:color w:val="231F20"/>
          <w:spacing w:val="-11"/>
          <w:w w:val="105"/>
        </w:rPr>
        <w:t> </w:t>
      </w:r>
      <w:r>
        <w:rPr>
          <w:color w:val="231F20"/>
          <w:w w:val="105"/>
        </w:rPr>
        <w:t>jurisdictional</w:t>
      </w:r>
      <w:r>
        <w:rPr>
          <w:color w:val="231F20"/>
          <w:spacing w:val="-11"/>
          <w:w w:val="105"/>
        </w:rPr>
        <w:t> </w:t>
      </w:r>
      <w:r>
        <w:rPr>
          <w:color w:val="231F20"/>
          <w:w w:val="105"/>
        </w:rPr>
        <w:t>boundaries.</w:t>
      </w:r>
    </w:p>
    <w:p>
      <w:pPr>
        <w:pStyle w:val="BodyText"/>
        <w:spacing w:line="266" w:lineRule="auto"/>
        <w:ind w:left="720" w:right="176"/>
      </w:pPr>
      <w:r>
        <w:rPr>
          <w:color w:val="231F20"/>
          <w:w w:val="105"/>
        </w:rPr>
        <w:t>The CIFOR law project has the following three components, each designed to address a discrete, but related, research need and audience.</w:t>
      </w:r>
    </w:p>
    <w:p>
      <w:pPr>
        <w:pStyle w:val="ListParagraph"/>
        <w:numPr>
          <w:ilvl w:val="1"/>
          <w:numId w:val="17"/>
        </w:numPr>
        <w:tabs>
          <w:tab w:pos="911" w:val="left" w:leader="none"/>
        </w:tabs>
        <w:spacing w:line="268" w:lineRule="auto" w:before="178" w:after="0"/>
        <w:ind w:left="910" w:right="0" w:hanging="190"/>
        <w:jc w:val="left"/>
        <w:rPr>
          <w:sz w:val="20"/>
        </w:rPr>
      </w:pPr>
      <w:r>
        <w:rPr>
          <w:rFonts w:ascii="Lucida Sans" w:hAnsi="Lucida Sans"/>
          <w:color w:val="00A94F"/>
          <w:w w:val="105"/>
          <w:sz w:val="18"/>
        </w:rPr>
        <w:t>Analysis of State Legal Authorities for </w:t>
      </w:r>
      <w:r>
        <w:rPr>
          <w:rFonts w:ascii="Arial" w:hAnsi="Arial"/>
          <w:color w:val="00A94F"/>
          <w:w w:val="105"/>
          <w:sz w:val="18"/>
        </w:rPr>
        <w:t>Foodborne</w:t>
      </w:r>
      <w:r>
        <w:rPr>
          <w:rFonts w:ascii="Arial" w:hAnsi="Arial"/>
          <w:color w:val="00A94F"/>
          <w:spacing w:val="-28"/>
          <w:w w:val="105"/>
          <w:sz w:val="18"/>
        </w:rPr>
        <w:t> </w:t>
      </w:r>
      <w:r>
        <w:rPr>
          <w:rFonts w:ascii="Arial" w:hAnsi="Arial"/>
          <w:color w:val="00A94F"/>
          <w:w w:val="105"/>
          <w:sz w:val="18"/>
        </w:rPr>
        <w:t>Disease</w:t>
      </w:r>
      <w:r>
        <w:rPr>
          <w:rFonts w:ascii="Arial" w:hAnsi="Arial"/>
          <w:color w:val="00A94F"/>
          <w:spacing w:val="-28"/>
          <w:w w:val="105"/>
          <w:sz w:val="18"/>
        </w:rPr>
        <w:t> </w:t>
      </w:r>
      <w:r>
        <w:rPr>
          <w:rFonts w:ascii="Arial" w:hAnsi="Arial"/>
          <w:color w:val="00A94F"/>
          <w:w w:val="105"/>
          <w:sz w:val="18"/>
        </w:rPr>
        <w:t>Detection</w:t>
      </w:r>
      <w:r>
        <w:rPr>
          <w:rFonts w:ascii="Arial" w:hAnsi="Arial"/>
          <w:color w:val="00A94F"/>
          <w:spacing w:val="-28"/>
          <w:w w:val="105"/>
          <w:sz w:val="18"/>
        </w:rPr>
        <w:t> </w:t>
      </w:r>
      <w:r>
        <w:rPr>
          <w:rFonts w:ascii="Arial" w:hAnsi="Arial"/>
          <w:color w:val="00A94F"/>
          <w:w w:val="105"/>
          <w:sz w:val="18"/>
        </w:rPr>
        <w:t>and</w:t>
      </w:r>
      <w:r>
        <w:rPr>
          <w:rFonts w:ascii="Arial" w:hAnsi="Arial"/>
          <w:color w:val="00A94F"/>
          <w:spacing w:val="-28"/>
          <w:w w:val="105"/>
          <w:sz w:val="18"/>
        </w:rPr>
        <w:t> </w:t>
      </w:r>
      <w:r>
        <w:rPr>
          <w:rFonts w:ascii="Arial" w:hAnsi="Arial"/>
          <w:color w:val="00A94F"/>
          <w:w w:val="105"/>
          <w:sz w:val="18"/>
        </w:rPr>
        <w:t>Outbreak Response. </w:t>
      </w:r>
      <w:r>
        <w:rPr>
          <w:color w:val="231F20"/>
          <w:w w:val="105"/>
          <w:sz w:val="20"/>
        </w:rPr>
        <w:t>This document describes and analyzes the types of state legal authorities currently available to conduct foodborne disease surveillance and outbreak response activities.</w:t>
      </w:r>
      <w:r>
        <w:rPr>
          <w:color w:val="231F20"/>
          <w:spacing w:val="-16"/>
          <w:w w:val="105"/>
          <w:sz w:val="20"/>
        </w:rPr>
        <w:t> </w:t>
      </w:r>
      <w:r>
        <w:rPr>
          <w:color w:val="231F20"/>
          <w:w w:val="105"/>
          <w:sz w:val="20"/>
        </w:rPr>
        <w:t>It</w:t>
      </w:r>
      <w:r>
        <w:rPr>
          <w:color w:val="231F20"/>
          <w:spacing w:val="-16"/>
          <w:w w:val="105"/>
          <w:sz w:val="20"/>
        </w:rPr>
        <w:t> </w:t>
      </w:r>
      <w:r>
        <w:rPr>
          <w:color w:val="231F20"/>
          <w:w w:val="105"/>
          <w:sz w:val="20"/>
        </w:rPr>
        <w:t>highlights</w:t>
      </w:r>
      <w:r>
        <w:rPr>
          <w:color w:val="231F20"/>
          <w:spacing w:val="-16"/>
          <w:w w:val="105"/>
          <w:sz w:val="20"/>
        </w:rPr>
        <w:t> </w:t>
      </w:r>
      <w:r>
        <w:rPr>
          <w:color w:val="231F20"/>
          <w:w w:val="105"/>
          <w:sz w:val="20"/>
        </w:rPr>
        <w:t>the</w:t>
      </w:r>
      <w:r>
        <w:rPr>
          <w:color w:val="231F20"/>
          <w:spacing w:val="-16"/>
          <w:w w:val="105"/>
          <w:sz w:val="20"/>
        </w:rPr>
        <w:t> </w:t>
      </w:r>
      <w:r>
        <w:rPr>
          <w:color w:val="231F20"/>
          <w:w w:val="105"/>
          <w:sz w:val="20"/>
        </w:rPr>
        <w:t>patchwork</w:t>
      </w:r>
      <w:r>
        <w:rPr>
          <w:color w:val="231F20"/>
          <w:spacing w:val="-16"/>
          <w:w w:val="105"/>
          <w:sz w:val="20"/>
        </w:rPr>
        <w:t> </w:t>
      </w:r>
      <w:r>
        <w:rPr>
          <w:color w:val="231F20"/>
          <w:w w:val="105"/>
          <w:sz w:val="20"/>
        </w:rPr>
        <w:t>of</w:t>
      </w:r>
      <w:r>
        <w:rPr>
          <w:color w:val="231F20"/>
          <w:spacing w:val="4"/>
          <w:w w:val="105"/>
          <w:sz w:val="20"/>
        </w:rPr>
        <w:t> </w:t>
      </w:r>
      <w:r>
        <w:rPr>
          <w:color w:val="231F20"/>
          <w:w w:val="105"/>
          <w:sz w:val="20"/>
        </w:rPr>
        <w:t>state laws and regulations across several topic areas—public health, communicable</w:t>
      </w:r>
      <w:r>
        <w:rPr>
          <w:color w:val="231F20"/>
          <w:spacing w:val="-33"/>
          <w:w w:val="105"/>
          <w:sz w:val="20"/>
        </w:rPr>
        <w:t> </w:t>
      </w:r>
      <w:r>
        <w:rPr>
          <w:color w:val="231F20"/>
          <w:w w:val="105"/>
          <w:sz w:val="20"/>
        </w:rPr>
        <w:t>disease, food </w:t>
      </w:r>
      <w:r>
        <w:rPr>
          <w:color w:val="231F20"/>
          <w:spacing w:val="-4"/>
          <w:w w:val="105"/>
          <w:sz w:val="20"/>
        </w:rPr>
        <w:t>safety, </w:t>
      </w:r>
      <w:r>
        <w:rPr>
          <w:color w:val="231F20"/>
          <w:w w:val="105"/>
          <w:sz w:val="20"/>
        </w:rPr>
        <w:t>food regulation, agriculture, environmental health, and general government authority—on which public health professionals and their legal counsel must rely to accomplish foodborne disease surveillance</w:t>
      </w:r>
      <w:r>
        <w:rPr>
          <w:color w:val="231F20"/>
          <w:spacing w:val="-16"/>
          <w:w w:val="105"/>
          <w:sz w:val="20"/>
        </w:rPr>
        <w:t> </w:t>
      </w:r>
      <w:r>
        <w:rPr>
          <w:color w:val="231F20"/>
          <w:w w:val="105"/>
          <w:sz w:val="20"/>
        </w:rPr>
        <w:t>and</w:t>
      </w:r>
      <w:r>
        <w:rPr>
          <w:color w:val="231F20"/>
          <w:spacing w:val="-16"/>
          <w:w w:val="105"/>
          <w:sz w:val="20"/>
        </w:rPr>
        <w:t> </w:t>
      </w:r>
      <w:r>
        <w:rPr>
          <w:color w:val="231F20"/>
          <w:w w:val="105"/>
          <w:sz w:val="20"/>
        </w:rPr>
        <w:t>outbreak</w:t>
      </w:r>
      <w:r>
        <w:rPr>
          <w:color w:val="231F20"/>
          <w:spacing w:val="-16"/>
          <w:w w:val="105"/>
          <w:sz w:val="20"/>
        </w:rPr>
        <w:t> </w:t>
      </w:r>
      <w:r>
        <w:rPr>
          <w:color w:val="231F20"/>
          <w:w w:val="105"/>
          <w:sz w:val="20"/>
        </w:rPr>
        <w:t>response</w:t>
      </w:r>
      <w:r>
        <w:rPr>
          <w:color w:val="231F20"/>
          <w:spacing w:val="-16"/>
          <w:w w:val="105"/>
          <w:sz w:val="20"/>
        </w:rPr>
        <w:t> </w:t>
      </w:r>
      <w:r>
        <w:rPr>
          <w:color w:val="231F20"/>
          <w:w w:val="105"/>
          <w:sz w:val="20"/>
        </w:rPr>
        <w:t>activities.</w:t>
      </w:r>
    </w:p>
    <w:p>
      <w:pPr>
        <w:pStyle w:val="ListParagraph"/>
        <w:numPr>
          <w:ilvl w:val="1"/>
          <w:numId w:val="17"/>
        </w:numPr>
        <w:tabs>
          <w:tab w:pos="911" w:val="left" w:leader="none"/>
        </w:tabs>
        <w:spacing w:line="273" w:lineRule="auto" w:before="176" w:after="0"/>
        <w:ind w:left="910" w:right="108" w:hanging="190"/>
        <w:jc w:val="left"/>
        <w:rPr>
          <w:sz w:val="20"/>
        </w:rPr>
      </w:pPr>
      <w:r>
        <w:rPr/>
        <w:pict>
          <v:line style="position:absolute;mso-position-horizontal-relative:page;mso-position-vertical-relative:paragraph;z-index:2560" from="0pt,117.635979pt" to="432pt,117.635979pt" stroked="true" strokeweight="1pt" strokecolor="#00a94f">
            <v:stroke dashstyle="solid"/>
            <w10:wrap type="none"/>
          </v:line>
        </w:pict>
      </w:r>
      <w:r>
        <w:rPr>
          <w:rFonts w:ascii="Lucida Sans" w:hAnsi="Lucida Sans"/>
          <w:color w:val="00A94F"/>
          <w:sz w:val="18"/>
        </w:rPr>
        <w:t>Practitioners’ Handbook on Legal </w:t>
      </w:r>
      <w:r>
        <w:rPr>
          <w:rFonts w:ascii="Arial" w:hAnsi="Arial"/>
          <w:color w:val="00A94F"/>
          <w:sz w:val="18"/>
        </w:rPr>
        <w:t>Authorities for Foodborne Disease Detection and Outbreak Response. </w:t>
      </w:r>
      <w:r>
        <w:rPr>
          <w:color w:val="231F20"/>
          <w:sz w:val="20"/>
        </w:rPr>
        <w:t>This document is intended as a practical guide  for public health professionals who perform key roles in foodborne disease surveillance and outbreak response. The </w:t>
      </w:r>
      <w:r>
        <w:rPr>
          <w:color w:val="231F20"/>
          <w:spacing w:val="46"/>
          <w:sz w:val="20"/>
        </w:rPr>
        <w:t> </w:t>
      </w:r>
      <w:r>
        <w:rPr>
          <w:color w:val="231F20"/>
          <w:sz w:val="20"/>
        </w:rPr>
        <w:t>handbook</w:t>
      </w:r>
    </w:p>
    <w:p>
      <w:pPr>
        <w:pStyle w:val="BodyText"/>
        <w:spacing w:line="266" w:lineRule="auto" w:before="108"/>
        <w:ind w:left="509" w:right="1482"/>
      </w:pPr>
      <w:r>
        <w:rPr/>
        <w:br w:type="column"/>
      </w:r>
      <w:r>
        <w:rPr>
          <w:color w:val="231F20"/>
          <w:w w:val="105"/>
        </w:rPr>
        <w:t>presents information and resources for practitioners charged with implementing their jurisdiction’s legal authorities related to</w:t>
      </w:r>
      <w:r>
        <w:rPr>
          <w:color w:val="231F20"/>
          <w:spacing w:val="-17"/>
          <w:w w:val="105"/>
        </w:rPr>
        <w:t> </w:t>
      </w:r>
      <w:r>
        <w:rPr>
          <w:color w:val="231F20"/>
          <w:w w:val="105"/>
        </w:rPr>
        <w:t>foodborne</w:t>
      </w:r>
      <w:r>
        <w:rPr>
          <w:color w:val="231F20"/>
          <w:spacing w:val="-17"/>
          <w:w w:val="105"/>
        </w:rPr>
        <w:t> </w:t>
      </w:r>
      <w:r>
        <w:rPr>
          <w:color w:val="231F20"/>
          <w:w w:val="105"/>
        </w:rPr>
        <w:t>disease</w:t>
      </w:r>
      <w:r>
        <w:rPr>
          <w:color w:val="231F20"/>
          <w:spacing w:val="-17"/>
          <w:w w:val="105"/>
        </w:rPr>
        <w:t> </w:t>
      </w:r>
      <w:r>
        <w:rPr>
          <w:color w:val="231F20"/>
          <w:w w:val="105"/>
        </w:rPr>
        <w:t>events.</w:t>
      </w:r>
      <w:r>
        <w:rPr>
          <w:color w:val="231F20"/>
          <w:spacing w:val="-17"/>
          <w:w w:val="105"/>
        </w:rPr>
        <w:t> </w:t>
      </w:r>
      <w:r>
        <w:rPr>
          <w:color w:val="231F20"/>
          <w:w w:val="105"/>
        </w:rPr>
        <w:t>The</w:t>
      </w:r>
      <w:r>
        <w:rPr>
          <w:color w:val="231F20"/>
          <w:spacing w:val="-17"/>
          <w:w w:val="105"/>
        </w:rPr>
        <w:t> </w:t>
      </w:r>
      <w:r>
        <w:rPr>
          <w:color w:val="231F20"/>
          <w:w w:val="105"/>
        </w:rPr>
        <w:t>handbook is a primer on the array of possible legal authorities</w:t>
      </w:r>
      <w:r>
        <w:rPr>
          <w:color w:val="231F20"/>
          <w:spacing w:val="-12"/>
          <w:w w:val="105"/>
        </w:rPr>
        <w:t> </w:t>
      </w:r>
      <w:r>
        <w:rPr>
          <w:color w:val="231F20"/>
          <w:spacing w:val="-4"/>
          <w:w w:val="105"/>
        </w:rPr>
        <w:t>(e.g.,</w:t>
      </w:r>
      <w:r>
        <w:rPr>
          <w:color w:val="231F20"/>
          <w:spacing w:val="-12"/>
          <w:w w:val="105"/>
        </w:rPr>
        <w:t> </w:t>
      </w:r>
      <w:r>
        <w:rPr>
          <w:color w:val="231F20"/>
          <w:w w:val="105"/>
        </w:rPr>
        <w:t>communicable</w:t>
      </w:r>
      <w:r>
        <w:rPr>
          <w:color w:val="231F20"/>
          <w:spacing w:val="-12"/>
          <w:w w:val="105"/>
        </w:rPr>
        <w:t> </w:t>
      </w:r>
      <w:r>
        <w:rPr>
          <w:color w:val="231F20"/>
          <w:w w:val="105"/>
        </w:rPr>
        <w:t>disease</w:t>
      </w:r>
      <w:r>
        <w:rPr>
          <w:color w:val="231F20"/>
          <w:spacing w:val="-12"/>
          <w:w w:val="105"/>
        </w:rPr>
        <w:t> </w:t>
      </w:r>
      <w:r>
        <w:rPr>
          <w:color w:val="231F20"/>
          <w:w w:val="105"/>
        </w:rPr>
        <w:t>laws, food</w:t>
      </w:r>
      <w:r>
        <w:rPr>
          <w:color w:val="231F20"/>
          <w:spacing w:val="-12"/>
          <w:w w:val="105"/>
        </w:rPr>
        <w:t> </w:t>
      </w:r>
      <w:r>
        <w:rPr>
          <w:color w:val="231F20"/>
          <w:w w:val="105"/>
        </w:rPr>
        <w:t>safety</w:t>
      </w:r>
      <w:r>
        <w:rPr>
          <w:color w:val="231F20"/>
          <w:spacing w:val="-12"/>
          <w:w w:val="105"/>
        </w:rPr>
        <w:t> </w:t>
      </w:r>
      <w:r>
        <w:rPr>
          <w:color w:val="231F20"/>
          <w:w w:val="105"/>
        </w:rPr>
        <w:t>laws)</w:t>
      </w:r>
      <w:r>
        <w:rPr>
          <w:color w:val="231F20"/>
          <w:spacing w:val="-12"/>
          <w:w w:val="105"/>
        </w:rPr>
        <w:t> </w:t>
      </w:r>
      <w:r>
        <w:rPr>
          <w:color w:val="231F20"/>
          <w:w w:val="105"/>
        </w:rPr>
        <w:t>that</w:t>
      </w:r>
      <w:r>
        <w:rPr>
          <w:color w:val="231F20"/>
          <w:spacing w:val="-12"/>
          <w:w w:val="105"/>
        </w:rPr>
        <w:t> </w:t>
      </w:r>
      <w:r>
        <w:rPr>
          <w:color w:val="231F20"/>
          <w:w w:val="105"/>
        </w:rPr>
        <w:t>might</w:t>
      </w:r>
      <w:r>
        <w:rPr>
          <w:color w:val="231F20"/>
          <w:spacing w:val="-12"/>
          <w:w w:val="105"/>
        </w:rPr>
        <w:t> </w:t>
      </w:r>
      <w:r>
        <w:rPr>
          <w:color w:val="231F20"/>
          <w:w w:val="105"/>
        </w:rPr>
        <w:t>be</w:t>
      </w:r>
      <w:r>
        <w:rPr>
          <w:color w:val="231F20"/>
          <w:spacing w:val="-12"/>
          <w:w w:val="105"/>
        </w:rPr>
        <w:t> </w:t>
      </w:r>
      <w:r>
        <w:rPr>
          <w:color w:val="231F20"/>
          <w:w w:val="105"/>
        </w:rPr>
        <w:t>available</w:t>
      </w:r>
      <w:r>
        <w:rPr>
          <w:color w:val="231F20"/>
          <w:spacing w:val="-12"/>
          <w:w w:val="105"/>
        </w:rPr>
        <w:t> </w:t>
      </w:r>
      <w:r>
        <w:rPr>
          <w:color w:val="231F20"/>
          <w:w w:val="105"/>
        </w:rPr>
        <w:t>and provides practitioners with checklists for identifying relevant agency actors and laws within their</w:t>
      </w:r>
      <w:r>
        <w:rPr>
          <w:color w:val="231F20"/>
          <w:spacing w:val="-31"/>
          <w:w w:val="105"/>
        </w:rPr>
        <w:t> </w:t>
      </w:r>
      <w:r>
        <w:rPr>
          <w:color w:val="231F20"/>
          <w:w w:val="105"/>
        </w:rPr>
        <w:t>jurisdictions.</w:t>
      </w:r>
    </w:p>
    <w:p>
      <w:pPr>
        <w:pStyle w:val="ListParagraph"/>
        <w:numPr>
          <w:ilvl w:val="0"/>
          <w:numId w:val="19"/>
        </w:numPr>
        <w:tabs>
          <w:tab w:pos="510" w:val="left" w:leader="none"/>
        </w:tabs>
        <w:spacing w:line="273" w:lineRule="auto" w:before="178" w:after="0"/>
        <w:ind w:left="509" w:right="1505" w:hanging="190"/>
        <w:jc w:val="left"/>
        <w:rPr>
          <w:sz w:val="20"/>
        </w:rPr>
      </w:pPr>
      <w:r>
        <w:rPr>
          <w:rFonts w:ascii="Lucida Sans" w:hAnsi="Lucida Sans"/>
          <w:color w:val="00A94F"/>
          <w:w w:val="105"/>
          <w:sz w:val="18"/>
        </w:rPr>
        <w:t>Menu of Legal Options for Foodborne </w:t>
      </w:r>
      <w:r>
        <w:rPr>
          <w:rFonts w:ascii="Arial" w:hAnsi="Arial"/>
          <w:color w:val="00A94F"/>
          <w:sz w:val="18"/>
        </w:rPr>
        <w:t>Disease Detection and Outbreak Response. </w:t>
      </w:r>
      <w:r>
        <w:rPr>
          <w:color w:val="231F20"/>
          <w:w w:val="105"/>
          <w:sz w:val="20"/>
        </w:rPr>
        <w:t>This document provides a menu of legal options for state public health officials and policy makers to consider when reviewing their jurisdiction’s legal authorities to conduct</w:t>
      </w:r>
      <w:r>
        <w:rPr>
          <w:color w:val="231F20"/>
          <w:spacing w:val="-25"/>
          <w:w w:val="105"/>
          <w:sz w:val="20"/>
        </w:rPr>
        <w:t> </w:t>
      </w:r>
      <w:r>
        <w:rPr>
          <w:color w:val="231F20"/>
          <w:w w:val="105"/>
          <w:sz w:val="20"/>
        </w:rPr>
        <w:t>foodborne</w:t>
      </w:r>
      <w:r>
        <w:rPr>
          <w:color w:val="231F20"/>
          <w:spacing w:val="-25"/>
          <w:w w:val="105"/>
          <w:sz w:val="20"/>
        </w:rPr>
        <w:t> </w:t>
      </w:r>
      <w:r>
        <w:rPr>
          <w:color w:val="231F20"/>
          <w:w w:val="105"/>
          <w:sz w:val="20"/>
        </w:rPr>
        <w:t>disease</w:t>
      </w:r>
      <w:r>
        <w:rPr>
          <w:color w:val="231F20"/>
          <w:spacing w:val="-25"/>
          <w:w w:val="105"/>
          <w:sz w:val="20"/>
        </w:rPr>
        <w:t> </w:t>
      </w:r>
      <w:r>
        <w:rPr>
          <w:color w:val="231F20"/>
          <w:w w:val="105"/>
          <w:sz w:val="20"/>
        </w:rPr>
        <w:t>surveillance</w:t>
      </w:r>
    </w:p>
    <w:p>
      <w:pPr>
        <w:pStyle w:val="BodyText"/>
        <w:spacing w:line="266" w:lineRule="auto"/>
        <w:ind w:left="509" w:right="1685"/>
      </w:pPr>
      <w:r>
        <w:rPr/>
        <w:pict>
          <v:rect style="position:absolute;margin-left:459pt;margin-top:47.750961pt;width:45pt;height:18pt;mso-position-horizontal-relative:page;mso-position-vertical-relative:paragraph;z-index:2584" filled="true" fillcolor="#0079c1" stroked="false">
            <v:fill type="solid"/>
            <w10:wrap type="none"/>
          </v:rect>
        </w:pict>
      </w:r>
      <w:r>
        <w:rPr/>
        <w:pict>
          <v:line style="position:absolute;mso-position-horizontal-relative:page;mso-position-vertical-relative:paragraph;z-index:2608" from="450.5pt,47.751362pt" to="450.5pt,229.753362pt" stroked="true" strokeweight="1pt" strokecolor="#0079c1">
            <v:stroke dashstyle="solid"/>
            <w10:wrap type="none"/>
          </v:line>
        </w:pict>
      </w:r>
      <w:r>
        <w:rPr/>
        <w:pict>
          <v:shape style="position:absolute;margin-left:460.346802pt;margin-top:69.748161pt;width:32.25pt;height:157.5pt;mso-position-horizontal-relative:page;mso-position-vertical-relative:paragraph;z-index:2632" type="#_x0000_t202" filled="false" stroked="false">
            <v:textbox inset="0,0,0,0" style="layout-flow:vertical">
              <w:txbxContent>
                <w:p>
                  <w:pPr>
                    <w:spacing w:line="200" w:lineRule="exact" w:before="12"/>
                    <w:ind w:left="20" w:right="-741" w:firstLine="0"/>
                    <w:jc w:val="left"/>
                    <w:rPr>
                      <w:rFonts w:ascii="Lucida Sans"/>
                      <w:sz w:val="17"/>
                    </w:rPr>
                  </w:pPr>
                  <w:r>
                    <w:rPr>
                      <w:rFonts w:ascii="Lucida Sans"/>
                      <w:color w:val="0079C1"/>
                      <w:spacing w:val="8"/>
                      <w:w w:val="103"/>
                      <w:sz w:val="17"/>
                    </w:rPr>
                    <w:t>LEGA</w:t>
                  </w:r>
                  <w:r>
                    <w:rPr>
                      <w:rFonts w:ascii="Lucida Sans"/>
                      <w:color w:val="0079C1"/>
                      <w:w w:val="103"/>
                      <w:sz w:val="17"/>
                    </w:rPr>
                    <w:t>L</w:t>
                  </w:r>
                  <w:r>
                    <w:rPr>
                      <w:rFonts w:ascii="Lucida Sans"/>
                      <w:color w:val="0079C1"/>
                      <w:spacing w:val="10"/>
                      <w:sz w:val="17"/>
                    </w:rPr>
                    <w:t> </w:t>
                  </w:r>
                  <w:r>
                    <w:rPr>
                      <w:rFonts w:ascii="Lucida Sans"/>
                      <w:color w:val="0079C1"/>
                      <w:spacing w:val="8"/>
                      <w:w w:val="105"/>
                      <w:sz w:val="17"/>
                    </w:rPr>
                    <w:t>PRE</w:t>
                  </w:r>
                  <w:r>
                    <w:rPr>
                      <w:rFonts w:ascii="Lucida Sans"/>
                      <w:color w:val="0079C1"/>
                      <w:spacing w:val="-5"/>
                      <w:w w:val="105"/>
                      <w:sz w:val="17"/>
                    </w:rPr>
                    <w:t>P</w:t>
                  </w:r>
                  <w:r>
                    <w:rPr>
                      <w:rFonts w:ascii="Lucida Sans"/>
                      <w:color w:val="0079C1"/>
                      <w:spacing w:val="8"/>
                      <w:w w:val="104"/>
                      <w:sz w:val="17"/>
                    </w:rPr>
                    <w:t>AREDNES</w:t>
                  </w:r>
                  <w:r>
                    <w:rPr>
                      <w:rFonts w:ascii="Lucida Sans"/>
                      <w:color w:val="0079C1"/>
                      <w:w w:val="104"/>
                      <w:sz w:val="17"/>
                    </w:rPr>
                    <w:t>S</w:t>
                  </w:r>
                  <w:r>
                    <w:rPr>
                      <w:rFonts w:ascii="Lucida Sans"/>
                      <w:color w:val="0079C1"/>
                      <w:spacing w:val="10"/>
                      <w:sz w:val="17"/>
                    </w:rPr>
                    <w:t> </w:t>
                  </w:r>
                  <w:r>
                    <w:rPr>
                      <w:rFonts w:ascii="Lucida Sans"/>
                      <w:color w:val="0079C1"/>
                      <w:spacing w:val="8"/>
                      <w:w w:val="103"/>
                      <w:sz w:val="17"/>
                    </w:rPr>
                    <w:t>FO</w:t>
                  </w:r>
                  <w:r>
                    <w:rPr>
                      <w:rFonts w:ascii="Lucida Sans"/>
                      <w:color w:val="0079C1"/>
                      <w:w w:val="103"/>
                      <w:sz w:val="17"/>
                    </w:rPr>
                    <w:t>R</w:t>
                  </w:r>
                  <w:r>
                    <w:rPr>
                      <w:rFonts w:ascii="Lucida Sans"/>
                      <w:color w:val="0079C1"/>
                      <w:spacing w:val="10"/>
                      <w:sz w:val="17"/>
                    </w:rPr>
                    <w:t> </w:t>
                  </w:r>
                  <w:r>
                    <w:rPr>
                      <w:rFonts w:ascii="Lucida Sans"/>
                      <w:color w:val="0079C1"/>
                      <w:spacing w:val="8"/>
                      <w:w w:val="100"/>
                      <w:sz w:val="17"/>
                    </w:rPr>
                    <w:t>THE</w:t>
                  </w:r>
                </w:p>
                <w:p>
                  <w:pPr>
                    <w:spacing w:before="0"/>
                    <w:ind w:left="20" w:right="-695" w:firstLine="0"/>
                    <w:jc w:val="left"/>
                    <w:rPr>
                      <w:rFonts w:ascii="Lucida Sans"/>
                      <w:sz w:val="17"/>
                    </w:rPr>
                  </w:pPr>
                  <w:r>
                    <w:rPr>
                      <w:rFonts w:ascii="Lucida Sans"/>
                      <w:color w:val="0079C1"/>
                      <w:spacing w:val="8"/>
                      <w:w w:val="102"/>
                      <w:sz w:val="17"/>
                    </w:rPr>
                    <w:t>SURVEILLANC</w:t>
                  </w:r>
                  <w:r>
                    <w:rPr>
                      <w:rFonts w:ascii="Lucida Sans"/>
                      <w:color w:val="0079C1"/>
                      <w:w w:val="102"/>
                      <w:sz w:val="17"/>
                    </w:rPr>
                    <w:t>E</w:t>
                  </w:r>
                  <w:r>
                    <w:rPr>
                      <w:rFonts w:ascii="Lucida Sans"/>
                      <w:color w:val="0079C1"/>
                      <w:spacing w:val="10"/>
                      <w:sz w:val="17"/>
                    </w:rPr>
                    <w:t> </w:t>
                  </w:r>
                  <w:r>
                    <w:rPr>
                      <w:rFonts w:ascii="Lucida Sans"/>
                      <w:color w:val="0079C1"/>
                      <w:spacing w:val="8"/>
                      <w:w w:val="102"/>
                      <w:sz w:val="17"/>
                    </w:rPr>
                    <w:t>AN</w:t>
                  </w:r>
                  <w:r>
                    <w:rPr>
                      <w:rFonts w:ascii="Lucida Sans"/>
                      <w:color w:val="0079C1"/>
                      <w:w w:val="102"/>
                      <w:sz w:val="17"/>
                    </w:rPr>
                    <w:t>D</w:t>
                  </w:r>
                  <w:r>
                    <w:rPr>
                      <w:rFonts w:ascii="Lucida Sans"/>
                      <w:color w:val="0079C1"/>
                      <w:spacing w:val="10"/>
                      <w:sz w:val="17"/>
                    </w:rPr>
                    <w:t> </w:t>
                  </w:r>
                  <w:r>
                    <w:rPr>
                      <w:rFonts w:ascii="Lucida Sans"/>
                      <w:color w:val="0079C1"/>
                      <w:spacing w:val="8"/>
                      <w:w w:val="101"/>
                      <w:sz w:val="17"/>
                    </w:rPr>
                    <w:t>CONTRO</w:t>
                  </w:r>
                  <w:r>
                    <w:rPr>
                      <w:rFonts w:ascii="Lucida Sans"/>
                      <w:color w:val="0079C1"/>
                      <w:w w:val="101"/>
                      <w:sz w:val="17"/>
                    </w:rPr>
                    <w:t>L</w:t>
                  </w:r>
                  <w:r>
                    <w:rPr>
                      <w:rFonts w:ascii="Lucida Sans"/>
                      <w:color w:val="0079C1"/>
                      <w:spacing w:val="10"/>
                      <w:sz w:val="17"/>
                    </w:rPr>
                    <w:t> </w:t>
                  </w:r>
                  <w:r>
                    <w:rPr>
                      <w:rFonts w:ascii="Lucida Sans"/>
                      <w:color w:val="0079C1"/>
                      <w:spacing w:val="8"/>
                      <w:w w:val="107"/>
                      <w:sz w:val="17"/>
                    </w:rPr>
                    <w:t>OF </w:t>
                  </w:r>
                  <w:r>
                    <w:rPr>
                      <w:rFonts w:ascii="Lucida Sans"/>
                      <w:color w:val="0079C1"/>
                      <w:spacing w:val="8"/>
                      <w:w w:val="105"/>
                      <w:sz w:val="17"/>
                    </w:rPr>
                    <w:t>FOODBORN</w:t>
                  </w:r>
                  <w:r>
                    <w:rPr>
                      <w:rFonts w:ascii="Lucida Sans"/>
                      <w:color w:val="0079C1"/>
                      <w:w w:val="105"/>
                      <w:sz w:val="17"/>
                    </w:rPr>
                    <w:t>E</w:t>
                  </w:r>
                  <w:r>
                    <w:rPr>
                      <w:rFonts w:ascii="Lucida Sans"/>
                      <w:color w:val="0079C1"/>
                      <w:spacing w:val="10"/>
                      <w:sz w:val="17"/>
                    </w:rPr>
                    <w:t> </w:t>
                  </w:r>
                  <w:r>
                    <w:rPr>
                      <w:rFonts w:ascii="Lucida Sans"/>
                      <w:color w:val="0079C1"/>
                      <w:spacing w:val="8"/>
                      <w:w w:val="104"/>
                      <w:sz w:val="17"/>
                    </w:rPr>
                    <w:t>DISEAS</w:t>
                  </w:r>
                  <w:r>
                    <w:rPr>
                      <w:rFonts w:ascii="Lucida Sans"/>
                      <w:color w:val="0079C1"/>
                      <w:w w:val="104"/>
                      <w:sz w:val="17"/>
                    </w:rPr>
                    <w:t>E</w:t>
                  </w:r>
                  <w:r>
                    <w:rPr>
                      <w:rFonts w:ascii="Lucida Sans"/>
                      <w:color w:val="0079C1"/>
                      <w:spacing w:val="10"/>
                      <w:sz w:val="17"/>
                    </w:rPr>
                    <w:t> </w:t>
                  </w:r>
                  <w:r>
                    <w:rPr>
                      <w:rFonts w:ascii="Lucida Sans"/>
                      <w:color w:val="0079C1"/>
                      <w:spacing w:val="8"/>
                      <w:w w:val="102"/>
                      <w:sz w:val="17"/>
                    </w:rPr>
                    <w:t>OUTBREAKS</w:t>
                  </w:r>
                </w:p>
              </w:txbxContent>
            </v:textbox>
            <w10:wrap type="none"/>
          </v:shape>
        </w:pict>
      </w:r>
      <w:r>
        <w:rPr/>
        <w:pict>
          <v:shape style="position:absolute;margin-left:468.849609pt;margin-top:52.502361pt;width:15.85pt;height:8.5pt;mso-position-horizontal-relative:page;mso-position-vertical-relative:paragraph;z-index:2656"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9</w:t>
                  </w:r>
                </w:p>
              </w:txbxContent>
            </v:textbox>
            <w10:wrap type="none"/>
          </v:shape>
        </w:pict>
      </w:r>
      <w:r>
        <w:rPr>
          <w:color w:val="231F20"/>
          <w:w w:val="105"/>
        </w:rPr>
        <w:t>and outbreak response actions. The menu includes legal provisions relevant to activities conducted during foodborne disease surveillance and outbreak response—outbreak detection, outbreak investigation, outbreak control, and</w:t>
      </w:r>
    </w:p>
    <w:p>
      <w:pPr>
        <w:pStyle w:val="BodyText"/>
        <w:spacing w:line="266" w:lineRule="auto" w:before="7"/>
        <w:ind w:left="509" w:right="1545"/>
      </w:pPr>
      <w:r>
        <w:rPr>
          <w:color w:val="231F20"/>
          <w:w w:val="105"/>
        </w:rPr>
        <w:t>outbreak documentation. This is intended to be a resource for states to use in filling gaps and clarifying or enhancing their legal authorities.</w:t>
      </w:r>
    </w:p>
    <w:p>
      <w:pPr>
        <w:pStyle w:val="BodyText"/>
        <w:spacing w:line="266" w:lineRule="auto" w:before="179"/>
        <w:ind w:left="319" w:right="843"/>
      </w:pPr>
      <w:r>
        <w:rPr>
          <w:color w:val="231F20"/>
          <w:w w:val="105"/>
        </w:rPr>
        <w:t>All of the documents are available through the CIFOR website at </w:t>
      </w:r>
      <w:hyperlink r:id="rId10">
        <w:r>
          <w:rPr>
            <w:color w:val="0079C1"/>
            <w:w w:val="105"/>
          </w:rPr>
          <w:t>www.cifor.us</w:t>
        </w:r>
        <w:r>
          <w:rPr>
            <w:color w:val="231F20"/>
            <w:w w:val="105"/>
          </w:rPr>
          <w:t>.</w:t>
        </w:r>
      </w:hyperlink>
    </w:p>
    <w:p>
      <w:pPr>
        <w:spacing w:after="0" w:line="266" w:lineRule="auto"/>
        <w:sectPr>
          <w:type w:val="continuous"/>
          <w:pgSz w:w="10080" w:h="14400"/>
          <w:pgMar w:top="0" w:bottom="0" w:left="0" w:right="0"/>
          <w:cols w:num="2" w:equalWidth="0">
            <w:col w:w="4501" w:space="40"/>
            <w:col w:w="5539"/>
          </w:cols>
        </w:sectPr>
      </w:pPr>
    </w:p>
    <w:p>
      <w:pPr>
        <w:pStyle w:val="BodyText"/>
        <w:spacing w:before="8"/>
        <w:rPr>
          <w:sz w:val="10"/>
        </w:rPr>
      </w:pPr>
      <w:r>
        <w:rPr/>
        <w:pict>
          <v:line style="position:absolute;mso-position-horizontal-relative:page;mso-position-vertical-relative:page;z-index:2704" from="72pt,702.5pt" to="504pt,702.5pt" stroked="true" strokeweight="1pt" strokecolor="#00a94f">
            <v:stroke dashstyle="solid"/>
            <w10:wrap type="none"/>
          </v:line>
        </w:pict>
      </w:r>
      <w:r>
        <w:rPr/>
        <w:pict>
          <v:rect style="position:absolute;margin-left:0pt;margin-top:520pt;width:45pt;height:18pt;mso-position-horizontal-relative:page;mso-position-vertical-relative:page;z-index:2728" filled="true" fillcolor="#0079c1" stroked="false">
            <v:fill type="solid"/>
            <w10:wrap type="none"/>
          </v:rect>
        </w:pict>
      </w:r>
      <w:r>
        <w:rPr/>
        <w:pict>
          <v:line style="position:absolute;mso-position-horizontal-relative:page;mso-position-vertical-relative:page;z-index:2752" from="54.5pt,519.998413pt" to="54.5pt,702.000413pt" stroked="true" strokeweight="1pt" strokecolor="#0079c1">
            <v:stroke dashstyle="solid"/>
            <w10:wrap type="none"/>
          </v:line>
        </w:pict>
      </w:r>
      <w:r>
        <w:rPr/>
        <w:pict>
          <v:shape style="position:absolute;margin-left:11.4022pt;margin-top:541.210205pt;width:12.3pt;height:144.2pt;mso-position-horizontal-relative:page;mso-position-vertical-relative:page;z-index:2776" type="#_x0000_t202" filled="false" stroked="false">
            <v:textbox inset="0,0,0,0" style="layout-flow:vertical;mso-layout-flow-alt:bottom-to-top">
              <w:txbxContent>
                <w:p>
                  <w:pPr>
                    <w:spacing w:before="12"/>
                    <w:ind w:left="20" w:right="-1140" w:firstLine="0"/>
                    <w:jc w:val="left"/>
                    <w:rPr>
                      <w:rFonts w:ascii="Lucida Sans"/>
                      <w:sz w:val="17"/>
                    </w:rPr>
                  </w:pPr>
                  <w:r>
                    <w:rPr>
                      <w:rFonts w:ascii="Lucida Sans"/>
                      <w:color w:val="0079C1"/>
                      <w:spacing w:val="8"/>
                      <w:w w:val="103"/>
                      <w:sz w:val="17"/>
                    </w:rPr>
                    <w:t>LEGA</w:t>
                  </w:r>
                  <w:r>
                    <w:rPr>
                      <w:rFonts w:ascii="Lucida Sans"/>
                      <w:color w:val="0079C1"/>
                      <w:w w:val="103"/>
                      <w:sz w:val="17"/>
                    </w:rPr>
                    <w:t>L</w:t>
                  </w:r>
                  <w:r>
                    <w:rPr>
                      <w:rFonts w:ascii="Lucida Sans"/>
                      <w:color w:val="0079C1"/>
                      <w:spacing w:val="10"/>
                      <w:sz w:val="17"/>
                    </w:rPr>
                    <w:t> </w:t>
                  </w:r>
                  <w:r>
                    <w:rPr>
                      <w:rFonts w:ascii="Lucida Sans"/>
                      <w:color w:val="0079C1"/>
                      <w:spacing w:val="8"/>
                      <w:w w:val="105"/>
                      <w:sz w:val="17"/>
                    </w:rPr>
                    <w:t>PRE</w:t>
                  </w:r>
                  <w:r>
                    <w:rPr>
                      <w:rFonts w:ascii="Lucida Sans"/>
                      <w:color w:val="0079C1"/>
                      <w:spacing w:val="-5"/>
                      <w:w w:val="105"/>
                      <w:sz w:val="17"/>
                    </w:rPr>
                    <w:t>P</w:t>
                  </w:r>
                  <w:r>
                    <w:rPr>
                      <w:rFonts w:ascii="Lucida Sans"/>
                      <w:color w:val="0079C1"/>
                      <w:spacing w:val="8"/>
                      <w:w w:val="104"/>
                      <w:sz w:val="17"/>
                    </w:rPr>
                    <w:t>AREDNES</w:t>
                  </w:r>
                  <w:r>
                    <w:rPr>
                      <w:rFonts w:ascii="Lucida Sans"/>
                      <w:color w:val="0079C1"/>
                      <w:w w:val="104"/>
                      <w:sz w:val="17"/>
                    </w:rPr>
                    <w:t>S</w:t>
                  </w:r>
                  <w:r>
                    <w:rPr>
                      <w:rFonts w:ascii="Lucida Sans"/>
                      <w:color w:val="0079C1"/>
                      <w:spacing w:val="10"/>
                      <w:sz w:val="17"/>
                    </w:rPr>
                    <w:t> </w:t>
                  </w:r>
                  <w:r>
                    <w:rPr>
                      <w:rFonts w:ascii="Lucida Sans"/>
                      <w:color w:val="0079C1"/>
                      <w:spacing w:val="8"/>
                      <w:w w:val="103"/>
                      <w:sz w:val="17"/>
                    </w:rPr>
                    <w:t>FO</w:t>
                  </w:r>
                  <w:r>
                    <w:rPr>
                      <w:rFonts w:ascii="Lucida Sans"/>
                      <w:color w:val="0079C1"/>
                      <w:w w:val="103"/>
                      <w:sz w:val="17"/>
                    </w:rPr>
                    <w:t>R</w:t>
                  </w:r>
                  <w:r>
                    <w:rPr>
                      <w:rFonts w:ascii="Lucida Sans"/>
                      <w:color w:val="0079C1"/>
                      <w:spacing w:val="10"/>
                      <w:sz w:val="17"/>
                    </w:rPr>
                    <w:t> </w:t>
                  </w:r>
                  <w:r>
                    <w:rPr>
                      <w:rFonts w:ascii="Lucida Sans"/>
                      <w:color w:val="0079C1"/>
                      <w:spacing w:val="8"/>
                      <w:w w:val="100"/>
                      <w:sz w:val="17"/>
                    </w:rPr>
                    <w:t>THE</w:t>
                  </w:r>
                </w:p>
              </w:txbxContent>
            </v:textbox>
            <w10:wrap type="none"/>
          </v:shape>
        </w:pict>
      </w:r>
      <w:r>
        <w:rPr/>
        <w:pict>
          <v:shape style="position:absolute;margin-left:18.200388pt;margin-top:524.750977pt;width:25.5pt;height:173.95pt;mso-position-horizontal-relative:page;mso-position-vertical-relative:page;z-index:2800" type="#_x0000_t202" filled="false" stroked="false">
            <v:textbox inset="0,0,0,0" style="layout-flow:vertical;mso-layout-flow-alt:bottom-to-top">
              <w:txbxContent>
                <w:p>
                  <w:pPr>
                    <w:spacing w:line="273" w:lineRule="exact" w:before="7"/>
                    <w:ind w:left="79" w:right="-889" w:firstLine="0"/>
                    <w:jc w:val="left"/>
                    <w:rPr>
                      <w:rFonts w:ascii="Times New Roman"/>
                      <w:b/>
                      <w:sz w:val="24"/>
                    </w:rPr>
                  </w:pPr>
                  <w:r>
                    <w:rPr>
                      <w:rFonts w:ascii="Lucida Sans"/>
                      <w:color w:val="0079C1"/>
                      <w:spacing w:val="8"/>
                      <w:w w:val="102"/>
                      <w:sz w:val="17"/>
                    </w:rPr>
                    <w:t>SURVEILLANC</w:t>
                  </w:r>
                  <w:r>
                    <w:rPr>
                      <w:rFonts w:ascii="Lucida Sans"/>
                      <w:color w:val="0079C1"/>
                      <w:w w:val="102"/>
                      <w:sz w:val="17"/>
                    </w:rPr>
                    <w:t>E</w:t>
                  </w:r>
                  <w:r>
                    <w:rPr>
                      <w:rFonts w:ascii="Lucida Sans"/>
                      <w:color w:val="0079C1"/>
                      <w:spacing w:val="10"/>
                      <w:sz w:val="17"/>
                    </w:rPr>
                    <w:t> </w:t>
                  </w:r>
                  <w:r>
                    <w:rPr>
                      <w:rFonts w:ascii="Lucida Sans"/>
                      <w:color w:val="0079C1"/>
                      <w:spacing w:val="8"/>
                      <w:w w:val="102"/>
                      <w:sz w:val="17"/>
                    </w:rPr>
                    <w:t>AN</w:t>
                  </w:r>
                  <w:r>
                    <w:rPr>
                      <w:rFonts w:ascii="Lucida Sans"/>
                      <w:color w:val="0079C1"/>
                      <w:w w:val="102"/>
                      <w:sz w:val="17"/>
                    </w:rPr>
                    <w:t>D</w:t>
                  </w:r>
                  <w:r>
                    <w:rPr>
                      <w:rFonts w:ascii="Lucida Sans"/>
                      <w:color w:val="0079C1"/>
                      <w:spacing w:val="10"/>
                      <w:sz w:val="17"/>
                    </w:rPr>
                    <w:t> </w:t>
                  </w:r>
                  <w:r>
                    <w:rPr>
                      <w:rFonts w:ascii="Lucida Sans"/>
                      <w:color w:val="0079C1"/>
                      <w:spacing w:val="8"/>
                      <w:w w:val="101"/>
                      <w:sz w:val="17"/>
                    </w:rPr>
                    <w:t>CONTRO</w:t>
                  </w:r>
                  <w:r>
                    <w:rPr>
                      <w:rFonts w:ascii="Lucida Sans"/>
                      <w:color w:val="0079C1"/>
                      <w:w w:val="101"/>
                      <w:sz w:val="17"/>
                    </w:rPr>
                    <w:t>L</w:t>
                  </w:r>
                  <w:r>
                    <w:rPr>
                      <w:rFonts w:ascii="Lucida Sans"/>
                      <w:color w:val="0079C1"/>
                      <w:spacing w:val="10"/>
                      <w:sz w:val="17"/>
                    </w:rPr>
                    <w:t> </w:t>
                  </w:r>
                  <w:r>
                    <w:rPr>
                      <w:rFonts w:ascii="Lucida Sans"/>
                      <w:color w:val="0079C1"/>
                      <w:spacing w:val="8"/>
                      <w:w w:val="107"/>
                      <w:sz w:val="17"/>
                    </w:rPr>
                    <w:t>O</w:t>
                  </w:r>
                  <w:r>
                    <w:rPr>
                      <w:rFonts w:ascii="Lucida Sans"/>
                      <w:color w:val="0079C1"/>
                      <w:w w:val="107"/>
                      <w:sz w:val="17"/>
                    </w:rPr>
                    <w:t>F</w:t>
                  </w:r>
                  <w:r>
                    <w:rPr>
                      <w:rFonts w:ascii="Lucida Sans"/>
                      <w:color w:val="0079C1"/>
                      <w:sz w:val="17"/>
                    </w:rPr>
                    <w:t>  </w:t>
                  </w:r>
                  <w:r>
                    <w:rPr>
                      <w:rFonts w:ascii="Lucida Sans"/>
                      <w:color w:val="0079C1"/>
                      <w:spacing w:val="-12"/>
                      <w:sz w:val="17"/>
                    </w:rPr>
                    <w:t> </w:t>
                  </w:r>
                  <w:r>
                    <w:rPr>
                      <w:rFonts w:ascii="Times New Roman"/>
                      <w:b/>
                      <w:color w:val="FFFFFF"/>
                      <w:w w:val="108"/>
                      <w:position w:val="1"/>
                      <w:sz w:val="24"/>
                    </w:rPr>
                    <w:t>9</w:t>
                  </w:r>
                </w:p>
                <w:p>
                  <w:pPr>
                    <w:spacing w:line="197" w:lineRule="exact" w:before="0"/>
                    <w:ind w:left="20" w:right="-692" w:firstLine="0"/>
                    <w:jc w:val="left"/>
                    <w:rPr>
                      <w:rFonts w:ascii="Lucida Sans"/>
                      <w:sz w:val="17"/>
                    </w:rPr>
                  </w:pPr>
                  <w:r>
                    <w:rPr>
                      <w:rFonts w:ascii="Lucida Sans"/>
                      <w:color w:val="0079C1"/>
                      <w:spacing w:val="8"/>
                      <w:w w:val="105"/>
                      <w:sz w:val="17"/>
                    </w:rPr>
                    <w:t>FOODBORN</w:t>
                  </w:r>
                  <w:r>
                    <w:rPr>
                      <w:rFonts w:ascii="Lucida Sans"/>
                      <w:color w:val="0079C1"/>
                      <w:w w:val="105"/>
                      <w:sz w:val="17"/>
                    </w:rPr>
                    <w:t>E</w:t>
                  </w:r>
                  <w:r>
                    <w:rPr>
                      <w:rFonts w:ascii="Lucida Sans"/>
                      <w:color w:val="0079C1"/>
                      <w:spacing w:val="10"/>
                      <w:sz w:val="17"/>
                    </w:rPr>
                    <w:t> </w:t>
                  </w:r>
                  <w:r>
                    <w:rPr>
                      <w:rFonts w:ascii="Lucida Sans"/>
                      <w:color w:val="0079C1"/>
                      <w:spacing w:val="8"/>
                      <w:w w:val="104"/>
                      <w:sz w:val="17"/>
                    </w:rPr>
                    <w:t>DISEAS</w:t>
                  </w:r>
                  <w:r>
                    <w:rPr>
                      <w:rFonts w:ascii="Lucida Sans"/>
                      <w:color w:val="0079C1"/>
                      <w:w w:val="104"/>
                      <w:sz w:val="17"/>
                    </w:rPr>
                    <w:t>E</w:t>
                  </w:r>
                  <w:r>
                    <w:rPr>
                      <w:rFonts w:ascii="Lucida Sans"/>
                      <w:color w:val="0079C1"/>
                      <w:spacing w:val="10"/>
                      <w:sz w:val="17"/>
                    </w:rPr>
                    <w:t> </w:t>
                  </w:r>
                  <w:r>
                    <w:rPr>
                      <w:rFonts w:ascii="Lucida Sans"/>
                      <w:color w:val="0079C1"/>
                      <w:spacing w:val="8"/>
                      <w:w w:val="102"/>
                      <w:sz w:val="17"/>
                    </w:rPr>
                    <w:t>OUTBREAKS</w:t>
                  </w:r>
                </w:p>
              </w:txbxContent>
            </v:textbox>
            <w10:wrap type="none"/>
          </v:shape>
        </w:pict>
      </w:r>
    </w:p>
    <w:p>
      <w:pPr>
        <w:pStyle w:val="Heading1"/>
        <w:numPr>
          <w:ilvl w:val="1"/>
          <w:numId w:val="18"/>
        </w:numPr>
        <w:tabs>
          <w:tab w:pos="1961" w:val="left" w:leader="none"/>
        </w:tabs>
        <w:spacing w:line="240" w:lineRule="auto" w:before="97" w:after="0"/>
        <w:ind w:left="1960" w:right="0" w:hanging="520"/>
        <w:jc w:val="left"/>
      </w:pPr>
      <w:r>
        <w:rPr/>
        <w:pict>
          <v:line style="position:absolute;mso-position-horizontal-relative:page;mso-position-vertical-relative:paragraph;z-index:2680;mso-wrap-distance-left:0;mso-wrap-distance-right:0" from="72pt,23.991844pt" to="468pt,23.991844pt" stroked="true" strokeweight=".5pt" strokecolor="#00a94f">
            <v:stroke dashstyle="solid"/>
            <w10:wrap type="topAndBottom"/>
          </v:line>
        </w:pict>
      </w:r>
      <w:r>
        <w:rPr>
          <w:color w:val="00A94F"/>
          <w:spacing w:val="-4"/>
        </w:rPr>
        <w:t>References</w:t>
      </w:r>
    </w:p>
    <w:p>
      <w:pPr>
        <w:pStyle w:val="ListParagraph"/>
        <w:numPr>
          <w:ilvl w:val="0"/>
          <w:numId w:val="20"/>
        </w:numPr>
        <w:tabs>
          <w:tab w:pos="1603" w:val="left" w:leader="none"/>
        </w:tabs>
        <w:spacing w:line="264" w:lineRule="auto" w:before="218" w:after="0"/>
        <w:ind w:left="1602" w:right="4969" w:hanging="162"/>
        <w:jc w:val="left"/>
        <w:rPr>
          <w:sz w:val="17"/>
        </w:rPr>
      </w:pPr>
      <w:r>
        <w:rPr>
          <w:color w:val="231F20"/>
          <w:sz w:val="17"/>
        </w:rPr>
        <w:t>Council to Improve Foodborne Outbreak Response (CIFOR). CIFOR Industry Guidelines: Foodborne Illness Guidelines for Owners, Operators, and Managers of </w:t>
      </w:r>
      <w:r>
        <w:rPr>
          <w:color w:val="231F20"/>
          <w:spacing w:val="-4"/>
          <w:sz w:val="17"/>
        </w:rPr>
        <w:t>Food </w:t>
      </w:r>
      <w:r>
        <w:rPr>
          <w:color w:val="231F20"/>
          <w:sz w:val="17"/>
        </w:rPr>
        <w:t>Establishments. Washington,</w:t>
      </w:r>
      <w:r>
        <w:rPr>
          <w:color w:val="231F20"/>
          <w:spacing w:val="-29"/>
          <w:sz w:val="17"/>
        </w:rPr>
        <w:t> </w:t>
      </w:r>
      <w:r>
        <w:rPr>
          <w:color w:val="231F20"/>
          <w:spacing w:val="-3"/>
          <w:sz w:val="17"/>
        </w:rPr>
        <w:t>D.C.: </w:t>
      </w:r>
      <w:r>
        <w:rPr>
          <w:color w:val="231F20"/>
          <w:sz w:val="17"/>
        </w:rPr>
        <w:t>National Association of County and City Officials, 2013.</w:t>
      </w:r>
    </w:p>
    <w:p>
      <w:pPr>
        <w:pStyle w:val="ListParagraph"/>
        <w:numPr>
          <w:ilvl w:val="0"/>
          <w:numId w:val="20"/>
        </w:numPr>
        <w:tabs>
          <w:tab w:pos="1603" w:val="left" w:leader="none"/>
        </w:tabs>
        <w:spacing w:line="264" w:lineRule="auto" w:before="86" w:after="0"/>
        <w:ind w:left="1602" w:right="4895" w:hanging="162"/>
        <w:jc w:val="left"/>
        <w:rPr>
          <w:sz w:val="17"/>
        </w:rPr>
      </w:pPr>
      <w:r>
        <w:rPr>
          <w:color w:val="231F20"/>
          <w:sz w:val="17"/>
        </w:rPr>
        <w:t>CDC.</w:t>
      </w:r>
      <w:r>
        <w:rPr>
          <w:color w:val="231F20"/>
          <w:spacing w:val="-9"/>
          <w:sz w:val="17"/>
        </w:rPr>
        <w:t> </w:t>
      </w:r>
      <w:r>
        <w:rPr>
          <w:color w:val="231F20"/>
          <w:sz w:val="17"/>
        </w:rPr>
        <w:t>Menu</w:t>
      </w:r>
      <w:r>
        <w:rPr>
          <w:color w:val="231F20"/>
          <w:spacing w:val="-9"/>
          <w:sz w:val="17"/>
        </w:rPr>
        <w:t> </w:t>
      </w:r>
      <w:r>
        <w:rPr>
          <w:color w:val="231F20"/>
          <w:sz w:val="17"/>
        </w:rPr>
        <w:t>of</w:t>
      </w:r>
      <w:r>
        <w:rPr>
          <w:color w:val="231F20"/>
          <w:spacing w:val="10"/>
          <w:sz w:val="17"/>
        </w:rPr>
        <w:t> </w:t>
      </w:r>
      <w:r>
        <w:rPr>
          <w:color w:val="231F20"/>
          <w:sz w:val="17"/>
        </w:rPr>
        <w:t>Suggested</w:t>
      </w:r>
      <w:r>
        <w:rPr>
          <w:color w:val="231F20"/>
          <w:spacing w:val="-9"/>
          <w:sz w:val="17"/>
        </w:rPr>
        <w:t> </w:t>
      </w:r>
      <w:r>
        <w:rPr>
          <w:color w:val="231F20"/>
          <w:sz w:val="17"/>
        </w:rPr>
        <w:t>Provisions</w:t>
      </w:r>
      <w:r>
        <w:rPr>
          <w:color w:val="231F20"/>
          <w:spacing w:val="-9"/>
          <w:sz w:val="17"/>
        </w:rPr>
        <w:t> </w:t>
      </w:r>
      <w:r>
        <w:rPr>
          <w:color w:val="231F20"/>
          <w:sz w:val="17"/>
        </w:rPr>
        <w:t>for</w:t>
      </w:r>
      <w:r>
        <w:rPr>
          <w:color w:val="231F20"/>
          <w:spacing w:val="-9"/>
          <w:sz w:val="17"/>
        </w:rPr>
        <w:t> </w:t>
      </w:r>
      <w:r>
        <w:rPr>
          <w:color w:val="231F20"/>
          <w:sz w:val="17"/>
        </w:rPr>
        <w:t>Public</w:t>
      </w:r>
      <w:r>
        <w:rPr>
          <w:color w:val="231F20"/>
          <w:spacing w:val="-9"/>
          <w:sz w:val="17"/>
        </w:rPr>
        <w:t> </w:t>
      </w:r>
      <w:r>
        <w:rPr>
          <w:color w:val="231F20"/>
          <w:sz w:val="17"/>
        </w:rPr>
        <w:t>Health Mutual Aid Agreements. Available at </w:t>
      </w:r>
      <w:hyperlink r:id="rId11">
        <w:r>
          <w:rPr>
            <w:color w:val="0079C1"/>
            <w:spacing w:val="-3"/>
            <w:sz w:val="17"/>
          </w:rPr>
          <w:t>www.cdc.gov/</w:t>
        </w:r>
      </w:hyperlink>
      <w:r>
        <w:rPr>
          <w:color w:val="0079C1"/>
          <w:spacing w:val="-3"/>
          <w:sz w:val="17"/>
        </w:rPr>
        <w:t> </w:t>
      </w:r>
      <w:r>
        <w:rPr>
          <w:color w:val="0079C1"/>
          <w:sz w:val="17"/>
        </w:rPr>
        <w:t>phlp/publications/topic/mutual_aid.html </w:t>
      </w:r>
      <w:r>
        <w:rPr>
          <w:color w:val="231F20"/>
          <w:sz w:val="17"/>
        </w:rPr>
        <w:t>(accessed April 8, 2014).</w:t>
      </w:r>
    </w:p>
    <w:p>
      <w:pPr>
        <w:pStyle w:val="ListParagraph"/>
        <w:numPr>
          <w:ilvl w:val="0"/>
          <w:numId w:val="20"/>
        </w:numPr>
        <w:tabs>
          <w:tab w:pos="1603" w:val="left" w:leader="none"/>
        </w:tabs>
        <w:spacing w:line="264" w:lineRule="auto" w:before="86" w:after="0"/>
        <w:ind w:left="1602" w:right="5091" w:hanging="162"/>
        <w:jc w:val="left"/>
        <w:rPr>
          <w:sz w:val="17"/>
        </w:rPr>
      </w:pPr>
      <w:r>
        <w:rPr>
          <w:color w:val="231F20"/>
          <w:spacing w:val="-3"/>
          <w:sz w:val="17"/>
        </w:rPr>
        <w:t>Kux </w:t>
      </w:r>
      <w:r>
        <w:rPr>
          <w:color w:val="231F20"/>
          <w:sz w:val="17"/>
        </w:rPr>
        <w:t>L, Sobel </w:t>
      </w:r>
      <w:r>
        <w:rPr>
          <w:color w:val="231F20"/>
          <w:spacing w:val="-6"/>
          <w:sz w:val="17"/>
        </w:rPr>
        <w:t>J, </w:t>
      </w:r>
      <w:r>
        <w:rPr>
          <w:color w:val="231F20"/>
          <w:spacing w:val="-3"/>
          <w:sz w:val="17"/>
        </w:rPr>
        <w:t>Fain </w:t>
      </w:r>
      <w:r>
        <w:rPr>
          <w:color w:val="231F20"/>
          <w:sz w:val="17"/>
        </w:rPr>
        <w:t>KM. Control of foodborne diseases;</w:t>
      </w:r>
      <w:r>
        <w:rPr>
          <w:color w:val="231F20"/>
          <w:spacing w:val="-6"/>
          <w:sz w:val="17"/>
        </w:rPr>
        <w:t> </w:t>
      </w:r>
      <w:r>
        <w:rPr>
          <w:color w:val="231F20"/>
          <w:sz w:val="17"/>
        </w:rPr>
        <w:t>In:</w:t>
      </w:r>
      <w:r>
        <w:rPr>
          <w:color w:val="231F20"/>
          <w:spacing w:val="-6"/>
          <w:sz w:val="17"/>
        </w:rPr>
        <w:t> </w:t>
      </w:r>
      <w:r>
        <w:rPr>
          <w:color w:val="231F20"/>
          <w:sz w:val="17"/>
        </w:rPr>
        <w:t>Goodman</w:t>
      </w:r>
      <w:r>
        <w:rPr>
          <w:color w:val="231F20"/>
          <w:spacing w:val="-6"/>
          <w:sz w:val="17"/>
        </w:rPr>
        <w:t> </w:t>
      </w:r>
      <w:r>
        <w:rPr>
          <w:color w:val="231F20"/>
          <w:sz w:val="17"/>
        </w:rPr>
        <w:t>RA,</w:t>
      </w:r>
      <w:r>
        <w:rPr>
          <w:color w:val="231F20"/>
          <w:spacing w:val="-6"/>
          <w:sz w:val="17"/>
        </w:rPr>
        <w:t> </w:t>
      </w:r>
      <w:r>
        <w:rPr>
          <w:color w:val="231F20"/>
          <w:sz w:val="17"/>
        </w:rPr>
        <w:t>Hoffman</w:t>
      </w:r>
      <w:r>
        <w:rPr>
          <w:color w:val="231F20"/>
          <w:spacing w:val="-6"/>
          <w:sz w:val="17"/>
        </w:rPr>
        <w:t> </w:t>
      </w:r>
      <w:r>
        <w:rPr>
          <w:color w:val="231F20"/>
          <w:sz w:val="17"/>
        </w:rPr>
        <w:t>RE,</w:t>
      </w:r>
      <w:r>
        <w:rPr>
          <w:color w:val="231F20"/>
          <w:spacing w:val="-6"/>
          <w:sz w:val="17"/>
        </w:rPr>
        <w:t> </w:t>
      </w:r>
      <w:r>
        <w:rPr>
          <w:color w:val="231F20"/>
          <w:sz w:val="17"/>
        </w:rPr>
        <w:t>Lopez</w:t>
      </w:r>
      <w:r>
        <w:rPr>
          <w:color w:val="231F20"/>
          <w:spacing w:val="-6"/>
          <w:sz w:val="17"/>
        </w:rPr>
        <w:t> </w:t>
      </w:r>
      <w:r>
        <w:rPr>
          <w:color w:val="231F20"/>
          <w:spacing w:val="-12"/>
          <w:sz w:val="17"/>
        </w:rPr>
        <w:t>W, </w:t>
      </w:r>
      <w:r>
        <w:rPr>
          <w:color w:val="231F20"/>
          <w:sz w:val="17"/>
        </w:rPr>
        <w:t>Matthews </w:t>
      </w:r>
      <w:r>
        <w:rPr>
          <w:color w:val="231F20"/>
          <w:spacing w:val="-8"/>
          <w:sz w:val="17"/>
        </w:rPr>
        <w:t>GW, </w:t>
      </w:r>
      <w:r>
        <w:rPr>
          <w:color w:val="231F20"/>
          <w:sz w:val="17"/>
        </w:rPr>
        <w:t>Rothstein MA, </w:t>
      </w:r>
      <w:r>
        <w:rPr>
          <w:color w:val="231F20"/>
          <w:spacing w:val="-3"/>
          <w:sz w:val="17"/>
        </w:rPr>
        <w:t>Foster </w:t>
      </w:r>
      <w:r>
        <w:rPr>
          <w:color w:val="231F20"/>
          <w:sz w:val="17"/>
        </w:rPr>
        <w:t>KL. Law in public health practice. 2nd ed. New </w:t>
      </w:r>
      <w:r>
        <w:rPr>
          <w:color w:val="231F20"/>
          <w:spacing w:val="-5"/>
          <w:sz w:val="17"/>
        </w:rPr>
        <w:t>York: </w:t>
      </w:r>
      <w:r>
        <w:rPr>
          <w:color w:val="231F20"/>
          <w:sz w:val="17"/>
        </w:rPr>
        <w:t>Oxford University Press; 2007:</w:t>
      </w:r>
      <w:r>
        <w:rPr>
          <w:color w:val="231F20"/>
          <w:spacing w:val="-9"/>
          <w:sz w:val="17"/>
        </w:rPr>
        <w:t> </w:t>
      </w:r>
      <w:r>
        <w:rPr>
          <w:color w:val="231F20"/>
          <w:sz w:val="17"/>
        </w:rPr>
        <w:t>361–84.</w:t>
      </w:r>
    </w:p>
    <w:p>
      <w:pPr>
        <w:pStyle w:val="ListParagraph"/>
        <w:numPr>
          <w:ilvl w:val="0"/>
          <w:numId w:val="20"/>
        </w:numPr>
        <w:tabs>
          <w:tab w:pos="1603" w:val="left" w:leader="none"/>
        </w:tabs>
        <w:spacing w:line="264" w:lineRule="auto" w:before="86" w:after="0"/>
        <w:ind w:left="1602" w:right="4892" w:hanging="162"/>
        <w:jc w:val="left"/>
        <w:rPr>
          <w:sz w:val="17"/>
        </w:rPr>
      </w:pPr>
      <w:r>
        <w:rPr>
          <w:color w:val="231F20"/>
          <w:sz w:val="17"/>
        </w:rPr>
        <w:t>Lazzarini Z, Goodman RA, Dammers KS. Criminal law and public health practice. In: Goodman RA, Hoffman RE, Lopez </w:t>
      </w:r>
      <w:r>
        <w:rPr>
          <w:color w:val="231F20"/>
          <w:spacing w:val="-12"/>
          <w:sz w:val="17"/>
        </w:rPr>
        <w:t>W, </w:t>
      </w:r>
      <w:r>
        <w:rPr>
          <w:color w:val="231F20"/>
          <w:sz w:val="17"/>
        </w:rPr>
        <w:t>Matthews </w:t>
      </w:r>
      <w:r>
        <w:rPr>
          <w:color w:val="231F20"/>
          <w:spacing w:val="-8"/>
          <w:sz w:val="17"/>
        </w:rPr>
        <w:t>GW, </w:t>
      </w:r>
      <w:r>
        <w:rPr>
          <w:color w:val="231F20"/>
          <w:sz w:val="17"/>
        </w:rPr>
        <w:t>Rothstein</w:t>
      </w:r>
      <w:r>
        <w:rPr>
          <w:color w:val="231F20"/>
          <w:spacing w:val="-18"/>
          <w:sz w:val="17"/>
        </w:rPr>
        <w:t> </w:t>
      </w:r>
      <w:r>
        <w:rPr>
          <w:color w:val="231F20"/>
          <w:sz w:val="17"/>
        </w:rPr>
        <w:t>MA, </w:t>
      </w:r>
      <w:r>
        <w:rPr>
          <w:color w:val="231F20"/>
          <w:spacing w:val="-3"/>
          <w:sz w:val="17"/>
        </w:rPr>
        <w:t>Foster </w:t>
      </w:r>
      <w:r>
        <w:rPr>
          <w:color w:val="231F20"/>
          <w:sz w:val="17"/>
        </w:rPr>
        <w:t>KL. Law in public health practice. 2nd ed. New </w:t>
      </w:r>
      <w:r>
        <w:rPr>
          <w:color w:val="231F20"/>
          <w:spacing w:val="-5"/>
          <w:sz w:val="17"/>
        </w:rPr>
        <w:t>York: </w:t>
      </w:r>
      <w:r>
        <w:rPr>
          <w:color w:val="231F20"/>
          <w:sz w:val="17"/>
        </w:rPr>
        <w:t>Oxford University Press;</w:t>
      </w:r>
      <w:r>
        <w:rPr>
          <w:color w:val="231F20"/>
          <w:spacing w:val="-27"/>
          <w:sz w:val="17"/>
        </w:rPr>
        <w:t> </w:t>
      </w:r>
      <w:r>
        <w:rPr>
          <w:color w:val="231F20"/>
          <w:sz w:val="17"/>
        </w:rPr>
        <w:t>2007:136–67.</w:t>
      </w:r>
    </w:p>
    <w:p>
      <w:pPr>
        <w:pStyle w:val="ListParagraph"/>
        <w:numPr>
          <w:ilvl w:val="0"/>
          <w:numId w:val="20"/>
        </w:numPr>
        <w:tabs>
          <w:tab w:pos="1603" w:val="left" w:leader="none"/>
        </w:tabs>
        <w:spacing w:line="264" w:lineRule="auto" w:before="86" w:after="0"/>
        <w:ind w:left="1602" w:right="4912" w:hanging="162"/>
        <w:jc w:val="left"/>
        <w:rPr>
          <w:sz w:val="17"/>
        </w:rPr>
      </w:pPr>
      <w:r>
        <w:rPr>
          <w:color w:val="231F20"/>
          <w:sz w:val="17"/>
        </w:rPr>
        <w:t>CDC.</w:t>
      </w:r>
      <w:r>
        <w:rPr>
          <w:color w:val="231F20"/>
          <w:spacing w:val="-7"/>
          <w:sz w:val="17"/>
        </w:rPr>
        <w:t> </w:t>
      </w:r>
      <w:r>
        <w:rPr>
          <w:color w:val="231F20"/>
          <w:spacing w:val="-3"/>
          <w:sz w:val="17"/>
        </w:rPr>
        <w:t>Forensic</w:t>
      </w:r>
      <w:r>
        <w:rPr>
          <w:color w:val="231F20"/>
          <w:spacing w:val="-7"/>
          <w:sz w:val="17"/>
        </w:rPr>
        <w:t> </w:t>
      </w:r>
      <w:r>
        <w:rPr>
          <w:color w:val="231F20"/>
          <w:sz w:val="17"/>
        </w:rPr>
        <w:t>Epidemiology,</w:t>
      </w:r>
      <w:r>
        <w:rPr>
          <w:color w:val="231F20"/>
          <w:spacing w:val="-7"/>
          <w:sz w:val="17"/>
        </w:rPr>
        <w:t> </w:t>
      </w:r>
      <w:r>
        <w:rPr>
          <w:color w:val="231F20"/>
          <w:spacing w:val="-10"/>
          <w:sz w:val="17"/>
        </w:rPr>
        <w:t>v.</w:t>
      </w:r>
      <w:r>
        <w:rPr>
          <w:color w:val="231F20"/>
          <w:spacing w:val="-7"/>
          <w:sz w:val="17"/>
        </w:rPr>
        <w:t> </w:t>
      </w:r>
      <w:r>
        <w:rPr>
          <w:color w:val="231F20"/>
          <w:sz w:val="17"/>
        </w:rPr>
        <w:t>3.0.</w:t>
      </w:r>
      <w:r>
        <w:rPr>
          <w:color w:val="231F20"/>
          <w:spacing w:val="-7"/>
          <w:sz w:val="17"/>
        </w:rPr>
        <w:t> </w:t>
      </w:r>
      <w:r>
        <w:rPr>
          <w:color w:val="231F20"/>
          <w:sz w:val="17"/>
        </w:rPr>
        <w:t>Available</w:t>
      </w:r>
      <w:r>
        <w:rPr>
          <w:color w:val="231F20"/>
          <w:spacing w:val="-7"/>
          <w:sz w:val="17"/>
        </w:rPr>
        <w:t> </w:t>
      </w:r>
      <w:r>
        <w:rPr>
          <w:color w:val="231F20"/>
          <w:sz w:val="17"/>
        </w:rPr>
        <w:t>at</w:t>
      </w:r>
      <w:r>
        <w:rPr>
          <w:color w:val="231F20"/>
          <w:spacing w:val="-7"/>
          <w:sz w:val="17"/>
        </w:rPr>
        <w:t> </w:t>
      </w:r>
      <w:hyperlink r:id="rId12">
        <w:r>
          <w:rPr>
            <w:color w:val="0079C1"/>
            <w:spacing w:val="-5"/>
            <w:sz w:val="17"/>
          </w:rPr>
          <w:t>www.</w:t>
        </w:r>
      </w:hyperlink>
      <w:r>
        <w:rPr>
          <w:color w:val="0079C1"/>
          <w:spacing w:val="-5"/>
          <w:sz w:val="17"/>
        </w:rPr>
        <w:t> </w:t>
      </w:r>
      <w:r>
        <w:rPr>
          <w:color w:val="0079C1"/>
          <w:sz w:val="17"/>
        </w:rPr>
        <w:t>cdc.gov/phlp/publications/forensicepidemiology/ index.html </w:t>
      </w:r>
      <w:r>
        <w:rPr>
          <w:color w:val="231F20"/>
          <w:sz w:val="17"/>
        </w:rPr>
        <w:t>(accessed April 8,</w:t>
      </w:r>
      <w:r>
        <w:rPr>
          <w:color w:val="231F20"/>
          <w:spacing w:val="-27"/>
          <w:sz w:val="17"/>
        </w:rPr>
        <w:t> </w:t>
      </w:r>
      <w:r>
        <w:rPr>
          <w:color w:val="231F20"/>
          <w:sz w:val="17"/>
        </w:rPr>
        <w:t>2014).</w:t>
      </w:r>
    </w:p>
    <w:p>
      <w:pPr>
        <w:pStyle w:val="ListParagraph"/>
        <w:numPr>
          <w:ilvl w:val="0"/>
          <w:numId w:val="20"/>
        </w:numPr>
        <w:tabs>
          <w:tab w:pos="1603" w:val="left" w:leader="none"/>
        </w:tabs>
        <w:spacing w:line="264" w:lineRule="auto" w:before="86" w:after="0"/>
        <w:ind w:left="1602" w:right="5012" w:hanging="162"/>
        <w:jc w:val="left"/>
        <w:rPr>
          <w:sz w:val="17"/>
        </w:rPr>
      </w:pPr>
      <w:r>
        <w:rPr>
          <w:color w:val="231F20"/>
          <w:sz w:val="17"/>
        </w:rPr>
        <w:t>CDC. Model Memorandum of Understanding for Joint</w:t>
      </w:r>
      <w:r>
        <w:rPr>
          <w:color w:val="231F20"/>
          <w:spacing w:val="-22"/>
          <w:sz w:val="17"/>
        </w:rPr>
        <w:t> </w:t>
      </w:r>
      <w:r>
        <w:rPr>
          <w:color w:val="231F20"/>
          <w:sz w:val="17"/>
        </w:rPr>
        <w:t>Public</w:t>
      </w:r>
      <w:r>
        <w:rPr>
          <w:color w:val="231F20"/>
          <w:spacing w:val="-22"/>
          <w:sz w:val="17"/>
        </w:rPr>
        <w:t> </w:t>
      </w:r>
      <w:r>
        <w:rPr>
          <w:color w:val="231F20"/>
          <w:sz w:val="17"/>
        </w:rPr>
        <w:t>Health–Law</w:t>
      </w:r>
      <w:r>
        <w:rPr>
          <w:color w:val="231F20"/>
          <w:spacing w:val="-22"/>
          <w:sz w:val="17"/>
        </w:rPr>
        <w:t> </w:t>
      </w:r>
      <w:r>
        <w:rPr>
          <w:color w:val="231F20"/>
          <w:sz w:val="17"/>
        </w:rPr>
        <w:t>Enforcement</w:t>
      </w:r>
      <w:r>
        <w:rPr>
          <w:color w:val="231F20"/>
          <w:spacing w:val="-22"/>
          <w:sz w:val="17"/>
        </w:rPr>
        <w:t> </w:t>
      </w:r>
      <w:r>
        <w:rPr>
          <w:color w:val="231F20"/>
          <w:sz w:val="17"/>
        </w:rPr>
        <w:t>Investigations. Available at </w:t>
      </w:r>
      <w:hyperlink r:id="rId13">
        <w:r>
          <w:rPr>
            <w:color w:val="0079C1"/>
            <w:sz w:val="17"/>
          </w:rPr>
          <w:t>www.cdc.gov/phlp/publications/type/</w:t>
        </w:r>
      </w:hyperlink>
      <w:r>
        <w:rPr>
          <w:color w:val="0079C1"/>
          <w:sz w:val="17"/>
        </w:rPr>
        <w:t> mmou.html</w:t>
      </w:r>
      <w:r>
        <w:rPr>
          <w:color w:val="0079C1"/>
          <w:spacing w:val="-8"/>
          <w:sz w:val="17"/>
        </w:rPr>
        <w:t> </w:t>
      </w:r>
      <w:r>
        <w:rPr>
          <w:color w:val="231F20"/>
          <w:sz w:val="17"/>
        </w:rPr>
        <w:t>(accessed</w:t>
      </w:r>
      <w:r>
        <w:rPr>
          <w:color w:val="231F20"/>
          <w:spacing w:val="-8"/>
          <w:sz w:val="17"/>
        </w:rPr>
        <w:t> </w:t>
      </w:r>
      <w:r>
        <w:rPr>
          <w:color w:val="231F20"/>
          <w:sz w:val="17"/>
        </w:rPr>
        <w:t>April</w:t>
      </w:r>
      <w:r>
        <w:rPr>
          <w:color w:val="231F20"/>
          <w:spacing w:val="-8"/>
          <w:sz w:val="17"/>
        </w:rPr>
        <w:t> </w:t>
      </w:r>
      <w:r>
        <w:rPr>
          <w:color w:val="231F20"/>
          <w:sz w:val="17"/>
        </w:rPr>
        <w:t>8,</w:t>
      </w:r>
      <w:r>
        <w:rPr>
          <w:color w:val="231F20"/>
          <w:spacing w:val="-8"/>
          <w:sz w:val="17"/>
        </w:rPr>
        <w:t> </w:t>
      </w:r>
      <w:r>
        <w:rPr>
          <w:color w:val="231F20"/>
          <w:sz w:val="17"/>
        </w:rPr>
        <w:t>2014).</w:t>
      </w:r>
    </w:p>
    <w:sectPr>
      <w:pgSz w:w="10080" w:h="14400"/>
      <w:pgMar w:header="0" w:footer="0" w:top="1160" w:bottom="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Garamond">
    <w:altName w:val="Garamond"/>
    <w:charset w:val="0"/>
    <w:family w:val="roman"/>
    <w:pitch w:val="variable"/>
  </w:font>
  <w:font w:name="Lucida Sans">
    <w:altName w:val="Lucida Sans"/>
    <w:charset w:val="0"/>
    <w:family w:val="swiss"/>
    <w:pitch w:val="variable"/>
  </w:font>
  <w:font w:name="Trebuchet MS">
    <w:altName w:val="Trebuchet MS"/>
    <w:charset w:val="0"/>
    <w:family w:val="swiss"/>
    <w:pitch w:val="variable"/>
  </w:font>
  <w:font w:name="Arial">
    <w:altName w:val="Arial"/>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5pt;margin-top:-1pt;width:505pt;height:59.6pt;mso-position-horizontal-relative:page;mso-position-vertical-relative:page;z-index:-16264" coordorigin="-10,-20" coordsize="10100,1192">
          <v:shape style="position:absolute;left:0;top:0;width:10080;height:900" type="#_x0000_t75" stroked="false">
            <v:imagedata r:id="rId1" o:title=""/>
          </v:shape>
          <v:shape style="position:absolute;left:360;top:360;width:360;height:360" type="#_x0000_t75" stroked="false">
            <v:imagedata r:id="rId2" o:title=""/>
          </v:shape>
          <v:line style="position:absolute" from="1100,0" to="1100,1152" stroked="true" strokeweight="2pt" strokecolor="#ffffff">
            <v:stroke dashstyle="solid"/>
          </v:line>
          <v:line style="position:absolute" from="0,910" to="10080,910" stroked="true" strokeweight="1pt" strokecolor="#1c3e94">
            <v:stroke dashstyle="solid"/>
          </v:line>
          <w10:wrap type="none"/>
        </v:group>
      </w:pict>
    </w:r>
    <w:r>
      <w:rPr/>
      <w:pict>
        <v:shape style="position:absolute;margin-left:17.7703pt;margin-top:21.131701pt;width:16.95pt;height:12.9pt;mso-position-horizontal-relative:page;mso-position-vertical-relative:page;z-index:-16240" type="#_x0000_t202" filled="false" stroked="false">
          <v:textbox inset="0,0,0,0">
            <w:txbxContent>
              <w:p>
                <w:pPr>
                  <w:spacing w:before="12"/>
                  <w:ind w:left="40" w:right="0" w:firstLine="0"/>
                  <w:jc w:val="left"/>
                  <w:rPr>
                    <w:rFonts w:ascii="Lucida Sans"/>
                    <w:sz w:val="18"/>
                  </w:rPr>
                </w:pPr>
                <w:r>
                  <w:rPr/>
                  <w:fldChar w:fldCharType="begin"/>
                </w:r>
                <w:r>
                  <w:rPr>
                    <w:rFonts w:ascii="Lucida Sans"/>
                    <w:color w:val="0079C1"/>
                    <w:w w:val="80"/>
                    <w:sz w:val="18"/>
                  </w:rPr>
                  <w:instrText> PAGE </w:instrText>
                </w:r>
                <w:r>
                  <w:rPr/>
                  <w:fldChar w:fldCharType="separate"/>
                </w:r>
                <w:r>
                  <w:rPr/>
                  <w:t>234</w:t>
                </w:r>
                <w:r>
                  <w:rPr/>
                  <w:fldChar w:fldCharType="end"/>
                </w:r>
              </w:p>
            </w:txbxContent>
          </v:textbox>
          <w10:wrap type="none"/>
        </v:shape>
      </w:pict>
    </w:r>
    <w:r>
      <w:rPr/>
      <w:pict>
        <v:shape style="position:absolute;margin-left:71pt;margin-top:21.131701pt;width:275.150pt;height:12.9pt;mso-position-horizontal-relative:page;mso-position-vertical-relative:page;z-index:-16216" type="#_x0000_t202" filled="false" stroked="false">
          <v:textbox inset="0,0,0,0">
            <w:txbxContent>
              <w:p>
                <w:pPr>
                  <w:spacing w:before="12"/>
                  <w:ind w:left="20" w:right="0" w:firstLine="0"/>
                  <w:jc w:val="left"/>
                  <w:rPr>
                    <w:rFonts w:ascii="Lucida Sans"/>
                    <w:sz w:val="18"/>
                  </w:rPr>
                </w:pPr>
                <w:r>
                  <w:rPr>
                    <w:rFonts w:ascii="Lucida Sans"/>
                    <w:color w:val="FFFFFF"/>
                    <w:sz w:val="18"/>
                  </w:rPr>
                  <w:t>CIFOR | Council to Improve Foodborne Outbreak Response</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5pt;margin-top:-1pt;width:505pt;height:50.6pt;mso-position-horizontal-relative:page;mso-position-vertical-relative:page;z-index:-16192" coordorigin="-10,-20" coordsize="10100,1012">
          <v:shape style="position:absolute;left:0;top:0;width:10080;height:900" type="#_x0000_t75" stroked="false">
            <v:imagedata r:id="rId1" o:title=""/>
          </v:shape>
          <v:shape style="position:absolute;left:9360;top:360;width:360;height:360" type="#_x0000_t75" stroked="false">
            <v:imagedata r:id="rId2" o:title=""/>
          </v:shape>
          <v:line style="position:absolute" from="9020,0" to="9020,972" stroked="true" strokeweight="2pt" strokecolor="#ffffff">
            <v:stroke dashstyle="solid"/>
          </v:line>
          <v:line style="position:absolute" from="0,910" to="10080,910" stroked="true" strokeweight="1pt" strokecolor="#1c3e94">
            <v:stroke dashstyle="solid"/>
          </v:line>
          <w10:wrap type="none"/>
        </v:group>
      </w:pict>
    </w:r>
    <w:r>
      <w:rPr/>
      <w:pict>
        <v:shape style="position:absolute;margin-left:150.479797pt;margin-top:21.131701pt;width:283pt;height:12.9pt;mso-position-horizontal-relative:page;mso-position-vertical-relative:page;z-index:-16168" type="#_x0000_t202" filled="false" stroked="false">
          <v:textbox inset="0,0,0,0">
            <w:txbxContent>
              <w:p>
                <w:pPr>
                  <w:spacing w:before="12"/>
                  <w:ind w:left="20" w:right="0" w:firstLine="0"/>
                  <w:jc w:val="left"/>
                  <w:rPr>
                    <w:rFonts w:ascii="Lucida Sans"/>
                    <w:sz w:val="18"/>
                  </w:rPr>
                </w:pPr>
                <w:r>
                  <w:rPr>
                    <w:rFonts w:ascii="Lucida Sans"/>
                    <w:color w:val="FFFFFF"/>
                    <w:sz w:val="18"/>
                  </w:rPr>
                  <w:t>2014 | Guidelines for Foodborne Disease Outbreak Response</w:t>
                </w:r>
              </w:p>
            </w:txbxContent>
          </v:textbox>
          <w10:wrap type="none"/>
        </v:shape>
      </w:pict>
    </w:r>
    <w:r>
      <w:rPr/>
      <w:pict>
        <v:shape style="position:absolute;margin-left:468.123108pt;margin-top:21.131701pt;width:16.95pt;height:12.9pt;mso-position-horizontal-relative:page;mso-position-vertical-relative:page;z-index:-16144" type="#_x0000_t202" filled="false" stroked="false">
          <v:textbox inset="0,0,0,0">
            <w:txbxContent>
              <w:p>
                <w:pPr>
                  <w:spacing w:before="12"/>
                  <w:ind w:left="40" w:right="0" w:firstLine="0"/>
                  <w:jc w:val="left"/>
                  <w:rPr>
                    <w:rFonts w:ascii="Lucida Sans"/>
                    <w:sz w:val="18"/>
                  </w:rPr>
                </w:pPr>
                <w:r>
                  <w:rPr/>
                  <w:fldChar w:fldCharType="begin"/>
                </w:r>
                <w:r>
                  <w:rPr>
                    <w:rFonts w:ascii="Lucida Sans"/>
                    <w:color w:val="0079C1"/>
                    <w:w w:val="80"/>
                    <w:sz w:val="18"/>
                  </w:rPr>
                  <w:instrText> PAGE </w:instrText>
                </w:r>
                <w:r>
                  <w:rPr/>
                  <w:fldChar w:fldCharType="separate"/>
                </w:r>
                <w:r>
                  <w:rPr/>
                  <w:t>235</w:t>
                </w:r>
                <w:r>
                  <w:rPr/>
                  <w:fldChar w:fldCharType="end"/>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
    <w:multiLevelType w:val="hybridMultilevel"/>
    <w:lvl w:ilvl="0">
      <w:start w:val="1"/>
      <w:numFmt w:val="decimal"/>
      <w:lvlText w:val="%1"/>
      <w:lvlJc w:val="left"/>
      <w:pPr>
        <w:ind w:left="1602" w:hanging="163"/>
        <w:jc w:val="left"/>
      </w:pPr>
      <w:rPr>
        <w:rFonts w:hint="default" w:ascii="Garamond" w:hAnsi="Garamond" w:eastAsia="Garamond" w:cs="Garamond"/>
        <w:color w:val="231F20"/>
        <w:w w:val="102"/>
        <w:sz w:val="17"/>
        <w:szCs w:val="17"/>
      </w:rPr>
    </w:lvl>
    <w:lvl w:ilvl="1">
      <w:start w:val="0"/>
      <w:numFmt w:val="bullet"/>
      <w:lvlText w:val="•"/>
      <w:lvlJc w:val="left"/>
      <w:pPr>
        <w:ind w:left="2448" w:hanging="163"/>
      </w:pPr>
      <w:rPr>
        <w:rFonts w:hint="default"/>
      </w:rPr>
    </w:lvl>
    <w:lvl w:ilvl="2">
      <w:start w:val="0"/>
      <w:numFmt w:val="bullet"/>
      <w:lvlText w:val="•"/>
      <w:lvlJc w:val="left"/>
      <w:pPr>
        <w:ind w:left="3296" w:hanging="163"/>
      </w:pPr>
      <w:rPr>
        <w:rFonts w:hint="default"/>
      </w:rPr>
    </w:lvl>
    <w:lvl w:ilvl="3">
      <w:start w:val="0"/>
      <w:numFmt w:val="bullet"/>
      <w:lvlText w:val="•"/>
      <w:lvlJc w:val="left"/>
      <w:pPr>
        <w:ind w:left="4144" w:hanging="163"/>
      </w:pPr>
      <w:rPr>
        <w:rFonts w:hint="default"/>
      </w:rPr>
    </w:lvl>
    <w:lvl w:ilvl="4">
      <w:start w:val="0"/>
      <w:numFmt w:val="bullet"/>
      <w:lvlText w:val="•"/>
      <w:lvlJc w:val="left"/>
      <w:pPr>
        <w:ind w:left="4992" w:hanging="163"/>
      </w:pPr>
      <w:rPr>
        <w:rFonts w:hint="default"/>
      </w:rPr>
    </w:lvl>
    <w:lvl w:ilvl="5">
      <w:start w:val="0"/>
      <w:numFmt w:val="bullet"/>
      <w:lvlText w:val="•"/>
      <w:lvlJc w:val="left"/>
      <w:pPr>
        <w:ind w:left="5840" w:hanging="163"/>
      </w:pPr>
      <w:rPr>
        <w:rFonts w:hint="default"/>
      </w:rPr>
    </w:lvl>
    <w:lvl w:ilvl="6">
      <w:start w:val="0"/>
      <w:numFmt w:val="bullet"/>
      <w:lvlText w:val="•"/>
      <w:lvlJc w:val="left"/>
      <w:pPr>
        <w:ind w:left="6688" w:hanging="163"/>
      </w:pPr>
      <w:rPr>
        <w:rFonts w:hint="default"/>
      </w:rPr>
    </w:lvl>
    <w:lvl w:ilvl="7">
      <w:start w:val="0"/>
      <w:numFmt w:val="bullet"/>
      <w:lvlText w:val="•"/>
      <w:lvlJc w:val="left"/>
      <w:pPr>
        <w:ind w:left="7536" w:hanging="163"/>
      </w:pPr>
      <w:rPr>
        <w:rFonts w:hint="default"/>
      </w:rPr>
    </w:lvl>
    <w:lvl w:ilvl="8">
      <w:start w:val="0"/>
      <w:numFmt w:val="bullet"/>
      <w:lvlText w:val="•"/>
      <w:lvlJc w:val="left"/>
      <w:pPr>
        <w:ind w:left="8384" w:hanging="163"/>
      </w:pPr>
      <w:rPr>
        <w:rFonts w:hint="default"/>
      </w:rPr>
    </w:lvl>
  </w:abstractNum>
  <w:abstractNum w:abstractNumId="18">
    <w:multiLevelType w:val="hybridMultilevel"/>
    <w:lvl w:ilvl="0">
      <w:start w:val="0"/>
      <w:numFmt w:val="bullet"/>
      <w:lvlText w:val="•"/>
      <w:lvlJc w:val="left"/>
      <w:pPr>
        <w:ind w:left="509" w:hanging="191"/>
      </w:pPr>
      <w:rPr>
        <w:rFonts w:hint="default" w:ascii="Lucida Sans" w:hAnsi="Lucida Sans" w:eastAsia="Lucida Sans" w:cs="Lucida Sans"/>
        <w:color w:val="00A94F"/>
        <w:w w:val="79"/>
        <w:sz w:val="18"/>
        <w:szCs w:val="18"/>
      </w:rPr>
    </w:lvl>
    <w:lvl w:ilvl="1">
      <w:start w:val="0"/>
      <w:numFmt w:val="bullet"/>
      <w:lvlText w:val="•"/>
      <w:lvlJc w:val="left"/>
      <w:pPr>
        <w:ind w:left="1003" w:hanging="191"/>
      </w:pPr>
      <w:rPr>
        <w:rFonts w:hint="default"/>
      </w:rPr>
    </w:lvl>
    <w:lvl w:ilvl="2">
      <w:start w:val="0"/>
      <w:numFmt w:val="bullet"/>
      <w:lvlText w:val="•"/>
      <w:lvlJc w:val="left"/>
      <w:pPr>
        <w:ind w:left="1507" w:hanging="191"/>
      </w:pPr>
      <w:rPr>
        <w:rFonts w:hint="default"/>
      </w:rPr>
    </w:lvl>
    <w:lvl w:ilvl="3">
      <w:start w:val="0"/>
      <w:numFmt w:val="bullet"/>
      <w:lvlText w:val="•"/>
      <w:lvlJc w:val="left"/>
      <w:pPr>
        <w:ind w:left="2011" w:hanging="191"/>
      </w:pPr>
      <w:rPr>
        <w:rFonts w:hint="default"/>
      </w:rPr>
    </w:lvl>
    <w:lvl w:ilvl="4">
      <w:start w:val="0"/>
      <w:numFmt w:val="bullet"/>
      <w:lvlText w:val="•"/>
      <w:lvlJc w:val="left"/>
      <w:pPr>
        <w:ind w:left="2515" w:hanging="191"/>
      </w:pPr>
      <w:rPr>
        <w:rFonts w:hint="default"/>
      </w:rPr>
    </w:lvl>
    <w:lvl w:ilvl="5">
      <w:start w:val="0"/>
      <w:numFmt w:val="bullet"/>
      <w:lvlText w:val="•"/>
      <w:lvlJc w:val="left"/>
      <w:pPr>
        <w:ind w:left="3019" w:hanging="191"/>
      </w:pPr>
      <w:rPr>
        <w:rFonts w:hint="default"/>
      </w:rPr>
    </w:lvl>
    <w:lvl w:ilvl="6">
      <w:start w:val="0"/>
      <w:numFmt w:val="bullet"/>
      <w:lvlText w:val="•"/>
      <w:lvlJc w:val="left"/>
      <w:pPr>
        <w:ind w:left="3523" w:hanging="191"/>
      </w:pPr>
      <w:rPr>
        <w:rFonts w:hint="default"/>
      </w:rPr>
    </w:lvl>
    <w:lvl w:ilvl="7">
      <w:start w:val="0"/>
      <w:numFmt w:val="bullet"/>
      <w:lvlText w:val="•"/>
      <w:lvlJc w:val="left"/>
      <w:pPr>
        <w:ind w:left="4027" w:hanging="191"/>
      </w:pPr>
      <w:rPr>
        <w:rFonts w:hint="default"/>
      </w:rPr>
    </w:lvl>
    <w:lvl w:ilvl="8">
      <w:start w:val="0"/>
      <w:numFmt w:val="bullet"/>
      <w:lvlText w:val="•"/>
      <w:lvlJc w:val="left"/>
      <w:pPr>
        <w:ind w:left="4531" w:hanging="191"/>
      </w:pPr>
      <w:rPr>
        <w:rFonts w:hint="default"/>
      </w:rPr>
    </w:lvl>
  </w:abstractNum>
  <w:abstractNum w:abstractNumId="17">
    <w:multiLevelType w:val="hybridMultilevel"/>
    <w:lvl w:ilvl="0">
      <w:start w:val="9"/>
      <w:numFmt w:val="decimal"/>
      <w:lvlText w:val="%1"/>
      <w:lvlJc w:val="left"/>
      <w:pPr>
        <w:ind w:left="1264" w:hanging="545"/>
        <w:jc w:val="left"/>
      </w:pPr>
      <w:rPr>
        <w:rFonts w:hint="default"/>
      </w:rPr>
    </w:lvl>
    <w:lvl w:ilvl="1">
      <w:start w:val="4"/>
      <w:numFmt w:val="decimal"/>
      <w:lvlText w:val="%1.%2."/>
      <w:lvlJc w:val="left"/>
      <w:pPr>
        <w:ind w:left="1264" w:hanging="545"/>
        <w:jc w:val="right"/>
      </w:pPr>
      <w:rPr>
        <w:rFonts w:hint="default" w:ascii="Arial" w:hAnsi="Arial" w:eastAsia="Arial" w:cs="Arial"/>
        <w:color w:val="00A94F"/>
        <w:spacing w:val="-6"/>
        <w:w w:val="89"/>
        <w:sz w:val="28"/>
        <w:szCs w:val="28"/>
      </w:rPr>
    </w:lvl>
    <w:lvl w:ilvl="2">
      <w:start w:val="0"/>
      <w:numFmt w:val="bullet"/>
      <w:lvlText w:val="•"/>
      <w:lvlJc w:val="left"/>
      <w:pPr>
        <w:ind w:left="3024" w:hanging="545"/>
      </w:pPr>
      <w:rPr>
        <w:rFonts w:hint="default"/>
      </w:rPr>
    </w:lvl>
    <w:lvl w:ilvl="3">
      <w:start w:val="0"/>
      <w:numFmt w:val="bullet"/>
      <w:lvlText w:val="•"/>
      <w:lvlJc w:val="left"/>
      <w:pPr>
        <w:ind w:left="3906" w:hanging="545"/>
      </w:pPr>
      <w:rPr>
        <w:rFonts w:hint="default"/>
      </w:rPr>
    </w:lvl>
    <w:lvl w:ilvl="4">
      <w:start w:val="0"/>
      <w:numFmt w:val="bullet"/>
      <w:lvlText w:val="•"/>
      <w:lvlJc w:val="left"/>
      <w:pPr>
        <w:ind w:left="4788" w:hanging="545"/>
      </w:pPr>
      <w:rPr>
        <w:rFonts w:hint="default"/>
      </w:rPr>
    </w:lvl>
    <w:lvl w:ilvl="5">
      <w:start w:val="0"/>
      <w:numFmt w:val="bullet"/>
      <w:lvlText w:val="•"/>
      <w:lvlJc w:val="left"/>
      <w:pPr>
        <w:ind w:left="5670" w:hanging="545"/>
      </w:pPr>
      <w:rPr>
        <w:rFonts w:hint="default"/>
      </w:rPr>
    </w:lvl>
    <w:lvl w:ilvl="6">
      <w:start w:val="0"/>
      <w:numFmt w:val="bullet"/>
      <w:lvlText w:val="•"/>
      <w:lvlJc w:val="left"/>
      <w:pPr>
        <w:ind w:left="6552" w:hanging="545"/>
      </w:pPr>
      <w:rPr>
        <w:rFonts w:hint="default"/>
      </w:rPr>
    </w:lvl>
    <w:lvl w:ilvl="7">
      <w:start w:val="0"/>
      <w:numFmt w:val="bullet"/>
      <w:lvlText w:val="•"/>
      <w:lvlJc w:val="left"/>
      <w:pPr>
        <w:ind w:left="7434" w:hanging="545"/>
      </w:pPr>
      <w:rPr>
        <w:rFonts w:hint="default"/>
      </w:rPr>
    </w:lvl>
    <w:lvl w:ilvl="8">
      <w:start w:val="0"/>
      <w:numFmt w:val="bullet"/>
      <w:lvlText w:val="•"/>
      <w:lvlJc w:val="left"/>
      <w:pPr>
        <w:ind w:left="8316" w:hanging="545"/>
      </w:pPr>
      <w:rPr>
        <w:rFonts w:hint="default"/>
      </w:rPr>
    </w:lvl>
  </w:abstractNum>
  <w:abstractNum w:abstractNumId="16">
    <w:multiLevelType w:val="hybridMultilevel"/>
    <w:lvl w:ilvl="0">
      <w:start w:val="0"/>
      <w:numFmt w:val="bullet"/>
      <w:lvlText w:val="•"/>
      <w:lvlJc w:val="left"/>
      <w:pPr>
        <w:ind w:left="552" w:hanging="171"/>
      </w:pPr>
      <w:rPr>
        <w:rFonts w:hint="default" w:ascii="Garamond" w:hAnsi="Garamond" w:eastAsia="Garamond" w:cs="Garamond"/>
        <w:color w:val="00A94F"/>
        <w:spacing w:val="-22"/>
        <w:w w:val="83"/>
        <w:sz w:val="20"/>
        <w:szCs w:val="20"/>
      </w:rPr>
    </w:lvl>
    <w:lvl w:ilvl="1">
      <w:start w:val="0"/>
      <w:numFmt w:val="bullet"/>
      <w:lvlText w:val="•"/>
      <w:lvlJc w:val="left"/>
      <w:pPr>
        <w:ind w:left="910" w:hanging="191"/>
      </w:pPr>
      <w:rPr>
        <w:rFonts w:hint="default" w:ascii="Lucida Sans" w:hAnsi="Lucida Sans" w:eastAsia="Lucida Sans" w:cs="Lucida Sans"/>
        <w:color w:val="00A94F"/>
        <w:w w:val="79"/>
        <w:sz w:val="18"/>
        <w:szCs w:val="18"/>
      </w:rPr>
    </w:lvl>
    <w:lvl w:ilvl="2">
      <w:start w:val="0"/>
      <w:numFmt w:val="bullet"/>
      <w:lvlText w:val="•"/>
      <w:lvlJc w:val="left"/>
      <w:pPr>
        <w:ind w:left="740" w:hanging="191"/>
      </w:pPr>
      <w:rPr>
        <w:rFonts w:hint="default"/>
      </w:rPr>
    </w:lvl>
    <w:lvl w:ilvl="3">
      <w:start w:val="0"/>
      <w:numFmt w:val="bullet"/>
      <w:lvlText w:val="•"/>
      <w:lvlJc w:val="left"/>
      <w:pPr>
        <w:ind w:left="560" w:hanging="191"/>
      </w:pPr>
      <w:rPr>
        <w:rFonts w:hint="default"/>
      </w:rPr>
    </w:lvl>
    <w:lvl w:ilvl="4">
      <w:start w:val="0"/>
      <w:numFmt w:val="bullet"/>
      <w:lvlText w:val="•"/>
      <w:lvlJc w:val="left"/>
      <w:pPr>
        <w:ind w:left="380" w:hanging="191"/>
      </w:pPr>
      <w:rPr>
        <w:rFonts w:hint="default"/>
      </w:rPr>
    </w:lvl>
    <w:lvl w:ilvl="5">
      <w:start w:val="0"/>
      <w:numFmt w:val="bullet"/>
      <w:lvlText w:val="•"/>
      <w:lvlJc w:val="left"/>
      <w:pPr>
        <w:ind w:left="201" w:hanging="191"/>
      </w:pPr>
      <w:rPr>
        <w:rFonts w:hint="default"/>
      </w:rPr>
    </w:lvl>
    <w:lvl w:ilvl="6">
      <w:start w:val="0"/>
      <w:numFmt w:val="bullet"/>
      <w:lvlText w:val="•"/>
      <w:lvlJc w:val="left"/>
      <w:pPr>
        <w:ind w:left="21" w:hanging="191"/>
      </w:pPr>
      <w:rPr>
        <w:rFonts w:hint="default"/>
      </w:rPr>
    </w:lvl>
    <w:lvl w:ilvl="7">
      <w:start w:val="0"/>
      <w:numFmt w:val="bullet"/>
      <w:lvlText w:val="•"/>
      <w:lvlJc w:val="left"/>
      <w:pPr>
        <w:ind w:left="-159" w:hanging="191"/>
      </w:pPr>
      <w:rPr>
        <w:rFonts w:hint="default"/>
      </w:rPr>
    </w:lvl>
    <w:lvl w:ilvl="8">
      <w:start w:val="0"/>
      <w:numFmt w:val="bullet"/>
      <w:lvlText w:val="•"/>
      <w:lvlJc w:val="left"/>
      <w:pPr>
        <w:ind w:left="-339" w:hanging="191"/>
      </w:pPr>
      <w:rPr>
        <w:rFonts w:hint="default"/>
      </w:rPr>
    </w:lvl>
  </w:abstractNum>
  <w:abstractNum w:abstractNumId="15">
    <w:multiLevelType w:val="hybridMultilevel"/>
    <w:lvl w:ilvl="0">
      <w:start w:val="9"/>
      <w:numFmt w:val="decimal"/>
      <w:lvlText w:val="%1"/>
      <w:lvlJc w:val="left"/>
      <w:pPr>
        <w:ind w:left="1984" w:hanging="545"/>
        <w:jc w:val="left"/>
      </w:pPr>
      <w:rPr>
        <w:rFonts w:hint="default"/>
      </w:rPr>
    </w:lvl>
    <w:lvl w:ilvl="1">
      <w:start w:val="3"/>
      <w:numFmt w:val="decimal"/>
      <w:lvlText w:val="%1.%2."/>
      <w:lvlJc w:val="left"/>
      <w:pPr>
        <w:ind w:left="1984" w:hanging="545"/>
        <w:jc w:val="left"/>
      </w:pPr>
      <w:rPr>
        <w:rFonts w:hint="default" w:ascii="Arial" w:hAnsi="Arial" w:eastAsia="Arial" w:cs="Arial"/>
        <w:color w:val="00A94F"/>
        <w:spacing w:val="-6"/>
        <w:w w:val="92"/>
        <w:sz w:val="28"/>
        <w:szCs w:val="28"/>
      </w:rPr>
    </w:lvl>
    <w:lvl w:ilvl="2">
      <w:start w:val="1"/>
      <w:numFmt w:val="decimal"/>
      <w:lvlText w:val="%1.%2.%3."/>
      <w:lvlJc w:val="left"/>
      <w:pPr>
        <w:ind w:left="1440" w:hanging="556"/>
        <w:jc w:val="left"/>
      </w:pPr>
      <w:rPr>
        <w:rFonts w:hint="default" w:ascii="Arial" w:hAnsi="Arial" w:eastAsia="Arial" w:cs="Arial"/>
        <w:color w:val="1C3E94"/>
        <w:w w:val="97"/>
        <w:sz w:val="20"/>
        <w:szCs w:val="20"/>
      </w:rPr>
    </w:lvl>
    <w:lvl w:ilvl="3">
      <w:start w:val="0"/>
      <w:numFmt w:val="bullet"/>
      <w:lvlText w:val="•"/>
      <w:lvlJc w:val="left"/>
      <w:pPr>
        <w:ind w:left="2700" w:hanging="556"/>
      </w:pPr>
      <w:rPr>
        <w:rFonts w:hint="default"/>
      </w:rPr>
    </w:lvl>
    <w:lvl w:ilvl="4">
      <w:start w:val="0"/>
      <w:numFmt w:val="bullet"/>
      <w:lvlText w:val="•"/>
      <w:lvlJc w:val="left"/>
      <w:pPr>
        <w:ind w:left="3060" w:hanging="556"/>
      </w:pPr>
      <w:rPr>
        <w:rFonts w:hint="default"/>
      </w:rPr>
    </w:lvl>
    <w:lvl w:ilvl="5">
      <w:start w:val="0"/>
      <w:numFmt w:val="bullet"/>
      <w:lvlText w:val="•"/>
      <w:lvlJc w:val="left"/>
      <w:pPr>
        <w:ind w:left="3420" w:hanging="556"/>
      </w:pPr>
      <w:rPr>
        <w:rFonts w:hint="default"/>
      </w:rPr>
    </w:lvl>
    <w:lvl w:ilvl="6">
      <w:start w:val="0"/>
      <w:numFmt w:val="bullet"/>
      <w:lvlText w:val="•"/>
      <w:lvlJc w:val="left"/>
      <w:pPr>
        <w:ind w:left="3780" w:hanging="556"/>
      </w:pPr>
      <w:rPr>
        <w:rFonts w:hint="default"/>
      </w:rPr>
    </w:lvl>
    <w:lvl w:ilvl="7">
      <w:start w:val="0"/>
      <w:numFmt w:val="bullet"/>
      <w:lvlText w:val="•"/>
      <w:lvlJc w:val="left"/>
      <w:pPr>
        <w:ind w:left="4140" w:hanging="556"/>
      </w:pPr>
      <w:rPr>
        <w:rFonts w:hint="default"/>
      </w:rPr>
    </w:lvl>
    <w:lvl w:ilvl="8">
      <w:start w:val="0"/>
      <w:numFmt w:val="bullet"/>
      <w:lvlText w:val="•"/>
      <w:lvlJc w:val="left"/>
      <w:pPr>
        <w:ind w:left="4500" w:hanging="556"/>
      </w:pPr>
      <w:rPr>
        <w:rFonts w:hint="default"/>
      </w:rPr>
    </w:lvl>
  </w:abstractNum>
  <w:abstractNum w:abstractNumId="14">
    <w:multiLevelType w:val="hybridMultilevel"/>
    <w:lvl w:ilvl="0">
      <w:start w:val="0"/>
      <w:numFmt w:val="bullet"/>
      <w:lvlText w:val="•"/>
      <w:lvlJc w:val="left"/>
      <w:pPr>
        <w:ind w:left="562" w:hanging="191"/>
      </w:pPr>
      <w:rPr>
        <w:rFonts w:hint="default" w:ascii="Lucida Sans" w:hAnsi="Lucida Sans" w:eastAsia="Lucida Sans" w:cs="Lucida Sans"/>
        <w:color w:val="00A94F"/>
        <w:w w:val="79"/>
        <w:sz w:val="18"/>
        <w:szCs w:val="18"/>
      </w:rPr>
    </w:lvl>
    <w:lvl w:ilvl="1">
      <w:start w:val="0"/>
      <w:numFmt w:val="bullet"/>
      <w:lvlText w:val="•"/>
      <w:lvlJc w:val="left"/>
      <w:pPr>
        <w:ind w:left="1063" w:hanging="191"/>
      </w:pPr>
      <w:rPr>
        <w:rFonts w:hint="default"/>
      </w:rPr>
    </w:lvl>
    <w:lvl w:ilvl="2">
      <w:start w:val="0"/>
      <w:numFmt w:val="bullet"/>
      <w:lvlText w:val="•"/>
      <w:lvlJc w:val="left"/>
      <w:pPr>
        <w:ind w:left="1566" w:hanging="191"/>
      </w:pPr>
      <w:rPr>
        <w:rFonts w:hint="default"/>
      </w:rPr>
    </w:lvl>
    <w:lvl w:ilvl="3">
      <w:start w:val="0"/>
      <w:numFmt w:val="bullet"/>
      <w:lvlText w:val="•"/>
      <w:lvlJc w:val="left"/>
      <w:pPr>
        <w:ind w:left="2069" w:hanging="191"/>
      </w:pPr>
      <w:rPr>
        <w:rFonts w:hint="default"/>
      </w:rPr>
    </w:lvl>
    <w:lvl w:ilvl="4">
      <w:start w:val="0"/>
      <w:numFmt w:val="bullet"/>
      <w:lvlText w:val="•"/>
      <w:lvlJc w:val="left"/>
      <w:pPr>
        <w:ind w:left="2573" w:hanging="191"/>
      </w:pPr>
      <w:rPr>
        <w:rFonts w:hint="default"/>
      </w:rPr>
    </w:lvl>
    <w:lvl w:ilvl="5">
      <w:start w:val="0"/>
      <w:numFmt w:val="bullet"/>
      <w:lvlText w:val="•"/>
      <w:lvlJc w:val="left"/>
      <w:pPr>
        <w:ind w:left="3076" w:hanging="191"/>
      </w:pPr>
      <w:rPr>
        <w:rFonts w:hint="default"/>
      </w:rPr>
    </w:lvl>
    <w:lvl w:ilvl="6">
      <w:start w:val="0"/>
      <w:numFmt w:val="bullet"/>
      <w:lvlText w:val="•"/>
      <w:lvlJc w:val="left"/>
      <w:pPr>
        <w:ind w:left="3579" w:hanging="191"/>
      </w:pPr>
      <w:rPr>
        <w:rFonts w:hint="default"/>
      </w:rPr>
    </w:lvl>
    <w:lvl w:ilvl="7">
      <w:start w:val="0"/>
      <w:numFmt w:val="bullet"/>
      <w:lvlText w:val="•"/>
      <w:lvlJc w:val="left"/>
      <w:pPr>
        <w:ind w:left="4082" w:hanging="191"/>
      </w:pPr>
      <w:rPr>
        <w:rFonts w:hint="default"/>
      </w:rPr>
    </w:lvl>
    <w:lvl w:ilvl="8">
      <w:start w:val="0"/>
      <w:numFmt w:val="bullet"/>
      <w:lvlText w:val="•"/>
      <w:lvlJc w:val="left"/>
      <w:pPr>
        <w:ind w:left="4586" w:hanging="191"/>
      </w:pPr>
      <w:rPr>
        <w:rFonts w:hint="default"/>
      </w:rPr>
    </w:lvl>
  </w:abstractNum>
  <w:abstractNum w:abstractNumId="13">
    <w:multiLevelType w:val="hybridMultilevel"/>
    <w:lvl w:ilvl="0">
      <w:start w:val="0"/>
      <w:numFmt w:val="bullet"/>
      <w:lvlText w:val="•"/>
      <w:lvlJc w:val="left"/>
      <w:pPr>
        <w:ind w:left="910" w:hanging="191"/>
      </w:pPr>
      <w:rPr>
        <w:rFonts w:hint="default" w:ascii="Lucida Sans" w:hAnsi="Lucida Sans" w:eastAsia="Lucida Sans" w:cs="Lucida Sans"/>
        <w:color w:val="00A94F"/>
        <w:w w:val="79"/>
        <w:sz w:val="18"/>
        <w:szCs w:val="18"/>
      </w:rPr>
    </w:lvl>
    <w:lvl w:ilvl="1">
      <w:start w:val="0"/>
      <w:numFmt w:val="bullet"/>
      <w:lvlText w:val="•"/>
      <w:lvlJc w:val="left"/>
      <w:pPr>
        <w:ind w:left="1272" w:hanging="191"/>
      </w:pPr>
      <w:rPr>
        <w:rFonts w:hint="default"/>
      </w:rPr>
    </w:lvl>
    <w:lvl w:ilvl="2">
      <w:start w:val="0"/>
      <w:numFmt w:val="bullet"/>
      <w:lvlText w:val="•"/>
      <w:lvlJc w:val="left"/>
      <w:pPr>
        <w:ind w:left="1625" w:hanging="191"/>
      </w:pPr>
      <w:rPr>
        <w:rFonts w:hint="default"/>
      </w:rPr>
    </w:lvl>
    <w:lvl w:ilvl="3">
      <w:start w:val="0"/>
      <w:numFmt w:val="bullet"/>
      <w:lvlText w:val="•"/>
      <w:lvlJc w:val="left"/>
      <w:pPr>
        <w:ind w:left="1978" w:hanging="191"/>
      </w:pPr>
      <w:rPr>
        <w:rFonts w:hint="default"/>
      </w:rPr>
    </w:lvl>
    <w:lvl w:ilvl="4">
      <w:start w:val="0"/>
      <w:numFmt w:val="bullet"/>
      <w:lvlText w:val="•"/>
      <w:lvlJc w:val="left"/>
      <w:pPr>
        <w:ind w:left="2330" w:hanging="191"/>
      </w:pPr>
      <w:rPr>
        <w:rFonts w:hint="default"/>
      </w:rPr>
    </w:lvl>
    <w:lvl w:ilvl="5">
      <w:start w:val="0"/>
      <w:numFmt w:val="bullet"/>
      <w:lvlText w:val="•"/>
      <w:lvlJc w:val="left"/>
      <w:pPr>
        <w:ind w:left="2683" w:hanging="191"/>
      </w:pPr>
      <w:rPr>
        <w:rFonts w:hint="default"/>
      </w:rPr>
    </w:lvl>
    <w:lvl w:ilvl="6">
      <w:start w:val="0"/>
      <w:numFmt w:val="bullet"/>
      <w:lvlText w:val="•"/>
      <w:lvlJc w:val="left"/>
      <w:pPr>
        <w:ind w:left="3036" w:hanging="191"/>
      </w:pPr>
      <w:rPr>
        <w:rFonts w:hint="default"/>
      </w:rPr>
    </w:lvl>
    <w:lvl w:ilvl="7">
      <w:start w:val="0"/>
      <w:numFmt w:val="bullet"/>
      <w:lvlText w:val="•"/>
      <w:lvlJc w:val="left"/>
      <w:pPr>
        <w:ind w:left="3389" w:hanging="191"/>
      </w:pPr>
      <w:rPr>
        <w:rFonts w:hint="default"/>
      </w:rPr>
    </w:lvl>
    <w:lvl w:ilvl="8">
      <w:start w:val="0"/>
      <w:numFmt w:val="bullet"/>
      <w:lvlText w:val="•"/>
      <w:lvlJc w:val="left"/>
      <w:pPr>
        <w:ind w:left="3741" w:hanging="191"/>
      </w:pPr>
      <w:rPr>
        <w:rFonts w:hint="default"/>
      </w:rPr>
    </w:lvl>
  </w:abstractNum>
  <w:abstractNum w:abstractNumId="12">
    <w:multiLevelType w:val="hybridMultilevel"/>
    <w:lvl w:ilvl="0">
      <w:start w:val="9"/>
      <w:numFmt w:val="decimal"/>
      <w:lvlText w:val="%1"/>
      <w:lvlJc w:val="left"/>
      <w:pPr>
        <w:ind w:left="1440" w:hanging="642"/>
        <w:jc w:val="left"/>
      </w:pPr>
      <w:rPr>
        <w:rFonts w:hint="default"/>
      </w:rPr>
    </w:lvl>
    <w:lvl w:ilvl="1">
      <w:start w:val="3"/>
      <w:numFmt w:val="decimal"/>
      <w:lvlText w:val="%1.%2"/>
      <w:lvlJc w:val="left"/>
      <w:pPr>
        <w:ind w:left="1440" w:hanging="642"/>
        <w:jc w:val="left"/>
      </w:pPr>
      <w:rPr>
        <w:rFonts w:hint="default"/>
      </w:rPr>
    </w:lvl>
    <w:lvl w:ilvl="2">
      <w:start w:val="2"/>
      <w:numFmt w:val="decimal"/>
      <w:lvlText w:val="%1.%2.%3"/>
      <w:lvlJc w:val="left"/>
      <w:pPr>
        <w:ind w:left="1440" w:hanging="642"/>
        <w:jc w:val="left"/>
      </w:pPr>
      <w:rPr>
        <w:rFonts w:hint="default"/>
      </w:rPr>
    </w:lvl>
    <w:lvl w:ilvl="3">
      <w:start w:val="1"/>
      <w:numFmt w:val="decimal"/>
      <w:lvlText w:val="%1.%2.%3.%4."/>
      <w:lvlJc w:val="left"/>
      <w:pPr>
        <w:ind w:left="1440" w:hanging="642"/>
        <w:jc w:val="right"/>
      </w:pPr>
      <w:rPr>
        <w:rFonts w:hint="default" w:ascii="Garamond" w:hAnsi="Garamond" w:eastAsia="Garamond" w:cs="Garamond"/>
        <w:i/>
        <w:color w:val="E36F1E"/>
        <w:w w:val="107"/>
        <w:sz w:val="20"/>
        <w:szCs w:val="20"/>
      </w:rPr>
    </w:lvl>
    <w:lvl w:ilvl="4">
      <w:start w:val="0"/>
      <w:numFmt w:val="bullet"/>
      <w:lvlText w:val="•"/>
      <w:lvlJc w:val="left"/>
      <w:pPr>
        <w:ind w:left="2951" w:hanging="642"/>
      </w:pPr>
      <w:rPr>
        <w:rFonts w:hint="default"/>
      </w:rPr>
    </w:lvl>
    <w:lvl w:ilvl="5">
      <w:start w:val="0"/>
      <w:numFmt w:val="bullet"/>
      <w:lvlText w:val="•"/>
      <w:lvlJc w:val="left"/>
      <w:pPr>
        <w:ind w:left="3329" w:hanging="642"/>
      </w:pPr>
      <w:rPr>
        <w:rFonts w:hint="default"/>
      </w:rPr>
    </w:lvl>
    <w:lvl w:ilvl="6">
      <w:start w:val="0"/>
      <w:numFmt w:val="bullet"/>
      <w:lvlText w:val="•"/>
      <w:lvlJc w:val="left"/>
      <w:pPr>
        <w:ind w:left="3707" w:hanging="642"/>
      </w:pPr>
      <w:rPr>
        <w:rFonts w:hint="default"/>
      </w:rPr>
    </w:lvl>
    <w:lvl w:ilvl="7">
      <w:start w:val="0"/>
      <w:numFmt w:val="bullet"/>
      <w:lvlText w:val="•"/>
      <w:lvlJc w:val="left"/>
      <w:pPr>
        <w:ind w:left="4085" w:hanging="642"/>
      </w:pPr>
      <w:rPr>
        <w:rFonts w:hint="default"/>
      </w:rPr>
    </w:lvl>
    <w:lvl w:ilvl="8">
      <w:start w:val="0"/>
      <w:numFmt w:val="bullet"/>
      <w:lvlText w:val="•"/>
      <w:lvlJc w:val="left"/>
      <w:pPr>
        <w:ind w:left="4463" w:hanging="642"/>
      </w:pPr>
      <w:rPr>
        <w:rFonts w:hint="default"/>
      </w:rPr>
    </w:lvl>
  </w:abstractNum>
  <w:abstractNum w:abstractNumId="11">
    <w:multiLevelType w:val="hybridMultilevel"/>
    <w:lvl w:ilvl="0">
      <w:start w:val="9"/>
      <w:numFmt w:val="decimal"/>
      <w:lvlText w:val="%1"/>
      <w:lvlJc w:val="left"/>
      <w:pPr>
        <w:ind w:left="1264" w:hanging="545"/>
        <w:jc w:val="left"/>
      </w:pPr>
      <w:rPr>
        <w:rFonts w:hint="default"/>
      </w:rPr>
    </w:lvl>
    <w:lvl w:ilvl="1">
      <w:start w:val="2"/>
      <w:numFmt w:val="decimal"/>
      <w:lvlText w:val="%1.%2."/>
      <w:lvlJc w:val="left"/>
      <w:pPr>
        <w:ind w:left="1264" w:hanging="545"/>
        <w:jc w:val="left"/>
      </w:pPr>
      <w:rPr>
        <w:rFonts w:hint="default" w:ascii="Arial" w:hAnsi="Arial" w:eastAsia="Arial" w:cs="Arial"/>
        <w:color w:val="00A94F"/>
        <w:w w:val="94"/>
        <w:sz w:val="28"/>
        <w:szCs w:val="28"/>
      </w:rPr>
    </w:lvl>
    <w:lvl w:ilvl="2">
      <w:start w:val="1"/>
      <w:numFmt w:val="decimal"/>
      <w:lvlText w:val="%1.%2.%3."/>
      <w:lvlJc w:val="left"/>
      <w:pPr>
        <w:ind w:left="372" w:hanging="556"/>
        <w:jc w:val="right"/>
      </w:pPr>
      <w:rPr>
        <w:rFonts w:hint="default" w:ascii="Arial" w:hAnsi="Arial" w:eastAsia="Arial" w:cs="Arial"/>
        <w:color w:val="1C3E94"/>
        <w:w w:val="99"/>
        <w:sz w:val="20"/>
        <w:szCs w:val="20"/>
      </w:rPr>
    </w:lvl>
    <w:lvl w:ilvl="3">
      <w:start w:val="0"/>
      <w:numFmt w:val="bullet"/>
      <w:lvlText w:val="•"/>
      <w:lvlJc w:val="left"/>
      <w:pPr>
        <w:ind w:left="1610" w:hanging="171"/>
      </w:pPr>
      <w:rPr>
        <w:rFonts w:hint="default" w:ascii="Garamond" w:hAnsi="Garamond" w:eastAsia="Garamond" w:cs="Garamond"/>
        <w:color w:val="00A94F"/>
        <w:spacing w:val="-24"/>
        <w:w w:val="82"/>
        <w:sz w:val="20"/>
        <w:szCs w:val="20"/>
      </w:rPr>
    </w:lvl>
    <w:lvl w:ilvl="4">
      <w:start w:val="0"/>
      <w:numFmt w:val="bullet"/>
      <w:lvlText w:val="•"/>
      <w:lvlJc w:val="left"/>
      <w:pPr>
        <w:ind w:left="2021" w:hanging="171"/>
      </w:pPr>
      <w:rPr>
        <w:rFonts w:hint="default"/>
      </w:rPr>
    </w:lvl>
    <w:lvl w:ilvl="5">
      <w:start w:val="0"/>
      <w:numFmt w:val="bullet"/>
      <w:lvlText w:val="•"/>
      <w:lvlJc w:val="left"/>
      <w:pPr>
        <w:ind w:left="2422" w:hanging="171"/>
      </w:pPr>
      <w:rPr>
        <w:rFonts w:hint="default"/>
      </w:rPr>
    </w:lvl>
    <w:lvl w:ilvl="6">
      <w:start w:val="0"/>
      <w:numFmt w:val="bullet"/>
      <w:lvlText w:val="•"/>
      <w:lvlJc w:val="left"/>
      <w:pPr>
        <w:ind w:left="2824" w:hanging="171"/>
      </w:pPr>
      <w:rPr>
        <w:rFonts w:hint="default"/>
      </w:rPr>
    </w:lvl>
    <w:lvl w:ilvl="7">
      <w:start w:val="0"/>
      <w:numFmt w:val="bullet"/>
      <w:lvlText w:val="•"/>
      <w:lvlJc w:val="left"/>
      <w:pPr>
        <w:ind w:left="3225" w:hanging="171"/>
      </w:pPr>
      <w:rPr>
        <w:rFonts w:hint="default"/>
      </w:rPr>
    </w:lvl>
    <w:lvl w:ilvl="8">
      <w:start w:val="0"/>
      <w:numFmt w:val="bullet"/>
      <w:lvlText w:val="•"/>
      <w:lvlJc w:val="left"/>
      <w:pPr>
        <w:ind w:left="3627" w:hanging="171"/>
      </w:pPr>
      <w:rPr>
        <w:rFonts w:hint="default"/>
      </w:rPr>
    </w:lvl>
  </w:abstractNum>
  <w:abstractNum w:abstractNumId="10">
    <w:multiLevelType w:val="hybridMultilevel"/>
    <w:lvl w:ilvl="0">
      <w:start w:val="1"/>
      <w:numFmt w:val="upperLetter"/>
      <w:lvlText w:val="%1."/>
      <w:lvlJc w:val="left"/>
      <w:pPr>
        <w:ind w:left="603" w:hanging="277"/>
        <w:jc w:val="right"/>
      </w:pPr>
      <w:rPr>
        <w:rFonts w:hint="default" w:ascii="Arial" w:hAnsi="Arial" w:eastAsia="Arial" w:cs="Arial"/>
        <w:color w:val="00A94F"/>
        <w:w w:val="103"/>
        <w:sz w:val="18"/>
        <w:szCs w:val="18"/>
      </w:rPr>
    </w:lvl>
    <w:lvl w:ilvl="1">
      <w:start w:val="0"/>
      <w:numFmt w:val="bullet"/>
      <w:lvlText w:val="•"/>
      <w:lvlJc w:val="left"/>
      <w:pPr>
        <w:ind w:left="1022" w:hanging="277"/>
      </w:pPr>
      <w:rPr>
        <w:rFonts w:hint="default"/>
      </w:rPr>
    </w:lvl>
    <w:lvl w:ilvl="2">
      <w:start w:val="0"/>
      <w:numFmt w:val="bullet"/>
      <w:lvlText w:val="•"/>
      <w:lvlJc w:val="left"/>
      <w:pPr>
        <w:ind w:left="1445" w:hanging="277"/>
      </w:pPr>
      <w:rPr>
        <w:rFonts w:hint="default"/>
      </w:rPr>
    </w:lvl>
    <w:lvl w:ilvl="3">
      <w:start w:val="0"/>
      <w:numFmt w:val="bullet"/>
      <w:lvlText w:val="•"/>
      <w:lvlJc w:val="left"/>
      <w:pPr>
        <w:ind w:left="1867" w:hanging="277"/>
      </w:pPr>
      <w:rPr>
        <w:rFonts w:hint="default"/>
      </w:rPr>
    </w:lvl>
    <w:lvl w:ilvl="4">
      <w:start w:val="0"/>
      <w:numFmt w:val="bullet"/>
      <w:lvlText w:val="•"/>
      <w:lvlJc w:val="left"/>
      <w:pPr>
        <w:ind w:left="2290" w:hanging="277"/>
      </w:pPr>
      <w:rPr>
        <w:rFonts w:hint="default"/>
      </w:rPr>
    </w:lvl>
    <w:lvl w:ilvl="5">
      <w:start w:val="0"/>
      <w:numFmt w:val="bullet"/>
      <w:lvlText w:val="•"/>
      <w:lvlJc w:val="left"/>
      <w:pPr>
        <w:ind w:left="2713" w:hanging="277"/>
      </w:pPr>
      <w:rPr>
        <w:rFonts w:hint="default"/>
      </w:rPr>
    </w:lvl>
    <w:lvl w:ilvl="6">
      <w:start w:val="0"/>
      <w:numFmt w:val="bullet"/>
      <w:lvlText w:val="•"/>
      <w:lvlJc w:val="left"/>
      <w:pPr>
        <w:ind w:left="3135" w:hanging="277"/>
      </w:pPr>
      <w:rPr>
        <w:rFonts w:hint="default"/>
      </w:rPr>
    </w:lvl>
    <w:lvl w:ilvl="7">
      <w:start w:val="0"/>
      <w:numFmt w:val="bullet"/>
      <w:lvlText w:val="•"/>
      <w:lvlJc w:val="left"/>
      <w:pPr>
        <w:ind w:left="3558" w:hanging="277"/>
      </w:pPr>
      <w:rPr>
        <w:rFonts w:hint="default"/>
      </w:rPr>
    </w:lvl>
    <w:lvl w:ilvl="8">
      <w:start w:val="0"/>
      <w:numFmt w:val="bullet"/>
      <w:lvlText w:val="•"/>
      <w:lvlJc w:val="left"/>
      <w:pPr>
        <w:ind w:left="3981" w:hanging="277"/>
      </w:pPr>
      <w:rPr>
        <w:rFonts w:hint="default"/>
      </w:rPr>
    </w:lvl>
  </w:abstractNum>
  <w:abstractNum w:abstractNumId="9">
    <w:multiLevelType w:val="hybridMultilevel"/>
    <w:lvl w:ilvl="0">
      <w:start w:val="9"/>
      <w:numFmt w:val="decimal"/>
      <w:lvlText w:val="%1"/>
      <w:lvlJc w:val="left"/>
      <w:pPr>
        <w:ind w:left="1984" w:hanging="545"/>
        <w:jc w:val="left"/>
      </w:pPr>
      <w:rPr>
        <w:rFonts w:hint="default"/>
      </w:rPr>
    </w:lvl>
    <w:lvl w:ilvl="1">
      <w:start w:val="2"/>
      <w:numFmt w:val="decimal"/>
      <w:lvlText w:val="%1.%2."/>
      <w:lvlJc w:val="left"/>
      <w:pPr>
        <w:ind w:left="1984" w:hanging="545"/>
        <w:jc w:val="left"/>
      </w:pPr>
      <w:rPr>
        <w:rFonts w:hint="default" w:ascii="Arial" w:hAnsi="Arial" w:eastAsia="Arial" w:cs="Arial"/>
        <w:color w:val="00A94F"/>
        <w:w w:val="94"/>
        <w:sz w:val="28"/>
        <w:szCs w:val="28"/>
      </w:rPr>
    </w:lvl>
    <w:lvl w:ilvl="2">
      <w:start w:val="1"/>
      <w:numFmt w:val="decimal"/>
      <w:lvlText w:val="%1.%2.%3."/>
      <w:lvlJc w:val="left"/>
      <w:pPr>
        <w:ind w:left="1996" w:hanging="556"/>
        <w:jc w:val="left"/>
      </w:pPr>
      <w:rPr>
        <w:rFonts w:hint="default" w:ascii="Arial" w:hAnsi="Arial" w:eastAsia="Arial" w:cs="Arial"/>
        <w:color w:val="1C3E94"/>
        <w:spacing w:val="-4"/>
        <w:w w:val="94"/>
        <w:sz w:val="20"/>
        <w:szCs w:val="20"/>
      </w:rPr>
    </w:lvl>
    <w:lvl w:ilvl="3">
      <w:start w:val="0"/>
      <w:numFmt w:val="bullet"/>
      <w:lvlText w:val="•"/>
      <w:lvlJc w:val="left"/>
      <w:pPr>
        <w:ind w:left="2714" w:hanging="556"/>
      </w:pPr>
      <w:rPr>
        <w:rFonts w:hint="default"/>
      </w:rPr>
    </w:lvl>
    <w:lvl w:ilvl="4">
      <w:start w:val="0"/>
      <w:numFmt w:val="bullet"/>
      <w:lvlText w:val="•"/>
      <w:lvlJc w:val="left"/>
      <w:pPr>
        <w:ind w:left="3071" w:hanging="556"/>
      </w:pPr>
      <w:rPr>
        <w:rFonts w:hint="default"/>
      </w:rPr>
    </w:lvl>
    <w:lvl w:ilvl="5">
      <w:start w:val="0"/>
      <w:numFmt w:val="bullet"/>
      <w:lvlText w:val="•"/>
      <w:lvlJc w:val="left"/>
      <w:pPr>
        <w:ind w:left="3428" w:hanging="556"/>
      </w:pPr>
      <w:rPr>
        <w:rFonts w:hint="default"/>
      </w:rPr>
    </w:lvl>
    <w:lvl w:ilvl="6">
      <w:start w:val="0"/>
      <w:numFmt w:val="bullet"/>
      <w:lvlText w:val="•"/>
      <w:lvlJc w:val="left"/>
      <w:pPr>
        <w:ind w:left="3785" w:hanging="556"/>
      </w:pPr>
      <w:rPr>
        <w:rFonts w:hint="default"/>
      </w:rPr>
    </w:lvl>
    <w:lvl w:ilvl="7">
      <w:start w:val="0"/>
      <w:numFmt w:val="bullet"/>
      <w:lvlText w:val="•"/>
      <w:lvlJc w:val="left"/>
      <w:pPr>
        <w:ind w:left="4142" w:hanging="556"/>
      </w:pPr>
      <w:rPr>
        <w:rFonts w:hint="default"/>
      </w:rPr>
    </w:lvl>
    <w:lvl w:ilvl="8">
      <w:start w:val="0"/>
      <w:numFmt w:val="bullet"/>
      <w:lvlText w:val="•"/>
      <w:lvlJc w:val="left"/>
      <w:pPr>
        <w:ind w:left="4499" w:hanging="556"/>
      </w:pPr>
      <w:rPr>
        <w:rFonts w:hint="default"/>
      </w:rPr>
    </w:lvl>
  </w:abstractNum>
  <w:abstractNum w:abstractNumId="8">
    <w:multiLevelType w:val="hybridMultilevel"/>
    <w:lvl w:ilvl="0">
      <w:start w:val="9"/>
      <w:numFmt w:val="decimal"/>
      <w:lvlText w:val="%1"/>
      <w:lvlJc w:val="left"/>
      <w:pPr>
        <w:ind w:left="720" w:hanging="556"/>
        <w:jc w:val="left"/>
      </w:pPr>
      <w:rPr>
        <w:rFonts w:hint="default"/>
      </w:rPr>
    </w:lvl>
    <w:lvl w:ilvl="1">
      <w:start w:val="1"/>
      <w:numFmt w:val="decimal"/>
      <w:lvlText w:val="%1.%2"/>
      <w:lvlJc w:val="left"/>
      <w:pPr>
        <w:ind w:left="720" w:hanging="556"/>
        <w:jc w:val="left"/>
      </w:pPr>
      <w:rPr>
        <w:rFonts w:hint="default"/>
      </w:rPr>
    </w:lvl>
    <w:lvl w:ilvl="2">
      <w:start w:val="3"/>
      <w:numFmt w:val="decimal"/>
      <w:lvlText w:val="%1.%2.%3."/>
      <w:lvlJc w:val="left"/>
      <w:pPr>
        <w:ind w:left="720" w:hanging="556"/>
        <w:jc w:val="right"/>
      </w:pPr>
      <w:rPr>
        <w:rFonts w:hint="default" w:ascii="Arial" w:hAnsi="Arial" w:eastAsia="Arial" w:cs="Arial"/>
        <w:color w:val="1C3E94"/>
        <w:spacing w:val="-4"/>
        <w:w w:val="97"/>
        <w:sz w:val="20"/>
        <w:szCs w:val="20"/>
      </w:rPr>
    </w:lvl>
    <w:lvl w:ilvl="3">
      <w:start w:val="0"/>
      <w:numFmt w:val="bullet"/>
      <w:lvlText w:val="•"/>
      <w:lvlJc w:val="left"/>
      <w:pPr>
        <w:ind w:left="1610" w:hanging="171"/>
      </w:pPr>
      <w:rPr>
        <w:rFonts w:hint="default" w:ascii="Garamond" w:hAnsi="Garamond" w:eastAsia="Garamond" w:cs="Garamond"/>
        <w:color w:val="00A94F"/>
        <w:spacing w:val="-8"/>
        <w:w w:val="83"/>
        <w:sz w:val="20"/>
        <w:szCs w:val="20"/>
      </w:rPr>
    </w:lvl>
    <w:lvl w:ilvl="4">
      <w:start w:val="0"/>
      <w:numFmt w:val="bullet"/>
      <w:lvlText w:val="•"/>
      <w:lvlJc w:val="left"/>
      <w:pPr>
        <w:ind w:left="2577" w:hanging="171"/>
      </w:pPr>
      <w:rPr>
        <w:rFonts w:hint="default"/>
      </w:rPr>
    </w:lvl>
    <w:lvl w:ilvl="5">
      <w:start w:val="0"/>
      <w:numFmt w:val="bullet"/>
      <w:lvlText w:val="•"/>
      <w:lvlJc w:val="left"/>
      <w:pPr>
        <w:ind w:left="2896" w:hanging="171"/>
      </w:pPr>
      <w:rPr>
        <w:rFonts w:hint="default"/>
      </w:rPr>
    </w:lvl>
    <w:lvl w:ilvl="6">
      <w:start w:val="0"/>
      <w:numFmt w:val="bullet"/>
      <w:lvlText w:val="•"/>
      <w:lvlJc w:val="left"/>
      <w:pPr>
        <w:ind w:left="3215" w:hanging="171"/>
      </w:pPr>
      <w:rPr>
        <w:rFonts w:hint="default"/>
      </w:rPr>
    </w:lvl>
    <w:lvl w:ilvl="7">
      <w:start w:val="0"/>
      <w:numFmt w:val="bullet"/>
      <w:lvlText w:val="•"/>
      <w:lvlJc w:val="left"/>
      <w:pPr>
        <w:ind w:left="3534" w:hanging="171"/>
      </w:pPr>
      <w:rPr>
        <w:rFonts w:hint="default"/>
      </w:rPr>
    </w:lvl>
    <w:lvl w:ilvl="8">
      <w:start w:val="0"/>
      <w:numFmt w:val="bullet"/>
      <w:lvlText w:val="•"/>
      <w:lvlJc w:val="left"/>
      <w:pPr>
        <w:ind w:left="3853" w:hanging="171"/>
      </w:pPr>
      <w:rPr>
        <w:rFonts w:hint="default"/>
      </w:rPr>
    </w:lvl>
  </w:abstractNum>
  <w:abstractNum w:abstractNumId="7">
    <w:multiLevelType w:val="hybridMultilevel"/>
    <w:lvl w:ilvl="0">
      <w:start w:val="0"/>
      <w:numFmt w:val="bullet"/>
      <w:lvlText w:val="•"/>
      <w:lvlJc w:val="left"/>
      <w:pPr>
        <w:ind w:left="890" w:hanging="171"/>
      </w:pPr>
      <w:rPr>
        <w:rFonts w:hint="default" w:ascii="Garamond" w:hAnsi="Garamond" w:eastAsia="Garamond" w:cs="Garamond"/>
        <w:color w:val="00A94F"/>
        <w:spacing w:val="-21"/>
        <w:w w:val="99"/>
        <w:sz w:val="20"/>
        <w:szCs w:val="20"/>
      </w:rPr>
    </w:lvl>
    <w:lvl w:ilvl="1">
      <w:start w:val="0"/>
      <w:numFmt w:val="bullet"/>
      <w:lvlText w:val="•"/>
      <w:lvlJc w:val="left"/>
      <w:pPr>
        <w:ind w:left="1259" w:hanging="171"/>
      </w:pPr>
      <w:rPr>
        <w:rFonts w:hint="default"/>
      </w:rPr>
    </w:lvl>
    <w:lvl w:ilvl="2">
      <w:start w:val="0"/>
      <w:numFmt w:val="bullet"/>
      <w:lvlText w:val="•"/>
      <w:lvlJc w:val="left"/>
      <w:pPr>
        <w:ind w:left="1618" w:hanging="171"/>
      </w:pPr>
      <w:rPr>
        <w:rFonts w:hint="default"/>
      </w:rPr>
    </w:lvl>
    <w:lvl w:ilvl="3">
      <w:start w:val="0"/>
      <w:numFmt w:val="bullet"/>
      <w:lvlText w:val="•"/>
      <w:lvlJc w:val="left"/>
      <w:pPr>
        <w:ind w:left="1977" w:hanging="171"/>
      </w:pPr>
      <w:rPr>
        <w:rFonts w:hint="default"/>
      </w:rPr>
    </w:lvl>
    <w:lvl w:ilvl="4">
      <w:start w:val="0"/>
      <w:numFmt w:val="bullet"/>
      <w:lvlText w:val="•"/>
      <w:lvlJc w:val="left"/>
      <w:pPr>
        <w:ind w:left="2336" w:hanging="171"/>
      </w:pPr>
      <w:rPr>
        <w:rFonts w:hint="default"/>
      </w:rPr>
    </w:lvl>
    <w:lvl w:ilvl="5">
      <w:start w:val="0"/>
      <w:numFmt w:val="bullet"/>
      <w:lvlText w:val="•"/>
      <w:lvlJc w:val="left"/>
      <w:pPr>
        <w:ind w:left="2696" w:hanging="171"/>
      </w:pPr>
      <w:rPr>
        <w:rFonts w:hint="default"/>
      </w:rPr>
    </w:lvl>
    <w:lvl w:ilvl="6">
      <w:start w:val="0"/>
      <w:numFmt w:val="bullet"/>
      <w:lvlText w:val="•"/>
      <w:lvlJc w:val="left"/>
      <w:pPr>
        <w:ind w:left="3055" w:hanging="171"/>
      </w:pPr>
      <w:rPr>
        <w:rFonts w:hint="default"/>
      </w:rPr>
    </w:lvl>
    <w:lvl w:ilvl="7">
      <w:start w:val="0"/>
      <w:numFmt w:val="bullet"/>
      <w:lvlText w:val="•"/>
      <w:lvlJc w:val="left"/>
      <w:pPr>
        <w:ind w:left="3414" w:hanging="171"/>
      </w:pPr>
      <w:rPr>
        <w:rFonts w:hint="default"/>
      </w:rPr>
    </w:lvl>
    <w:lvl w:ilvl="8">
      <w:start w:val="0"/>
      <w:numFmt w:val="bullet"/>
      <w:lvlText w:val="•"/>
      <w:lvlJc w:val="left"/>
      <w:pPr>
        <w:ind w:left="3773" w:hanging="171"/>
      </w:pPr>
      <w:rPr>
        <w:rFonts w:hint="default"/>
      </w:rPr>
    </w:lvl>
  </w:abstractNum>
  <w:abstractNum w:abstractNumId="6">
    <w:multiLevelType w:val="hybridMultilevel"/>
    <w:lvl w:ilvl="0">
      <w:start w:val="9"/>
      <w:numFmt w:val="decimal"/>
      <w:lvlText w:val="%1"/>
      <w:lvlJc w:val="left"/>
      <w:pPr>
        <w:ind w:left="720" w:hanging="642"/>
        <w:jc w:val="left"/>
      </w:pPr>
      <w:rPr>
        <w:rFonts w:hint="default"/>
      </w:rPr>
    </w:lvl>
    <w:lvl w:ilvl="1">
      <w:start w:val="1"/>
      <w:numFmt w:val="decimal"/>
      <w:lvlText w:val="%1.%2"/>
      <w:lvlJc w:val="left"/>
      <w:pPr>
        <w:ind w:left="720" w:hanging="642"/>
        <w:jc w:val="left"/>
      </w:pPr>
      <w:rPr>
        <w:rFonts w:hint="default"/>
      </w:rPr>
    </w:lvl>
    <w:lvl w:ilvl="2">
      <w:start w:val="2"/>
      <w:numFmt w:val="decimal"/>
      <w:lvlText w:val="%1.%2.%3"/>
      <w:lvlJc w:val="left"/>
      <w:pPr>
        <w:ind w:left="720" w:hanging="642"/>
        <w:jc w:val="left"/>
      </w:pPr>
      <w:rPr>
        <w:rFonts w:hint="default"/>
      </w:rPr>
    </w:lvl>
    <w:lvl w:ilvl="3">
      <w:start w:val="3"/>
      <w:numFmt w:val="decimal"/>
      <w:lvlText w:val="%1.%2.%3.%4."/>
      <w:lvlJc w:val="left"/>
      <w:pPr>
        <w:ind w:left="720" w:hanging="642"/>
        <w:jc w:val="left"/>
      </w:pPr>
      <w:rPr>
        <w:rFonts w:hint="default" w:ascii="Garamond" w:hAnsi="Garamond" w:eastAsia="Garamond" w:cs="Garamond"/>
        <w:i/>
        <w:color w:val="E36F1E"/>
        <w:w w:val="107"/>
        <w:sz w:val="20"/>
        <w:szCs w:val="20"/>
      </w:rPr>
    </w:lvl>
    <w:lvl w:ilvl="4">
      <w:start w:val="0"/>
      <w:numFmt w:val="bullet"/>
      <w:lvlText w:val="•"/>
      <w:lvlJc w:val="left"/>
      <w:pPr>
        <w:ind w:left="2228" w:hanging="642"/>
      </w:pPr>
      <w:rPr>
        <w:rFonts w:hint="default"/>
      </w:rPr>
    </w:lvl>
    <w:lvl w:ilvl="5">
      <w:start w:val="0"/>
      <w:numFmt w:val="bullet"/>
      <w:lvlText w:val="•"/>
      <w:lvlJc w:val="left"/>
      <w:pPr>
        <w:ind w:left="2606" w:hanging="642"/>
      </w:pPr>
      <w:rPr>
        <w:rFonts w:hint="default"/>
      </w:rPr>
    </w:lvl>
    <w:lvl w:ilvl="6">
      <w:start w:val="0"/>
      <w:numFmt w:val="bullet"/>
      <w:lvlText w:val="•"/>
      <w:lvlJc w:val="left"/>
      <w:pPr>
        <w:ind w:left="2983" w:hanging="642"/>
      </w:pPr>
      <w:rPr>
        <w:rFonts w:hint="default"/>
      </w:rPr>
    </w:lvl>
    <w:lvl w:ilvl="7">
      <w:start w:val="0"/>
      <w:numFmt w:val="bullet"/>
      <w:lvlText w:val="•"/>
      <w:lvlJc w:val="left"/>
      <w:pPr>
        <w:ind w:left="3360" w:hanging="642"/>
      </w:pPr>
      <w:rPr>
        <w:rFonts w:hint="default"/>
      </w:rPr>
    </w:lvl>
    <w:lvl w:ilvl="8">
      <w:start w:val="0"/>
      <w:numFmt w:val="bullet"/>
      <w:lvlText w:val="•"/>
      <w:lvlJc w:val="left"/>
      <w:pPr>
        <w:ind w:left="3737" w:hanging="642"/>
      </w:pPr>
      <w:rPr>
        <w:rFonts w:hint="default"/>
      </w:rPr>
    </w:lvl>
  </w:abstractNum>
  <w:abstractNum w:abstractNumId="5">
    <w:multiLevelType w:val="hybridMultilevel"/>
    <w:lvl w:ilvl="0">
      <w:start w:val="0"/>
      <w:numFmt w:val="bullet"/>
      <w:lvlText w:val="•"/>
      <w:lvlJc w:val="left"/>
      <w:pPr>
        <w:ind w:left="546" w:hanging="171"/>
      </w:pPr>
      <w:rPr>
        <w:rFonts w:hint="default" w:ascii="Garamond" w:hAnsi="Garamond" w:eastAsia="Garamond" w:cs="Garamond"/>
        <w:color w:val="00A94F"/>
        <w:spacing w:val="-4"/>
        <w:w w:val="99"/>
        <w:sz w:val="20"/>
        <w:szCs w:val="20"/>
      </w:rPr>
    </w:lvl>
    <w:lvl w:ilvl="1">
      <w:start w:val="0"/>
      <w:numFmt w:val="bullet"/>
      <w:lvlText w:val="o"/>
      <w:lvlJc w:val="left"/>
      <w:pPr>
        <w:ind w:left="744" w:hanging="189"/>
      </w:pPr>
      <w:rPr>
        <w:rFonts w:hint="default" w:ascii="Arial" w:hAnsi="Arial" w:eastAsia="Arial" w:cs="Arial"/>
        <w:color w:val="1C3E94"/>
        <w:spacing w:val="-9"/>
        <w:w w:val="100"/>
        <w:sz w:val="16"/>
        <w:szCs w:val="16"/>
      </w:rPr>
    </w:lvl>
    <w:lvl w:ilvl="2">
      <w:start w:val="0"/>
      <w:numFmt w:val="bullet"/>
      <w:lvlText w:val="•"/>
      <w:lvlJc w:val="left"/>
      <w:pPr>
        <w:ind w:left="1199" w:hanging="189"/>
      </w:pPr>
      <w:rPr>
        <w:rFonts w:hint="default"/>
      </w:rPr>
    </w:lvl>
    <w:lvl w:ilvl="3">
      <w:start w:val="0"/>
      <w:numFmt w:val="bullet"/>
      <w:lvlText w:val="•"/>
      <w:lvlJc w:val="left"/>
      <w:pPr>
        <w:ind w:left="1659" w:hanging="189"/>
      </w:pPr>
      <w:rPr>
        <w:rFonts w:hint="default"/>
      </w:rPr>
    </w:lvl>
    <w:lvl w:ilvl="4">
      <w:start w:val="0"/>
      <w:numFmt w:val="bullet"/>
      <w:lvlText w:val="•"/>
      <w:lvlJc w:val="left"/>
      <w:pPr>
        <w:ind w:left="2118" w:hanging="189"/>
      </w:pPr>
      <w:rPr>
        <w:rFonts w:hint="default"/>
      </w:rPr>
    </w:lvl>
    <w:lvl w:ilvl="5">
      <w:start w:val="0"/>
      <w:numFmt w:val="bullet"/>
      <w:lvlText w:val="•"/>
      <w:lvlJc w:val="left"/>
      <w:pPr>
        <w:ind w:left="2578" w:hanging="189"/>
      </w:pPr>
      <w:rPr>
        <w:rFonts w:hint="default"/>
      </w:rPr>
    </w:lvl>
    <w:lvl w:ilvl="6">
      <w:start w:val="0"/>
      <w:numFmt w:val="bullet"/>
      <w:lvlText w:val="•"/>
      <w:lvlJc w:val="left"/>
      <w:pPr>
        <w:ind w:left="3037" w:hanging="189"/>
      </w:pPr>
      <w:rPr>
        <w:rFonts w:hint="default"/>
      </w:rPr>
    </w:lvl>
    <w:lvl w:ilvl="7">
      <w:start w:val="0"/>
      <w:numFmt w:val="bullet"/>
      <w:lvlText w:val="•"/>
      <w:lvlJc w:val="left"/>
      <w:pPr>
        <w:ind w:left="3497" w:hanging="189"/>
      </w:pPr>
      <w:rPr>
        <w:rFonts w:hint="default"/>
      </w:rPr>
    </w:lvl>
    <w:lvl w:ilvl="8">
      <w:start w:val="0"/>
      <w:numFmt w:val="bullet"/>
      <w:lvlText w:val="•"/>
      <w:lvlJc w:val="left"/>
      <w:pPr>
        <w:ind w:left="3956" w:hanging="189"/>
      </w:pPr>
      <w:rPr>
        <w:rFonts w:hint="default"/>
      </w:rPr>
    </w:lvl>
  </w:abstractNum>
  <w:abstractNum w:abstractNumId="4">
    <w:multiLevelType w:val="hybridMultilevel"/>
    <w:lvl w:ilvl="0">
      <w:start w:val="9"/>
      <w:numFmt w:val="decimal"/>
      <w:lvlText w:val="%1"/>
      <w:lvlJc w:val="left"/>
      <w:pPr>
        <w:ind w:left="1996" w:hanging="556"/>
        <w:jc w:val="left"/>
      </w:pPr>
      <w:rPr>
        <w:rFonts w:hint="default"/>
      </w:rPr>
    </w:lvl>
    <w:lvl w:ilvl="1">
      <w:start w:val="1"/>
      <w:numFmt w:val="decimal"/>
      <w:lvlText w:val="%1.%2"/>
      <w:lvlJc w:val="left"/>
      <w:pPr>
        <w:ind w:left="1996" w:hanging="556"/>
        <w:jc w:val="left"/>
      </w:pPr>
      <w:rPr>
        <w:rFonts w:hint="default"/>
      </w:rPr>
    </w:lvl>
    <w:lvl w:ilvl="2">
      <w:start w:val="2"/>
      <w:numFmt w:val="decimal"/>
      <w:lvlText w:val="%1.%2.%3."/>
      <w:lvlJc w:val="left"/>
      <w:pPr>
        <w:ind w:left="1996" w:hanging="556"/>
        <w:jc w:val="left"/>
      </w:pPr>
      <w:rPr>
        <w:rFonts w:hint="default" w:ascii="Arial" w:hAnsi="Arial" w:eastAsia="Arial" w:cs="Arial"/>
        <w:color w:val="1C3E94"/>
        <w:spacing w:val="-4"/>
        <w:w w:val="94"/>
        <w:sz w:val="20"/>
        <w:szCs w:val="20"/>
      </w:rPr>
    </w:lvl>
    <w:lvl w:ilvl="3">
      <w:start w:val="1"/>
      <w:numFmt w:val="decimal"/>
      <w:lvlText w:val="%1.%2.%3.%4."/>
      <w:lvlJc w:val="left"/>
      <w:pPr>
        <w:ind w:left="1440" w:hanging="642"/>
        <w:jc w:val="right"/>
      </w:pPr>
      <w:rPr>
        <w:rFonts w:hint="default" w:ascii="Garamond" w:hAnsi="Garamond" w:eastAsia="Garamond" w:cs="Garamond"/>
        <w:i/>
        <w:color w:val="E36F1E"/>
        <w:w w:val="107"/>
        <w:sz w:val="20"/>
        <w:szCs w:val="20"/>
      </w:rPr>
    </w:lvl>
    <w:lvl w:ilvl="4">
      <w:start w:val="0"/>
      <w:numFmt w:val="bullet"/>
      <w:lvlText w:val="•"/>
      <w:lvlJc w:val="left"/>
      <w:pPr>
        <w:ind w:left="3054" w:hanging="642"/>
      </w:pPr>
      <w:rPr>
        <w:rFonts w:hint="default"/>
      </w:rPr>
    </w:lvl>
    <w:lvl w:ilvl="5">
      <w:start w:val="0"/>
      <w:numFmt w:val="bullet"/>
      <w:lvlText w:val="•"/>
      <w:lvlJc w:val="left"/>
      <w:pPr>
        <w:ind w:left="3406" w:hanging="642"/>
      </w:pPr>
      <w:rPr>
        <w:rFonts w:hint="default"/>
      </w:rPr>
    </w:lvl>
    <w:lvl w:ilvl="6">
      <w:start w:val="0"/>
      <w:numFmt w:val="bullet"/>
      <w:lvlText w:val="•"/>
      <w:lvlJc w:val="left"/>
      <w:pPr>
        <w:ind w:left="3757" w:hanging="642"/>
      </w:pPr>
      <w:rPr>
        <w:rFonts w:hint="default"/>
      </w:rPr>
    </w:lvl>
    <w:lvl w:ilvl="7">
      <w:start w:val="0"/>
      <w:numFmt w:val="bullet"/>
      <w:lvlText w:val="•"/>
      <w:lvlJc w:val="left"/>
      <w:pPr>
        <w:ind w:left="4109" w:hanging="642"/>
      </w:pPr>
      <w:rPr>
        <w:rFonts w:hint="default"/>
      </w:rPr>
    </w:lvl>
    <w:lvl w:ilvl="8">
      <w:start w:val="0"/>
      <w:numFmt w:val="bullet"/>
      <w:lvlText w:val="•"/>
      <w:lvlJc w:val="left"/>
      <w:pPr>
        <w:ind w:left="4461" w:hanging="642"/>
      </w:pPr>
      <w:rPr>
        <w:rFonts w:hint="default"/>
      </w:rPr>
    </w:lvl>
  </w:abstractNum>
  <w:abstractNum w:abstractNumId="3">
    <w:multiLevelType w:val="hybridMultilevel"/>
    <w:lvl w:ilvl="0">
      <w:start w:val="0"/>
      <w:numFmt w:val="bullet"/>
      <w:lvlText w:val="•"/>
      <w:lvlJc w:val="left"/>
      <w:pPr>
        <w:ind w:left="890" w:hanging="171"/>
      </w:pPr>
      <w:rPr>
        <w:rFonts w:hint="default" w:ascii="Garamond" w:hAnsi="Garamond" w:eastAsia="Garamond" w:cs="Garamond"/>
        <w:color w:val="00A94F"/>
        <w:spacing w:val="-26"/>
        <w:w w:val="92"/>
        <w:sz w:val="20"/>
        <w:szCs w:val="20"/>
      </w:rPr>
    </w:lvl>
    <w:lvl w:ilvl="1">
      <w:start w:val="0"/>
      <w:numFmt w:val="bullet"/>
      <w:lvlText w:val="•"/>
      <w:lvlJc w:val="left"/>
      <w:pPr>
        <w:ind w:left="1259" w:hanging="171"/>
      </w:pPr>
      <w:rPr>
        <w:rFonts w:hint="default"/>
      </w:rPr>
    </w:lvl>
    <w:lvl w:ilvl="2">
      <w:start w:val="0"/>
      <w:numFmt w:val="bullet"/>
      <w:lvlText w:val="•"/>
      <w:lvlJc w:val="left"/>
      <w:pPr>
        <w:ind w:left="1618" w:hanging="171"/>
      </w:pPr>
      <w:rPr>
        <w:rFonts w:hint="default"/>
      </w:rPr>
    </w:lvl>
    <w:lvl w:ilvl="3">
      <w:start w:val="0"/>
      <w:numFmt w:val="bullet"/>
      <w:lvlText w:val="•"/>
      <w:lvlJc w:val="left"/>
      <w:pPr>
        <w:ind w:left="1977" w:hanging="171"/>
      </w:pPr>
      <w:rPr>
        <w:rFonts w:hint="default"/>
      </w:rPr>
    </w:lvl>
    <w:lvl w:ilvl="4">
      <w:start w:val="0"/>
      <w:numFmt w:val="bullet"/>
      <w:lvlText w:val="•"/>
      <w:lvlJc w:val="left"/>
      <w:pPr>
        <w:ind w:left="2336" w:hanging="171"/>
      </w:pPr>
      <w:rPr>
        <w:rFonts w:hint="default"/>
      </w:rPr>
    </w:lvl>
    <w:lvl w:ilvl="5">
      <w:start w:val="0"/>
      <w:numFmt w:val="bullet"/>
      <w:lvlText w:val="•"/>
      <w:lvlJc w:val="left"/>
      <w:pPr>
        <w:ind w:left="2695" w:hanging="171"/>
      </w:pPr>
      <w:rPr>
        <w:rFonts w:hint="default"/>
      </w:rPr>
    </w:lvl>
    <w:lvl w:ilvl="6">
      <w:start w:val="0"/>
      <w:numFmt w:val="bullet"/>
      <w:lvlText w:val="•"/>
      <w:lvlJc w:val="left"/>
      <w:pPr>
        <w:ind w:left="3054" w:hanging="171"/>
      </w:pPr>
      <w:rPr>
        <w:rFonts w:hint="default"/>
      </w:rPr>
    </w:lvl>
    <w:lvl w:ilvl="7">
      <w:start w:val="0"/>
      <w:numFmt w:val="bullet"/>
      <w:lvlText w:val="•"/>
      <w:lvlJc w:val="left"/>
      <w:pPr>
        <w:ind w:left="3414" w:hanging="171"/>
      </w:pPr>
      <w:rPr>
        <w:rFonts w:hint="default"/>
      </w:rPr>
    </w:lvl>
    <w:lvl w:ilvl="8">
      <w:start w:val="0"/>
      <w:numFmt w:val="bullet"/>
      <w:lvlText w:val="•"/>
      <w:lvlJc w:val="left"/>
      <w:pPr>
        <w:ind w:left="3773" w:hanging="171"/>
      </w:pPr>
      <w:rPr>
        <w:rFonts w:hint="default"/>
      </w:rPr>
    </w:lvl>
  </w:abstractNum>
  <w:abstractNum w:abstractNumId="2">
    <w:multiLevelType w:val="hybridMultilevel"/>
    <w:lvl w:ilvl="0">
      <w:start w:val="9"/>
      <w:numFmt w:val="decimal"/>
      <w:lvlText w:val="%1"/>
      <w:lvlJc w:val="left"/>
      <w:pPr>
        <w:ind w:left="1264" w:hanging="545"/>
        <w:jc w:val="left"/>
      </w:pPr>
      <w:rPr>
        <w:rFonts w:hint="default"/>
      </w:rPr>
    </w:lvl>
    <w:lvl w:ilvl="1">
      <w:start w:val="0"/>
      <w:numFmt w:val="decimal"/>
      <w:lvlText w:val="%1.%2."/>
      <w:lvlJc w:val="left"/>
      <w:pPr>
        <w:ind w:left="1264" w:hanging="545"/>
        <w:jc w:val="left"/>
      </w:pPr>
      <w:rPr>
        <w:rFonts w:hint="default" w:ascii="Arial" w:hAnsi="Arial" w:eastAsia="Arial" w:cs="Arial"/>
        <w:color w:val="00A94F"/>
        <w:spacing w:val="-5"/>
        <w:w w:val="100"/>
        <w:sz w:val="28"/>
        <w:szCs w:val="28"/>
      </w:rPr>
    </w:lvl>
    <w:lvl w:ilvl="2">
      <w:start w:val="1"/>
      <w:numFmt w:val="decimal"/>
      <w:lvlText w:val="%1.%2.%3."/>
      <w:lvlJc w:val="left"/>
      <w:pPr>
        <w:ind w:left="1276" w:hanging="556"/>
        <w:jc w:val="left"/>
      </w:pPr>
      <w:rPr>
        <w:rFonts w:hint="default" w:ascii="Arial" w:hAnsi="Arial" w:eastAsia="Arial" w:cs="Arial"/>
        <w:color w:val="1C3E94"/>
        <w:w w:val="99"/>
        <w:sz w:val="20"/>
        <w:szCs w:val="20"/>
      </w:rPr>
    </w:lvl>
    <w:lvl w:ilvl="3">
      <w:start w:val="1"/>
      <w:numFmt w:val="decimal"/>
      <w:lvlText w:val="%1.%2.%3.%4."/>
      <w:lvlJc w:val="left"/>
      <w:pPr>
        <w:ind w:left="1362" w:hanging="642"/>
        <w:jc w:val="left"/>
      </w:pPr>
      <w:rPr>
        <w:rFonts w:hint="default" w:ascii="Garamond" w:hAnsi="Garamond" w:eastAsia="Garamond" w:cs="Garamond"/>
        <w:i/>
        <w:color w:val="E36F1E"/>
        <w:w w:val="107"/>
        <w:sz w:val="20"/>
        <w:szCs w:val="20"/>
      </w:rPr>
    </w:lvl>
    <w:lvl w:ilvl="4">
      <w:start w:val="0"/>
      <w:numFmt w:val="bullet"/>
      <w:lvlText w:val="•"/>
      <w:lvlJc w:val="left"/>
      <w:pPr>
        <w:ind w:left="2111" w:hanging="642"/>
      </w:pPr>
      <w:rPr>
        <w:rFonts w:hint="default"/>
      </w:rPr>
    </w:lvl>
    <w:lvl w:ilvl="5">
      <w:start w:val="0"/>
      <w:numFmt w:val="bullet"/>
      <w:lvlText w:val="•"/>
      <w:lvlJc w:val="left"/>
      <w:pPr>
        <w:ind w:left="2487" w:hanging="642"/>
      </w:pPr>
      <w:rPr>
        <w:rFonts w:hint="default"/>
      </w:rPr>
    </w:lvl>
    <w:lvl w:ilvl="6">
      <w:start w:val="0"/>
      <w:numFmt w:val="bullet"/>
      <w:lvlText w:val="•"/>
      <w:lvlJc w:val="left"/>
      <w:pPr>
        <w:ind w:left="2862" w:hanging="642"/>
      </w:pPr>
      <w:rPr>
        <w:rFonts w:hint="default"/>
      </w:rPr>
    </w:lvl>
    <w:lvl w:ilvl="7">
      <w:start w:val="0"/>
      <w:numFmt w:val="bullet"/>
      <w:lvlText w:val="•"/>
      <w:lvlJc w:val="left"/>
      <w:pPr>
        <w:ind w:left="3238" w:hanging="642"/>
      </w:pPr>
      <w:rPr>
        <w:rFonts w:hint="default"/>
      </w:rPr>
    </w:lvl>
    <w:lvl w:ilvl="8">
      <w:start w:val="0"/>
      <w:numFmt w:val="bullet"/>
      <w:lvlText w:val="•"/>
      <w:lvlJc w:val="left"/>
      <w:pPr>
        <w:ind w:left="3614" w:hanging="642"/>
      </w:pPr>
      <w:rPr>
        <w:rFonts w:hint="default"/>
      </w:rPr>
    </w:lvl>
  </w:abstractNum>
  <w:abstractNum w:abstractNumId="1">
    <w:multiLevelType w:val="hybridMultilevel"/>
    <w:lvl w:ilvl="0">
      <w:start w:val="0"/>
      <w:numFmt w:val="bullet"/>
      <w:lvlText w:val="•"/>
      <w:lvlJc w:val="left"/>
      <w:pPr>
        <w:ind w:left="1610" w:hanging="171"/>
      </w:pPr>
      <w:rPr>
        <w:rFonts w:hint="default" w:ascii="Garamond" w:hAnsi="Garamond" w:eastAsia="Garamond" w:cs="Garamond"/>
        <w:color w:val="00A94F"/>
        <w:spacing w:val="-15"/>
        <w:w w:val="95"/>
        <w:sz w:val="20"/>
        <w:szCs w:val="20"/>
      </w:rPr>
    </w:lvl>
    <w:lvl w:ilvl="1">
      <w:start w:val="0"/>
      <w:numFmt w:val="bullet"/>
      <w:lvlText w:val="•"/>
      <w:lvlJc w:val="left"/>
      <w:pPr>
        <w:ind w:left="1979" w:hanging="171"/>
      </w:pPr>
      <w:rPr>
        <w:rFonts w:hint="default"/>
      </w:rPr>
    </w:lvl>
    <w:lvl w:ilvl="2">
      <w:start w:val="0"/>
      <w:numFmt w:val="bullet"/>
      <w:lvlText w:val="•"/>
      <w:lvlJc w:val="left"/>
      <w:pPr>
        <w:ind w:left="2338" w:hanging="171"/>
      </w:pPr>
      <w:rPr>
        <w:rFonts w:hint="default"/>
      </w:rPr>
    </w:lvl>
    <w:lvl w:ilvl="3">
      <w:start w:val="0"/>
      <w:numFmt w:val="bullet"/>
      <w:lvlText w:val="•"/>
      <w:lvlJc w:val="left"/>
      <w:pPr>
        <w:ind w:left="2697" w:hanging="171"/>
      </w:pPr>
      <w:rPr>
        <w:rFonts w:hint="default"/>
      </w:rPr>
    </w:lvl>
    <w:lvl w:ilvl="4">
      <w:start w:val="0"/>
      <w:numFmt w:val="bullet"/>
      <w:lvlText w:val="•"/>
      <w:lvlJc w:val="left"/>
      <w:pPr>
        <w:ind w:left="3056" w:hanging="171"/>
      </w:pPr>
      <w:rPr>
        <w:rFonts w:hint="default"/>
      </w:rPr>
    </w:lvl>
    <w:lvl w:ilvl="5">
      <w:start w:val="0"/>
      <w:numFmt w:val="bullet"/>
      <w:lvlText w:val="•"/>
      <w:lvlJc w:val="left"/>
      <w:pPr>
        <w:ind w:left="3415" w:hanging="171"/>
      </w:pPr>
      <w:rPr>
        <w:rFonts w:hint="default"/>
      </w:rPr>
    </w:lvl>
    <w:lvl w:ilvl="6">
      <w:start w:val="0"/>
      <w:numFmt w:val="bullet"/>
      <w:lvlText w:val="•"/>
      <w:lvlJc w:val="left"/>
      <w:pPr>
        <w:ind w:left="3774" w:hanging="171"/>
      </w:pPr>
      <w:rPr>
        <w:rFonts w:hint="default"/>
      </w:rPr>
    </w:lvl>
    <w:lvl w:ilvl="7">
      <w:start w:val="0"/>
      <w:numFmt w:val="bullet"/>
      <w:lvlText w:val="•"/>
      <w:lvlJc w:val="left"/>
      <w:pPr>
        <w:ind w:left="4133" w:hanging="171"/>
      </w:pPr>
      <w:rPr>
        <w:rFonts w:hint="default"/>
      </w:rPr>
    </w:lvl>
    <w:lvl w:ilvl="8">
      <w:start w:val="0"/>
      <w:numFmt w:val="bullet"/>
      <w:lvlText w:val="•"/>
      <w:lvlJc w:val="left"/>
      <w:pPr>
        <w:ind w:left="4492" w:hanging="171"/>
      </w:pPr>
      <w:rPr>
        <w:rFonts w:hint="default"/>
      </w:rPr>
    </w:lvl>
  </w:abstractNum>
  <w:abstractNum w:abstractNumId="0">
    <w:multiLevelType w:val="hybridMultilevel"/>
    <w:lvl w:ilvl="0">
      <w:start w:val="9"/>
      <w:numFmt w:val="decimal"/>
      <w:lvlText w:val="%1"/>
      <w:lvlJc w:val="left"/>
      <w:pPr>
        <w:ind w:left="1984" w:hanging="545"/>
        <w:jc w:val="left"/>
      </w:pPr>
      <w:rPr>
        <w:rFonts w:hint="default"/>
      </w:rPr>
    </w:lvl>
    <w:lvl w:ilvl="1">
      <w:start w:val="0"/>
      <w:numFmt w:val="decimal"/>
      <w:lvlText w:val="%1.%2."/>
      <w:lvlJc w:val="left"/>
      <w:pPr>
        <w:ind w:left="1984" w:hanging="545"/>
        <w:jc w:val="left"/>
      </w:pPr>
      <w:rPr>
        <w:rFonts w:hint="default" w:ascii="Arial" w:hAnsi="Arial" w:eastAsia="Arial" w:cs="Arial"/>
        <w:color w:val="00A94F"/>
        <w:spacing w:val="-5"/>
        <w:w w:val="100"/>
        <w:sz w:val="28"/>
        <w:szCs w:val="28"/>
      </w:rPr>
    </w:lvl>
    <w:lvl w:ilvl="2">
      <w:start w:val="2"/>
      <w:numFmt w:val="decimal"/>
      <w:lvlText w:val="%1.%2.%3."/>
      <w:lvlJc w:val="left"/>
      <w:pPr>
        <w:ind w:left="1440" w:hanging="556"/>
        <w:jc w:val="right"/>
      </w:pPr>
      <w:rPr>
        <w:rFonts w:hint="default" w:ascii="Arial" w:hAnsi="Arial" w:eastAsia="Arial" w:cs="Arial"/>
        <w:color w:val="1C3E94"/>
        <w:spacing w:val="-4"/>
        <w:w w:val="94"/>
        <w:sz w:val="20"/>
        <w:szCs w:val="20"/>
      </w:rPr>
    </w:lvl>
    <w:lvl w:ilvl="3">
      <w:start w:val="0"/>
      <w:numFmt w:val="bullet"/>
      <w:lvlText w:val="•"/>
      <w:lvlJc w:val="left"/>
      <w:pPr>
        <w:ind w:left="2697" w:hanging="556"/>
      </w:pPr>
      <w:rPr>
        <w:rFonts w:hint="default"/>
      </w:rPr>
    </w:lvl>
    <w:lvl w:ilvl="4">
      <w:start w:val="0"/>
      <w:numFmt w:val="bullet"/>
      <w:lvlText w:val="•"/>
      <w:lvlJc w:val="left"/>
      <w:pPr>
        <w:ind w:left="3056" w:hanging="556"/>
      </w:pPr>
      <w:rPr>
        <w:rFonts w:hint="default"/>
      </w:rPr>
    </w:lvl>
    <w:lvl w:ilvl="5">
      <w:start w:val="0"/>
      <w:numFmt w:val="bullet"/>
      <w:lvlText w:val="•"/>
      <w:lvlJc w:val="left"/>
      <w:pPr>
        <w:ind w:left="3415" w:hanging="556"/>
      </w:pPr>
      <w:rPr>
        <w:rFonts w:hint="default"/>
      </w:rPr>
    </w:lvl>
    <w:lvl w:ilvl="6">
      <w:start w:val="0"/>
      <w:numFmt w:val="bullet"/>
      <w:lvlText w:val="•"/>
      <w:lvlJc w:val="left"/>
      <w:pPr>
        <w:ind w:left="3774" w:hanging="556"/>
      </w:pPr>
      <w:rPr>
        <w:rFonts w:hint="default"/>
      </w:rPr>
    </w:lvl>
    <w:lvl w:ilvl="7">
      <w:start w:val="0"/>
      <w:numFmt w:val="bullet"/>
      <w:lvlText w:val="•"/>
      <w:lvlJc w:val="left"/>
      <w:pPr>
        <w:ind w:left="4133" w:hanging="556"/>
      </w:pPr>
      <w:rPr>
        <w:rFonts w:hint="default"/>
      </w:rPr>
    </w:lvl>
    <w:lvl w:ilvl="8">
      <w:start w:val="0"/>
      <w:numFmt w:val="bullet"/>
      <w:lvlText w:val="•"/>
      <w:lvlJc w:val="left"/>
      <w:pPr>
        <w:ind w:left="4492" w:hanging="556"/>
      </w:pPr>
      <w:rPr>
        <w:rFonts w:hint="default"/>
      </w:rPr>
    </w:lvl>
  </w:abstract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aramond" w:hAnsi="Garamond" w:eastAsia="Garamond" w:cs="Garamond"/>
    </w:rPr>
  </w:style>
  <w:style w:styleId="BodyText" w:type="paragraph">
    <w:name w:val="Body Text"/>
    <w:basedOn w:val="Normal"/>
    <w:uiPriority w:val="1"/>
    <w:qFormat/>
    <w:pPr/>
    <w:rPr>
      <w:rFonts w:ascii="Garamond" w:hAnsi="Garamond" w:eastAsia="Garamond" w:cs="Garamond"/>
      <w:sz w:val="20"/>
      <w:szCs w:val="20"/>
    </w:rPr>
  </w:style>
  <w:style w:styleId="Heading1" w:type="paragraph">
    <w:name w:val="Heading 1"/>
    <w:basedOn w:val="Normal"/>
    <w:uiPriority w:val="1"/>
    <w:qFormat/>
    <w:pPr>
      <w:spacing w:before="97"/>
      <w:ind w:left="1264" w:hanging="544"/>
      <w:outlineLvl w:val="1"/>
    </w:pPr>
    <w:rPr>
      <w:rFonts w:ascii="Arial" w:hAnsi="Arial" w:eastAsia="Arial" w:cs="Arial"/>
      <w:sz w:val="28"/>
      <w:szCs w:val="28"/>
    </w:rPr>
  </w:style>
  <w:style w:styleId="ListParagraph" w:type="paragraph">
    <w:name w:val="List Paragraph"/>
    <w:basedOn w:val="Normal"/>
    <w:uiPriority w:val="1"/>
    <w:qFormat/>
    <w:pPr>
      <w:spacing w:before="90"/>
      <w:ind w:left="1610" w:hanging="170"/>
    </w:pPr>
    <w:rPr>
      <w:rFonts w:ascii="Garamond" w:hAnsi="Garamond" w:eastAsia="Garamond" w:cs="Garamond"/>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yperlink" Target="http://www.cifor.us/" TargetMode="External"/><Relationship Id="rId11" Type="http://schemas.openxmlformats.org/officeDocument/2006/relationships/hyperlink" Target="http://www.cdc.gov/" TargetMode="External"/><Relationship Id="rId12" Type="http://schemas.openxmlformats.org/officeDocument/2006/relationships/hyperlink" Target="http://www/" TargetMode="External"/><Relationship Id="rId13" Type="http://schemas.openxmlformats.org/officeDocument/2006/relationships/hyperlink" Target="http://www.cdc.gov/phlp/publications/type/" TargetMode="External"/><Relationship Id="rId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2018-01-23T13:55:48Z</dcterms:created>
  <dcterms:modified xsi:type="dcterms:W3CDTF">2018-01-23T13:55:48Z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2014-04-24T00:00:00Z</vt:filetime>
  </property>
  <property fmtid="{D5CDD505-2E9C-101B-9397-08002B2CF9AE}" pid="3" name="Creator">
    <vt:lpwstr>Adobe InDesign CS6 (Macintosh)</vt:lpwstr>
  </property>
  <property fmtid="{D5CDD505-2E9C-101B-9397-08002B2CF9AE}" pid="4" name="LastSaved">
    <vt:filetime>2018-01-23T00:00:00Z</vt:filetime>
  </property>
</Properties>
</file>