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5548D" w14:textId="77777777" w:rsidR="00D458EF" w:rsidRDefault="00D458EF" w:rsidP="00D458E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Notes for January 18, 2018 CIFOR meeting</w:t>
      </w:r>
    </w:p>
    <w:p w14:paraId="79C9849A" w14:textId="77777777" w:rsidR="00D458EF" w:rsidRDefault="00D458EF" w:rsidP="00D458E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Decatur, GA</w:t>
      </w:r>
    </w:p>
    <w:p w14:paraId="10A065EC" w14:textId="62C2E79A" w:rsidR="00855E0F" w:rsidRDefault="00735902" w:rsidP="00C632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Chapter 3 Notes</w:t>
      </w:r>
    </w:p>
    <w:p w14:paraId="7472BC10" w14:textId="77777777" w:rsidR="00C632E2" w:rsidRDefault="00442C72" w:rsidP="00C632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Goal: create</w:t>
      </w:r>
      <w:r w:rsidR="00C847FC">
        <w:rPr>
          <w:rFonts w:ascii="Arial" w:hAnsi="Arial" w:cs="Arial"/>
          <w:sz w:val="24"/>
          <w:szCs w:val="24"/>
        </w:rPr>
        <w:t xml:space="preserve"> better </w:t>
      </w:r>
      <w:r w:rsidR="00C847FC" w:rsidRPr="006C55AE">
        <w:rPr>
          <w:rFonts w:ascii="Arial" w:hAnsi="Arial" w:cs="Arial"/>
          <w:sz w:val="24"/>
          <w:szCs w:val="24"/>
        </w:rPr>
        <w:t>connectivity</w:t>
      </w:r>
      <w:r w:rsidR="00C847FC">
        <w:rPr>
          <w:rFonts w:ascii="Arial" w:hAnsi="Arial" w:cs="Arial"/>
          <w:sz w:val="24"/>
          <w:szCs w:val="24"/>
        </w:rPr>
        <w:t xml:space="preserve"> bet</w:t>
      </w:r>
      <w:bookmarkStart w:id="0" w:name="_GoBack"/>
      <w:bookmarkEnd w:id="0"/>
      <w:r w:rsidR="00C847FC">
        <w:rPr>
          <w:rFonts w:ascii="Arial" w:hAnsi="Arial" w:cs="Arial"/>
          <w:sz w:val="24"/>
          <w:szCs w:val="24"/>
        </w:rPr>
        <w:t>ween the chapters</w:t>
      </w:r>
      <w:r w:rsidR="00506F78">
        <w:rPr>
          <w:rFonts w:ascii="Arial" w:hAnsi="Arial" w:cs="Arial"/>
          <w:sz w:val="24"/>
          <w:szCs w:val="24"/>
        </w:rPr>
        <w:t xml:space="preserve"> – what are the key barriers that currently hampering response and prevention efforts</w:t>
      </w:r>
      <w:r w:rsidR="00271031">
        <w:rPr>
          <w:rFonts w:ascii="Arial" w:hAnsi="Arial" w:cs="Arial"/>
          <w:sz w:val="24"/>
          <w:szCs w:val="24"/>
        </w:rPr>
        <w:t xml:space="preserve"> that we want the 3</w:t>
      </w:r>
      <w:r w:rsidR="00271031" w:rsidRPr="00271031">
        <w:rPr>
          <w:rFonts w:ascii="Arial" w:hAnsi="Arial" w:cs="Arial"/>
          <w:sz w:val="24"/>
          <w:szCs w:val="24"/>
          <w:vertAlign w:val="superscript"/>
        </w:rPr>
        <w:t>rd</w:t>
      </w:r>
      <w:r w:rsidR="00271031">
        <w:rPr>
          <w:rFonts w:ascii="Arial" w:hAnsi="Arial" w:cs="Arial"/>
          <w:sz w:val="24"/>
          <w:szCs w:val="24"/>
        </w:rPr>
        <w:t xml:space="preserve"> edition to better address?</w:t>
      </w:r>
    </w:p>
    <w:p w14:paraId="70A5ADE4" w14:textId="77777777" w:rsidR="00442C72" w:rsidRDefault="00442C72" w:rsidP="00C632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 examples of c</w:t>
      </w:r>
      <w:r w:rsidR="00785215">
        <w:rPr>
          <w:rFonts w:ascii="Arial" w:hAnsi="Arial" w:cs="Arial"/>
          <w:sz w:val="24"/>
          <w:szCs w:val="24"/>
        </w:rPr>
        <w:t>ross-cutting issues: social media, information sharing agreements, AAR, communication (efficient streamlined)</w:t>
      </w:r>
    </w:p>
    <w:p w14:paraId="1F0CFC3D" w14:textId="77777777" w:rsidR="00442C72" w:rsidRDefault="00442C72" w:rsidP="00C632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Possible to identify what level of content should be presented in each Chapter? Some possible examples: </w:t>
      </w:r>
    </w:p>
    <w:p w14:paraId="5035861A" w14:textId="77777777" w:rsidR="00855E0F" w:rsidRDefault="00855E0F" w:rsidP="00506F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Chapter 3: Planning and preparedness - capacity development / foundation</w:t>
      </w:r>
    </w:p>
    <w:p w14:paraId="30667A66" w14:textId="77777777" w:rsidR="00855E0F" w:rsidRDefault="00855E0F" w:rsidP="00506F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5: implications for conducting </w:t>
      </w:r>
      <w:r w:rsidR="00442C72">
        <w:rPr>
          <w:rFonts w:ascii="Arial" w:hAnsi="Arial" w:cs="Arial"/>
          <w:sz w:val="24"/>
          <w:szCs w:val="24"/>
        </w:rPr>
        <w:t>the investigation/</w:t>
      </w:r>
      <w:r>
        <w:rPr>
          <w:rFonts w:ascii="Arial" w:hAnsi="Arial" w:cs="Arial"/>
          <w:sz w:val="24"/>
          <w:szCs w:val="24"/>
        </w:rPr>
        <w:t>response</w:t>
      </w:r>
    </w:p>
    <w:p w14:paraId="6672648F" w14:textId="77777777" w:rsidR="00442C72" w:rsidRDefault="00442C72" w:rsidP="00506F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Chapter 6: Implications for control, assessing investigation/response effectiveness, continuous process improvement, and prevention</w:t>
      </w:r>
    </w:p>
    <w:p w14:paraId="4D88A30E" w14:textId="77777777" w:rsidR="00855E0F" w:rsidRDefault="00855E0F" w:rsidP="00506F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7: </w:t>
      </w:r>
      <w:r w:rsidR="00442C72">
        <w:rPr>
          <w:rFonts w:ascii="Arial" w:hAnsi="Arial" w:cs="Arial"/>
          <w:sz w:val="24"/>
          <w:szCs w:val="24"/>
        </w:rPr>
        <w:t>Multi-agency response a</w:t>
      </w:r>
      <w:r>
        <w:rPr>
          <w:rFonts w:ascii="Arial" w:hAnsi="Arial" w:cs="Arial"/>
          <w:sz w:val="24"/>
          <w:szCs w:val="24"/>
        </w:rPr>
        <w:t>pplications and problem solving</w:t>
      </w:r>
    </w:p>
    <w:p w14:paraId="0DE43983" w14:textId="77777777" w:rsidR="00855E0F" w:rsidRPr="00506F78" w:rsidRDefault="00855E0F" w:rsidP="00506F78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9: legal preparedness section </w:t>
      </w:r>
      <w:r w:rsidR="00271031">
        <w:rPr>
          <w:rFonts w:ascii="Arial" w:hAnsi="Arial" w:cs="Arial"/>
          <w:sz w:val="24"/>
          <w:szCs w:val="24"/>
        </w:rPr>
        <w:t>- example: information sharing agreements</w:t>
      </w:r>
      <w:r w:rsidR="00442C72">
        <w:rPr>
          <w:rFonts w:ascii="Arial" w:hAnsi="Arial" w:cs="Arial"/>
          <w:sz w:val="24"/>
          <w:szCs w:val="24"/>
        </w:rPr>
        <w:t xml:space="preserve"> – what content should be included here vs. Chapter 3?</w:t>
      </w:r>
    </w:p>
    <w:p w14:paraId="077F1FE0" w14:textId="77777777" w:rsidR="00D458EF" w:rsidRPr="00FE4920" w:rsidRDefault="00D458EF" w:rsidP="00442C72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2F67A37" w14:textId="204294AE" w:rsidR="00D971A9" w:rsidRDefault="00C632E2" w:rsidP="00D458EF">
      <w:pPr>
        <w:pStyle w:val="Pa11"/>
        <w:spacing w:after="80"/>
        <w:rPr>
          <w:rFonts w:ascii="Arial" w:hAnsi="Arial" w:cs="Arial"/>
        </w:rPr>
      </w:pPr>
      <w:r w:rsidRPr="00C632E2">
        <w:rPr>
          <w:rFonts w:ascii="Arial" w:hAnsi="Arial" w:cs="Arial"/>
          <w:b/>
        </w:rPr>
        <w:t>Chapter 3</w:t>
      </w:r>
      <w:r>
        <w:rPr>
          <w:rFonts w:ascii="Arial" w:hAnsi="Arial" w:cs="Arial"/>
        </w:rPr>
        <w:t xml:space="preserve"> </w:t>
      </w:r>
      <w:r w:rsidR="00D971A9">
        <w:rPr>
          <w:rFonts w:ascii="Arial" w:hAnsi="Arial" w:cs="Arial"/>
        </w:rPr>
        <w:t>Planning</w:t>
      </w:r>
      <w:r w:rsidR="00442C72">
        <w:rPr>
          <w:rFonts w:ascii="Arial" w:hAnsi="Arial" w:cs="Arial"/>
        </w:rPr>
        <w:t xml:space="preserve"> and Preparation</w:t>
      </w:r>
    </w:p>
    <w:p w14:paraId="34BB5F68" w14:textId="77777777" w:rsidR="006671B4" w:rsidRPr="003F4940" w:rsidRDefault="006671B4" w:rsidP="00442C72">
      <w:pPr>
        <w:pStyle w:val="Pa11"/>
        <w:spacing w:after="80"/>
        <w:rPr>
          <w:rFonts w:ascii="Arial" w:hAnsi="Arial" w:cs="Arial"/>
        </w:rPr>
      </w:pPr>
      <w:r w:rsidRPr="003F4940">
        <w:rPr>
          <w:rFonts w:ascii="Arial" w:hAnsi="Arial" w:cs="Arial"/>
        </w:rPr>
        <w:t>Notes from the meeting</w:t>
      </w:r>
    </w:p>
    <w:p w14:paraId="478D2DF4" w14:textId="77777777" w:rsidR="00B7411A" w:rsidRPr="003F4940" w:rsidRDefault="00B7411A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>Centers for Excellence – key functional partnerships and infrastructure development.</w:t>
      </w:r>
    </w:p>
    <w:p w14:paraId="3FC8D06C" w14:textId="0A5CA331" w:rsidR="000A690F" w:rsidRPr="003F4940" w:rsidRDefault="000A690F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 xml:space="preserve">Capacity development activities – doing food flows during routine inspections. Opportunities to develop </w:t>
      </w:r>
      <w:r w:rsidR="00B1701F">
        <w:rPr>
          <w:rFonts w:ascii="Arial" w:hAnsi="Arial" w:cs="Arial"/>
          <w:sz w:val="24"/>
          <w:szCs w:val="24"/>
        </w:rPr>
        <w:t xml:space="preserve">and maintain core investigation </w:t>
      </w:r>
      <w:r w:rsidRPr="003F4940">
        <w:rPr>
          <w:rFonts w:ascii="Arial" w:hAnsi="Arial" w:cs="Arial"/>
          <w:sz w:val="24"/>
          <w:szCs w:val="24"/>
        </w:rPr>
        <w:t>capacities through routine capacities.</w:t>
      </w:r>
      <w:r w:rsidR="00B1701F">
        <w:rPr>
          <w:rFonts w:ascii="Arial" w:hAnsi="Arial" w:cs="Arial"/>
          <w:sz w:val="24"/>
          <w:szCs w:val="24"/>
        </w:rPr>
        <w:t xml:space="preserve"> Example: food regulators periodically assessing and documenting food flows during routine inspections to maintain Environmental Assessment proficiency (A. Kramer)</w:t>
      </w:r>
    </w:p>
    <w:p w14:paraId="15F0A849" w14:textId="77777777" w:rsidR="000A690F" w:rsidRPr="003F4940" w:rsidRDefault="000A690F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>Environmental investigator desirable skills – 3.2 communication skills.</w:t>
      </w:r>
    </w:p>
    <w:p w14:paraId="4C74C552" w14:textId="77777777" w:rsidR="003F4940" w:rsidRPr="003F4940" w:rsidRDefault="003F4940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>Training – skills/competencies</w:t>
      </w:r>
      <w:r>
        <w:rPr>
          <w:rFonts w:ascii="Arial" w:hAnsi="Arial" w:cs="Arial"/>
          <w:sz w:val="24"/>
          <w:szCs w:val="24"/>
        </w:rPr>
        <w:t xml:space="preserve"> needed to successfully accomplish assigned tasks. Michelle D. – IFPTI, NEHA</w:t>
      </w:r>
    </w:p>
    <w:p w14:paraId="36C2BB99" w14:textId="77777777" w:rsidR="000A690F" w:rsidRPr="003F4940" w:rsidRDefault="000A690F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 xml:space="preserve">Susan Lance – don’t want to dilute the outbreak response focus </w:t>
      </w:r>
      <w:r w:rsidR="00271031">
        <w:rPr>
          <w:rFonts w:ascii="Arial" w:hAnsi="Arial" w:cs="Arial"/>
          <w:sz w:val="24"/>
          <w:szCs w:val="24"/>
        </w:rPr>
        <w:t>by getting too focused on</w:t>
      </w:r>
      <w:r w:rsidRPr="003F4940">
        <w:rPr>
          <w:rFonts w:ascii="Arial" w:hAnsi="Arial" w:cs="Arial"/>
          <w:sz w:val="24"/>
          <w:szCs w:val="24"/>
        </w:rPr>
        <w:t xml:space="preserve"> prevention</w:t>
      </w:r>
    </w:p>
    <w:p w14:paraId="67A3AA21" w14:textId="77777777" w:rsidR="000A690F" w:rsidRPr="003F4940" w:rsidRDefault="000A690F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>Craig Hedberg – how do we practice those skills better? Identify the bottle necks and better address them. Outbreak responses inform prevention efforts</w:t>
      </w:r>
      <w:r w:rsidRPr="003F4940">
        <w:rPr>
          <w:rFonts w:ascii="Arial" w:hAnsi="Arial" w:cs="Arial"/>
          <w:b/>
          <w:sz w:val="24"/>
          <w:szCs w:val="24"/>
        </w:rPr>
        <w:t>.</w:t>
      </w:r>
      <w:r w:rsidR="003F4940" w:rsidRPr="003F4940">
        <w:rPr>
          <w:rFonts w:ascii="Arial" w:hAnsi="Arial" w:cs="Arial"/>
          <w:b/>
          <w:sz w:val="24"/>
          <w:szCs w:val="24"/>
        </w:rPr>
        <w:t xml:space="preserve"> </w:t>
      </w:r>
      <w:r w:rsidR="003F4940" w:rsidRPr="003F4940">
        <w:rPr>
          <w:rFonts w:ascii="Arial" w:hAnsi="Arial" w:cs="Arial"/>
          <w:sz w:val="24"/>
          <w:szCs w:val="24"/>
        </w:rPr>
        <w:t xml:space="preserve">Ian Williams </w:t>
      </w:r>
      <w:r w:rsidR="00271031">
        <w:rPr>
          <w:rFonts w:ascii="Arial" w:hAnsi="Arial" w:cs="Arial"/>
          <w:sz w:val="24"/>
          <w:szCs w:val="24"/>
        </w:rPr>
        <w:t xml:space="preserve">emphasized </w:t>
      </w:r>
      <w:r w:rsidR="003F4940" w:rsidRPr="003F4940">
        <w:rPr>
          <w:rFonts w:ascii="Arial" w:hAnsi="Arial" w:cs="Arial"/>
          <w:sz w:val="24"/>
          <w:szCs w:val="24"/>
        </w:rPr>
        <w:t>the same</w:t>
      </w:r>
      <w:r w:rsidR="00271031">
        <w:rPr>
          <w:rFonts w:ascii="Arial" w:hAnsi="Arial" w:cs="Arial"/>
          <w:sz w:val="24"/>
          <w:szCs w:val="24"/>
        </w:rPr>
        <w:t xml:space="preserve"> point</w:t>
      </w:r>
      <w:r w:rsidR="003F4940" w:rsidRPr="003F4940">
        <w:rPr>
          <w:rFonts w:ascii="Arial" w:hAnsi="Arial" w:cs="Arial"/>
          <w:sz w:val="24"/>
          <w:szCs w:val="24"/>
        </w:rPr>
        <w:t>.</w:t>
      </w:r>
    </w:p>
    <w:p w14:paraId="0CC2B41E" w14:textId="77777777" w:rsidR="003F4940" w:rsidRPr="003F4940" w:rsidRDefault="003F4940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 w:rsidRPr="003F4940">
        <w:rPr>
          <w:rFonts w:ascii="Arial" w:hAnsi="Arial" w:cs="Arial"/>
          <w:sz w:val="24"/>
          <w:szCs w:val="24"/>
        </w:rPr>
        <w:t>Tracey – reality factor – sift out the truth from the lies.</w:t>
      </w:r>
    </w:p>
    <w:p w14:paraId="7C2A14F2" w14:textId="6F4EFEDF" w:rsidR="00B1701F" w:rsidRDefault="00D971A9" w:rsidP="00B1701F">
      <w:pPr>
        <w:pStyle w:val="Pa11"/>
        <w:numPr>
          <w:ilvl w:val="0"/>
          <w:numId w:val="11"/>
        </w:numPr>
        <w:spacing w:after="80"/>
        <w:ind w:left="0"/>
        <w:rPr>
          <w:rFonts w:ascii="Arial" w:hAnsi="Arial" w:cs="Arial"/>
        </w:rPr>
      </w:pPr>
      <w:r>
        <w:rPr>
          <w:rFonts w:ascii="Arial" w:hAnsi="Arial" w:cs="Arial"/>
        </w:rPr>
        <w:t>How we all fit into an IFSS</w:t>
      </w:r>
      <w:r w:rsidR="00B1701F">
        <w:rPr>
          <w:rFonts w:ascii="Arial" w:hAnsi="Arial" w:cs="Arial"/>
        </w:rPr>
        <w:t xml:space="preserve"> (to what extent is this a shared objective / model practice?)</w:t>
      </w:r>
    </w:p>
    <w:p w14:paraId="42688FCC" w14:textId="77777777" w:rsidR="00B1701F" w:rsidRDefault="00D971A9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lastRenderedPageBreak/>
        <w:t xml:space="preserve">Risk-based capacity development – one size doesn’t fit all. </w:t>
      </w:r>
    </w:p>
    <w:p w14:paraId="76FBDAB7" w14:textId="77777777" w:rsidR="00B1701F" w:rsidRDefault="00D971A9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t>Build on each other’s efforts into network of networks</w:t>
      </w:r>
      <w:r w:rsidR="00361939" w:rsidRPr="00B1701F">
        <w:rPr>
          <w:rFonts w:ascii="Arial" w:hAnsi="Arial" w:cs="Arial"/>
        </w:rPr>
        <w:t xml:space="preserve"> - RRT, FERN, LRN,</w:t>
      </w:r>
    </w:p>
    <w:p w14:paraId="11C84A56" w14:textId="01320524" w:rsidR="00361939" w:rsidRPr="00B1701F" w:rsidRDefault="00361939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t>Blending response with routine capacity development</w:t>
      </w:r>
    </w:p>
    <w:p w14:paraId="561CC1F9" w14:textId="77777777" w:rsidR="00B1701F" w:rsidRDefault="00D971A9" w:rsidP="00B1701F">
      <w:pPr>
        <w:pStyle w:val="Pa11"/>
        <w:numPr>
          <w:ilvl w:val="0"/>
          <w:numId w:val="11"/>
        </w:numPr>
        <w:spacing w:after="80"/>
        <w:ind w:left="0"/>
        <w:rPr>
          <w:rFonts w:ascii="Arial" w:hAnsi="Arial" w:cs="Arial"/>
        </w:rPr>
      </w:pPr>
      <w:r>
        <w:rPr>
          <w:rFonts w:ascii="Arial" w:hAnsi="Arial" w:cs="Arial"/>
        </w:rPr>
        <w:t>Regulatory and market driven standards are increasingly focused on prevention. Checks and balances to foster accountability, transparency, and traceability up and down entire supply chains.</w:t>
      </w:r>
    </w:p>
    <w:p w14:paraId="4BA4709E" w14:textId="4FD70953" w:rsidR="003E69C8" w:rsidRDefault="00E01987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t xml:space="preserve">New </w:t>
      </w:r>
      <w:r w:rsidR="00216E57" w:rsidRPr="00B1701F">
        <w:rPr>
          <w:rFonts w:ascii="Arial" w:hAnsi="Arial" w:cs="Arial"/>
        </w:rPr>
        <w:t>Authorities FDA (FSMA), vs meat and poultry, vs. local public health code - understanding local codes.</w:t>
      </w:r>
    </w:p>
    <w:p w14:paraId="078D991C" w14:textId="16C6B5DC" w:rsidR="00B1701F" w:rsidRPr="00B1701F" w:rsidRDefault="00B1701F" w:rsidP="00B1701F">
      <w:pPr>
        <w:pStyle w:val="Pa11"/>
        <w:numPr>
          <w:ilvl w:val="2"/>
          <w:numId w:val="11"/>
        </w:numPr>
        <w:spacing w:after="80"/>
        <w:ind w:left="1800"/>
        <w:rPr>
          <w:rFonts w:ascii="Arial" w:hAnsi="Arial" w:cs="Arial"/>
        </w:rPr>
      </w:pPr>
      <w:r>
        <w:rPr>
          <w:rFonts w:ascii="Arial" w:hAnsi="Arial" w:cs="Arial"/>
        </w:rPr>
        <w:t>Preventive controls – implications for specific and non-specific control measures</w:t>
      </w:r>
    </w:p>
    <w:p w14:paraId="25DFD2B8" w14:textId="5FF9C237" w:rsidR="00B1701F" w:rsidRPr="00B1701F" w:rsidRDefault="00B1701F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3F4940">
        <w:rPr>
          <w:rFonts w:ascii="Arial" w:hAnsi="Arial" w:cs="Arial"/>
        </w:rPr>
        <w:t>Developing guidelines for manufactured food</w:t>
      </w:r>
      <w:r>
        <w:rPr>
          <w:rFonts w:ascii="Arial" w:hAnsi="Arial" w:cs="Arial"/>
        </w:rPr>
        <w:t xml:space="preserve"> (FSIS)</w:t>
      </w:r>
      <w:r w:rsidRPr="003F4940">
        <w:rPr>
          <w:rFonts w:ascii="Arial" w:hAnsi="Arial" w:cs="Arial"/>
        </w:rPr>
        <w:t xml:space="preserve"> – Kirsten Holt (update)</w:t>
      </w:r>
    </w:p>
    <w:p w14:paraId="395EC1C9" w14:textId="77777777" w:rsidR="00B1701F" w:rsidRPr="00B1701F" w:rsidRDefault="00B1701F" w:rsidP="00B1701F">
      <w:pPr>
        <w:pStyle w:val="Pa11"/>
        <w:numPr>
          <w:ilvl w:val="0"/>
          <w:numId w:val="9"/>
        </w:numPr>
        <w:spacing w:after="80"/>
        <w:ind w:left="0"/>
        <w:rPr>
          <w:rFonts w:ascii="Arial" w:hAnsi="Arial" w:cs="Arial"/>
        </w:rPr>
      </w:pPr>
      <w:r w:rsidRPr="00B1701F">
        <w:rPr>
          <w:rFonts w:ascii="Arial" w:hAnsi="Arial" w:cs="Arial"/>
        </w:rPr>
        <w:t>Multi-agency coordination</w:t>
      </w:r>
    </w:p>
    <w:p w14:paraId="40770E6D" w14:textId="77777777" w:rsidR="00B1701F" w:rsidRPr="00B1701F" w:rsidRDefault="00B1701F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t>Agency roles/responsibilities</w:t>
      </w:r>
    </w:p>
    <w:p w14:paraId="6425A190" w14:textId="77777777" w:rsidR="00B1701F" w:rsidRPr="00B1701F" w:rsidRDefault="00B1701F" w:rsidP="00B1701F">
      <w:pPr>
        <w:pStyle w:val="Pa11"/>
        <w:numPr>
          <w:ilvl w:val="2"/>
          <w:numId w:val="9"/>
        </w:numPr>
        <w:spacing w:after="80"/>
        <w:ind w:left="2520"/>
        <w:rPr>
          <w:rFonts w:ascii="Arial" w:hAnsi="Arial" w:cs="Arial"/>
        </w:rPr>
      </w:pPr>
      <w:r w:rsidRPr="00B1701F">
        <w:rPr>
          <w:rFonts w:ascii="Arial" w:hAnsi="Arial" w:cs="Arial"/>
        </w:rPr>
        <w:t>Lead</w:t>
      </w:r>
    </w:p>
    <w:p w14:paraId="2107F669" w14:textId="06FAECA3" w:rsidR="00B1701F" w:rsidRPr="00B1701F" w:rsidRDefault="00B1701F" w:rsidP="00B1701F">
      <w:pPr>
        <w:pStyle w:val="Pa11"/>
        <w:numPr>
          <w:ilvl w:val="2"/>
          <w:numId w:val="9"/>
        </w:numPr>
        <w:spacing w:after="80"/>
        <w:ind w:left="2520"/>
        <w:rPr>
          <w:rFonts w:ascii="Arial" w:hAnsi="Arial" w:cs="Arial"/>
        </w:rPr>
      </w:pPr>
      <w:r w:rsidRPr="00B1701F">
        <w:rPr>
          <w:rFonts w:ascii="Arial" w:hAnsi="Arial" w:cs="Arial"/>
        </w:rPr>
        <w:t>Support (providing resources to the response)</w:t>
      </w:r>
    </w:p>
    <w:p w14:paraId="291878DF" w14:textId="59498842" w:rsidR="00B1701F" w:rsidRDefault="00B1701F" w:rsidP="00B1701F">
      <w:pPr>
        <w:pStyle w:val="Pa11"/>
        <w:numPr>
          <w:ilvl w:val="2"/>
          <w:numId w:val="9"/>
        </w:numPr>
        <w:spacing w:after="80"/>
        <w:ind w:left="2520"/>
        <w:rPr>
          <w:rFonts w:ascii="Arial" w:hAnsi="Arial" w:cs="Arial"/>
        </w:rPr>
      </w:pPr>
      <w:r w:rsidRPr="00B1701F">
        <w:rPr>
          <w:rFonts w:ascii="Arial" w:hAnsi="Arial" w:cs="Arial"/>
        </w:rPr>
        <w:t>Stakeholder (FYI – kept informed)</w:t>
      </w:r>
      <w:r>
        <w:rPr>
          <w:rFonts w:ascii="Arial" w:hAnsi="Arial" w:cs="Arial"/>
        </w:rPr>
        <w:t xml:space="preserve"> </w:t>
      </w:r>
    </w:p>
    <w:p w14:paraId="74FD1F5E" w14:textId="529226FD" w:rsidR="00B1701F" w:rsidRPr="00B1701F" w:rsidRDefault="00B1701F" w:rsidP="00B1701F">
      <w:pPr>
        <w:pStyle w:val="Pa11"/>
        <w:numPr>
          <w:ilvl w:val="1"/>
          <w:numId w:val="11"/>
        </w:numPr>
        <w:spacing w:after="80"/>
        <w:ind w:left="1080"/>
      </w:pPr>
      <w:r w:rsidRPr="00B1701F">
        <w:rPr>
          <w:rFonts w:ascii="Arial" w:hAnsi="Arial" w:cs="Arial"/>
        </w:rPr>
        <w:t>Model practices for coordination of specific challenging areas</w:t>
      </w:r>
      <w:r>
        <w:rPr>
          <w:rFonts w:ascii="Arial" w:hAnsi="Arial" w:cs="Arial"/>
        </w:rPr>
        <w:t xml:space="preserve"> </w:t>
      </w:r>
    </w:p>
    <w:p w14:paraId="6FA1D54A" w14:textId="3A70D512" w:rsidR="00B1701F" w:rsidRDefault="00847624" w:rsidP="00B1701F">
      <w:pPr>
        <w:pStyle w:val="Pa11"/>
        <w:numPr>
          <w:ilvl w:val="2"/>
          <w:numId w:val="9"/>
        </w:numPr>
        <w:spacing w:after="80"/>
        <w:ind w:left="2520"/>
        <w:rPr>
          <w:rFonts w:ascii="Arial" w:hAnsi="Arial" w:cs="Arial"/>
        </w:rPr>
      </w:pPr>
      <w:r w:rsidRPr="00B1701F">
        <w:rPr>
          <w:rFonts w:ascii="Arial" w:hAnsi="Arial" w:cs="Arial"/>
        </w:rPr>
        <w:t>Informational traceback</w:t>
      </w:r>
      <w:r>
        <w:rPr>
          <w:rFonts w:ascii="Arial" w:hAnsi="Arial" w:cs="Arial"/>
        </w:rPr>
        <w:t xml:space="preserve"> – authority to do them and response triggers</w:t>
      </w:r>
    </w:p>
    <w:p w14:paraId="15AAE032" w14:textId="6DF3CA9E" w:rsidR="00B1701F" w:rsidRPr="00B1701F" w:rsidRDefault="00B1701F" w:rsidP="00B1701F">
      <w:pPr>
        <w:pStyle w:val="Pa11"/>
        <w:numPr>
          <w:ilvl w:val="2"/>
          <w:numId w:val="9"/>
        </w:numPr>
        <w:spacing w:after="80"/>
        <w:ind w:left="2520"/>
        <w:rPr>
          <w:rFonts w:ascii="Arial" w:hAnsi="Arial" w:cs="Arial"/>
        </w:rPr>
      </w:pPr>
      <w:r w:rsidRPr="00B1701F">
        <w:rPr>
          <w:rFonts w:ascii="Arial" w:hAnsi="Arial" w:cs="Arial"/>
        </w:rPr>
        <w:t>AAR</w:t>
      </w:r>
      <w:r>
        <w:rPr>
          <w:rFonts w:ascii="Arial" w:hAnsi="Arial" w:cs="Arial"/>
        </w:rPr>
        <w:t xml:space="preserve"> </w:t>
      </w:r>
    </w:p>
    <w:p w14:paraId="396E4ADD" w14:textId="14F41C6E" w:rsidR="00847624" w:rsidRPr="00B1701F" w:rsidRDefault="00847624" w:rsidP="00B1701F">
      <w:pPr>
        <w:pStyle w:val="Pa11"/>
        <w:numPr>
          <w:ilvl w:val="1"/>
          <w:numId w:val="11"/>
        </w:numPr>
        <w:spacing w:after="80"/>
        <w:ind w:left="1080"/>
        <w:rPr>
          <w:rFonts w:ascii="Arial" w:hAnsi="Arial" w:cs="Arial"/>
        </w:rPr>
      </w:pPr>
      <w:r w:rsidRPr="00B1701F">
        <w:rPr>
          <w:rFonts w:ascii="Arial" w:hAnsi="Arial" w:cs="Arial"/>
        </w:rPr>
        <w:t>Information sharing loops – two</w:t>
      </w:r>
      <w:r w:rsidR="00B1701F">
        <w:rPr>
          <w:rFonts w:ascii="Arial" w:hAnsi="Arial" w:cs="Arial"/>
        </w:rPr>
        <w:t>-</w:t>
      </w:r>
      <w:r w:rsidRPr="00B1701F">
        <w:rPr>
          <w:rFonts w:ascii="Arial" w:hAnsi="Arial" w:cs="Arial"/>
        </w:rPr>
        <w:t>way communication</w:t>
      </w:r>
    </w:p>
    <w:p w14:paraId="0919606E" w14:textId="77777777" w:rsidR="00D971A9" w:rsidRDefault="00847624" w:rsidP="00B1701F">
      <w:pPr>
        <w:pStyle w:val="Pa11"/>
        <w:numPr>
          <w:ilvl w:val="0"/>
          <w:numId w:val="9"/>
        </w:numPr>
        <w:spacing w:after="80"/>
        <w:ind w:left="0"/>
        <w:rPr>
          <w:rFonts w:ascii="Arial" w:hAnsi="Arial" w:cs="Arial"/>
        </w:rPr>
      </w:pPr>
      <w:r>
        <w:rPr>
          <w:rFonts w:ascii="Arial" w:hAnsi="Arial" w:cs="Arial"/>
        </w:rPr>
        <w:t>Integrate with other food safety and capacity development efforts - c</w:t>
      </w:r>
      <w:r w:rsidR="00D971A9">
        <w:rPr>
          <w:rFonts w:ascii="Arial" w:hAnsi="Arial" w:cs="Arial"/>
        </w:rPr>
        <w:t>ontinuous process improvement</w:t>
      </w:r>
    </w:p>
    <w:p w14:paraId="1E615204" w14:textId="77777777" w:rsidR="00735902" w:rsidRDefault="00735902" w:rsidP="00735902">
      <w:pPr>
        <w:pStyle w:val="ListParagraph"/>
        <w:numPr>
          <w:ilvl w:val="1"/>
          <w:numId w:val="9"/>
        </w:num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Possible graphic – FEMA Capacity Development Cycle – FEMA </w:t>
      </w:r>
    </w:p>
    <w:p w14:paraId="2D95016D" w14:textId="77777777" w:rsidR="00271031" w:rsidRDefault="00271031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</w:rPr>
      </w:pPr>
      <w:r>
        <w:rPr>
          <w:rFonts w:ascii="Arial" w:hAnsi="Arial" w:cs="Arial"/>
        </w:rPr>
        <w:t>National Response Framework – DHS funded capacity development – tend to be catastrophic incidents of national significance</w:t>
      </w:r>
    </w:p>
    <w:p w14:paraId="4864858B" w14:textId="77777777" w:rsidR="00271031" w:rsidRDefault="00271031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</w:rPr>
      </w:pPr>
      <w:r>
        <w:rPr>
          <w:rFonts w:ascii="Arial" w:hAnsi="Arial" w:cs="Arial"/>
        </w:rPr>
        <w:t>Discipline specific capacity development/ continuous process improvement efforts that link to foodborne outbreak investigations</w:t>
      </w:r>
    </w:p>
    <w:p w14:paraId="53640242" w14:textId="77777777" w:rsidR="00D971A9" w:rsidRDefault="00271031" w:rsidP="00B1701F">
      <w:pPr>
        <w:pStyle w:val="ListParagraph"/>
        <w:numPr>
          <w:ilvl w:val="2"/>
          <w:numId w:val="9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Public health – ELC, PHEP, </w:t>
      </w:r>
      <w:r w:rsidR="00D971A9" w:rsidRPr="00D971A9">
        <w:rPr>
          <w:rFonts w:ascii="Arial" w:hAnsi="Arial" w:cs="Arial"/>
        </w:rPr>
        <w:t>PHAB</w:t>
      </w:r>
    </w:p>
    <w:p w14:paraId="3EB772DF" w14:textId="77777777" w:rsidR="00D971A9" w:rsidRDefault="00271031" w:rsidP="00B1701F">
      <w:pPr>
        <w:pStyle w:val="ListParagraph"/>
        <w:numPr>
          <w:ilvl w:val="2"/>
          <w:numId w:val="9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>Regulatory - r</w:t>
      </w:r>
      <w:r w:rsidR="00D971A9">
        <w:rPr>
          <w:rFonts w:ascii="Arial" w:hAnsi="Arial" w:cs="Arial"/>
        </w:rPr>
        <w:t xml:space="preserve">etail and manufactured food </w:t>
      </w:r>
      <w:r>
        <w:rPr>
          <w:rFonts w:ascii="Arial" w:hAnsi="Arial" w:cs="Arial"/>
        </w:rPr>
        <w:t xml:space="preserve">program </w:t>
      </w:r>
      <w:r w:rsidR="00D971A9">
        <w:rPr>
          <w:rFonts w:ascii="Arial" w:hAnsi="Arial" w:cs="Arial"/>
        </w:rPr>
        <w:t>standards</w:t>
      </w:r>
    </w:p>
    <w:p w14:paraId="1EBEA723" w14:textId="77777777" w:rsidR="00D971A9" w:rsidRPr="00D971A9" w:rsidRDefault="00271031" w:rsidP="00B1701F">
      <w:pPr>
        <w:pStyle w:val="ListParagraph"/>
        <w:numPr>
          <w:ilvl w:val="2"/>
          <w:numId w:val="9"/>
        </w:numPr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Industry </w:t>
      </w:r>
      <w:r w:rsidR="00D971A9">
        <w:rPr>
          <w:rFonts w:ascii="Arial" w:hAnsi="Arial" w:cs="Arial"/>
        </w:rPr>
        <w:t>- ISO</w:t>
      </w:r>
    </w:p>
    <w:p w14:paraId="131EA031" w14:textId="77777777" w:rsidR="00847624" w:rsidRPr="00D458EF" w:rsidRDefault="00847624" w:rsidP="00B1701F">
      <w:pPr>
        <w:pStyle w:val="Pa11"/>
        <w:numPr>
          <w:ilvl w:val="0"/>
          <w:numId w:val="9"/>
        </w:numPr>
        <w:spacing w:after="80"/>
        <w:ind w:left="0"/>
        <w:rPr>
          <w:rFonts w:ascii="Arial" w:hAnsi="Arial" w:cs="Arial"/>
        </w:rPr>
      </w:pPr>
      <w:r w:rsidRPr="00847624">
        <w:rPr>
          <w:rFonts w:ascii="Arial" w:hAnsi="Arial" w:cs="Arial"/>
        </w:rPr>
        <w:t>Information Sharing Agreements</w:t>
      </w:r>
      <w:r w:rsidRPr="00D458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Chapter 3 (with public), Chapter 7 (between PH and regulatory agencies recognized as crucial) </w:t>
      </w:r>
    </w:p>
    <w:p w14:paraId="18F42D4D" w14:textId="77777777" w:rsidR="00847624" w:rsidRPr="00847624" w:rsidRDefault="00847624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</w:rPr>
      </w:pPr>
      <w:r w:rsidRPr="00847624">
        <w:rPr>
          <w:rFonts w:ascii="Arial" w:hAnsi="Arial" w:cs="Arial"/>
        </w:rPr>
        <w:t>FDA 20.88</w:t>
      </w:r>
    </w:p>
    <w:p w14:paraId="6A7AB0F9" w14:textId="77777777" w:rsidR="00D8743C" w:rsidRPr="00063A81" w:rsidRDefault="00847624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</w:rPr>
      </w:pPr>
      <w:r w:rsidRPr="00847624">
        <w:rPr>
          <w:rFonts w:ascii="Arial" w:hAnsi="Arial" w:cs="Arial"/>
        </w:rPr>
        <w:t>USDA FSIS – expedited FOIA</w:t>
      </w:r>
      <w:r>
        <w:rPr>
          <w:rFonts w:ascii="Arial" w:hAnsi="Arial" w:cs="Arial"/>
        </w:rPr>
        <w:t xml:space="preserve"> </w:t>
      </w:r>
    </w:p>
    <w:p w14:paraId="7FE41DAA" w14:textId="77777777" w:rsidR="00D8743C" w:rsidRDefault="00D8743C" w:rsidP="00B1701F">
      <w:pPr>
        <w:pStyle w:val="Pa11"/>
        <w:numPr>
          <w:ilvl w:val="0"/>
          <w:numId w:val="9"/>
        </w:numPr>
        <w:spacing w:after="80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Example of </w:t>
      </w:r>
      <w:r w:rsidR="00271031">
        <w:rPr>
          <w:rFonts w:ascii="Arial" w:hAnsi="Arial" w:cs="Arial"/>
        </w:rPr>
        <w:t xml:space="preserve">model practice – feedback loop to enhance prevention - </w:t>
      </w:r>
      <w:r>
        <w:rPr>
          <w:rFonts w:ascii="Arial" w:hAnsi="Arial" w:cs="Arial"/>
        </w:rPr>
        <w:t xml:space="preserve">how epi data is used to guide regulatory standard development. </w:t>
      </w:r>
    </w:p>
    <w:p w14:paraId="6D530176" w14:textId="77777777" w:rsidR="00271031" w:rsidRDefault="00D8743C" w:rsidP="00B1701F">
      <w:pPr>
        <w:pStyle w:val="Pa11"/>
        <w:spacing w:after="80"/>
        <w:rPr>
          <w:rFonts w:ascii="Arial" w:hAnsi="Arial" w:cs="Arial"/>
        </w:rPr>
      </w:pPr>
      <w:r w:rsidRPr="00D8743C">
        <w:rPr>
          <w:rFonts w:ascii="Arial" w:hAnsi="Arial" w:cs="Arial"/>
        </w:rPr>
        <w:t xml:space="preserve">The Centers for Disease Control and Prevention (CDC) Surveillance Report for 1993-1997, "Surveillance for Foodborne-Disease Outbreaks - United States," identified the </w:t>
      </w:r>
      <w:r w:rsidRPr="00D8743C">
        <w:rPr>
          <w:rFonts w:ascii="Arial" w:hAnsi="Arial" w:cs="Arial"/>
        </w:rPr>
        <w:lastRenderedPageBreak/>
        <w:t>most significant contributing factors to foodborne illness. Five of these broad categories of contributing factors directly relate to food safety</w:t>
      </w:r>
      <w:r w:rsidR="00271031">
        <w:rPr>
          <w:rFonts w:ascii="Arial" w:hAnsi="Arial" w:cs="Arial"/>
        </w:rPr>
        <w:t xml:space="preserve"> </w:t>
      </w:r>
      <w:r w:rsidRPr="00D8743C">
        <w:rPr>
          <w:rFonts w:ascii="Arial" w:hAnsi="Arial" w:cs="Arial"/>
        </w:rPr>
        <w:t>concerns within retail and food service establishments and are collectively termed by the FDA as "foodborne illness risk factors." These five broad categories are:</w:t>
      </w:r>
    </w:p>
    <w:p w14:paraId="246BEBB4" w14:textId="77777777" w:rsidR="00D8743C" w:rsidRPr="00271031" w:rsidRDefault="00D8743C" w:rsidP="00B1701F">
      <w:pPr>
        <w:pStyle w:val="Pa11"/>
        <w:numPr>
          <w:ilvl w:val="1"/>
          <w:numId w:val="9"/>
        </w:numPr>
        <w:spacing w:after="80"/>
        <w:ind w:left="720"/>
        <w:rPr>
          <w:rFonts w:ascii="Arial" w:hAnsi="Arial" w:cs="Arial"/>
        </w:rPr>
      </w:pPr>
      <w:r w:rsidRPr="00271031">
        <w:rPr>
          <w:rFonts w:ascii="CIDFont+F1" w:hAnsi="CIDFont+F1" w:cs="CIDFont+F1"/>
        </w:rPr>
        <w:t>Food from Unsafe Sources</w:t>
      </w:r>
    </w:p>
    <w:p w14:paraId="5B3E1827" w14:textId="77777777" w:rsidR="00271031" w:rsidRDefault="00D8743C" w:rsidP="00B1701F">
      <w:pPr>
        <w:pStyle w:val="Pa11"/>
        <w:numPr>
          <w:ilvl w:val="1"/>
          <w:numId w:val="9"/>
        </w:numPr>
        <w:spacing w:after="80"/>
        <w:ind w:left="720"/>
        <w:rPr>
          <w:rFonts w:ascii="CIDFont+F1" w:hAnsi="CIDFont+F1" w:cs="CIDFont+F1"/>
        </w:rPr>
      </w:pPr>
      <w:r w:rsidRPr="00D8743C">
        <w:rPr>
          <w:rFonts w:ascii="CIDFont+F1" w:hAnsi="CIDFont+F1" w:cs="CIDFont+F1"/>
        </w:rPr>
        <w:t>Inadequate Cooking</w:t>
      </w:r>
    </w:p>
    <w:p w14:paraId="7831801C" w14:textId="77777777" w:rsidR="00271031" w:rsidRDefault="00D8743C" w:rsidP="00B1701F">
      <w:pPr>
        <w:pStyle w:val="Pa11"/>
        <w:numPr>
          <w:ilvl w:val="1"/>
          <w:numId w:val="9"/>
        </w:numPr>
        <w:spacing w:after="80"/>
        <w:ind w:left="720"/>
        <w:rPr>
          <w:rFonts w:ascii="CIDFont+F1" w:hAnsi="CIDFont+F1" w:cs="CIDFont+F1"/>
        </w:rPr>
      </w:pPr>
      <w:r w:rsidRPr="00271031">
        <w:rPr>
          <w:rFonts w:ascii="CIDFont+F1" w:hAnsi="CIDFont+F1" w:cs="CIDFont+F1"/>
        </w:rPr>
        <w:t>Improper Holding Temperatures</w:t>
      </w:r>
    </w:p>
    <w:p w14:paraId="1E0C9A40" w14:textId="77777777" w:rsidR="00D8743C" w:rsidRPr="00271031" w:rsidRDefault="00D8743C" w:rsidP="00B1701F">
      <w:pPr>
        <w:pStyle w:val="Pa11"/>
        <w:numPr>
          <w:ilvl w:val="1"/>
          <w:numId w:val="9"/>
        </w:numPr>
        <w:spacing w:after="80"/>
        <w:ind w:left="720"/>
        <w:rPr>
          <w:rFonts w:ascii="CIDFont+F1" w:hAnsi="CIDFont+F1" w:cs="CIDFont+F1"/>
        </w:rPr>
      </w:pPr>
      <w:r w:rsidRPr="00271031">
        <w:rPr>
          <w:rFonts w:ascii="CIDFont+F1" w:hAnsi="CIDFont+F1" w:cs="CIDFont+F1"/>
        </w:rPr>
        <w:t>Contaminated Equipment</w:t>
      </w:r>
    </w:p>
    <w:p w14:paraId="64864843" w14:textId="77777777" w:rsidR="00D8743C" w:rsidRPr="00271031" w:rsidRDefault="00D8743C" w:rsidP="00B1701F">
      <w:pPr>
        <w:pStyle w:val="Pa11"/>
        <w:numPr>
          <w:ilvl w:val="1"/>
          <w:numId w:val="9"/>
        </w:numPr>
        <w:spacing w:after="80"/>
        <w:ind w:left="720"/>
        <w:rPr>
          <w:rFonts w:ascii="CIDFont+F1" w:hAnsi="CIDFont+F1" w:cs="CIDFont+F1"/>
        </w:rPr>
      </w:pPr>
      <w:r w:rsidRPr="00D8743C">
        <w:rPr>
          <w:rFonts w:ascii="CIDFont+F1" w:hAnsi="CIDFont+F1" w:cs="CIDFont+F1"/>
        </w:rPr>
        <w:t>Poor Personal Hygiene</w:t>
      </w:r>
    </w:p>
    <w:p w14:paraId="0E8F2954" w14:textId="77777777" w:rsidR="00442C72" w:rsidRDefault="00442C72" w:rsidP="00B1701F">
      <w:pPr>
        <w:pStyle w:val="ListParagraph"/>
        <w:numPr>
          <w:ilvl w:val="0"/>
          <w:numId w:val="9"/>
        </w:numPr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Any model practices that can be included related to multi-disciplinary investigation/response team training?  </w:t>
      </w:r>
    </w:p>
    <w:p w14:paraId="25314014" w14:textId="77777777" w:rsidR="00442C72" w:rsidRDefault="00442C72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COEs</w:t>
      </w:r>
    </w:p>
    <w:p w14:paraId="6D73FA75" w14:textId="77777777" w:rsidR="00442C72" w:rsidRDefault="00442C72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IFPTI – regulatory inspection &amp; investigation training</w:t>
      </w:r>
    </w:p>
    <w:p w14:paraId="155C4761" w14:textId="77777777" w:rsidR="00442C72" w:rsidRDefault="00442C72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FDA DHRD – regulator training</w:t>
      </w:r>
    </w:p>
    <w:p w14:paraId="102B04DF" w14:textId="77777777" w:rsidR="00442C72" w:rsidRDefault="00442C72" w:rsidP="00B1701F">
      <w:pPr>
        <w:pStyle w:val="ListParagraph"/>
        <w:numPr>
          <w:ilvl w:val="1"/>
          <w:numId w:val="9"/>
        </w:num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DHS funded – FEMA and consortiums (LSU and others)</w:t>
      </w:r>
    </w:p>
    <w:p w14:paraId="5D668E11" w14:textId="77777777" w:rsidR="00D8743C" w:rsidRDefault="00D8743C" w:rsidP="00B1701F">
      <w:pPr>
        <w:pStyle w:val="Pa11"/>
        <w:spacing w:after="80"/>
        <w:rPr>
          <w:rFonts w:ascii="Arial" w:hAnsi="Arial" w:cs="Arial"/>
          <w:b/>
        </w:rPr>
      </w:pPr>
    </w:p>
    <w:p w14:paraId="4264FEB6" w14:textId="77777777" w:rsidR="003B40C6" w:rsidRPr="00B05251" w:rsidRDefault="003B40C6" w:rsidP="00B1701F">
      <w:pPr>
        <w:rPr>
          <w:rFonts w:ascii="Arial" w:hAnsi="Arial" w:cs="Arial"/>
          <w:sz w:val="24"/>
          <w:szCs w:val="24"/>
        </w:rPr>
      </w:pPr>
    </w:p>
    <w:sectPr w:rsidR="003B40C6" w:rsidRPr="00B0525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30916" w14:textId="77777777" w:rsidR="00C179CD" w:rsidRDefault="00C179CD" w:rsidP="00D458EF">
      <w:pPr>
        <w:spacing w:after="0" w:line="240" w:lineRule="auto"/>
      </w:pPr>
      <w:r>
        <w:separator/>
      </w:r>
    </w:p>
  </w:endnote>
  <w:endnote w:type="continuationSeparator" w:id="0">
    <w:p w14:paraId="647A210C" w14:textId="77777777" w:rsidR="00C179CD" w:rsidRDefault="00C179CD" w:rsidP="00D45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skerville">
    <w:altName w:val="Baskerville Old Face"/>
    <w:charset w:val="00"/>
    <w:family w:val="auto"/>
    <w:pitch w:val="variable"/>
    <w:sig w:usb0="80000067" w:usb1="00000000" w:usb2="00000000" w:usb3="00000000" w:csb0="0000019F" w:csb1="00000000"/>
  </w:font>
  <w:font w:name="Avenir 55 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venir 65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468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75BD37" w14:textId="1C1DF47E" w:rsidR="00B1701F" w:rsidRDefault="00B170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55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E8D353" w14:textId="77777777" w:rsidR="00B1701F" w:rsidRDefault="00B17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73394" w14:textId="77777777" w:rsidR="00C179CD" w:rsidRDefault="00C179CD" w:rsidP="00D458EF">
      <w:pPr>
        <w:spacing w:after="0" w:line="240" w:lineRule="auto"/>
      </w:pPr>
      <w:r>
        <w:separator/>
      </w:r>
    </w:p>
  </w:footnote>
  <w:footnote w:type="continuationSeparator" w:id="0">
    <w:p w14:paraId="24C55744" w14:textId="77777777" w:rsidR="00C179CD" w:rsidRDefault="00C179CD" w:rsidP="00D45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ADF6D" w14:textId="19FC7FBA" w:rsidR="00B1701F" w:rsidRDefault="00B1701F">
    <w:pPr>
      <w:pStyle w:val="Header"/>
    </w:pPr>
    <w:r>
      <w:t xml:space="preserve">Version Date: January </w:t>
    </w:r>
    <w:r w:rsidR="00735902">
      <w:t>22</w:t>
    </w:r>
    <w:r>
      <w:t>, 2018</w:t>
    </w:r>
  </w:p>
  <w:p w14:paraId="38EA30CA" w14:textId="77777777" w:rsidR="00B1701F" w:rsidRDefault="00B17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36C1D"/>
    <w:multiLevelType w:val="hybridMultilevel"/>
    <w:tmpl w:val="34B69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43716"/>
    <w:multiLevelType w:val="hybridMultilevel"/>
    <w:tmpl w:val="03FC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D5A1E"/>
    <w:multiLevelType w:val="hybridMultilevel"/>
    <w:tmpl w:val="FE105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B5ABD"/>
    <w:multiLevelType w:val="hybridMultilevel"/>
    <w:tmpl w:val="B9240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05B94"/>
    <w:multiLevelType w:val="hybridMultilevel"/>
    <w:tmpl w:val="2A38F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078A5"/>
    <w:multiLevelType w:val="hybridMultilevel"/>
    <w:tmpl w:val="63588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02093"/>
    <w:multiLevelType w:val="hybridMultilevel"/>
    <w:tmpl w:val="C89CB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9788E"/>
    <w:multiLevelType w:val="hybridMultilevel"/>
    <w:tmpl w:val="4B2E9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50156"/>
    <w:multiLevelType w:val="hybridMultilevel"/>
    <w:tmpl w:val="D1C86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824CA"/>
    <w:multiLevelType w:val="hybridMultilevel"/>
    <w:tmpl w:val="26F4D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3185D"/>
    <w:multiLevelType w:val="hybridMultilevel"/>
    <w:tmpl w:val="7A06B7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F957CCF"/>
    <w:multiLevelType w:val="hybridMultilevel"/>
    <w:tmpl w:val="D332C5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EC266A"/>
    <w:multiLevelType w:val="hybridMultilevel"/>
    <w:tmpl w:val="BCC8B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26877"/>
    <w:multiLevelType w:val="hybridMultilevel"/>
    <w:tmpl w:val="E918EB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13"/>
  </w:num>
  <w:num w:numId="7">
    <w:abstractNumId w:val="3"/>
  </w:num>
  <w:num w:numId="8">
    <w:abstractNumId w:val="11"/>
  </w:num>
  <w:num w:numId="9">
    <w:abstractNumId w:val="10"/>
  </w:num>
  <w:num w:numId="10">
    <w:abstractNumId w:val="12"/>
  </w:num>
  <w:num w:numId="11">
    <w:abstractNumId w:val="7"/>
  </w:num>
  <w:num w:numId="12">
    <w:abstractNumId w:val="8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E57"/>
    <w:rsid w:val="00024695"/>
    <w:rsid w:val="00036E8E"/>
    <w:rsid w:val="00063A81"/>
    <w:rsid w:val="0009013A"/>
    <w:rsid w:val="000A690F"/>
    <w:rsid w:val="000C4FAC"/>
    <w:rsid w:val="001D6D19"/>
    <w:rsid w:val="002157EA"/>
    <w:rsid w:val="00216E57"/>
    <w:rsid w:val="002267CF"/>
    <w:rsid w:val="00271031"/>
    <w:rsid w:val="00291919"/>
    <w:rsid w:val="002A246B"/>
    <w:rsid w:val="002A4769"/>
    <w:rsid w:val="002B0606"/>
    <w:rsid w:val="00321D9D"/>
    <w:rsid w:val="00361939"/>
    <w:rsid w:val="003A5027"/>
    <w:rsid w:val="003B40C6"/>
    <w:rsid w:val="003E69C8"/>
    <w:rsid w:val="003F4940"/>
    <w:rsid w:val="00410FFF"/>
    <w:rsid w:val="00422C81"/>
    <w:rsid w:val="00442C72"/>
    <w:rsid w:val="0046646A"/>
    <w:rsid w:val="004875BB"/>
    <w:rsid w:val="004C4CDA"/>
    <w:rsid w:val="00505277"/>
    <w:rsid w:val="00506F78"/>
    <w:rsid w:val="005E329C"/>
    <w:rsid w:val="005E3A09"/>
    <w:rsid w:val="005F670D"/>
    <w:rsid w:val="00662B0F"/>
    <w:rsid w:val="006671B4"/>
    <w:rsid w:val="006C55AE"/>
    <w:rsid w:val="006D1B68"/>
    <w:rsid w:val="00735902"/>
    <w:rsid w:val="00785215"/>
    <w:rsid w:val="007E4D01"/>
    <w:rsid w:val="008343AB"/>
    <w:rsid w:val="00847624"/>
    <w:rsid w:val="00855E0F"/>
    <w:rsid w:val="008C5FAC"/>
    <w:rsid w:val="008F6FB9"/>
    <w:rsid w:val="009051E8"/>
    <w:rsid w:val="00960602"/>
    <w:rsid w:val="00961382"/>
    <w:rsid w:val="009F5BD0"/>
    <w:rsid w:val="00A16A37"/>
    <w:rsid w:val="00A77346"/>
    <w:rsid w:val="00AA127D"/>
    <w:rsid w:val="00B05251"/>
    <w:rsid w:val="00B1701F"/>
    <w:rsid w:val="00B477BB"/>
    <w:rsid w:val="00B7411A"/>
    <w:rsid w:val="00BA4530"/>
    <w:rsid w:val="00BE3EB5"/>
    <w:rsid w:val="00C179CD"/>
    <w:rsid w:val="00C51F6A"/>
    <w:rsid w:val="00C632E2"/>
    <w:rsid w:val="00C847FC"/>
    <w:rsid w:val="00CA67A1"/>
    <w:rsid w:val="00CC3816"/>
    <w:rsid w:val="00D145AD"/>
    <w:rsid w:val="00D22BB2"/>
    <w:rsid w:val="00D24EEB"/>
    <w:rsid w:val="00D458EF"/>
    <w:rsid w:val="00D640D8"/>
    <w:rsid w:val="00D8743C"/>
    <w:rsid w:val="00D971A9"/>
    <w:rsid w:val="00DD3EAB"/>
    <w:rsid w:val="00DF760D"/>
    <w:rsid w:val="00E01987"/>
    <w:rsid w:val="00E10AE4"/>
    <w:rsid w:val="00E11E02"/>
    <w:rsid w:val="00F70874"/>
    <w:rsid w:val="00F8335E"/>
    <w:rsid w:val="00FE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6E2C"/>
  <w15:chartTrackingRefBased/>
  <w15:docId w15:val="{6849D9D2-7943-4C93-BFD7-287979D7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C81"/>
    <w:pPr>
      <w:ind w:left="720"/>
      <w:contextualSpacing/>
    </w:pPr>
  </w:style>
  <w:style w:type="paragraph" w:customStyle="1" w:styleId="Pa11">
    <w:name w:val="Pa11"/>
    <w:basedOn w:val="Normal"/>
    <w:next w:val="Normal"/>
    <w:uiPriority w:val="99"/>
    <w:rsid w:val="00D458EF"/>
    <w:pPr>
      <w:autoSpaceDE w:val="0"/>
      <w:autoSpaceDN w:val="0"/>
      <w:adjustRightInd w:val="0"/>
      <w:spacing w:after="0" w:line="201" w:lineRule="atLeast"/>
    </w:pPr>
    <w:rPr>
      <w:rFonts w:ascii="Baskerville" w:hAnsi="Baskerville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D458EF"/>
    <w:pPr>
      <w:autoSpaceDE w:val="0"/>
      <w:autoSpaceDN w:val="0"/>
      <w:adjustRightInd w:val="0"/>
      <w:spacing w:after="0" w:line="241" w:lineRule="atLeast"/>
    </w:pPr>
    <w:rPr>
      <w:rFonts w:ascii="Baskerville" w:hAnsi="Baskerville"/>
      <w:sz w:val="24"/>
      <w:szCs w:val="24"/>
    </w:rPr>
  </w:style>
  <w:style w:type="character" w:customStyle="1" w:styleId="A2">
    <w:name w:val="A2"/>
    <w:uiPriority w:val="99"/>
    <w:rsid w:val="00D458EF"/>
    <w:rPr>
      <w:rFonts w:ascii="Avenir 55 Roman" w:hAnsi="Avenir 55 Roman" w:cs="Avenir 55 Roman"/>
      <w:color w:val="000000"/>
      <w:sz w:val="28"/>
      <w:szCs w:val="28"/>
    </w:rPr>
  </w:style>
  <w:style w:type="character" w:customStyle="1" w:styleId="A4">
    <w:name w:val="A4"/>
    <w:uiPriority w:val="99"/>
    <w:rsid w:val="00D458EF"/>
    <w:rPr>
      <w:rFonts w:ascii="Avenir 65 Medium" w:hAnsi="Avenir 65 Medium" w:cs="Avenir 65 Medium"/>
      <w:color w:val="000000"/>
      <w:sz w:val="18"/>
      <w:szCs w:val="18"/>
    </w:rPr>
  </w:style>
  <w:style w:type="paragraph" w:customStyle="1" w:styleId="Pa8">
    <w:name w:val="Pa8"/>
    <w:basedOn w:val="Normal"/>
    <w:next w:val="Normal"/>
    <w:uiPriority w:val="99"/>
    <w:rsid w:val="00D458EF"/>
    <w:pPr>
      <w:autoSpaceDE w:val="0"/>
      <w:autoSpaceDN w:val="0"/>
      <w:adjustRightInd w:val="0"/>
      <w:spacing w:after="0" w:line="241" w:lineRule="atLeast"/>
    </w:pPr>
    <w:rPr>
      <w:rFonts w:ascii="Baskerville" w:hAnsi="Baskerville"/>
      <w:sz w:val="24"/>
      <w:szCs w:val="24"/>
    </w:rPr>
  </w:style>
  <w:style w:type="paragraph" w:customStyle="1" w:styleId="Pa9">
    <w:name w:val="Pa9"/>
    <w:basedOn w:val="Normal"/>
    <w:next w:val="Normal"/>
    <w:uiPriority w:val="99"/>
    <w:rsid w:val="00D458EF"/>
    <w:pPr>
      <w:autoSpaceDE w:val="0"/>
      <w:autoSpaceDN w:val="0"/>
      <w:adjustRightInd w:val="0"/>
      <w:spacing w:after="0" w:line="241" w:lineRule="atLeast"/>
    </w:pPr>
    <w:rPr>
      <w:rFonts w:ascii="Baskerville" w:hAnsi="Baskerville"/>
      <w:sz w:val="24"/>
      <w:szCs w:val="24"/>
    </w:rPr>
  </w:style>
  <w:style w:type="character" w:customStyle="1" w:styleId="A3">
    <w:name w:val="A3"/>
    <w:uiPriority w:val="99"/>
    <w:rsid w:val="00D458EF"/>
    <w:rPr>
      <w:rFonts w:ascii="Avenir 65 Medium" w:hAnsi="Avenir 65 Medium" w:cs="Avenir 65 Medium"/>
      <w:color w:val="000000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D45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8EF"/>
  </w:style>
  <w:style w:type="paragraph" w:styleId="Footer">
    <w:name w:val="footer"/>
    <w:basedOn w:val="Normal"/>
    <w:link w:val="FooterChar"/>
    <w:uiPriority w:val="99"/>
    <w:unhideWhenUsed/>
    <w:rsid w:val="00D45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Tilden</dc:creator>
  <cp:keywords/>
  <dc:description/>
  <cp:lastModifiedBy>Maggie Tilden</cp:lastModifiedBy>
  <cp:revision>3</cp:revision>
  <dcterms:created xsi:type="dcterms:W3CDTF">2018-01-22T20:21:00Z</dcterms:created>
  <dcterms:modified xsi:type="dcterms:W3CDTF">2018-01-22T20:21:00Z</dcterms:modified>
</cp:coreProperties>
</file>