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MediumShading1-Accent5"/>
        <w:tblpPr w:leftFromText="180" w:rightFromText="180" w:vertAnchor="page" w:horzAnchor="margin" w:tblpY="1868"/>
        <w:tblW w:w="9440" w:type="dxa"/>
        <w:tblLook w:val="04A0" w:firstRow="1" w:lastRow="0" w:firstColumn="1" w:lastColumn="0" w:noHBand="0" w:noVBand="1"/>
      </w:tblPr>
      <w:tblGrid>
        <w:gridCol w:w="3770"/>
        <w:gridCol w:w="5670"/>
      </w:tblGrid>
      <w:tr w:rsidR="00381FD5" w:rsidTr="002B6A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0" w:type="dxa"/>
          </w:tcPr>
          <w:p w:rsidR="00381FD5" w:rsidRPr="00867A7A" w:rsidRDefault="00381FD5" w:rsidP="00381FD5">
            <w:bookmarkStart w:id="0" w:name="_GoBack"/>
            <w:bookmarkEnd w:id="0"/>
            <w:r>
              <w:t>CIFOR GUIDELINES REVISION TEMPLATE</w:t>
            </w:r>
          </w:p>
        </w:tc>
        <w:tc>
          <w:tcPr>
            <w:tcW w:w="5670" w:type="dxa"/>
          </w:tcPr>
          <w:p w:rsidR="00381FD5" w:rsidRPr="00867A7A" w:rsidRDefault="00381FD5" w:rsidP="00381FD5">
            <w:pPr>
              <w:cnfStyle w:val="100000000000" w:firstRow="1" w:lastRow="0" w:firstColumn="0" w:lastColumn="0" w:oddVBand="0" w:evenVBand="0" w:oddHBand="0" w:evenHBand="0" w:firstRowFirstColumn="0" w:firstRowLastColumn="0" w:lastRowFirstColumn="0" w:lastRowLastColumn="0"/>
            </w:pPr>
          </w:p>
        </w:tc>
      </w:tr>
      <w:tr w:rsidR="0041596A" w:rsidTr="002B6A54">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3770" w:type="dxa"/>
          </w:tcPr>
          <w:p w:rsidR="0041596A" w:rsidRPr="00867A7A" w:rsidRDefault="0041596A" w:rsidP="00381FD5">
            <w:pPr>
              <w:rPr>
                <w:b w:val="0"/>
              </w:rPr>
            </w:pPr>
            <w:r w:rsidRPr="00867A7A">
              <w:rPr>
                <w:b w:val="0"/>
              </w:rPr>
              <w:t>Chapter Number:</w:t>
            </w:r>
            <w:r w:rsidR="002B6A54">
              <w:rPr>
                <w:b w:val="0"/>
              </w:rPr>
              <w:t xml:space="preserve"> </w:t>
            </w:r>
            <w:r w:rsidR="002B6A54" w:rsidRPr="002B6A54">
              <w:t>3</w:t>
            </w:r>
          </w:p>
        </w:tc>
        <w:tc>
          <w:tcPr>
            <w:tcW w:w="5670" w:type="dxa"/>
          </w:tcPr>
          <w:p w:rsidR="002B6A54" w:rsidRPr="00AC4399" w:rsidRDefault="0041596A" w:rsidP="002B6A54">
            <w:pPr>
              <w:spacing w:line="360"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867A7A">
              <w:t>Chapter Name:</w:t>
            </w:r>
            <w:r w:rsidR="002B6A54">
              <w:t xml:space="preserve"> </w:t>
            </w:r>
            <w:r w:rsidR="002B6A54" w:rsidRPr="00AC4399">
              <w:rPr>
                <w:b/>
                <w:sz w:val="20"/>
                <w:szCs w:val="20"/>
              </w:rPr>
              <w:t xml:space="preserve"> Planning and Preparation: Building Teams</w:t>
            </w:r>
          </w:p>
          <w:p w:rsidR="0041596A" w:rsidRPr="00867A7A" w:rsidRDefault="0041596A" w:rsidP="00381FD5">
            <w:pPr>
              <w:cnfStyle w:val="000000100000" w:firstRow="0" w:lastRow="0" w:firstColumn="0" w:lastColumn="0" w:oddVBand="0" w:evenVBand="0" w:oddHBand="1" w:evenHBand="0" w:firstRowFirstColumn="0" w:firstRowLastColumn="0" w:lastRowFirstColumn="0" w:lastRowLastColumn="0"/>
              <w:rPr>
                <w:b/>
              </w:rPr>
            </w:pPr>
          </w:p>
          <w:p w:rsidR="0041596A" w:rsidRPr="00867A7A" w:rsidRDefault="0041596A" w:rsidP="00381FD5">
            <w:pPr>
              <w:cnfStyle w:val="000000100000" w:firstRow="0" w:lastRow="0" w:firstColumn="0" w:lastColumn="0" w:oddVBand="0" w:evenVBand="0" w:oddHBand="1" w:evenHBand="0" w:firstRowFirstColumn="0" w:firstRowLastColumn="0" w:lastRowFirstColumn="0" w:lastRowLastColumn="0"/>
              <w:rPr>
                <w:b/>
              </w:rPr>
            </w:pPr>
          </w:p>
        </w:tc>
      </w:tr>
      <w:tr w:rsidR="0041596A" w:rsidTr="002B6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0" w:type="dxa"/>
            <w:gridSpan w:val="2"/>
          </w:tcPr>
          <w:p w:rsidR="0041596A" w:rsidRPr="00381FD5" w:rsidRDefault="00381FD5" w:rsidP="00381FD5">
            <w:r>
              <w:t xml:space="preserve">Chapter </w:t>
            </w:r>
            <w:r w:rsidR="0041596A" w:rsidRPr="00381FD5">
              <w:t>Author Information</w:t>
            </w:r>
          </w:p>
        </w:tc>
      </w:tr>
      <w:tr w:rsidR="0041596A" w:rsidTr="002B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0" w:type="dxa"/>
            <w:gridSpan w:val="2"/>
          </w:tcPr>
          <w:p w:rsidR="0041596A" w:rsidRDefault="0041596A" w:rsidP="00381FD5">
            <w:pPr>
              <w:rPr>
                <w:b w:val="0"/>
              </w:rPr>
            </w:pPr>
            <w:r w:rsidRPr="0041596A">
              <w:rPr>
                <w:b w:val="0"/>
              </w:rPr>
              <w:t>Name:</w:t>
            </w:r>
            <w:r w:rsidR="002B6A54">
              <w:rPr>
                <w:b w:val="0"/>
              </w:rPr>
              <w:t xml:space="preserve"> D’Ann Williams</w:t>
            </w:r>
          </w:p>
          <w:p w:rsidR="002B6A54" w:rsidRDefault="002B6A54" w:rsidP="00381FD5">
            <w:pPr>
              <w:rPr>
                <w:b w:val="0"/>
              </w:rPr>
            </w:pPr>
          </w:p>
          <w:p w:rsidR="002B6A54" w:rsidRPr="0041596A" w:rsidRDefault="002B6A54" w:rsidP="002B6A54">
            <w:pPr>
              <w:rPr>
                <w:b w:val="0"/>
              </w:rPr>
            </w:pPr>
            <w:r w:rsidRPr="0041596A">
              <w:rPr>
                <w:b w:val="0"/>
              </w:rPr>
              <w:t>Name:</w:t>
            </w:r>
            <w:r>
              <w:rPr>
                <w:b w:val="0"/>
              </w:rPr>
              <w:t xml:space="preserve"> Maha Hajmeer</w:t>
            </w:r>
          </w:p>
          <w:p w:rsidR="0041596A" w:rsidRPr="0041596A" w:rsidRDefault="0041596A" w:rsidP="00381FD5">
            <w:pPr>
              <w:rPr>
                <w:b w:val="0"/>
              </w:rPr>
            </w:pPr>
          </w:p>
        </w:tc>
      </w:tr>
      <w:tr w:rsidR="0041596A" w:rsidTr="002B6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0" w:type="dxa"/>
            <w:gridSpan w:val="2"/>
          </w:tcPr>
          <w:p w:rsidR="0041596A" w:rsidRDefault="0041596A" w:rsidP="00381FD5">
            <w:pPr>
              <w:rPr>
                <w:b w:val="0"/>
              </w:rPr>
            </w:pPr>
            <w:r w:rsidRPr="0041596A">
              <w:rPr>
                <w:b w:val="0"/>
              </w:rPr>
              <w:t>Address:</w:t>
            </w:r>
          </w:p>
          <w:p w:rsidR="002B6A54" w:rsidRDefault="002B6A54" w:rsidP="00381FD5">
            <w:pPr>
              <w:rPr>
                <w:b w:val="0"/>
              </w:rPr>
            </w:pPr>
            <w:r>
              <w:rPr>
                <w:b w:val="0"/>
              </w:rPr>
              <w:t>For  D’Ann Williams</w:t>
            </w:r>
          </w:p>
          <w:p w:rsidR="00783DA1" w:rsidRPr="00783DA1" w:rsidRDefault="00783DA1" w:rsidP="00783DA1">
            <w:pPr>
              <w:rPr>
                <w:b w:val="0"/>
              </w:rPr>
            </w:pPr>
            <w:r w:rsidRPr="00783DA1">
              <w:rPr>
                <w:b w:val="0"/>
              </w:rPr>
              <w:t>Center for Food Defense and Emergency Planning, Preparedness and Response</w:t>
            </w:r>
          </w:p>
          <w:p w:rsidR="00783DA1" w:rsidRPr="00783DA1" w:rsidRDefault="00783DA1" w:rsidP="00783DA1">
            <w:pPr>
              <w:rPr>
                <w:b w:val="0"/>
              </w:rPr>
            </w:pPr>
            <w:r w:rsidRPr="00783DA1">
              <w:rPr>
                <w:b w:val="0"/>
              </w:rPr>
              <w:t>Environmental Health Bureau/OFP</w:t>
            </w:r>
          </w:p>
          <w:p w:rsidR="00783DA1" w:rsidRPr="00783DA1" w:rsidRDefault="00783DA1" w:rsidP="00783DA1">
            <w:pPr>
              <w:rPr>
                <w:b w:val="0"/>
              </w:rPr>
            </w:pPr>
            <w:r w:rsidRPr="00783DA1">
              <w:rPr>
                <w:b w:val="0"/>
              </w:rPr>
              <w:t>Maryland Department of Health</w:t>
            </w:r>
          </w:p>
          <w:p w:rsidR="00783DA1" w:rsidRPr="00783DA1" w:rsidRDefault="00783DA1" w:rsidP="00783DA1">
            <w:pPr>
              <w:rPr>
                <w:b w:val="0"/>
              </w:rPr>
            </w:pPr>
            <w:r w:rsidRPr="00783DA1">
              <w:rPr>
                <w:b w:val="0"/>
              </w:rPr>
              <w:t>6 St. Paul St., Suite 1301</w:t>
            </w:r>
          </w:p>
          <w:p w:rsidR="00783DA1" w:rsidRPr="00783DA1" w:rsidRDefault="00783DA1" w:rsidP="00783DA1">
            <w:pPr>
              <w:rPr>
                <w:b w:val="0"/>
              </w:rPr>
            </w:pPr>
            <w:r w:rsidRPr="00783DA1">
              <w:rPr>
                <w:b w:val="0"/>
              </w:rPr>
              <w:t>Baltimore, MD 21202</w:t>
            </w:r>
          </w:p>
          <w:p w:rsidR="002B6A54" w:rsidRDefault="002B6A54" w:rsidP="00381FD5">
            <w:pPr>
              <w:rPr>
                <w:b w:val="0"/>
              </w:rPr>
            </w:pPr>
          </w:p>
          <w:p w:rsidR="002B6A54" w:rsidRDefault="002B6A54" w:rsidP="00381FD5">
            <w:pPr>
              <w:rPr>
                <w:b w:val="0"/>
              </w:rPr>
            </w:pPr>
            <w:r>
              <w:rPr>
                <w:b w:val="0"/>
              </w:rPr>
              <w:t>For  Maha Hajmeer</w:t>
            </w:r>
          </w:p>
          <w:p w:rsidR="004821D6" w:rsidRPr="004821D6" w:rsidRDefault="004821D6" w:rsidP="004821D6">
            <w:pPr>
              <w:rPr>
                <w:rFonts w:eastAsiaTheme="minorEastAsia"/>
                <w:b w:val="0"/>
                <w:noProof/>
              </w:rPr>
            </w:pPr>
            <w:r w:rsidRPr="004821D6">
              <w:rPr>
                <w:rFonts w:eastAsiaTheme="minorEastAsia"/>
                <w:b w:val="0"/>
                <w:noProof/>
              </w:rPr>
              <w:t>Science and Education Section</w:t>
            </w:r>
          </w:p>
          <w:p w:rsidR="004821D6" w:rsidRPr="004821D6" w:rsidRDefault="004821D6" w:rsidP="004821D6">
            <w:pPr>
              <w:rPr>
                <w:rFonts w:eastAsiaTheme="minorEastAsia"/>
                <w:b w:val="0"/>
                <w:noProof/>
              </w:rPr>
            </w:pPr>
            <w:r w:rsidRPr="004821D6">
              <w:rPr>
                <w:rFonts w:eastAsiaTheme="minorEastAsia"/>
                <w:b w:val="0"/>
                <w:noProof/>
              </w:rPr>
              <w:t>Food and Drug Branch</w:t>
            </w:r>
          </w:p>
          <w:p w:rsidR="004821D6" w:rsidRPr="004821D6" w:rsidRDefault="004821D6" w:rsidP="004821D6">
            <w:pPr>
              <w:rPr>
                <w:rFonts w:eastAsiaTheme="minorEastAsia"/>
                <w:b w:val="0"/>
                <w:noProof/>
              </w:rPr>
            </w:pPr>
            <w:r w:rsidRPr="004821D6">
              <w:rPr>
                <w:rFonts w:eastAsiaTheme="minorEastAsia"/>
                <w:b w:val="0"/>
                <w:noProof/>
              </w:rPr>
              <w:t>California Department of Public Health</w:t>
            </w:r>
          </w:p>
          <w:p w:rsidR="004821D6" w:rsidRPr="004821D6" w:rsidRDefault="004821D6" w:rsidP="004821D6">
            <w:pPr>
              <w:rPr>
                <w:rFonts w:eastAsiaTheme="minorEastAsia"/>
                <w:b w:val="0"/>
                <w:noProof/>
              </w:rPr>
            </w:pPr>
            <w:r w:rsidRPr="004821D6">
              <w:rPr>
                <w:rFonts w:eastAsiaTheme="minorEastAsia"/>
                <w:b w:val="0"/>
                <w:noProof/>
              </w:rPr>
              <w:t>1500 Capitol Ave.</w:t>
            </w:r>
          </w:p>
          <w:p w:rsidR="004821D6" w:rsidRPr="004821D6" w:rsidRDefault="004821D6" w:rsidP="004821D6">
            <w:pPr>
              <w:rPr>
                <w:rFonts w:eastAsiaTheme="minorEastAsia"/>
                <w:b w:val="0"/>
                <w:noProof/>
              </w:rPr>
            </w:pPr>
            <w:r w:rsidRPr="004821D6">
              <w:rPr>
                <w:rFonts w:eastAsiaTheme="minorEastAsia"/>
                <w:b w:val="0"/>
                <w:noProof/>
              </w:rPr>
              <w:t>PO Box 997435, MS 7602</w:t>
            </w:r>
          </w:p>
          <w:p w:rsidR="004821D6" w:rsidRPr="004821D6" w:rsidRDefault="004821D6" w:rsidP="004821D6">
            <w:pPr>
              <w:rPr>
                <w:rFonts w:eastAsiaTheme="minorEastAsia"/>
                <w:b w:val="0"/>
                <w:noProof/>
              </w:rPr>
            </w:pPr>
            <w:r w:rsidRPr="004821D6">
              <w:rPr>
                <w:rFonts w:eastAsiaTheme="minorEastAsia"/>
                <w:b w:val="0"/>
                <w:noProof/>
              </w:rPr>
              <w:t>Sacramento, CA 95899-7435</w:t>
            </w:r>
          </w:p>
          <w:p w:rsidR="0041596A" w:rsidRPr="0041596A" w:rsidRDefault="0041596A" w:rsidP="00381FD5">
            <w:pPr>
              <w:rPr>
                <w:b w:val="0"/>
              </w:rPr>
            </w:pPr>
          </w:p>
        </w:tc>
      </w:tr>
      <w:tr w:rsidR="0041596A" w:rsidTr="002B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0" w:type="dxa"/>
            <w:gridSpan w:val="2"/>
          </w:tcPr>
          <w:p w:rsidR="0041596A" w:rsidRDefault="0041596A" w:rsidP="00381FD5">
            <w:pPr>
              <w:rPr>
                <w:b w:val="0"/>
              </w:rPr>
            </w:pPr>
            <w:r w:rsidRPr="0041596A">
              <w:rPr>
                <w:b w:val="0"/>
              </w:rPr>
              <w:t>Cell Phone:</w:t>
            </w:r>
          </w:p>
          <w:p w:rsidR="004821D6" w:rsidRDefault="004821D6" w:rsidP="00381FD5">
            <w:pPr>
              <w:rPr>
                <w:b w:val="0"/>
              </w:rPr>
            </w:pPr>
            <w:r>
              <w:rPr>
                <w:b w:val="0"/>
              </w:rPr>
              <w:t>For  D’Ann Williams</w:t>
            </w:r>
          </w:p>
          <w:p w:rsidR="00783DA1" w:rsidRDefault="00783DA1" w:rsidP="00381FD5">
            <w:pPr>
              <w:rPr>
                <w:b w:val="0"/>
              </w:rPr>
            </w:pPr>
            <w:r>
              <w:rPr>
                <w:b w:val="0"/>
              </w:rPr>
              <w:t>443-388-3878</w:t>
            </w:r>
          </w:p>
          <w:p w:rsidR="00783DA1" w:rsidRDefault="00783DA1" w:rsidP="00381FD5">
            <w:pPr>
              <w:rPr>
                <w:b w:val="0"/>
              </w:rPr>
            </w:pPr>
          </w:p>
          <w:p w:rsidR="004821D6" w:rsidRDefault="004821D6" w:rsidP="00381FD5">
            <w:pPr>
              <w:rPr>
                <w:b w:val="0"/>
              </w:rPr>
            </w:pPr>
            <w:r>
              <w:rPr>
                <w:b w:val="0"/>
              </w:rPr>
              <w:t>Desk Phone:</w:t>
            </w:r>
          </w:p>
          <w:p w:rsidR="004821D6" w:rsidRDefault="004821D6" w:rsidP="00381FD5">
            <w:pPr>
              <w:rPr>
                <w:b w:val="0"/>
              </w:rPr>
            </w:pPr>
            <w:r>
              <w:rPr>
                <w:b w:val="0"/>
              </w:rPr>
              <w:t>For  Maha Hajmeer</w:t>
            </w:r>
          </w:p>
          <w:p w:rsidR="004821D6" w:rsidRPr="0041596A" w:rsidRDefault="004821D6" w:rsidP="00381FD5">
            <w:pPr>
              <w:rPr>
                <w:b w:val="0"/>
              </w:rPr>
            </w:pPr>
            <w:r>
              <w:rPr>
                <w:b w:val="0"/>
              </w:rPr>
              <w:t>916-449-5938</w:t>
            </w:r>
          </w:p>
          <w:p w:rsidR="0041596A" w:rsidRPr="0041596A" w:rsidRDefault="0041596A" w:rsidP="00381FD5">
            <w:pPr>
              <w:rPr>
                <w:b w:val="0"/>
              </w:rPr>
            </w:pPr>
          </w:p>
        </w:tc>
      </w:tr>
      <w:tr w:rsidR="0041596A" w:rsidTr="002B6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0" w:type="dxa"/>
            <w:gridSpan w:val="2"/>
          </w:tcPr>
          <w:p w:rsidR="0041596A" w:rsidRDefault="0041596A" w:rsidP="00381FD5">
            <w:pPr>
              <w:rPr>
                <w:b w:val="0"/>
              </w:rPr>
            </w:pPr>
            <w:r w:rsidRPr="0041596A">
              <w:rPr>
                <w:b w:val="0"/>
              </w:rPr>
              <w:t xml:space="preserve">Email: </w:t>
            </w:r>
          </w:p>
          <w:p w:rsidR="00260759" w:rsidRDefault="00260759" w:rsidP="00381FD5">
            <w:pPr>
              <w:rPr>
                <w:b w:val="0"/>
              </w:rPr>
            </w:pPr>
            <w:r>
              <w:rPr>
                <w:b w:val="0"/>
              </w:rPr>
              <w:t>For D’Ann Williams</w:t>
            </w:r>
          </w:p>
          <w:p w:rsidR="00260759" w:rsidRDefault="007757D8" w:rsidP="00381FD5">
            <w:pPr>
              <w:rPr>
                <w:b w:val="0"/>
              </w:rPr>
            </w:pPr>
            <w:hyperlink r:id="rId5" w:history="1">
              <w:r w:rsidR="003D1A92" w:rsidRPr="00B91BDE">
                <w:rPr>
                  <w:rStyle w:val="Hyperlink"/>
                </w:rPr>
                <w:t>Dann.Williams@maryland.gov</w:t>
              </w:r>
            </w:hyperlink>
          </w:p>
          <w:p w:rsidR="003D1A92" w:rsidRDefault="003D1A92" w:rsidP="00381FD5">
            <w:pPr>
              <w:rPr>
                <w:b w:val="0"/>
              </w:rPr>
            </w:pPr>
          </w:p>
          <w:p w:rsidR="00260759" w:rsidRDefault="00260759" w:rsidP="00381FD5">
            <w:pPr>
              <w:rPr>
                <w:b w:val="0"/>
              </w:rPr>
            </w:pPr>
            <w:r>
              <w:rPr>
                <w:b w:val="0"/>
              </w:rPr>
              <w:t>For Maha Hajmeer</w:t>
            </w:r>
          </w:p>
          <w:p w:rsidR="00260759" w:rsidRDefault="007757D8" w:rsidP="00381FD5">
            <w:pPr>
              <w:rPr>
                <w:b w:val="0"/>
              </w:rPr>
            </w:pPr>
            <w:hyperlink r:id="rId6" w:history="1">
              <w:r w:rsidR="00260759" w:rsidRPr="00B91BDE">
                <w:rPr>
                  <w:rStyle w:val="Hyperlink"/>
                </w:rPr>
                <w:t>Maha.Hajmeer@cdph.ca.gov</w:t>
              </w:r>
            </w:hyperlink>
          </w:p>
          <w:p w:rsidR="0041596A" w:rsidRPr="0041596A" w:rsidRDefault="0041596A" w:rsidP="00381FD5">
            <w:pPr>
              <w:rPr>
                <w:b w:val="0"/>
              </w:rPr>
            </w:pPr>
          </w:p>
        </w:tc>
      </w:tr>
      <w:tr w:rsidR="0041596A" w:rsidTr="002B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0" w:type="dxa"/>
            <w:gridSpan w:val="2"/>
          </w:tcPr>
          <w:p w:rsidR="0041596A" w:rsidRDefault="0041596A" w:rsidP="00381FD5">
            <w:pPr>
              <w:rPr>
                <w:b w:val="0"/>
              </w:rPr>
            </w:pPr>
            <w:r w:rsidRPr="0041596A">
              <w:rPr>
                <w:b w:val="0"/>
              </w:rPr>
              <w:t xml:space="preserve">Employer: </w:t>
            </w:r>
          </w:p>
          <w:p w:rsidR="00260759" w:rsidRDefault="00260759" w:rsidP="00260759">
            <w:pPr>
              <w:rPr>
                <w:b w:val="0"/>
              </w:rPr>
            </w:pPr>
            <w:r>
              <w:rPr>
                <w:b w:val="0"/>
              </w:rPr>
              <w:t>For D’Ann Williams</w:t>
            </w:r>
          </w:p>
          <w:p w:rsidR="00260759" w:rsidRDefault="003D1A92" w:rsidP="00260759">
            <w:pPr>
              <w:rPr>
                <w:b w:val="0"/>
              </w:rPr>
            </w:pPr>
            <w:r w:rsidRPr="00783DA1">
              <w:rPr>
                <w:b w:val="0"/>
              </w:rPr>
              <w:t>Maryland Department of Health</w:t>
            </w:r>
          </w:p>
          <w:p w:rsidR="003D1A92" w:rsidRDefault="003D1A92" w:rsidP="00260759">
            <w:pPr>
              <w:rPr>
                <w:b w:val="0"/>
              </w:rPr>
            </w:pPr>
          </w:p>
          <w:p w:rsidR="00260759" w:rsidRDefault="00260759" w:rsidP="00260759">
            <w:pPr>
              <w:rPr>
                <w:b w:val="0"/>
              </w:rPr>
            </w:pPr>
            <w:r>
              <w:rPr>
                <w:b w:val="0"/>
              </w:rPr>
              <w:lastRenderedPageBreak/>
              <w:t>For Maha Hajmeer</w:t>
            </w:r>
          </w:p>
          <w:p w:rsidR="003D1A92" w:rsidRPr="004821D6" w:rsidRDefault="003D1A92" w:rsidP="003D1A92">
            <w:pPr>
              <w:rPr>
                <w:rFonts w:eastAsiaTheme="minorEastAsia"/>
                <w:b w:val="0"/>
                <w:noProof/>
              </w:rPr>
            </w:pPr>
            <w:r w:rsidRPr="004821D6">
              <w:rPr>
                <w:rFonts w:eastAsiaTheme="minorEastAsia"/>
                <w:b w:val="0"/>
                <w:noProof/>
              </w:rPr>
              <w:t>California Department of Public Health</w:t>
            </w:r>
          </w:p>
          <w:p w:rsidR="00260759" w:rsidRPr="0041596A" w:rsidRDefault="00260759" w:rsidP="00381FD5">
            <w:pPr>
              <w:rPr>
                <w:b w:val="0"/>
              </w:rPr>
            </w:pPr>
          </w:p>
          <w:p w:rsidR="0041596A" w:rsidRPr="0041596A" w:rsidRDefault="0041596A" w:rsidP="00381FD5">
            <w:pPr>
              <w:rPr>
                <w:b w:val="0"/>
              </w:rPr>
            </w:pPr>
          </w:p>
        </w:tc>
      </w:tr>
      <w:tr w:rsidR="0041596A" w:rsidTr="002B6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0" w:type="dxa"/>
            <w:gridSpan w:val="2"/>
          </w:tcPr>
          <w:p w:rsidR="0041596A" w:rsidRDefault="0041596A" w:rsidP="00381FD5">
            <w:pPr>
              <w:rPr>
                <w:b w:val="0"/>
              </w:rPr>
            </w:pPr>
            <w:r w:rsidRPr="0041596A">
              <w:rPr>
                <w:b w:val="0"/>
              </w:rPr>
              <w:lastRenderedPageBreak/>
              <w:t xml:space="preserve">Job Title: </w:t>
            </w:r>
          </w:p>
          <w:p w:rsidR="00260759" w:rsidRDefault="00260759" w:rsidP="00260759">
            <w:pPr>
              <w:rPr>
                <w:b w:val="0"/>
              </w:rPr>
            </w:pPr>
            <w:r>
              <w:rPr>
                <w:b w:val="0"/>
              </w:rPr>
              <w:t>For D’Ann Williams</w:t>
            </w:r>
          </w:p>
          <w:p w:rsidR="00260759" w:rsidRPr="003D1A92" w:rsidRDefault="003D1A92" w:rsidP="00260759">
            <w:pPr>
              <w:rPr>
                <w:b w:val="0"/>
              </w:rPr>
            </w:pPr>
            <w:r w:rsidRPr="003D1A92">
              <w:rPr>
                <w:b w:val="0"/>
              </w:rPr>
              <w:t>Rapid Response Team Coordinator</w:t>
            </w:r>
          </w:p>
          <w:p w:rsidR="003D1A92" w:rsidRDefault="003D1A92" w:rsidP="00260759">
            <w:pPr>
              <w:rPr>
                <w:b w:val="0"/>
              </w:rPr>
            </w:pPr>
          </w:p>
          <w:p w:rsidR="00260759" w:rsidRDefault="00260759" w:rsidP="00260759">
            <w:pPr>
              <w:rPr>
                <w:b w:val="0"/>
              </w:rPr>
            </w:pPr>
            <w:r>
              <w:rPr>
                <w:b w:val="0"/>
              </w:rPr>
              <w:t>For Maha Hajmeer</w:t>
            </w:r>
          </w:p>
          <w:p w:rsidR="003D1A92" w:rsidRDefault="003D1A92" w:rsidP="00260759">
            <w:pPr>
              <w:rPr>
                <w:b w:val="0"/>
              </w:rPr>
            </w:pPr>
            <w:r>
              <w:rPr>
                <w:b w:val="0"/>
              </w:rPr>
              <w:t>Research Scientist IV</w:t>
            </w:r>
          </w:p>
          <w:p w:rsidR="00260759" w:rsidRPr="0041596A" w:rsidRDefault="00260759" w:rsidP="00381FD5">
            <w:pPr>
              <w:rPr>
                <w:b w:val="0"/>
              </w:rPr>
            </w:pPr>
          </w:p>
          <w:p w:rsidR="0041596A" w:rsidRPr="0041596A" w:rsidRDefault="0041596A" w:rsidP="00381FD5">
            <w:pPr>
              <w:rPr>
                <w:b w:val="0"/>
              </w:rPr>
            </w:pPr>
          </w:p>
        </w:tc>
      </w:tr>
      <w:tr w:rsidR="0041596A" w:rsidTr="002B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0" w:type="dxa"/>
            <w:gridSpan w:val="2"/>
          </w:tcPr>
          <w:p w:rsidR="0041596A" w:rsidRDefault="0041596A" w:rsidP="00381FD5">
            <w:pPr>
              <w:rPr>
                <w:b w:val="0"/>
              </w:rPr>
            </w:pPr>
            <w:r w:rsidRPr="0041596A">
              <w:rPr>
                <w:b w:val="0"/>
              </w:rPr>
              <w:t>Author Mini Bio:</w:t>
            </w:r>
          </w:p>
          <w:p w:rsidR="00260759" w:rsidRDefault="00260759" w:rsidP="00260759">
            <w:pPr>
              <w:rPr>
                <w:b w:val="0"/>
              </w:rPr>
            </w:pPr>
            <w:r>
              <w:rPr>
                <w:b w:val="0"/>
              </w:rPr>
              <w:t>For D’Ann Williams</w:t>
            </w:r>
          </w:p>
          <w:p w:rsidR="003D3F14" w:rsidRPr="003D3F14" w:rsidRDefault="003D3F14" w:rsidP="003D3F14">
            <w:pPr>
              <w:pStyle w:val="NormalWeb"/>
              <w:jc w:val="both"/>
              <w:rPr>
                <w:rFonts w:asciiTheme="minorHAnsi" w:hAnsiTheme="minorHAnsi"/>
                <w:b w:val="0"/>
                <w:sz w:val="22"/>
                <w:szCs w:val="22"/>
              </w:rPr>
            </w:pPr>
            <w:r w:rsidRPr="003D3F14">
              <w:rPr>
                <w:rFonts w:asciiTheme="minorHAnsi" w:hAnsiTheme="minorHAnsi"/>
                <w:b w:val="0"/>
                <w:sz w:val="22"/>
                <w:szCs w:val="22"/>
              </w:rPr>
              <w:t xml:space="preserve">Dr. Williams is the State of Maryland Rapid Response Team Coordinator where she serves as the liaison with the FDA HAF2E Baltimore District Office and leads the Maryland Department of Health Office of Food Protection conducting foodborne illness outbreak investigation, food </w:t>
            </w:r>
            <w:proofErr w:type="spellStart"/>
            <w:r w:rsidRPr="003D3F14">
              <w:rPr>
                <w:rFonts w:asciiTheme="minorHAnsi" w:hAnsiTheme="minorHAnsi"/>
                <w:b w:val="0"/>
                <w:sz w:val="22"/>
                <w:szCs w:val="22"/>
              </w:rPr>
              <w:t>tracebacks</w:t>
            </w:r>
            <w:proofErr w:type="spellEnd"/>
            <w:r w:rsidRPr="003D3F14">
              <w:rPr>
                <w:rFonts w:asciiTheme="minorHAnsi" w:hAnsiTheme="minorHAnsi"/>
                <w:b w:val="0"/>
                <w:sz w:val="22"/>
                <w:szCs w:val="22"/>
              </w:rPr>
              <w:t>, environmental and product sampling assignments and resolving other food product related complaints and recalls.  As the SMarRRT GIS specialist, she develops and manages electronic data for use in geographic information system application analysis to evaluate and address food and all-hazard emergencies in Maryland and the mid-Atlantic region.  She received a Doctor of Public Health degree from the Johns Hopkins Bloomberg School of Public Health.  She is Adjunct Assistant Professor at Johns Hopkins Bloomberg School of Public Health where she worked for 15 years conducting research in environmental health exposure assessment and occupational health.  </w:t>
            </w:r>
          </w:p>
          <w:p w:rsidR="00260759" w:rsidRPr="003D3F14" w:rsidRDefault="00260759" w:rsidP="00260759">
            <w:pPr>
              <w:rPr>
                <w:b w:val="0"/>
              </w:rPr>
            </w:pPr>
          </w:p>
          <w:p w:rsidR="00260759" w:rsidRDefault="00260759" w:rsidP="00260759">
            <w:pPr>
              <w:rPr>
                <w:b w:val="0"/>
              </w:rPr>
            </w:pPr>
            <w:r>
              <w:rPr>
                <w:b w:val="0"/>
              </w:rPr>
              <w:t>For Maha Hajmeer</w:t>
            </w:r>
          </w:p>
          <w:p w:rsidR="00C80FE7" w:rsidRPr="00C80FE7" w:rsidRDefault="00C80FE7" w:rsidP="00C80FE7">
            <w:pPr>
              <w:pStyle w:val="NoSpacing"/>
              <w:jc w:val="both"/>
              <w:rPr>
                <w:b w:val="0"/>
              </w:rPr>
            </w:pPr>
            <w:r w:rsidRPr="00C80FE7">
              <w:rPr>
                <w:b w:val="0"/>
              </w:rPr>
              <w:t xml:space="preserve">Dr. Hajmeer is a research scientist with the California Department of Public Health, Food and Drug Branch – Science and Education Section. She is primarily involved in food safety and public health work with emphasis on foodborne illness outbreak investigations.  Dr. Hajmeer is also a core member of the California Food Emergency Response Team. </w:t>
            </w:r>
          </w:p>
          <w:p w:rsidR="00C80FE7" w:rsidRPr="00C80FE7" w:rsidRDefault="00C80FE7" w:rsidP="00C80FE7">
            <w:pPr>
              <w:pStyle w:val="NoSpacing"/>
              <w:jc w:val="both"/>
              <w:rPr>
                <w:b w:val="0"/>
              </w:rPr>
            </w:pPr>
          </w:p>
          <w:p w:rsidR="0041596A" w:rsidRPr="0041596A" w:rsidRDefault="00C80FE7" w:rsidP="00C80FE7">
            <w:pPr>
              <w:pStyle w:val="NoSpacing"/>
              <w:jc w:val="both"/>
              <w:rPr>
                <w:b w:val="0"/>
              </w:rPr>
            </w:pPr>
            <w:r w:rsidRPr="00C80FE7">
              <w:rPr>
                <w:b w:val="0"/>
              </w:rPr>
              <w:t xml:space="preserve">Before joining the California Department of Public Health, Dr. Hajmeer was employed at the University of California-Davis and was involved in teaching and research in food safety. Her other areas of interest and expertise include detection and control of foodborne pathogens, predictive microbiology and modeling of growth/survival of foodborne pathogens, and applied microbiology and intervention strategies to reduce pathogens in food products. Dr. Hajmeer serves on numerous professional committees and steering groups. She is a member of the editorial board of the </w:t>
            </w:r>
            <w:r w:rsidRPr="00C80FE7">
              <w:rPr>
                <w:b w:val="0"/>
                <w:i/>
              </w:rPr>
              <w:t>Journal of Rapid Methods and Automation in Microbiology</w:t>
            </w:r>
            <w:r w:rsidRPr="00C80FE7">
              <w:rPr>
                <w:b w:val="0"/>
              </w:rPr>
              <w:t>, and a peer reviewer for a number of journals.</w:t>
            </w:r>
          </w:p>
          <w:p w:rsidR="0041596A" w:rsidRPr="0041596A" w:rsidRDefault="0041596A" w:rsidP="00381FD5">
            <w:pPr>
              <w:rPr>
                <w:b w:val="0"/>
              </w:rPr>
            </w:pPr>
          </w:p>
        </w:tc>
      </w:tr>
      <w:tr w:rsidR="00381FD5" w:rsidTr="002B6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0" w:type="dxa"/>
            <w:gridSpan w:val="2"/>
          </w:tcPr>
          <w:p w:rsidR="00381FD5" w:rsidRPr="003D3F14" w:rsidRDefault="00381FD5" w:rsidP="003D3F14">
            <w:pPr>
              <w:jc w:val="both"/>
              <w:rPr>
                <w:b w:val="0"/>
              </w:rPr>
            </w:pPr>
            <w:r w:rsidRPr="003D3F14">
              <w:rPr>
                <w:b w:val="0"/>
              </w:rPr>
              <w:t>Chapter Content Summary (Brief Overview):</w:t>
            </w:r>
          </w:p>
          <w:p w:rsidR="00E34186" w:rsidRPr="003D3F14" w:rsidRDefault="00E34186" w:rsidP="003D3F14">
            <w:pPr>
              <w:jc w:val="both"/>
              <w:rPr>
                <w:b w:val="0"/>
              </w:rPr>
            </w:pPr>
          </w:p>
          <w:p w:rsidR="00381FD5" w:rsidRPr="003D3F14" w:rsidRDefault="003D3F14" w:rsidP="003D3F14">
            <w:pPr>
              <w:jc w:val="both"/>
              <w:rPr>
                <w:b w:val="0"/>
              </w:rPr>
            </w:pPr>
            <w:r w:rsidRPr="003D3F14">
              <w:rPr>
                <w:b w:val="0"/>
              </w:rPr>
              <w:t>This chapter describes the roles of the major agencies and partners involved in foodborne disease outbreak response and highlights the resources, processes, and relationships that should be in place before an outbreak. The chapter also provides links to related topics and describes where more detailed information about outbreak investigation and response can be found throughout these Guidelines.</w:t>
            </w:r>
          </w:p>
        </w:tc>
      </w:tr>
      <w:tr w:rsidR="00381FD5" w:rsidTr="002B6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0" w:type="dxa"/>
            <w:gridSpan w:val="2"/>
          </w:tcPr>
          <w:p w:rsidR="00381FD5" w:rsidRDefault="00381FD5" w:rsidP="00381FD5">
            <w:pPr>
              <w:rPr>
                <w:sz w:val="24"/>
              </w:rPr>
            </w:pPr>
            <w:r w:rsidRPr="0041596A">
              <w:rPr>
                <w:sz w:val="24"/>
              </w:rPr>
              <w:lastRenderedPageBreak/>
              <w:t>Chapter Modification Summary (Brief Overview of Major Changes to Chapter):</w:t>
            </w:r>
          </w:p>
          <w:p w:rsidR="00381FD5" w:rsidRDefault="00381FD5" w:rsidP="00381FD5">
            <w:pPr>
              <w:rPr>
                <w:sz w:val="24"/>
              </w:rPr>
            </w:pPr>
          </w:p>
          <w:p w:rsidR="003D3F14" w:rsidRPr="003D3F14" w:rsidRDefault="003D3F14" w:rsidP="003D3F14">
            <w:pPr>
              <w:pStyle w:val="NormalWeb"/>
              <w:numPr>
                <w:ilvl w:val="0"/>
                <w:numId w:val="5"/>
              </w:numPr>
              <w:jc w:val="both"/>
              <w:rPr>
                <w:rFonts w:asciiTheme="minorHAnsi" w:hAnsiTheme="minorHAnsi"/>
                <w:b w:val="0"/>
                <w:sz w:val="22"/>
                <w:szCs w:val="22"/>
              </w:rPr>
            </w:pPr>
            <w:r w:rsidRPr="003D3F14">
              <w:rPr>
                <w:rFonts w:asciiTheme="minorHAnsi" w:hAnsiTheme="minorHAnsi"/>
                <w:b w:val="0"/>
                <w:sz w:val="22"/>
                <w:szCs w:val="22"/>
              </w:rPr>
              <w:t>Section 3.1. “Agency Roles” from the 2nd edition of the Guidelines has been modified in the 3rd edition revisions where:</w:t>
            </w:r>
          </w:p>
          <w:p w:rsidR="003D3F14" w:rsidRPr="003D3F14" w:rsidRDefault="003D3F14" w:rsidP="003D3F14">
            <w:pPr>
              <w:pStyle w:val="NormalWeb"/>
              <w:numPr>
                <w:ilvl w:val="1"/>
                <w:numId w:val="5"/>
              </w:numPr>
              <w:jc w:val="both"/>
              <w:rPr>
                <w:rFonts w:asciiTheme="minorHAnsi" w:hAnsiTheme="minorHAnsi"/>
                <w:b w:val="0"/>
                <w:sz w:val="22"/>
                <w:szCs w:val="22"/>
              </w:rPr>
            </w:pPr>
            <w:r w:rsidRPr="003D3F14">
              <w:rPr>
                <w:rFonts w:asciiTheme="minorHAnsi" w:hAnsiTheme="minorHAnsi"/>
                <w:b w:val="0"/>
                <w:sz w:val="22"/>
                <w:szCs w:val="22"/>
              </w:rPr>
              <w:t xml:space="preserve">Section 3.1. </w:t>
            </w:r>
            <w:proofErr w:type="gramStart"/>
            <w:r w:rsidRPr="003D3F14">
              <w:rPr>
                <w:rFonts w:asciiTheme="minorHAnsi" w:hAnsiTheme="minorHAnsi"/>
                <w:b w:val="0"/>
                <w:sz w:val="22"/>
                <w:szCs w:val="22"/>
              </w:rPr>
              <w:t>has</w:t>
            </w:r>
            <w:proofErr w:type="gramEnd"/>
            <w:r w:rsidRPr="003D3F14">
              <w:rPr>
                <w:rFonts w:asciiTheme="minorHAnsi" w:hAnsiTheme="minorHAnsi"/>
                <w:b w:val="0"/>
                <w:sz w:val="22"/>
                <w:szCs w:val="22"/>
              </w:rPr>
              <w:t xml:space="preserve"> been reformatted with most of the text moved in table format.</w:t>
            </w:r>
          </w:p>
          <w:p w:rsidR="003D3F14" w:rsidRPr="003D3F14" w:rsidRDefault="003D3F14" w:rsidP="003D3F14">
            <w:pPr>
              <w:pStyle w:val="NormalWeb"/>
              <w:numPr>
                <w:ilvl w:val="1"/>
                <w:numId w:val="5"/>
              </w:numPr>
              <w:jc w:val="both"/>
              <w:rPr>
                <w:rFonts w:asciiTheme="minorHAnsi" w:hAnsiTheme="minorHAnsi"/>
                <w:b w:val="0"/>
                <w:sz w:val="22"/>
                <w:szCs w:val="22"/>
              </w:rPr>
            </w:pPr>
            <w:r w:rsidRPr="003D3F14">
              <w:rPr>
                <w:rFonts w:asciiTheme="minorHAnsi" w:hAnsiTheme="minorHAnsi"/>
                <w:b w:val="0"/>
                <w:sz w:val="22"/>
                <w:szCs w:val="22"/>
              </w:rPr>
              <w:t>New sub-sections have been added to reflect agencies/programs that play a role but were not included in the 2nd edition (e.g., Agriculture Departments, Health Care Providers).</w:t>
            </w:r>
          </w:p>
          <w:p w:rsidR="003D3F14" w:rsidRPr="003D3F14" w:rsidRDefault="003D3F14" w:rsidP="003D3F14">
            <w:pPr>
              <w:pStyle w:val="NormalWeb"/>
              <w:numPr>
                <w:ilvl w:val="1"/>
                <w:numId w:val="5"/>
              </w:numPr>
              <w:jc w:val="both"/>
              <w:rPr>
                <w:rFonts w:asciiTheme="minorHAnsi" w:hAnsiTheme="minorHAnsi"/>
                <w:b w:val="0"/>
                <w:sz w:val="22"/>
                <w:szCs w:val="22"/>
              </w:rPr>
            </w:pPr>
            <w:r w:rsidRPr="003D3F14">
              <w:rPr>
                <w:rFonts w:asciiTheme="minorHAnsi" w:hAnsiTheme="minorHAnsi"/>
                <w:b w:val="0"/>
                <w:sz w:val="22"/>
                <w:szCs w:val="22"/>
              </w:rPr>
              <w:t>Some sub-sections in the 2nd edition were removed as they are no longer in existence (e.g., MAC-FIO).</w:t>
            </w:r>
          </w:p>
          <w:p w:rsidR="003D3F14" w:rsidRPr="003D3F14" w:rsidRDefault="003D3F14" w:rsidP="003D3F14">
            <w:pPr>
              <w:pStyle w:val="NormalWeb"/>
              <w:numPr>
                <w:ilvl w:val="1"/>
                <w:numId w:val="5"/>
              </w:numPr>
              <w:jc w:val="both"/>
              <w:rPr>
                <w:rFonts w:asciiTheme="minorHAnsi" w:hAnsiTheme="minorHAnsi"/>
                <w:b w:val="0"/>
                <w:sz w:val="22"/>
                <w:szCs w:val="22"/>
              </w:rPr>
            </w:pPr>
            <w:r w:rsidRPr="003D3F14">
              <w:rPr>
                <w:rFonts w:asciiTheme="minorHAnsi" w:hAnsiTheme="minorHAnsi"/>
                <w:b w:val="0"/>
                <w:sz w:val="22"/>
                <w:szCs w:val="22"/>
              </w:rPr>
              <w:t>All current sub-sections in the 3rd edition draft have been subjected to some form of updating or editing. This entailed reaching out to specific offices with the related expertise and/or jurisdiction.</w:t>
            </w:r>
          </w:p>
          <w:p w:rsidR="003D3F14" w:rsidRPr="003D3F14" w:rsidRDefault="003D3F14" w:rsidP="003D3F14">
            <w:pPr>
              <w:numPr>
                <w:ilvl w:val="0"/>
                <w:numId w:val="5"/>
              </w:numPr>
              <w:spacing w:before="100" w:beforeAutospacing="1" w:after="100" w:afterAutospacing="1"/>
              <w:jc w:val="both"/>
              <w:rPr>
                <w:rFonts w:eastAsia="Times New Roman"/>
                <w:b w:val="0"/>
              </w:rPr>
            </w:pPr>
            <w:r w:rsidRPr="003D3F14">
              <w:rPr>
                <w:rFonts w:eastAsia="Times New Roman"/>
                <w:b w:val="0"/>
              </w:rPr>
              <w:t>Section 3.2. “Outbreak Investigation and Control Teams” in the 2nd edition of the Guidelines had sub-section “3.2.3. Outbreak Investigation and Control Teams – Model Practices.” This sub-section was moved into a newly created Section “3.9. Outbreak Investigation and Control Teams – Model Practices.”</w:t>
            </w:r>
          </w:p>
          <w:p w:rsidR="003D3F14" w:rsidRPr="003D3F14" w:rsidRDefault="003D3F14" w:rsidP="003D3F14">
            <w:pPr>
              <w:numPr>
                <w:ilvl w:val="0"/>
                <w:numId w:val="5"/>
              </w:numPr>
              <w:spacing w:before="100" w:beforeAutospacing="1" w:after="100" w:afterAutospacing="1"/>
              <w:jc w:val="both"/>
              <w:rPr>
                <w:rFonts w:eastAsia="Times New Roman"/>
                <w:b w:val="0"/>
              </w:rPr>
            </w:pPr>
            <w:r w:rsidRPr="003D3F14">
              <w:rPr>
                <w:rFonts w:eastAsia="Times New Roman"/>
                <w:b w:val="0"/>
              </w:rPr>
              <w:t>Section “3.4. Foodborne Illness Complaint Processing” in the 2nd edition of the CIFOR Guidelines of Chapter 3 has been flagged for deletion in the 3rd edition based on WG input to better align with other chapters in the Guidelines. </w:t>
            </w:r>
          </w:p>
          <w:p w:rsidR="003D3F14" w:rsidRPr="003D3F14" w:rsidRDefault="003D3F14" w:rsidP="003D3F14">
            <w:pPr>
              <w:numPr>
                <w:ilvl w:val="0"/>
                <w:numId w:val="5"/>
              </w:numPr>
              <w:spacing w:before="100" w:beforeAutospacing="1" w:after="100" w:afterAutospacing="1"/>
              <w:jc w:val="both"/>
              <w:rPr>
                <w:rFonts w:eastAsia="Times New Roman"/>
                <w:b w:val="0"/>
              </w:rPr>
            </w:pPr>
            <w:r w:rsidRPr="003D3F14">
              <w:rPr>
                <w:rFonts w:eastAsia="Times New Roman"/>
                <w:b w:val="0"/>
              </w:rPr>
              <w:t xml:space="preserve">Section “3.9. Outbreak Investigation and Control Teams – Model Practices” in the 3rd edition Chapter 3 draft has been modified to include  a sub-section on “Coordination of Multi-disciplinary Investigation and/or Control Measure Activities” with a subcomponent on “Escalation.” In the 2nd edition of the Guidelines, “Escalation” was a stand-alone section (old Section 3.9. from the 2nd edition). Current Section 3.9. </w:t>
            </w:r>
            <w:proofErr w:type="gramStart"/>
            <w:r w:rsidRPr="003D3F14">
              <w:rPr>
                <w:rFonts w:eastAsia="Times New Roman"/>
                <w:b w:val="0"/>
              </w:rPr>
              <w:t>was</w:t>
            </w:r>
            <w:proofErr w:type="gramEnd"/>
            <w:r w:rsidRPr="003D3F14">
              <w:rPr>
                <w:rFonts w:eastAsia="Times New Roman"/>
                <w:b w:val="0"/>
              </w:rPr>
              <w:t xml:space="preserve"> also modified to house the Incident Command System (ICS) information (old Section 3.10 from the 2nd edition).</w:t>
            </w:r>
          </w:p>
          <w:p w:rsidR="003D3F14" w:rsidRPr="003D3F14" w:rsidRDefault="003D3F14" w:rsidP="003D3F14">
            <w:pPr>
              <w:numPr>
                <w:ilvl w:val="0"/>
                <w:numId w:val="5"/>
              </w:numPr>
              <w:spacing w:before="100" w:beforeAutospacing="1" w:after="100" w:afterAutospacing="1"/>
              <w:jc w:val="both"/>
              <w:rPr>
                <w:rFonts w:eastAsia="Times New Roman"/>
                <w:b w:val="0"/>
              </w:rPr>
            </w:pPr>
            <w:r w:rsidRPr="003D3F14">
              <w:rPr>
                <w:rFonts w:eastAsia="Times New Roman"/>
                <w:b w:val="0"/>
              </w:rPr>
              <w:t>The “Reference” section in the 2nd edition is now a “3.11. Reference and Resources” Section in the 3rd edition of the Guidelines.</w:t>
            </w:r>
          </w:p>
          <w:p w:rsidR="00381FD5" w:rsidRPr="003D3F14" w:rsidRDefault="003D3F14" w:rsidP="003D3F14">
            <w:pPr>
              <w:numPr>
                <w:ilvl w:val="0"/>
                <w:numId w:val="5"/>
              </w:numPr>
              <w:spacing w:before="100" w:beforeAutospacing="1" w:after="100" w:afterAutospacing="1"/>
              <w:jc w:val="both"/>
              <w:rPr>
                <w:rFonts w:eastAsia="Times New Roman"/>
              </w:rPr>
            </w:pPr>
            <w:r w:rsidRPr="003D3F14">
              <w:rPr>
                <w:rFonts w:eastAsia="Times New Roman"/>
                <w:b w:val="0"/>
              </w:rPr>
              <w:t>Throughout Chapter 3, terminologies have been revised to align with those used by local health or other chapters of the CIFOR Guidelines (e.g., Environmental investigator to Environmental health investigator).</w:t>
            </w:r>
          </w:p>
        </w:tc>
      </w:tr>
      <w:tr w:rsidR="00381FD5" w:rsidTr="002B6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0" w:type="dxa"/>
            <w:gridSpan w:val="2"/>
          </w:tcPr>
          <w:p w:rsidR="00381FD5" w:rsidRDefault="00381FD5" w:rsidP="00381FD5">
            <w:pPr>
              <w:rPr>
                <w:b w:val="0"/>
              </w:rPr>
            </w:pPr>
            <w:r w:rsidRPr="0041596A">
              <w:rPr>
                <w:sz w:val="24"/>
              </w:rPr>
              <w:t>Learning Outcomes associated with this Chapter:</w:t>
            </w:r>
            <w:r>
              <w:rPr>
                <w:sz w:val="24"/>
              </w:rPr>
              <w:t xml:space="preserve"> </w:t>
            </w:r>
            <w:r w:rsidRPr="00381FD5">
              <w:rPr>
                <w:b w:val="0"/>
              </w:rPr>
              <w:t>(Learning outcomes are statements that specify what the learner will know or be able to do as a result of a learning activity. Outcomes are usually expressed as knowledge, skills or attitudes. The specified action must be clear, observable and measurable).</w:t>
            </w:r>
          </w:p>
          <w:p w:rsidR="00E34186" w:rsidRDefault="00E34186" w:rsidP="00E34186">
            <w:pPr>
              <w:jc w:val="both"/>
              <w:rPr>
                <w:rFonts w:cs="Arial"/>
                <w:b w:val="0"/>
              </w:rPr>
            </w:pPr>
          </w:p>
          <w:p w:rsidR="00E34186" w:rsidRDefault="00E34186" w:rsidP="00E34186">
            <w:pPr>
              <w:jc w:val="both"/>
              <w:rPr>
                <w:rFonts w:cs="Arial"/>
                <w:b w:val="0"/>
              </w:rPr>
            </w:pPr>
            <w:r>
              <w:rPr>
                <w:rFonts w:cs="Arial"/>
                <w:b w:val="0"/>
              </w:rPr>
              <w:t>After reading Chapter 3 of the CIFOR Guidelines, the learner should be able to:</w:t>
            </w:r>
          </w:p>
          <w:p w:rsidR="00E34186" w:rsidRDefault="00E34186" w:rsidP="00E34186">
            <w:pPr>
              <w:jc w:val="both"/>
              <w:rPr>
                <w:rFonts w:cs="Arial"/>
                <w:b w:val="0"/>
              </w:rPr>
            </w:pPr>
          </w:p>
          <w:p w:rsidR="00E34186" w:rsidRPr="00E34186" w:rsidRDefault="00E34186" w:rsidP="00E34186">
            <w:pPr>
              <w:pStyle w:val="ListParagraph"/>
              <w:numPr>
                <w:ilvl w:val="0"/>
                <w:numId w:val="3"/>
              </w:numPr>
              <w:jc w:val="both"/>
              <w:rPr>
                <w:b w:val="0"/>
              </w:rPr>
            </w:pPr>
            <w:r w:rsidRPr="00E34186">
              <w:rPr>
                <w:rFonts w:cs="Arial"/>
                <w:b w:val="0"/>
              </w:rPr>
              <w:t>Describe the roles of the major agencies and partners involved in foodborne disease outbreak response.</w:t>
            </w:r>
          </w:p>
          <w:p w:rsidR="00E34186" w:rsidRPr="00E34186" w:rsidRDefault="00E34186" w:rsidP="00E34186">
            <w:pPr>
              <w:pStyle w:val="ListParagraph"/>
              <w:numPr>
                <w:ilvl w:val="0"/>
                <w:numId w:val="3"/>
              </w:numPr>
              <w:jc w:val="both"/>
              <w:rPr>
                <w:b w:val="0"/>
              </w:rPr>
            </w:pPr>
            <w:r>
              <w:rPr>
                <w:rFonts w:cs="Arial"/>
                <w:b w:val="0"/>
              </w:rPr>
              <w:t xml:space="preserve">Have basic knowledge of the </w:t>
            </w:r>
            <w:r w:rsidRPr="00E34186">
              <w:rPr>
                <w:rFonts w:cs="Arial"/>
                <w:b w:val="0"/>
              </w:rPr>
              <w:t>resources</w:t>
            </w:r>
            <w:r>
              <w:rPr>
                <w:rFonts w:cs="Arial"/>
                <w:b w:val="0"/>
              </w:rPr>
              <w:t xml:space="preserve"> needed in a foodborne disease outbreak response (before, during, and at close of a response).</w:t>
            </w:r>
          </w:p>
          <w:p w:rsidR="00E34186" w:rsidRPr="00E34186" w:rsidRDefault="00E34186" w:rsidP="00E34186">
            <w:pPr>
              <w:pStyle w:val="ListParagraph"/>
              <w:numPr>
                <w:ilvl w:val="0"/>
                <w:numId w:val="3"/>
              </w:numPr>
              <w:jc w:val="both"/>
              <w:rPr>
                <w:b w:val="0"/>
              </w:rPr>
            </w:pPr>
            <w:r>
              <w:rPr>
                <w:rFonts w:cs="Arial"/>
                <w:b w:val="0"/>
              </w:rPr>
              <w:t xml:space="preserve">Have a basic understanding of the </w:t>
            </w:r>
            <w:r w:rsidRPr="00E34186">
              <w:rPr>
                <w:rFonts w:cs="Arial"/>
                <w:b w:val="0"/>
              </w:rPr>
              <w:t xml:space="preserve">processes and relationships that should be in place before an outbreak. </w:t>
            </w:r>
          </w:p>
          <w:p w:rsidR="00E34186" w:rsidRPr="00E34186" w:rsidRDefault="00E34186" w:rsidP="00E34186">
            <w:pPr>
              <w:pStyle w:val="ListParagraph"/>
              <w:numPr>
                <w:ilvl w:val="0"/>
                <w:numId w:val="3"/>
              </w:numPr>
              <w:jc w:val="both"/>
              <w:rPr>
                <w:b w:val="0"/>
              </w:rPr>
            </w:pPr>
            <w:r>
              <w:rPr>
                <w:rFonts w:cs="Arial"/>
                <w:b w:val="0"/>
              </w:rPr>
              <w:t>Utilize the links to related topics provided in th</w:t>
            </w:r>
            <w:r w:rsidRPr="00E34186">
              <w:rPr>
                <w:rFonts w:cs="Arial"/>
                <w:b w:val="0"/>
              </w:rPr>
              <w:t xml:space="preserve">e chapter to </w:t>
            </w:r>
            <w:r>
              <w:rPr>
                <w:rFonts w:cs="Arial"/>
                <w:b w:val="0"/>
              </w:rPr>
              <w:t>gain additional knowledge</w:t>
            </w:r>
            <w:r w:rsidR="009710EF">
              <w:rPr>
                <w:rFonts w:cs="Arial"/>
                <w:b w:val="0"/>
              </w:rPr>
              <w:t>.</w:t>
            </w:r>
          </w:p>
          <w:p w:rsidR="00E34186" w:rsidRPr="00E34186" w:rsidRDefault="009710EF" w:rsidP="00E34186">
            <w:pPr>
              <w:pStyle w:val="ListParagraph"/>
              <w:numPr>
                <w:ilvl w:val="0"/>
                <w:numId w:val="3"/>
              </w:numPr>
              <w:jc w:val="both"/>
              <w:rPr>
                <w:b w:val="0"/>
              </w:rPr>
            </w:pPr>
            <w:r>
              <w:rPr>
                <w:rFonts w:cs="Arial"/>
                <w:b w:val="0"/>
              </w:rPr>
              <w:lastRenderedPageBreak/>
              <w:t xml:space="preserve">Realize that other chapters of the CIFOR Guidelines have </w:t>
            </w:r>
            <w:r w:rsidR="00E34186" w:rsidRPr="00E34186">
              <w:rPr>
                <w:rFonts w:cs="Arial"/>
                <w:b w:val="0"/>
              </w:rPr>
              <w:t>detailed information about outbreak investigati</w:t>
            </w:r>
            <w:r>
              <w:rPr>
                <w:rFonts w:cs="Arial"/>
                <w:b w:val="0"/>
              </w:rPr>
              <w:t>on and response that can be utilized in building teams, planning and preparation for a foodborne disease outbreak response</w:t>
            </w:r>
            <w:r w:rsidR="00E34186" w:rsidRPr="00E34186">
              <w:rPr>
                <w:rFonts w:cs="Arial"/>
                <w:b w:val="0"/>
              </w:rPr>
              <w:t>.</w:t>
            </w:r>
          </w:p>
          <w:p w:rsidR="00381FD5" w:rsidRPr="0041596A" w:rsidRDefault="00381FD5" w:rsidP="00381FD5">
            <w:pPr>
              <w:rPr>
                <w:b w:val="0"/>
                <w:sz w:val="24"/>
              </w:rPr>
            </w:pPr>
          </w:p>
        </w:tc>
      </w:tr>
    </w:tbl>
    <w:p w:rsidR="00381FD5" w:rsidRPr="00381FD5" w:rsidRDefault="00381FD5" w:rsidP="00381FD5">
      <w:pPr>
        <w:jc w:val="center"/>
        <w:rPr>
          <w:b/>
          <w:sz w:val="44"/>
        </w:rPr>
      </w:pPr>
    </w:p>
    <w:tbl>
      <w:tblPr>
        <w:tblStyle w:val="MediumShading1-Accent5"/>
        <w:tblW w:w="0" w:type="auto"/>
        <w:tblLook w:val="04A0" w:firstRow="1" w:lastRow="0" w:firstColumn="1" w:lastColumn="0" w:noHBand="0" w:noVBand="1"/>
      </w:tblPr>
      <w:tblGrid>
        <w:gridCol w:w="9340"/>
      </w:tblGrid>
      <w:tr w:rsidR="0041596A" w:rsidRPr="0041596A" w:rsidTr="00A901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1596A" w:rsidRPr="0041596A" w:rsidRDefault="0041596A" w:rsidP="0041596A">
            <w:pPr>
              <w:rPr>
                <w:b w:val="0"/>
              </w:rPr>
            </w:pPr>
            <w:r w:rsidRPr="0041596A">
              <w:rPr>
                <w:b w:val="0"/>
              </w:rPr>
              <w:t>Please identify potential speakers/trainers for this Chapter</w:t>
            </w:r>
          </w:p>
        </w:tc>
      </w:tr>
      <w:tr w:rsidR="0041596A" w:rsidRPr="0041596A" w:rsidTr="00A901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1596A" w:rsidRPr="0041596A" w:rsidRDefault="0041596A" w:rsidP="0041596A">
            <w:pPr>
              <w:rPr>
                <w:b w:val="0"/>
              </w:rPr>
            </w:pPr>
            <w:r w:rsidRPr="0041596A">
              <w:rPr>
                <w:b w:val="0"/>
              </w:rPr>
              <w:t>Name</w:t>
            </w:r>
            <w:r w:rsidR="00A9012D">
              <w:rPr>
                <w:b w:val="0"/>
              </w:rPr>
              <w:t>:</w:t>
            </w:r>
          </w:p>
          <w:p w:rsidR="0041596A" w:rsidRDefault="007207FC" w:rsidP="0041596A">
            <w:pPr>
              <w:rPr>
                <w:b w:val="0"/>
              </w:rPr>
            </w:pPr>
            <w:r>
              <w:rPr>
                <w:b w:val="0"/>
              </w:rPr>
              <w:t>To be determined</w:t>
            </w:r>
          </w:p>
          <w:p w:rsidR="00381FD5" w:rsidRPr="0041596A" w:rsidRDefault="00381FD5" w:rsidP="0041596A">
            <w:pPr>
              <w:rPr>
                <w:b w:val="0"/>
              </w:rPr>
            </w:pPr>
          </w:p>
        </w:tc>
      </w:tr>
      <w:tr w:rsidR="0041596A" w:rsidRPr="0041596A" w:rsidTr="00A9012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1596A" w:rsidRPr="0041596A" w:rsidRDefault="0041596A" w:rsidP="0041596A">
            <w:pPr>
              <w:rPr>
                <w:b w:val="0"/>
              </w:rPr>
            </w:pPr>
            <w:r w:rsidRPr="0041596A">
              <w:rPr>
                <w:b w:val="0"/>
              </w:rPr>
              <w:t>Title</w:t>
            </w:r>
            <w:r w:rsidR="00A9012D">
              <w:rPr>
                <w:b w:val="0"/>
              </w:rPr>
              <w:t>:</w:t>
            </w:r>
          </w:p>
          <w:p w:rsidR="0041596A" w:rsidRPr="0041596A" w:rsidRDefault="0041596A" w:rsidP="0041596A">
            <w:pPr>
              <w:rPr>
                <w:b w:val="0"/>
              </w:rPr>
            </w:pPr>
          </w:p>
        </w:tc>
      </w:tr>
      <w:tr w:rsidR="0041596A" w:rsidRPr="0041596A" w:rsidTr="00A901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1596A" w:rsidRPr="0041596A" w:rsidRDefault="0041596A" w:rsidP="0041596A">
            <w:pPr>
              <w:rPr>
                <w:b w:val="0"/>
              </w:rPr>
            </w:pPr>
            <w:r w:rsidRPr="0041596A">
              <w:rPr>
                <w:b w:val="0"/>
              </w:rPr>
              <w:t>Organization</w:t>
            </w:r>
            <w:r w:rsidR="00A9012D">
              <w:rPr>
                <w:b w:val="0"/>
              </w:rPr>
              <w:t>:</w:t>
            </w:r>
          </w:p>
          <w:p w:rsidR="0041596A" w:rsidRPr="0041596A" w:rsidRDefault="0041596A" w:rsidP="0041596A">
            <w:pPr>
              <w:rPr>
                <w:b w:val="0"/>
              </w:rPr>
            </w:pPr>
          </w:p>
        </w:tc>
      </w:tr>
      <w:tr w:rsidR="0041596A" w:rsidRPr="0041596A" w:rsidTr="00A9012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1596A" w:rsidRPr="0041596A" w:rsidRDefault="0041596A" w:rsidP="0041596A">
            <w:pPr>
              <w:rPr>
                <w:b w:val="0"/>
              </w:rPr>
            </w:pPr>
            <w:r w:rsidRPr="0041596A">
              <w:rPr>
                <w:b w:val="0"/>
              </w:rPr>
              <w:t>Contact Information</w:t>
            </w:r>
            <w:r w:rsidR="00A9012D">
              <w:rPr>
                <w:b w:val="0"/>
              </w:rPr>
              <w:t>:</w:t>
            </w:r>
          </w:p>
          <w:p w:rsidR="0041596A" w:rsidRPr="0041596A" w:rsidRDefault="0041596A" w:rsidP="0041596A">
            <w:pPr>
              <w:rPr>
                <w:b w:val="0"/>
              </w:rPr>
            </w:pPr>
          </w:p>
        </w:tc>
      </w:tr>
    </w:tbl>
    <w:p w:rsidR="003D3F14" w:rsidRPr="003D3F14" w:rsidRDefault="003D3F14" w:rsidP="003D3F14">
      <w:pPr>
        <w:pStyle w:val="NormalWeb"/>
        <w:rPr>
          <w:rFonts w:asciiTheme="minorHAnsi" w:hAnsiTheme="minorHAnsi"/>
          <w:sz w:val="22"/>
          <w:szCs w:val="22"/>
        </w:rPr>
      </w:pPr>
      <w:r w:rsidRPr="003D3F14">
        <w:rPr>
          <w:rFonts w:asciiTheme="minorHAnsi" w:hAnsiTheme="minorHAnsi"/>
          <w:sz w:val="22"/>
          <w:szCs w:val="22"/>
        </w:rPr>
        <w:t>Webinar Presentation Tips for speakers/trainers:</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The focus of the webinar should be on overall content, not on what has changed since the 2nd Edition</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 xml:space="preserve">The presenter should use a landline to enhance audio quality and ensure a better recording. Please do </w:t>
      </w:r>
      <w:r w:rsidRPr="003D3F14">
        <w:rPr>
          <w:rStyle w:val="Strong"/>
          <w:rFonts w:asciiTheme="minorHAnsi" w:hAnsiTheme="minorHAnsi"/>
          <w:sz w:val="22"/>
          <w:szCs w:val="22"/>
        </w:rPr>
        <w:t>not</w:t>
      </w:r>
      <w:r w:rsidRPr="003D3F14">
        <w:rPr>
          <w:rFonts w:asciiTheme="minorHAnsi" w:hAnsiTheme="minorHAnsi"/>
          <w:sz w:val="22"/>
          <w:szCs w:val="22"/>
        </w:rPr>
        <w:t xml:space="preserve"> use a cell phone, speaker phone or the built in mic on the computer.</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Using a partial script will help a presenter to keep on point and also keep some inflection in his/her voice to keep audience members interested. Using a full script can lead to a monotone presentation that can deter from the message.</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End a webinar with an idea or summary not with question and answer period.</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The presenter should work with the webinar developers and narrator to prepare some canned questions that reinforce take home points. Consider sprinkling the questions throughout the power point rather than waiting until the end of the session.</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In order to help with continuity from one webinar to the next, presenters should provide a consistent message at the beginning of each webinar and provide a final thought at the end of each webinar.</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Presenters should plan to provide 2-3 key ideas per webinar. Each topic should be covered in 15 minutes or less.</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Please do not exceed 21 words/slide. Add pictures to reinforce the content.</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Presenters should all use the same CIFOR PPT template for consistent branding.</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Determine the time for the webinar and develop the content to fit the webinar.</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Consider developing a single page handout summarizing the main points of the presentation rather than handing out the power point presentation.</w:t>
      </w:r>
    </w:p>
    <w:p w:rsidR="003D3F14" w:rsidRPr="003D3F14" w:rsidRDefault="003D3F14" w:rsidP="003D3F14">
      <w:pPr>
        <w:pStyle w:val="NormalWeb"/>
        <w:numPr>
          <w:ilvl w:val="0"/>
          <w:numId w:val="6"/>
        </w:numPr>
        <w:rPr>
          <w:rFonts w:asciiTheme="minorHAnsi" w:hAnsiTheme="minorHAnsi"/>
          <w:sz w:val="22"/>
          <w:szCs w:val="22"/>
        </w:rPr>
      </w:pPr>
      <w:r w:rsidRPr="003D3F14">
        <w:rPr>
          <w:rFonts w:asciiTheme="minorHAnsi" w:hAnsiTheme="minorHAnsi"/>
          <w:sz w:val="22"/>
          <w:szCs w:val="22"/>
        </w:rPr>
        <w:t>Consider having an introductory webinar that summarizes key points. The individual webinars focus on a particular topic in detail.</w:t>
      </w:r>
    </w:p>
    <w:p w:rsidR="00256491" w:rsidRPr="003D3F14" w:rsidRDefault="003D3F14" w:rsidP="00064C50">
      <w:pPr>
        <w:pStyle w:val="NormalWeb"/>
        <w:numPr>
          <w:ilvl w:val="0"/>
          <w:numId w:val="6"/>
        </w:numPr>
        <w:rPr>
          <w:rFonts w:asciiTheme="minorHAnsi" w:hAnsiTheme="minorHAnsi"/>
          <w:sz w:val="22"/>
          <w:szCs w:val="22"/>
        </w:rPr>
      </w:pPr>
      <w:r w:rsidRPr="003D3F14">
        <w:rPr>
          <w:rFonts w:asciiTheme="minorHAnsi" w:hAnsiTheme="minorHAnsi"/>
          <w:sz w:val="22"/>
          <w:szCs w:val="22"/>
        </w:rPr>
        <w:t>Place 2-3 learning objectives at the end of the power point.</w:t>
      </w:r>
    </w:p>
    <w:sectPr w:rsidR="00256491" w:rsidRPr="003D3F14" w:rsidSect="00867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3036A"/>
    <w:multiLevelType w:val="multilevel"/>
    <w:tmpl w:val="3752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7008D"/>
    <w:multiLevelType w:val="multilevel"/>
    <w:tmpl w:val="A99C7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DF284D"/>
    <w:multiLevelType w:val="hybridMultilevel"/>
    <w:tmpl w:val="389C049A"/>
    <w:lvl w:ilvl="0" w:tplc="8CAC0F82">
      <w:start w:val="443"/>
      <w:numFmt w:val="bullet"/>
      <w:lvlText w:val="-"/>
      <w:lvlJc w:val="left"/>
      <w:pPr>
        <w:ind w:left="720" w:hanging="360"/>
      </w:pPr>
      <w:rPr>
        <w:rFonts w:ascii="Calibri" w:eastAsiaTheme="minorHAns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FA4F0E"/>
    <w:multiLevelType w:val="hybridMultilevel"/>
    <w:tmpl w:val="0096D4A8"/>
    <w:lvl w:ilvl="0" w:tplc="04090001">
      <w:start w:val="1"/>
      <w:numFmt w:val="bullet"/>
      <w:pStyle w:val="Level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C2705"/>
    <w:multiLevelType w:val="hybridMultilevel"/>
    <w:tmpl w:val="BBD204B4"/>
    <w:lvl w:ilvl="0" w:tplc="9A5086FA">
      <w:start w:val="443"/>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9A5A01"/>
    <w:multiLevelType w:val="multilevel"/>
    <w:tmpl w:val="26C84C5E"/>
    <w:lvl w:ilvl="0">
      <w:start w:val="1997"/>
      <w:numFmt w:val="decimal"/>
      <w:lvlText w:val="%1"/>
      <w:lvlJc w:val="left"/>
      <w:pPr>
        <w:tabs>
          <w:tab w:val="num" w:pos="2160"/>
        </w:tabs>
        <w:ind w:left="2160" w:hanging="2160"/>
      </w:pPr>
      <w:rPr>
        <w:rFonts w:hint="default"/>
        <w:b/>
      </w:rPr>
    </w:lvl>
    <w:lvl w:ilvl="1">
      <w:start w:val="1998"/>
      <w:numFmt w:val="decimal"/>
      <w:lvlText w:val="%1-%2"/>
      <w:lvlJc w:val="left"/>
      <w:pPr>
        <w:tabs>
          <w:tab w:val="num" w:pos="2160"/>
        </w:tabs>
        <w:ind w:left="2160" w:hanging="2160"/>
      </w:pPr>
      <w:rPr>
        <w:rFonts w:hint="default"/>
        <w:b/>
      </w:rPr>
    </w:lvl>
    <w:lvl w:ilvl="2">
      <w:start w:val="1"/>
      <w:numFmt w:val="decimal"/>
      <w:lvlText w:val="%1-%2.%3"/>
      <w:lvlJc w:val="left"/>
      <w:pPr>
        <w:tabs>
          <w:tab w:val="num" w:pos="2160"/>
        </w:tabs>
        <w:ind w:left="2160" w:hanging="2160"/>
      </w:pPr>
      <w:rPr>
        <w:rFonts w:hint="default"/>
        <w:b/>
      </w:rPr>
    </w:lvl>
    <w:lvl w:ilvl="3">
      <w:start w:val="1"/>
      <w:numFmt w:val="decimal"/>
      <w:lvlText w:val="%1-%2.%3.%4"/>
      <w:lvlJc w:val="left"/>
      <w:pPr>
        <w:tabs>
          <w:tab w:val="num" w:pos="2160"/>
        </w:tabs>
        <w:ind w:left="2160" w:hanging="2160"/>
      </w:pPr>
      <w:rPr>
        <w:rFonts w:hint="default"/>
        <w:b/>
      </w:rPr>
    </w:lvl>
    <w:lvl w:ilvl="4">
      <w:start w:val="1"/>
      <w:numFmt w:val="decimal"/>
      <w:lvlText w:val="%1-%2.%3.%4.%5"/>
      <w:lvlJc w:val="left"/>
      <w:pPr>
        <w:tabs>
          <w:tab w:val="num" w:pos="2160"/>
        </w:tabs>
        <w:ind w:left="2160" w:hanging="2160"/>
      </w:pPr>
      <w:rPr>
        <w:rFonts w:hint="default"/>
        <w:b/>
      </w:rPr>
    </w:lvl>
    <w:lvl w:ilvl="5">
      <w:start w:val="1"/>
      <w:numFmt w:val="decimal"/>
      <w:lvlText w:val="%1-%2.%3.%4.%5.%6"/>
      <w:lvlJc w:val="left"/>
      <w:pPr>
        <w:tabs>
          <w:tab w:val="num" w:pos="2160"/>
        </w:tabs>
        <w:ind w:left="2160" w:hanging="2160"/>
      </w:pPr>
      <w:rPr>
        <w:rFonts w:hint="default"/>
        <w:b/>
      </w:rPr>
    </w:lvl>
    <w:lvl w:ilvl="6">
      <w:start w:val="1"/>
      <w:numFmt w:val="decimal"/>
      <w:lvlText w:val="%1-%2.%3.%4.%5.%6.%7"/>
      <w:lvlJc w:val="left"/>
      <w:pPr>
        <w:tabs>
          <w:tab w:val="num" w:pos="2160"/>
        </w:tabs>
        <w:ind w:left="2160" w:hanging="216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A7A"/>
    <w:rsid w:val="00024AA6"/>
    <w:rsid w:val="00051198"/>
    <w:rsid w:val="000E10CA"/>
    <w:rsid w:val="00256491"/>
    <w:rsid w:val="00260759"/>
    <w:rsid w:val="002B6A54"/>
    <w:rsid w:val="002C0A01"/>
    <w:rsid w:val="003679B9"/>
    <w:rsid w:val="00381FD5"/>
    <w:rsid w:val="003D1A92"/>
    <w:rsid w:val="003D3F14"/>
    <w:rsid w:val="003E6AA2"/>
    <w:rsid w:val="0041596A"/>
    <w:rsid w:val="004821D6"/>
    <w:rsid w:val="00715DD3"/>
    <w:rsid w:val="007207FC"/>
    <w:rsid w:val="0074564B"/>
    <w:rsid w:val="007757D8"/>
    <w:rsid w:val="00783DA1"/>
    <w:rsid w:val="00786172"/>
    <w:rsid w:val="00867A7A"/>
    <w:rsid w:val="008B23C6"/>
    <w:rsid w:val="008D1358"/>
    <w:rsid w:val="009710EF"/>
    <w:rsid w:val="00A9012D"/>
    <w:rsid w:val="00B85435"/>
    <w:rsid w:val="00B91511"/>
    <w:rsid w:val="00C80FE7"/>
    <w:rsid w:val="00C9152E"/>
    <w:rsid w:val="00CA34A5"/>
    <w:rsid w:val="00CB0365"/>
    <w:rsid w:val="00CE31CD"/>
    <w:rsid w:val="00D72D99"/>
    <w:rsid w:val="00E1081B"/>
    <w:rsid w:val="00E34186"/>
    <w:rsid w:val="00F63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8AA340-1306-4BFD-BA17-2C25225EA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7A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5">
    <w:name w:val="Medium Shading 1 Accent 5"/>
    <w:basedOn w:val="TableNormal"/>
    <w:uiPriority w:val="63"/>
    <w:rsid w:val="00867A7A"/>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41596A"/>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Strong">
    <w:name w:val="Strong"/>
    <w:basedOn w:val="DefaultParagraphFont"/>
    <w:uiPriority w:val="22"/>
    <w:qFormat/>
    <w:rsid w:val="00381FD5"/>
    <w:rPr>
      <w:b/>
      <w:bCs/>
    </w:rPr>
  </w:style>
  <w:style w:type="paragraph" w:styleId="ListParagraph">
    <w:name w:val="List Paragraph"/>
    <w:basedOn w:val="Normal"/>
    <w:uiPriority w:val="34"/>
    <w:qFormat/>
    <w:rsid w:val="00C9152E"/>
    <w:pPr>
      <w:ind w:left="720"/>
      <w:contextualSpacing/>
    </w:pPr>
  </w:style>
  <w:style w:type="character" w:styleId="Hyperlink">
    <w:name w:val="Hyperlink"/>
    <w:basedOn w:val="DefaultParagraphFont"/>
    <w:uiPriority w:val="99"/>
    <w:unhideWhenUsed/>
    <w:rsid w:val="00260759"/>
    <w:rPr>
      <w:color w:val="0000FF" w:themeColor="hyperlink"/>
      <w:u w:val="single"/>
    </w:rPr>
  </w:style>
  <w:style w:type="paragraph" w:customStyle="1" w:styleId="Level1">
    <w:name w:val="Level 1"/>
    <w:basedOn w:val="Normal"/>
    <w:rsid w:val="00C80FE7"/>
    <w:pPr>
      <w:widowControl w:val="0"/>
      <w:numPr>
        <w:numId w:val="1"/>
      </w:numPr>
      <w:autoSpaceDE w:val="0"/>
      <w:autoSpaceDN w:val="0"/>
      <w:adjustRightInd w:val="0"/>
      <w:spacing w:after="0" w:line="240" w:lineRule="auto"/>
      <w:ind w:left="360"/>
      <w:outlineLvl w:val="0"/>
    </w:pPr>
    <w:rPr>
      <w:rFonts w:ascii="Courier" w:eastAsia="Times New Roman" w:hAnsi="Courier" w:cs="Times New Roman"/>
      <w:sz w:val="24"/>
      <w:szCs w:val="24"/>
    </w:rPr>
  </w:style>
  <w:style w:type="paragraph" w:styleId="NoSpacing">
    <w:name w:val="No Spacing"/>
    <w:uiPriority w:val="1"/>
    <w:qFormat/>
    <w:rsid w:val="00C80FE7"/>
    <w:pPr>
      <w:spacing w:after="0" w:line="240" w:lineRule="auto"/>
    </w:pPr>
  </w:style>
  <w:style w:type="paragraph" w:styleId="NormalWeb">
    <w:name w:val="Normal (Web)"/>
    <w:basedOn w:val="Normal"/>
    <w:uiPriority w:val="99"/>
    <w:unhideWhenUsed/>
    <w:rsid w:val="003D3F14"/>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673348">
      <w:bodyDiv w:val="1"/>
      <w:marLeft w:val="0"/>
      <w:marRight w:val="0"/>
      <w:marTop w:val="0"/>
      <w:marBottom w:val="0"/>
      <w:divBdr>
        <w:top w:val="none" w:sz="0" w:space="0" w:color="auto"/>
        <w:left w:val="none" w:sz="0" w:space="0" w:color="auto"/>
        <w:bottom w:val="none" w:sz="0" w:space="0" w:color="auto"/>
        <w:right w:val="none" w:sz="0" w:space="0" w:color="auto"/>
      </w:divBdr>
    </w:div>
    <w:div w:id="164018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ha.Hajmeer@cdph.ca.gov" TargetMode="External"/><Relationship Id="rId5" Type="http://schemas.openxmlformats.org/officeDocument/2006/relationships/hyperlink" Target="mailto:Dann.Williams@maryland.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1292</Words>
  <Characters>7368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Dalrymple, Sarah</dc:creator>
  <cp:lastModifiedBy>D'Ann L. Williams</cp:lastModifiedBy>
  <cp:revision>2</cp:revision>
  <dcterms:created xsi:type="dcterms:W3CDTF">2018-05-29T11:20:00Z</dcterms:created>
  <dcterms:modified xsi:type="dcterms:W3CDTF">2018-05-29T11:20:00Z</dcterms:modified>
</cp:coreProperties>
</file>