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743EB" w14:textId="77777777" w:rsidR="001E485D" w:rsidRPr="001E485D" w:rsidRDefault="001E485D">
      <w:pPr>
        <w:rPr>
          <w:b/>
          <w:sz w:val="36"/>
          <w:szCs w:val="36"/>
        </w:rPr>
      </w:pPr>
      <w:r>
        <w:rPr>
          <w:b/>
          <w:sz w:val="36"/>
          <w:szCs w:val="36"/>
        </w:rPr>
        <w:t xml:space="preserve">Chapter </w:t>
      </w:r>
      <w:r w:rsidR="00307815">
        <w:rPr>
          <w:b/>
          <w:sz w:val="36"/>
          <w:szCs w:val="36"/>
        </w:rPr>
        <w:t>2:</w:t>
      </w:r>
      <w:r>
        <w:rPr>
          <w:b/>
          <w:sz w:val="36"/>
          <w:szCs w:val="36"/>
        </w:rPr>
        <w:t xml:space="preserve"> </w:t>
      </w:r>
      <w:r w:rsidRPr="001E485D">
        <w:rPr>
          <w:b/>
          <w:sz w:val="36"/>
          <w:szCs w:val="36"/>
        </w:rPr>
        <w:t xml:space="preserve">The </w:t>
      </w:r>
      <w:bookmarkStart w:id="0" w:name="_GoBack"/>
      <w:bookmarkEnd w:id="0"/>
      <w:r w:rsidRPr="001E485D">
        <w:rPr>
          <w:b/>
          <w:sz w:val="36"/>
          <w:szCs w:val="36"/>
        </w:rPr>
        <w:t>Evolving Challenge of Foodborne Outbreak Response</w:t>
      </w:r>
    </w:p>
    <w:p w14:paraId="1C5574BA" w14:textId="77777777" w:rsidR="00137D03" w:rsidRDefault="00137D03">
      <w:pPr>
        <w:rPr>
          <w:b/>
          <w:sz w:val="30"/>
          <w:szCs w:val="30"/>
        </w:rPr>
      </w:pPr>
    </w:p>
    <w:p w14:paraId="156BBBB2" w14:textId="77777777" w:rsidR="00BD5A72" w:rsidRDefault="00BD5A72">
      <w:pPr>
        <w:rPr>
          <w:b/>
          <w:color w:val="0070C0"/>
          <w:sz w:val="24"/>
          <w:szCs w:val="24"/>
        </w:rPr>
      </w:pPr>
      <w:r>
        <w:rPr>
          <w:b/>
          <w:color w:val="0070C0"/>
          <w:sz w:val="24"/>
          <w:szCs w:val="24"/>
        </w:rPr>
        <w:br w:type="page"/>
      </w:r>
    </w:p>
    <w:p w14:paraId="610C5103" w14:textId="77777777" w:rsidR="00137D03" w:rsidRPr="00BD5A72" w:rsidRDefault="00137D03" w:rsidP="00137D03">
      <w:pPr>
        <w:spacing w:after="0"/>
        <w:rPr>
          <w:color w:val="0070C0"/>
          <w:sz w:val="24"/>
          <w:szCs w:val="24"/>
        </w:rPr>
      </w:pPr>
      <w:r w:rsidRPr="00137D03">
        <w:rPr>
          <w:b/>
          <w:color w:val="0070C0"/>
          <w:sz w:val="24"/>
          <w:szCs w:val="24"/>
        </w:rPr>
        <w:lastRenderedPageBreak/>
        <w:t>Current Outline</w:t>
      </w:r>
      <w:r>
        <w:rPr>
          <w:b/>
          <w:color w:val="0070C0"/>
          <w:sz w:val="24"/>
          <w:szCs w:val="24"/>
        </w:rPr>
        <w:t>, just for quick visualization</w:t>
      </w:r>
      <w:r w:rsidRPr="00137D03">
        <w:rPr>
          <w:b/>
          <w:color w:val="0070C0"/>
          <w:sz w:val="24"/>
          <w:szCs w:val="24"/>
        </w:rPr>
        <w:t>:</w:t>
      </w:r>
    </w:p>
    <w:p w14:paraId="308CC685" w14:textId="77777777" w:rsidR="00BD5A72" w:rsidRPr="00BD5A72" w:rsidRDefault="00BD5A72" w:rsidP="00137D03">
      <w:pPr>
        <w:spacing w:after="0"/>
        <w:rPr>
          <w:color w:val="0070C0"/>
          <w:sz w:val="24"/>
          <w:szCs w:val="24"/>
        </w:rPr>
      </w:pPr>
      <w:r w:rsidRPr="00BD5A72">
        <w:rPr>
          <w:color w:val="0070C0"/>
          <w:sz w:val="24"/>
          <w:szCs w:val="24"/>
        </w:rPr>
        <w:t>2.0</w:t>
      </w:r>
      <w:r w:rsidRPr="00BD5A72">
        <w:rPr>
          <w:color w:val="0070C0"/>
          <w:sz w:val="24"/>
          <w:szCs w:val="24"/>
        </w:rPr>
        <w:tab/>
        <w:t>Introduction</w:t>
      </w:r>
    </w:p>
    <w:p w14:paraId="23A89B68" w14:textId="107C7A4D" w:rsidR="00137D03" w:rsidRPr="00137D03" w:rsidRDefault="00137D03" w:rsidP="00137D03">
      <w:pPr>
        <w:tabs>
          <w:tab w:val="left" w:pos="720"/>
        </w:tabs>
        <w:spacing w:after="0"/>
        <w:ind w:left="720" w:hanging="720"/>
        <w:rPr>
          <w:color w:val="0070C0"/>
          <w:sz w:val="24"/>
          <w:szCs w:val="24"/>
        </w:rPr>
      </w:pPr>
      <w:r w:rsidRPr="00137D03">
        <w:rPr>
          <w:color w:val="0070C0"/>
          <w:sz w:val="24"/>
          <w:szCs w:val="24"/>
          <w:lang w:val="en-CA"/>
        </w:rPr>
        <w:fldChar w:fldCharType="begin"/>
      </w:r>
      <w:r w:rsidRPr="00137D03">
        <w:rPr>
          <w:color w:val="0070C0"/>
          <w:sz w:val="24"/>
          <w:szCs w:val="24"/>
          <w:lang w:val="en-CA"/>
        </w:rPr>
        <w:instrText xml:space="preserve"> SEQ CHAPTER \h \r 1</w:instrText>
      </w:r>
      <w:r w:rsidRPr="00137D03">
        <w:rPr>
          <w:color w:val="0070C0"/>
          <w:sz w:val="24"/>
          <w:szCs w:val="24"/>
          <w:lang w:val="en-CA"/>
        </w:rPr>
        <w:fldChar w:fldCharType="end"/>
      </w:r>
      <w:r w:rsidRPr="00137D03">
        <w:rPr>
          <w:color w:val="0070C0"/>
          <w:sz w:val="24"/>
          <w:szCs w:val="24"/>
        </w:rPr>
        <w:t>2.1</w:t>
      </w:r>
      <w:r w:rsidRPr="00137D03">
        <w:rPr>
          <w:color w:val="0070C0"/>
          <w:sz w:val="24"/>
          <w:szCs w:val="24"/>
        </w:rPr>
        <w:tab/>
        <w:t>The Burden of Foodborne Illness in the United States</w:t>
      </w:r>
    </w:p>
    <w:p w14:paraId="165EBC60" w14:textId="77777777" w:rsidR="00137D03" w:rsidRPr="00137D03" w:rsidRDefault="00137D03" w:rsidP="00137D03">
      <w:pPr>
        <w:spacing w:after="0"/>
        <w:rPr>
          <w:color w:val="0070C0"/>
          <w:sz w:val="24"/>
          <w:szCs w:val="24"/>
        </w:rPr>
      </w:pPr>
      <w:r w:rsidRPr="00137D03">
        <w:rPr>
          <w:color w:val="0070C0"/>
          <w:sz w:val="24"/>
          <w:szCs w:val="24"/>
        </w:rPr>
        <w:tab/>
        <w:t>2.1.1 Burden of Disease</w:t>
      </w:r>
    </w:p>
    <w:p w14:paraId="4B6D6F50" w14:textId="77777777" w:rsidR="00137D03" w:rsidRPr="00137D03" w:rsidRDefault="00137D03" w:rsidP="00137D03">
      <w:pPr>
        <w:spacing w:after="0"/>
        <w:rPr>
          <w:color w:val="0070C0"/>
          <w:sz w:val="24"/>
          <w:szCs w:val="24"/>
        </w:rPr>
      </w:pPr>
      <w:r w:rsidRPr="00137D03">
        <w:rPr>
          <w:color w:val="0070C0"/>
          <w:sz w:val="24"/>
          <w:szCs w:val="24"/>
        </w:rPr>
        <w:tab/>
        <w:t>2.1.2 Burden on the Food Industry</w:t>
      </w:r>
    </w:p>
    <w:p w14:paraId="405431FE" w14:textId="77777777" w:rsidR="00137D03" w:rsidRPr="00137D03" w:rsidRDefault="00137D03" w:rsidP="00137D03">
      <w:pPr>
        <w:spacing w:after="0"/>
        <w:rPr>
          <w:color w:val="0070C0"/>
          <w:sz w:val="24"/>
          <w:szCs w:val="24"/>
        </w:rPr>
      </w:pPr>
      <w:r w:rsidRPr="00137D03">
        <w:rPr>
          <w:color w:val="0070C0"/>
          <w:sz w:val="24"/>
          <w:szCs w:val="24"/>
        </w:rPr>
        <w:tab/>
        <w:t>2.1.3 Changes in Etiologic Agents of Foodborne Disease Outbreaks</w:t>
      </w:r>
    </w:p>
    <w:p w14:paraId="790EC69F" w14:textId="77777777" w:rsidR="00137D03" w:rsidRPr="00137D03" w:rsidRDefault="00137D03" w:rsidP="00137D03">
      <w:pPr>
        <w:spacing w:after="0"/>
        <w:rPr>
          <w:color w:val="0070C0"/>
          <w:sz w:val="24"/>
          <w:szCs w:val="24"/>
        </w:rPr>
      </w:pPr>
    </w:p>
    <w:p w14:paraId="46E6AA70" w14:textId="77777777" w:rsidR="00BD5A72" w:rsidRDefault="00137D03" w:rsidP="00BD5A72">
      <w:pPr>
        <w:tabs>
          <w:tab w:val="left" w:pos="720"/>
        </w:tabs>
        <w:spacing w:after="0"/>
        <w:ind w:left="720" w:hanging="720"/>
        <w:rPr>
          <w:color w:val="0070C0"/>
          <w:sz w:val="24"/>
          <w:szCs w:val="24"/>
        </w:rPr>
      </w:pPr>
      <w:r w:rsidRPr="00137D03">
        <w:rPr>
          <w:color w:val="0070C0"/>
          <w:sz w:val="24"/>
          <w:szCs w:val="24"/>
        </w:rPr>
        <w:t>2.2</w:t>
      </w:r>
      <w:r w:rsidRPr="00137D03">
        <w:rPr>
          <w:color w:val="0070C0"/>
          <w:sz w:val="24"/>
          <w:szCs w:val="24"/>
        </w:rPr>
        <w:tab/>
        <w:t>Changes in U.S. Foodborne Illness Surveillance Systems</w:t>
      </w:r>
    </w:p>
    <w:p w14:paraId="1A255B17" w14:textId="77777777" w:rsidR="00137D03" w:rsidRPr="00137D03" w:rsidRDefault="00137D03" w:rsidP="00BD5A72">
      <w:pPr>
        <w:tabs>
          <w:tab w:val="left" w:pos="720"/>
        </w:tabs>
        <w:spacing w:after="0"/>
        <w:ind w:left="720" w:hanging="720"/>
        <w:rPr>
          <w:color w:val="0070C0"/>
          <w:sz w:val="24"/>
          <w:szCs w:val="24"/>
        </w:rPr>
      </w:pPr>
      <w:r w:rsidRPr="00137D03">
        <w:rPr>
          <w:color w:val="0070C0"/>
          <w:sz w:val="24"/>
          <w:szCs w:val="24"/>
        </w:rPr>
        <w:tab/>
        <w:t>2.2.1 Changes in Surveillance for Human Illness</w:t>
      </w:r>
    </w:p>
    <w:p w14:paraId="26243103" w14:textId="77777777" w:rsidR="00137D03" w:rsidRPr="00137D03" w:rsidRDefault="00137D03" w:rsidP="00BD5A72">
      <w:pPr>
        <w:spacing w:after="0"/>
        <w:rPr>
          <w:color w:val="0070C0"/>
          <w:sz w:val="24"/>
          <w:szCs w:val="24"/>
        </w:rPr>
      </w:pPr>
      <w:r w:rsidRPr="00137D03">
        <w:rPr>
          <w:color w:val="0070C0"/>
          <w:sz w:val="24"/>
          <w:szCs w:val="24"/>
        </w:rPr>
        <w:tab/>
        <w:t>2.2.2 Surveillance for Food Preparation Risks</w:t>
      </w:r>
    </w:p>
    <w:p w14:paraId="557907A5" w14:textId="77777777" w:rsidR="00137D03" w:rsidRPr="00137D03" w:rsidRDefault="00137D03" w:rsidP="00BD5A72">
      <w:pPr>
        <w:spacing w:after="0"/>
        <w:rPr>
          <w:color w:val="0070C0"/>
          <w:sz w:val="24"/>
          <w:szCs w:val="24"/>
        </w:rPr>
      </w:pPr>
      <w:r w:rsidRPr="00137D03">
        <w:rPr>
          <w:color w:val="0070C0"/>
          <w:sz w:val="24"/>
          <w:szCs w:val="24"/>
        </w:rPr>
        <w:tab/>
        <w:t>2.2.3 Surveillance of the Food Supply (probably delete)</w:t>
      </w:r>
    </w:p>
    <w:p w14:paraId="1F2730B1" w14:textId="77777777" w:rsidR="00137D03" w:rsidRPr="00137D03" w:rsidRDefault="00137D03" w:rsidP="00BD5A72">
      <w:pPr>
        <w:spacing w:after="0"/>
        <w:rPr>
          <w:color w:val="0070C0"/>
          <w:sz w:val="24"/>
          <w:szCs w:val="24"/>
        </w:rPr>
      </w:pPr>
    </w:p>
    <w:p w14:paraId="3D83B16B" w14:textId="77777777" w:rsidR="00137D03" w:rsidRPr="00137D03" w:rsidRDefault="00137D03" w:rsidP="00BD5A72">
      <w:pPr>
        <w:tabs>
          <w:tab w:val="left" w:pos="720"/>
        </w:tabs>
        <w:spacing w:after="0"/>
        <w:ind w:left="720" w:hanging="720"/>
        <w:rPr>
          <w:color w:val="0070C0"/>
          <w:sz w:val="24"/>
          <w:szCs w:val="24"/>
        </w:rPr>
      </w:pPr>
      <w:r w:rsidRPr="00137D03">
        <w:rPr>
          <w:color w:val="0070C0"/>
          <w:sz w:val="24"/>
          <w:szCs w:val="24"/>
        </w:rPr>
        <w:t xml:space="preserve">2.3 </w:t>
      </w:r>
      <w:r w:rsidRPr="00137D03">
        <w:rPr>
          <w:color w:val="0070C0"/>
          <w:sz w:val="24"/>
          <w:szCs w:val="24"/>
        </w:rPr>
        <w:tab/>
        <w:t>Growing complexity of the Food Supply</w:t>
      </w:r>
    </w:p>
    <w:p w14:paraId="003A3BC7" w14:textId="77777777" w:rsidR="00137D03" w:rsidRPr="00137D03" w:rsidRDefault="00137D03" w:rsidP="00BD5A72">
      <w:pPr>
        <w:spacing w:after="0"/>
        <w:rPr>
          <w:color w:val="0070C0"/>
          <w:sz w:val="24"/>
          <w:szCs w:val="24"/>
        </w:rPr>
      </w:pPr>
      <w:r w:rsidRPr="00137D03">
        <w:rPr>
          <w:color w:val="0070C0"/>
          <w:sz w:val="24"/>
          <w:szCs w:val="24"/>
        </w:rPr>
        <w:tab/>
        <w:t>2.3.1 Dietary Changes</w:t>
      </w:r>
    </w:p>
    <w:p w14:paraId="5513F5F7" w14:textId="77777777" w:rsidR="00137D03" w:rsidRPr="00137D03" w:rsidRDefault="00137D03" w:rsidP="00BD5A72">
      <w:pPr>
        <w:spacing w:after="0"/>
        <w:rPr>
          <w:color w:val="0070C0"/>
          <w:sz w:val="24"/>
          <w:szCs w:val="24"/>
        </w:rPr>
      </w:pPr>
      <w:r w:rsidRPr="00137D03">
        <w:rPr>
          <w:color w:val="0070C0"/>
          <w:sz w:val="24"/>
          <w:szCs w:val="24"/>
        </w:rPr>
        <w:tab/>
        <w:t>2.3.2 Changes in Food Production and Preparation</w:t>
      </w:r>
    </w:p>
    <w:p w14:paraId="79CFF92B" w14:textId="77777777" w:rsidR="00137D03" w:rsidRPr="00137D03" w:rsidRDefault="00137D03" w:rsidP="00BD5A72">
      <w:pPr>
        <w:spacing w:after="0"/>
        <w:rPr>
          <w:color w:val="0070C0"/>
          <w:sz w:val="24"/>
          <w:szCs w:val="24"/>
        </w:rPr>
      </w:pPr>
    </w:p>
    <w:p w14:paraId="3A96D930" w14:textId="77777777" w:rsidR="00137D03" w:rsidRPr="00137D03" w:rsidRDefault="00137D03" w:rsidP="00BD5A72">
      <w:pPr>
        <w:tabs>
          <w:tab w:val="left" w:pos="720"/>
        </w:tabs>
        <w:spacing w:after="0"/>
        <w:ind w:left="720" w:hanging="720"/>
        <w:rPr>
          <w:color w:val="0070C0"/>
          <w:sz w:val="24"/>
          <w:szCs w:val="24"/>
        </w:rPr>
      </w:pPr>
      <w:r w:rsidRPr="00137D03">
        <w:rPr>
          <w:color w:val="0070C0"/>
          <w:sz w:val="24"/>
          <w:szCs w:val="24"/>
        </w:rPr>
        <w:t>2.4</w:t>
      </w:r>
      <w:r w:rsidRPr="00137D03">
        <w:rPr>
          <w:color w:val="0070C0"/>
          <w:sz w:val="24"/>
          <w:szCs w:val="24"/>
        </w:rPr>
        <w:tab/>
        <w:t>Changes in Foodborne Outbreak Response</w:t>
      </w:r>
    </w:p>
    <w:p w14:paraId="4816D5F0" w14:textId="77777777" w:rsidR="00137D03" w:rsidRPr="00137D03" w:rsidRDefault="00137D03" w:rsidP="00BD5A72">
      <w:pPr>
        <w:spacing w:after="0"/>
        <w:rPr>
          <w:color w:val="0070C0"/>
          <w:sz w:val="24"/>
          <w:szCs w:val="24"/>
        </w:rPr>
      </w:pPr>
    </w:p>
    <w:p w14:paraId="2F1A2750" w14:textId="77777777" w:rsidR="00137D03" w:rsidRPr="00137D03" w:rsidRDefault="00137D03" w:rsidP="00BD5A72">
      <w:pPr>
        <w:tabs>
          <w:tab w:val="left" w:pos="720"/>
        </w:tabs>
        <w:spacing w:after="0"/>
        <w:ind w:left="720" w:hanging="720"/>
        <w:rPr>
          <w:color w:val="0070C0"/>
          <w:sz w:val="24"/>
          <w:szCs w:val="24"/>
        </w:rPr>
      </w:pPr>
      <w:r w:rsidRPr="00137D03">
        <w:rPr>
          <w:color w:val="0070C0"/>
          <w:sz w:val="24"/>
          <w:szCs w:val="24"/>
        </w:rPr>
        <w:t>2.5</w:t>
      </w:r>
      <w:r w:rsidRPr="00137D03">
        <w:rPr>
          <w:color w:val="0070C0"/>
          <w:sz w:val="24"/>
          <w:szCs w:val="24"/>
        </w:rPr>
        <w:tab/>
        <w:t>Summary: Foodborne Outbreak Response and System Change</w:t>
      </w:r>
    </w:p>
    <w:p w14:paraId="1962FAB6" w14:textId="77777777" w:rsidR="00137D03" w:rsidRPr="00137D03" w:rsidRDefault="00137D03" w:rsidP="00BD5A72">
      <w:pPr>
        <w:spacing w:after="0"/>
        <w:rPr>
          <w:color w:val="0070C0"/>
          <w:sz w:val="24"/>
          <w:szCs w:val="24"/>
        </w:rPr>
      </w:pPr>
    </w:p>
    <w:p w14:paraId="0538D902" w14:textId="77777777" w:rsidR="001E485D" w:rsidRDefault="00137D03" w:rsidP="00BD5A72">
      <w:pPr>
        <w:spacing w:after="0"/>
        <w:rPr>
          <w:b/>
          <w:sz w:val="30"/>
          <w:szCs w:val="30"/>
        </w:rPr>
      </w:pPr>
      <w:r w:rsidRPr="00137D03">
        <w:rPr>
          <w:color w:val="0070C0"/>
          <w:sz w:val="24"/>
          <w:szCs w:val="24"/>
        </w:rPr>
        <w:t>2.6</w:t>
      </w:r>
      <w:r w:rsidRPr="00137D03">
        <w:rPr>
          <w:color w:val="0070C0"/>
          <w:sz w:val="24"/>
          <w:szCs w:val="24"/>
        </w:rPr>
        <w:tab/>
        <w:t>References</w:t>
      </w:r>
      <w:r w:rsidR="001E485D">
        <w:rPr>
          <w:b/>
          <w:sz w:val="30"/>
          <w:szCs w:val="30"/>
        </w:rPr>
        <w:br w:type="page"/>
      </w:r>
    </w:p>
    <w:p w14:paraId="70E9E0BD" w14:textId="77777777" w:rsidR="006F5088" w:rsidRDefault="00307815">
      <w:pPr>
        <w:rPr>
          <w:b/>
          <w:sz w:val="30"/>
          <w:szCs w:val="30"/>
        </w:rPr>
      </w:pPr>
      <w:r>
        <w:rPr>
          <w:b/>
          <w:sz w:val="30"/>
          <w:szCs w:val="30"/>
        </w:rPr>
        <w:lastRenderedPageBreak/>
        <w:t>2</w:t>
      </w:r>
      <w:r w:rsidR="001F5F0E">
        <w:rPr>
          <w:b/>
          <w:sz w:val="30"/>
          <w:szCs w:val="30"/>
        </w:rPr>
        <w:t>.0.</w:t>
      </w:r>
      <w:r w:rsidR="001F5F0E">
        <w:rPr>
          <w:b/>
          <w:sz w:val="30"/>
          <w:szCs w:val="30"/>
        </w:rPr>
        <w:tab/>
        <w:t>Introduction</w:t>
      </w:r>
    </w:p>
    <w:p w14:paraId="575FA9A5" w14:textId="77777777" w:rsidR="006F5088" w:rsidRDefault="00EC5D41" w:rsidP="004404B8">
      <w:pPr>
        <w:jc w:val="both"/>
        <w:rPr>
          <w:color w:val="231F20"/>
        </w:rPr>
      </w:pPr>
      <w:bookmarkStart w:id="1" w:name="_gjdgxs" w:colFirst="0" w:colLast="0"/>
      <w:bookmarkEnd w:id="1"/>
      <w:r>
        <w:t xml:space="preserve">Outbreaks of foodborne disease, and their detection, investigation, and resolution, are a function of several factors in </w:t>
      </w:r>
      <w:r w:rsidR="00BD5A72">
        <w:t>continual</w:t>
      </w:r>
      <w:r>
        <w:t xml:space="preserve"> flux: </w:t>
      </w:r>
      <w:r w:rsidR="001E485D">
        <w:t>the American diet</w:t>
      </w:r>
      <w:r w:rsidR="006A6732">
        <w:t xml:space="preserve"> and</w:t>
      </w:r>
      <w:r>
        <w:t xml:space="preserve"> the production</w:t>
      </w:r>
      <w:r w:rsidR="006A6732">
        <w:t>,</w:t>
      </w:r>
      <w:r>
        <w:t xml:space="preserve"> distribution </w:t>
      </w:r>
      <w:r w:rsidR="006A6732">
        <w:t xml:space="preserve">and preparation </w:t>
      </w:r>
      <w:r>
        <w:t xml:space="preserve">of </w:t>
      </w:r>
      <w:r w:rsidR="006A6732">
        <w:t xml:space="preserve">the </w:t>
      </w:r>
      <w:r>
        <w:t xml:space="preserve">food </w:t>
      </w:r>
      <w:r w:rsidR="006A6732">
        <w:t xml:space="preserve">that constitutes it; the threshold for and means through which foodborne illnesses are diagnosed; the </w:t>
      </w:r>
      <w:r w:rsidR="00C36C40">
        <w:t>tactics employed for detecting and investigating clusters of illness; the means available to trace and eliminate contaminated food from circulation; and the wherewithal to glean lessons learned to prevent similar outbreaks in the future.</w:t>
      </w:r>
      <w:r>
        <w:t xml:space="preserve"> </w:t>
      </w:r>
      <w:r w:rsidR="001F490A">
        <w:t>This chapter provides an overview of these ever-changing factors, the practicalities of which for investigators are detailed in subsequent chapters</w:t>
      </w:r>
      <w:r w:rsidR="001E485D">
        <w:t>.</w:t>
      </w:r>
      <w:r w:rsidR="001F5F0E">
        <w:br/>
      </w:r>
    </w:p>
    <w:p w14:paraId="0BFC09DE" w14:textId="77777777" w:rsidR="006F5088" w:rsidRDefault="00307815">
      <w:pPr>
        <w:rPr>
          <w:b/>
          <w:sz w:val="28"/>
          <w:szCs w:val="28"/>
        </w:rPr>
      </w:pPr>
      <w:r>
        <w:rPr>
          <w:b/>
          <w:sz w:val="28"/>
          <w:szCs w:val="28"/>
        </w:rPr>
        <w:t>2</w:t>
      </w:r>
      <w:r w:rsidR="001F5F0E">
        <w:rPr>
          <w:b/>
          <w:sz w:val="28"/>
          <w:szCs w:val="28"/>
        </w:rPr>
        <w:t>.1.</w:t>
      </w:r>
      <w:r w:rsidR="001F5F0E">
        <w:rPr>
          <w:b/>
          <w:sz w:val="28"/>
          <w:szCs w:val="28"/>
        </w:rPr>
        <w:tab/>
        <w:t>The Burden of Foodborne Illness in the United States</w:t>
      </w:r>
    </w:p>
    <w:p w14:paraId="5F1344D7" w14:textId="77777777" w:rsidR="006F5088" w:rsidRPr="00003736" w:rsidRDefault="00003736">
      <w:pPr>
        <w:rPr>
          <w:b/>
          <w:sz w:val="26"/>
          <w:szCs w:val="26"/>
        </w:rPr>
      </w:pPr>
      <w:r w:rsidRPr="00003736">
        <w:rPr>
          <w:b/>
          <w:sz w:val="26"/>
          <w:szCs w:val="26"/>
        </w:rPr>
        <w:t xml:space="preserve">2.1.1 </w:t>
      </w:r>
      <w:r w:rsidR="00E819EE" w:rsidRPr="00003736">
        <w:rPr>
          <w:b/>
          <w:sz w:val="26"/>
          <w:szCs w:val="26"/>
        </w:rPr>
        <w:t>Burden of d</w:t>
      </w:r>
      <w:r w:rsidR="001F5F0E" w:rsidRPr="00003736">
        <w:rPr>
          <w:b/>
          <w:sz w:val="26"/>
          <w:szCs w:val="26"/>
        </w:rPr>
        <w:t>isease</w:t>
      </w:r>
    </w:p>
    <w:p w14:paraId="0144D8FB" w14:textId="77777777" w:rsidR="006F5088" w:rsidRDefault="001F5F0E">
      <w:pPr>
        <w:rPr>
          <w:vertAlign w:val="superscript"/>
        </w:rPr>
      </w:pPr>
      <w:r>
        <w:t xml:space="preserve">In 2011, CDC estimated that </w:t>
      </w:r>
      <w:r w:rsidR="009112E3">
        <w:t>each year in the United States,</w:t>
      </w:r>
      <w:r>
        <w:t xml:space="preserve"> 47.8 million illnesses, resulting in 128,000 hospitalizations and 3,000 deaths</w:t>
      </w:r>
      <w:r w:rsidR="0090426A">
        <w:t>, were attributable to contaminated food</w:t>
      </w:r>
      <w:r>
        <w:t>.</w:t>
      </w:r>
      <w:r>
        <w:rPr>
          <w:vertAlign w:val="superscript"/>
        </w:rPr>
        <w:t>43</w:t>
      </w:r>
      <w:r>
        <w:t xml:space="preserve"> Of the</w:t>
      </w:r>
      <w:r w:rsidR="0090426A">
        <w:t>se</w:t>
      </w:r>
      <w:r w:rsidR="004404B8">
        <w:t xml:space="preserve"> illnesses</w:t>
      </w:r>
      <w:r>
        <w:t>, 9.4 million are caused by 31 known agents of foodborne disease and the remain</w:t>
      </w:r>
      <w:r w:rsidR="0090426A">
        <w:t xml:space="preserve">ing </w:t>
      </w:r>
      <w:r>
        <w:t xml:space="preserve">38.4 million by unspecified agents. </w:t>
      </w:r>
      <w:r w:rsidR="0043173D">
        <w:t>In 2016</w:t>
      </w:r>
      <w:r>
        <w:t xml:space="preserve">, </w:t>
      </w:r>
      <w:r w:rsidR="0043173D">
        <w:t>5085</w:t>
      </w:r>
      <w:r>
        <w:t xml:space="preserve"> foodborne disease outbreaks</w:t>
      </w:r>
      <w:r w:rsidR="0090426A">
        <w:t>, accounting for</w:t>
      </w:r>
      <w:r>
        <w:t xml:space="preserve"> at least </w:t>
      </w:r>
      <w:r w:rsidR="0043173D">
        <w:t xml:space="preserve">85,723 </w:t>
      </w:r>
      <w:r>
        <w:t xml:space="preserve">individual illnesses and </w:t>
      </w:r>
      <w:r w:rsidR="0043173D">
        <w:t xml:space="preserve">184 </w:t>
      </w:r>
      <w:r>
        <w:t>deaths</w:t>
      </w:r>
      <w:r w:rsidR="0090426A">
        <w:t>, were reported to CDC</w:t>
      </w:r>
      <w:r>
        <w:t>.</w:t>
      </w:r>
      <w:commentRangeStart w:id="2"/>
      <w:r>
        <w:rPr>
          <w:vertAlign w:val="superscript"/>
        </w:rPr>
        <w:t>44</w:t>
      </w:r>
      <w:commentRangeEnd w:id="2"/>
      <w:r w:rsidR="0043173D">
        <w:rPr>
          <w:rStyle w:val="CommentReference"/>
        </w:rPr>
        <w:commentReference w:id="2"/>
      </w:r>
    </w:p>
    <w:p w14:paraId="4944C5BD" w14:textId="77777777" w:rsidR="006F5088" w:rsidRDefault="002A3068">
      <w:r>
        <w:t xml:space="preserve">Foodborne illness is costly. </w:t>
      </w:r>
      <w:r w:rsidR="001F5F0E">
        <w:t>In 2014, the United States Department of Agriculture</w:t>
      </w:r>
      <w:r w:rsidR="00AE1F7B">
        <w:t>’s</w:t>
      </w:r>
      <w:r w:rsidR="001F5F0E">
        <w:t xml:space="preserve"> Economic Research Service (</w:t>
      </w:r>
      <w:r w:rsidR="007E71C1">
        <w:t>USDA-</w:t>
      </w:r>
      <w:r w:rsidR="001F5F0E">
        <w:t xml:space="preserve">ERS) </w:t>
      </w:r>
      <w:r w:rsidR="00AE1F7B">
        <w:t>estimated the average annual economic burden</w:t>
      </w:r>
      <w:r w:rsidRPr="002A3068">
        <w:t xml:space="preserve"> </w:t>
      </w:r>
      <w:r>
        <w:t>of foodborne illness</w:t>
      </w:r>
      <w:r w:rsidR="00394EAC">
        <w:t xml:space="preserve"> </w:t>
      </w:r>
      <w:r>
        <w:t>at</w:t>
      </w:r>
      <w:r w:rsidR="00AE1F7B">
        <w:t xml:space="preserve"> $15.5 billion</w:t>
      </w:r>
      <w:r w:rsidR="00B92BC6">
        <w:t>.</w:t>
      </w:r>
      <w:r w:rsidR="00B55031">
        <w:t xml:space="preserve"> </w:t>
      </w:r>
      <w:r w:rsidR="007E71C1">
        <w:t>USDA-</w:t>
      </w:r>
      <w:r w:rsidR="00B55031">
        <w:t>ERS based this burden</w:t>
      </w:r>
      <w:r w:rsidR="001F5F0E">
        <w:t xml:space="preserve"> on cost estimates of foodborne illness caused by 15 major pathogens in the United States.</w:t>
      </w:r>
      <w:r w:rsidR="009330F0">
        <w:t xml:space="preserve"> </w:t>
      </w:r>
      <w:r w:rsidR="001F5F0E">
        <w:t xml:space="preserve">These 15 pathogens account for 95% of the illnesses and deaths from foodborne illness acquired in the United States for which a pathogen was identified. These estimates include costs associated with acute and chronic illness medical costs as well as costs associated lost wages for those that recovered and estimates of the costs associated with premature deaths. </w:t>
      </w:r>
    </w:p>
    <w:p w14:paraId="6E62B21C" w14:textId="77777777" w:rsidR="006F5088" w:rsidRDefault="006F5088"/>
    <w:p w14:paraId="5B57C84B" w14:textId="77777777" w:rsidR="006F5088" w:rsidRDefault="001E485D">
      <w:r>
        <w:t xml:space="preserve">Table </w:t>
      </w:r>
      <w:r w:rsidR="008D59B4">
        <w:t>2</w:t>
      </w:r>
      <w:r>
        <w:t>.1 E</w:t>
      </w:r>
      <w:r w:rsidRPr="001E485D">
        <w:t xml:space="preserve">stimated annual cost of illness, </w:t>
      </w:r>
      <w:r w:rsidR="00EE69D8">
        <w:t>total number of</w:t>
      </w:r>
      <w:r w:rsidR="00EE69D8" w:rsidRPr="001E485D">
        <w:t xml:space="preserve"> </w:t>
      </w:r>
      <w:r w:rsidRPr="001E485D">
        <w:t>cases</w:t>
      </w:r>
      <w:r w:rsidR="00394EAC">
        <w:t xml:space="preserve"> identified,</w:t>
      </w:r>
      <w:r w:rsidRPr="001E485D">
        <w:t xml:space="preserve"> and average cost per case identified.</w:t>
      </w:r>
    </w:p>
    <w:tbl>
      <w:tblPr>
        <w:tblW w:w="868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135"/>
        <w:gridCol w:w="2115"/>
        <w:gridCol w:w="1740"/>
        <w:gridCol w:w="1695"/>
      </w:tblGrid>
      <w:tr w:rsidR="00B509FF" w:rsidRPr="00791D2E" w14:paraId="096C77E8" w14:textId="77777777" w:rsidTr="0039053D">
        <w:trPr>
          <w:trHeight w:val="745"/>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51ABC348" w14:textId="77777777" w:rsidR="00B509FF" w:rsidRDefault="00B509FF" w:rsidP="0039053D">
            <w:pPr>
              <w:widowControl w:val="0"/>
              <w:spacing w:after="0" w:line="276" w:lineRule="auto"/>
              <w:jc w:val="center"/>
              <w:rPr>
                <w:sz w:val="28"/>
                <w:szCs w:val="28"/>
              </w:rPr>
            </w:pPr>
          </w:p>
          <w:p w14:paraId="456F796C" w14:textId="77777777" w:rsidR="00B509FF" w:rsidRPr="00791D2E" w:rsidRDefault="00B509FF" w:rsidP="0039053D">
            <w:pPr>
              <w:widowControl w:val="0"/>
              <w:spacing w:after="0" w:line="276" w:lineRule="auto"/>
              <w:jc w:val="center"/>
              <w:rPr>
                <w:rFonts w:asciiTheme="minorHAnsi" w:eastAsiaTheme="minorHAnsi" w:hAnsiTheme="minorHAnsi" w:cstheme="minorBidi"/>
                <w:color w:val="auto"/>
                <w:sz w:val="28"/>
                <w:szCs w:val="28"/>
              </w:rPr>
            </w:pPr>
            <w:r w:rsidRPr="00791D2E">
              <w:rPr>
                <w:rFonts w:asciiTheme="minorHAnsi" w:eastAsiaTheme="minorHAnsi" w:hAnsiTheme="minorHAnsi" w:cstheme="minorBidi"/>
                <w:color w:val="auto"/>
                <w:sz w:val="28"/>
                <w:szCs w:val="28"/>
              </w:rPr>
              <w:t>Pathogen</w:t>
            </w:r>
          </w:p>
        </w:tc>
        <w:tc>
          <w:tcPr>
            <w:tcW w:w="2115" w:type="dxa"/>
            <w:tcBorders>
              <w:top w:val="single" w:sz="4" w:space="0" w:color="000000"/>
              <w:left w:val="nil"/>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6091FD06" w14:textId="77777777" w:rsidR="00B509FF" w:rsidRDefault="00B509FF" w:rsidP="0039053D">
            <w:pPr>
              <w:widowControl w:val="0"/>
              <w:spacing w:after="0" w:line="276" w:lineRule="auto"/>
              <w:jc w:val="center"/>
              <w:rPr>
                <w:sz w:val="28"/>
                <w:szCs w:val="28"/>
              </w:rPr>
            </w:pPr>
          </w:p>
          <w:p w14:paraId="5BA4B262" w14:textId="77777777" w:rsidR="00B509FF" w:rsidRPr="00791D2E" w:rsidRDefault="00B509FF" w:rsidP="0039053D">
            <w:pPr>
              <w:widowControl w:val="0"/>
              <w:spacing w:after="0" w:line="276" w:lineRule="auto"/>
              <w:jc w:val="center"/>
              <w:rPr>
                <w:rFonts w:asciiTheme="minorHAnsi" w:eastAsiaTheme="minorHAnsi" w:hAnsiTheme="minorHAnsi" w:cstheme="minorBidi"/>
                <w:color w:val="auto"/>
                <w:sz w:val="28"/>
                <w:szCs w:val="28"/>
              </w:rPr>
            </w:pPr>
            <w:r w:rsidRPr="00791D2E">
              <w:rPr>
                <w:rFonts w:asciiTheme="minorHAnsi" w:eastAsiaTheme="minorHAnsi" w:hAnsiTheme="minorHAnsi" w:cstheme="minorBidi"/>
                <w:color w:val="auto"/>
                <w:sz w:val="28"/>
                <w:szCs w:val="28"/>
              </w:rPr>
              <w:t>Total Cost</w:t>
            </w:r>
          </w:p>
        </w:tc>
        <w:tc>
          <w:tcPr>
            <w:tcW w:w="1740" w:type="dxa"/>
            <w:tcBorders>
              <w:top w:val="single" w:sz="4" w:space="0" w:color="000000"/>
              <w:left w:val="nil"/>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585C4652" w14:textId="77777777" w:rsidR="00B509FF" w:rsidRDefault="00B509FF" w:rsidP="0039053D">
            <w:pPr>
              <w:widowControl w:val="0"/>
              <w:spacing w:after="0" w:line="276" w:lineRule="auto"/>
              <w:jc w:val="center"/>
              <w:rPr>
                <w:sz w:val="28"/>
                <w:szCs w:val="28"/>
              </w:rPr>
            </w:pPr>
            <w:r w:rsidRPr="00791D2E">
              <w:rPr>
                <w:rFonts w:asciiTheme="minorHAnsi" w:eastAsiaTheme="minorHAnsi" w:hAnsiTheme="minorHAnsi" w:cstheme="minorBidi"/>
                <w:color w:val="auto"/>
                <w:sz w:val="28"/>
                <w:szCs w:val="28"/>
              </w:rPr>
              <w:t>Total Cases</w:t>
            </w:r>
          </w:p>
          <w:p w14:paraId="6702A721" w14:textId="77777777" w:rsidR="00B509FF" w:rsidRPr="00791D2E" w:rsidRDefault="00B509FF" w:rsidP="0039053D">
            <w:pPr>
              <w:widowControl w:val="0"/>
              <w:spacing w:after="0" w:line="276" w:lineRule="auto"/>
              <w:jc w:val="center"/>
              <w:rPr>
                <w:rFonts w:asciiTheme="minorHAnsi" w:eastAsiaTheme="minorHAnsi" w:hAnsiTheme="minorHAnsi" w:cstheme="minorBidi"/>
                <w:color w:val="auto"/>
                <w:sz w:val="28"/>
                <w:szCs w:val="28"/>
              </w:rPr>
            </w:pPr>
            <w:r>
              <w:rPr>
                <w:sz w:val="28"/>
                <w:szCs w:val="28"/>
              </w:rPr>
              <w:t>Identified</w:t>
            </w:r>
          </w:p>
        </w:tc>
        <w:tc>
          <w:tcPr>
            <w:tcW w:w="1695" w:type="dxa"/>
            <w:tcBorders>
              <w:top w:val="single" w:sz="4" w:space="0" w:color="000000"/>
              <w:left w:val="nil"/>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6BD29A0B" w14:textId="77777777" w:rsidR="00B509FF" w:rsidRPr="00791D2E" w:rsidRDefault="00B509FF" w:rsidP="0039053D">
            <w:pPr>
              <w:widowControl w:val="0"/>
              <w:spacing w:after="0" w:line="276" w:lineRule="auto"/>
              <w:jc w:val="center"/>
              <w:rPr>
                <w:rFonts w:asciiTheme="minorHAnsi" w:eastAsiaTheme="minorHAnsi" w:hAnsiTheme="minorHAnsi" w:cstheme="minorBidi"/>
                <w:color w:val="auto"/>
                <w:sz w:val="28"/>
                <w:szCs w:val="28"/>
              </w:rPr>
            </w:pPr>
            <w:r w:rsidRPr="00791D2E">
              <w:rPr>
                <w:rFonts w:asciiTheme="minorHAnsi" w:eastAsiaTheme="minorHAnsi" w:hAnsiTheme="minorHAnsi" w:cstheme="minorBidi"/>
                <w:color w:val="auto"/>
                <w:sz w:val="28"/>
                <w:szCs w:val="28"/>
              </w:rPr>
              <w:t>Average Cost per Case</w:t>
            </w:r>
          </w:p>
        </w:tc>
      </w:tr>
      <w:tr w:rsidR="00B509FF" w:rsidRPr="00791D2E" w14:paraId="5829AB8B" w14:textId="77777777" w:rsidTr="0039053D">
        <w:trPr>
          <w:trHeight w:val="286"/>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2140C5F1"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6474A5">
              <w:rPr>
                <w:i/>
              </w:rPr>
              <w:t>Vibrio v</w:t>
            </w:r>
            <w:r w:rsidRPr="00791D2E">
              <w:rPr>
                <w:rFonts w:asciiTheme="minorHAnsi" w:eastAsiaTheme="minorHAnsi" w:hAnsiTheme="minorHAnsi" w:cstheme="minorBidi"/>
                <w:i/>
                <w:color w:val="auto"/>
              </w:rPr>
              <w:t>ulnificus</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4CF66D0A"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$319,850,293</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24C20535"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96</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424E7D4C"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$3,331,773.89</w:t>
            </w:r>
          </w:p>
        </w:tc>
      </w:tr>
      <w:tr w:rsidR="00B509FF" w:rsidRPr="00791D2E" w14:paraId="227B471C" w14:textId="77777777" w:rsidTr="0039053D">
        <w:trPr>
          <w:trHeight w:val="403"/>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51A6D2A7"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791D2E">
              <w:rPr>
                <w:rFonts w:asciiTheme="minorHAnsi" w:eastAsiaTheme="minorHAnsi" w:hAnsiTheme="minorHAnsi" w:cstheme="minorBidi"/>
                <w:i/>
                <w:color w:val="auto"/>
              </w:rPr>
              <w:t>Listeria monocytogenes</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07EC44BC"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$2,834,444,202</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0E15A1A3"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1,591</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6EE6ACAC"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$1,781,548.84</w:t>
            </w:r>
          </w:p>
        </w:tc>
      </w:tr>
      <w:tr w:rsidR="00B509FF" w:rsidRPr="00791D2E" w14:paraId="6B71DFF0" w14:textId="77777777" w:rsidTr="0039053D">
        <w:trPr>
          <w:trHeight w:val="277"/>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6E63C420"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791D2E">
              <w:rPr>
                <w:rFonts w:asciiTheme="minorHAnsi" w:eastAsiaTheme="minorHAnsi" w:hAnsiTheme="minorHAnsi" w:cstheme="minorBidi"/>
                <w:i/>
                <w:color w:val="auto"/>
              </w:rPr>
              <w:t>Toxoplasma gondii</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0468005B"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$3,303,984,478</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24E258EF"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86,686</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1A7A934E"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$38,114.40</w:t>
            </w:r>
          </w:p>
        </w:tc>
      </w:tr>
      <w:tr w:rsidR="00B509FF" w:rsidRPr="00791D2E" w14:paraId="50AB2B2F" w14:textId="77777777" w:rsidTr="0039053D">
        <w:trPr>
          <w:trHeight w:val="340"/>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0AA8FAC5"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i/>
                <w:color w:val="auto"/>
              </w:rPr>
              <w:t>Vibrio spp.</w:t>
            </w:r>
            <w:r w:rsidRPr="00791D2E">
              <w:rPr>
                <w:rFonts w:asciiTheme="minorHAnsi" w:eastAsiaTheme="minorHAnsi" w:hAnsiTheme="minorHAnsi" w:cstheme="minorBidi"/>
                <w:color w:val="auto"/>
              </w:rPr>
              <w:t xml:space="preserve"> (non-cholera)</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0FA8FF5B"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$142,086,209</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61590AD7"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17,564</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3001D092"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$8,089.63</w:t>
            </w:r>
          </w:p>
        </w:tc>
      </w:tr>
      <w:tr w:rsidR="00B509FF" w:rsidRPr="00791D2E" w14:paraId="3BE2F5E2" w14:textId="77777777" w:rsidTr="0039053D">
        <w:trPr>
          <w:trHeight w:val="313"/>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51A4821D"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i/>
                <w:color w:val="auto"/>
              </w:rPr>
              <w:lastRenderedPageBreak/>
              <w:t>E. coli</w:t>
            </w:r>
            <w:r w:rsidRPr="00791D2E">
              <w:rPr>
                <w:rFonts w:asciiTheme="minorHAnsi" w:eastAsiaTheme="minorHAnsi" w:hAnsiTheme="minorHAnsi" w:cstheme="minorBidi"/>
                <w:color w:val="auto"/>
              </w:rPr>
              <w:t xml:space="preserve"> O157 </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2F207CC9"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$271,418,690</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0C5FF43A"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63,153</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58291A4E"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$4,297.80</w:t>
            </w:r>
          </w:p>
        </w:tc>
      </w:tr>
      <w:tr w:rsidR="00B509FF" w:rsidRPr="00791D2E" w14:paraId="11B88287" w14:textId="77777777" w:rsidTr="0039053D">
        <w:trPr>
          <w:trHeight w:val="376"/>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0CFFA6E3"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i/>
                <w:color w:val="auto"/>
              </w:rPr>
              <w:t>Salmonella</w:t>
            </w:r>
            <w:r w:rsidRPr="00791D2E">
              <w:rPr>
                <w:rFonts w:asciiTheme="minorHAnsi" w:eastAsiaTheme="minorHAnsi" w:hAnsiTheme="minorHAnsi" w:cstheme="minorBidi"/>
                <w:color w:val="auto"/>
              </w:rPr>
              <w:t xml:space="preserve"> </w:t>
            </w:r>
            <w:r w:rsidRPr="006474A5">
              <w:rPr>
                <w:i/>
              </w:rPr>
              <w:t>spp.</w:t>
            </w:r>
            <w:r>
              <w:t xml:space="preserve"> </w:t>
            </w:r>
            <w:r w:rsidRPr="00791D2E">
              <w:rPr>
                <w:rFonts w:asciiTheme="minorHAnsi" w:eastAsiaTheme="minorHAnsi" w:hAnsiTheme="minorHAnsi" w:cstheme="minorBidi"/>
                <w:color w:val="auto"/>
              </w:rPr>
              <w:t>(nontyphoidal)</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46B20664"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$3,666,600,031</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36ABFF73"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1,027,561</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7F739F70"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$3,568.26</w:t>
            </w:r>
          </w:p>
        </w:tc>
      </w:tr>
      <w:tr w:rsidR="00B509FF" w:rsidRPr="00791D2E" w14:paraId="54CB9E2B" w14:textId="77777777" w:rsidTr="0039053D">
        <w:trPr>
          <w:trHeight w:val="331"/>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6E742BD0"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791D2E">
              <w:rPr>
                <w:rFonts w:asciiTheme="minorHAnsi" w:eastAsiaTheme="minorHAnsi" w:hAnsiTheme="minorHAnsi" w:cstheme="minorBidi"/>
                <w:i/>
                <w:color w:val="auto"/>
              </w:rPr>
              <w:t>Yersinia enterocolitica</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79C1C24B"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$287,111,168</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1947C1A4"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97,656</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70DC76EF"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$2,940.03</w:t>
            </w:r>
          </w:p>
        </w:tc>
      </w:tr>
      <w:tr w:rsidR="00B509FF" w:rsidRPr="00791D2E" w14:paraId="1B990347" w14:textId="77777777" w:rsidTr="0039053D">
        <w:trPr>
          <w:trHeight w:val="304"/>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227FAE77"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i/>
                <w:color w:val="auto"/>
              </w:rPr>
              <w:t>Campylobacter spp</w:t>
            </w:r>
            <w:r w:rsidRPr="00791D2E">
              <w:rPr>
                <w:rFonts w:asciiTheme="minorHAnsi" w:eastAsiaTheme="minorHAnsi" w:hAnsiTheme="minorHAnsi" w:cstheme="minorBidi"/>
                <w:color w:val="auto"/>
              </w:rPr>
              <w:t>.</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1754D2B7"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$1,928,787,166</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2C2474E6"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845,024</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0DA55ACC"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$2,282.52</w:t>
            </w:r>
          </w:p>
        </w:tc>
      </w:tr>
      <w:tr w:rsidR="00B509FF" w:rsidRPr="00791D2E" w14:paraId="3C10185A" w14:textId="77777777" w:rsidTr="0039053D">
        <w:trPr>
          <w:trHeight w:val="457"/>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581F72FD"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791D2E">
              <w:rPr>
                <w:rFonts w:asciiTheme="minorHAnsi" w:eastAsiaTheme="minorHAnsi" w:hAnsiTheme="minorHAnsi" w:cstheme="minorBidi"/>
                <w:i/>
                <w:color w:val="auto"/>
              </w:rPr>
              <w:t xml:space="preserve">Vibrio parahaemolyticus </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498B3697"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$40,682,312</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7CBA2128"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34,664</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0B9707BA"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$1,173.62</w:t>
            </w:r>
          </w:p>
        </w:tc>
      </w:tr>
      <w:tr w:rsidR="00B509FF" w:rsidRPr="00791D2E" w14:paraId="4824B94D" w14:textId="77777777" w:rsidTr="0039053D">
        <w:trPr>
          <w:trHeight w:val="412"/>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50830DDC"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i/>
                <w:color w:val="auto"/>
              </w:rPr>
              <w:t>Shigella</w:t>
            </w:r>
            <w:r w:rsidRPr="00791D2E">
              <w:rPr>
                <w:rFonts w:asciiTheme="minorHAnsi" w:eastAsiaTheme="minorHAnsi" w:hAnsiTheme="minorHAnsi" w:cstheme="minorBidi"/>
                <w:color w:val="auto"/>
              </w:rPr>
              <w:t xml:space="preserve"> (all species)</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4EB7909B"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$137,965,962</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7333626C"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131,254</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1553BA74"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$1,051.14</w:t>
            </w:r>
          </w:p>
        </w:tc>
      </w:tr>
      <w:tr w:rsidR="00B509FF" w:rsidRPr="00791D2E" w14:paraId="5C0CD846" w14:textId="77777777" w:rsidTr="0039053D">
        <w:trPr>
          <w:trHeight w:val="421"/>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43E58B8D"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791D2E">
              <w:rPr>
                <w:rFonts w:asciiTheme="minorHAnsi" w:eastAsiaTheme="minorHAnsi" w:hAnsiTheme="minorHAnsi" w:cstheme="minorBidi"/>
                <w:i/>
                <w:color w:val="auto"/>
              </w:rPr>
              <w:t>Cryptosporidium parvum</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58276C20"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$51,813,652</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7B6BE189"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57,616</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74B843C5"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$899.29</w:t>
            </w:r>
          </w:p>
        </w:tc>
      </w:tr>
      <w:tr w:rsidR="00B509FF" w:rsidRPr="00791D2E" w14:paraId="05810027" w14:textId="77777777" w:rsidTr="0039053D">
        <w:trPr>
          <w:trHeight w:val="331"/>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73D1CB12"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Norovirus</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526862FB"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$2,255,827,318</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09AA1153"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5,461,731</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5C676455"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$413.02</w:t>
            </w:r>
          </w:p>
        </w:tc>
      </w:tr>
      <w:tr w:rsidR="00B509FF" w:rsidRPr="00791D2E" w14:paraId="456320AA" w14:textId="77777777" w:rsidTr="0039053D">
        <w:trPr>
          <w:trHeight w:val="322"/>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40EF8187"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791D2E">
              <w:rPr>
                <w:rFonts w:asciiTheme="minorHAnsi" w:eastAsiaTheme="minorHAnsi" w:hAnsiTheme="minorHAnsi" w:cstheme="minorBidi"/>
                <w:i/>
                <w:color w:val="auto"/>
              </w:rPr>
              <w:t>Clostridium perfringens</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3F48FC13"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$342,668,498</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6DFB2B2F"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965,958</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57B49273"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$354.74</w:t>
            </w:r>
          </w:p>
        </w:tc>
      </w:tr>
      <w:tr w:rsidR="00B509FF" w:rsidRPr="00791D2E" w14:paraId="7653EAF7" w14:textId="77777777" w:rsidTr="0039053D">
        <w:trPr>
          <w:trHeight w:val="340"/>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06E90043"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i/>
                <w:color w:val="auto"/>
              </w:rPr>
              <w:t>E. coli</w:t>
            </w:r>
            <w:r w:rsidRPr="00791D2E">
              <w:rPr>
                <w:rFonts w:asciiTheme="minorHAnsi" w:eastAsiaTheme="minorHAnsi" w:hAnsiTheme="minorHAnsi" w:cstheme="minorBidi"/>
                <w:color w:val="auto"/>
              </w:rPr>
              <w:t xml:space="preserve"> non O157</w:t>
            </w:r>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33BBD066"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$27,364,561</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4736AC86"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112,752</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178577DC"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$242.70</w:t>
            </w:r>
          </w:p>
        </w:tc>
      </w:tr>
      <w:tr w:rsidR="00B509FF" w:rsidRPr="00791D2E" w14:paraId="49396AEE" w14:textId="77777777" w:rsidTr="0039053D">
        <w:trPr>
          <w:trHeight w:val="322"/>
        </w:trPr>
        <w:tc>
          <w:tcPr>
            <w:tcW w:w="313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100" w:type="dxa"/>
              <w:left w:w="100" w:type="dxa"/>
              <w:bottom w:w="100" w:type="dxa"/>
              <w:right w:w="100" w:type="dxa"/>
            </w:tcMar>
          </w:tcPr>
          <w:p w14:paraId="0C6A00D7" w14:textId="77777777" w:rsidR="00B509FF" w:rsidRPr="00791D2E" w:rsidRDefault="00B509FF" w:rsidP="0039053D">
            <w:pPr>
              <w:widowControl w:val="0"/>
              <w:spacing w:after="0" w:line="276" w:lineRule="auto"/>
              <w:rPr>
                <w:rFonts w:asciiTheme="minorHAnsi" w:eastAsiaTheme="minorHAnsi" w:hAnsiTheme="minorHAnsi" w:cstheme="minorBidi"/>
                <w:i/>
                <w:color w:val="auto"/>
              </w:rPr>
            </w:pPr>
            <w:r w:rsidRPr="00791D2E">
              <w:rPr>
                <w:rFonts w:asciiTheme="minorHAnsi" w:eastAsiaTheme="minorHAnsi" w:hAnsiTheme="minorHAnsi" w:cstheme="minorBidi"/>
                <w:i/>
                <w:color w:val="auto"/>
              </w:rPr>
              <w:t xml:space="preserve">Cyclospora </w:t>
            </w:r>
            <w:proofErr w:type="spellStart"/>
            <w:r w:rsidRPr="00791D2E">
              <w:rPr>
                <w:rFonts w:asciiTheme="minorHAnsi" w:eastAsiaTheme="minorHAnsi" w:hAnsiTheme="minorHAnsi" w:cstheme="minorBidi"/>
                <w:i/>
                <w:color w:val="auto"/>
              </w:rPr>
              <w:t>cayetanensis</w:t>
            </w:r>
            <w:proofErr w:type="spellEnd"/>
          </w:p>
        </w:tc>
        <w:tc>
          <w:tcPr>
            <w:tcW w:w="211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59AEFC5D"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$2,301,423</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100" w:type="dxa"/>
              <w:left w:w="100" w:type="dxa"/>
              <w:bottom w:w="100" w:type="dxa"/>
              <w:right w:w="100" w:type="dxa"/>
            </w:tcMar>
          </w:tcPr>
          <w:p w14:paraId="291467D5"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11,407</w:t>
            </w:r>
          </w:p>
        </w:tc>
        <w:tc>
          <w:tcPr>
            <w:tcW w:w="1695" w:type="dxa"/>
            <w:tcBorders>
              <w:top w:val="single" w:sz="4" w:space="0" w:color="000000"/>
              <w:left w:val="nil"/>
              <w:bottom w:val="single" w:sz="4" w:space="0" w:color="000000"/>
              <w:right w:val="single" w:sz="4" w:space="0" w:color="000000"/>
            </w:tcBorders>
            <w:shd w:val="clear" w:color="auto" w:fill="C6D9F1" w:themeFill="text2" w:themeFillTint="33"/>
            <w:tcMar>
              <w:top w:w="100" w:type="dxa"/>
              <w:left w:w="100" w:type="dxa"/>
              <w:bottom w:w="100" w:type="dxa"/>
              <w:right w:w="100" w:type="dxa"/>
            </w:tcMar>
          </w:tcPr>
          <w:p w14:paraId="0EE02D60" w14:textId="77777777" w:rsidR="00B509FF" w:rsidRPr="00791D2E" w:rsidRDefault="00B509FF" w:rsidP="0039053D">
            <w:pPr>
              <w:widowControl w:val="0"/>
              <w:spacing w:after="0" w:line="276" w:lineRule="auto"/>
              <w:rPr>
                <w:rFonts w:asciiTheme="minorHAnsi" w:eastAsiaTheme="minorHAnsi" w:hAnsiTheme="minorHAnsi" w:cstheme="minorBidi"/>
                <w:color w:val="auto"/>
              </w:rPr>
            </w:pPr>
            <w:r w:rsidRPr="00791D2E">
              <w:rPr>
                <w:rFonts w:asciiTheme="minorHAnsi" w:eastAsiaTheme="minorHAnsi" w:hAnsiTheme="minorHAnsi" w:cstheme="minorBidi"/>
                <w:color w:val="auto"/>
              </w:rPr>
              <w:t>$201.76</w:t>
            </w:r>
          </w:p>
        </w:tc>
      </w:tr>
      <w:tr w:rsidR="00B509FF" w14:paraId="270E04FE" w14:textId="77777777" w:rsidTr="0039053D">
        <w:trPr>
          <w:trHeight w:val="480"/>
        </w:trPr>
        <w:tc>
          <w:tcPr>
            <w:tcW w:w="8685" w:type="dxa"/>
            <w:gridSpan w:val="4"/>
            <w:tcBorders>
              <w:top w:val="single" w:sz="4" w:space="0" w:color="000000"/>
              <w:left w:val="nil"/>
              <w:bottom w:val="single" w:sz="4" w:space="0" w:color="000000"/>
              <w:right w:val="nil"/>
            </w:tcBorders>
            <w:tcMar>
              <w:top w:w="100" w:type="dxa"/>
              <w:left w:w="100" w:type="dxa"/>
              <w:bottom w:w="100" w:type="dxa"/>
              <w:right w:w="100" w:type="dxa"/>
            </w:tcMar>
          </w:tcPr>
          <w:p w14:paraId="3AC808FF" w14:textId="77777777" w:rsidR="00B509FF" w:rsidRDefault="00B509FF" w:rsidP="0039053D"/>
        </w:tc>
      </w:tr>
    </w:tbl>
    <w:p w14:paraId="5FE23C65" w14:textId="77777777" w:rsidR="00B509FF" w:rsidRDefault="00B509FF"/>
    <w:p w14:paraId="0533CA68" w14:textId="77777777" w:rsidR="006F5088" w:rsidRPr="00003736" w:rsidRDefault="00003736">
      <w:pPr>
        <w:rPr>
          <w:b/>
          <w:sz w:val="26"/>
          <w:szCs w:val="26"/>
        </w:rPr>
      </w:pPr>
      <w:r w:rsidRPr="00003736">
        <w:rPr>
          <w:b/>
          <w:sz w:val="26"/>
          <w:szCs w:val="26"/>
        </w:rPr>
        <w:t xml:space="preserve">2.1.2 </w:t>
      </w:r>
      <w:r w:rsidR="001F5F0E" w:rsidRPr="00003736">
        <w:rPr>
          <w:b/>
          <w:sz w:val="26"/>
          <w:szCs w:val="26"/>
        </w:rPr>
        <w:t>Burden on the Food Industry</w:t>
      </w:r>
    </w:p>
    <w:p w14:paraId="2EE8B7D9" w14:textId="77777777" w:rsidR="00B509FF" w:rsidRDefault="00B509FF" w:rsidP="00B509FF">
      <w:r>
        <w:t xml:space="preserve">The burden of foodborne illness on the food industry can vary greatly. Very seldom are the costs limited to one company. This is </w:t>
      </w:r>
      <w:proofErr w:type="gramStart"/>
      <w:r>
        <w:t>clearly evident</w:t>
      </w:r>
      <w:proofErr w:type="gramEnd"/>
      <w:r>
        <w:t xml:space="preserve"> when the distribution network of our food supply is considered. The impact of recalls on the food industry are far reaching, in some cases reaching $10 million in direct cost. </w:t>
      </w:r>
    </w:p>
    <w:p w14:paraId="30E1BEEC" w14:textId="77777777" w:rsidR="00B509FF" w:rsidRDefault="00B509FF" w:rsidP="00B509FF">
      <w:r>
        <w:t>Direct cost of recalls includes notification (to regulators</w:t>
      </w:r>
      <w:r w:rsidRPr="00242BA8">
        <w:t xml:space="preserve">, supply chain, </w:t>
      </w:r>
      <w:r>
        <w:t xml:space="preserve">and </w:t>
      </w:r>
      <w:r w:rsidRPr="00242BA8">
        <w:t>consumers</w:t>
      </w:r>
      <w:r>
        <w:t xml:space="preserve">), </w:t>
      </w:r>
      <w:r w:rsidRPr="00242BA8">
        <w:t>product retrieval (reverse logistics), storage, destruction, unsalable product, and of course, the additional labor costs associated with these activities as well as investigation</w:t>
      </w:r>
      <w:r>
        <w:t xml:space="preserve"> cost</w:t>
      </w:r>
      <w:r w:rsidRPr="00242BA8">
        <w:t>.</w:t>
      </w:r>
      <w:r>
        <w:t xml:space="preserve"> These direct costs do not include litigation costs, increase regulatory compliance costs, and the impact to the company’s market value and brand reputation. </w:t>
      </w:r>
    </w:p>
    <w:p w14:paraId="5F663B53" w14:textId="77777777" w:rsidR="00B509FF" w:rsidRDefault="00B509FF" w:rsidP="00B509FF">
      <w:r>
        <w:t xml:space="preserve">The </w:t>
      </w:r>
      <w:r w:rsidRPr="00E25CDA">
        <w:rPr>
          <w:i/>
        </w:rPr>
        <w:t>Salmonella</w:t>
      </w:r>
      <w:r>
        <w:t xml:space="preserve"> </w:t>
      </w:r>
      <w:proofErr w:type="spellStart"/>
      <w:r>
        <w:t>Staintpaul</w:t>
      </w:r>
      <w:proofErr w:type="spellEnd"/>
      <w:r>
        <w:t xml:space="preserve"> that occurred in 2008 provide a good example of the indirect costs to the industry associated lost sales and brand damage. This outbreak sickened 1442 people in 43 states, the District of Columbia, and Canada. </w:t>
      </w:r>
      <w:proofErr w:type="gramStart"/>
      <w:r>
        <w:t>Early on in the</w:t>
      </w:r>
      <w:proofErr w:type="gramEnd"/>
      <w:r>
        <w:t xml:space="preserve"> investigation it appeared that tomatoes were the possible source of the outbreak and the FDA issued a warning not to eat tomatoes. As the investigation continued the cause of the outbreak was identified as jalapeno and serrano peppers. </w:t>
      </w:r>
      <w:proofErr w:type="gramStart"/>
      <w:r>
        <w:t>As a result of</w:t>
      </w:r>
      <w:proofErr w:type="gramEnd"/>
      <w:r>
        <w:t xml:space="preserve"> the warning, large retailers cancelled all orders of tomatoes and 32% of the tomatoes grown in Georgia </w:t>
      </w:r>
      <w:r>
        <w:lastRenderedPageBreak/>
        <w:t xml:space="preserve">were left in the fields and never picked for consumption. Tomatoes that were going for $18 to $19 a box were selling for $$ after the warning. Some Florida growers reported selling boxes for 50 cents. Florida and Georgia growers claim they lost $100 to $125 million </w:t>
      </w:r>
      <w:proofErr w:type="gramStart"/>
      <w:r>
        <w:t>as a result of</w:t>
      </w:r>
      <w:proofErr w:type="gramEnd"/>
      <w:r>
        <w:t xml:space="preserve"> the warning. </w:t>
      </w:r>
    </w:p>
    <w:p w14:paraId="6FFEC5F4" w14:textId="77777777" w:rsidR="00B509FF" w:rsidRDefault="00B509FF" w:rsidP="00B509FF">
      <w:r>
        <w:t>A</w:t>
      </w:r>
      <w:r w:rsidRPr="006A71FA">
        <w:t xml:space="preserve"> new study from researchers at the Johns Hopkins Bloomberg School of Public Health suggests</w:t>
      </w:r>
      <w:r>
        <w:t xml:space="preserve"> the cost to a restaurant for a single foodborne disease outbreak has been estimated at $3,968 to $2.6 million, depending on the pathogen, the type of restaurant involved, and the size of the outbreak. The research suggests that a foodborne outbreak in a fast food restaurant in which 5 people were sick would incur costs of approximately $4000.  This low cost is the result of no </w:t>
      </w:r>
      <w:r w:rsidRPr="00FD6DA8">
        <w:t>loss in revenue and no lawsuits, legal fees, or fines</w:t>
      </w:r>
      <w:r>
        <w:t xml:space="preserve">. </w:t>
      </w:r>
      <w:r w:rsidRPr="00FD6DA8">
        <w:t>The research</w:t>
      </w:r>
      <w:r>
        <w:t>ers</w:t>
      </w:r>
      <w:r w:rsidRPr="00FD6DA8">
        <w:t xml:space="preserve"> found that a single outbreak of listeria</w:t>
      </w:r>
      <w:r>
        <w:t xml:space="preserve"> involving 250 persons</w:t>
      </w:r>
      <w:r w:rsidRPr="00FD6DA8">
        <w:t xml:space="preserve"> in </w:t>
      </w:r>
      <w:r>
        <w:t>a fine dining restaurant</w:t>
      </w:r>
      <w:r w:rsidRPr="00FD6DA8">
        <w:t xml:space="preserve"> could cost upwards of $2.</w:t>
      </w:r>
      <w:r>
        <w:t>6</w:t>
      </w:r>
      <w:r w:rsidRPr="00FD6DA8">
        <w:t xml:space="preserve"> million in meals lost per illness, lawsuits, legal fees, fines and higher insurance premiums.</w:t>
      </w:r>
      <w:r>
        <w:t xml:space="preserve"> </w:t>
      </w:r>
    </w:p>
    <w:p w14:paraId="547EE176" w14:textId="77777777" w:rsidR="006F5088" w:rsidRDefault="006F5088">
      <w:pPr>
        <w:rPr>
          <w:b/>
          <w:sz w:val="26"/>
          <w:szCs w:val="26"/>
        </w:rPr>
      </w:pPr>
    </w:p>
    <w:p w14:paraId="229C5B83" w14:textId="77777777" w:rsidR="006F5088" w:rsidRDefault="001F5F0E">
      <w:pPr>
        <w:rPr>
          <w:b/>
          <w:sz w:val="26"/>
          <w:szCs w:val="26"/>
        </w:rPr>
      </w:pPr>
      <w:commentRangeStart w:id="3"/>
      <w:r>
        <w:rPr>
          <w:b/>
          <w:sz w:val="26"/>
          <w:szCs w:val="26"/>
        </w:rPr>
        <w:t>2.1.</w:t>
      </w:r>
      <w:r w:rsidR="00003736">
        <w:rPr>
          <w:b/>
          <w:sz w:val="26"/>
          <w:szCs w:val="26"/>
        </w:rPr>
        <w:t xml:space="preserve">3. </w:t>
      </w:r>
      <w:r w:rsidR="00137D03">
        <w:rPr>
          <w:b/>
          <w:sz w:val="26"/>
          <w:szCs w:val="26"/>
        </w:rPr>
        <w:t xml:space="preserve">Changes in </w:t>
      </w:r>
      <w:r w:rsidR="00C70580">
        <w:rPr>
          <w:b/>
          <w:sz w:val="26"/>
          <w:szCs w:val="26"/>
        </w:rPr>
        <w:t xml:space="preserve">Etiologic Agents </w:t>
      </w:r>
      <w:r w:rsidR="00137D03">
        <w:rPr>
          <w:b/>
          <w:sz w:val="26"/>
          <w:szCs w:val="26"/>
        </w:rPr>
        <w:t>of</w:t>
      </w:r>
      <w:r w:rsidR="00C70580">
        <w:rPr>
          <w:b/>
          <w:sz w:val="26"/>
          <w:szCs w:val="26"/>
        </w:rPr>
        <w:t xml:space="preserve"> </w:t>
      </w:r>
      <w:r>
        <w:rPr>
          <w:b/>
          <w:sz w:val="26"/>
          <w:szCs w:val="26"/>
        </w:rPr>
        <w:t>Foodborne Disease</w:t>
      </w:r>
      <w:commentRangeEnd w:id="3"/>
      <w:r w:rsidR="00137D03">
        <w:rPr>
          <w:rStyle w:val="CommentReference"/>
        </w:rPr>
        <w:commentReference w:id="3"/>
      </w:r>
      <w:r w:rsidR="00137D03">
        <w:rPr>
          <w:b/>
          <w:sz w:val="26"/>
          <w:szCs w:val="26"/>
        </w:rPr>
        <w:t xml:space="preserve"> Outbreaks</w:t>
      </w:r>
    </w:p>
    <w:p w14:paraId="636F7CCA" w14:textId="77777777" w:rsidR="006F5088" w:rsidRDefault="006F5088"/>
    <w:p w14:paraId="4713472C" w14:textId="77777777" w:rsidR="002A0AB8" w:rsidRDefault="001F5F0E" w:rsidP="002A0AB8">
      <w:pPr>
        <w:spacing w:after="0" w:line="264" w:lineRule="auto"/>
        <w:ind w:right="30"/>
        <w:rPr>
          <w:color w:val="231F20"/>
        </w:rPr>
      </w:pPr>
      <w:r>
        <w:rPr>
          <w:color w:val="231F20"/>
        </w:rPr>
        <w:t xml:space="preserve">Foodborne illnesses </w:t>
      </w:r>
      <w:r w:rsidR="00DD3765">
        <w:rPr>
          <w:color w:val="231F20"/>
        </w:rPr>
        <w:t>may represent infections by</w:t>
      </w:r>
      <w:r w:rsidR="0088191E">
        <w:rPr>
          <w:color w:val="231F20"/>
        </w:rPr>
        <w:t xml:space="preserve"> </w:t>
      </w:r>
      <w:r>
        <w:rPr>
          <w:color w:val="231F20"/>
        </w:rPr>
        <w:t xml:space="preserve">bacteria, viruses, </w:t>
      </w:r>
      <w:r w:rsidR="00DD3765">
        <w:rPr>
          <w:color w:val="231F20"/>
        </w:rPr>
        <w:t xml:space="preserve">or </w:t>
      </w:r>
      <w:r>
        <w:rPr>
          <w:color w:val="231F20"/>
        </w:rPr>
        <w:t>parasites</w:t>
      </w:r>
      <w:r w:rsidR="00DD3765">
        <w:rPr>
          <w:color w:val="231F20"/>
        </w:rPr>
        <w:t>; or intoxications</w:t>
      </w:r>
      <w:r>
        <w:rPr>
          <w:color w:val="231F20"/>
        </w:rPr>
        <w:t xml:space="preserve">, </w:t>
      </w:r>
      <w:r w:rsidR="00DD3765">
        <w:rPr>
          <w:color w:val="231F20"/>
        </w:rPr>
        <w:t>including by heavy metals, pesticides, other chemical contaminants</w:t>
      </w:r>
      <w:r w:rsidR="0088191E">
        <w:rPr>
          <w:color w:val="231F20"/>
        </w:rPr>
        <w:t xml:space="preserve"> and</w:t>
      </w:r>
      <w:r>
        <w:rPr>
          <w:color w:val="231F20"/>
        </w:rPr>
        <w:t xml:space="preserve">, </w:t>
      </w:r>
      <w:r w:rsidR="00DD3765">
        <w:rPr>
          <w:color w:val="231F20"/>
        </w:rPr>
        <w:t xml:space="preserve">and toxins produced by </w:t>
      </w:r>
      <w:r>
        <w:rPr>
          <w:color w:val="231F20"/>
        </w:rPr>
        <w:t>mushroom</w:t>
      </w:r>
      <w:r w:rsidR="00DD3765">
        <w:rPr>
          <w:color w:val="231F20"/>
        </w:rPr>
        <w:t>s</w:t>
      </w:r>
      <w:r>
        <w:rPr>
          <w:color w:val="231F20"/>
        </w:rPr>
        <w:t>, fish</w:t>
      </w:r>
      <w:r w:rsidR="00DD3765">
        <w:rPr>
          <w:color w:val="231F20"/>
        </w:rPr>
        <w:t>, or microb</w:t>
      </w:r>
      <w:r w:rsidR="0088191E">
        <w:rPr>
          <w:color w:val="231F20"/>
        </w:rPr>
        <w:t>ial agents</w:t>
      </w:r>
      <w:r w:rsidR="0076094E">
        <w:rPr>
          <w:color w:val="231F20"/>
        </w:rPr>
        <w:t>.</w:t>
      </w:r>
      <w:r w:rsidR="0088191E">
        <w:rPr>
          <w:color w:val="231F20"/>
        </w:rPr>
        <w:t xml:space="preserve"> </w:t>
      </w:r>
      <w:commentRangeStart w:id="4"/>
      <w:r w:rsidR="000A24B4">
        <w:rPr>
          <w:color w:val="231F20"/>
        </w:rPr>
        <w:t xml:space="preserve">Like other aspects of foodborne disease, the frequencies with which these various pathogens and toxins </w:t>
      </w:r>
      <w:proofErr w:type="gramStart"/>
      <w:r w:rsidR="000A24B4">
        <w:rPr>
          <w:color w:val="231F20"/>
        </w:rPr>
        <w:t>cause</w:t>
      </w:r>
      <w:proofErr w:type="gramEnd"/>
      <w:r w:rsidR="000A24B4">
        <w:rPr>
          <w:color w:val="231F20"/>
        </w:rPr>
        <w:t xml:space="preserve"> outbreaks change over time. </w:t>
      </w:r>
      <w:r w:rsidR="00A63A76">
        <w:rPr>
          <w:color w:val="231F20"/>
        </w:rPr>
        <w:t>CDC’s National Outbreaks Reporting System (“NORS”) logged 19,991 outbreaks comprising 388,238 illnesses during 1998–2016.</w:t>
      </w:r>
      <w:r w:rsidR="000A24B4">
        <w:rPr>
          <w:color w:val="231F20"/>
        </w:rPr>
        <w:t xml:space="preserve"> A comparison of etiologies causing single-agent outbreaks during the most recent 5-year period (2012–2016) with those during the preceding 10 years (2002–2011) finds that outbreaks caused by agents associated with poor food-holding practices have decreased: </w:t>
      </w:r>
      <w:r w:rsidR="000A24B4">
        <w:rPr>
          <w:i/>
          <w:color w:val="231F20"/>
        </w:rPr>
        <w:t>Bacillus cereus</w:t>
      </w:r>
      <w:r w:rsidR="000A24B4">
        <w:rPr>
          <w:color w:val="231F20"/>
        </w:rPr>
        <w:t xml:space="preserve">, down from an average of 17 per year to 10 per year; </w:t>
      </w:r>
      <w:r w:rsidR="000A24B4">
        <w:rPr>
          <w:i/>
          <w:color w:val="231F20"/>
        </w:rPr>
        <w:t>Clostridium perfringens</w:t>
      </w:r>
      <w:r w:rsidR="000A24B4">
        <w:rPr>
          <w:color w:val="231F20"/>
        </w:rPr>
        <w:t xml:space="preserve">, from 40 to 30 per year; scombroid or histamine, from 23 to 17 per year; and </w:t>
      </w:r>
      <w:r w:rsidR="000A24B4">
        <w:rPr>
          <w:i/>
          <w:color w:val="231F20"/>
        </w:rPr>
        <w:t>Staphylococcus aureus</w:t>
      </w:r>
      <w:r w:rsidR="000A24B4">
        <w:rPr>
          <w:color w:val="231F20"/>
        </w:rPr>
        <w:t xml:space="preserve">, from 27 to 12 per year. On the other hand, </w:t>
      </w:r>
      <w:r w:rsidR="009C7405">
        <w:rPr>
          <w:color w:val="231F20"/>
        </w:rPr>
        <w:t xml:space="preserve">reported </w:t>
      </w:r>
      <w:r w:rsidR="000A24B4">
        <w:rPr>
          <w:color w:val="231F20"/>
        </w:rPr>
        <w:t xml:space="preserve">outbreaks caused by </w:t>
      </w:r>
      <w:r w:rsidR="000A24B4">
        <w:rPr>
          <w:i/>
          <w:color w:val="231F20"/>
        </w:rPr>
        <w:t>Salmonella</w:t>
      </w:r>
      <w:r w:rsidR="000A24B4">
        <w:rPr>
          <w:color w:val="231F20"/>
        </w:rPr>
        <w:t xml:space="preserve"> increased slightly from 126 to 132 per year</w:t>
      </w:r>
      <w:r w:rsidR="009C7405">
        <w:rPr>
          <w:color w:val="231F20"/>
        </w:rPr>
        <w:t xml:space="preserve">; by Shiga-toxin-producing </w:t>
      </w:r>
      <w:r w:rsidR="009C7405">
        <w:rPr>
          <w:i/>
          <w:color w:val="231F20"/>
        </w:rPr>
        <w:t>E. coli</w:t>
      </w:r>
      <w:r w:rsidR="009C7405">
        <w:rPr>
          <w:color w:val="231F20"/>
        </w:rPr>
        <w:t xml:space="preserve"> from 27 to 29 per year; by </w:t>
      </w:r>
      <w:r w:rsidR="009C7405">
        <w:rPr>
          <w:i/>
          <w:color w:val="231F20"/>
        </w:rPr>
        <w:t>Campylobacter</w:t>
      </w:r>
      <w:r w:rsidR="009C7405">
        <w:rPr>
          <w:color w:val="231F20"/>
        </w:rPr>
        <w:t xml:space="preserve"> from 23 to 31 per year; and by </w:t>
      </w:r>
      <w:proofErr w:type="spellStart"/>
      <w:r w:rsidR="009C7405">
        <w:rPr>
          <w:color w:val="231F20"/>
        </w:rPr>
        <w:t>noncholerae</w:t>
      </w:r>
      <w:proofErr w:type="spellEnd"/>
      <w:r w:rsidR="009C7405">
        <w:rPr>
          <w:color w:val="231F20"/>
        </w:rPr>
        <w:t xml:space="preserve"> </w:t>
      </w:r>
      <w:r w:rsidR="009C7405">
        <w:rPr>
          <w:i/>
          <w:color w:val="231F20"/>
        </w:rPr>
        <w:t>Vibrio</w:t>
      </w:r>
      <w:r w:rsidR="009C7405">
        <w:rPr>
          <w:color w:val="231F20"/>
        </w:rPr>
        <w:t xml:space="preserve"> from 6 to 9 per year. These changes may represent changes in outbreak numbers, in outbreak recognition and reporting, or both.</w:t>
      </w:r>
      <w:commentRangeEnd w:id="4"/>
      <w:r w:rsidR="009C7405">
        <w:rPr>
          <w:rStyle w:val="CommentReference"/>
        </w:rPr>
        <w:commentReference w:id="4"/>
      </w:r>
      <w:r w:rsidR="002A0AB8" w:rsidRPr="002A0AB8">
        <w:rPr>
          <w:color w:val="231F20"/>
        </w:rPr>
        <w:t xml:space="preserve"> </w:t>
      </w:r>
      <w:r w:rsidR="002A0AB8">
        <w:rPr>
          <w:color w:val="231F20"/>
        </w:rPr>
        <w:t>No etiologic agent was identified</w:t>
      </w:r>
      <w:r w:rsidR="002A0AB8" w:rsidRPr="004C767F">
        <w:rPr>
          <w:color w:val="231F20"/>
        </w:rPr>
        <w:t xml:space="preserve"> </w:t>
      </w:r>
      <w:r w:rsidR="002A0AB8">
        <w:rPr>
          <w:color w:val="231F20"/>
        </w:rPr>
        <w:t xml:space="preserve">in </w:t>
      </w:r>
      <w:commentRangeStart w:id="5"/>
      <w:r w:rsidR="002A0AB8">
        <w:rPr>
          <w:color w:val="231F20"/>
        </w:rPr>
        <w:t>27% of outbreaks reported during 2009–2010</w:t>
      </w:r>
      <w:commentRangeEnd w:id="5"/>
      <w:r w:rsidR="002A0AB8">
        <w:rPr>
          <w:rStyle w:val="CommentReference"/>
        </w:rPr>
        <w:commentReference w:id="5"/>
      </w:r>
      <w:r w:rsidR="002A0AB8">
        <w:rPr>
          <w:color w:val="231F20"/>
        </w:rPr>
        <w:t xml:space="preserve">. Reasons for failure to find an etiology include inadequate collection of stool specimens, delay in outbreak detection and specimen collection, and testing directed at pathogens other than the causative one. </w:t>
      </w:r>
    </w:p>
    <w:p w14:paraId="499E2B24" w14:textId="77777777" w:rsidR="009C57D5" w:rsidRDefault="009C57D5">
      <w:pPr>
        <w:rPr>
          <w:b/>
        </w:rPr>
      </w:pPr>
    </w:p>
    <w:p w14:paraId="53E9DAD8" w14:textId="77777777" w:rsidR="00F90EA0" w:rsidRDefault="00F90EA0" w:rsidP="00F90EA0">
      <w:pPr>
        <w:spacing w:after="0" w:line="264" w:lineRule="auto"/>
        <w:ind w:right="30"/>
        <w:rPr>
          <w:color w:val="231F20"/>
        </w:rPr>
      </w:pPr>
    </w:p>
    <w:p w14:paraId="4D7D7758" w14:textId="77777777" w:rsidR="00310548" w:rsidRPr="00DE6DCE" w:rsidRDefault="00310548" w:rsidP="00F90EA0">
      <w:pPr>
        <w:spacing w:after="0" w:line="264" w:lineRule="auto"/>
        <w:ind w:right="30"/>
        <w:rPr>
          <w:b/>
          <w:color w:val="231F20"/>
        </w:rPr>
      </w:pPr>
      <w:r w:rsidRPr="00DE6DCE">
        <w:rPr>
          <w:b/>
          <w:color w:val="231F20"/>
        </w:rPr>
        <w:t>Food Sources</w:t>
      </w:r>
    </w:p>
    <w:p w14:paraId="615853DE" w14:textId="77777777" w:rsidR="006F5088" w:rsidRDefault="002A0AB8">
      <w:pPr>
        <w:spacing w:after="0" w:line="264" w:lineRule="auto"/>
        <w:ind w:right="30"/>
        <w:rPr>
          <w:color w:val="231F20"/>
        </w:rPr>
      </w:pPr>
      <w:commentRangeStart w:id="6"/>
      <w:r>
        <w:rPr>
          <w:color w:val="231F20"/>
        </w:rPr>
        <w:lastRenderedPageBreak/>
        <w:t>Similarly, the frequencies with which various food vehicles are implicated have been changing.</w:t>
      </w:r>
      <w:commentRangeEnd w:id="6"/>
      <w:r>
        <w:rPr>
          <w:rStyle w:val="CommentReference"/>
        </w:rPr>
        <w:commentReference w:id="6"/>
      </w:r>
      <w:r>
        <w:rPr>
          <w:color w:val="231F20"/>
        </w:rPr>
        <w:t xml:space="preserve"> The years 2017–2018 saw the emergence of kratom, a tree leaf with stimulant and opioid properties, cause illness by a variety of </w:t>
      </w:r>
      <w:r w:rsidRPr="002A0AB8">
        <w:rPr>
          <w:i/>
          <w:color w:val="231F20"/>
        </w:rPr>
        <w:t>Salmonella</w:t>
      </w:r>
      <w:r>
        <w:rPr>
          <w:color w:val="231F20"/>
        </w:rPr>
        <w:t xml:space="preserve"> </w:t>
      </w:r>
      <w:commentRangeStart w:id="7"/>
      <w:r>
        <w:rPr>
          <w:color w:val="231F20"/>
        </w:rPr>
        <w:t>serotypes</w:t>
      </w:r>
      <w:commentRangeEnd w:id="7"/>
      <w:r>
        <w:rPr>
          <w:rStyle w:val="CommentReference"/>
        </w:rPr>
        <w:commentReference w:id="7"/>
      </w:r>
      <w:r>
        <w:rPr>
          <w:color w:val="231F20"/>
        </w:rPr>
        <w:t xml:space="preserve">. </w:t>
      </w:r>
      <w:r w:rsidR="002B2D80" w:rsidDel="002B2D80">
        <w:rPr>
          <w:color w:val="231F20"/>
        </w:rPr>
        <w:t xml:space="preserve"> </w:t>
      </w:r>
    </w:p>
    <w:p w14:paraId="149650E1" w14:textId="77777777" w:rsidR="006F5088" w:rsidRDefault="006F5088">
      <w:pPr>
        <w:spacing w:after="0" w:line="264" w:lineRule="auto"/>
        <w:ind w:right="30"/>
        <w:rPr>
          <w:color w:val="231F20"/>
        </w:rPr>
      </w:pPr>
    </w:p>
    <w:p w14:paraId="65A98A6C" w14:textId="77777777" w:rsidR="006F5088" w:rsidRDefault="006F5088">
      <w:pPr>
        <w:spacing w:after="0" w:line="264" w:lineRule="auto"/>
        <w:ind w:right="30"/>
        <w:rPr>
          <w:b/>
          <w:color w:val="231F20"/>
          <w:sz w:val="26"/>
          <w:szCs w:val="26"/>
        </w:rPr>
      </w:pPr>
    </w:p>
    <w:p w14:paraId="34304466" w14:textId="77777777" w:rsidR="006F5088" w:rsidRDefault="001F5F0E">
      <w:pPr>
        <w:rPr>
          <w:b/>
          <w:sz w:val="28"/>
          <w:szCs w:val="28"/>
        </w:rPr>
      </w:pPr>
      <w:r>
        <w:rPr>
          <w:b/>
          <w:sz w:val="28"/>
          <w:szCs w:val="28"/>
        </w:rPr>
        <w:t>2.2.</w:t>
      </w:r>
      <w:r>
        <w:rPr>
          <w:b/>
          <w:sz w:val="28"/>
          <w:szCs w:val="28"/>
        </w:rPr>
        <w:tab/>
      </w:r>
      <w:r w:rsidR="002703BB">
        <w:rPr>
          <w:b/>
          <w:sz w:val="28"/>
          <w:szCs w:val="28"/>
        </w:rPr>
        <w:t xml:space="preserve">Changes in </w:t>
      </w:r>
      <w:r>
        <w:rPr>
          <w:b/>
          <w:sz w:val="28"/>
          <w:szCs w:val="28"/>
        </w:rPr>
        <w:t>U</w:t>
      </w:r>
      <w:r w:rsidR="00CA482A">
        <w:rPr>
          <w:b/>
          <w:sz w:val="28"/>
          <w:szCs w:val="28"/>
        </w:rPr>
        <w:t>.</w:t>
      </w:r>
      <w:r>
        <w:rPr>
          <w:b/>
          <w:sz w:val="28"/>
          <w:szCs w:val="28"/>
        </w:rPr>
        <w:t>S</w:t>
      </w:r>
      <w:r w:rsidR="00CA482A">
        <w:rPr>
          <w:b/>
          <w:sz w:val="28"/>
          <w:szCs w:val="28"/>
        </w:rPr>
        <w:t>.</w:t>
      </w:r>
      <w:r>
        <w:rPr>
          <w:b/>
          <w:sz w:val="28"/>
          <w:szCs w:val="28"/>
        </w:rPr>
        <w:t xml:space="preserve"> Foodborne Illness </w:t>
      </w:r>
      <w:commentRangeStart w:id="8"/>
      <w:r>
        <w:rPr>
          <w:b/>
          <w:sz w:val="28"/>
          <w:szCs w:val="28"/>
        </w:rPr>
        <w:t>Surveillance</w:t>
      </w:r>
      <w:r w:rsidR="0028044C">
        <w:rPr>
          <w:b/>
          <w:sz w:val="28"/>
          <w:szCs w:val="28"/>
        </w:rPr>
        <w:t xml:space="preserve"> </w:t>
      </w:r>
      <w:commentRangeEnd w:id="8"/>
      <w:r w:rsidR="00D57B53">
        <w:rPr>
          <w:rStyle w:val="CommentReference"/>
        </w:rPr>
        <w:commentReference w:id="8"/>
      </w:r>
      <w:r w:rsidR="0028044C">
        <w:rPr>
          <w:b/>
          <w:sz w:val="28"/>
          <w:szCs w:val="28"/>
        </w:rPr>
        <w:t>Systems</w:t>
      </w:r>
    </w:p>
    <w:p w14:paraId="3ABCDDDD" w14:textId="77777777" w:rsidR="007D1727" w:rsidRDefault="001F490A" w:rsidP="00E80FD2">
      <w:r>
        <w:t xml:space="preserve">A variety of surveillance </w:t>
      </w:r>
      <w:r w:rsidR="00784D2A">
        <w:t>systems</w:t>
      </w:r>
      <w:r>
        <w:t xml:space="preserve"> are required to </w:t>
      </w:r>
      <w:r w:rsidR="007D1727">
        <w:t xml:space="preserve">identify foodborne illness and </w:t>
      </w:r>
      <w:r w:rsidR="006C2113">
        <w:t>ascertain foodborne disease outbreaks</w:t>
      </w:r>
      <w:r>
        <w:t xml:space="preserve">. Some </w:t>
      </w:r>
      <w:r w:rsidR="006C2113">
        <w:t xml:space="preserve">systems </w:t>
      </w:r>
      <w:r>
        <w:t xml:space="preserve">focus on specific enteric pathogens likely to be transmitted through food and have been used extensively for decades. More recently, new surveillance methods have emerged that </w:t>
      </w:r>
      <w:r w:rsidR="00E80FD2">
        <w:t>provide data</w:t>
      </w:r>
      <w:r>
        <w:t xml:space="preserve"> on food vehicles, settings, pathogens, contributing factors, and environmental antecedents</w:t>
      </w:r>
      <w:r w:rsidR="007D1727">
        <w:t>. Effective</w:t>
      </w:r>
      <w:r w:rsidR="001F5F0E">
        <w:t xml:space="preserve"> surveillance to track cases of foodborne </w:t>
      </w:r>
      <w:r w:rsidR="007D1727">
        <w:t xml:space="preserve">illness </w:t>
      </w:r>
      <w:r w:rsidR="001F5F0E">
        <w:t>and outbreaks</w:t>
      </w:r>
      <w:r w:rsidR="007D1727">
        <w:t xml:space="preserve"> is</w:t>
      </w:r>
      <w:r w:rsidR="001F5F0E">
        <w:t xml:space="preserve"> critical to our understanding and control of these diseases.</w:t>
      </w:r>
    </w:p>
    <w:p w14:paraId="7A9834D5" w14:textId="77777777" w:rsidR="006F5088" w:rsidRDefault="001F5F0E" w:rsidP="005A45C2">
      <w:pPr>
        <w:rPr>
          <w:b/>
          <w:sz w:val="26"/>
          <w:szCs w:val="26"/>
        </w:rPr>
      </w:pPr>
      <w:r>
        <w:rPr>
          <w:b/>
          <w:sz w:val="26"/>
          <w:szCs w:val="26"/>
        </w:rPr>
        <w:t>2.2.</w:t>
      </w:r>
      <w:r w:rsidR="00F052CD">
        <w:rPr>
          <w:b/>
          <w:sz w:val="26"/>
          <w:szCs w:val="26"/>
        </w:rPr>
        <w:t>1</w:t>
      </w:r>
      <w:r>
        <w:rPr>
          <w:b/>
          <w:sz w:val="26"/>
          <w:szCs w:val="26"/>
        </w:rPr>
        <w:t>.</w:t>
      </w:r>
      <w:r>
        <w:rPr>
          <w:b/>
          <w:sz w:val="26"/>
          <w:szCs w:val="26"/>
        </w:rPr>
        <w:tab/>
      </w:r>
      <w:r w:rsidR="002703BB">
        <w:rPr>
          <w:b/>
          <w:sz w:val="26"/>
          <w:szCs w:val="26"/>
        </w:rPr>
        <w:t xml:space="preserve">Changes in </w:t>
      </w:r>
      <w:r>
        <w:rPr>
          <w:b/>
          <w:sz w:val="26"/>
          <w:szCs w:val="26"/>
        </w:rPr>
        <w:t xml:space="preserve">Surveillance </w:t>
      </w:r>
      <w:r w:rsidR="00F052CD">
        <w:rPr>
          <w:b/>
          <w:sz w:val="26"/>
          <w:szCs w:val="26"/>
        </w:rPr>
        <w:t>for Human Illness</w:t>
      </w:r>
    </w:p>
    <w:p w14:paraId="3C2FCF82" w14:textId="77777777" w:rsidR="008B691F" w:rsidRPr="008F117A" w:rsidRDefault="008B691F" w:rsidP="005A45C2"/>
    <w:p w14:paraId="11387915" w14:textId="77777777" w:rsidR="006F5088" w:rsidRDefault="001F5F0E" w:rsidP="005A45C2">
      <w:pPr>
        <w:rPr>
          <w:b/>
        </w:rPr>
      </w:pPr>
      <w:r>
        <w:rPr>
          <w:b/>
        </w:rPr>
        <w:t>Notifiable disease surveillance</w:t>
      </w:r>
    </w:p>
    <w:p w14:paraId="3E89DFB7" w14:textId="77777777" w:rsidR="006F5088" w:rsidRDefault="001F5F0E" w:rsidP="005A45C2">
      <w:r>
        <w:t>One of the oldest public health surveillance systems in the country is notifiable disease surveillance. All states and territories have legal requirements for the reporting of certain diseases and conditions, including enteric diseases likely to be foodborne</w:t>
      </w:r>
      <w:r w:rsidR="00DE79CA">
        <w:t xml:space="preserve"> (e.g., salmonellosis, campylobacteriosis, and STEC infection)</w:t>
      </w:r>
      <w:r>
        <w:t>, by healthcare providers and laboratories to the local</w:t>
      </w:r>
      <w:r w:rsidR="00DE79CA">
        <w:t>,</w:t>
      </w:r>
      <w:r>
        <w:t xml:space="preserve"> state</w:t>
      </w:r>
      <w:r w:rsidR="00DE79CA">
        <w:t>, or territorial</w:t>
      </w:r>
      <w:r>
        <w:t xml:space="preserve"> public health agency</w:t>
      </w:r>
      <w:r w:rsidR="005A45C2">
        <w:t>.</w:t>
      </w:r>
      <w:r>
        <w:t xml:space="preserve"> In the past, disease reports usually arrived </w:t>
      </w:r>
      <w:r w:rsidR="00A5079B">
        <w:t xml:space="preserve">from clinical laboratories </w:t>
      </w:r>
      <w:r>
        <w:t xml:space="preserve">by mail, telephone, or fax, but </w:t>
      </w:r>
      <w:r w:rsidR="00DE79CA">
        <w:t xml:space="preserve">the last 15–20 years have witnessed </w:t>
      </w:r>
      <w:r w:rsidR="00A5079B">
        <w:t>substantial</w:t>
      </w:r>
      <w:r w:rsidR="00DE79CA">
        <w:t xml:space="preserve"> transition to automated</w:t>
      </w:r>
      <w:r w:rsidR="005A45C2">
        <w:t>,</w:t>
      </w:r>
      <w:r>
        <w:t xml:space="preserve"> electronic </w:t>
      </w:r>
      <w:r w:rsidR="00DE79CA">
        <w:t xml:space="preserve">reporting </w:t>
      </w:r>
      <w:r w:rsidR="00A5079B">
        <w:t xml:space="preserve">directly </w:t>
      </w:r>
      <w:r w:rsidR="00DE79CA">
        <w:t xml:space="preserve">from </w:t>
      </w:r>
      <w:r>
        <w:t xml:space="preserve">laboratory </w:t>
      </w:r>
      <w:r w:rsidR="00DE79CA">
        <w:t>information management</w:t>
      </w:r>
      <w:r>
        <w:t xml:space="preserve"> systems</w:t>
      </w:r>
      <w:r w:rsidR="002B2D80">
        <w:t>, often with greatly reduced time lags</w:t>
      </w:r>
      <w:r>
        <w:t>.</w:t>
      </w:r>
      <w:r w:rsidR="00A5079B">
        <w:t xml:space="preserve"> </w:t>
      </w:r>
      <w:r w:rsidR="002B2D80">
        <w:t>However, the depth individual case investigation, particular</w:t>
      </w:r>
      <w:r w:rsidR="00983969">
        <w:t>ly</w:t>
      </w:r>
      <w:r w:rsidR="002B2D80">
        <w:t xml:space="preserve"> in searching for potential exposures, varies considerably among public health jurisdictions</w:t>
      </w:r>
      <w:r w:rsidR="002703BB">
        <w:t>; such delays can hinder the identification of food vehicles causing outbreaks once they are identified by surveillance data</w:t>
      </w:r>
      <w:r w:rsidR="002B2D80">
        <w:t xml:space="preserve">. </w:t>
      </w:r>
      <w:r>
        <w:t>State and territori</w:t>
      </w:r>
      <w:r w:rsidR="00A5079B">
        <w:t>al epidemiologists typically</w:t>
      </w:r>
      <w:r>
        <w:t xml:space="preserve"> share notifiable disease surveillance information with CDC through the National Notifiable Disease Surveillance System (NNDSS). </w:t>
      </w:r>
      <w:r w:rsidR="00A5079B">
        <w:t>National data are used to monitor disease trends and to target research, prevention, and control efforts.</w:t>
      </w:r>
    </w:p>
    <w:p w14:paraId="4A583517" w14:textId="77777777" w:rsidR="00711934" w:rsidRDefault="002703BB" w:rsidP="00356476">
      <w:pPr>
        <w:rPr>
          <w:color w:val="231F20"/>
          <w:vertAlign w:val="superscript"/>
        </w:rPr>
      </w:pPr>
      <w:r>
        <w:rPr>
          <w:rStyle w:val="CommentReference"/>
        </w:rPr>
        <w:commentReference w:id="9"/>
      </w:r>
    </w:p>
    <w:p w14:paraId="34F98361" w14:textId="77777777" w:rsidR="00711934" w:rsidRDefault="00711934" w:rsidP="00711934">
      <w:pPr>
        <w:rPr>
          <w:b/>
        </w:rPr>
      </w:pPr>
      <w:r>
        <w:rPr>
          <w:b/>
        </w:rPr>
        <w:t>Foodborne illness complaints</w:t>
      </w:r>
    </w:p>
    <w:p w14:paraId="6331F9C7" w14:textId="77777777" w:rsidR="00711934" w:rsidRDefault="00711934" w:rsidP="00711934">
      <w:r>
        <w:t xml:space="preserve">Receiving and responding to complaints of </w:t>
      </w:r>
      <w:r w:rsidR="005A45C2">
        <w:t xml:space="preserve">illness </w:t>
      </w:r>
      <w:r>
        <w:t xml:space="preserve">from the public is a function of many public health and </w:t>
      </w:r>
      <w:r w:rsidR="000859FA">
        <w:t>food regulatory</w:t>
      </w:r>
      <w:r>
        <w:t xml:space="preserve"> agencies</w:t>
      </w:r>
      <w:r w:rsidR="005476E0">
        <w:t xml:space="preserve">. Prompt follow-up and coordination with response team partners </w:t>
      </w:r>
      <w:r>
        <w:t xml:space="preserve">can </w:t>
      </w:r>
      <w:r w:rsidR="005476E0">
        <w:t>result in</w:t>
      </w:r>
      <w:r>
        <w:t xml:space="preserve"> the identification of foodborne illnesses in the community </w:t>
      </w:r>
      <w:r w:rsidR="000859FA">
        <w:t>and lead to an outbreak investigation</w:t>
      </w:r>
      <w:r>
        <w:t>.</w:t>
      </w:r>
    </w:p>
    <w:p w14:paraId="0F482375" w14:textId="77777777" w:rsidR="00711934" w:rsidRDefault="00711934" w:rsidP="00711934">
      <w:r>
        <w:t xml:space="preserve">The processing of foodborne illness complaints varies by agency </w:t>
      </w:r>
      <w:r w:rsidR="005476E0">
        <w:t>and may be the result of policy or standards of practice</w:t>
      </w:r>
      <w:r>
        <w:t xml:space="preserve">. Some health departments are </w:t>
      </w:r>
      <w:r w:rsidR="005476E0">
        <w:t xml:space="preserve">required </w:t>
      </w:r>
      <w:r>
        <w:t xml:space="preserve">to investigate all commercial food establishments named by </w:t>
      </w:r>
      <w:r w:rsidR="008870DC">
        <w:t>a complainant, whether the provided information supports the action or not</w:t>
      </w:r>
      <w:r>
        <w:t>. Most health departments record complaints in a log book or on a standardized form</w:t>
      </w:r>
      <w:r w:rsidR="008870DC">
        <w:t xml:space="preserve"> but a growing </w:t>
      </w:r>
      <w:r w:rsidR="008870DC">
        <w:lastRenderedPageBreak/>
        <w:t xml:space="preserve">number are utilizing </w:t>
      </w:r>
      <w:r>
        <w:t>electronic database</w:t>
      </w:r>
      <w:r w:rsidR="008870DC">
        <w:t>s</w:t>
      </w:r>
      <w:r>
        <w:t xml:space="preserve"> for easy review and analysis, a practice associated with the detection of more outbreaks per complaint reported.</w:t>
      </w:r>
      <w:r>
        <w:rPr>
          <w:vertAlign w:val="superscript"/>
        </w:rPr>
        <w:t>54</w:t>
      </w:r>
    </w:p>
    <w:p w14:paraId="5D850303" w14:textId="77777777" w:rsidR="008870DC" w:rsidRDefault="008870DC" w:rsidP="00711934">
      <w:commentRangeStart w:id="10"/>
      <w:r>
        <w:t xml:space="preserve">It is estimated that 81% of local health departments have some form of complaint-based surveillance system (Li et al. 2010). </w:t>
      </w:r>
      <w:commentRangeEnd w:id="10"/>
      <w:r w:rsidR="002703BB">
        <w:rPr>
          <w:rStyle w:val="CommentReference"/>
        </w:rPr>
        <w:commentReference w:id="10"/>
      </w:r>
      <w:r>
        <w:t xml:space="preserve">The likelihood that a jurisdiction maintains a system is based on the population served. 91% of jurisdictions with a population of over 1,000,000 maintain a complaint system as compared to a low of 76% for local health departments with a population of 50,000 or less. Where local complaint-based systems were not in place the majority (64%) of these local jurisdictions were covered by a state-level system. The presence of a complaint-based surveillance system is not predictive of the ability to detect disease outbreaks. These systems can be greatly enhanced </w:t>
      </w:r>
      <w:proofErr w:type="gramStart"/>
      <w:r>
        <w:t>by the use of</w:t>
      </w:r>
      <w:proofErr w:type="gramEnd"/>
      <w:r>
        <w:t xml:space="preserve"> electronic databases to better review incoming data, sharing information across small jurisdictions, and applying uniform practices of investigation.</w:t>
      </w:r>
      <w:r w:rsidRPr="000F2112">
        <w:rPr>
          <w:vertAlign w:val="superscript"/>
        </w:rPr>
        <w:t>54</w:t>
      </w:r>
    </w:p>
    <w:p w14:paraId="52D17D2E" w14:textId="77777777" w:rsidR="00711934" w:rsidRDefault="00711934" w:rsidP="00711934">
      <w:r>
        <w:t xml:space="preserve">FDA and USDA-FSIS also maintain complaint systems and interact with local, state, and federal public health agencies during complaint investigations. More details on consumer complaint systems </w:t>
      </w:r>
      <w:r w:rsidR="000F2112">
        <w:t xml:space="preserve">as a surveillance tool </w:t>
      </w:r>
      <w:r>
        <w:t>can be found in Chapter 4.</w:t>
      </w:r>
    </w:p>
    <w:p w14:paraId="49BC278D" w14:textId="77777777" w:rsidR="00711934" w:rsidRDefault="00711934" w:rsidP="00356476">
      <w:pPr>
        <w:rPr>
          <w:color w:val="231F20"/>
        </w:rPr>
      </w:pPr>
    </w:p>
    <w:p w14:paraId="52461DE5" w14:textId="77777777" w:rsidR="00EE5EFA" w:rsidRDefault="00FA11AE" w:rsidP="00EE5EFA">
      <w:pPr>
        <w:rPr>
          <w:b/>
          <w:color w:val="231F20"/>
        </w:rPr>
      </w:pPr>
      <w:r>
        <w:rPr>
          <w:b/>
          <w:color w:val="231F20"/>
        </w:rPr>
        <w:t xml:space="preserve">Bacterial </w:t>
      </w:r>
      <w:r w:rsidR="00EE5EFA">
        <w:rPr>
          <w:b/>
          <w:color w:val="231F20"/>
        </w:rPr>
        <w:t>Molecular Subtyping</w:t>
      </w:r>
    </w:p>
    <w:p w14:paraId="66F5B394" w14:textId="77777777" w:rsidR="00827FAE" w:rsidRDefault="00FA11AE" w:rsidP="00827FAE">
      <w:pPr>
        <w:rPr>
          <w:color w:val="231F20"/>
        </w:rPr>
      </w:pPr>
      <w:r>
        <w:rPr>
          <w:color w:val="231F20"/>
        </w:rPr>
        <w:t>Most public health authorities require laboratories in their jurisdictions to submit</w:t>
      </w:r>
      <w:r w:rsidR="000F2112" w:rsidRPr="00026387">
        <w:t xml:space="preserve"> Shiga toxin-producing </w:t>
      </w:r>
      <w:r w:rsidR="000F2112" w:rsidRPr="00026387">
        <w:rPr>
          <w:i/>
        </w:rPr>
        <w:t>E. coli</w:t>
      </w:r>
      <w:r w:rsidR="000F2112" w:rsidRPr="00026387">
        <w:t xml:space="preserve">, </w:t>
      </w:r>
      <w:r w:rsidR="000F2112" w:rsidRPr="00026387">
        <w:rPr>
          <w:i/>
        </w:rPr>
        <w:t>Campylobacter</w:t>
      </w:r>
      <w:r w:rsidR="000F2112" w:rsidRPr="00026387">
        <w:t xml:space="preserve">, </w:t>
      </w:r>
      <w:r w:rsidR="000F2112" w:rsidRPr="00026387">
        <w:rPr>
          <w:i/>
        </w:rPr>
        <w:t>Listeria monocytogenes</w:t>
      </w:r>
      <w:r w:rsidR="000F2112" w:rsidRPr="00026387">
        <w:t xml:space="preserve">, </w:t>
      </w:r>
      <w:r w:rsidR="000F2112" w:rsidRPr="00026387">
        <w:rPr>
          <w:i/>
        </w:rPr>
        <w:t>Salmonella</w:t>
      </w:r>
      <w:r w:rsidR="000F2112" w:rsidRPr="00026387">
        <w:t xml:space="preserve">, </w:t>
      </w:r>
      <w:r w:rsidR="000F2112" w:rsidRPr="00026387">
        <w:rPr>
          <w:i/>
        </w:rPr>
        <w:t>Shigella,</w:t>
      </w:r>
      <w:r w:rsidR="000F2112" w:rsidRPr="00026387">
        <w:t xml:space="preserve"> </w:t>
      </w:r>
      <w:r w:rsidR="000F2112" w:rsidRPr="00026387">
        <w:rPr>
          <w:i/>
        </w:rPr>
        <w:t>Vibrio cholerae</w:t>
      </w:r>
      <w:r w:rsidR="000F2112" w:rsidRPr="00026387">
        <w:t xml:space="preserve">, </w:t>
      </w:r>
      <w:r w:rsidR="000F2112" w:rsidRPr="00026387">
        <w:rPr>
          <w:i/>
        </w:rPr>
        <w:t>Vibrio parahaemolyticus</w:t>
      </w:r>
      <w:r w:rsidR="000F2112" w:rsidRPr="00026387">
        <w:t xml:space="preserve">, and </w:t>
      </w:r>
      <w:r w:rsidR="000F2112" w:rsidRPr="00026387">
        <w:rPr>
          <w:i/>
        </w:rPr>
        <w:t>Cronobacter</w:t>
      </w:r>
      <w:r w:rsidR="00EE5EFA">
        <w:rPr>
          <w:color w:val="231F20"/>
        </w:rPr>
        <w:t xml:space="preserve"> isolated from humans, foods, animals, and environments</w:t>
      </w:r>
      <w:r>
        <w:rPr>
          <w:color w:val="231F20"/>
        </w:rPr>
        <w:t xml:space="preserve"> to public health laboratories for</w:t>
      </w:r>
      <w:r w:rsidR="00EE5EFA">
        <w:rPr>
          <w:color w:val="231F20"/>
        </w:rPr>
        <w:t xml:space="preserve"> pulsed-field gel electrophoresis (PFGE), a method </w:t>
      </w:r>
      <w:r w:rsidR="00AD415F">
        <w:rPr>
          <w:color w:val="231F20"/>
        </w:rPr>
        <w:t>for</w:t>
      </w:r>
      <w:r w:rsidR="00EE5EFA">
        <w:rPr>
          <w:color w:val="231F20"/>
        </w:rPr>
        <w:t xml:space="preserve"> determin</w:t>
      </w:r>
      <w:r w:rsidR="00AD415F">
        <w:rPr>
          <w:color w:val="231F20"/>
        </w:rPr>
        <w:t>ing</w:t>
      </w:r>
      <w:r w:rsidR="00EE5EFA">
        <w:rPr>
          <w:color w:val="231F20"/>
        </w:rPr>
        <w:t xml:space="preserve"> the molecular </w:t>
      </w:r>
      <w:r w:rsidR="00827FAE">
        <w:rPr>
          <w:color w:val="231F20"/>
        </w:rPr>
        <w:t>“</w:t>
      </w:r>
      <w:r w:rsidR="00EE5EFA">
        <w:rPr>
          <w:color w:val="231F20"/>
        </w:rPr>
        <w:t>fingerprints</w:t>
      </w:r>
      <w:r w:rsidR="00827FAE">
        <w:rPr>
          <w:color w:val="231F20"/>
        </w:rPr>
        <w:t>”</w:t>
      </w:r>
      <w:r w:rsidR="00EE5EFA">
        <w:rPr>
          <w:color w:val="231F20"/>
        </w:rPr>
        <w:t xml:space="preserve"> of bacteria</w:t>
      </w:r>
      <w:r>
        <w:rPr>
          <w:color w:val="231F20"/>
        </w:rPr>
        <w:t>. PFGE</w:t>
      </w:r>
      <w:r w:rsidR="00AD415F">
        <w:rPr>
          <w:color w:val="231F20"/>
        </w:rPr>
        <w:t xml:space="preserve"> was</w:t>
      </w:r>
      <w:r w:rsidR="00EE5EFA">
        <w:rPr>
          <w:color w:val="231F20"/>
        </w:rPr>
        <w:t xml:space="preserve"> developed and refined during the 1980s and implemented for widespread use during the 1990s</w:t>
      </w:r>
      <w:r w:rsidR="00AD415F">
        <w:rPr>
          <w:color w:val="231F20"/>
        </w:rPr>
        <w:t xml:space="preserve">. </w:t>
      </w:r>
      <w:r>
        <w:rPr>
          <w:color w:val="231F20"/>
        </w:rPr>
        <w:t xml:space="preserve">“PulseNet” is a national </w:t>
      </w:r>
      <w:r w:rsidR="003614E6">
        <w:rPr>
          <w:color w:val="231F20"/>
        </w:rPr>
        <w:t xml:space="preserve">electronic </w:t>
      </w:r>
      <w:r>
        <w:rPr>
          <w:color w:val="231F20"/>
        </w:rPr>
        <w:t xml:space="preserve">network coordinated by CDC </w:t>
      </w:r>
      <w:r w:rsidR="003614E6">
        <w:rPr>
          <w:color w:val="231F20"/>
        </w:rPr>
        <w:t>for</w:t>
      </w:r>
      <w:r>
        <w:rPr>
          <w:color w:val="231F20"/>
        </w:rPr>
        <w:t xml:space="preserve"> </w:t>
      </w:r>
      <w:r w:rsidR="003614E6">
        <w:rPr>
          <w:color w:val="231F20"/>
        </w:rPr>
        <w:t xml:space="preserve">uploading of PFGE patterns and comparison </w:t>
      </w:r>
      <w:r>
        <w:rPr>
          <w:color w:val="231F20"/>
        </w:rPr>
        <w:t xml:space="preserve">across public health jurisdictions. </w:t>
      </w:r>
      <w:r w:rsidR="00AD415F">
        <w:rPr>
          <w:color w:val="231F20"/>
        </w:rPr>
        <w:t>The ability to link isolates from distant loca</w:t>
      </w:r>
      <w:r w:rsidR="00683E3C">
        <w:rPr>
          <w:color w:val="231F20"/>
        </w:rPr>
        <w:t>tions</w:t>
      </w:r>
      <w:r w:rsidR="00AD415F">
        <w:rPr>
          <w:color w:val="231F20"/>
        </w:rPr>
        <w:t xml:space="preserve"> and thereby to infer epidemiologic relatedness</w:t>
      </w:r>
      <w:r w:rsidR="00EE5EFA">
        <w:rPr>
          <w:color w:val="231F20"/>
        </w:rPr>
        <w:t xml:space="preserve"> revolutionized the investigation of foodborne disease outbreaks</w:t>
      </w:r>
      <w:r w:rsidR="00827FAE">
        <w:rPr>
          <w:color w:val="231F20"/>
        </w:rPr>
        <w:t>. However, identical PFGE “fingerprints” do not always indicate a common source, and some common sources can cause infections by isolates with non-identical PFGE patterns.</w:t>
      </w:r>
    </w:p>
    <w:p w14:paraId="7AF7295A" w14:textId="77777777" w:rsidR="00827FAE" w:rsidRDefault="00827FAE" w:rsidP="00827FAE">
      <w:pPr>
        <w:rPr>
          <w:color w:val="231F20"/>
        </w:rPr>
      </w:pPr>
      <w:r>
        <w:rPr>
          <w:color w:val="231F20"/>
        </w:rPr>
        <w:t>The advent of rapid bacterial sequencing technology</w:t>
      </w:r>
      <w:r w:rsidR="006C11B8">
        <w:rPr>
          <w:color w:val="231F20"/>
        </w:rPr>
        <w:t xml:space="preserve"> and the development of informatics tools for sequence analysis </w:t>
      </w:r>
      <w:commentRangeStart w:id="11"/>
      <w:r w:rsidR="006C11B8">
        <w:rPr>
          <w:color w:val="231F20"/>
        </w:rPr>
        <w:t>promises to surmount some of the shortcomings of PFGE</w:t>
      </w:r>
      <w:commentRangeEnd w:id="11"/>
      <w:r w:rsidR="006C11B8">
        <w:rPr>
          <w:rStyle w:val="CommentReference"/>
        </w:rPr>
        <w:commentReference w:id="11"/>
      </w:r>
      <w:r w:rsidR="006C11B8">
        <w:rPr>
          <w:color w:val="231F20"/>
        </w:rPr>
        <w:t xml:space="preserve">. This technology is rapidly being deployed to public health laboratories across the United States, and the software used to compare PFGE patterns is currently being upgraded to accommodate “whole genome sequencing” (WGS). The upshot is the more rapid and confident recognition of smaller common-source clusters, which will challenge outbreak investigators. See chapter </w:t>
      </w:r>
      <w:r w:rsidR="006C11B8" w:rsidRPr="006C11B8">
        <w:rPr>
          <w:color w:val="231F20"/>
          <w:highlight w:val="yellow"/>
        </w:rPr>
        <w:t>__</w:t>
      </w:r>
      <w:r w:rsidR="006C11B8">
        <w:rPr>
          <w:color w:val="231F20"/>
        </w:rPr>
        <w:t xml:space="preserve"> for more information on WGS.</w:t>
      </w:r>
    </w:p>
    <w:p w14:paraId="76FA53CF" w14:textId="77777777" w:rsidR="008162AE" w:rsidRDefault="008162AE" w:rsidP="008162AE">
      <w:pPr>
        <w:spacing w:after="0" w:line="264" w:lineRule="auto"/>
        <w:ind w:right="30"/>
        <w:rPr>
          <w:color w:val="231F20"/>
        </w:rPr>
      </w:pPr>
      <w:commentRangeStart w:id="12"/>
      <w:r>
        <w:rPr>
          <w:b/>
          <w:color w:val="231F20"/>
        </w:rPr>
        <w:t>A laboratory system in flux: Culture-Independent Diagnostic Tests</w:t>
      </w:r>
      <w:r>
        <w:rPr>
          <w:color w:val="231F20"/>
        </w:rPr>
        <w:t xml:space="preserve"> </w:t>
      </w:r>
      <w:commentRangeEnd w:id="12"/>
      <w:r>
        <w:rPr>
          <w:rStyle w:val="CommentReference"/>
        </w:rPr>
        <w:commentReference w:id="12"/>
      </w:r>
    </w:p>
    <w:p w14:paraId="7C6E1E9D" w14:textId="77777777" w:rsidR="008162AE" w:rsidRDefault="00FA11AE" w:rsidP="008162AE">
      <w:pPr>
        <w:spacing w:after="0" w:line="264" w:lineRule="auto"/>
        <w:ind w:right="30"/>
        <w:rPr>
          <w:color w:val="231F20"/>
        </w:rPr>
      </w:pPr>
      <w:r>
        <w:rPr>
          <w:color w:val="231F20"/>
        </w:rPr>
        <w:t xml:space="preserve">Cluster recognition, whether based on PFGE or on WGS, requires bacterial isolates. </w:t>
      </w:r>
      <w:r w:rsidR="008162AE">
        <w:rPr>
          <w:color w:val="231F20"/>
        </w:rPr>
        <w:t xml:space="preserve">Increasingly, </w:t>
      </w:r>
      <w:r w:rsidR="00983969">
        <w:rPr>
          <w:color w:val="231F20"/>
        </w:rPr>
        <w:t xml:space="preserve">however, </w:t>
      </w:r>
      <w:r w:rsidR="008162AE">
        <w:rPr>
          <w:color w:val="231F20"/>
        </w:rPr>
        <w:t>clinical laboratories detect bacterial agents of foodborne illness not by culture but by culture-independent diagnostic tests (CIDTs), including enzyme immunoassays (e.g., for Shiga toxin) and by amplifying bacteria-specific nucleic acid segments via polymerase chain reaction (PCR) testing. These methods can rapidly identify pathogens and expedite treatment decisions</w:t>
      </w:r>
      <w:r w:rsidR="003614E6">
        <w:rPr>
          <w:color w:val="231F20"/>
        </w:rPr>
        <w:t xml:space="preserve">, but they do not yield </w:t>
      </w:r>
      <w:r w:rsidR="003614E6">
        <w:rPr>
          <w:color w:val="231F20"/>
        </w:rPr>
        <w:lastRenderedPageBreak/>
        <w:t>the bacterial isolates required by public health officials.</w:t>
      </w:r>
      <w:r w:rsidR="008162AE">
        <w:rPr>
          <w:color w:val="231F20"/>
        </w:rPr>
        <w:t xml:space="preserve"> Furthermore, CIDTs may be more likely to produce false-positive results, necessitating confirmation by culture.</w:t>
      </w:r>
      <w:r w:rsidR="008162AE" w:rsidRPr="00C66796">
        <w:rPr>
          <w:color w:val="231F20"/>
          <w:vertAlign w:val="superscript"/>
        </w:rPr>
        <w:t>103</w:t>
      </w:r>
      <w:r w:rsidR="008162AE">
        <w:rPr>
          <w:color w:val="231F20"/>
        </w:rPr>
        <w:t xml:space="preserve"> </w:t>
      </w:r>
      <w:r w:rsidR="003614E6">
        <w:rPr>
          <w:color w:val="231F20"/>
        </w:rPr>
        <w:t xml:space="preserve">Many public health jurisdictions require submission of </w:t>
      </w:r>
      <w:r w:rsidR="008162AE">
        <w:rPr>
          <w:color w:val="231F20"/>
        </w:rPr>
        <w:t>CIDT-positive specimens</w:t>
      </w:r>
      <w:r w:rsidR="003614E6">
        <w:rPr>
          <w:color w:val="231F20"/>
        </w:rPr>
        <w:t xml:space="preserve"> for subsequent culture and subtyping</w:t>
      </w:r>
      <w:r w:rsidR="008162AE">
        <w:rPr>
          <w:color w:val="231F20"/>
        </w:rPr>
        <w:t xml:space="preserve">—but this may </w:t>
      </w:r>
      <w:r w:rsidR="003614E6">
        <w:rPr>
          <w:color w:val="231F20"/>
        </w:rPr>
        <w:t>lead to delays in case interviews</w:t>
      </w:r>
      <w:r w:rsidR="008162AE">
        <w:rPr>
          <w:color w:val="231F20"/>
        </w:rPr>
        <w:t xml:space="preserve"> and ascertainment of common exposures. Conversely, CIDTs may be more sensitive and offer the prospect of detecting pathogens (e.g., enterotoxigenic </w:t>
      </w:r>
      <w:r w:rsidR="008162AE">
        <w:rPr>
          <w:i/>
          <w:color w:val="231F20"/>
        </w:rPr>
        <w:t>Escherichia coli</w:t>
      </w:r>
      <w:r w:rsidR="008162AE">
        <w:rPr>
          <w:color w:val="231F20"/>
        </w:rPr>
        <w:t>) that elude detection by culture.</w:t>
      </w:r>
    </w:p>
    <w:p w14:paraId="279954F6" w14:textId="77777777" w:rsidR="008162AE" w:rsidRDefault="008162AE" w:rsidP="008162AE">
      <w:pPr>
        <w:spacing w:after="0" w:line="264" w:lineRule="auto"/>
        <w:ind w:right="30"/>
        <w:rPr>
          <w:color w:val="231F20"/>
        </w:rPr>
      </w:pPr>
    </w:p>
    <w:p w14:paraId="405D38CF" w14:textId="77777777" w:rsidR="008162AE" w:rsidRPr="00154833" w:rsidRDefault="008162AE" w:rsidP="008162AE">
      <w:pPr>
        <w:spacing w:after="0" w:line="264" w:lineRule="auto"/>
        <w:ind w:right="30"/>
        <w:rPr>
          <w:b/>
          <w:color w:val="231F20"/>
        </w:rPr>
      </w:pPr>
    </w:p>
    <w:p w14:paraId="53593610" w14:textId="77777777" w:rsidR="003E5A7D" w:rsidRDefault="003E5A7D" w:rsidP="00827FAE">
      <w:pPr>
        <w:rPr>
          <w:color w:val="231F20"/>
        </w:rPr>
      </w:pPr>
    </w:p>
    <w:p w14:paraId="207BEDFD" w14:textId="77777777" w:rsidR="00356476" w:rsidRDefault="00356476" w:rsidP="006C11B8">
      <w:pPr>
        <w:rPr>
          <w:b/>
        </w:rPr>
      </w:pPr>
    </w:p>
    <w:p w14:paraId="4D65C525" w14:textId="77777777" w:rsidR="00683E3C" w:rsidRDefault="00683E3C" w:rsidP="00683E3C">
      <w:pPr>
        <w:rPr>
          <w:b/>
        </w:rPr>
      </w:pPr>
      <w:r>
        <w:rPr>
          <w:b/>
        </w:rPr>
        <w:t>CaliciNet</w:t>
      </w:r>
    </w:p>
    <w:p w14:paraId="54490C29" w14:textId="77777777" w:rsidR="00683E3C" w:rsidRDefault="00683E3C" w:rsidP="00683E3C">
      <w:pPr>
        <w:spacing w:line="240" w:lineRule="auto"/>
      </w:pPr>
      <w:r>
        <w:t xml:space="preserve">CaliciNet is a norovirus outbreak surveillance network of local, state and federal public health laboratories. Launched in 2009, this network </w:t>
      </w:r>
      <w:r w:rsidR="006C11B8">
        <w:t>collects outbreaks identified by fecal specimen testing in public health laboratories as being caused by norovirus. Viral sequencing</w:t>
      </w:r>
      <w:r>
        <w:t xml:space="preserve"> </w:t>
      </w:r>
      <w:r w:rsidR="006C11B8">
        <w:t xml:space="preserve">and their uploading into CaliciNet allows for </w:t>
      </w:r>
      <w:r>
        <w:t>monitor</w:t>
      </w:r>
      <w:r w:rsidR="006C11B8">
        <w:t>ing of</w:t>
      </w:r>
      <w:r>
        <w:t xml:space="preserve"> circulating strains, and identifi</w:t>
      </w:r>
      <w:r w:rsidR="006C11B8">
        <w:t>cation of</w:t>
      </w:r>
      <w:r>
        <w:t xml:space="preserve"> newly</w:t>
      </w:r>
      <w:r w:rsidR="006C11B8">
        <w:t xml:space="preserve"> </w:t>
      </w:r>
      <w:r>
        <w:t>emerging norovirus strains. The importance of CaliciNet lies in the fact that 58% of all annual foodborne illness is caused by norovirus. In years when there is a new circulating strain, up to 50% more norovirus illness can be expected. As of 2016, 33 laboratories in 28 states and the District of Columbia participate in CaliciNet.</w:t>
      </w:r>
    </w:p>
    <w:p w14:paraId="11645411" w14:textId="77777777" w:rsidR="00827FAE" w:rsidRDefault="008162AE" w:rsidP="00827FAE">
      <w:pPr>
        <w:rPr>
          <w:b/>
          <w:color w:val="231F20"/>
        </w:rPr>
      </w:pPr>
      <w:r>
        <w:rPr>
          <w:rStyle w:val="CommentReference"/>
        </w:rPr>
        <w:commentReference w:id="13"/>
      </w:r>
      <w:r w:rsidR="00827FAE">
        <w:rPr>
          <w:b/>
          <w:color w:val="231F20"/>
        </w:rPr>
        <w:t xml:space="preserve">Foodborne Disease Outbreak Surveillance System </w:t>
      </w:r>
    </w:p>
    <w:p w14:paraId="50F9DB7A" w14:textId="77777777" w:rsidR="00827FAE" w:rsidRDefault="00827FAE" w:rsidP="00827FAE">
      <w:pPr>
        <w:rPr>
          <w:color w:val="231F20"/>
        </w:rPr>
      </w:pPr>
      <w:r>
        <w:rPr>
          <w:color w:val="231F20"/>
        </w:rPr>
        <w:t>The National Outbreak Surveillance System (NORS) collects reports from public health agencies summarizing the results of investigations of outbreaks, including of foodborne diseases, summarizes the data annually, and makes them available to the public through the National Outbreak Reporting System (NORS) dashboard (</w:t>
      </w:r>
      <w:hyperlink r:id="rId11" w:history="1">
        <w:r w:rsidRPr="005D1CF5">
          <w:rPr>
            <w:rStyle w:val="Hyperlink"/>
          </w:rPr>
          <w:t>www.cdc.gov/fdoss/nors-dashboard.html</w:t>
        </w:r>
      </w:hyperlink>
      <w:proofErr w:type="gramStart"/>
      <w:r>
        <w:rPr>
          <w:color w:val="231F20"/>
        </w:rPr>
        <w:t>)..</w:t>
      </w:r>
      <w:proofErr w:type="gramEnd"/>
      <w:r>
        <w:rPr>
          <w:color w:val="231F20"/>
        </w:rPr>
        <w:t xml:space="preserve"> CDC, USDA-FSIS, FDA, and other investigating agencies analyze these data to improve the understanding of the human health impact of foodborne disease outbreaks and the pathogens, foods, and settings involved in these outbreaks.</w:t>
      </w:r>
    </w:p>
    <w:p w14:paraId="1C65C637" w14:textId="77777777" w:rsidR="00EE5EFA" w:rsidRDefault="00EE5EFA" w:rsidP="00EE5EFA">
      <w:pPr>
        <w:rPr>
          <w:color w:val="231F20"/>
          <w:vertAlign w:val="superscript"/>
        </w:rPr>
      </w:pPr>
    </w:p>
    <w:p w14:paraId="0771FF3B" w14:textId="77777777" w:rsidR="003F44AE" w:rsidRPr="003F44AE" w:rsidRDefault="003F44AE" w:rsidP="00EE5EFA">
      <w:pPr>
        <w:rPr>
          <w:b/>
          <w:sz w:val="26"/>
          <w:szCs w:val="26"/>
        </w:rPr>
      </w:pPr>
      <w:r w:rsidRPr="003F44AE">
        <w:rPr>
          <w:b/>
          <w:sz w:val="26"/>
          <w:szCs w:val="26"/>
        </w:rPr>
        <w:t>2.2.</w:t>
      </w:r>
      <w:r w:rsidR="00900AC6">
        <w:rPr>
          <w:b/>
          <w:sz w:val="26"/>
          <w:szCs w:val="26"/>
        </w:rPr>
        <w:t>2</w:t>
      </w:r>
      <w:r w:rsidRPr="003F44AE">
        <w:rPr>
          <w:b/>
          <w:sz w:val="26"/>
          <w:szCs w:val="26"/>
        </w:rPr>
        <w:t xml:space="preserve"> Surveillance for Food Preparation Risks</w:t>
      </w:r>
    </w:p>
    <w:p w14:paraId="3B592658" w14:textId="77777777" w:rsidR="00900AC6" w:rsidRDefault="00900AC6" w:rsidP="00900AC6">
      <w:pPr>
        <w:rPr>
          <w:color w:val="231F20"/>
        </w:rPr>
      </w:pPr>
      <w:r>
        <w:rPr>
          <w:b/>
          <w:color w:val="231F20"/>
        </w:rPr>
        <w:t>Hazard surveillance during routine inspections</w:t>
      </w:r>
      <w:r>
        <w:rPr>
          <w:color w:val="231F20"/>
        </w:rPr>
        <w:t xml:space="preserve"> </w:t>
      </w:r>
    </w:p>
    <w:p w14:paraId="6620C260" w14:textId="77777777" w:rsidR="00900AC6" w:rsidRDefault="00900AC6" w:rsidP="00900AC6">
      <w:pPr>
        <w:rPr>
          <w:color w:val="231F20"/>
        </w:rPr>
      </w:pPr>
      <w:r>
        <w:rPr>
          <w:color w:val="231F20"/>
        </w:rPr>
        <w:t>Approximately 75 state and territorial agencies and approximately 3000 local agencies assume the primary responsibility for licensing and inspecting retail food-service establishments.</w:t>
      </w:r>
      <w:r>
        <w:rPr>
          <w:color w:val="231F20"/>
          <w:vertAlign w:val="superscript"/>
        </w:rPr>
        <w:t>58</w:t>
      </w:r>
      <w:r>
        <w:rPr>
          <w:color w:val="231F20"/>
        </w:rPr>
        <w:t xml:space="preserve"> In 1998, the FDA initiated the Retail Food Risk Factor Study, a 10-year </w:t>
      </w:r>
      <w:r w:rsidRPr="004F641D">
        <w:rPr>
          <w:rFonts w:asciiTheme="majorHAnsi" w:hAnsiTheme="majorHAnsi" w:cstheme="majorHAnsi"/>
          <w:color w:val="231F20"/>
        </w:rPr>
        <w:t>study</w:t>
      </w:r>
      <w:r w:rsidRPr="004F641D">
        <w:rPr>
          <w:rFonts w:asciiTheme="majorHAnsi" w:hAnsiTheme="majorHAnsi" w:cstheme="majorHAnsi"/>
          <w:color w:val="333333"/>
        </w:rPr>
        <w:t xml:space="preserve"> to measure the occurrence of practices and behaviors commonly identified as contributing factors in foodborne illness outbreaks.</w:t>
      </w:r>
      <w:r>
        <w:rPr>
          <w:color w:val="231F20"/>
        </w:rPr>
        <w:t xml:space="preserve"> Data from the initial study were collected in 1998, 2003 and 2008 and, documented </w:t>
      </w:r>
      <w:commentRangeStart w:id="14"/>
      <w:r>
        <w:rPr>
          <w:color w:val="231F20"/>
        </w:rPr>
        <w:t xml:space="preserve">progress toward the goal </w:t>
      </w:r>
      <w:commentRangeEnd w:id="14"/>
      <w:r>
        <w:rPr>
          <w:rStyle w:val="CommentReference"/>
        </w:rPr>
        <w:commentReference w:id="14"/>
      </w:r>
      <w:r>
        <w:rPr>
          <w:color w:val="231F20"/>
        </w:rPr>
        <w:t xml:space="preserve">of reducing risk factor at retail establishments. This study is being repeated </w:t>
      </w:r>
      <w:r w:rsidR="004427A8">
        <w:rPr>
          <w:color w:val="231F20"/>
        </w:rPr>
        <w:t>during</w:t>
      </w:r>
      <w:r>
        <w:rPr>
          <w:color w:val="231F20"/>
        </w:rPr>
        <w:t xml:space="preserve"> </w:t>
      </w:r>
      <w:commentRangeStart w:id="15"/>
      <w:r>
        <w:rPr>
          <w:color w:val="231F20"/>
        </w:rPr>
        <w:t>2013–2024</w:t>
      </w:r>
      <w:commentRangeEnd w:id="15"/>
      <w:r w:rsidR="004427A8">
        <w:rPr>
          <w:rStyle w:val="CommentReference"/>
        </w:rPr>
        <w:commentReference w:id="15"/>
      </w:r>
      <w:r>
        <w:rPr>
          <w:color w:val="231F20"/>
        </w:rPr>
        <w:t>.</w:t>
      </w:r>
    </w:p>
    <w:p w14:paraId="11CDD6DD" w14:textId="77777777" w:rsidR="00EE5EFA" w:rsidRDefault="00EE5EFA" w:rsidP="00EE5EFA">
      <w:pPr>
        <w:rPr>
          <w:color w:val="231F20"/>
        </w:rPr>
      </w:pPr>
      <w:r>
        <w:rPr>
          <w:b/>
        </w:rPr>
        <w:t>Contributing factor and environmental antecedent surveillance</w:t>
      </w:r>
      <w:r>
        <w:br/>
      </w:r>
      <w:r w:rsidR="004427A8">
        <w:t>Factors</w:t>
      </w:r>
      <w:r w:rsidR="003D5D3C">
        <w:t xml:space="preserve"> contributing </w:t>
      </w:r>
      <w:r w:rsidR="004427A8">
        <w:t>to foodborne illness include</w:t>
      </w:r>
      <w:r w:rsidR="003D5D3C">
        <w:t xml:space="preserve"> contamination, </w:t>
      </w:r>
      <w:r w:rsidR="004427A8">
        <w:t xml:space="preserve">microbial pathogen </w:t>
      </w:r>
      <w:r w:rsidR="003D5D3C">
        <w:t xml:space="preserve">survival and </w:t>
      </w:r>
      <w:r w:rsidR="004427A8">
        <w:t xml:space="preserve">bacterial </w:t>
      </w:r>
      <w:r w:rsidR="003D5D3C">
        <w:t>proliferation.</w:t>
      </w:r>
      <w:r w:rsidR="004427A8">
        <w:rPr>
          <w:color w:val="231F20"/>
        </w:rPr>
        <w:t xml:space="preserve"> </w:t>
      </w:r>
      <w:r w:rsidR="00923BD1">
        <w:rPr>
          <w:color w:val="231F20"/>
        </w:rPr>
        <w:t>Underlying any contributing factor is one or more e</w:t>
      </w:r>
      <w:r>
        <w:rPr>
          <w:color w:val="231F20"/>
        </w:rPr>
        <w:t>nvironmental antecedents</w:t>
      </w:r>
      <w:r w:rsidR="00FA57C7">
        <w:rPr>
          <w:color w:val="231F20"/>
        </w:rPr>
        <w:t>—</w:t>
      </w:r>
      <w:r w:rsidR="00FA57C7">
        <w:rPr>
          <w:color w:val="231F20"/>
        </w:rPr>
        <w:lastRenderedPageBreak/>
        <w:t>i.e.,</w:t>
      </w:r>
      <w:r w:rsidR="00923BD1">
        <w:rPr>
          <w:color w:val="231F20"/>
        </w:rPr>
        <w:t xml:space="preserve"> reason</w:t>
      </w:r>
      <w:r w:rsidR="00FA57C7">
        <w:rPr>
          <w:color w:val="231F20"/>
        </w:rPr>
        <w:t>s</w:t>
      </w:r>
      <w:r w:rsidR="00923BD1">
        <w:rPr>
          <w:color w:val="231F20"/>
        </w:rPr>
        <w:t xml:space="preserve"> why </w:t>
      </w:r>
      <w:r w:rsidR="004427A8">
        <w:rPr>
          <w:color w:val="231F20"/>
        </w:rPr>
        <w:t>the</w:t>
      </w:r>
      <w:r w:rsidR="00923BD1">
        <w:rPr>
          <w:color w:val="231F20"/>
        </w:rPr>
        <w:t xml:space="preserve"> contributing factor occurred</w:t>
      </w:r>
      <w:r>
        <w:rPr>
          <w:color w:val="231F20"/>
        </w:rPr>
        <w:t>—root causes</w:t>
      </w:r>
      <w:r w:rsidR="00983969">
        <w:t xml:space="preserve"> </w:t>
      </w:r>
      <w:r w:rsidR="00923BD1">
        <w:t xml:space="preserve">that are </w:t>
      </w:r>
      <w:r w:rsidR="00FA57C7">
        <w:t>amenable</w:t>
      </w:r>
      <w:r w:rsidR="00923BD1">
        <w:t xml:space="preserve"> to change. </w:t>
      </w:r>
      <w:r w:rsidR="00FA57C7">
        <w:t>Environmental antecedents include</w:t>
      </w:r>
      <w:r w:rsidR="00923BD1">
        <w:t xml:space="preserve"> people, equipment, economics, processes and food. </w:t>
      </w:r>
      <w:r>
        <w:rPr>
          <w:color w:val="231F20"/>
        </w:rPr>
        <w:t xml:space="preserve">Environmental antecedents must be identified and addressed </w:t>
      </w:r>
      <w:r w:rsidR="00FA57C7">
        <w:rPr>
          <w:color w:val="231F20"/>
        </w:rPr>
        <w:t>to prevent</w:t>
      </w:r>
      <w:r>
        <w:rPr>
          <w:color w:val="231F20"/>
        </w:rPr>
        <w:t xml:space="preserve"> the contributing factors.</w:t>
      </w:r>
    </w:p>
    <w:p w14:paraId="20B884AC" w14:textId="77777777" w:rsidR="00EE5EFA" w:rsidRDefault="00EE5EFA" w:rsidP="00EE5EFA">
      <w:pPr>
        <w:rPr>
          <w:color w:val="231F20"/>
        </w:rPr>
      </w:pPr>
      <w:r>
        <w:rPr>
          <w:color w:val="231F20"/>
        </w:rPr>
        <w:t>In 2000, CDC established the Environmental Health Specialists Network (EHS-Net) to better provide information about environmental causes of foodborne disease. Current participants include environmental health specialists and epidemiologists from eight state and local health departments and from FDA, USDA-FSIS, USDA’s Food and Nutrition Service, and CDC. EHS-Net has developed the National Environmental Assessment Reporting System (NEARS)</w:t>
      </w:r>
      <w:r w:rsidR="00FA57C7">
        <w:rPr>
          <w:color w:val="231F20"/>
        </w:rPr>
        <w:t xml:space="preserve"> to</w:t>
      </w:r>
      <w:r>
        <w:rPr>
          <w:color w:val="231F20"/>
        </w:rPr>
        <w:t xml:space="preserve"> systematically monitor and evaluate </w:t>
      </w:r>
      <w:r w:rsidR="00923BD1">
        <w:rPr>
          <w:color w:val="231F20"/>
        </w:rPr>
        <w:t xml:space="preserve">root </w:t>
      </w:r>
      <w:r>
        <w:rPr>
          <w:color w:val="231F20"/>
        </w:rPr>
        <w:t xml:space="preserve">causes of foodborne disease outbreaks, including contributing factors and environmental antecedents. This system links with </w:t>
      </w:r>
      <w:r w:rsidR="00FA57C7">
        <w:rPr>
          <w:color w:val="231F20"/>
        </w:rPr>
        <w:t>NORS</w:t>
      </w:r>
      <w:r>
        <w:rPr>
          <w:color w:val="231F20"/>
        </w:rPr>
        <w:t>.</w:t>
      </w:r>
      <w:r>
        <w:rPr>
          <w:color w:val="231F20"/>
          <w:vertAlign w:val="superscript"/>
        </w:rPr>
        <w:t>56</w:t>
      </w:r>
      <w:r w:rsidR="00FA57C7">
        <w:rPr>
          <w:color w:val="231F20"/>
        </w:rPr>
        <w:t xml:space="preserve"> </w:t>
      </w:r>
      <w:r>
        <w:rPr>
          <w:color w:val="231F20"/>
        </w:rPr>
        <w:t>The information collected through NEARS can inform hypothesis generation regarding antecedents to foodborne disease outbreaks and strengthen the ability of food-control authorities to formulate and evaluate the effectiveness of food-safety actions.</w:t>
      </w:r>
      <w:r w:rsidR="00FA57C7">
        <w:rPr>
          <w:rStyle w:val="CommentReference"/>
        </w:rPr>
        <w:commentReference w:id="16"/>
      </w:r>
    </w:p>
    <w:p w14:paraId="61C690A6" w14:textId="77777777" w:rsidR="00EE5EFA" w:rsidRPr="000C1564" w:rsidRDefault="003F44AE" w:rsidP="00EE5EFA">
      <w:pPr>
        <w:rPr>
          <w:b/>
          <w:sz w:val="26"/>
          <w:szCs w:val="26"/>
        </w:rPr>
      </w:pPr>
      <w:r w:rsidRPr="000C1564">
        <w:rPr>
          <w:b/>
          <w:sz w:val="26"/>
          <w:szCs w:val="26"/>
        </w:rPr>
        <w:t>2.2.</w:t>
      </w:r>
      <w:r w:rsidR="006A6D0E">
        <w:rPr>
          <w:b/>
          <w:sz w:val="26"/>
          <w:szCs w:val="26"/>
        </w:rPr>
        <w:t>3</w:t>
      </w:r>
      <w:r w:rsidRPr="000C1564">
        <w:rPr>
          <w:b/>
          <w:sz w:val="26"/>
          <w:szCs w:val="26"/>
        </w:rPr>
        <w:t xml:space="preserve"> </w:t>
      </w:r>
      <w:r w:rsidR="00EE5EFA" w:rsidRPr="000C1564">
        <w:rPr>
          <w:b/>
          <w:sz w:val="26"/>
          <w:szCs w:val="26"/>
        </w:rPr>
        <w:t xml:space="preserve">Surveillance of the </w:t>
      </w:r>
      <w:r w:rsidRPr="000C1564">
        <w:rPr>
          <w:b/>
          <w:sz w:val="26"/>
          <w:szCs w:val="26"/>
        </w:rPr>
        <w:t>F</w:t>
      </w:r>
      <w:r w:rsidR="00EE5EFA" w:rsidRPr="000C1564">
        <w:rPr>
          <w:b/>
          <w:sz w:val="26"/>
          <w:szCs w:val="26"/>
        </w:rPr>
        <w:t xml:space="preserve">ood </w:t>
      </w:r>
      <w:r w:rsidR="004F641D">
        <w:rPr>
          <w:b/>
          <w:sz w:val="26"/>
          <w:szCs w:val="26"/>
        </w:rPr>
        <w:t>S</w:t>
      </w:r>
      <w:r w:rsidR="00EE5EFA" w:rsidRPr="000C1564">
        <w:rPr>
          <w:b/>
          <w:sz w:val="26"/>
          <w:szCs w:val="26"/>
        </w:rPr>
        <w:t xml:space="preserve">upply </w:t>
      </w:r>
    </w:p>
    <w:p w14:paraId="19A82C2A" w14:textId="77777777" w:rsidR="00EE5EFA" w:rsidRDefault="00EE5EFA" w:rsidP="00EE5EFA">
      <w:commentRangeStart w:id="17"/>
      <w:r>
        <w:t xml:space="preserve">Testing of the food supply and associated environments is performed by local, state, and federal regulatory officials and the food industry. Food testing is a tool used to validate that an establishment’s food safety system is functioning adequately to address hazards in food production and manufacturing and prevent foodborne illnesses. Food and environmental testing data, including </w:t>
      </w:r>
      <w:r w:rsidR="00313336">
        <w:t>microbiologic subtyping</w:t>
      </w:r>
      <w:r>
        <w:t xml:space="preserve"> data, can be used to inform hypothesis generation during outbreaks. Food testing data also can be used to estimate the fraction of selected foodborne illnesses that are caused by specific food sources, to assess changes in food contamination over time, and to assess the success of regulatory measures.</w:t>
      </w:r>
    </w:p>
    <w:p w14:paraId="63B30466" w14:textId="77777777" w:rsidR="00EE5EFA" w:rsidRDefault="00EE5EFA" w:rsidP="00EE5EFA">
      <w:r>
        <w:t>USDA-FSIS food laboratories maintain ISO 17025 accreditation, the international standard for laboratory quality systems. FDA is leading an effort to bring state manufactured food regulatory microbiological and chemical food-testing laboratories under ISO 17025 accreditation to enhance efforts to protect the food supply. Data generated by accredited laboratories will be made available for consideration during FDA enforcement actions as well as for surveillance purposes and during response to foodborne disease outbreaks through the Electronic Laboratory Exchange Network (eLEXNET). Laboratory accreditation will also assist state manufactured food regulatory programs in achieving conformance with the Manufactured Food Regulatory Program Standards (MFRPS).</w:t>
      </w:r>
      <w:r w:rsidRPr="001201A2">
        <w:rPr>
          <w:vertAlign w:val="superscript"/>
        </w:rPr>
        <w:t>93</w:t>
      </w:r>
      <w:commentRangeEnd w:id="17"/>
      <w:r w:rsidR="006A6D0E">
        <w:rPr>
          <w:rStyle w:val="CommentReference"/>
        </w:rPr>
        <w:commentReference w:id="17"/>
      </w:r>
    </w:p>
    <w:p w14:paraId="65BC9F49" w14:textId="77777777" w:rsidR="00EE5EFA" w:rsidRDefault="00EE5EFA" w:rsidP="00356476">
      <w:pPr>
        <w:rPr>
          <w:b/>
        </w:rPr>
      </w:pPr>
    </w:p>
    <w:p w14:paraId="10379262" w14:textId="77777777" w:rsidR="008C0BCE" w:rsidRDefault="006A6D0E" w:rsidP="008C0BCE">
      <w:r>
        <w:rPr>
          <w:rStyle w:val="CommentReference"/>
        </w:rPr>
        <w:commentReference w:id="18"/>
      </w:r>
      <w:r w:rsidR="00EA11E2">
        <w:t xml:space="preserve"> </w:t>
      </w:r>
    </w:p>
    <w:p w14:paraId="3EF76B6E" w14:textId="77777777" w:rsidR="006F5088" w:rsidRDefault="006A6D0E">
      <w:pPr>
        <w:spacing w:after="0" w:line="264" w:lineRule="auto"/>
        <w:ind w:right="30"/>
        <w:rPr>
          <w:color w:val="231F20"/>
        </w:rPr>
      </w:pPr>
      <w:r>
        <w:rPr>
          <w:rStyle w:val="CommentReference"/>
        </w:rPr>
        <w:commentReference w:id="19"/>
      </w:r>
    </w:p>
    <w:p w14:paraId="34E12CC9" w14:textId="77777777" w:rsidR="006F5088" w:rsidRPr="008F2188" w:rsidRDefault="001F5F0E">
      <w:pPr>
        <w:rPr>
          <w:b/>
          <w:sz w:val="28"/>
          <w:szCs w:val="28"/>
        </w:rPr>
      </w:pPr>
      <w:r w:rsidRPr="008F2188">
        <w:rPr>
          <w:b/>
          <w:sz w:val="28"/>
          <w:szCs w:val="28"/>
        </w:rPr>
        <w:t>2.</w:t>
      </w:r>
      <w:r w:rsidR="006A6D0E">
        <w:rPr>
          <w:b/>
          <w:sz w:val="28"/>
          <w:szCs w:val="28"/>
        </w:rPr>
        <w:t>3</w:t>
      </w:r>
      <w:r w:rsidRPr="008F2188">
        <w:rPr>
          <w:b/>
          <w:sz w:val="28"/>
          <w:szCs w:val="28"/>
        </w:rPr>
        <w:t xml:space="preserve">. </w:t>
      </w:r>
      <w:r w:rsidR="00154833" w:rsidRPr="008F2188">
        <w:rPr>
          <w:b/>
          <w:sz w:val="28"/>
          <w:szCs w:val="28"/>
        </w:rPr>
        <w:t>Growing</w:t>
      </w:r>
      <w:r w:rsidRPr="008F2188">
        <w:rPr>
          <w:b/>
          <w:sz w:val="28"/>
          <w:szCs w:val="28"/>
        </w:rPr>
        <w:t xml:space="preserve"> Complex</w:t>
      </w:r>
      <w:r w:rsidR="00154833" w:rsidRPr="008F2188">
        <w:rPr>
          <w:b/>
          <w:sz w:val="28"/>
          <w:szCs w:val="28"/>
        </w:rPr>
        <w:t>ity of the</w:t>
      </w:r>
      <w:r w:rsidRPr="008F2188">
        <w:rPr>
          <w:b/>
          <w:sz w:val="28"/>
          <w:szCs w:val="28"/>
        </w:rPr>
        <w:t xml:space="preserve"> Food </w:t>
      </w:r>
      <w:r w:rsidR="0076710D">
        <w:rPr>
          <w:b/>
          <w:sz w:val="28"/>
          <w:szCs w:val="28"/>
        </w:rPr>
        <w:t>Supply</w:t>
      </w:r>
    </w:p>
    <w:p w14:paraId="3D7FDBFC" w14:textId="77777777" w:rsidR="006F5088" w:rsidRDefault="005C6428">
      <w:pPr>
        <w:rPr>
          <w:b/>
          <w:sz w:val="26"/>
          <w:szCs w:val="26"/>
        </w:rPr>
      </w:pPr>
      <w:r>
        <w:t xml:space="preserve">U.S. food consumption </w:t>
      </w:r>
      <w:r w:rsidR="006A6D0E">
        <w:t>changes contin</w:t>
      </w:r>
      <w:r w:rsidR="00F317A5">
        <w:t>u</w:t>
      </w:r>
      <w:r w:rsidR="006A6D0E">
        <w:t>ously</w:t>
      </w:r>
      <w:r>
        <w:t xml:space="preserve">. Changes in diets and food preferences have resulted in a greater demand for a broader variety of fruits, vegetables, and other foods. </w:t>
      </w:r>
      <w:r w:rsidR="006A6D0E">
        <w:t>Moreover, Americans</w:t>
      </w:r>
      <w:r>
        <w:t xml:space="preserve"> expect to consume these foods year-round, driving import</w:t>
      </w:r>
      <w:r w:rsidR="006A6D0E">
        <w:t>ation</w:t>
      </w:r>
      <w:r>
        <w:t xml:space="preserve"> from areas of the world </w:t>
      </w:r>
      <w:r w:rsidR="006A6D0E">
        <w:t>with</w:t>
      </w:r>
      <w:r>
        <w:t xml:space="preserve"> </w:t>
      </w:r>
      <w:r w:rsidR="004734DE">
        <w:t>the growing seasons necessary to meet U.S. demand.</w:t>
      </w:r>
    </w:p>
    <w:p w14:paraId="6D271887" w14:textId="77777777" w:rsidR="006F5088" w:rsidRPr="00272B4C" w:rsidRDefault="001F5F0E">
      <w:pPr>
        <w:rPr>
          <w:b/>
          <w:sz w:val="26"/>
          <w:szCs w:val="26"/>
        </w:rPr>
      </w:pPr>
      <w:r w:rsidRPr="00272B4C">
        <w:rPr>
          <w:b/>
          <w:sz w:val="26"/>
          <w:szCs w:val="26"/>
        </w:rPr>
        <w:t>2.</w:t>
      </w:r>
      <w:r w:rsidR="006A6D0E" w:rsidRPr="00272B4C">
        <w:rPr>
          <w:b/>
          <w:sz w:val="26"/>
          <w:szCs w:val="26"/>
        </w:rPr>
        <w:t>3</w:t>
      </w:r>
      <w:r w:rsidRPr="00272B4C">
        <w:rPr>
          <w:b/>
          <w:sz w:val="26"/>
          <w:szCs w:val="26"/>
        </w:rPr>
        <w:t>.1.</w:t>
      </w:r>
      <w:r w:rsidR="006A6D0E" w:rsidRPr="00272B4C">
        <w:rPr>
          <w:b/>
          <w:sz w:val="26"/>
          <w:szCs w:val="26"/>
        </w:rPr>
        <w:t xml:space="preserve"> </w:t>
      </w:r>
      <w:r w:rsidRPr="00272B4C">
        <w:rPr>
          <w:b/>
          <w:sz w:val="26"/>
          <w:szCs w:val="26"/>
        </w:rPr>
        <w:t>Dietary Changes</w:t>
      </w:r>
    </w:p>
    <w:p w14:paraId="0FE4E5E9" w14:textId="77777777" w:rsidR="006F5088" w:rsidRDefault="001F5F0E">
      <w:commentRangeStart w:id="20"/>
      <w:r>
        <w:lastRenderedPageBreak/>
        <w:t>From 1985 through 2005, the annual per capita consumption of fruit and vegetables rose from 89 to 101 pounds and from 123 to 174 pounds, respectively.</w:t>
      </w:r>
      <w:r>
        <w:rPr>
          <w:vertAlign w:val="superscript"/>
        </w:rPr>
        <w:t>2</w:t>
      </w:r>
      <w:r>
        <w:t xml:space="preserve"> In 2011, the annual per capita consumption of seafood (fish and shellfish) was 15.0 pounds, compared with 12.4 in 1980.</w:t>
      </w:r>
      <w:r>
        <w:rPr>
          <w:vertAlign w:val="superscript"/>
        </w:rPr>
        <w:t>3,4</w:t>
      </w:r>
      <w:r w:rsidR="004734DE">
        <w:rPr>
          <w:vertAlign w:val="superscript"/>
        </w:rPr>
        <w:t xml:space="preserve"> </w:t>
      </w:r>
      <w:commentRangeEnd w:id="20"/>
      <w:r w:rsidR="001966F0">
        <w:rPr>
          <w:rStyle w:val="CommentReference"/>
        </w:rPr>
        <w:commentReference w:id="20"/>
      </w:r>
      <w:r>
        <w:t xml:space="preserve">The food industry has accommodated this demand </w:t>
      </w:r>
      <w:r w:rsidR="001966F0">
        <w:t>through</w:t>
      </w:r>
      <w:r>
        <w:t xml:space="preserve"> routine importation of items once considered out of season or exotic. According to a report by the USDA’s Economic Research Service (ERS), U.S. food imports grew from $</w:t>
      </w:r>
      <w:r w:rsidR="00A5484D">
        <w:t xml:space="preserve">43.1 </w:t>
      </w:r>
      <w:r>
        <w:t>billion in 1999 to $</w:t>
      </w:r>
      <w:r w:rsidR="00A5484D">
        <w:t xml:space="preserve">137.2 </w:t>
      </w:r>
      <w:r>
        <w:t xml:space="preserve">billion in </w:t>
      </w:r>
      <w:r w:rsidR="00A5484D">
        <w:t>2017</w:t>
      </w:r>
      <w:r>
        <w:t>.</w:t>
      </w:r>
      <w:r w:rsidRPr="004734DE">
        <w:rPr>
          <w:vertAlign w:val="superscript"/>
        </w:rPr>
        <w:t>5</w:t>
      </w:r>
      <w:r>
        <w:t xml:space="preserve"> Much of that </w:t>
      </w:r>
      <w:r w:rsidR="001966F0">
        <w:t xml:space="preserve">import </w:t>
      </w:r>
      <w:r>
        <w:t xml:space="preserve">growth </w:t>
      </w:r>
      <w:r w:rsidR="001966F0">
        <w:t xml:space="preserve">was </w:t>
      </w:r>
      <w:r>
        <w:t xml:space="preserve">in fruit and vegetables, seafood, and processed food products. </w:t>
      </w:r>
      <w:commentRangeStart w:id="21"/>
      <w:r>
        <w:t>In 2011</w:t>
      </w:r>
      <w:commentRangeEnd w:id="21"/>
      <w:r w:rsidR="001966F0">
        <w:rPr>
          <w:rStyle w:val="CommentReference"/>
        </w:rPr>
        <w:commentReference w:id="21"/>
      </w:r>
      <w:r>
        <w:t>, an estimated 15%– 20% of all food consumed in the United States originated from other countries, including over 70% of seafood and about 35% of fresh produce. In some seasons, as much as 60% of fresh produce consumed by Americans is imported.</w:t>
      </w:r>
      <w:r>
        <w:rPr>
          <w:vertAlign w:val="superscript"/>
        </w:rPr>
        <w:t>6</w:t>
      </w:r>
    </w:p>
    <w:p w14:paraId="5B54E0A7" w14:textId="77777777" w:rsidR="006F5088" w:rsidRDefault="001F5F0E">
      <w:commentRangeStart w:id="22"/>
      <w:r>
        <w:t>The safety of imported food products depends largely on the public health and food safety systems of other countries. The existence of food safety problems in other countries is supported by recent analyses of foodborne disease outbreaks reported to the CDC. During</w:t>
      </w:r>
      <w:r w:rsidR="009330F0">
        <w:t xml:space="preserve"> </w:t>
      </w:r>
      <w:r>
        <w:t>2005–2010, 39 outbreaks (0.7% of outbreaks where the country of origin of the contaminated food item or ingredient was reported) were linked to imported items from 15 countries. Of those outbreaks, nearly half (17) occurred in 2009 and 2010. Overall, fish was the most commonly implicated food in these outbreaks, followed by spices (including fresh and dried peppers). Nearly 45% of the imported foods causing outbreaks came from Asia.</w:t>
      </w:r>
      <w:r>
        <w:rPr>
          <w:vertAlign w:val="superscript"/>
        </w:rPr>
        <w:t>7</w:t>
      </w:r>
      <w:commentRangeEnd w:id="22"/>
      <w:r w:rsidR="001966F0">
        <w:rPr>
          <w:rStyle w:val="CommentReference"/>
        </w:rPr>
        <w:commentReference w:id="22"/>
      </w:r>
    </w:p>
    <w:p w14:paraId="623B4BAB" w14:textId="77777777" w:rsidR="006F5088" w:rsidRDefault="001F5F0E">
      <w:r>
        <w:t xml:space="preserve">Culinary preferences that use </w:t>
      </w:r>
      <w:commentRangeStart w:id="23"/>
      <w:r>
        <w:t>undercooked or raw foods</w:t>
      </w:r>
      <w:commentRangeEnd w:id="23"/>
      <w:r w:rsidR="001966F0">
        <w:rPr>
          <w:rStyle w:val="CommentReference"/>
        </w:rPr>
        <w:commentReference w:id="23"/>
      </w:r>
      <w:r>
        <w:t>—particularly dairy, fish, or shellfish—might also be contributing to more frequent infections and outbreaks caused by the microorganisms associated with these foods.</w:t>
      </w:r>
      <w:r>
        <w:rPr>
          <w:vertAlign w:val="superscript"/>
        </w:rPr>
        <w:t>8, 9, 10, 11, 12, 13, 14</w:t>
      </w:r>
      <w:r>
        <w:t xml:space="preserve"> </w:t>
      </w:r>
      <w:r w:rsidR="001966F0">
        <w:t>A</w:t>
      </w:r>
      <w:r>
        <w:t xml:space="preserve">mong the 36 dairy-associated outbreaks reported to CDC during </w:t>
      </w:r>
      <w:commentRangeStart w:id="24"/>
      <w:r>
        <w:t xml:space="preserve">2009–2010 </w:t>
      </w:r>
      <w:commentRangeEnd w:id="24"/>
      <w:r w:rsidR="001966F0">
        <w:rPr>
          <w:rStyle w:val="CommentReference"/>
        </w:rPr>
        <w:commentReference w:id="24"/>
      </w:r>
      <w:r>
        <w:t>for which pasteurization information was reported, 26 (81%) involved unpasteurized products.</w:t>
      </w:r>
      <w:r>
        <w:rPr>
          <w:vertAlign w:val="superscript"/>
        </w:rPr>
        <w:t>16</w:t>
      </w:r>
    </w:p>
    <w:p w14:paraId="17D2D9A2" w14:textId="77777777" w:rsidR="006F5088" w:rsidRPr="008F2188" w:rsidRDefault="001F5F0E">
      <w:pPr>
        <w:rPr>
          <w:b/>
          <w:sz w:val="26"/>
          <w:szCs w:val="26"/>
        </w:rPr>
      </w:pPr>
      <w:r w:rsidRPr="008F2188">
        <w:rPr>
          <w:b/>
          <w:sz w:val="26"/>
          <w:szCs w:val="26"/>
        </w:rPr>
        <w:t>2.</w:t>
      </w:r>
      <w:r w:rsidR="00272B4C">
        <w:rPr>
          <w:b/>
          <w:sz w:val="26"/>
          <w:szCs w:val="26"/>
        </w:rPr>
        <w:t>3</w:t>
      </w:r>
      <w:r w:rsidRPr="008F2188">
        <w:rPr>
          <w:b/>
          <w:sz w:val="26"/>
          <w:szCs w:val="26"/>
        </w:rPr>
        <w:t>.2. Changes in Food Production and Preparation</w:t>
      </w:r>
    </w:p>
    <w:p w14:paraId="0EF3CEA8" w14:textId="77777777" w:rsidR="006F5088" w:rsidRDefault="001F5F0E">
      <w:r>
        <w:t>Changes in what we eat and drink are not the only contributors to trends in foodborne disease. How our food is cultivated or raised, processed, and distributed and where, how, and by whom our food is prepared also are factors. The demand for processed and ready-to-eat foods has led to the industrialization of food production, with concentrated animal feeding operations, increasingly intense agricultural practices, and broadening distribution of food products. Changes in agricultural, processing, or packaging methods might facilitate bacterial contamination or growth,</w:t>
      </w:r>
      <w:r>
        <w:rPr>
          <w:vertAlign w:val="superscript"/>
        </w:rPr>
        <w:t>17, 18, 19, 20, 21, 22,23,</w:t>
      </w:r>
      <w:r w:rsidR="009330F0">
        <w:rPr>
          <w:vertAlign w:val="superscript"/>
        </w:rPr>
        <w:t xml:space="preserve"> </w:t>
      </w:r>
      <w:r>
        <w:rPr>
          <w:vertAlign w:val="superscript"/>
        </w:rPr>
        <w:t>24, 25, 26.27, 28, 29</w:t>
      </w:r>
      <w:r>
        <w:t xml:space="preserve"> and use of antibiotics in livestock and poultry most likely has contributed to </w:t>
      </w:r>
      <w:commentRangeStart w:id="25"/>
      <w:r>
        <w:t>increased human infections caused by drug-resistant bacteria.</w:t>
      </w:r>
      <w:r>
        <w:rPr>
          <w:vertAlign w:val="superscript"/>
        </w:rPr>
        <w:t>30, 31, 32, 33</w:t>
      </w:r>
      <w:commentRangeEnd w:id="25"/>
      <w:r w:rsidR="001966F0">
        <w:rPr>
          <w:rStyle w:val="CommentReference"/>
        </w:rPr>
        <w:commentReference w:id="25"/>
      </w:r>
      <w:r>
        <w:t xml:space="preserve"> In addition, the </w:t>
      </w:r>
      <w:commentRangeStart w:id="26"/>
      <w:r>
        <w:t>broadening distribution</w:t>
      </w:r>
      <w:commentRangeEnd w:id="26"/>
      <w:r w:rsidR="001966F0">
        <w:rPr>
          <w:rStyle w:val="CommentReference"/>
        </w:rPr>
        <w:commentReference w:id="26"/>
      </w:r>
      <w:r>
        <w:t xml:space="preserve"> of food products has contributed to outbreaks of foodborne disease involving larger numbers of people, multiple states, and even multiple countries.</w:t>
      </w:r>
      <w:r>
        <w:rPr>
          <w:vertAlign w:val="superscript"/>
        </w:rPr>
        <w:t>34</w:t>
      </w:r>
    </w:p>
    <w:p w14:paraId="3A4BBC5A" w14:textId="77777777" w:rsidR="006F5088" w:rsidRDefault="001F5F0E">
      <w:r>
        <w:t xml:space="preserve">In seeming contradiction to the growing industrialization of food production and mass distribution of foods nationally and internationally, </w:t>
      </w:r>
      <w:r w:rsidR="00C57279">
        <w:t xml:space="preserve">is the </w:t>
      </w:r>
      <w:r>
        <w:t>increased interest in eating locally</w:t>
      </w:r>
      <w:r w:rsidR="00C57279">
        <w:t xml:space="preserve">-sourced </w:t>
      </w:r>
      <w:proofErr w:type="gramStart"/>
      <w:r w:rsidR="00C57279">
        <w:t>foods</w:t>
      </w:r>
      <w:r>
        <w:t>(</w:t>
      </w:r>
      <w:proofErr w:type="gramEnd"/>
      <w:r>
        <w:t>sometimes termed the “locavore movement”)</w:t>
      </w:r>
      <w:r w:rsidR="00C57279">
        <w:t xml:space="preserve">. The </w:t>
      </w:r>
      <w:r>
        <w:t xml:space="preserve">number of small food producers and direct-to-consumer marketing avenues (e.g., </w:t>
      </w:r>
      <w:r w:rsidR="00C57279">
        <w:t>farmer’s</w:t>
      </w:r>
      <w:r>
        <w:t xml:space="preserve"> markets, farm stands, farm-to-school programs, and “pick-your-own operations”) has also risen. According to census data, </w:t>
      </w:r>
      <w:commentRangeStart w:id="27"/>
      <w:r>
        <w:t>from 1997 to 2007</w:t>
      </w:r>
      <w:commentRangeEnd w:id="27"/>
      <w:r w:rsidR="001966F0">
        <w:rPr>
          <w:rStyle w:val="CommentReference"/>
        </w:rPr>
        <w:commentReference w:id="27"/>
      </w:r>
      <w:r>
        <w:t xml:space="preserve">, direct sales of agricultural products to the public increased by 105%, compared with an increase of 48% for all </w:t>
      </w:r>
      <w:r>
        <w:lastRenderedPageBreak/>
        <w:t>agricultural sales. Over the same period, the number of farms selling directly to consumers increased by 24%, compared with a 0.5% reduction in the total number of farms.</w:t>
      </w:r>
      <w:r>
        <w:rPr>
          <w:vertAlign w:val="superscript"/>
        </w:rPr>
        <w:t>35</w:t>
      </w:r>
      <w:r w:rsidR="00C57279">
        <w:t xml:space="preserve"> </w:t>
      </w:r>
      <w:r>
        <w:t>The effect of increased consumption of locally produced foods is yet to be determined</w:t>
      </w:r>
      <w:r w:rsidR="00C57279">
        <w:t xml:space="preserve"> but </w:t>
      </w:r>
      <w:proofErr w:type="gramStart"/>
      <w:r w:rsidR="00C57279">
        <w:t>it</w:t>
      </w:r>
      <w:r>
        <w:t xml:space="preserve"> would seem that the</w:t>
      </w:r>
      <w:proofErr w:type="gramEnd"/>
      <w:r>
        <w:t xml:space="preserve"> consequences of consuming unsafe food differ marginally between small and large producers</w:t>
      </w:r>
      <w:r w:rsidR="00C57279">
        <w:t>. Fewer</w:t>
      </w:r>
      <w:r>
        <w:t xml:space="preserve"> people might be adversely affected by a limited distribution system, as is probably the case for smaller producers. On the other hand, implementation of improved food safety measures could be more challenging among an increased number of more widespread, smaller food producers. In addition, farm direct sales (i.e., farmers selling produce, eggs, and other foods that they produced directly to retail customers, such as through farmers’ markets and farm stands) are not included among food facilities in the 2011 Food Modernization and Safety Act </w:t>
      </w:r>
      <w:r>
        <w:rPr>
          <w:vertAlign w:val="superscript"/>
        </w:rPr>
        <w:t>36</w:t>
      </w:r>
      <w:r>
        <w:t xml:space="preserve"> and, in some states and local jurisdictions, have been exempted from food safety regulations that pertain to other food facilities.</w:t>
      </w:r>
    </w:p>
    <w:p w14:paraId="0685A0D1" w14:textId="77777777" w:rsidR="006F5088" w:rsidRDefault="001F5F0E">
      <w:r>
        <w:t xml:space="preserve">By whom and where our food is prepared probably also plays a role in foodborne diseases occurrence and outbreaks. Increasingly more Americans eat their meals away from home. According to the National Restaurant Association’s </w:t>
      </w:r>
      <w:commentRangeStart w:id="28"/>
      <w:r>
        <w:t>2012 industry overview</w:t>
      </w:r>
      <w:commentRangeEnd w:id="28"/>
      <w:r w:rsidR="001966F0">
        <w:rPr>
          <w:rStyle w:val="CommentReference"/>
        </w:rPr>
        <w:commentReference w:id="28"/>
      </w:r>
      <w:r>
        <w:t>, 970,000 restaurant locations will have more than 70 billion meal and snack occasions.</w:t>
      </w:r>
      <w:r>
        <w:rPr>
          <w:vertAlign w:val="superscript"/>
        </w:rPr>
        <w:t>37</w:t>
      </w:r>
      <w:r>
        <w:t xml:space="preserve"> </w:t>
      </w:r>
      <w:commentRangeStart w:id="29"/>
      <w:r>
        <w:t>Forty-nine percent of all food spending in 2011 was on food prepared away from home, up from 33% in 1970.</w:t>
      </w:r>
      <w:r>
        <w:rPr>
          <w:vertAlign w:val="superscript"/>
        </w:rPr>
        <w:t>38</w:t>
      </w:r>
      <w:commentRangeEnd w:id="29"/>
      <w:r w:rsidR="001966F0">
        <w:rPr>
          <w:rStyle w:val="CommentReference"/>
        </w:rPr>
        <w:commentReference w:id="29"/>
      </w:r>
    </w:p>
    <w:p w14:paraId="4F77166A" w14:textId="77777777" w:rsidR="006F5088" w:rsidRDefault="001F5F0E">
      <w:r>
        <w:t xml:space="preserve">The increased number of meals eaten away from home most likely has influenced the occurrence of foodborne disease. In an analysis of foodborne disease outbreaks reported to CDC during </w:t>
      </w:r>
      <w:commentRangeStart w:id="30"/>
      <w:r w:rsidR="004B00A6">
        <w:t>2009</w:t>
      </w:r>
      <w:r w:rsidR="009330F0">
        <w:t>–</w:t>
      </w:r>
      <w:r w:rsidR="004B00A6">
        <w:t>2016</w:t>
      </w:r>
      <w:r>
        <w:t xml:space="preserve">, </w:t>
      </w:r>
      <w:commentRangeEnd w:id="30"/>
      <w:r w:rsidR="001966F0">
        <w:rPr>
          <w:rStyle w:val="CommentReference"/>
        </w:rPr>
        <w:commentReference w:id="30"/>
      </w:r>
      <w:r w:rsidR="004B00A6">
        <w:t>61</w:t>
      </w:r>
      <w:r>
        <w:t>% were associated with restaurants</w:t>
      </w:r>
      <w:r w:rsidR="004B00A6">
        <w:t>.</w:t>
      </w:r>
      <w:commentRangeStart w:id="31"/>
      <w:r>
        <w:rPr>
          <w:vertAlign w:val="superscript"/>
        </w:rPr>
        <w:t>38</w:t>
      </w:r>
      <w:commentRangeEnd w:id="31"/>
      <w:r w:rsidR="004B00A6">
        <w:rPr>
          <w:rStyle w:val="CommentReference"/>
        </w:rPr>
        <w:commentReference w:id="31"/>
      </w:r>
      <w:r>
        <w:t xml:space="preserve"> In addition, studies of both sporadic and outbreak-associated foodborne illness, including infection with Shiga toxin–producing Escherichia coli (STEC) O157:H7, </w:t>
      </w:r>
      <w:r w:rsidRPr="00DE6DCE">
        <w:rPr>
          <w:i/>
        </w:rPr>
        <w:t>Salmonella enterica</w:t>
      </w:r>
      <w:r>
        <w:t xml:space="preserve"> serotype</w:t>
      </w:r>
      <w:r w:rsidR="001966F0">
        <w:t>s</w:t>
      </w:r>
      <w:r>
        <w:t xml:space="preserve"> Enteritidis</w:t>
      </w:r>
      <w:r w:rsidR="001966F0">
        <w:t xml:space="preserve"> and</w:t>
      </w:r>
      <w:r>
        <w:t xml:space="preserve"> Typhimurium, and </w:t>
      </w:r>
      <w:r w:rsidRPr="00DE6DCE">
        <w:rPr>
          <w:i/>
        </w:rPr>
        <w:t>Campylobacter jejuni</w:t>
      </w:r>
      <w:r>
        <w:t xml:space="preserve"> suggest that commercial food-service establishments, such as restaurants, play an important role in foodborne disease in the United States.</w:t>
      </w:r>
      <w:r>
        <w:rPr>
          <w:vertAlign w:val="superscript"/>
        </w:rPr>
        <w:t>40</w:t>
      </w:r>
    </w:p>
    <w:p w14:paraId="26A3CBF5" w14:textId="77777777" w:rsidR="006F5088" w:rsidRDefault="006F5088"/>
    <w:p w14:paraId="74D43B9C" w14:textId="77777777" w:rsidR="006F5088" w:rsidRPr="00272B4C" w:rsidRDefault="001F5F0E">
      <w:pPr>
        <w:rPr>
          <w:b/>
          <w:sz w:val="28"/>
          <w:szCs w:val="28"/>
        </w:rPr>
      </w:pPr>
      <w:r w:rsidRPr="00272B4C">
        <w:rPr>
          <w:b/>
          <w:sz w:val="28"/>
          <w:szCs w:val="28"/>
        </w:rPr>
        <w:t>2.4.</w:t>
      </w:r>
      <w:r w:rsidRPr="00272B4C">
        <w:rPr>
          <w:b/>
          <w:sz w:val="28"/>
          <w:szCs w:val="28"/>
        </w:rPr>
        <w:tab/>
      </w:r>
      <w:r w:rsidR="00272B4C" w:rsidRPr="00272B4C">
        <w:rPr>
          <w:b/>
          <w:sz w:val="28"/>
          <w:szCs w:val="28"/>
        </w:rPr>
        <w:t>Changes in</w:t>
      </w:r>
      <w:r w:rsidRPr="00272B4C">
        <w:rPr>
          <w:b/>
          <w:sz w:val="28"/>
          <w:szCs w:val="28"/>
        </w:rPr>
        <w:t xml:space="preserve"> Foodborne Outbreak Response</w:t>
      </w:r>
    </w:p>
    <w:p w14:paraId="0CFFC610" w14:textId="77777777" w:rsidR="006F5088" w:rsidRDefault="00B03044">
      <w:r>
        <w:t xml:space="preserve">The </w:t>
      </w:r>
      <w:r w:rsidR="00AB4146">
        <w:t xml:space="preserve">U. S. </w:t>
      </w:r>
      <w:r>
        <w:t xml:space="preserve">foodborne outbreak response </w:t>
      </w:r>
      <w:r w:rsidR="00AB4146">
        <w:t>system is complex, involving multiple agencies at local, state, and federal levels of government</w:t>
      </w:r>
      <w:r w:rsidR="00BD5A72">
        <w:t>, the legal constraints and obligations under which they operate, and the efforts of</w:t>
      </w:r>
      <w:r w:rsidR="00184FE6">
        <w:t xml:space="preserve"> private partners</w:t>
      </w:r>
      <w:r w:rsidR="00A0189C">
        <w:t xml:space="preserve"> as well</w:t>
      </w:r>
      <w:r w:rsidR="00AB4146">
        <w:t xml:space="preserve">. </w:t>
      </w:r>
      <w:r w:rsidR="00A0189C">
        <w:t xml:space="preserve">The </w:t>
      </w:r>
      <w:commentRangeStart w:id="32"/>
      <w:r w:rsidR="00A0189C">
        <w:t>Food Safety Modernization Act (FSMA)</w:t>
      </w:r>
      <w:commentRangeEnd w:id="32"/>
      <w:r w:rsidR="00602A6C">
        <w:rPr>
          <w:rStyle w:val="CommentReference"/>
        </w:rPr>
        <w:commentReference w:id="32"/>
      </w:r>
      <w:r w:rsidR="00A0189C">
        <w:t xml:space="preserve">, passed by Congress in 2011, </w:t>
      </w:r>
      <w:r w:rsidR="00602A6C">
        <w:t xml:space="preserve">was the first </w:t>
      </w:r>
      <w:r w:rsidR="00A0189C">
        <w:t xml:space="preserve">major reform of the Food and Drug Administration’s food safety authority since </w:t>
      </w:r>
      <w:r w:rsidR="00602A6C">
        <w:t xml:space="preserve">the 1938 enactment of the Food, Drug, and Cosmetic Act. Since the last edition of the CIFOR guidelines, the </w:t>
      </w:r>
      <w:r w:rsidR="00E46D67">
        <w:t>provisions of FSMA have been rolled out in 7 federal regulations</w:t>
      </w:r>
      <w:r w:rsidR="00A53A57">
        <w:t xml:space="preserve">, with </w:t>
      </w:r>
      <w:commentRangeStart w:id="33"/>
      <w:r w:rsidR="000324DC">
        <w:t xml:space="preserve">final rule </w:t>
      </w:r>
      <w:r w:rsidR="00A53A57">
        <w:t>publication dates as follows</w:t>
      </w:r>
      <w:commentRangeEnd w:id="33"/>
      <w:r w:rsidR="000324DC">
        <w:rPr>
          <w:rStyle w:val="CommentReference"/>
        </w:rPr>
        <w:commentReference w:id="33"/>
      </w:r>
      <w:r w:rsidR="00E46D67">
        <w:t>:</w:t>
      </w:r>
    </w:p>
    <w:p w14:paraId="4B5E06FD" w14:textId="77777777" w:rsidR="0072643E" w:rsidRDefault="0072643E" w:rsidP="0072643E">
      <w:pPr>
        <w:pStyle w:val="ListParagraph"/>
        <w:numPr>
          <w:ilvl w:val="0"/>
          <w:numId w:val="12"/>
        </w:numPr>
      </w:pPr>
      <w:r>
        <w:t>Preventive Controls for Food for Animals (17 Sep 2015)</w:t>
      </w:r>
    </w:p>
    <w:p w14:paraId="713EF412" w14:textId="77777777" w:rsidR="0072643E" w:rsidRDefault="0072643E" w:rsidP="0072643E">
      <w:pPr>
        <w:pStyle w:val="ListParagraph"/>
        <w:numPr>
          <w:ilvl w:val="0"/>
          <w:numId w:val="12"/>
        </w:numPr>
      </w:pPr>
      <w:r>
        <w:t>Preventive Controls for Human Food (17 Sep 2015)</w:t>
      </w:r>
    </w:p>
    <w:p w14:paraId="1726406A" w14:textId="77777777" w:rsidR="0072643E" w:rsidRDefault="0072643E" w:rsidP="0072643E">
      <w:pPr>
        <w:pStyle w:val="ListParagraph"/>
        <w:numPr>
          <w:ilvl w:val="0"/>
          <w:numId w:val="12"/>
        </w:numPr>
      </w:pPr>
      <w:r>
        <w:t>Standards for Produce Safety (27 Nov 2015)</w:t>
      </w:r>
    </w:p>
    <w:p w14:paraId="3181EF4F" w14:textId="77777777" w:rsidR="00E46D67" w:rsidRDefault="00E46D67" w:rsidP="0072643E">
      <w:pPr>
        <w:pStyle w:val="ListParagraph"/>
        <w:numPr>
          <w:ilvl w:val="0"/>
          <w:numId w:val="12"/>
        </w:numPr>
      </w:pPr>
      <w:r>
        <w:t>Foreign Supplier Verification Programs for Importers of Food for Humans and Animals</w:t>
      </w:r>
      <w:r w:rsidR="000324DC">
        <w:t xml:space="preserve"> (27 Nov 2015)</w:t>
      </w:r>
    </w:p>
    <w:p w14:paraId="60C68A81" w14:textId="77777777" w:rsidR="0072643E" w:rsidRDefault="0072643E" w:rsidP="0072643E">
      <w:pPr>
        <w:pStyle w:val="ListParagraph"/>
        <w:numPr>
          <w:ilvl w:val="0"/>
          <w:numId w:val="12"/>
        </w:numPr>
      </w:pPr>
      <w:r>
        <w:t>Accredited Third-Party Certification Rule (27 Nov 2015)</w:t>
      </w:r>
    </w:p>
    <w:p w14:paraId="3BBC6AC7" w14:textId="77777777" w:rsidR="0072643E" w:rsidRDefault="0072643E" w:rsidP="0072643E">
      <w:pPr>
        <w:pStyle w:val="ListParagraph"/>
        <w:numPr>
          <w:ilvl w:val="0"/>
          <w:numId w:val="12"/>
        </w:numPr>
      </w:pPr>
      <w:r>
        <w:t>Sanitary Transportation of Human and Animal Food (6 Apr 2016)</w:t>
      </w:r>
    </w:p>
    <w:p w14:paraId="46592E0F" w14:textId="77777777" w:rsidR="00E46D67" w:rsidRDefault="00E46D67" w:rsidP="0072643E">
      <w:pPr>
        <w:pStyle w:val="ListParagraph"/>
        <w:numPr>
          <w:ilvl w:val="0"/>
          <w:numId w:val="12"/>
        </w:numPr>
      </w:pPr>
      <w:r>
        <w:lastRenderedPageBreak/>
        <w:t>Mitigation Strategies to Protect Food against Intentional Adulteration</w:t>
      </w:r>
      <w:r w:rsidR="000324DC">
        <w:t xml:space="preserve"> (27 May 2016)</w:t>
      </w:r>
    </w:p>
    <w:p w14:paraId="6648C027" w14:textId="77777777" w:rsidR="006F5088" w:rsidRDefault="00E46D67">
      <w:pPr>
        <w:rPr>
          <w:vertAlign w:val="superscript"/>
        </w:rPr>
      </w:pPr>
      <w:r>
        <w:t xml:space="preserve">FSMA and its associated regulations grant FDA substantial new authority to protect food all along the </w:t>
      </w:r>
      <w:r w:rsidR="00A53A57">
        <w:t>farm-to-fork line, covering preventive controls, inspections, laboratory testing, product tracing, mandatory recall authority, importer accountability, authority to deny entry to the U.S. market, state and local capacity building, and other areas.</w:t>
      </w:r>
    </w:p>
    <w:p w14:paraId="100075AF" w14:textId="77777777" w:rsidR="00B03044" w:rsidRDefault="00B03044"/>
    <w:p w14:paraId="7CAF620F" w14:textId="77777777" w:rsidR="006F5088" w:rsidRDefault="001F5F0E">
      <w:pPr>
        <w:rPr>
          <w:b/>
          <w:sz w:val="28"/>
          <w:szCs w:val="28"/>
        </w:rPr>
      </w:pPr>
      <w:r>
        <w:rPr>
          <w:b/>
          <w:sz w:val="28"/>
          <w:szCs w:val="28"/>
        </w:rPr>
        <w:t xml:space="preserve">2.5 </w:t>
      </w:r>
      <w:r w:rsidR="00307815">
        <w:rPr>
          <w:b/>
          <w:sz w:val="28"/>
          <w:szCs w:val="28"/>
        </w:rPr>
        <w:t xml:space="preserve">Summary: </w:t>
      </w:r>
      <w:r>
        <w:rPr>
          <w:b/>
          <w:sz w:val="28"/>
          <w:szCs w:val="28"/>
        </w:rPr>
        <w:t>Foodborne Outbreak Response and System Change</w:t>
      </w:r>
    </w:p>
    <w:p w14:paraId="6F51CF16" w14:textId="77777777" w:rsidR="006F5088" w:rsidRPr="00307815" w:rsidRDefault="0072643E">
      <w:r>
        <w:t>The foods we eat and the processes by which they are produced, distributed, and prepared; the means for diagnosing illness and detecting outbreaks; the methods whereby outbreaks are investigated; and the response of governmental and private partners are always changing. Th</w:t>
      </w:r>
      <w:r w:rsidR="00D57B53">
        <w:t xml:space="preserve">e ensuing chapters provide updated guidance to responders with these changes in mind. </w:t>
      </w:r>
    </w:p>
    <w:p w14:paraId="30825FBA" w14:textId="77777777" w:rsidR="006F5088" w:rsidRDefault="006F5088"/>
    <w:p w14:paraId="149F293B" w14:textId="77777777" w:rsidR="006F5088" w:rsidRDefault="001F5F0E">
      <w:pPr>
        <w:rPr>
          <w:b/>
          <w:sz w:val="28"/>
          <w:szCs w:val="28"/>
        </w:rPr>
      </w:pPr>
      <w:commentRangeStart w:id="34"/>
      <w:r>
        <w:rPr>
          <w:b/>
          <w:sz w:val="28"/>
          <w:szCs w:val="28"/>
        </w:rPr>
        <w:t xml:space="preserve"> 2.6.</w:t>
      </w:r>
      <w:r>
        <w:rPr>
          <w:b/>
          <w:sz w:val="28"/>
          <w:szCs w:val="28"/>
        </w:rPr>
        <w:tab/>
        <w:t>References</w:t>
      </w:r>
      <w:commentRangeEnd w:id="34"/>
      <w:r w:rsidR="00D57B53">
        <w:rPr>
          <w:rStyle w:val="CommentReference"/>
        </w:rPr>
        <w:commentReference w:id="34"/>
      </w:r>
    </w:p>
    <w:p w14:paraId="38FD7AED" w14:textId="09108DCD" w:rsidR="006F5088" w:rsidRDefault="001F5F0E">
      <w:r>
        <w:br/>
      </w:r>
      <w:r>
        <w:br/>
      </w:r>
      <w:r>
        <w:br/>
      </w:r>
      <w:r>
        <w:br/>
      </w:r>
      <w:r>
        <w:br/>
      </w:r>
    </w:p>
    <w:sectPr w:rsidR="006F5088">
      <w:footerReference w:type="default" r:id="rId12"/>
      <w:pgSz w:w="12240" w:h="15840"/>
      <w:pgMar w:top="1440" w:right="1440" w:bottom="1440" w:left="1560" w:header="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oseph Russell" w:date="2018-08-07T15:19:00Z" w:initials="JR">
    <w:p w14:paraId="6F619C4E" w14:textId="77777777" w:rsidR="00983969" w:rsidRDefault="00983969">
      <w:pPr>
        <w:pStyle w:val="CommentText"/>
      </w:pPr>
      <w:r>
        <w:rPr>
          <w:rStyle w:val="CommentReference"/>
        </w:rPr>
        <w:annotationRef/>
      </w:r>
      <w:r>
        <w:t>Need new citation</w:t>
      </w:r>
    </w:p>
  </w:comment>
  <w:comment w:id="3" w:author="Paul Cieslak" w:date="2018-08-07T17:48:00Z" w:initials="PRC">
    <w:p w14:paraId="006B80F6" w14:textId="77777777" w:rsidR="00983969" w:rsidRDefault="00983969">
      <w:pPr>
        <w:pStyle w:val="CommentText"/>
      </w:pPr>
      <w:r>
        <w:rPr>
          <w:rStyle w:val="CommentReference"/>
        </w:rPr>
        <w:annotationRef/>
      </w:r>
    </w:p>
  </w:comment>
  <w:comment w:id="4" w:author="Paul Cieslak" w:date="2018-08-07T15:19:00Z" w:initials="PRC">
    <w:p w14:paraId="373F162A" w14:textId="77777777" w:rsidR="00983969" w:rsidRDefault="00983969">
      <w:pPr>
        <w:pStyle w:val="CommentText"/>
      </w:pPr>
      <w:r>
        <w:rPr>
          <w:rStyle w:val="CommentReference"/>
        </w:rPr>
        <w:annotationRef/>
      </w:r>
      <w:r>
        <w:t>I just did this using available NORS data on foodborne ou</w:t>
      </w:r>
      <w:r w:rsidR="00F317A5">
        <w:t>t</w:t>
      </w:r>
      <w:r>
        <w:t>breaks. If CDC can refine this, great.</w:t>
      </w:r>
    </w:p>
    <w:p w14:paraId="0A4216F7" w14:textId="77777777" w:rsidR="00983969" w:rsidRDefault="00BA1EFD">
      <w:pPr>
        <w:pStyle w:val="CommentText"/>
      </w:pPr>
      <w:hyperlink r:id="rId1" w:history="1">
        <w:r w:rsidR="00983969" w:rsidRPr="0017479D">
          <w:rPr>
            <w:rStyle w:val="Hyperlink"/>
          </w:rPr>
          <w:t>https://wwwn.cdc.gov/norsdashboard/</w:t>
        </w:r>
      </w:hyperlink>
    </w:p>
  </w:comment>
  <w:comment w:id="5" w:author="Cieslak Paul R" w:date="2018-08-07T15:19:00Z" w:initials="prc">
    <w:p w14:paraId="2477A82C" w14:textId="77777777" w:rsidR="00983969" w:rsidRDefault="00983969" w:rsidP="002A0AB8">
      <w:pPr>
        <w:pStyle w:val="CommentText"/>
      </w:pPr>
      <w:r>
        <w:rPr>
          <w:rStyle w:val="CommentReference"/>
        </w:rPr>
        <w:annotationRef/>
      </w:r>
      <w:r>
        <w:t>Needs to be updated.</w:t>
      </w:r>
    </w:p>
  </w:comment>
  <w:comment w:id="6" w:author="Paul Cieslak" w:date="2018-08-07T15:19:00Z" w:initials="PRC">
    <w:p w14:paraId="1D7B5A6E" w14:textId="77777777" w:rsidR="00983969" w:rsidRDefault="00983969">
      <w:pPr>
        <w:pStyle w:val="CommentText"/>
      </w:pPr>
      <w:r>
        <w:rPr>
          <w:rStyle w:val="CommentReference"/>
        </w:rPr>
        <w:annotationRef/>
      </w:r>
      <w:r>
        <w:t>Hoping someone at CDC can throw an illustrative datum or two at this.</w:t>
      </w:r>
    </w:p>
  </w:comment>
  <w:comment w:id="7" w:author="Paul Cieslak" w:date="2018-08-07T15:19:00Z" w:initials="PRC">
    <w:p w14:paraId="2048FB84" w14:textId="77777777" w:rsidR="00983969" w:rsidRDefault="00983969">
      <w:pPr>
        <w:pStyle w:val="CommentText"/>
      </w:pPr>
      <w:r>
        <w:rPr>
          <w:rStyle w:val="CommentReference"/>
        </w:rPr>
        <w:annotationRef/>
      </w:r>
      <w:r>
        <w:t xml:space="preserve">Reference </w:t>
      </w:r>
      <w:hyperlink r:id="rId2" w:history="1">
        <w:r w:rsidRPr="0017479D">
          <w:rPr>
            <w:rStyle w:val="Hyperlink"/>
          </w:rPr>
          <w:t>https://www.cdc.gov/salmonella/kratom-02-18/index.html</w:t>
        </w:r>
      </w:hyperlink>
    </w:p>
  </w:comment>
  <w:comment w:id="8" w:author="Cieslak Paul R" w:date="2018-08-10T11:17:00Z" w:initials="prc">
    <w:p w14:paraId="2AE5AA5B" w14:textId="77777777" w:rsidR="00983969" w:rsidRDefault="00983969">
      <w:pPr>
        <w:pStyle w:val="CommentText"/>
      </w:pPr>
      <w:r>
        <w:rPr>
          <w:rStyle w:val="CommentReference"/>
        </w:rPr>
        <w:annotationRef/>
      </w:r>
      <w:r>
        <w:rPr>
          <w:rStyle w:val="CommentReference"/>
        </w:rPr>
        <w:t>Y’know, we address surveillance, but we really don’t have anything in this chapter about advances in epidemiologic investigation. Can the authors of that chapter give us something to chew on? I’m thinking of the increasing use of binomial associations, perhaps mention Project Hg, increasing use (and utility!) of product testing…</w:t>
      </w:r>
    </w:p>
  </w:comment>
  <w:comment w:id="9" w:author="Paul Cieslak" w:date="2018-08-07T15:19:00Z" w:initials="PRC">
    <w:p w14:paraId="47C52FC3" w14:textId="77777777" w:rsidR="00983969" w:rsidRDefault="00983969">
      <w:pPr>
        <w:pStyle w:val="CommentText"/>
      </w:pPr>
      <w:r>
        <w:rPr>
          <w:rStyle w:val="CommentReference"/>
        </w:rPr>
        <w:annotationRef/>
      </w:r>
      <w:r>
        <w:t xml:space="preserve">Other than the </w:t>
      </w:r>
      <w:proofErr w:type="spellStart"/>
      <w:r>
        <w:t>PopSurvey</w:t>
      </w:r>
      <w:proofErr w:type="spellEnd"/>
      <w:r>
        <w:t>, I don’t think there’s enough new in FoodNet to merit mentioning in this chapter.</w:t>
      </w:r>
    </w:p>
  </w:comment>
  <w:comment w:id="10" w:author="Paul Cieslak" w:date="2018-08-07T15:19:00Z" w:initials="PRC">
    <w:p w14:paraId="72C62959" w14:textId="77777777" w:rsidR="00983969" w:rsidRDefault="00983969">
      <w:pPr>
        <w:pStyle w:val="CommentText"/>
      </w:pPr>
      <w:r>
        <w:rPr>
          <w:rStyle w:val="CommentReference"/>
        </w:rPr>
        <w:annotationRef/>
      </w:r>
      <w:r>
        <w:t>Is this new since the previous version of the guidelines?</w:t>
      </w:r>
    </w:p>
    <w:p w14:paraId="372D2F8C" w14:textId="77777777" w:rsidR="00983969" w:rsidRDefault="00983969">
      <w:pPr>
        <w:pStyle w:val="CommentText"/>
      </w:pPr>
      <w:r>
        <w:t xml:space="preserve">Can we say anything about trends since </w:t>
      </w:r>
      <w:r w:rsidR="00F317A5">
        <w:t>then – e.g., have more jurisdic</w:t>
      </w:r>
      <w:r>
        <w:t>tions adopted the systems, or are they getting more efficient with technology?</w:t>
      </w:r>
    </w:p>
    <w:p w14:paraId="5B85DD35" w14:textId="77777777" w:rsidR="00983969" w:rsidRDefault="00983969">
      <w:pPr>
        <w:pStyle w:val="CommentText"/>
      </w:pPr>
    </w:p>
    <w:p w14:paraId="398421CE" w14:textId="77777777" w:rsidR="00983969" w:rsidRDefault="00983969">
      <w:pPr>
        <w:pStyle w:val="CommentText"/>
      </w:pPr>
      <w:r>
        <w:t>If not, I’d shorten to a couple of sentences.</w:t>
      </w:r>
    </w:p>
  </w:comment>
  <w:comment w:id="11" w:author="Paul Cieslak" w:date="2018-08-07T15:19:00Z" w:initials="PRC">
    <w:p w14:paraId="1D11B6BA" w14:textId="77777777" w:rsidR="00983969" w:rsidRDefault="00983969">
      <w:pPr>
        <w:pStyle w:val="CommentText"/>
      </w:pPr>
      <w:r>
        <w:rPr>
          <w:rStyle w:val="CommentReference"/>
        </w:rPr>
        <w:annotationRef/>
      </w:r>
      <w:r>
        <w:t>Can someone add a reference here?</w:t>
      </w:r>
    </w:p>
  </w:comment>
  <w:comment w:id="12" w:author="Cieslak Paul R" w:date="2018-08-07T15:22:00Z" w:initials="prc">
    <w:p w14:paraId="4B9BBDB5" w14:textId="77777777" w:rsidR="00983969" w:rsidRDefault="00983969" w:rsidP="008162AE">
      <w:pPr>
        <w:pStyle w:val="CommentText"/>
      </w:pPr>
      <w:r>
        <w:rPr>
          <w:rStyle w:val="CommentReference"/>
        </w:rPr>
        <w:annotationRef/>
      </w:r>
      <w:r>
        <w:rPr>
          <w:rStyle w:val="CommentReference"/>
        </w:rPr>
        <w:annotationRef/>
      </w:r>
      <w:r>
        <w:t>This will be covered in greater detail in chapter 4, and somewhat in chapter 5. For this discussion, could they be incorporated?</w:t>
      </w:r>
    </w:p>
  </w:comment>
  <w:comment w:id="13" w:author="Paul Cieslak" w:date="2018-08-07T15:24:00Z" w:initials="PRC">
    <w:p w14:paraId="30C9B52D" w14:textId="77777777" w:rsidR="00983969" w:rsidRDefault="00983969">
      <w:pPr>
        <w:pStyle w:val="CommentText"/>
      </w:pPr>
      <w:r>
        <w:rPr>
          <w:rStyle w:val="CommentReference"/>
        </w:rPr>
        <w:annotationRef/>
      </w:r>
      <w:r>
        <w:t>Unless we can relate it more directly to CIFOR work – i.e., to the identification, investigation, or control of outbreaks, I propose deleting the NARMS stuff.</w:t>
      </w:r>
    </w:p>
  </w:comment>
  <w:comment w:id="14" w:author="Paul Cieslak" w:date="2018-08-07T16:11:00Z" w:initials="PRC">
    <w:p w14:paraId="453852D1" w14:textId="77777777" w:rsidR="00983969" w:rsidRDefault="00983969">
      <w:pPr>
        <w:pStyle w:val="CommentText"/>
      </w:pPr>
      <w:r>
        <w:rPr>
          <w:rStyle w:val="CommentReference"/>
        </w:rPr>
        <w:annotationRef/>
      </w:r>
      <w:r>
        <w:t>Can we be more specific?</w:t>
      </w:r>
    </w:p>
  </w:comment>
  <w:comment w:id="15" w:author="Paul Cieslak" w:date="2018-08-07T16:12:00Z" w:initials="PRC">
    <w:p w14:paraId="1CCE031B" w14:textId="77777777" w:rsidR="00983969" w:rsidRDefault="00983969">
      <w:pPr>
        <w:pStyle w:val="CommentText"/>
      </w:pPr>
      <w:r>
        <w:rPr>
          <w:rStyle w:val="CommentReference"/>
        </w:rPr>
        <w:annotationRef/>
      </w:r>
      <w:r>
        <w:t>Any preliminary data?</w:t>
      </w:r>
    </w:p>
  </w:comment>
  <w:comment w:id="16" w:author="Paul Cieslak" w:date="2018-08-07T17:06:00Z" w:initials="PRC">
    <w:p w14:paraId="2659DADB" w14:textId="77777777" w:rsidR="00983969" w:rsidRDefault="00983969">
      <w:pPr>
        <w:pStyle w:val="CommentText"/>
      </w:pPr>
      <w:r>
        <w:rPr>
          <w:rStyle w:val="CommentReference"/>
        </w:rPr>
        <w:annotationRef/>
      </w:r>
      <w:r>
        <w:t>We really want just stuff that’s new since the last CIFOR Guidelines were published. Anyone…?</w:t>
      </w:r>
    </w:p>
  </w:comment>
  <w:comment w:id="17" w:author="Paul Cieslak" w:date="2018-08-07T17:36:00Z" w:initials="PRC">
    <w:p w14:paraId="602DD84D" w14:textId="77777777" w:rsidR="00983969" w:rsidRDefault="00983969">
      <w:pPr>
        <w:pStyle w:val="CommentText"/>
      </w:pPr>
      <w:r>
        <w:rPr>
          <w:rStyle w:val="CommentReference"/>
        </w:rPr>
        <w:annotationRef/>
      </w:r>
      <w:r>
        <w:t>Is there anything new here? If not, delete.</w:t>
      </w:r>
    </w:p>
    <w:p w14:paraId="59CFEC85" w14:textId="77777777" w:rsidR="00983969" w:rsidRDefault="00983969">
      <w:pPr>
        <w:pStyle w:val="CommentText"/>
      </w:pPr>
    </w:p>
    <w:p w14:paraId="18B18F66" w14:textId="77777777" w:rsidR="00983969" w:rsidRDefault="00983969">
      <w:pPr>
        <w:pStyle w:val="CommentText"/>
      </w:pPr>
      <w:r>
        <w:t>I think there’s a better discussion of the food supply in §___ below.</w:t>
      </w:r>
    </w:p>
  </w:comment>
  <w:comment w:id="18" w:author="Paul Cieslak" w:date="2018-08-07T17:11:00Z" w:initials="PRC">
    <w:p w14:paraId="6ED6F0CD" w14:textId="77777777" w:rsidR="00983969" w:rsidRDefault="00983969">
      <w:pPr>
        <w:pStyle w:val="CommentText"/>
      </w:pPr>
      <w:r>
        <w:rPr>
          <w:rStyle w:val="CommentReference"/>
        </w:rPr>
        <w:annotationRef/>
      </w:r>
      <w:r>
        <w:t>Not relevant to Chapter 2.</w:t>
      </w:r>
    </w:p>
  </w:comment>
  <w:comment w:id="19" w:author="Paul Cieslak" w:date="2018-08-07T17:13:00Z" w:initials="PRC">
    <w:p w14:paraId="46E0E3E1" w14:textId="77777777" w:rsidR="00983969" w:rsidRDefault="00983969">
      <w:pPr>
        <w:pStyle w:val="CommentText"/>
      </w:pPr>
      <w:r>
        <w:rPr>
          <w:rStyle w:val="CommentReference"/>
        </w:rPr>
        <w:annotationRef/>
      </w:r>
      <w:r>
        <w:t>Nothing new here, and trends covered in previous sections.</w:t>
      </w:r>
    </w:p>
  </w:comment>
  <w:comment w:id="20" w:author="Paul Cieslak" w:date="2018-08-07T17:20:00Z" w:initials="PRC">
    <w:p w14:paraId="3C930EDF" w14:textId="77777777" w:rsidR="00983969" w:rsidRDefault="00983969">
      <w:pPr>
        <w:pStyle w:val="CommentText"/>
      </w:pPr>
      <w:r>
        <w:rPr>
          <w:rStyle w:val="CommentReference"/>
        </w:rPr>
        <w:annotationRef/>
      </w:r>
      <w:r>
        <w:t>More recent data, anyone?</w:t>
      </w:r>
    </w:p>
  </w:comment>
  <w:comment w:id="21" w:author="Paul Cieslak" w:date="2018-08-07T17:22:00Z" w:initials="PRC">
    <w:p w14:paraId="70AE5C92" w14:textId="77777777" w:rsidR="00983969" w:rsidRDefault="00983969">
      <w:pPr>
        <w:pStyle w:val="CommentText"/>
      </w:pPr>
      <w:r>
        <w:rPr>
          <w:rStyle w:val="CommentReference"/>
        </w:rPr>
        <w:annotationRef/>
      </w:r>
      <w:r>
        <w:t>Can we get 2017 data as for the previous sentence?</w:t>
      </w:r>
    </w:p>
  </w:comment>
  <w:comment w:id="22" w:author="Paul Cieslak" w:date="2018-08-07T17:22:00Z" w:initials="PRC">
    <w:p w14:paraId="6C224BE4" w14:textId="77777777" w:rsidR="00983969" w:rsidRDefault="00983969">
      <w:pPr>
        <w:pStyle w:val="CommentText"/>
      </w:pPr>
      <w:r>
        <w:rPr>
          <w:rStyle w:val="CommentReference"/>
        </w:rPr>
        <w:annotationRef/>
      </w:r>
      <w:r>
        <w:t>CDC – how about since 2010?</w:t>
      </w:r>
    </w:p>
  </w:comment>
  <w:comment w:id="23" w:author="Paul Cieslak" w:date="2018-08-07T17:24:00Z" w:initials="PRC">
    <w:p w14:paraId="7AC65798" w14:textId="77777777" w:rsidR="00983969" w:rsidRDefault="00983969">
      <w:pPr>
        <w:pStyle w:val="CommentText"/>
      </w:pPr>
      <w:r>
        <w:rPr>
          <w:rStyle w:val="CommentReference"/>
        </w:rPr>
        <w:annotationRef/>
      </w:r>
      <w:r>
        <w:t>Has this been changing?</w:t>
      </w:r>
    </w:p>
    <w:p w14:paraId="261B6678" w14:textId="77777777" w:rsidR="00983969" w:rsidRDefault="00983969">
      <w:pPr>
        <w:pStyle w:val="CommentText"/>
      </w:pPr>
      <w:r>
        <w:t>Can we say anything about loosening of legal restrictions on sale of unpasteurized products?</w:t>
      </w:r>
    </w:p>
  </w:comment>
  <w:comment w:id="24" w:author="Paul Cieslak" w:date="2018-08-07T17:24:00Z" w:initials="PRC">
    <w:p w14:paraId="0436D400" w14:textId="77777777" w:rsidR="00983969" w:rsidRDefault="00983969">
      <w:pPr>
        <w:pStyle w:val="CommentText"/>
      </w:pPr>
      <w:r>
        <w:rPr>
          <w:rStyle w:val="CommentReference"/>
        </w:rPr>
        <w:annotationRef/>
      </w:r>
      <w:r>
        <w:t>Anything more recent?</w:t>
      </w:r>
    </w:p>
  </w:comment>
  <w:comment w:id="25" w:author="Paul Cieslak" w:date="2018-08-07T17:25:00Z" w:initials="PRC">
    <w:p w14:paraId="466FC5A3" w14:textId="77777777" w:rsidR="00983969" w:rsidRDefault="00983969">
      <w:pPr>
        <w:pStyle w:val="CommentText"/>
      </w:pPr>
      <w:r>
        <w:rPr>
          <w:rStyle w:val="CommentReference"/>
        </w:rPr>
        <w:annotationRef/>
      </w:r>
      <w:r>
        <w:t>Recent data?</w:t>
      </w:r>
    </w:p>
  </w:comment>
  <w:comment w:id="26" w:author="Paul Cieslak" w:date="2018-08-07T17:25:00Z" w:initials="PRC">
    <w:p w14:paraId="48FDDC8D" w14:textId="77777777" w:rsidR="00983969" w:rsidRDefault="00983969">
      <w:pPr>
        <w:pStyle w:val="CommentText"/>
      </w:pPr>
      <w:r>
        <w:rPr>
          <w:rStyle w:val="CommentReference"/>
        </w:rPr>
        <w:annotationRef/>
      </w:r>
      <w:r>
        <w:t>Recent data?</w:t>
      </w:r>
    </w:p>
  </w:comment>
  <w:comment w:id="27" w:author="Paul Cieslak" w:date="2018-08-07T17:27:00Z" w:initials="PRC">
    <w:p w14:paraId="4E02DAFF" w14:textId="77777777" w:rsidR="00983969" w:rsidRDefault="00983969">
      <w:pPr>
        <w:pStyle w:val="CommentText"/>
      </w:pPr>
      <w:r>
        <w:rPr>
          <w:rStyle w:val="CommentReference"/>
        </w:rPr>
        <w:annotationRef/>
      </w:r>
      <w:r>
        <w:t>More recent data?</w:t>
      </w:r>
    </w:p>
    <w:p w14:paraId="5E98574E" w14:textId="77777777" w:rsidR="00983969" w:rsidRDefault="00983969">
      <w:pPr>
        <w:pStyle w:val="CommentText"/>
      </w:pPr>
    </w:p>
    <w:p w14:paraId="155A300B" w14:textId="77777777" w:rsidR="00983969" w:rsidRDefault="00983969">
      <w:pPr>
        <w:pStyle w:val="CommentText"/>
      </w:pPr>
      <w:r>
        <w:t xml:space="preserve">Suggest that we cite the example of Oregon’s O157 outbreak from local strawberries: </w:t>
      </w:r>
      <w:hyperlink r:id="rId3" w:history="1">
        <w:r w:rsidRPr="0017479D">
          <w:rPr>
            <w:rStyle w:val="Hyperlink"/>
          </w:rPr>
          <w:t>https://www.ncbi.nlm.nih.gov/pubmed/23876397</w:t>
        </w:r>
      </w:hyperlink>
    </w:p>
  </w:comment>
  <w:comment w:id="28" w:author="Paul Cieslak" w:date="2018-08-07T17:28:00Z" w:initials="PRC">
    <w:p w14:paraId="3FF1CE44" w14:textId="77777777" w:rsidR="00983969" w:rsidRDefault="00983969">
      <w:pPr>
        <w:pStyle w:val="CommentText"/>
      </w:pPr>
      <w:r>
        <w:rPr>
          <w:rStyle w:val="CommentReference"/>
        </w:rPr>
        <w:annotationRef/>
      </w:r>
      <w:r>
        <w:t>More recent?</w:t>
      </w:r>
    </w:p>
  </w:comment>
  <w:comment w:id="29" w:author="Paul Cieslak" w:date="2018-08-07T17:28:00Z" w:initials="PRC">
    <w:p w14:paraId="3A82F05A" w14:textId="77777777" w:rsidR="00983969" w:rsidRDefault="00983969">
      <w:pPr>
        <w:pStyle w:val="CommentText"/>
      </w:pPr>
      <w:r>
        <w:rPr>
          <w:rStyle w:val="CommentReference"/>
        </w:rPr>
        <w:annotationRef/>
      </w:r>
      <w:r>
        <w:t>Since 2011?</w:t>
      </w:r>
    </w:p>
  </w:comment>
  <w:comment w:id="30" w:author="Paul Cieslak" w:date="2018-08-07T17:29:00Z" w:initials="PRC">
    <w:p w14:paraId="4C4B8AE1" w14:textId="77777777" w:rsidR="00983969" w:rsidRDefault="00983969">
      <w:pPr>
        <w:pStyle w:val="CommentText"/>
      </w:pPr>
      <w:r>
        <w:rPr>
          <w:rStyle w:val="CommentReference"/>
        </w:rPr>
        <w:annotationRef/>
      </w:r>
      <w:r>
        <w:t>Excellent -- thanks!</w:t>
      </w:r>
    </w:p>
  </w:comment>
  <w:comment w:id="31" w:author="Dewey-Mattia, Daniel (CDC/OID/NCEZID)" w:date="2018-08-07T15:19:00Z" w:initials="DD(">
    <w:p w14:paraId="091BBFF2" w14:textId="77777777" w:rsidR="00983969" w:rsidRDefault="00983969">
      <w:pPr>
        <w:pStyle w:val="CommentText"/>
      </w:pPr>
      <w:r>
        <w:rPr>
          <w:rStyle w:val="CommentReference"/>
        </w:rPr>
        <w:annotationRef/>
      </w:r>
      <w:r>
        <w:t>CDC. Unpublished data, 2018.</w:t>
      </w:r>
    </w:p>
  </w:comment>
  <w:comment w:id="32" w:author="Cieslak Paul R" w:date="2018-08-10T10:49:00Z" w:initials="prc">
    <w:p w14:paraId="089F511A" w14:textId="77777777" w:rsidR="00983969" w:rsidRDefault="00983969">
      <w:pPr>
        <w:pStyle w:val="CommentText"/>
      </w:pPr>
      <w:r>
        <w:rPr>
          <w:rStyle w:val="CommentReference"/>
        </w:rPr>
        <w:annotationRef/>
      </w:r>
      <w:r>
        <w:t xml:space="preserve">Might cite the nice FDA overview at </w:t>
      </w:r>
      <w:hyperlink r:id="rId4" w:history="1">
        <w:r w:rsidRPr="00617570">
          <w:rPr>
            <w:rStyle w:val="Hyperlink"/>
          </w:rPr>
          <w:t>https://www.fda.gov/food/guidanceregulation/fsma/ucm239907.htm</w:t>
        </w:r>
      </w:hyperlink>
    </w:p>
  </w:comment>
  <w:comment w:id="33" w:author="Cieslak Paul R" w:date="2018-08-10T11:05:00Z" w:initials="prc">
    <w:p w14:paraId="62F71009" w14:textId="77777777" w:rsidR="00983969" w:rsidRDefault="00983969">
      <w:pPr>
        <w:pStyle w:val="CommentText"/>
      </w:pPr>
      <w:r>
        <w:rPr>
          <w:rStyle w:val="CommentReference"/>
        </w:rPr>
        <w:annotationRef/>
      </w:r>
      <w:r>
        <w:t xml:space="preserve">I got these dates from </w:t>
      </w:r>
      <w:hyperlink r:id="rId5" w:history="1">
        <w:r w:rsidRPr="00617570">
          <w:rPr>
            <w:rStyle w:val="Hyperlink"/>
          </w:rPr>
          <w:t>https://www.fda.gov/downloads/Food/GuidanceRegulation/FSMA/UCM568798.pdf</w:t>
        </w:r>
      </w:hyperlink>
    </w:p>
  </w:comment>
  <w:comment w:id="34" w:author="Cieslak Paul R" w:date="2018-08-10T11:16:00Z" w:initials="prc">
    <w:p w14:paraId="3B2F0EF3" w14:textId="77777777" w:rsidR="00983969" w:rsidRDefault="00983969">
      <w:pPr>
        <w:pStyle w:val="CommentText"/>
      </w:pPr>
      <w:r>
        <w:rPr>
          <w:rStyle w:val="CommentReference"/>
        </w:rPr>
        <w:annotationRef/>
      </w:r>
      <w:r w:rsidR="00F317A5">
        <w:t>Obviously,</w:t>
      </w:r>
      <w:r>
        <w:t xml:space="preserve"> these will need to be re-done completely – hopefully with far fewer.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619C4E" w15:done="0"/>
  <w15:commentEx w15:paraId="006B80F6" w15:done="0"/>
  <w15:commentEx w15:paraId="0A4216F7" w15:done="0"/>
  <w15:commentEx w15:paraId="2477A82C" w15:done="0"/>
  <w15:commentEx w15:paraId="1D7B5A6E" w15:done="0"/>
  <w15:commentEx w15:paraId="2048FB84" w15:done="0"/>
  <w15:commentEx w15:paraId="2AE5AA5B" w15:done="0"/>
  <w15:commentEx w15:paraId="47C52FC3" w15:done="0"/>
  <w15:commentEx w15:paraId="398421CE" w15:done="0"/>
  <w15:commentEx w15:paraId="1D11B6BA" w15:done="0"/>
  <w15:commentEx w15:paraId="4B9BBDB5" w15:done="0"/>
  <w15:commentEx w15:paraId="30C9B52D" w15:done="0"/>
  <w15:commentEx w15:paraId="453852D1" w15:done="0"/>
  <w15:commentEx w15:paraId="1CCE031B" w15:done="0"/>
  <w15:commentEx w15:paraId="2659DADB" w15:done="0"/>
  <w15:commentEx w15:paraId="18B18F66" w15:done="0"/>
  <w15:commentEx w15:paraId="6ED6F0CD" w15:done="0"/>
  <w15:commentEx w15:paraId="46E0E3E1" w15:done="0"/>
  <w15:commentEx w15:paraId="3C930EDF" w15:done="0"/>
  <w15:commentEx w15:paraId="70AE5C92" w15:done="0"/>
  <w15:commentEx w15:paraId="6C224BE4" w15:done="0"/>
  <w15:commentEx w15:paraId="261B6678" w15:done="0"/>
  <w15:commentEx w15:paraId="0436D400" w15:done="0"/>
  <w15:commentEx w15:paraId="466FC5A3" w15:done="0"/>
  <w15:commentEx w15:paraId="48FDDC8D" w15:done="0"/>
  <w15:commentEx w15:paraId="155A300B" w15:done="0"/>
  <w15:commentEx w15:paraId="3FF1CE44" w15:done="0"/>
  <w15:commentEx w15:paraId="3A82F05A" w15:done="0"/>
  <w15:commentEx w15:paraId="4C4B8AE1" w15:done="0"/>
  <w15:commentEx w15:paraId="091BBFF2" w15:done="0"/>
  <w15:commentEx w15:paraId="089F511A" w15:done="0"/>
  <w15:commentEx w15:paraId="62F71009" w15:done="0"/>
  <w15:commentEx w15:paraId="3B2F0E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619C4E" w16cid:durableId="1F1C421C"/>
  <w16cid:commentId w16cid:paraId="006B80F6" w16cid:durableId="1F1C421E"/>
  <w16cid:commentId w16cid:paraId="0A4216F7" w16cid:durableId="1F1C421F"/>
  <w16cid:commentId w16cid:paraId="2477A82C" w16cid:durableId="1F1C4220"/>
  <w16cid:commentId w16cid:paraId="1D7B5A6E" w16cid:durableId="1F1C4221"/>
  <w16cid:commentId w16cid:paraId="2048FB84" w16cid:durableId="1F1C4222"/>
  <w16cid:commentId w16cid:paraId="2AE5AA5B" w16cid:durableId="1F1C4223"/>
  <w16cid:commentId w16cid:paraId="398421CE" w16cid:durableId="1F1C4224"/>
  <w16cid:commentId w16cid:paraId="1D11B6BA" w16cid:durableId="1F1C4225"/>
  <w16cid:commentId w16cid:paraId="4B9BBDB5" w16cid:durableId="1F1C4226"/>
  <w16cid:commentId w16cid:paraId="453852D1" w16cid:durableId="1F1C4227"/>
  <w16cid:commentId w16cid:paraId="1CCE031B" w16cid:durableId="1F1C4228"/>
  <w16cid:commentId w16cid:paraId="18B18F66" w16cid:durableId="1F1C4229"/>
  <w16cid:commentId w16cid:paraId="3C930EDF" w16cid:durableId="1F1C422A"/>
  <w16cid:commentId w16cid:paraId="70AE5C92" w16cid:durableId="1F1C422B"/>
  <w16cid:commentId w16cid:paraId="6C224BE4" w16cid:durableId="1F1C422C"/>
  <w16cid:commentId w16cid:paraId="261B6678" w16cid:durableId="1F1C422D"/>
  <w16cid:commentId w16cid:paraId="0436D400" w16cid:durableId="1F1C422E"/>
  <w16cid:commentId w16cid:paraId="466FC5A3" w16cid:durableId="1F1C422F"/>
  <w16cid:commentId w16cid:paraId="48FDDC8D" w16cid:durableId="1F1C4230"/>
  <w16cid:commentId w16cid:paraId="155A300B" w16cid:durableId="1F1C4231"/>
  <w16cid:commentId w16cid:paraId="3FF1CE44" w16cid:durableId="1F1C4232"/>
  <w16cid:commentId w16cid:paraId="3A82F05A" w16cid:durableId="1F1C4233"/>
  <w16cid:commentId w16cid:paraId="4C4B8AE1" w16cid:durableId="1F1C4234"/>
  <w16cid:commentId w16cid:paraId="091BBFF2" w16cid:durableId="1F1C4235"/>
  <w16cid:commentId w16cid:paraId="089F511A" w16cid:durableId="1F1C4236"/>
  <w16cid:commentId w16cid:paraId="62F71009" w16cid:durableId="1F1C4237"/>
  <w16cid:commentId w16cid:paraId="3B2F0EF3" w16cid:durableId="1F1C42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8822A" w14:textId="77777777" w:rsidR="00A56FCB" w:rsidRDefault="00A56FCB">
      <w:pPr>
        <w:spacing w:after="0" w:line="240" w:lineRule="auto"/>
      </w:pPr>
      <w:r>
        <w:separator/>
      </w:r>
    </w:p>
  </w:endnote>
  <w:endnote w:type="continuationSeparator" w:id="0">
    <w:p w14:paraId="608EDBD4" w14:textId="77777777" w:rsidR="00A56FCB" w:rsidRDefault="00A5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9949A" w14:textId="77777777" w:rsidR="00983969" w:rsidRDefault="00983969">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630495" w14:textId="77777777" w:rsidR="00A56FCB" w:rsidRDefault="00A56FCB">
      <w:pPr>
        <w:spacing w:after="0" w:line="240" w:lineRule="auto"/>
      </w:pPr>
      <w:r>
        <w:separator/>
      </w:r>
    </w:p>
  </w:footnote>
  <w:footnote w:type="continuationSeparator" w:id="0">
    <w:p w14:paraId="04BB0903" w14:textId="77777777" w:rsidR="00A56FCB" w:rsidRDefault="00A56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10BA0"/>
    <w:multiLevelType w:val="multilevel"/>
    <w:tmpl w:val="45EE1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547C26"/>
    <w:multiLevelType w:val="multilevel"/>
    <w:tmpl w:val="40822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D5688A"/>
    <w:multiLevelType w:val="multilevel"/>
    <w:tmpl w:val="866C86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C21DF9"/>
    <w:multiLevelType w:val="multilevel"/>
    <w:tmpl w:val="0C4E5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756A68"/>
    <w:multiLevelType w:val="hybridMultilevel"/>
    <w:tmpl w:val="F148F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4100FC"/>
    <w:multiLevelType w:val="multilevel"/>
    <w:tmpl w:val="CCAA4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E841C4"/>
    <w:multiLevelType w:val="multilevel"/>
    <w:tmpl w:val="6F3E3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2622371"/>
    <w:multiLevelType w:val="multilevel"/>
    <w:tmpl w:val="9CA4D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9397367"/>
    <w:multiLevelType w:val="hybridMultilevel"/>
    <w:tmpl w:val="111CB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4233ED"/>
    <w:multiLevelType w:val="multilevel"/>
    <w:tmpl w:val="AA16A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79309EA"/>
    <w:multiLevelType w:val="multilevel"/>
    <w:tmpl w:val="EE0AB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F9728D5"/>
    <w:multiLevelType w:val="multilevel"/>
    <w:tmpl w:val="4600B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1"/>
  </w:num>
  <w:num w:numId="3">
    <w:abstractNumId w:val="6"/>
  </w:num>
  <w:num w:numId="4">
    <w:abstractNumId w:val="0"/>
  </w:num>
  <w:num w:numId="5">
    <w:abstractNumId w:val="3"/>
  </w:num>
  <w:num w:numId="6">
    <w:abstractNumId w:val="7"/>
  </w:num>
  <w:num w:numId="7">
    <w:abstractNumId w:val="2"/>
  </w:num>
  <w:num w:numId="8">
    <w:abstractNumId w:val="9"/>
  </w:num>
  <w:num w:numId="9">
    <w:abstractNumId w:val="1"/>
  </w:num>
  <w:num w:numId="10">
    <w:abstractNumId w:val="10"/>
  </w:num>
  <w:num w:numId="11">
    <w:abstractNumId w:val="4"/>
  </w:num>
  <w:num w:numId="1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seph Russell">
    <w15:presenceInfo w15:providerId="Windows Live" w15:userId="a7d844ecd636aebf"/>
  </w15:person>
  <w15:person w15:author="Cieslak Paul R">
    <w15:presenceInfo w15:providerId="None" w15:userId="Cieslak Paul R"/>
  </w15:person>
  <w15:person w15:author="Dewey-Mattia, Daniel (CDC/OID/NCEZID)">
    <w15:presenceInfo w15:providerId="AD" w15:userId="S-1-5-21-1207783550-2075000910-922709458-3531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88"/>
    <w:rsid w:val="00003736"/>
    <w:rsid w:val="000049A3"/>
    <w:rsid w:val="00006B9D"/>
    <w:rsid w:val="0001439C"/>
    <w:rsid w:val="0002353A"/>
    <w:rsid w:val="0002470B"/>
    <w:rsid w:val="000324DC"/>
    <w:rsid w:val="00035BD8"/>
    <w:rsid w:val="000827C8"/>
    <w:rsid w:val="00085073"/>
    <w:rsid w:val="000859FA"/>
    <w:rsid w:val="0009307C"/>
    <w:rsid w:val="000A24B4"/>
    <w:rsid w:val="000C1564"/>
    <w:rsid w:val="000C30A9"/>
    <w:rsid w:val="000D550E"/>
    <w:rsid w:val="000F1016"/>
    <w:rsid w:val="000F2112"/>
    <w:rsid w:val="00102077"/>
    <w:rsid w:val="00105E8B"/>
    <w:rsid w:val="00112AFE"/>
    <w:rsid w:val="001201A2"/>
    <w:rsid w:val="00122ABA"/>
    <w:rsid w:val="00137D03"/>
    <w:rsid w:val="00154833"/>
    <w:rsid w:val="00184FE6"/>
    <w:rsid w:val="00186D5C"/>
    <w:rsid w:val="001966F0"/>
    <w:rsid w:val="001E485D"/>
    <w:rsid w:val="001F39C3"/>
    <w:rsid w:val="001F490A"/>
    <w:rsid w:val="001F5F0E"/>
    <w:rsid w:val="00244557"/>
    <w:rsid w:val="00264C2A"/>
    <w:rsid w:val="002703BB"/>
    <w:rsid w:val="00272B4C"/>
    <w:rsid w:val="0028044C"/>
    <w:rsid w:val="00285C46"/>
    <w:rsid w:val="002909C1"/>
    <w:rsid w:val="002A0AB8"/>
    <w:rsid w:val="002A3068"/>
    <w:rsid w:val="002B2D80"/>
    <w:rsid w:val="002C7851"/>
    <w:rsid w:val="002D6622"/>
    <w:rsid w:val="00307815"/>
    <w:rsid w:val="00310548"/>
    <w:rsid w:val="00313336"/>
    <w:rsid w:val="00335BFE"/>
    <w:rsid w:val="00355F39"/>
    <w:rsid w:val="00356476"/>
    <w:rsid w:val="003614E6"/>
    <w:rsid w:val="00377C1D"/>
    <w:rsid w:val="003911DE"/>
    <w:rsid w:val="0039469D"/>
    <w:rsid w:val="00394EAC"/>
    <w:rsid w:val="003B772A"/>
    <w:rsid w:val="003C76DF"/>
    <w:rsid w:val="003D5D3C"/>
    <w:rsid w:val="003E00F0"/>
    <w:rsid w:val="003E5A7D"/>
    <w:rsid w:val="003F44AE"/>
    <w:rsid w:val="00413C5B"/>
    <w:rsid w:val="0043173D"/>
    <w:rsid w:val="004404B8"/>
    <w:rsid w:val="004427A8"/>
    <w:rsid w:val="004734DE"/>
    <w:rsid w:val="00474FDA"/>
    <w:rsid w:val="004A3AD4"/>
    <w:rsid w:val="004B00A6"/>
    <w:rsid w:val="004B7D56"/>
    <w:rsid w:val="004C51D4"/>
    <w:rsid w:val="004C767F"/>
    <w:rsid w:val="004D036B"/>
    <w:rsid w:val="004E792E"/>
    <w:rsid w:val="004F641D"/>
    <w:rsid w:val="00533656"/>
    <w:rsid w:val="00540CE4"/>
    <w:rsid w:val="005476E0"/>
    <w:rsid w:val="00566DB9"/>
    <w:rsid w:val="00580B1C"/>
    <w:rsid w:val="00593269"/>
    <w:rsid w:val="005A2BE9"/>
    <w:rsid w:val="005A45C2"/>
    <w:rsid w:val="005C3916"/>
    <w:rsid w:val="005C6428"/>
    <w:rsid w:val="005E2616"/>
    <w:rsid w:val="005E494E"/>
    <w:rsid w:val="00600186"/>
    <w:rsid w:val="00602A6C"/>
    <w:rsid w:val="00654517"/>
    <w:rsid w:val="0065567D"/>
    <w:rsid w:val="00683E3C"/>
    <w:rsid w:val="00697389"/>
    <w:rsid w:val="006A1630"/>
    <w:rsid w:val="006A4A2C"/>
    <w:rsid w:val="006A6732"/>
    <w:rsid w:val="006A6D0E"/>
    <w:rsid w:val="006C11B8"/>
    <w:rsid w:val="006C2113"/>
    <w:rsid w:val="006D3321"/>
    <w:rsid w:val="006E2894"/>
    <w:rsid w:val="006F5088"/>
    <w:rsid w:val="00711934"/>
    <w:rsid w:val="00714830"/>
    <w:rsid w:val="00714A33"/>
    <w:rsid w:val="0072643E"/>
    <w:rsid w:val="00751F2D"/>
    <w:rsid w:val="0076094E"/>
    <w:rsid w:val="0076710D"/>
    <w:rsid w:val="007733CB"/>
    <w:rsid w:val="00784D2A"/>
    <w:rsid w:val="007D1727"/>
    <w:rsid w:val="007D7A30"/>
    <w:rsid w:val="007E3722"/>
    <w:rsid w:val="007E48BD"/>
    <w:rsid w:val="007E71C1"/>
    <w:rsid w:val="008162AE"/>
    <w:rsid w:val="00826919"/>
    <w:rsid w:val="00827FAE"/>
    <w:rsid w:val="008326ED"/>
    <w:rsid w:val="008553D4"/>
    <w:rsid w:val="0088191E"/>
    <w:rsid w:val="008826C0"/>
    <w:rsid w:val="0088374F"/>
    <w:rsid w:val="008870DC"/>
    <w:rsid w:val="008B691F"/>
    <w:rsid w:val="008C0BCE"/>
    <w:rsid w:val="008D59B4"/>
    <w:rsid w:val="008F117A"/>
    <w:rsid w:val="008F2188"/>
    <w:rsid w:val="009006DE"/>
    <w:rsid w:val="00900AC6"/>
    <w:rsid w:val="0090426A"/>
    <w:rsid w:val="009112E3"/>
    <w:rsid w:val="00923BD1"/>
    <w:rsid w:val="009257EC"/>
    <w:rsid w:val="00930464"/>
    <w:rsid w:val="009330F0"/>
    <w:rsid w:val="00944B39"/>
    <w:rsid w:val="00961316"/>
    <w:rsid w:val="00983969"/>
    <w:rsid w:val="009B4E7E"/>
    <w:rsid w:val="009C57D5"/>
    <w:rsid w:val="009C669E"/>
    <w:rsid w:val="009C7405"/>
    <w:rsid w:val="009F197D"/>
    <w:rsid w:val="009F37DB"/>
    <w:rsid w:val="00A0189C"/>
    <w:rsid w:val="00A05A87"/>
    <w:rsid w:val="00A5079B"/>
    <w:rsid w:val="00A53A57"/>
    <w:rsid w:val="00A5484D"/>
    <w:rsid w:val="00A56FCB"/>
    <w:rsid w:val="00A63A76"/>
    <w:rsid w:val="00A64137"/>
    <w:rsid w:val="00A722AE"/>
    <w:rsid w:val="00A91BBD"/>
    <w:rsid w:val="00AB4146"/>
    <w:rsid w:val="00AB639C"/>
    <w:rsid w:val="00AC6BA1"/>
    <w:rsid w:val="00AD0A34"/>
    <w:rsid w:val="00AD415F"/>
    <w:rsid w:val="00AE1F7B"/>
    <w:rsid w:val="00B01404"/>
    <w:rsid w:val="00B03044"/>
    <w:rsid w:val="00B2000E"/>
    <w:rsid w:val="00B509FF"/>
    <w:rsid w:val="00B55031"/>
    <w:rsid w:val="00B5546C"/>
    <w:rsid w:val="00B6211F"/>
    <w:rsid w:val="00B64974"/>
    <w:rsid w:val="00B92BC6"/>
    <w:rsid w:val="00BA1EFD"/>
    <w:rsid w:val="00BA4D3D"/>
    <w:rsid w:val="00BD2EA3"/>
    <w:rsid w:val="00BD595D"/>
    <w:rsid w:val="00BD5A72"/>
    <w:rsid w:val="00BE3DEC"/>
    <w:rsid w:val="00C01305"/>
    <w:rsid w:val="00C0415F"/>
    <w:rsid w:val="00C04AB0"/>
    <w:rsid w:val="00C36C40"/>
    <w:rsid w:val="00C52D79"/>
    <w:rsid w:val="00C57279"/>
    <w:rsid w:val="00C66796"/>
    <w:rsid w:val="00C70580"/>
    <w:rsid w:val="00CA482A"/>
    <w:rsid w:val="00CB62EF"/>
    <w:rsid w:val="00CC6252"/>
    <w:rsid w:val="00CF09F9"/>
    <w:rsid w:val="00D44BFE"/>
    <w:rsid w:val="00D57B53"/>
    <w:rsid w:val="00D60FD8"/>
    <w:rsid w:val="00DD3765"/>
    <w:rsid w:val="00DE2C49"/>
    <w:rsid w:val="00DE52EE"/>
    <w:rsid w:val="00DE6DCE"/>
    <w:rsid w:val="00DE79CA"/>
    <w:rsid w:val="00DF37CB"/>
    <w:rsid w:val="00E069F0"/>
    <w:rsid w:val="00E240EC"/>
    <w:rsid w:val="00E46D67"/>
    <w:rsid w:val="00E541F8"/>
    <w:rsid w:val="00E6637F"/>
    <w:rsid w:val="00E75E0C"/>
    <w:rsid w:val="00E80FD2"/>
    <w:rsid w:val="00E819EE"/>
    <w:rsid w:val="00E83C18"/>
    <w:rsid w:val="00E93BD4"/>
    <w:rsid w:val="00EA11E2"/>
    <w:rsid w:val="00EA1227"/>
    <w:rsid w:val="00EC1EAA"/>
    <w:rsid w:val="00EC5D41"/>
    <w:rsid w:val="00EE2225"/>
    <w:rsid w:val="00EE5EFA"/>
    <w:rsid w:val="00EE69D8"/>
    <w:rsid w:val="00F052CD"/>
    <w:rsid w:val="00F15CFF"/>
    <w:rsid w:val="00F24CB6"/>
    <w:rsid w:val="00F2677C"/>
    <w:rsid w:val="00F317A5"/>
    <w:rsid w:val="00F345BE"/>
    <w:rsid w:val="00F41162"/>
    <w:rsid w:val="00F44540"/>
    <w:rsid w:val="00F55B38"/>
    <w:rsid w:val="00F66FC2"/>
    <w:rsid w:val="00F8136D"/>
    <w:rsid w:val="00F90EA0"/>
    <w:rsid w:val="00F96F39"/>
    <w:rsid w:val="00FA11AE"/>
    <w:rsid w:val="00FA528E"/>
    <w:rsid w:val="00FA57C7"/>
    <w:rsid w:val="00FE2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A83B"/>
  <w15:docId w15:val="{B9EDE1BB-4890-453A-83E9-F32390E1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24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0EC"/>
    <w:rPr>
      <w:rFonts w:ascii="Segoe UI" w:hAnsi="Segoe UI" w:cs="Segoe UI"/>
      <w:sz w:val="18"/>
      <w:szCs w:val="18"/>
    </w:rPr>
  </w:style>
  <w:style w:type="character" w:styleId="CommentReference">
    <w:name w:val="annotation reference"/>
    <w:basedOn w:val="DefaultParagraphFont"/>
    <w:uiPriority w:val="99"/>
    <w:semiHidden/>
    <w:unhideWhenUsed/>
    <w:rsid w:val="006A1630"/>
    <w:rPr>
      <w:sz w:val="16"/>
      <w:szCs w:val="16"/>
    </w:rPr>
  </w:style>
  <w:style w:type="paragraph" w:styleId="CommentText">
    <w:name w:val="annotation text"/>
    <w:basedOn w:val="Normal"/>
    <w:link w:val="CommentTextChar"/>
    <w:uiPriority w:val="99"/>
    <w:semiHidden/>
    <w:unhideWhenUsed/>
    <w:rsid w:val="006A1630"/>
    <w:pPr>
      <w:spacing w:line="240" w:lineRule="auto"/>
    </w:pPr>
    <w:rPr>
      <w:sz w:val="20"/>
      <w:szCs w:val="20"/>
    </w:rPr>
  </w:style>
  <w:style w:type="character" w:customStyle="1" w:styleId="CommentTextChar">
    <w:name w:val="Comment Text Char"/>
    <w:basedOn w:val="DefaultParagraphFont"/>
    <w:link w:val="CommentText"/>
    <w:uiPriority w:val="99"/>
    <w:semiHidden/>
    <w:rsid w:val="006A1630"/>
    <w:rPr>
      <w:sz w:val="20"/>
      <w:szCs w:val="20"/>
    </w:rPr>
  </w:style>
  <w:style w:type="paragraph" w:styleId="CommentSubject">
    <w:name w:val="annotation subject"/>
    <w:basedOn w:val="CommentText"/>
    <w:next w:val="CommentText"/>
    <w:link w:val="CommentSubjectChar"/>
    <w:uiPriority w:val="99"/>
    <w:semiHidden/>
    <w:unhideWhenUsed/>
    <w:rsid w:val="006A1630"/>
    <w:rPr>
      <w:b/>
      <w:bCs/>
    </w:rPr>
  </w:style>
  <w:style w:type="character" w:customStyle="1" w:styleId="CommentSubjectChar">
    <w:name w:val="Comment Subject Char"/>
    <w:basedOn w:val="CommentTextChar"/>
    <w:link w:val="CommentSubject"/>
    <w:uiPriority w:val="99"/>
    <w:semiHidden/>
    <w:rsid w:val="006A1630"/>
    <w:rPr>
      <w:b/>
      <w:bCs/>
      <w:sz w:val="20"/>
      <w:szCs w:val="20"/>
    </w:rPr>
  </w:style>
  <w:style w:type="character" w:styleId="Hyperlink">
    <w:name w:val="Hyperlink"/>
    <w:basedOn w:val="DefaultParagraphFont"/>
    <w:uiPriority w:val="99"/>
    <w:unhideWhenUsed/>
    <w:rsid w:val="00FA528E"/>
    <w:rPr>
      <w:color w:val="0000FF" w:themeColor="hyperlink"/>
      <w:u w:val="single"/>
    </w:rPr>
  </w:style>
  <w:style w:type="paragraph" w:styleId="Revision">
    <w:name w:val="Revision"/>
    <w:hidden/>
    <w:uiPriority w:val="99"/>
    <w:semiHidden/>
    <w:rsid w:val="00B01404"/>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customStyle="1" w:styleId="UnresolvedMention1">
    <w:name w:val="Unresolved Mention1"/>
    <w:basedOn w:val="DefaultParagraphFont"/>
    <w:uiPriority w:val="99"/>
    <w:semiHidden/>
    <w:unhideWhenUsed/>
    <w:rsid w:val="00F15CFF"/>
    <w:rPr>
      <w:color w:val="808080"/>
      <w:shd w:val="clear" w:color="auto" w:fill="E6E6E6"/>
    </w:rPr>
  </w:style>
  <w:style w:type="character" w:styleId="FollowedHyperlink">
    <w:name w:val="FollowedHyperlink"/>
    <w:basedOn w:val="DefaultParagraphFont"/>
    <w:uiPriority w:val="99"/>
    <w:semiHidden/>
    <w:unhideWhenUsed/>
    <w:rsid w:val="00D44BFE"/>
    <w:rPr>
      <w:color w:val="800080" w:themeColor="followedHyperlink"/>
      <w:u w:val="single"/>
    </w:rPr>
  </w:style>
  <w:style w:type="paragraph" w:styleId="ListParagraph">
    <w:name w:val="List Paragraph"/>
    <w:basedOn w:val="Normal"/>
    <w:uiPriority w:val="34"/>
    <w:qFormat/>
    <w:rsid w:val="00F90EA0"/>
    <w:pPr>
      <w:ind w:left="720"/>
      <w:contextualSpacing/>
    </w:pPr>
  </w:style>
  <w:style w:type="character" w:customStyle="1" w:styleId="UnresolvedMention2">
    <w:name w:val="Unresolved Mention2"/>
    <w:basedOn w:val="DefaultParagraphFont"/>
    <w:uiPriority w:val="99"/>
    <w:semiHidden/>
    <w:unhideWhenUsed/>
    <w:rsid w:val="00602A6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ncbi.nlm.nih.gov/pubmed/23876397" TargetMode="External"/><Relationship Id="rId2" Type="http://schemas.openxmlformats.org/officeDocument/2006/relationships/hyperlink" Target="https://www.cdc.gov/salmonella/kratom-02-18/index.html" TargetMode="External"/><Relationship Id="rId1" Type="http://schemas.openxmlformats.org/officeDocument/2006/relationships/hyperlink" Target="https://wwwn.cdc.gov/norsdashboard/" TargetMode="External"/><Relationship Id="rId5" Type="http://schemas.openxmlformats.org/officeDocument/2006/relationships/hyperlink" Target="https://www.fda.gov/downloads/Food/GuidanceRegulation/FSMA/UCM568798.pdf" TargetMode="External"/><Relationship Id="rId4" Type="http://schemas.openxmlformats.org/officeDocument/2006/relationships/hyperlink" Target="https://www.fda.gov/food/guidanceregulation/fsma/ucm239907.htm"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fdoss/nors-dashboard.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4720E-ED5A-4712-B70A-55EE0271E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4165</Words>
  <Characters>23746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Cieslak Paul R</cp:lastModifiedBy>
  <cp:revision>3</cp:revision>
  <dcterms:created xsi:type="dcterms:W3CDTF">2018-08-14T23:45:00Z</dcterms:created>
  <dcterms:modified xsi:type="dcterms:W3CDTF">2018-08-14T23:46:00Z</dcterms:modified>
</cp:coreProperties>
</file>