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230" w:rsidRDefault="00423230" w:rsidP="00423230">
      <w:pPr>
        <w:jc w:val="both"/>
        <w:rPr>
          <w:b/>
          <w:bCs/>
        </w:rPr>
      </w:pPr>
      <w:r>
        <w:rPr>
          <w:b/>
          <w:bCs/>
        </w:rPr>
        <w:t>New CIFOR documents help public health agencies improve legal preparedness for foodborne disease detection and outbreak response</w:t>
      </w:r>
    </w:p>
    <w:p w:rsidR="00046772" w:rsidRPr="00423230" w:rsidRDefault="00046772" w:rsidP="00423230">
      <w:pPr>
        <w:jc w:val="both"/>
        <w:rPr>
          <w:b/>
          <w:bCs/>
        </w:rPr>
      </w:pPr>
    </w:p>
    <w:p w:rsidR="00423230" w:rsidRDefault="00046772" w:rsidP="00046772">
      <w:pPr>
        <w:jc w:val="both"/>
      </w:pPr>
      <w:r>
        <w:t>New</w:t>
      </w:r>
      <w:r w:rsidR="00423230">
        <w:t xml:space="preserve"> </w:t>
      </w:r>
      <w:r>
        <w:t>Council to Improve Foodborne Outbreak Response (</w:t>
      </w:r>
      <w:r w:rsidR="00423230">
        <w:t>CIFOR</w:t>
      </w:r>
      <w:r>
        <w:t>)</w:t>
      </w:r>
      <w:r w:rsidR="00423230">
        <w:t xml:space="preserve"> </w:t>
      </w:r>
      <w:r>
        <w:t xml:space="preserve">documents gives tools to public health </w:t>
      </w:r>
      <w:r w:rsidR="00423230">
        <w:t>agencies and jurisdictions to improve their legal preparedness to conduct surveillance for foodborne diseases and respond to outbreaks</w:t>
      </w:r>
      <w:r>
        <w:t>. These documents provide guidance for outbreaks</w:t>
      </w:r>
      <w:r w:rsidR="00423230">
        <w:t xml:space="preserve"> both within </w:t>
      </w:r>
      <w:r>
        <w:t>agencies’</w:t>
      </w:r>
      <w:r w:rsidR="00423230">
        <w:t xml:space="preserve"> jurisdictions and across multiple states and other jurisdictional boundaries. Each </w:t>
      </w:r>
      <w:r>
        <w:t>of the three documents is</w:t>
      </w:r>
      <w:r w:rsidR="00423230">
        <w:t xml:space="preserve"> designed to address a discrete but related research need and audience.</w:t>
      </w:r>
    </w:p>
    <w:p w:rsidR="00423230" w:rsidRDefault="00423230" w:rsidP="00423230">
      <w:pPr>
        <w:jc w:val="both"/>
      </w:pPr>
    </w:p>
    <w:p w:rsidR="00423230" w:rsidRDefault="00423230" w:rsidP="00046772">
      <w:pPr>
        <w:pStyle w:val="ListParagraph"/>
        <w:numPr>
          <w:ilvl w:val="0"/>
          <w:numId w:val="1"/>
        </w:numPr>
        <w:ind w:left="360"/>
        <w:jc w:val="both"/>
      </w:pPr>
      <w:r>
        <w:rPr>
          <w:b/>
          <w:bCs/>
          <w:i/>
          <w:iCs/>
        </w:rPr>
        <w:t>Analysis of State Legal Authorities</w:t>
      </w:r>
      <w:r w:rsidR="00046772">
        <w:rPr>
          <w:b/>
          <w:bCs/>
        </w:rPr>
        <w:t>:</w:t>
      </w:r>
      <w:r>
        <w:t xml:space="preserve"> This document describes and analyzes the types of state legal authorities currently available to conduct foodborne disease surveillance and outbreak response activities. It demonstrate</w:t>
      </w:r>
      <w:r w:rsidR="00046772">
        <w:t>s the “patchwork” of state laws</w:t>
      </w:r>
      <w:r>
        <w:t xml:space="preserve"> across an array of topic areas—public health, communicable disease, food safety, food regulation, agriculture, environment, and general government authority—on which public health professionals and their legal counsel must rely to conduct foodborne disease outbreak surveillance and response activities. The </w:t>
      </w:r>
      <w:r>
        <w:rPr>
          <w:i/>
          <w:iCs/>
        </w:rPr>
        <w:t>Analysis of State Legal Authorities</w:t>
      </w:r>
      <w:r>
        <w:t xml:space="preserve"> is the foundation for the </w:t>
      </w:r>
      <w:r w:rsidR="00046772">
        <w:t>next two documents</w:t>
      </w:r>
      <w:r>
        <w:t>.</w:t>
      </w:r>
    </w:p>
    <w:p w:rsidR="00423230" w:rsidRDefault="00423230" w:rsidP="00046772">
      <w:pPr>
        <w:jc w:val="both"/>
      </w:pPr>
    </w:p>
    <w:p w:rsidR="00423230" w:rsidRDefault="00423230" w:rsidP="00046772">
      <w:pPr>
        <w:pStyle w:val="ListParagraph"/>
        <w:numPr>
          <w:ilvl w:val="0"/>
          <w:numId w:val="2"/>
        </w:numPr>
        <w:ind w:left="360"/>
        <w:jc w:val="both"/>
      </w:pPr>
      <w:r>
        <w:rPr>
          <w:b/>
          <w:bCs/>
          <w:i/>
          <w:iCs/>
        </w:rPr>
        <w:t>Practitioners’ Handbook on Legal Authorities</w:t>
      </w:r>
      <w:r w:rsidR="00046772">
        <w:rPr>
          <w:b/>
          <w:bCs/>
        </w:rPr>
        <w:t>:</w:t>
      </w:r>
      <w:r>
        <w:t xml:space="preserve"> This </w:t>
      </w:r>
      <w:r w:rsidR="00046772">
        <w:t>handbook</w:t>
      </w:r>
      <w:r>
        <w:t xml:space="preserve"> is a practical guide for public health professionals </w:t>
      </w:r>
      <w:r w:rsidR="00046772">
        <w:t>with</w:t>
      </w:r>
      <w:r>
        <w:t xml:space="preserve"> roles in foodborne disease surveillance and outbreak response. </w:t>
      </w:r>
      <w:r w:rsidR="00046772">
        <w:t>It</w:t>
      </w:r>
      <w:r>
        <w:t xml:space="preserve"> presents information and resources for practitioners charged with implementing their jurisdictions’ legal authorities related to foodborne disease events. The handbook is a primer on the array of statutes and regulations that may be used to undertake foodborne disease surveillance and other outbreak response activities. It provides practitioners with checklists</w:t>
      </w:r>
      <w:r w:rsidR="00046772">
        <w:t xml:space="preserve"> and tools</w:t>
      </w:r>
      <w:r>
        <w:t xml:space="preserve"> to help them identify relevant agency actors and laws within their jurisdictions.</w:t>
      </w:r>
    </w:p>
    <w:p w:rsidR="00423230" w:rsidRDefault="00423230" w:rsidP="00046772">
      <w:pPr>
        <w:jc w:val="both"/>
      </w:pPr>
    </w:p>
    <w:p w:rsidR="00423230" w:rsidRDefault="00423230" w:rsidP="00046772">
      <w:pPr>
        <w:pStyle w:val="ListParagraph"/>
        <w:numPr>
          <w:ilvl w:val="0"/>
          <w:numId w:val="2"/>
        </w:numPr>
        <w:ind w:left="360"/>
        <w:jc w:val="both"/>
      </w:pPr>
      <w:r>
        <w:rPr>
          <w:b/>
          <w:bCs/>
          <w:i/>
          <w:iCs/>
        </w:rPr>
        <w:t>Menu of Legal Options</w:t>
      </w:r>
      <w:r w:rsidR="00046772">
        <w:rPr>
          <w:b/>
          <w:bCs/>
          <w:i/>
          <w:iCs/>
        </w:rPr>
        <w:t>:</w:t>
      </w:r>
      <w:r>
        <w:t xml:space="preserve"> </w:t>
      </w:r>
      <w:r w:rsidR="00046772">
        <w:t>This</w:t>
      </w:r>
      <w:r>
        <w:t xml:space="preserve"> menu of legal options</w:t>
      </w:r>
      <w:r w:rsidR="00046772">
        <w:t xml:space="preserve"> can be considered by</w:t>
      </w:r>
      <w:r>
        <w:t xml:space="preserve"> state public health officials and policy makers when reviewing their jurisdiction’s legal authorities to conduct foodborne disease surveillance and outbreak response actions. </w:t>
      </w:r>
      <w:r w:rsidR="00046772">
        <w:t>It</w:t>
      </w:r>
      <w:r>
        <w:t xml:space="preserve"> includes legal provisions relevant to effective performance of each of the principal functions of foodborne disease surveillance and outbreak response: outbreak detection, outbreak investigation, outbreak control, and outbreak documentation. </w:t>
      </w:r>
      <w:r w:rsidR="00046772">
        <w:t>The menu</w:t>
      </w:r>
      <w:bookmarkStart w:id="0" w:name="_GoBack"/>
      <w:bookmarkEnd w:id="0"/>
      <w:r>
        <w:t xml:space="preserve"> is intended to be a resource for states to use in filling gaps and in clarifying or enhancing their legal authorities.</w:t>
      </w:r>
    </w:p>
    <w:p w:rsidR="00A76F04" w:rsidRDefault="00A76F04"/>
    <w:sectPr w:rsidR="00A76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40AF3"/>
    <w:multiLevelType w:val="hybridMultilevel"/>
    <w:tmpl w:val="C16E3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E630344"/>
    <w:multiLevelType w:val="hybridMultilevel"/>
    <w:tmpl w:val="EBE66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230"/>
    <w:rsid w:val="00046772"/>
    <w:rsid w:val="00423230"/>
    <w:rsid w:val="00A76F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230"/>
    <w:rPr>
      <w:rFonts w:ascii="Calibri" w:hAnsi="Calibri" w:cs="Times New Roman"/>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230"/>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230"/>
    <w:rPr>
      <w:rFonts w:ascii="Calibri" w:hAnsi="Calibri" w:cs="Times New Roman"/>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23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10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375</Words>
  <Characters>2144</Characters>
  <Application>Microsoft Office Word</Application>
  <DocSecurity>0</DocSecurity>
  <Lines>17</Lines>
  <Paragraphs>5</Paragraphs>
  <ScaleCrop>false</ScaleCrop>
  <Company>Microsoft</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Rosenberg</dc:creator>
  <cp:lastModifiedBy>Lauren Rosenberg</cp:lastModifiedBy>
  <cp:revision>2</cp:revision>
  <dcterms:created xsi:type="dcterms:W3CDTF">2013-02-21T21:19:00Z</dcterms:created>
  <dcterms:modified xsi:type="dcterms:W3CDTF">2013-02-21T21:27:00Z</dcterms:modified>
</cp:coreProperties>
</file>