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F293B5" w14:textId="15B2BE3A" w:rsidR="00654718" w:rsidRDefault="00654718" w:rsidP="00654718">
      <w:r w:rsidRPr="00371610">
        <w:rPr>
          <w:b/>
          <w:u w:val="single"/>
        </w:rPr>
        <w:t>Title:</w:t>
      </w:r>
      <w:r>
        <w:t xml:space="preserve"> </w:t>
      </w:r>
      <w:r w:rsidR="00DC310F" w:rsidRPr="00CF13BE">
        <w:rPr>
          <w:highlight w:val="yellow"/>
        </w:rPr>
        <w:t>Considerations for the Inclusion of Colonization Data Relevant to Antimicrobial Resi</w:t>
      </w:r>
      <w:r w:rsidR="00880AE6" w:rsidRPr="00CF13BE">
        <w:rPr>
          <w:highlight w:val="yellow"/>
        </w:rPr>
        <w:t>stant Organisms with</w:t>
      </w:r>
      <w:r w:rsidR="00DC310F" w:rsidRPr="00CF13BE">
        <w:rPr>
          <w:highlight w:val="yellow"/>
        </w:rPr>
        <w:t>in CSTE Standardized Surveillance Position Statements</w:t>
      </w:r>
      <w:r w:rsidR="00DC310F">
        <w:t xml:space="preserve"> </w:t>
      </w:r>
      <w:r>
        <w:t xml:space="preserve"> </w:t>
      </w:r>
    </w:p>
    <w:p w14:paraId="421957E7" w14:textId="77777777" w:rsidR="00654718" w:rsidRDefault="00654718" w:rsidP="00654718">
      <w:r w:rsidRPr="00371610">
        <w:rPr>
          <w:b/>
          <w:u w:val="single"/>
        </w:rPr>
        <w:t>Type of Brief:</w:t>
      </w:r>
      <w:r>
        <w:t xml:space="preserve"> Issue Brief</w:t>
      </w:r>
    </w:p>
    <w:p w14:paraId="614E07E4" w14:textId="77777777" w:rsidR="00654718" w:rsidRDefault="00654718" w:rsidP="00654718">
      <w:r w:rsidRPr="00371610">
        <w:rPr>
          <w:b/>
          <w:u w:val="single"/>
        </w:rPr>
        <w:t>Program Area:</w:t>
      </w:r>
      <w:r>
        <w:t xml:space="preserve"> Surveillance/Informatics</w:t>
      </w:r>
    </w:p>
    <w:p w14:paraId="0991A0E8" w14:textId="77777777" w:rsidR="00654718" w:rsidRPr="00371610" w:rsidRDefault="00654718" w:rsidP="00654718">
      <w:pPr>
        <w:rPr>
          <w:b/>
          <w:u w:val="single"/>
        </w:rPr>
      </w:pPr>
      <w:r w:rsidRPr="00371610">
        <w:rPr>
          <w:b/>
          <w:u w:val="single"/>
        </w:rPr>
        <w:t>Content:</w:t>
      </w:r>
    </w:p>
    <w:p w14:paraId="32D6870D" w14:textId="77777777" w:rsidR="00654718" w:rsidRPr="008054AB" w:rsidRDefault="00654718" w:rsidP="00654718">
      <w:pPr>
        <w:pStyle w:val="ListParagraph"/>
        <w:numPr>
          <w:ilvl w:val="0"/>
          <w:numId w:val="1"/>
        </w:numPr>
        <w:rPr>
          <w:b/>
        </w:rPr>
      </w:pPr>
      <w:r w:rsidRPr="008054AB">
        <w:rPr>
          <w:b/>
        </w:rPr>
        <w:t>Description of problem to be addressed</w:t>
      </w:r>
      <w:r>
        <w:rPr>
          <w:b/>
        </w:rPr>
        <w:t xml:space="preserve"> -</w:t>
      </w:r>
      <w:r w:rsidRPr="00A02E82">
        <w:rPr>
          <w:b/>
          <w:color w:val="FF0000"/>
        </w:rPr>
        <w:t xml:space="preserve"> WHAT</w:t>
      </w:r>
    </w:p>
    <w:p w14:paraId="6B07BBFC" w14:textId="77777777" w:rsidR="00654718" w:rsidRDefault="00654718" w:rsidP="00654718">
      <w:pPr>
        <w:pStyle w:val="ListParagraph"/>
      </w:pPr>
    </w:p>
    <w:p w14:paraId="22C3B094" w14:textId="77777777" w:rsidR="00654718" w:rsidRDefault="00654718" w:rsidP="00654718">
      <w:pPr>
        <w:pStyle w:val="ListParagraph"/>
        <w:numPr>
          <w:ilvl w:val="0"/>
          <w:numId w:val="2"/>
        </w:numPr>
      </w:pPr>
      <w:commentRangeStart w:id="0"/>
      <w:r>
        <w:t>Describe formation workgroup and developing Brief, background from ARSTF</w:t>
      </w:r>
    </w:p>
    <w:p w14:paraId="4859E552" w14:textId="77777777" w:rsidR="00654718" w:rsidRDefault="00654718" w:rsidP="00654718">
      <w:pPr>
        <w:pStyle w:val="ListParagraph"/>
        <w:numPr>
          <w:ilvl w:val="1"/>
          <w:numId w:val="2"/>
        </w:numPr>
      </w:pPr>
      <w:r>
        <w:t>Refer to ARSTF Recommendation 13: “</w:t>
      </w:r>
      <w:r w:rsidRPr="008813D9">
        <w:t>Develop a policy for surveillance of colonization with MDRO/AR that can be used to inform a CSTE Position Statement for standardized surveillance of MDRO colonization.</w:t>
      </w:r>
      <w:r>
        <w:t>”</w:t>
      </w:r>
    </w:p>
    <w:commentRangeEnd w:id="0"/>
    <w:p w14:paraId="3BBF6689" w14:textId="77777777" w:rsidR="00654718" w:rsidRDefault="00973AB3" w:rsidP="00654718">
      <w:pPr>
        <w:pStyle w:val="ListParagraph"/>
        <w:numPr>
          <w:ilvl w:val="0"/>
          <w:numId w:val="2"/>
        </w:numPr>
      </w:pPr>
      <w:r>
        <w:rPr>
          <w:rStyle w:val="CommentReference"/>
        </w:rPr>
        <w:commentReference w:id="0"/>
      </w:r>
      <w:commentRangeStart w:id="1"/>
      <w:r w:rsidR="00654718">
        <w:t>Reference</w:t>
      </w:r>
      <w:r w:rsidR="003E1217">
        <w:t xml:space="preserve"> past conference conversations</w:t>
      </w:r>
    </w:p>
    <w:p w14:paraId="38CD7741" w14:textId="77777777" w:rsidR="00654718" w:rsidRDefault="00654718" w:rsidP="00654718">
      <w:pPr>
        <w:pStyle w:val="ListParagraph"/>
        <w:numPr>
          <w:ilvl w:val="1"/>
          <w:numId w:val="2"/>
        </w:numPr>
      </w:pPr>
      <w:r>
        <w:t xml:space="preserve">Much of the position statement debate centered around whether or not a case can be classified based on lab criteria alone. It would be helpful to have more objective considerations for this debate as they relate to MDROs. </w:t>
      </w:r>
    </w:p>
    <w:p w14:paraId="3D64B827" w14:textId="77777777" w:rsidR="00654718" w:rsidRDefault="00654718" w:rsidP="00654718">
      <w:pPr>
        <w:pStyle w:val="ListParagraph"/>
        <w:numPr>
          <w:ilvl w:val="1"/>
          <w:numId w:val="2"/>
        </w:numPr>
      </w:pPr>
      <w:r>
        <w:t>Objective considerations proposed by the Brief may help facilitate position statement discussions so that membership is not revisiting the same topics time and time again (at times arriving at different conclusions)</w:t>
      </w:r>
    </w:p>
    <w:p w14:paraId="5BF98B34" w14:textId="77777777" w:rsidR="00654718" w:rsidRDefault="00654718" w:rsidP="00654718">
      <w:pPr>
        <w:pStyle w:val="ListParagraph"/>
        <w:numPr>
          <w:ilvl w:val="2"/>
          <w:numId w:val="2"/>
        </w:numPr>
      </w:pPr>
      <w:r>
        <w:t>Approved CSTE position statements vary significantly on whether cases can/should be classified in the absence of clinical criteria</w:t>
      </w:r>
    </w:p>
    <w:p w14:paraId="0F5E3E55" w14:textId="77777777" w:rsidR="00654718" w:rsidRDefault="00654718" w:rsidP="00654718">
      <w:pPr>
        <w:pStyle w:val="ListParagraph"/>
        <w:numPr>
          <w:ilvl w:val="2"/>
          <w:numId w:val="2"/>
        </w:numPr>
      </w:pPr>
      <w:r>
        <w:t>Refer to position statement scan if we need examples to illustrate variation</w:t>
      </w:r>
    </w:p>
    <w:p w14:paraId="2D8A00B2" w14:textId="77777777" w:rsidR="00654718" w:rsidRDefault="00654718" w:rsidP="00654718">
      <w:pPr>
        <w:pStyle w:val="ListParagraph"/>
        <w:numPr>
          <w:ilvl w:val="0"/>
          <w:numId w:val="2"/>
        </w:numPr>
      </w:pPr>
      <w:r>
        <w:t>Note BRIEFLY the challenges the result from this lack of consensus, including not having “buckets” included in the case definition that would be helpful for categorizing certain lab findings</w:t>
      </w:r>
    </w:p>
    <w:p w14:paraId="224980E3" w14:textId="77777777" w:rsidR="00654718" w:rsidRDefault="00654718" w:rsidP="00654718">
      <w:pPr>
        <w:pStyle w:val="ListParagraph"/>
        <w:numPr>
          <w:ilvl w:val="0"/>
          <w:numId w:val="2"/>
        </w:numPr>
      </w:pPr>
      <w:r>
        <w:t>Reference that while these issues also have implications for conditions beyond MDRO, the scope of the Brief will focus on MDRO as a starting point.</w:t>
      </w:r>
      <w:commentRangeEnd w:id="1"/>
      <w:r w:rsidR="009E7427">
        <w:rPr>
          <w:rStyle w:val="CommentReference"/>
        </w:rPr>
        <w:commentReference w:id="1"/>
      </w:r>
    </w:p>
    <w:p w14:paraId="78E23E3B" w14:textId="77777777" w:rsidR="00654718" w:rsidRDefault="00654718" w:rsidP="00654718">
      <w:pPr>
        <w:pStyle w:val="ListParagraph"/>
      </w:pPr>
    </w:p>
    <w:p w14:paraId="1A7A5F5D" w14:textId="77777777" w:rsidR="00654718" w:rsidRDefault="00654718" w:rsidP="00654718">
      <w:pPr>
        <w:pStyle w:val="ListParagraph"/>
        <w:numPr>
          <w:ilvl w:val="0"/>
          <w:numId w:val="1"/>
        </w:numPr>
        <w:rPr>
          <w:b/>
        </w:rPr>
      </w:pPr>
      <w:commentRangeStart w:id="2"/>
      <w:r w:rsidRPr="00B83ACC">
        <w:rPr>
          <w:b/>
        </w:rPr>
        <w:t>Justification of importance to CSTE membership</w:t>
      </w:r>
      <w:r>
        <w:rPr>
          <w:b/>
        </w:rPr>
        <w:t xml:space="preserve"> - </w:t>
      </w:r>
      <w:r w:rsidRPr="00A02E82">
        <w:rPr>
          <w:b/>
          <w:color w:val="FF0000"/>
        </w:rPr>
        <w:t>WHY</w:t>
      </w:r>
      <w:commentRangeEnd w:id="2"/>
      <w:r w:rsidR="00973AB3">
        <w:rPr>
          <w:rStyle w:val="CommentReference"/>
        </w:rPr>
        <w:commentReference w:id="2"/>
      </w:r>
    </w:p>
    <w:p w14:paraId="63A9250F" w14:textId="77777777" w:rsidR="00654718" w:rsidRPr="00256A41" w:rsidRDefault="00654718" w:rsidP="00654718">
      <w:pPr>
        <w:ind w:left="360"/>
        <w:rPr>
          <w:color w:val="FF0000"/>
        </w:rPr>
      </w:pPr>
      <w:r w:rsidRPr="00256A41">
        <w:rPr>
          <w:color w:val="FF0000"/>
        </w:rPr>
        <w:t xml:space="preserve">Why CSTE membership in particular should care about this issue, </w:t>
      </w:r>
      <w:r>
        <w:rPr>
          <w:color w:val="FF0000"/>
        </w:rPr>
        <w:t>how</w:t>
      </w:r>
      <w:r w:rsidRPr="00256A41">
        <w:rPr>
          <w:color w:val="FF0000"/>
        </w:rPr>
        <w:t xml:space="preserve"> does it affect STLT</w:t>
      </w:r>
      <w:r>
        <w:rPr>
          <w:color w:val="FF0000"/>
        </w:rPr>
        <w:t xml:space="preserve"> in practice?</w:t>
      </w:r>
    </w:p>
    <w:p w14:paraId="02A8CE6D" w14:textId="77777777" w:rsidR="006C0F15" w:rsidRDefault="006C0F15" w:rsidP="006C0F15">
      <w:pPr>
        <w:pStyle w:val="ListParagraph"/>
        <w:numPr>
          <w:ilvl w:val="0"/>
          <w:numId w:val="11"/>
        </w:numPr>
        <w:spacing w:line="256" w:lineRule="auto"/>
      </w:pPr>
      <w:r>
        <w:t>CSTE position statements provide a mechanism for jurisdictions to adopt standardized case definitions for surveillance. However, there are certain gaps in standardization and best practices for incorporating colonization information in position statements. Clearer guidance related to the inclusion of colonization would aid in both the development and implementation of standardized case definitions.</w:t>
      </w:r>
    </w:p>
    <w:p w14:paraId="2103D21D" w14:textId="77777777" w:rsidR="006C0F15" w:rsidRDefault="006C0F15" w:rsidP="006C0F15">
      <w:pPr>
        <w:pStyle w:val="ListParagraph"/>
        <w:numPr>
          <w:ilvl w:val="0"/>
          <w:numId w:val="11"/>
        </w:numPr>
        <w:spacing w:line="256" w:lineRule="auto"/>
      </w:pPr>
      <w:r>
        <w:t>While limiting surveillance to only clinically apparent cases of a particular disease or condition (i.e. babesiosis) can provide an accurate measure of public health or disease burden, doing this for infections that are primarily healthcare-associated, fails to address the longer-term impacts of colonized individuals.</w:t>
      </w:r>
    </w:p>
    <w:p w14:paraId="2AA063F4" w14:textId="77777777" w:rsidR="006C0F15" w:rsidRDefault="006C0F15" w:rsidP="006C0F15">
      <w:pPr>
        <w:pStyle w:val="ListParagraph"/>
        <w:numPr>
          <w:ilvl w:val="0"/>
          <w:numId w:val="11"/>
        </w:numPr>
        <w:spacing w:line="256" w:lineRule="auto"/>
      </w:pPr>
      <w:r>
        <w:t xml:space="preserve">While public health response may not be warranted for a clinically-inapparent, but infected case of </w:t>
      </w:r>
      <w:proofErr w:type="spellStart"/>
      <w:r>
        <w:t>xyz</w:t>
      </w:r>
      <w:proofErr w:type="spellEnd"/>
      <w:r>
        <w:t xml:space="preserve">, for organisms that are primarily transmitted in healthcare settings such as CPOs and </w:t>
      </w:r>
      <w:r>
        <w:rPr>
          <w:i/>
          <w:iCs/>
        </w:rPr>
        <w:t xml:space="preserve">C. </w:t>
      </w:r>
      <w:proofErr w:type="spellStart"/>
      <w:r>
        <w:rPr>
          <w:i/>
          <w:iCs/>
        </w:rPr>
        <w:lastRenderedPageBreak/>
        <w:t>auris</w:t>
      </w:r>
      <w:proofErr w:type="spellEnd"/>
      <w:r>
        <w:t>, identification of clinically -inapparent, but colonized individuals typically requires a public health response.</w:t>
      </w:r>
    </w:p>
    <w:p w14:paraId="662741B5" w14:textId="77777777" w:rsidR="006C0F15" w:rsidRDefault="006C0F15" w:rsidP="006C0F15">
      <w:pPr>
        <w:pStyle w:val="ListParagraph"/>
        <w:numPr>
          <w:ilvl w:val="0"/>
          <w:numId w:val="11"/>
        </w:numPr>
        <w:spacing w:line="256" w:lineRule="auto"/>
      </w:pPr>
      <w:r>
        <w:t xml:space="preserve">Colonization with certain organisms such as </w:t>
      </w:r>
      <w:proofErr w:type="spellStart"/>
      <w:r>
        <w:t>carbapenemase</w:t>
      </w:r>
      <w:proofErr w:type="spellEnd"/>
      <w:r>
        <w:t xml:space="preserve">-producing Enterobacteriaceae and </w:t>
      </w:r>
      <w:r>
        <w:rPr>
          <w:i/>
          <w:iCs/>
        </w:rPr>
        <w:t xml:space="preserve">C. </w:t>
      </w:r>
      <w:proofErr w:type="spellStart"/>
      <w:r>
        <w:rPr>
          <w:i/>
          <w:iCs/>
        </w:rPr>
        <w:t>auris</w:t>
      </w:r>
      <w:proofErr w:type="spellEnd"/>
      <w:r>
        <w:t>, poses a risk of the development of invasive disease as well as a significant risk of transmission within healthcare settings, and warrants inclusion in standardized case definitions for these organisms.</w:t>
      </w:r>
    </w:p>
    <w:p w14:paraId="0B10B431" w14:textId="77777777" w:rsidR="006C0F15" w:rsidRDefault="006C0F15" w:rsidP="006C0F15">
      <w:pPr>
        <w:pStyle w:val="ListParagraph"/>
        <w:numPr>
          <w:ilvl w:val="0"/>
          <w:numId w:val="11"/>
        </w:numPr>
        <w:spacing w:line="256" w:lineRule="auto"/>
      </w:pPr>
      <w:r>
        <w:t>Conducting surveillance for cases of active infection alone, may only identify the “tip of the iceberg”, and fails to address the true healthcare burden of certain HAI-associated organisms.</w:t>
      </w:r>
    </w:p>
    <w:p w14:paraId="1ADD83CF" w14:textId="77777777" w:rsidR="006C0F15" w:rsidRDefault="006C0F15" w:rsidP="006C0F15">
      <w:pPr>
        <w:pStyle w:val="ListParagraph"/>
        <w:numPr>
          <w:ilvl w:val="0"/>
          <w:numId w:val="11"/>
        </w:numPr>
        <w:spacing w:line="256" w:lineRule="auto"/>
      </w:pPr>
      <w:r>
        <w:t xml:space="preserve">As a result, only collecting and evaluating (at the national level) data relating to active infection, fails to fully estimate the true healthcare and public health burden of these organisms. </w:t>
      </w:r>
    </w:p>
    <w:p w14:paraId="3F166508" w14:textId="77777777" w:rsidR="006C0F15" w:rsidRDefault="006C0F15" w:rsidP="006C0F15">
      <w:pPr>
        <w:pStyle w:val="ListParagraph"/>
        <w:numPr>
          <w:ilvl w:val="0"/>
          <w:numId w:val="11"/>
        </w:numPr>
        <w:spacing w:line="256" w:lineRule="auto"/>
      </w:pPr>
      <w:commentRangeStart w:id="3"/>
      <w:r>
        <w:t xml:space="preserve">Perhaps discuss in more detail the challenges noted in the “description of problem section” AKA how does this affect your programmatic work. Cite real-life examples. </w:t>
      </w:r>
      <w:commentRangeEnd w:id="3"/>
      <w:r>
        <w:rPr>
          <w:rStyle w:val="CommentReference"/>
        </w:rPr>
        <w:commentReference w:id="3"/>
      </w:r>
    </w:p>
    <w:p w14:paraId="592EACA9" w14:textId="77777777" w:rsidR="006C0F15" w:rsidRDefault="006C0F15" w:rsidP="006C0F15">
      <w:pPr>
        <w:pStyle w:val="ListParagraph"/>
        <w:numPr>
          <w:ilvl w:val="0"/>
          <w:numId w:val="11"/>
        </w:numPr>
        <w:spacing w:line="256" w:lineRule="auto"/>
      </w:pPr>
      <w:r>
        <w:t>While it may be more work (burden) to collect and report data on “colonized” cases, by doing so, collectively we can better assess the public health impact of interventions, but also work burden</w:t>
      </w:r>
    </w:p>
    <w:p w14:paraId="6EA2B78B" w14:textId="77777777" w:rsidR="006C0F15" w:rsidRDefault="006C0F15" w:rsidP="006C0F15">
      <w:pPr>
        <w:pStyle w:val="ListParagraph"/>
        <w:numPr>
          <w:ilvl w:val="0"/>
          <w:numId w:val="11"/>
        </w:numPr>
        <w:spacing w:line="256" w:lineRule="auto"/>
      </w:pPr>
      <w:r>
        <w:t>The Brief would provide a standardized thought process to help facilitate the discussion at the annual conference meeting.</w:t>
      </w:r>
    </w:p>
    <w:p w14:paraId="73683BC4" w14:textId="77777777" w:rsidR="006C0F15" w:rsidRDefault="006C0F15" w:rsidP="006C0F15">
      <w:pPr>
        <w:pStyle w:val="ListParagraph"/>
        <w:numPr>
          <w:ilvl w:val="1"/>
          <w:numId w:val="11"/>
        </w:numPr>
        <w:spacing w:line="256" w:lineRule="auto"/>
      </w:pPr>
      <w:r>
        <w:t>This document can serve as a tool to promote the importance of colonization surveillance and gain consensus on best practices</w:t>
      </w:r>
    </w:p>
    <w:p w14:paraId="00C9BA2E" w14:textId="77777777" w:rsidR="006C0F15" w:rsidRDefault="006C0F15" w:rsidP="006C0F15">
      <w:pPr>
        <w:pStyle w:val="ListParagraph"/>
        <w:numPr>
          <w:ilvl w:val="1"/>
          <w:numId w:val="11"/>
        </w:numPr>
        <w:spacing w:line="256" w:lineRule="auto"/>
      </w:pPr>
      <w:r>
        <w:t>For all case definitions, consider the potential impact of a clinically-inapparent, but COLONIZED case on public health response and healthcare burden. If colonized cases require public health response and/or contribute to healthcare burden (i.e. through likelihood of developing clinically apparent infection or serving as a source of transmission to others within a healthcare facility) then consideration should be given to colonization on the case definition.</w:t>
      </w:r>
    </w:p>
    <w:p w14:paraId="55F82072" w14:textId="77777777" w:rsidR="006C0F15" w:rsidRDefault="006C0F15" w:rsidP="006C0F15">
      <w:pPr>
        <w:pStyle w:val="ListParagraph"/>
        <w:numPr>
          <w:ilvl w:val="1"/>
          <w:numId w:val="11"/>
        </w:numPr>
        <w:spacing w:line="256" w:lineRule="auto"/>
      </w:pPr>
      <w:r>
        <w:t xml:space="preserve">Consideration could be given to the best way to capture these cases, for example with CPOs and C. </w:t>
      </w:r>
      <w:proofErr w:type="spellStart"/>
      <w:r>
        <w:t>auris</w:t>
      </w:r>
      <w:proofErr w:type="spellEnd"/>
      <w:r>
        <w:t>, specimen source is a good proxy…</w:t>
      </w:r>
    </w:p>
    <w:p w14:paraId="457CB04A" w14:textId="77777777" w:rsidR="00613B25" w:rsidRDefault="00613B25" w:rsidP="00613B25"/>
    <w:p w14:paraId="5B83EC69" w14:textId="77777777" w:rsidR="00613B25" w:rsidRDefault="00613B25" w:rsidP="00613B25">
      <w:pPr>
        <w:pStyle w:val="ListParagraph"/>
        <w:numPr>
          <w:ilvl w:val="0"/>
          <w:numId w:val="1"/>
        </w:numPr>
        <w:rPr>
          <w:b/>
        </w:rPr>
      </w:pPr>
      <w:r w:rsidRPr="00613B25">
        <w:rPr>
          <w:b/>
        </w:rPr>
        <w:t xml:space="preserve">Position on issue </w:t>
      </w:r>
    </w:p>
    <w:p w14:paraId="6F1156B4" w14:textId="77777777" w:rsidR="00613B25" w:rsidRDefault="00613B25" w:rsidP="00613B25">
      <w:pPr>
        <w:pStyle w:val="ListParagraph"/>
        <w:numPr>
          <w:ilvl w:val="0"/>
          <w:numId w:val="8"/>
        </w:numPr>
      </w:pPr>
      <w:commentRangeStart w:id="4"/>
      <w:commentRangeStart w:id="5"/>
      <w:commentRangeStart w:id="6"/>
      <w:r w:rsidRPr="00613B25">
        <w:t>Position: Collecting surveillance data for colonization is important</w:t>
      </w:r>
      <w:commentRangeEnd w:id="4"/>
      <w:r w:rsidR="0058603A">
        <w:rPr>
          <w:rStyle w:val="CommentReference"/>
        </w:rPr>
        <w:commentReference w:id="4"/>
      </w:r>
      <w:commentRangeEnd w:id="5"/>
      <w:r w:rsidR="00653C85">
        <w:rPr>
          <w:rStyle w:val="CommentReference"/>
        </w:rPr>
        <w:commentReference w:id="5"/>
      </w:r>
    </w:p>
    <w:p w14:paraId="07381A13" w14:textId="77777777" w:rsidR="00043C76" w:rsidRDefault="00043C76" w:rsidP="00043C76">
      <w:pPr>
        <w:pStyle w:val="ListParagraph"/>
        <w:numPr>
          <w:ilvl w:val="1"/>
          <w:numId w:val="8"/>
        </w:numPr>
      </w:pPr>
      <w:r>
        <w:t>Discuss why these data are important to collect for public health practice and MDRO containment</w:t>
      </w:r>
    </w:p>
    <w:p w14:paraId="0E4D06EC" w14:textId="77777777" w:rsidR="00043C76" w:rsidRDefault="00043C76" w:rsidP="00043C76">
      <w:pPr>
        <w:pStyle w:val="ListParagraph"/>
        <w:numPr>
          <w:ilvl w:val="1"/>
          <w:numId w:val="8"/>
        </w:numPr>
      </w:pPr>
      <w:r>
        <w:t>Refer to implications of active surveillance (more colonization data coming in, need a “bucket” to put it in)</w:t>
      </w:r>
    </w:p>
    <w:p w14:paraId="3C0F522B" w14:textId="1C52EAA5" w:rsidR="00043C76" w:rsidRDefault="00043C76" w:rsidP="00043C76">
      <w:pPr>
        <w:pStyle w:val="ListParagraph"/>
        <w:numPr>
          <w:ilvl w:val="1"/>
          <w:numId w:val="8"/>
        </w:numPr>
      </w:pPr>
      <w:r>
        <w:t>Real-life example: California scenario?</w:t>
      </w:r>
      <w:r w:rsidR="00E8569D">
        <w:t xml:space="preserve"> Illinois?</w:t>
      </w:r>
    </w:p>
    <w:p w14:paraId="181BF793" w14:textId="7ABEC68B" w:rsidR="00E8569D" w:rsidRDefault="007A2136" w:rsidP="00043C76">
      <w:pPr>
        <w:pStyle w:val="ListParagraph"/>
        <w:numPr>
          <w:ilvl w:val="1"/>
          <w:numId w:val="8"/>
        </w:numPr>
      </w:pPr>
      <w:r>
        <w:t>Collecting this information will help to build our understanding of role of colonization in transmission</w:t>
      </w:r>
      <w:commentRangeEnd w:id="6"/>
      <w:r w:rsidR="006C0F15">
        <w:rPr>
          <w:rStyle w:val="CommentReference"/>
        </w:rPr>
        <w:commentReference w:id="6"/>
      </w:r>
    </w:p>
    <w:p w14:paraId="03D3CC98" w14:textId="77777777" w:rsidR="006C0F15" w:rsidRPr="00613B25" w:rsidRDefault="006C0F15" w:rsidP="006C0F15">
      <w:pPr>
        <w:pStyle w:val="ListParagraph"/>
        <w:ind w:left="1440"/>
      </w:pPr>
    </w:p>
    <w:p w14:paraId="32D00B92" w14:textId="77777777" w:rsidR="00613B25" w:rsidRDefault="00043C76" w:rsidP="00613B25">
      <w:pPr>
        <w:pStyle w:val="ListParagraph"/>
        <w:numPr>
          <w:ilvl w:val="0"/>
          <w:numId w:val="8"/>
        </w:numPr>
      </w:pPr>
      <w:commentRangeStart w:id="7"/>
      <w:r>
        <w:t>Handling these data in position statements</w:t>
      </w:r>
      <w:commentRangeEnd w:id="7"/>
      <w:r w:rsidR="006C0F15">
        <w:rPr>
          <w:rStyle w:val="CommentReference"/>
        </w:rPr>
        <w:commentReference w:id="7"/>
      </w:r>
    </w:p>
    <w:p w14:paraId="7258B29B" w14:textId="77777777" w:rsidR="00043C76" w:rsidRDefault="00043C76" w:rsidP="00043C76">
      <w:pPr>
        <w:pStyle w:val="ListParagraph"/>
        <w:numPr>
          <w:ilvl w:val="1"/>
          <w:numId w:val="8"/>
        </w:numPr>
      </w:pPr>
      <w:r>
        <w:t>Position: Include information on</w:t>
      </w:r>
      <w:r w:rsidR="008E7FA6">
        <w:t xml:space="preserve"> how colonization </w:t>
      </w:r>
      <w:r>
        <w:t>affects transmission</w:t>
      </w:r>
      <w:r w:rsidR="008E7FA6">
        <w:t xml:space="preserve"> in the “Background” section of position statement.</w:t>
      </w:r>
    </w:p>
    <w:p w14:paraId="4FC8EAF4" w14:textId="77777777" w:rsidR="00043C76" w:rsidRDefault="008E7FA6" w:rsidP="00043C76">
      <w:pPr>
        <w:pStyle w:val="ListParagraph"/>
        <w:numPr>
          <w:ilvl w:val="2"/>
          <w:numId w:val="8"/>
        </w:numPr>
      </w:pPr>
      <w:r>
        <w:t>L</w:t>
      </w:r>
      <w:r w:rsidR="00043C76">
        <w:t>ends context and cohesion to why colonization is included in the case ascertainment and classification sections</w:t>
      </w:r>
      <w:r>
        <w:t xml:space="preserve"> later on</w:t>
      </w:r>
    </w:p>
    <w:p w14:paraId="69EA7C36" w14:textId="77777777" w:rsidR="00043C76" w:rsidRDefault="00043C76" w:rsidP="00043C76">
      <w:pPr>
        <w:pStyle w:val="ListParagraph"/>
        <w:numPr>
          <w:ilvl w:val="1"/>
          <w:numId w:val="8"/>
        </w:numPr>
      </w:pPr>
      <w:r>
        <w:lastRenderedPageBreak/>
        <w:t>Position: Separate out colonization cases and clinical cases in case classification.</w:t>
      </w:r>
    </w:p>
    <w:p w14:paraId="63AC2132" w14:textId="77777777" w:rsidR="00043C76" w:rsidRDefault="00043C76" w:rsidP="00043C76">
      <w:pPr>
        <w:pStyle w:val="ListParagraph"/>
        <w:numPr>
          <w:ilvl w:val="2"/>
          <w:numId w:val="8"/>
        </w:numPr>
      </w:pPr>
      <w:commentRangeStart w:id="8"/>
      <w:r>
        <w:t>Explain why helpful to separate</w:t>
      </w:r>
      <w:commentRangeEnd w:id="8"/>
      <w:r w:rsidR="00177C88">
        <w:rPr>
          <w:rStyle w:val="CommentReference"/>
        </w:rPr>
        <w:commentReference w:id="8"/>
      </w:r>
    </w:p>
    <w:p w14:paraId="5D82657C" w14:textId="77777777" w:rsidR="00043C76" w:rsidRDefault="00043C76" w:rsidP="00043C76">
      <w:pPr>
        <w:pStyle w:val="ListParagraph"/>
        <w:numPr>
          <w:ilvl w:val="2"/>
          <w:numId w:val="8"/>
        </w:numPr>
      </w:pPr>
      <w:commentRangeStart w:id="9"/>
      <w:r>
        <w:t>Discuss considerations for which cases go to CDC (if an NNC)</w:t>
      </w:r>
      <w:commentRangeEnd w:id="9"/>
      <w:r w:rsidR="0014376B">
        <w:rPr>
          <w:rStyle w:val="CommentReference"/>
        </w:rPr>
        <w:commentReference w:id="9"/>
      </w:r>
    </w:p>
    <w:p w14:paraId="6E7C3C95" w14:textId="77777777" w:rsidR="00043C76" w:rsidRDefault="00043C76" w:rsidP="00043C76">
      <w:pPr>
        <w:pStyle w:val="ListParagraph"/>
        <w:numPr>
          <w:ilvl w:val="1"/>
          <w:numId w:val="8"/>
        </w:numPr>
      </w:pPr>
      <w:r>
        <w:t>Position:</w:t>
      </w:r>
      <w:r w:rsidR="008E7FA6">
        <w:t xml:space="preserve"> In the absence of clinical criteria, u</w:t>
      </w:r>
      <w:r>
        <w:t>se “specimen source” as a method to estimate intent of testing. Intent of testing can then be used in case classification logic.</w:t>
      </w:r>
    </w:p>
    <w:p w14:paraId="2F2D079B" w14:textId="77777777" w:rsidR="00043C76" w:rsidRDefault="004B3B4E" w:rsidP="00043C76">
      <w:pPr>
        <w:pStyle w:val="ListParagraph"/>
        <w:numPr>
          <w:ilvl w:val="2"/>
          <w:numId w:val="8"/>
        </w:numPr>
      </w:pPr>
      <w:r>
        <w:t>Intent = screening = colonization case</w:t>
      </w:r>
    </w:p>
    <w:p w14:paraId="6D89994D" w14:textId="77777777" w:rsidR="004B3B4E" w:rsidRDefault="004B3B4E" w:rsidP="00043C76">
      <w:pPr>
        <w:pStyle w:val="ListParagraph"/>
        <w:numPr>
          <w:ilvl w:val="2"/>
          <w:numId w:val="8"/>
        </w:numPr>
      </w:pPr>
      <w:r>
        <w:t>Intent = clinical testing = clinical case</w:t>
      </w:r>
    </w:p>
    <w:p w14:paraId="44046C55" w14:textId="12A77A1B" w:rsidR="003D0181" w:rsidRPr="00D223E8" w:rsidRDefault="00D223E8" w:rsidP="00043C76">
      <w:pPr>
        <w:pStyle w:val="ListParagraph"/>
        <w:numPr>
          <w:ilvl w:val="1"/>
          <w:numId w:val="8"/>
        </w:numPr>
        <w:rPr>
          <w:highlight w:val="yellow"/>
        </w:rPr>
      </w:pPr>
      <w:r w:rsidRPr="00D223E8">
        <w:rPr>
          <w:highlight w:val="yellow"/>
        </w:rPr>
        <w:t>Position: Consider how to address classification of subsequent infections in an individual (differing classifications at differing points in time)</w:t>
      </w:r>
    </w:p>
    <w:p w14:paraId="52CB1090" w14:textId="711815AC" w:rsidR="00043C76" w:rsidRDefault="00043C76" w:rsidP="00043C76">
      <w:pPr>
        <w:pStyle w:val="ListParagraph"/>
        <w:numPr>
          <w:ilvl w:val="1"/>
          <w:numId w:val="8"/>
        </w:numPr>
      </w:pPr>
      <w:r>
        <w:t>Position</w:t>
      </w:r>
      <w:r w:rsidR="008E7FA6">
        <w:t>: inclusion</w:t>
      </w:r>
      <w:r w:rsidR="0006077B">
        <w:t xml:space="preserve"> of clinical criteria</w:t>
      </w:r>
      <w:r w:rsidR="008E7FA6">
        <w:t xml:space="preserve"> in Operational Guidance</w:t>
      </w:r>
      <w:r w:rsidR="0006077B">
        <w:t xml:space="preserve"> instead of case classification? Lower incidence states would find this helpful</w:t>
      </w:r>
    </w:p>
    <w:p w14:paraId="3C7D19E4" w14:textId="77777777" w:rsidR="00000257" w:rsidRDefault="00000257" w:rsidP="00000257">
      <w:pPr>
        <w:pStyle w:val="ListParagraph"/>
        <w:ind w:left="1440"/>
      </w:pPr>
    </w:p>
    <w:tbl>
      <w:tblPr>
        <w:tblStyle w:val="TableGrid"/>
        <w:tblW w:w="10366" w:type="dxa"/>
        <w:tblLook w:val="04A0" w:firstRow="1" w:lastRow="0" w:firstColumn="1" w:lastColumn="0" w:noHBand="0" w:noVBand="1"/>
      </w:tblPr>
      <w:tblGrid>
        <w:gridCol w:w="2591"/>
        <w:gridCol w:w="2591"/>
        <w:gridCol w:w="2592"/>
        <w:gridCol w:w="2592"/>
      </w:tblGrid>
      <w:tr w:rsidR="00000257" w14:paraId="5ED1E1A8" w14:textId="77777777" w:rsidTr="00000257">
        <w:trPr>
          <w:trHeight w:val="620"/>
        </w:trPr>
        <w:tc>
          <w:tcPr>
            <w:tcW w:w="2591" w:type="dxa"/>
            <w:vAlign w:val="center"/>
          </w:tcPr>
          <w:p w14:paraId="65782235" w14:textId="2A2EC516" w:rsidR="00000257" w:rsidRPr="00000257" w:rsidRDefault="00000257" w:rsidP="00000257">
            <w:pPr>
              <w:jc w:val="center"/>
              <w:rPr>
                <w:b/>
                <w:bCs/>
                <w:sz w:val="20"/>
                <w:szCs w:val="20"/>
              </w:rPr>
            </w:pPr>
            <w:r w:rsidRPr="00000257">
              <w:rPr>
                <w:b/>
                <w:bCs/>
                <w:sz w:val="20"/>
                <w:szCs w:val="20"/>
              </w:rPr>
              <w:t>Recommendation</w:t>
            </w:r>
          </w:p>
        </w:tc>
        <w:tc>
          <w:tcPr>
            <w:tcW w:w="2591" w:type="dxa"/>
            <w:vAlign w:val="center"/>
          </w:tcPr>
          <w:p w14:paraId="4CC52FA8" w14:textId="3DE6ED07" w:rsidR="00000257" w:rsidRPr="00000257" w:rsidRDefault="00000257" w:rsidP="00000257">
            <w:pPr>
              <w:jc w:val="center"/>
              <w:rPr>
                <w:b/>
                <w:bCs/>
                <w:sz w:val="20"/>
                <w:szCs w:val="20"/>
              </w:rPr>
            </w:pPr>
            <w:r w:rsidRPr="00000257">
              <w:rPr>
                <w:b/>
                <w:bCs/>
                <w:sz w:val="20"/>
                <w:szCs w:val="20"/>
              </w:rPr>
              <w:t>Relevant Section</w:t>
            </w:r>
            <w:r w:rsidR="0006077B">
              <w:rPr>
                <w:b/>
                <w:bCs/>
                <w:sz w:val="20"/>
                <w:szCs w:val="20"/>
              </w:rPr>
              <w:t>(s)</w:t>
            </w:r>
            <w:r w:rsidRPr="00000257">
              <w:rPr>
                <w:b/>
                <w:bCs/>
                <w:sz w:val="20"/>
                <w:szCs w:val="20"/>
              </w:rPr>
              <w:t xml:space="preserve"> within Position Statement</w:t>
            </w:r>
          </w:p>
        </w:tc>
        <w:tc>
          <w:tcPr>
            <w:tcW w:w="2592" w:type="dxa"/>
            <w:vAlign w:val="center"/>
          </w:tcPr>
          <w:p w14:paraId="43C22928" w14:textId="26D19314" w:rsidR="00000257" w:rsidRPr="00000257" w:rsidRDefault="00000257" w:rsidP="00000257">
            <w:pPr>
              <w:jc w:val="center"/>
              <w:rPr>
                <w:b/>
                <w:bCs/>
                <w:sz w:val="20"/>
                <w:szCs w:val="20"/>
              </w:rPr>
            </w:pPr>
            <w:r w:rsidRPr="00000257">
              <w:rPr>
                <w:b/>
                <w:bCs/>
                <w:sz w:val="20"/>
                <w:szCs w:val="20"/>
              </w:rPr>
              <w:t>Justification</w:t>
            </w:r>
          </w:p>
        </w:tc>
        <w:tc>
          <w:tcPr>
            <w:tcW w:w="2592" w:type="dxa"/>
            <w:vAlign w:val="center"/>
          </w:tcPr>
          <w:p w14:paraId="0AB1B74E" w14:textId="4E14A3DC" w:rsidR="00000257" w:rsidRPr="00000257" w:rsidRDefault="00000257" w:rsidP="00000257">
            <w:pPr>
              <w:jc w:val="center"/>
              <w:rPr>
                <w:b/>
                <w:bCs/>
                <w:sz w:val="20"/>
                <w:szCs w:val="20"/>
              </w:rPr>
            </w:pPr>
            <w:r w:rsidRPr="00000257">
              <w:rPr>
                <w:b/>
                <w:bCs/>
                <w:sz w:val="20"/>
                <w:szCs w:val="20"/>
              </w:rPr>
              <w:t>Example?</w:t>
            </w:r>
          </w:p>
        </w:tc>
      </w:tr>
      <w:tr w:rsidR="00000257" w14:paraId="7A264B96" w14:textId="77777777" w:rsidTr="00000257">
        <w:trPr>
          <w:trHeight w:val="422"/>
        </w:trPr>
        <w:tc>
          <w:tcPr>
            <w:tcW w:w="2591" w:type="dxa"/>
            <w:vAlign w:val="center"/>
          </w:tcPr>
          <w:p w14:paraId="658BB8EB" w14:textId="77777777" w:rsidR="00000257" w:rsidRDefault="00000257" w:rsidP="00000257">
            <w:pPr>
              <w:jc w:val="center"/>
            </w:pPr>
          </w:p>
        </w:tc>
        <w:tc>
          <w:tcPr>
            <w:tcW w:w="2591" w:type="dxa"/>
            <w:vAlign w:val="center"/>
          </w:tcPr>
          <w:p w14:paraId="3C420D67" w14:textId="77777777" w:rsidR="00000257" w:rsidRDefault="00000257" w:rsidP="00000257">
            <w:pPr>
              <w:jc w:val="center"/>
            </w:pPr>
          </w:p>
        </w:tc>
        <w:tc>
          <w:tcPr>
            <w:tcW w:w="2592" w:type="dxa"/>
            <w:vAlign w:val="center"/>
          </w:tcPr>
          <w:p w14:paraId="4D08EFD3" w14:textId="77777777" w:rsidR="00000257" w:rsidRDefault="00000257" w:rsidP="00000257">
            <w:pPr>
              <w:jc w:val="center"/>
            </w:pPr>
          </w:p>
        </w:tc>
        <w:tc>
          <w:tcPr>
            <w:tcW w:w="2592" w:type="dxa"/>
            <w:vAlign w:val="center"/>
          </w:tcPr>
          <w:p w14:paraId="6AE54F76" w14:textId="77777777" w:rsidR="00000257" w:rsidRDefault="00000257" w:rsidP="00000257">
            <w:pPr>
              <w:jc w:val="center"/>
            </w:pPr>
          </w:p>
        </w:tc>
      </w:tr>
      <w:tr w:rsidR="00000257" w14:paraId="04DE53D8" w14:textId="77777777" w:rsidTr="00000257">
        <w:trPr>
          <w:trHeight w:val="408"/>
        </w:trPr>
        <w:tc>
          <w:tcPr>
            <w:tcW w:w="2591" w:type="dxa"/>
            <w:vAlign w:val="center"/>
          </w:tcPr>
          <w:p w14:paraId="74D938B8" w14:textId="77777777" w:rsidR="00000257" w:rsidRDefault="00000257" w:rsidP="00000257">
            <w:pPr>
              <w:jc w:val="center"/>
            </w:pPr>
          </w:p>
        </w:tc>
        <w:tc>
          <w:tcPr>
            <w:tcW w:w="2591" w:type="dxa"/>
            <w:vAlign w:val="center"/>
          </w:tcPr>
          <w:p w14:paraId="4C61F396" w14:textId="77777777" w:rsidR="00000257" w:rsidRDefault="00000257" w:rsidP="00000257">
            <w:pPr>
              <w:jc w:val="center"/>
            </w:pPr>
          </w:p>
        </w:tc>
        <w:tc>
          <w:tcPr>
            <w:tcW w:w="2592" w:type="dxa"/>
            <w:vAlign w:val="center"/>
          </w:tcPr>
          <w:p w14:paraId="64CAAE5C" w14:textId="77777777" w:rsidR="00000257" w:rsidRDefault="00000257" w:rsidP="00000257">
            <w:pPr>
              <w:jc w:val="center"/>
            </w:pPr>
          </w:p>
        </w:tc>
        <w:tc>
          <w:tcPr>
            <w:tcW w:w="2592" w:type="dxa"/>
            <w:vAlign w:val="center"/>
          </w:tcPr>
          <w:p w14:paraId="4E8FFCB4" w14:textId="77777777" w:rsidR="00000257" w:rsidRDefault="00000257" w:rsidP="00000257">
            <w:pPr>
              <w:jc w:val="center"/>
            </w:pPr>
          </w:p>
        </w:tc>
      </w:tr>
    </w:tbl>
    <w:p w14:paraId="6595A832" w14:textId="77777777" w:rsidR="00000257" w:rsidRDefault="00000257" w:rsidP="00000257"/>
    <w:p w14:paraId="53474C3D" w14:textId="77777777" w:rsidR="008E7FA6" w:rsidRPr="00043C76" w:rsidRDefault="008E7FA6" w:rsidP="008E7FA6">
      <w:pPr>
        <w:pStyle w:val="ListParagraph"/>
        <w:ind w:left="1440"/>
      </w:pPr>
    </w:p>
    <w:p w14:paraId="71449786" w14:textId="77777777" w:rsidR="008E7FA6" w:rsidRPr="00820D66" w:rsidRDefault="008E7FA6" w:rsidP="008E7FA6">
      <w:pPr>
        <w:pStyle w:val="ListParagraph"/>
        <w:numPr>
          <w:ilvl w:val="0"/>
          <w:numId w:val="1"/>
        </w:numPr>
        <w:rPr>
          <w:b/>
        </w:rPr>
      </w:pPr>
      <w:r w:rsidRPr="00B83ACC">
        <w:rPr>
          <w:b/>
        </w:rPr>
        <w:t>Options for consideration and next steps</w:t>
      </w:r>
      <w:r>
        <w:rPr>
          <w:b/>
        </w:rPr>
        <w:t xml:space="preserve"> </w:t>
      </w:r>
    </w:p>
    <w:p w14:paraId="6F75E7F0" w14:textId="77777777" w:rsidR="008E7FA6" w:rsidRPr="008E7FA6" w:rsidRDefault="008E7FA6" w:rsidP="008E7FA6">
      <w:pPr>
        <w:pStyle w:val="ListParagraph"/>
        <w:numPr>
          <w:ilvl w:val="0"/>
          <w:numId w:val="9"/>
        </w:numPr>
        <w:rPr>
          <w:b/>
        </w:rPr>
      </w:pPr>
      <w:r>
        <w:t>Considerations for implementation</w:t>
      </w:r>
    </w:p>
    <w:p w14:paraId="194FD08F" w14:textId="77777777" w:rsidR="008E7FA6" w:rsidRPr="008E7FA6" w:rsidRDefault="008E7FA6" w:rsidP="008E7FA6">
      <w:pPr>
        <w:pStyle w:val="ListParagraph"/>
        <w:numPr>
          <w:ilvl w:val="1"/>
          <w:numId w:val="9"/>
        </w:numPr>
      </w:pPr>
      <w:r w:rsidRPr="008E7FA6">
        <w:t>Language, message mapping guide</w:t>
      </w:r>
    </w:p>
    <w:p w14:paraId="2600C6DB" w14:textId="77777777" w:rsidR="00613B25" w:rsidRPr="008E7FA6" w:rsidRDefault="008E7FA6" w:rsidP="008E7FA6">
      <w:pPr>
        <w:pStyle w:val="ListParagraph"/>
        <w:numPr>
          <w:ilvl w:val="1"/>
          <w:numId w:val="9"/>
        </w:numPr>
      </w:pPr>
      <w:r w:rsidRPr="008E7FA6">
        <w:t>Capacity at the STLT level to conduct colonization surveillance: assessing and augmenting</w:t>
      </w:r>
      <w:r w:rsidR="003E1217">
        <w:t xml:space="preserve"> existing capacity</w:t>
      </w:r>
    </w:p>
    <w:p w14:paraId="06D98F49" w14:textId="77777777" w:rsidR="008E7FA6" w:rsidRPr="003E1217" w:rsidRDefault="008E7FA6" w:rsidP="008E7FA6">
      <w:pPr>
        <w:pStyle w:val="ListParagraph"/>
        <w:numPr>
          <w:ilvl w:val="0"/>
          <w:numId w:val="9"/>
        </w:numPr>
      </w:pPr>
      <w:r w:rsidRPr="003E1217">
        <w:t>Still need additional discussion on how to approach lab detections without an identified organism.</w:t>
      </w:r>
    </w:p>
    <w:p w14:paraId="635AA12F" w14:textId="77777777" w:rsidR="008E7FA6" w:rsidRPr="006C0F15" w:rsidRDefault="008E7FA6" w:rsidP="008E7FA6">
      <w:pPr>
        <w:pStyle w:val="ListParagraph"/>
        <w:numPr>
          <w:ilvl w:val="1"/>
          <w:numId w:val="9"/>
        </w:numPr>
        <w:rPr>
          <w:highlight w:val="yellow"/>
        </w:rPr>
      </w:pPr>
      <w:commentRangeStart w:id="10"/>
      <w:commentRangeStart w:id="11"/>
      <w:r w:rsidRPr="006C0F15">
        <w:rPr>
          <w:highlight w:val="yellow"/>
        </w:rPr>
        <w:t xml:space="preserve">Propose the future development of a resistance-mechanism focused, organism-agnostic position statement. CPO </w:t>
      </w:r>
      <w:r w:rsidR="003E1217" w:rsidRPr="006C0F15">
        <w:rPr>
          <w:highlight w:val="yellow"/>
        </w:rPr>
        <w:t xml:space="preserve">could be the use case. </w:t>
      </w:r>
      <w:commentRangeEnd w:id="10"/>
      <w:r w:rsidR="006C0F15">
        <w:rPr>
          <w:rStyle w:val="CommentReference"/>
        </w:rPr>
        <w:commentReference w:id="10"/>
      </w:r>
      <w:commentRangeEnd w:id="11"/>
      <w:r w:rsidR="00532826">
        <w:rPr>
          <w:rStyle w:val="CommentReference"/>
        </w:rPr>
        <w:commentReference w:id="11"/>
      </w:r>
    </w:p>
    <w:p w14:paraId="26E674B9" w14:textId="77777777" w:rsidR="00613B25" w:rsidRDefault="003E1217" w:rsidP="003E1217">
      <w:pPr>
        <w:pStyle w:val="ListParagraph"/>
        <w:numPr>
          <w:ilvl w:val="0"/>
          <w:numId w:val="10"/>
        </w:numPr>
      </w:pPr>
      <w:r>
        <w:t>Expansion of this discussion beyond MDRO into other impacted program areas</w:t>
      </w:r>
    </w:p>
    <w:p w14:paraId="70A69156" w14:textId="61D5E711" w:rsidR="00CF13BE" w:rsidRDefault="00CF13BE" w:rsidP="00CF13BE"/>
    <w:p w14:paraId="660E6D56" w14:textId="1F26763C" w:rsidR="00CF13BE" w:rsidRPr="00CF13BE" w:rsidRDefault="00CF13BE" w:rsidP="00CF13BE">
      <w:pPr>
        <w:pStyle w:val="ListParagraph"/>
        <w:numPr>
          <w:ilvl w:val="0"/>
          <w:numId w:val="1"/>
        </w:numPr>
        <w:rPr>
          <w:b/>
          <w:bCs/>
        </w:rPr>
      </w:pPr>
      <w:r w:rsidRPr="00CF13BE">
        <w:rPr>
          <w:b/>
          <w:bCs/>
        </w:rPr>
        <w:t>Author</w:t>
      </w:r>
      <w:r>
        <w:rPr>
          <w:b/>
          <w:bCs/>
        </w:rPr>
        <w:t xml:space="preserve"> </w:t>
      </w:r>
      <w:r w:rsidRPr="00CF13BE">
        <w:rPr>
          <w:b/>
          <w:bCs/>
        </w:rPr>
        <w:t>Information</w:t>
      </w:r>
      <w:r>
        <w:rPr>
          <w:b/>
          <w:bCs/>
        </w:rPr>
        <w:t xml:space="preserve"> and Workgroup Contributors</w:t>
      </w:r>
      <w:r w:rsidRPr="00CF13BE">
        <w:rPr>
          <w:b/>
          <w:bCs/>
        </w:rPr>
        <w:t>:</w:t>
      </w:r>
    </w:p>
    <w:p w14:paraId="5767C3E6" w14:textId="5814EB3E" w:rsidR="00CF13BE" w:rsidRDefault="00CF13BE" w:rsidP="00CF13BE">
      <w:pPr>
        <w:ind w:left="360" w:firstLine="360"/>
      </w:pPr>
      <w:r>
        <w:t>Primary Author:</w:t>
      </w:r>
    </w:p>
    <w:p w14:paraId="2D9275B9" w14:textId="59EFC344" w:rsidR="00CF13BE" w:rsidRPr="00CF13BE" w:rsidRDefault="00CF13BE" w:rsidP="00CF13BE">
      <w:pPr>
        <w:ind w:left="360" w:firstLine="360"/>
      </w:pPr>
      <w:r>
        <w:t>Co-Authors:</w:t>
      </w:r>
    </w:p>
    <w:p w14:paraId="42D331AF" w14:textId="77777777" w:rsidR="00CF13BE" w:rsidRDefault="00CF13BE" w:rsidP="00CF13BE">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80"/>
          <w:sz w:val="20"/>
          <w:szCs w:val="20"/>
        </w:rPr>
        <w:t> </w:t>
      </w:r>
    </w:p>
    <w:p w14:paraId="575C7EB9" w14:textId="77777777" w:rsidR="00CF13BE" w:rsidRPr="00613B25" w:rsidRDefault="00CF13BE" w:rsidP="00CF13BE"/>
    <w:p w14:paraId="35A10228" w14:textId="77777777" w:rsidR="006F2E75" w:rsidRDefault="006F2E75" w:rsidP="00D32A57"/>
    <w:p w14:paraId="7CDC9810" w14:textId="77777777" w:rsidR="00492746" w:rsidRDefault="00492746"/>
    <w:sectPr w:rsidR="00492746" w:rsidSect="00DC37A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Brooke Beaulieu" w:date="2020-01-17T13:59:00Z" w:initials="BB">
    <w:p w14:paraId="1725F72A" w14:textId="3CEB6597" w:rsidR="00973AB3" w:rsidRDefault="00973AB3">
      <w:pPr>
        <w:pStyle w:val="CommentText"/>
      </w:pPr>
      <w:r>
        <w:rPr>
          <w:rStyle w:val="CommentReference"/>
        </w:rPr>
        <w:annotationRef/>
      </w:r>
      <w:r w:rsidR="009E7427">
        <w:rPr>
          <w:rStyle w:val="CommentReference"/>
        </w:rPr>
        <w:t>Paragraph 1</w:t>
      </w:r>
    </w:p>
  </w:comment>
  <w:comment w:id="1" w:author="Brooke Beaulieu [2]" w:date="2020-08-07T12:32:00Z" w:initials="BB">
    <w:p w14:paraId="2DA519DD" w14:textId="4C189731" w:rsidR="009E7427" w:rsidRDefault="009E7427">
      <w:pPr>
        <w:pStyle w:val="CommentText"/>
      </w:pPr>
      <w:r>
        <w:rPr>
          <w:rStyle w:val="CommentReference"/>
        </w:rPr>
        <w:annotationRef/>
      </w:r>
      <w:r>
        <w:t>1-2 paragraphs</w:t>
      </w:r>
    </w:p>
  </w:comment>
  <w:comment w:id="2" w:author="Brooke Beaulieu" w:date="2020-01-17T13:59:00Z" w:initials="BB">
    <w:p w14:paraId="61CD8A7E" w14:textId="5F04A65A" w:rsidR="00973AB3" w:rsidRDefault="00973AB3">
      <w:pPr>
        <w:pStyle w:val="CommentText"/>
      </w:pPr>
      <w:r>
        <w:rPr>
          <w:rStyle w:val="CommentReference"/>
        </w:rPr>
        <w:annotationRef/>
      </w:r>
      <w:r w:rsidR="006C0F15">
        <w:rPr>
          <w:rStyle w:val="CommentReference"/>
        </w:rPr>
        <w:t>Comments from Scott and Melissa added in.</w:t>
      </w:r>
    </w:p>
  </w:comment>
  <w:comment w:id="3" w:author="Melissa Cumming" w:date="2020-02-14T15:10:00Z" w:initials="MC">
    <w:p w14:paraId="2B0195ED" w14:textId="77777777" w:rsidR="006C0F15" w:rsidRDefault="006C0F15" w:rsidP="006C0F15">
      <w:pPr>
        <w:pStyle w:val="CommentText"/>
      </w:pPr>
      <w:r>
        <w:rPr>
          <w:rStyle w:val="CommentReference"/>
        </w:rPr>
        <w:annotationRef/>
      </w:r>
      <w:r>
        <w:t>Brooke, are you referring to the coordination, collection and data entry of colonization results here?</w:t>
      </w:r>
    </w:p>
  </w:comment>
  <w:comment w:id="4" w:author="Brooke Beaulieu" w:date="2020-01-17T13:34:00Z" w:initials="BB">
    <w:p w14:paraId="70FE2ABB" w14:textId="77777777" w:rsidR="0058603A" w:rsidRDefault="0058603A">
      <w:pPr>
        <w:pStyle w:val="CommentText"/>
      </w:pPr>
      <w:r>
        <w:rPr>
          <w:rStyle w:val="CommentReference"/>
        </w:rPr>
        <w:annotationRef/>
      </w:r>
      <w:r>
        <w:t xml:space="preserve">Any boiler plate language for this that already exists? </w:t>
      </w:r>
      <w:proofErr w:type="spellStart"/>
      <w:r>
        <w:t>Snigdha</w:t>
      </w:r>
      <w:proofErr w:type="spellEnd"/>
      <w:r>
        <w:t xml:space="preserve"> will look </w:t>
      </w:r>
      <w:r w:rsidR="00A34267">
        <w:t>to see what’s out there.</w:t>
      </w:r>
      <w:r w:rsidR="0015717C">
        <w:t xml:space="preserve"> Containment guidance may be helpful resource.</w:t>
      </w:r>
    </w:p>
    <w:p w14:paraId="61BA310E" w14:textId="77777777" w:rsidR="0015717C" w:rsidRDefault="0015717C">
      <w:pPr>
        <w:pStyle w:val="CommentText"/>
      </w:pPr>
    </w:p>
    <w:p w14:paraId="16C1E123" w14:textId="77777777" w:rsidR="0015717C" w:rsidRDefault="0015717C">
      <w:pPr>
        <w:pStyle w:val="CommentText"/>
      </w:pPr>
      <w:r>
        <w:t>MDRO IC Guidelines on CDC website – detecting asymptomatic colonization.</w:t>
      </w:r>
    </w:p>
    <w:p w14:paraId="7B20B95E" w14:textId="77777777" w:rsidR="0015717C" w:rsidRDefault="0015717C">
      <w:pPr>
        <w:pStyle w:val="CommentText"/>
      </w:pPr>
    </w:p>
    <w:p w14:paraId="4B319DD4" w14:textId="7115184B" w:rsidR="0015717C" w:rsidRDefault="0015717C">
      <w:pPr>
        <w:pStyle w:val="CommentText"/>
      </w:pPr>
      <w:r>
        <w:t>Could dig through materials used to communicate with patients about screening</w:t>
      </w:r>
      <w:r w:rsidR="00653C85">
        <w:t>.</w:t>
      </w:r>
    </w:p>
  </w:comment>
  <w:comment w:id="5" w:author="Brooke Beaulieu" w:date="2020-01-17T13:39:00Z" w:initials="BB">
    <w:p w14:paraId="4D84AE14" w14:textId="76171DB6" w:rsidR="00653C85" w:rsidRDefault="00653C85">
      <w:pPr>
        <w:pStyle w:val="CommentText"/>
      </w:pPr>
      <w:r>
        <w:rPr>
          <w:rStyle w:val="CommentReference"/>
        </w:rPr>
        <w:annotationRef/>
      </w:r>
    </w:p>
  </w:comment>
  <w:comment w:id="6" w:author="Brooke Beaulieu [2]" w:date="2020-08-07T12:37:00Z" w:initials="BB">
    <w:p w14:paraId="506EA25C" w14:textId="109A6A01" w:rsidR="006C0F15" w:rsidRDefault="006C0F15">
      <w:pPr>
        <w:pStyle w:val="CommentText"/>
      </w:pPr>
      <w:r>
        <w:rPr>
          <w:rStyle w:val="CommentReference"/>
        </w:rPr>
        <w:annotationRef/>
      </w:r>
      <w:r>
        <w:t>1-2 framing paragraphs for this section</w:t>
      </w:r>
    </w:p>
  </w:comment>
  <w:comment w:id="7" w:author="Brooke Beaulieu [2]" w:date="2020-08-07T12:41:00Z" w:initials="BB">
    <w:p w14:paraId="6F5CA4A1" w14:textId="008D3FC9" w:rsidR="006C0F15" w:rsidRDefault="006C0F15">
      <w:pPr>
        <w:pStyle w:val="CommentText"/>
      </w:pPr>
      <w:r>
        <w:rPr>
          <w:rStyle w:val="CommentReference"/>
        </w:rPr>
        <w:annotationRef/>
      </w:r>
      <w:r>
        <w:t>Consider a table or bullet point format for these proposals.</w:t>
      </w:r>
    </w:p>
  </w:comment>
  <w:comment w:id="8" w:author="Brooke Beaulieu" w:date="2020-01-17T13:43:00Z" w:initials="BB">
    <w:p w14:paraId="0149AF05" w14:textId="77777777" w:rsidR="00177C88" w:rsidRDefault="00177C88">
      <w:pPr>
        <w:pStyle w:val="CommentText"/>
      </w:pPr>
      <w:r>
        <w:rPr>
          <w:rStyle w:val="CommentReference"/>
        </w:rPr>
        <w:annotationRef/>
      </w:r>
      <w:r>
        <w:t xml:space="preserve">Any </w:t>
      </w:r>
      <w:r w:rsidR="008E2C6E">
        <w:t>references to support this?</w:t>
      </w:r>
    </w:p>
    <w:p w14:paraId="69732D66" w14:textId="77777777" w:rsidR="008E2C6E" w:rsidRDefault="008E2C6E">
      <w:pPr>
        <w:pStyle w:val="CommentText"/>
      </w:pPr>
    </w:p>
    <w:p w14:paraId="56ACD7BE" w14:textId="77777777" w:rsidR="008E2C6E" w:rsidRDefault="008E2C6E">
      <w:pPr>
        <w:pStyle w:val="CommentText"/>
      </w:pPr>
      <w:r>
        <w:t>Better assess burden and evolution from colonization to active disease.</w:t>
      </w:r>
    </w:p>
    <w:p w14:paraId="3FDD6924" w14:textId="77777777" w:rsidR="00920CDE" w:rsidRDefault="00920CDE">
      <w:pPr>
        <w:pStyle w:val="CommentText"/>
      </w:pPr>
    </w:p>
    <w:p w14:paraId="3194801E" w14:textId="575BE20C" w:rsidR="0014376B" w:rsidRDefault="00920CDE">
      <w:pPr>
        <w:pStyle w:val="CommentText"/>
      </w:pPr>
      <w:r>
        <w:t>Address capacity issues here, pitfalls head on</w:t>
      </w:r>
      <w:r w:rsidR="0014376B">
        <w:t xml:space="preserve"> “Not all have capacity, but for those that do, capture data in a systematic way that it can be put to good use.”</w:t>
      </w:r>
    </w:p>
    <w:p w14:paraId="5425BE07" w14:textId="77777777" w:rsidR="00CE20A0" w:rsidRDefault="00CE20A0">
      <w:pPr>
        <w:pStyle w:val="CommentText"/>
      </w:pPr>
    </w:p>
    <w:p w14:paraId="46F8040F" w14:textId="68AA6996" w:rsidR="00CE20A0" w:rsidRDefault="00CE20A0">
      <w:pPr>
        <w:pStyle w:val="CommentText"/>
      </w:pPr>
      <w:r>
        <w:t>Not another equal mechanism to get this info long term (ARLN has some limitations)</w:t>
      </w:r>
    </w:p>
  </w:comment>
  <w:comment w:id="9" w:author="Brooke Beaulieu" w:date="2020-01-17T13:50:00Z" w:initials="BB">
    <w:p w14:paraId="4E533A18" w14:textId="18C1ED28" w:rsidR="0014376B" w:rsidRDefault="0014376B">
      <w:pPr>
        <w:pStyle w:val="CommentText"/>
      </w:pPr>
      <w:r>
        <w:rPr>
          <w:rStyle w:val="CommentReference"/>
        </w:rPr>
        <w:annotationRef/>
      </w:r>
      <w:r>
        <w:t>Print criteria could differ if all cases NNC</w:t>
      </w:r>
    </w:p>
  </w:comment>
  <w:comment w:id="10" w:author="Brooke Beaulieu [2]" w:date="2020-08-07T12:39:00Z" w:initials="BB">
    <w:p w14:paraId="0EE16EF3" w14:textId="03309B34" w:rsidR="006C0F15" w:rsidRDefault="006C0F15">
      <w:pPr>
        <w:pStyle w:val="CommentText"/>
      </w:pPr>
      <w:r>
        <w:rPr>
          <w:rStyle w:val="CommentReference"/>
        </w:rPr>
        <w:annotationRef/>
      </w:r>
      <w:r>
        <w:t>Should this be moved up into a “position” E.g., “Work towards  the future development…”</w:t>
      </w:r>
    </w:p>
  </w:comment>
  <w:comment w:id="11" w:author="Brooke Beaulieu [2]" w:date="2020-08-10T15:55:00Z" w:initials="BB">
    <w:p w14:paraId="75D36881" w14:textId="1DC61F66" w:rsidR="00532826" w:rsidRDefault="00532826">
      <w:pPr>
        <w:pStyle w:val="CommentText"/>
      </w:pPr>
      <w:r>
        <w:rPr>
          <w:rStyle w:val="CommentReference"/>
        </w:rPr>
        <w:annotationRef/>
      </w:r>
      <w:r>
        <w:t xml:space="preserve">Yes. Need further discussion on how exactly to do this. </w:t>
      </w:r>
      <w:bookmarkStart w:id="12" w:name="_GoBack"/>
      <w:bookmarkEnd w:id="12"/>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725F72A" w15:done="0"/>
  <w15:commentEx w15:paraId="2DA519DD" w15:done="0"/>
  <w15:commentEx w15:paraId="61CD8A7E" w15:done="0"/>
  <w15:commentEx w15:paraId="2B0195ED" w15:done="0"/>
  <w15:commentEx w15:paraId="4B319DD4" w15:done="0"/>
  <w15:commentEx w15:paraId="4D84AE14" w15:paraIdParent="4B319DD4" w15:done="0"/>
  <w15:commentEx w15:paraId="506EA25C" w15:done="0"/>
  <w15:commentEx w15:paraId="6F5CA4A1" w15:done="0"/>
  <w15:commentEx w15:paraId="46F8040F" w15:done="0"/>
  <w15:commentEx w15:paraId="4E533A18" w15:done="0"/>
  <w15:commentEx w15:paraId="0EE16EF3" w15:done="0"/>
  <w15:commentEx w15:paraId="75D36881" w15:paraIdParent="0EE16EF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25F72A" w16cid:durableId="22D7C691"/>
  <w16cid:commentId w16cid:paraId="2DA519DD" w16cid:durableId="22D7C87B"/>
  <w16cid:commentId w16cid:paraId="61CD8A7E" w16cid:durableId="22D7C692"/>
  <w16cid:commentId w16cid:paraId="2B0195ED" w16cid:durableId="22D7C947"/>
  <w16cid:commentId w16cid:paraId="4B319DD4" w16cid:durableId="22D7C693"/>
  <w16cid:commentId w16cid:paraId="4D84AE14" w16cid:durableId="22D7C694"/>
  <w16cid:commentId w16cid:paraId="506EA25C" w16cid:durableId="22D7C98E"/>
  <w16cid:commentId w16cid:paraId="6F5CA4A1" w16cid:durableId="22D7CA66"/>
  <w16cid:commentId w16cid:paraId="46F8040F" w16cid:durableId="22D7C695"/>
  <w16cid:commentId w16cid:paraId="4E533A18" w16cid:durableId="22D7C696"/>
  <w16cid:commentId w16cid:paraId="0EE16EF3" w16cid:durableId="22D7C9F9"/>
  <w16cid:commentId w16cid:paraId="75D36881" w16cid:durableId="22DBEC6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16D0E"/>
    <w:multiLevelType w:val="hybridMultilevel"/>
    <w:tmpl w:val="95CAF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920C6E"/>
    <w:multiLevelType w:val="hybridMultilevel"/>
    <w:tmpl w:val="31ECA2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CB3511"/>
    <w:multiLevelType w:val="hybridMultilevel"/>
    <w:tmpl w:val="EDDC8F54"/>
    <w:lvl w:ilvl="0" w:tplc="1D1654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BB4A56"/>
    <w:multiLevelType w:val="hybridMultilevel"/>
    <w:tmpl w:val="2CF29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F4677E"/>
    <w:multiLevelType w:val="hybridMultilevel"/>
    <w:tmpl w:val="4DFE7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533A2D"/>
    <w:multiLevelType w:val="hybridMultilevel"/>
    <w:tmpl w:val="FBC69E7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9FE5EA8"/>
    <w:multiLevelType w:val="hybridMultilevel"/>
    <w:tmpl w:val="4A540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880F63"/>
    <w:multiLevelType w:val="hybridMultilevel"/>
    <w:tmpl w:val="63A29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A23FFD"/>
    <w:multiLevelType w:val="hybridMultilevel"/>
    <w:tmpl w:val="6A1AF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3F1584"/>
    <w:multiLevelType w:val="hybridMultilevel"/>
    <w:tmpl w:val="F59CE348"/>
    <w:lvl w:ilvl="0" w:tplc="927039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7"/>
  </w:num>
  <w:num w:numId="4">
    <w:abstractNumId w:val="9"/>
  </w:num>
  <w:num w:numId="5">
    <w:abstractNumId w:val="0"/>
  </w:num>
  <w:num w:numId="6">
    <w:abstractNumId w:val="5"/>
  </w:num>
  <w:num w:numId="7">
    <w:abstractNumId w:val="1"/>
  </w:num>
  <w:num w:numId="8">
    <w:abstractNumId w:val="6"/>
  </w:num>
  <w:num w:numId="9">
    <w:abstractNumId w:val="8"/>
  </w:num>
  <w:num w:numId="10">
    <w:abstractNumId w:val="3"/>
  </w:num>
  <w:num w:numId="11">
    <w:abstractNumId w:val="0"/>
    <w:lvlOverride w:ilvl="0"/>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rooke Beaulieu">
    <w15:presenceInfo w15:providerId="None" w15:userId="Brooke Beaulieu"/>
  </w15:person>
  <w15:person w15:author="Brooke Beaulieu [2]">
    <w15:presenceInfo w15:providerId="AD" w15:userId="S::brooke@cste.org::ee4e3750-1b04-4571-bd79-18cf72e81ebb"/>
  </w15:person>
  <w15:person w15:author="Melissa Cumming">
    <w15:presenceInfo w15:providerId="Windows Live" w15:userId="989e9d5f6ea5d2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746"/>
    <w:rsid w:val="00000257"/>
    <w:rsid w:val="00043C76"/>
    <w:rsid w:val="0006077B"/>
    <w:rsid w:val="0014376B"/>
    <w:rsid w:val="0015717C"/>
    <w:rsid w:val="00177C88"/>
    <w:rsid w:val="00212F64"/>
    <w:rsid w:val="003A3CF9"/>
    <w:rsid w:val="003D0181"/>
    <w:rsid w:val="003E1217"/>
    <w:rsid w:val="00492746"/>
    <w:rsid w:val="004B3B4E"/>
    <w:rsid w:val="00532826"/>
    <w:rsid w:val="0058603A"/>
    <w:rsid w:val="00613B25"/>
    <w:rsid w:val="00653C85"/>
    <w:rsid w:val="00654718"/>
    <w:rsid w:val="006C0F15"/>
    <w:rsid w:val="006F2E75"/>
    <w:rsid w:val="007A2136"/>
    <w:rsid w:val="00880AE6"/>
    <w:rsid w:val="008E2C6E"/>
    <w:rsid w:val="008E7FA6"/>
    <w:rsid w:val="00920CDE"/>
    <w:rsid w:val="00970B7F"/>
    <w:rsid w:val="00973AB3"/>
    <w:rsid w:val="009E7427"/>
    <w:rsid w:val="00A34267"/>
    <w:rsid w:val="00CE20A0"/>
    <w:rsid w:val="00CF13BE"/>
    <w:rsid w:val="00D223E8"/>
    <w:rsid w:val="00D32A57"/>
    <w:rsid w:val="00DC310F"/>
    <w:rsid w:val="00DC37A6"/>
    <w:rsid w:val="00E85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4213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92746"/>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2746"/>
    <w:pPr>
      <w:ind w:left="720"/>
      <w:contextualSpacing/>
    </w:pPr>
  </w:style>
  <w:style w:type="character" w:styleId="CommentReference">
    <w:name w:val="annotation reference"/>
    <w:basedOn w:val="DefaultParagraphFont"/>
    <w:uiPriority w:val="99"/>
    <w:semiHidden/>
    <w:unhideWhenUsed/>
    <w:rsid w:val="0058603A"/>
    <w:rPr>
      <w:sz w:val="18"/>
      <w:szCs w:val="18"/>
    </w:rPr>
  </w:style>
  <w:style w:type="paragraph" w:styleId="CommentText">
    <w:name w:val="annotation text"/>
    <w:basedOn w:val="Normal"/>
    <w:link w:val="CommentTextChar"/>
    <w:uiPriority w:val="99"/>
    <w:semiHidden/>
    <w:unhideWhenUsed/>
    <w:rsid w:val="0058603A"/>
    <w:pPr>
      <w:spacing w:line="240" w:lineRule="auto"/>
    </w:pPr>
    <w:rPr>
      <w:sz w:val="24"/>
      <w:szCs w:val="24"/>
    </w:rPr>
  </w:style>
  <w:style w:type="character" w:customStyle="1" w:styleId="CommentTextChar">
    <w:name w:val="Comment Text Char"/>
    <w:basedOn w:val="DefaultParagraphFont"/>
    <w:link w:val="CommentText"/>
    <w:uiPriority w:val="99"/>
    <w:semiHidden/>
    <w:rsid w:val="0058603A"/>
  </w:style>
  <w:style w:type="paragraph" w:styleId="CommentSubject">
    <w:name w:val="annotation subject"/>
    <w:basedOn w:val="CommentText"/>
    <w:next w:val="CommentText"/>
    <w:link w:val="CommentSubjectChar"/>
    <w:uiPriority w:val="99"/>
    <w:semiHidden/>
    <w:unhideWhenUsed/>
    <w:rsid w:val="0058603A"/>
    <w:rPr>
      <w:b/>
      <w:bCs/>
      <w:sz w:val="20"/>
      <w:szCs w:val="20"/>
    </w:rPr>
  </w:style>
  <w:style w:type="character" w:customStyle="1" w:styleId="CommentSubjectChar">
    <w:name w:val="Comment Subject Char"/>
    <w:basedOn w:val="CommentTextChar"/>
    <w:link w:val="CommentSubject"/>
    <w:uiPriority w:val="99"/>
    <w:semiHidden/>
    <w:rsid w:val="0058603A"/>
    <w:rPr>
      <w:b/>
      <w:bCs/>
      <w:sz w:val="20"/>
      <w:szCs w:val="20"/>
    </w:rPr>
  </w:style>
  <w:style w:type="paragraph" w:styleId="BalloonText">
    <w:name w:val="Balloon Text"/>
    <w:basedOn w:val="Normal"/>
    <w:link w:val="BalloonTextChar"/>
    <w:uiPriority w:val="99"/>
    <w:semiHidden/>
    <w:unhideWhenUsed/>
    <w:rsid w:val="0058603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8603A"/>
    <w:rPr>
      <w:rFonts w:ascii="Times New Roman" w:hAnsi="Times New Roman" w:cs="Times New Roman"/>
      <w:sz w:val="18"/>
      <w:szCs w:val="18"/>
    </w:rPr>
  </w:style>
  <w:style w:type="table" w:styleId="TableGrid">
    <w:name w:val="Table Grid"/>
    <w:basedOn w:val="TableNormal"/>
    <w:uiPriority w:val="39"/>
    <w:rsid w:val="00000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F13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F13BE"/>
  </w:style>
  <w:style w:type="character" w:customStyle="1" w:styleId="tabchar">
    <w:name w:val="tabchar"/>
    <w:basedOn w:val="DefaultParagraphFont"/>
    <w:rsid w:val="00CF13BE"/>
  </w:style>
  <w:style w:type="character" w:customStyle="1" w:styleId="eop">
    <w:name w:val="eop"/>
    <w:basedOn w:val="DefaultParagraphFont"/>
    <w:rsid w:val="00CF1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792172">
      <w:bodyDiv w:val="1"/>
      <w:marLeft w:val="0"/>
      <w:marRight w:val="0"/>
      <w:marTop w:val="0"/>
      <w:marBottom w:val="0"/>
      <w:divBdr>
        <w:top w:val="none" w:sz="0" w:space="0" w:color="auto"/>
        <w:left w:val="none" w:sz="0" w:space="0" w:color="auto"/>
        <w:bottom w:val="none" w:sz="0" w:space="0" w:color="auto"/>
        <w:right w:val="none" w:sz="0" w:space="0" w:color="auto"/>
      </w:divBdr>
    </w:div>
    <w:div w:id="1568833388">
      <w:bodyDiv w:val="1"/>
      <w:marLeft w:val="0"/>
      <w:marRight w:val="0"/>
      <w:marTop w:val="0"/>
      <w:marBottom w:val="0"/>
      <w:divBdr>
        <w:top w:val="none" w:sz="0" w:space="0" w:color="auto"/>
        <w:left w:val="none" w:sz="0" w:space="0" w:color="auto"/>
        <w:bottom w:val="none" w:sz="0" w:space="0" w:color="auto"/>
        <w:right w:val="none" w:sz="0" w:space="0" w:color="auto"/>
      </w:divBdr>
      <w:divsChild>
        <w:div w:id="562299376">
          <w:marLeft w:val="0"/>
          <w:marRight w:val="0"/>
          <w:marTop w:val="0"/>
          <w:marBottom w:val="0"/>
          <w:divBdr>
            <w:top w:val="none" w:sz="0" w:space="0" w:color="auto"/>
            <w:left w:val="none" w:sz="0" w:space="0" w:color="auto"/>
            <w:bottom w:val="none" w:sz="0" w:space="0" w:color="auto"/>
            <w:right w:val="none" w:sz="0" w:space="0" w:color="auto"/>
          </w:divBdr>
        </w:div>
        <w:div w:id="1623074227">
          <w:marLeft w:val="0"/>
          <w:marRight w:val="0"/>
          <w:marTop w:val="0"/>
          <w:marBottom w:val="0"/>
          <w:divBdr>
            <w:top w:val="none" w:sz="0" w:space="0" w:color="auto"/>
            <w:left w:val="none" w:sz="0" w:space="0" w:color="auto"/>
            <w:bottom w:val="none" w:sz="0" w:space="0" w:color="auto"/>
            <w:right w:val="none" w:sz="0" w:space="0" w:color="auto"/>
          </w:divBdr>
        </w:div>
        <w:div w:id="1546064050">
          <w:marLeft w:val="0"/>
          <w:marRight w:val="0"/>
          <w:marTop w:val="0"/>
          <w:marBottom w:val="0"/>
          <w:divBdr>
            <w:top w:val="none" w:sz="0" w:space="0" w:color="auto"/>
            <w:left w:val="none" w:sz="0" w:space="0" w:color="auto"/>
            <w:bottom w:val="none" w:sz="0" w:space="0" w:color="auto"/>
            <w:right w:val="none" w:sz="0" w:space="0" w:color="auto"/>
          </w:divBdr>
        </w:div>
        <w:div w:id="338239093">
          <w:marLeft w:val="0"/>
          <w:marRight w:val="0"/>
          <w:marTop w:val="0"/>
          <w:marBottom w:val="0"/>
          <w:divBdr>
            <w:top w:val="none" w:sz="0" w:space="0" w:color="auto"/>
            <w:left w:val="none" w:sz="0" w:space="0" w:color="auto"/>
            <w:bottom w:val="none" w:sz="0" w:space="0" w:color="auto"/>
            <w:right w:val="none" w:sz="0" w:space="0" w:color="auto"/>
          </w:divBdr>
        </w:div>
        <w:div w:id="2034763246">
          <w:marLeft w:val="0"/>
          <w:marRight w:val="0"/>
          <w:marTop w:val="0"/>
          <w:marBottom w:val="0"/>
          <w:divBdr>
            <w:top w:val="none" w:sz="0" w:space="0" w:color="auto"/>
            <w:left w:val="none" w:sz="0" w:space="0" w:color="auto"/>
            <w:bottom w:val="none" w:sz="0" w:space="0" w:color="auto"/>
            <w:right w:val="none" w:sz="0" w:space="0" w:color="auto"/>
          </w:divBdr>
        </w:div>
        <w:div w:id="2134013094">
          <w:marLeft w:val="0"/>
          <w:marRight w:val="0"/>
          <w:marTop w:val="0"/>
          <w:marBottom w:val="0"/>
          <w:divBdr>
            <w:top w:val="none" w:sz="0" w:space="0" w:color="auto"/>
            <w:left w:val="none" w:sz="0" w:space="0" w:color="auto"/>
            <w:bottom w:val="none" w:sz="0" w:space="0" w:color="auto"/>
            <w:right w:val="none" w:sz="0" w:space="0" w:color="auto"/>
          </w:divBdr>
        </w:div>
        <w:div w:id="873465233">
          <w:marLeft w:val="0"/>
          <w:marRight w:val="0"/>
          <w:marTop w:val="0"/>
          <w:marBottom w:val="0"/>
          <w:divBdr>
            <w:top w:val="none" w:sz="0" w:space="0" w:color="auto"/>
            <w:left w:val="none" w:sz="0" w:space="0" w:color="auto"/>
            <w:bottom w:val="none" w:sz="0" w:space="0" w:color="auto"/>
            <w:right w:val="none" w:sz="0" w:space="0" w:color="auto"/>
          </w:divBdr>
        </w:div>
        <w:div w:id="9675102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4518</TotalTime>
  <Pages>3</Pages>
  <Words>1023</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Beaulieu</dc:creator>
  <cp:keywords/>
  <dc:description/>
  <cp:lastModifiedBy>Brooke Beaulieu</cp:lastModifiedBy>
  <cp:revision>7</cp:revision>
  <dcterms:created xsi:type="dcterms:W3CDTF">2020-08-07T16:43:00Z</dcterms:created>
  <dcterms:modified xsi:type="dcterms:W3CDTF">2020-08-10T19:55:00Z</dcterms:modified>
</cp:coreProperties>
</file>