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D0EDB" w14:textId="2BEB39E7" w:rsidR="003D5DD0" w:rsidRPr="00F0576C" w:rsidRDefault="00356B46" w:rsidP="00536B1D">
      <w:pPr>
        <w:spacing w:after="0" w:line="240" w:lineRule="auto"/>
        <w:contextualSpacing/>
        <w:rPr>
          <w:rFonts w:ascii="Arial" w:hAnsi="Arial" w:cs="Arial"/>
          <w:b/>
        </w:rPr>
      </w:pPr>
      <w:r>
        <w:rPr>
          <w:rFonts w:ascii="Arial" w:hAnsi="Arial" w:cs="Arial"/>
          <w:b/>
        </w:rPr>
        <w:t xml:space="preserve">CORHA </w:t>
      </w:r>
      <w:r w:rsidR="00536B1D" w:rsidRPr="00F0576C">
        <w:rPr>
          <w:rFonts w:ascii="Arial" w:hAnsi="Arial" w:cs="Arial"/>
          <w:b/>
        </w:rPr>
        <w:t>Workgroup A Proposed Outbreak Definitions for Selected Conditions</w:t>
      </w:r>
      <w:r>
        <w:rPr>
          <w:rFonts w:ascii="Arial" w:hAnsi="Arial" w:cs="Arial"/>
          <w:b/>
        </w:rPr>
        <w:t xml:space="preserve"> (</w:t>
      </w:r>
      <w:r w:rsidR="001C7922" w:rsidRPr="001C7922">
        <w:rPr>
          <w:rFonts w:ascii="Arial" w:hAnsi="Arial" w:cs="Arial"/>
          <w:b/>
          <w:i/>
        </w:rPr>
        <w:t>Nontuberculous mycobacteria</w:t>
      </w:r>
      <w:r w:rsidR="006439C8">
        <w:rPr>
          <w:rFonts w:ascii="Arial" w:hAnsi="Arial" w:cs="Arial"/>
          <w:b/>
          <w:i/>
        </w:rPr>
        <w:t xml:space="preserve">, </w:t>
      </w:r>
      <w:r w:rsidR="006439C8">
        <w:rPr>
          <w:rFonts w:ascii="Arial" w:hAnsi="Arial" w:cs="Arial"/>
          <w:b/>
        </w:rPr>
        <w:t>NTM</w:t>
      </w:r>
      <w:bookmarkStart w:id="0" w:name="_GoBack"/>
      <w:bookmarkEnd w:id="0"/>
      <w:r>
        <w:rPr>
          <w:rFonts w:ascii="Arial" w:hAnsi="Arial" w:cs="Arial"/>
          <w:b/>
        </w:rPr>
        <w:t>)</w:t>
      </w:r>
    </w:p>
    <w:p w14:paraId="7BEFE523" w14:textId="172665AA" w:rsidR="00536B1D" w:rsidRPr="00F0576C" w:rsidRDefault="00D91A10" w:rsidP="00536B1D">
      <w:pPr>
        <w:spacing w:after="0" w:line="240" w:lineRule="auto"/>
        <w:contextualSpacing/>
        <w:rPr>
          <w:rFonts w:ascii="Arial" w:hAnsi="Arial" w:cs="Arial"/>
          <w:b/>
        </w:rPr>
      </w:pPr>
      <w:r>
        <w:rPr>
          <w:rFonts w:ascii="Arial" w:hAnsi="Arial" w:cs="Arial"/>
          <w:b/>
        </w:rPr>
        <w:t xml:space="preserve">Version </w:t>
      </w:r>
      <w:r w:rsidR="00A7294B">
        <w:rPr>
          <w:rFonts w:ascii="Arial" w:hAnsi="Arial" w:cs="Arial"/>
          <w:b/>
        </w:rPr>
        <w:t>X</w:t>
      </w:r>
      <w:r>
        <w:rPr>
          <w:rFonts w:ascii="Arial" w:hAnsi="Arial" w:cs="Arial"/>
          <w:b/>
        </w:rPr>
        <w:t xml:space="preserve">, </w:t>
      </w:r>
      <w:r w:rsidR="001C7922">
        <w:rPr>
          <w:rFonts w:ascii="Arial" w:hAnsi="Arial" w:cs="Arial"/>
          <w:b/>
        </w:rPr>
        <w:t>January 24</w:t>
      </w:r>
      <w:r w:rsidR="001C7922" w:rsidRPr="001C7922">
        <w:rPr>
          <w:rFonts w:ascii="Arial" w:hAnsi="Arial" w:cs="Arial"/>
          <w:b/>
          <w:vertAlign w:val="superscript"/>
        </w:rPr>
        <w:t>th</w:t>
      </w:r>
      <w:r w:rsidR="001C7922">
        <w:rPr>
          <w:rFonts w:ascii="Arial" w:hAnsi="Arial" w:cs="Arial"/>
          <w:b/>
        </w:rPr>
        <w:t>, 2018</w:t>
      </w:r>
    </w:p>
    <w:p w14:paraId="3D365A0A" w14:textId="29836FD7" w:rsidR="00536B1D" w:rsidRDefault="00536B1D" w:rsidP="00536B1D">
      <w:pPr>
        <w:spacing w:after="0" w:line="240" w:lineRule="auto"/>
        <w:contextualSpacing/>
        <w:rPr>
          <w:rFonts w:ascii="Arial" w:hAnsi="Arial" w:cs="Arial"/>
        </w:rPr>
      </w:pPr>
    </w:p>
    <w:p w14:paraId="362D1A35" w14:textId="77777777" w:rsidR="00382FAF" w:rsidRDefault="00382FAF" w:rsidP="00382FAF">
      <w:pPr>
        <w:rPr>
          <w:rFonts w:eastAsia="Times New Roman"/>
        </w:rPr>
      </w:pPr>
      <w:r>
        <w:rPr>
          <w:rFonts w:ascii="Arial" w:eastAsia="Times New Roman" w:hAnsi="Arial" w:cs="Arial"/>
        </w:rPr>
        <w:t>The thresholds and definitions below are intended as general guidance, and were based on available resources and expert opinion. States and local jurisdictions may have their own outbreak definitions and requirements for reporting.</w:t>
      </w:r>
    </w:p>
    <w:p w14:paraId="175362CD" w14:textId="35667137" w:rsidR="00B54124" w:rsidRPr="00536B1D" w:rsidRDefault="00382FAF" w:rsidP="00536B1D">
      <w:pPr>
        <w:spacing w:after="0" w:line="240" w:lineRule="auto"/>
        <w:contextualSpacing/>
        <w:rPr>
          <w:rFonts w:ascii="Arial" w:hAnsi="Arial" w:cs="Arial"/>
        </w:rPr>
      </w:pPr>
      <w:r w:rsidRPr="00683FEF" w:rsidDel="00382FAF">
        <w:rPr>
          <w:rFonts w:ascii="Arial" w:hAnsi="Arial" w:cs="Arial"/>
        </w:rPr>
        <w:t xml:space="preserve"> </w:t>
      </w: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536B1D"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536B1D" w:rsidRDefault="000D48CD" w:rsidP="00536B1D">
            <w:pPr>
              <w:contextualSpacing/>
              <w:jc w:val="center"/>
              <w:rPr>
                <w:rFonts w:ascii="Arial" w:hAnsi="Arial" w:cs="Arial"/>
              </w:rPr>
            </w:pPr>
            <w:r>
              <w:rPr>
                <w:rFonts w:ascii="Arial" w:hAnsi="Arial" w:cs="Arial"/>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536B1D" w:rsidRDefault="00536B1D" w:rsidP="00536B1D">
            <w:pPr>
              <w:contextualSpacing/>
              <w:jc w:val="center"/>
              <w:rPr>
                <w:rFonts w:ascii="Arial" w:hAnsi="Arial" w:cs="Arial"/>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536B1D" w:rsidRDefault="00536B1D" w:rsidP="00536B1D">
            <w:pPr>
              <w:contextualSpacing/>
              <w:jc w:val="center"/>
              <w:rPr>
                <w:rFonts w:ascii="Arial" w:hAnsi="Arial" w:cs="Arial"/>
              </w:rPr>
            </w:pPr>
            <w:r w:rsidRPr="00536B1D">
              <w:rPr>
                <w:rFonts w:ascii="Arial" w:hAnsi="Arial" w:cs="Arial"/>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536B1D" w:rsidRDefault="00536B1D" w:rsidP="00536B1D">
            <w:pPr>
              <w:contextualSpacing/>
              <w:jc w:val="center"/>
              <w:rPr>
                <w:rFonts w:ascii="Arial" w:hAnsi="Arial" w:cs="Arial"/>
              </w:rPr>
            </w:pPr>
            <w:r w:rsidRPr="00536B1D">
              <w:rPr>
                <w:rFonts w:ascii="Arial" w:hAnsi="Arial" w:cs="Arial"/>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536B1D" w:rsidRPr="00536B1D" w:rsidRDefault="00536B1D" w:rsidP="00536B1D">
            <w:pPr>
              <w:contextualSpacing/>
              <w:jc w:val="center"/>
              <w:rPr>
                <w:rFonts w:ascii="Arial" w:hAnsi="Arial" w:cs="Arial"/>
              </w:rPr>
            </w:pPr>
            <w:r w:rsidRPr="00536B1D">
              <w:rPr>
                <w:rFonts w:ascii="Arial" w:hAnsi="Arial" w:cs="Arial"/>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536B1D" w:rsidRDefault="00536B1D" w:rsidP="00536B1D">
            <w:pPr>
              <w:contextualSpacing/>
              <w:jc w:val="center"/>
              <w:rPr>
                <w:rFonts w:ascii="Arial" w:hAnsi="Arial" w:cs="Arial"/>
              </w:rPr>
            </w:pPr>
            <w:r w:rsidRPr="00536B1D">
              <w:rPr>
                <w:rFonts w:ascii="Arial" w:hAnsi="Arial" w:cs="Arial"/>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536B1D" w:rsidRDefault="00536B1D" w:rsidP="00536B1D">
            <w:pPr>
              <w:contextualSpacing/>
              <w:jc w:val="center"/>
              <w:rPr>
                <w:rFonts w:ascii="Arial" w:hAnsi="Arial" w:cs="Arial"/>
              </w:rPr>
            </w:pPr>
            <w:r w:rsidRPr="00536B1D">
              <w:rPr>
                <w:rFonts w:ascii="Arial" w:hAnsi="Arial" w:cs="Arial"/>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0B4B3D0A" w:rsidR="00536B1D" w:rsidRPr="00536B1D" w:rsidRDefault="00536B1D" w:rsidP="00536B1D">
            <w:pPr>
              <w:contextualSpacing/>
              <w:jc w:val="center"/>
              <w:rPr>
                <w:rFonts w:ascii="Arial" w:hAnsi="Arial" w:cs="Arial"/>
              </w:rPr>
            </w:pPr>
            <w:r w:rsidRPr="00536B1D">
              <w:rPr>
                <w:rFonts w:ascii="Arial" w:hAnsi="Arial" w:cs="Arial"/>
              </w:rPr>
              <w:t>Outpatient</w:t>
            </w:r>
            <w:r w:rsidR="0069611B">
              <w:rPr>
                <w:rFonts w:ascii="Arial" w:hAnsi="Arial" w:cs="Arial"/>
              </w:rPr>
              <w:t xml:space="preserve"> and Emergency Department</w:t>
            </w:r>
          </w:p>
        </w:tc>
      </w:tr>
      <w:tr w:rsidR="00710ACA" w:rsidRPr="00536B1D" w14:paraId="52A4AF53" w14:textId="77777777" w:rsidTr="00BE433B">
        <w:tc>
          <w:tcPr>
            <w:tcW w:w="1525" w:type="dxa"/>
            <w:vMerge w:val="restart"/>
            <w:tcBorders>
              <w:top w:val="single" w:sz="18" w:space="0" w:color="auto"/>
              <w:left w:val="single" w:sz="18" w:space="0" w:color="auto"/>
              <w:right w:val="single" w:sz="18" w:space="0" w:color="auto"/>
            </w:tcBorders>
          </w:tcPr>
          <w:p w14:paraId="08A66147" w14:textId="50EBE135" w:rsidR="00710ACA" w:rsidRPr="00F62019" w:rsidRDefault="00491D8F" w:rsidP="00D91A10">
            <w:pPr>
              <w:contextualSpacing/>
              <w:rPr>
                <w:rFonts w:ascii="Arial" w:hAnsi="Arial" w:cs="Arial"/>
                <w:vertAlign w:val="superscript"/>
              </w:rPr>
            </w:pPr>
            <w:r>
              <w:rPr>
                <w:rFonts w:ascii="Arial" w:hAnsi="Arial" w:cs="Arial"/>
                <w:color w:val="000000"/>
              </w:rPr>
              <w:t xml:space="preserve">NTM (extra-pulmonary) </w:t>
            </w:r>
          </w:p>
        </w:tc>
        <w:tc>
          <w:tcPr>
            <w:tcW w:w="1595" w:type="dxa"/>
            <w:tcBorders>
              <w:top w:val="single" w:sz="18" w:space="0" w:color="auto"/>
              <w:left w:val="single" w:sz="18" w:space="0" w:color="auto"/>
              <w:right w:val="single" w:sz="18" w:space="0" w:color="auto"/>
            </w:tcBorders>
          </w:tcPr>
          <w:p w14:paraId="71EE9C95" w14:textId="723EEEC5" w:rsidR="00710ACA" w:rsidRPr="00536B1D" w:rsidRDefault="00710ACA" w:rsidP="00D91A10">
            <w:pPr>
              <w:contextualSpacing/>
              <w:rPr>
                <w:rFonts w:ascii="Arial" w:eastAsia="Times New Roman" w:hAnsi="Arial" w:cs="Arial"/>
              </w:rPr>
            </w:pPr>
            <w:r w:rsidRPr="00536B1D">
              <w:rPr>
                <w:rFonts w:ascii="Arial" w:eastAsia="Times New Roman" w:hAnsi="Arial" w:cs="Arial"/>
                <w:color w:val="000000"/>
              </w:rPr>
              <w:t xml:space="preserve">Threshold for </w:t>
            </w:r>
            <w:r>
              <w:rPr>
                <w:rFonts w:ascii="Arial" w:eastAsia="Times New Roman" w:hAnsi="Arial" w:cs="Arial"/>
                <w:color w:val="000000"/>
              </w:rPr>
              <w:t xml:space="preserve">additional investigation by </w:t>
            </w:r>
            <w:r w:rsidRPr="00536B1D">
              <w:rPr>
                <w:rFonts w:ascii="Arial" w:eastAsia="Times New Roman" w:hAnsi="Arial" w:cs="Arial"/>
                <w:color w:val="000000"/>
              </w:rPr>
              <w:t xml:space="preserve">facility </w:t>
            </w:r>
          </w:p>
        </w:tc>
        <w:tc>
          <w:tcPr>
            <w:tcW w:w="11365" w:type="dxa"/>
            <w:gridSpan w:val="6"/>
            <w:tcBorders>
              <w:top w:val="single" w:sz="18" w:space="0" w:color="auto"/>
              <w:left w:val="single" w:sz="18" w:space="0" w:color="auto"/>
              <w:right w:val="single" w:sz="18" w:space="0" w:color="auto"/>
            </w:tcBorders>
          </w:tcPr>
          <w:p w14:paraId="03943D2B" w14:textId="77777777" w:rsidR="00491D8F" w:rsidRPr="00491D8F" w:rsidRDefault="00491D8F" w:rsidP="00491D8F">
            <w:pPr>
              <w:contextualSpacing/>
              <w:rPr>
                <w:rFonts w:ascii="Arial" w:hAnsi="Arial" w:cs="Arial"/>
              </w:rPr>
            </w:pPr>
            <w:r w:rsidRPr="00491D8F">
              <w:rPr>
                <w:rFonts w:ascii="Arial" w:hAnsi="Arial" w:cs="Arial"/>
              </w:rPr>
              <w:t xml:space="preserve">One anatomically Related invasive procedure (facility investigation - deeper dive for details) </w:t>
            </w:r>
          </w:p>
          <w:p w14:paraId="68FB4DDF" w14:textId="2990B83A" w:rsidR="00491D8F" w:rsidRPr="00491D8F" w:rsidRDefault="00491D8F" w:rsidP="00491D8F">
            <w:pPr>
              <w:contextualSpacing/>
              <w:rPr>
                <w:rFonts w:ascii="Arial" w:hAnsi="Arial" w:cs="Arial"/>
              </w:rPr>
            </w:pPr>
            <w:r>
              <w:rPr>
                <w:rFonts w:ascii="Arial" w:hAnsi="Arial" w:cs="Arial"/>
              </w:rPr>
              <w:t>L</w:t>
            </w:r>
            <w:r w:rsidRPr="00491D8F">
              <w:rPr>
                <w:rFonts w:ascii="Arial" w:hAnsi="Arial" w:cs="Arial"/>
              </w:rPr>
              <w:t>ab line listing to check for additional cases</w:t>
            </w:r>
          </w:p>
          <w:p w14:paraId="0BE74725" w14:textId="38CF597B" w:rsidR="00491D8F" w:rsidRPr="00491D8F" w:rsidRDefault="00491D8F" w:rsidP="00491D8F">
            <w:pPr>
              <w:contextualSpacing/>
              <w:rPr>
                <w:rFonts w:ascii="Arial" w:hAnsi="Arial" w:cs="Arial"/>
              </w:rPr>
            </w:pPr>
            <w:r w:rsidRPr="00491D8F">
              <w:rPr>
                <w:rFonts w:ascii="Arial" w:hAnsi="Arial" w:cs="Arial"/>
              </w:rPr>
              <w:t>Exclude pediatric lymph node except</w:t>
            </w:r>
          </w:p>
          <w:p w14:paraId="36A0D1FD" w14:textId="42A115D5" w:rsidR="00710ACA" w:rsidRPr="00536B1D" w:rsidRDefault="00491D8F" w:rsidP="00491D8F">
            <w:pPr>
              <w:contextualSpacing/>
              <w:rPr>
                <w:rFonts w:ascii="Arial" w:hAnsi="Arial" w:cs="Arial"/>
              </w:rPr>
            </w:pPr>
            <w:r w:rsidRPr="00491D8F">
              <w:rPr>
                <w:rFonts w:ascii="Arial" w:hAnsi="Arial" w:cs="Arial"/>
              </w:rPr>
              <w:t>Procedures such as dental procedures</w:t>
            </w:r>
          </w:p>
        </w:tc>
      </w:tr>
      <w:tr w:rsidR="00B6159A" w:rsidRPr="00536B1D" w14:paraId="3EF15CE2" w14:textId="77777777" w:rsidTr="00352CF5">
        <w:tc>
          <w:tcPr>
            <w:tcW w:w="1525" w:type="dxa"/>
            <w:vMerge/>
            <w:tcBorders>
              <w:top w:val="single" w:sz="18" w:space="0" w:color="auto"/>
              <w:left w:val="single" w:sz="18" w:space="0" w:color="auto"/>
              <w:right w:val="single" w:sz="18" w:space="0" w:color="auto"/>
            </w:tcBorders>
          </w:tcPr>
          <w:p w14:paraId="0DE50D20" w14:textId="77777777" w:rsidR="00B6159A" w:rsidRDefault="00B6159A" w:rsidP="00D91A10">
            <w:pPr>
              <w:contextualSpacing/>
              <w:rPr>
                <w:rFonts w:ascii="Arial" w:hAnsi="Arial" w:cs="Arial"/>
              </w:rPr>
            </w:pPr>
          </w:p>
        </w:tc>
        <w:tc>
          <w:tcPr>
            <w:tcW w:w="1595" w:type="dxa"/>
            <w:tcBorders>
              <w:top w:val="single" w:sz="4" w:space="0" w:color="auto"/>
              <w:left w:val="single" w:sz="18" w:space="0" w:color="auto"/>
              <w:right w:val="single" w:sz="18" w:space="0" w:color="auto"/>
            </w:tcBorders>
          </w:tcPr>
          <w:p w14:paraId="27354D15" w14:textId="0A5A2FC8" w:rsidR="00B6159A" w:rsidRDefault="00B6159A" w:rsidP="00D91A10">
            <w:pPr>
              <w:contextualSpacing/>
              <w:rPr>
                <w:rFonts w:ascii="Arial" w:eastAsia="Times New Roman" w:hAnsi="Arial" w:cs="Arial"/>
                <w:color w:val="000000"/>
              </w:rPr>
            </w:pPr>
            <w:r>
              <w:rPr>
                <w:rFonts w:ascii="Arial" w:eastAsia="Times New Roman" w:hAnsi="Arial" w:cs="Arial"/>
                <w:color w:val="000000"/>
              </w:rPr>
              <w:t>Threshold for reporting to public health</w:t>
            </w:r>
          </w:p>
        </w:tc>
        <w:tc>
          <w:tcPr>
            <w:tcW w:w="11365" w:type="dxa"/>
            <w:gridSpan w:val="6"/>
            <w:tcBorders>
              <w:top w:val="single" w:sz="4" w:space="0" w:color="auto"/>
              <w:left w:val="single" w:sz="18" w:space="0" w:color="auto"/>
              <w:right w:val="single" w:sz="18" w:space="0" w:color="auto"/>
            </w:tcBorders>
          </w:tcPr>
          <w:p w14:paraId="63729CAC" w14:textId="34C8AB1C" w:rsidR="00B6159A" w:rsidRDefault="00491D8F" w:rsidP="00D91A10">
            <w:pPr>
              <w:contextualSpacing/>
              <w:rPr>
                <w:rFonts w:ascii="Arial" w:hAnsi="Arial" w:cs="Arial"/>
                <w:color w:val="000000"/>
              </w:rPr>
            </w:pPr>
            <w:r w:rsidRPr="00491D8F">
              <w:rPr>
                <w:rFonts w:ascii="Arial" w:hAnsi="Arial" w:cs="Arial"/>
                <w:color w:val="000000"/>
              </w:rPr>
              <w:t>Single case</w:t>
            </w:r>
          </w:p>
        </w:tc>
      </w:tr>
      <w:tr w:rsidR="000552B0" w:rsidRPr="00536B1D" w14:paraId="63DB4E5E" w14:textId="77777777" w:rsidTr="00491D8F">
        <w:tc>
          <w:tcPr>
            <w:tcW w:w="1525" w:type="dxa"/>
            <w:vMerge/>
            <w:tcBorders>
              <w:left w:val="single" w:sz="18" w:space="0" w:color="auto"/>
              <w:right w:val="single" w:sz="18" w:space="0" w:color="auto"/>
            </w:tcBorders>
          </w:tcPr>
          <w:p w14:paraId="3EBA0810" w14:textId="77777777" w:rsidR="000552B0" w:rsidRPr="00536B1D" w:rsidRDefault="000552B0" w:rsidP="00D91A10">
            <w:pPr>
              <w:contextualSpacing/>
              <w:rPr>
                <w:rFonts w:ascii="Arial" w:hAnsi="Arial" w:cs="Arial"/>
              </w:rPr>
            </w:pPr>
          </w:p>
        </w:tc>
        <w:tc>
          <w:tcPr>
            <w:tcW w:w="1595" w:type="dxa"/>
            <w:tcBorders>
              <w:left w:val="single" w:sz="18" w:space="0" w:color="auto"/>
              <w:right w:val="single" w:sz="18" w:space="0" w:color="auto"/>
            </w:tcBorders>
          </w:tcPr>
          <w:p w14:paraId="01D4179F" w14:textId="77777777" w:rsidR="000552B0" w:rsidRPr="00536B1D" w:rsidRDefault="000552B0" w:rsidP="00D91A10">
            <w:pPr>
              <w:contextualSpacing/>
              <w:rPr>
                <w:rFonts w:ascii="Arial" w:eastAsia="Times New Roman" w:hAnsi="Arial" w:cs="Arial"/>
              </w:rPr>
            </w:pPr>
            <w:r w:rsidRPr="00536B1D">
              <w:rPr>
                <w:rFonts w:ascii="Arial" w:eastAsia="Times New Roman" w:hAnsi="Arial" w:cs="Arial"/>
                <w:color w:val="000000"/>
              </w:rPr>
              <w:t>Outbreak definition</w:t>
            </w:r>
          </w:p>
        </w:tc>
        <w:tc>
          <w:tcPr>
            <w:tcW w:w="11365" w:type="dxa"/>
            <w:gridSpan w:val="6"/>
            <w:tcBorders>
              <w:left w:val="single" w:sz="18" w:space="0" w:color="auto"/>
              <w:right w:val="single" w:sz="18" w:space="0" w:color="auto"/>
            </w:tcBorders>
          </w:tcPr>
          <w:p w14:paraId="2F7604A8" w14:textId="75A24079" w:rsidR="00491D8F" w:rsidRPr="00491D8F" w:rsidRDefault="00491D8F" w:rsidP="00491D8F">
            <w:pPr>
              <w:contextualSpacing/>
              <w:rPr>
                <w:rFonts w:ascii="Arial" w:hAnsi="Arial" w:cs="Arial"/>
              </w:rPr>
            </w:pPr>
            <w:r w:rsidRPr="00491D8F">
              <w:rPr>
                <w:rFonts w:ascii="Arial" w:hAnsi="Arial" w:cs="Arial"/>
              </w:rPr>
              <w:t xml:space="preserve">Facility: 2 or more cases within a </w:t>
            </w:r>
            <w:r w:rsidR="00E57236" w:rsidRPr="00491D8F">
              <w:rPr>
                <w:rFonts w:ascii="Arial" w:hAnsi="Arial" w:cs="Arial"/>
              </w:rPr>
              <w:t>one-year</w:t>
            </w:r>
            <w:r w:rsidRPr="00491D8F">
              <w:rPr>
                <w:rFonts w:ascii="Arial" w:hAnsi="Arial" w:cs="Arial"/>
              </w:rPr>
              <w:t xml:space="preserve"> time period of same species or with similar exposure (procedure); </w:t>
            </w:r>
          </w:p>
          <w:p w14:paraId="5D9D6FEE" w14:textId="77777777" w:rsidR="00491D8F" w:rsidRPr="00491D8F" w:rsidRDefault="00491D8F" w:rsidP="00491D8F">
            <w:pPr>
              <w:contextualSpacing/>
              <w:rPr>
                <w:rFonts w:ascii="Arial" w:hAnsi="Arial" w:cs="Arial"/>
              </w:rPr>
            </w:pPr>
            <w:r w:rsidRPr="00491D8F">
              <w:rPr>
                <w:rFonts w:ascii="Arial" w:hAnsi="Arial" w:cs="Arial"/>
              </w:rPr>
              <w:t>single case if other known national, state, or regional cases</w:t>
            </w:r>
          </w:p>
          <w:p w14:paraId="5F268579" w14:textId="7BDBE190" w:rsidR="000552B0" w:rsidRPr="00536B1D" w:rsidRDefault="00491D8F" w:rsidP="00491D8F">
            <w:pPr>
              <w:contextualSpacing/>
              <w:rPr>
                <w:rFonts w:ascii="Arial" w:hAnsi="Arial" w:cs="Arial"/>
              </w:rPr>
            </w:pPr>
            <w:r w:rsidRPr="00491D8F">
              <w:rPr>
                <w:rFonts w:ascii="Arial" w:hAnsi="Arial" w:cs="Arial"/>
              </w:rPr>
              <w:t>state:</w:t>
            </w:r>
          </w:p>
        </w:tc>
      </w:tr>
      <w:tr w:rsidR="00491D8F" w:rsidRPr="00536B1D" w14:paraId="5F9B8DCD" w14:textId="77777777" w:rsidTr="00A93B4C">
        <w:tc>
          <w:tcPr>
            <w:tcW w:w="1525" w:type="dxa"/>
            <w:tcBorders>
              <w:left w:val="single" w:sz="18" w:space="0" w:color="auto"/>
              <w:bottom w:val="single" w:sz="18" w:space="0" w:color="auto"/>
              <w:right w:val="single" w:sz="18" w:space="0" w:color="auto"/>
            </w:tcBorders>
          </w:tcPr>
          <w:p w14:paraId="52E3EDC8" w14:textId="77777777" w:rsidR="00491D8F" w:rsidRPr="00536B1D" w:rsidRDefault="00491D8F" w:rsidP="00D91A10">
            <w:pPr>
              <w:contextualSpacing/>
              <w:rPr>
                <w:rFonts w:ascii="Arial" w:hAnsi="Arial" w:cs="Arial"/>
              </w:rPr>
            </w:pPr>
          </w:p>
        </w:tc>
        <w:tc>
          <w:tcPr>
            <w:tcW w:w="1595" w:type="dxa"/>
            <w:tcBorders>
              <w:left w:val="single" w:sz="18" w:space="0" w:color="auto"/>
              <w:bottom w:val="single" w:sz="18" w:space="0" w:color="auto"/>
              <w:right w:val="single" w:sz="18" w:space="0" w:color="auto"/>
            </w:tcBorders>
          </w:tcPr>
          <w:p w14:paraId="0D25FDDB" w14:textId="41B83FD8" w:rsidR="00491D8F" w:rsidRPr="00536B1D" w:rsidRDefault="00491D8F" w:rsidP="00D91A10">
            <w:pPr>
              <w:contextualSpacing/>
              <w:rPr>
                <w:rFonts w:ascii="Arial" w:eastAsia="Times New Roman" w:hAnsi="Arial" w:cs="Arial"/>
                <w:color w:val="000000"/>
              </w:rPr>
            </w:pPr>
            <w:r>
              <w:rPr>
                <w:rFonts w:ascii="Arial" w:eastAsia="Times New Roman" w:hAnsi="Arial" w:cs="Arial"/>
                <w:color w:val="000000"/>
              </w:rPr>
              <w:t>Points for consideration</w:t>
            </w:r>
          </w:p>
        </w:tc>
        <w:tc>
          <w:tcPr>
            <w:tcW w:w="11365" w:type="dxa"/>
            <w:gridSpan w:val="6"/>
            <w:tcBorders>
              <w:left w:val="single" w:sz="18" w:space="0" w:color="auto"/>
              <w:bottom w:val="single" w:sz="18" w:space="0" w:color="auto"/>
              <w:right w:val="single" w:sz="18" w:space="0" w:color="auto"/>
            </w:tcBorders>
          </w:tcPr>
          <w:p w14:paraId="379B5B3F" w14:textId="77777777" w:rsidR="00491D8F" w:rsidRPr="00491D8F" w:rsidRDefault="00491D8F" w:rsidP="00491D8F">
            <w:pPr>
              <w:ind w:left="-13" w:firstLine="13"/>
              <w:rPr>
                <w:rFonts w:ascii="Arial" w:eastAsia="Times New Roman" w:hAnsi="Arial" w:cs="Arial"/>
                <w:color w:val="000000"/>
              </w:rPr>
            </w:pPr>
            <w:r w:rsidRPr="00491D8F">
              <w:rPr>
                <w:rFonts w:ascii="Arial" w:eastAsia="Times New Roman" w:hAnsi="Arial" w:cs="Arial"/>
                <w:color w:val="000000"/>
              </w:rPr>
              <w:t>Consider source of infection; Disseminated infection vs local</w:t>
            </w:r>
          </w:p>
          <w:p w14:paraId="5E08524E" w14:textId="0D9236EC" w:rsidR="00491D8F" w:rsidRPr="00491D8F" w:rsidRDefault="00491D8F" w:rsidP="00491D8F">
            <w:pPr>
              <w:pStyle w:val="ListParagraph"/>
              <w:numPr>
                <w:ilvl w:val="0"/>
                <w:numId w:val="10"/>
              </w:numPr>
              <w:rPr>
                <w:rFonts w:ascii="Arial" w:eastAsia="Times New Roman" w:hAnsi="Arial" w:cs="Arial"/>
                <w:color w:val="000000"/>
              </w:rPr>
            </w:pPr>
            <w:r>
              <w:rPr>
                <w:rFonts w:ascii="Arial" w:eastAsia="Times New Roman" w:hAnsi="Arial" w:cs="Arial"/>
                <w:color w:val="000000"/>
              </w:rPr>
              <w:t>F</w:t>
            </w:r>
            <w:r w:rsidRPr="00491D8F">
              <w:rPr>
                <w:rFonts w:ascii="Arial" w:eastAsia="Times New Roman" w:hAnsi="Arial" w:cs="Arial"/>
                <w:color w:val="000000"/>
              </w:rPr>
              <w:t xml:space="preserve">acility investigation could occur during reporting to PH (preliminary so as not to increase burden) </w:t>
            </w:r>
          </w:p>
          <w:p w14:paraId="004A730D" w14:textId="015F806E" w:rsidR="00491D8F" w:rsidRPr="00491D8F" w:rsidRDefault="00491D8F" w:rsidP="00491D8F">
            <w:pPr>
              <w:pStyle w:val="ListParagraph"/>
              <w:numPr>
                <w:ilvl w:val="0"/>
                <w:numId w:val="10"/>
              </w:numPr>
              <w:rPr>
                <w:rFonts w:ascii="Arial" w:eastAsia="Times New Roman" w:hAnsi="Arial" w:cs="Arial"/>
                <w:color w:val="000000"/>
              </w:rPr>
            </w:pPr>
            <w:r>
              <w:rPr>
                <w:rFonts w:ascii="Arial" w:eastAsia="Times New Roman" w:hAnsi="Arial" w:cs="Arial"/>
                <w:color w:val="000000"/>
              </w:rPr>
              <w:t>C</w:t>
            </w:r>
            <w:r w:rsidRPr="00491D8F">
              <w:rPr>
                <w:rFonts w:ascii="Arial" w:eastAsia="Times New Roman" w:hAnsi="Arial" w:cs="Arial"/>
                <w:color w:val="000000"/>
              </w:rPr>
              <w:t>onsider time period</w:t>
            </w:r>
          </w:p>
          <w:p w14:paraId="432C5EBD" w14:textId="619FD12A" w:rsidR="00491D8F" w:rsidRPr="00491D8F" w:rsidRDefault="00491D8F" w:rsidP="00491D8F">
            <w:pPr>
              <w:pStyle w:val="ListParagraph"/>
              <w:numPr>
                <w:ilvl w:val="0"/>
                <w:numId w:val="10"/>
              </w:numPr>
              <w:rPr>
                <w:rFonts w:ascii="Arial" w:eastAsia="Times New Roman" w:hAnsi="Arial" w:cs="Arial"/>
                <w:color w:val="000000"/>
              </w:rPr>
            </w:pPr>
            <w:r>
              <w:rPr>
                <w:rFonts w:ascii="Arial" w:eastAsia="Times New Roman" w:hAnsi="Arial" w:cs="Arial"/>
                <w:color w:val="000000"/>
              </w:rPr>
              <w:t>C</w:t>
            </w:r>
            <w:r w:rsidRPr="00491D8F">
              <w:rPr>
                <w:rFonts w:ascii="Arial" w:eastAsia="Times New Roman" w:hAnsi="Arial" w:cs="Arial"/>
                <w:color w:val="000000"/>
              </w:rPr>
              <w:t>onsider if species is unusual</w:t>
            </w:r>
          </w:p>
          <w:p w14:paraId="183B482A" w14:textId="604A4134" w:rsidR="00491D8F" w:rsidRPr="00491D8F" w:rsidRDefault="00491D8F" w:rsidP="00491D8F">
            <w:pPr>
              <w:pStyle w:val="ListParagraph"/>
              <w:numPr>
                <w:ilvl w:val="0"/>
                <w:numId w:val="10"/>
              </w:numPr>
              <w:rPr>
                <w:rFonts w:ascii="Arial" w:eastAsia="Times New Roman" w:hAnsi="Arial" w:cs="Arial"/>
                <w:color w:val="000000"/>
              </w:rPr>
            </w:pPr>
            <w:r>
              <w:rPr>
                <w:rFonts w:ascii="Arial" w:eastAsia="Times New Roman" w:hAnsi="Arial" w:cs="Arial"/>
                <w:color w:val="000000"/>
              </w:rPr>
              <w:t>C</w:t>
            </w:r>
            <w:r w:rsidRPr="00491D8F">
              <w:rPr>
                <w:rFonts w:ascii="Arial" w:eastAsia="Times New Roman" w:hAnsi="Arial" w:cs="Arial"/>
                <w:color w:val="000000"/>
              </w:rPr>
              <w:t>onsider species associations</w:t>
            </w:r>
          </w:p>
          <w:p w14:paraId="354C2A68" w14:textId="6E5B8851" w:rsidR="00491D8F" w:rsidRPr="00491D8F" w:rsidRDefault="00491D8F" w:rsidP="00491D8F">
            <w:pPr>
              <w:pStyle w:val="ListParagraph"/>
              <w:numPr>
                <w:ilvl w:val="0"/>
                <w:numId w:val="10"/>
              </w:numPr>
              <w:rPr>
                <w:rFonts w:ascii="Arial" w:eastAsia="Times New Roman" w:hAnsi="Arial" w:cs="Arial"/>
                <w:color w:val="000000"/>
              </w:rPr>
            </w:pPr>
            <w:r>
              <w:rPr>
                <w:rFonts w:ascii="Arial" w:eastAsia="Times New Roman" w:hAnsi="Arial" w:cs="Arial"/>
                <w:color w:val="000000"/>
              </w:rPr>
              <w:t>L</w:t>
            </w:r>
            <w:r w:rsidRPr="00491D8F">
              <w:rPr>
                <w:rFonts w:ascii="Arial" w:eastAsia="Times New Roman" w:hAnsi="Arial" w:cs="Arial"/>
                <w:color w:val="000000"/>
              </w:rPr>
              <w:t>ook at setting, common exposures</w:t>
            </w:r>
          </w:p>
          <w:p w14:paraId="4603A5A2" w14:textId="5E7F5F84" w:rsidR="00491D8F" w:rsidRPr="00491D8F" w:rsidRDefault="00491D8F" w:rsidP="00491D8F">
            <w:pPr>
              <w:pStyle w:val="ListParagraph"/>
              <w:numPr>
                <w:ilvl w:val="0"/>
                <w:numId w:val="10"/>
              </w:numPr>
              <w:rPr>
                <w:rFonts w:ascii="Arial" w:eastAsia="Times New Roman" w:hAnsi="Arial" w:cs="Arial"/>
                <w:color w:val="000000"/>
              </w:rPr>
            </w:pPr>
            <w:r>
              <w:rPr>
                <w:rFonts w:ascii="Arial" w:eastAsia="Times New Roman" w:hAnsi="Arial" w:cs="Arial"/>
                <w:color w:val="000000"/>
              </w:rPr>
              <w:t>B</w:t>
            </w:r>
            <w:r w:rsidRPr="00491D8F">
              <w:rPr>
                <w:rFonts w:ascii="Arial" w:eastAsia="Times New Roman" w:hAnsi="Arial" w:cs="Arial"/>
                <w:color w:val="000000"/>
              </w:rPr>
              <w:t xml:space="preserve">urden to fall to PH to draw connection at broader level </w:t>
            </w:r>
          </w:p>
          <w:p w14:paraId="05887921" w14:textId="6B537270" w:rsidR="00491D8F" w:rsidRPr="00491D8F" w:rsidRDefault="00491D8F" w:rsidP="00491D8F">
            <w:pPr>
              <w:pStyle w:val="ListParagraph"/>
              <w:numPr>
                <w:ilvl w:val="0"/>
                <w:numId w:val="10"/>
              </w:numPr>
              <w:rPr>
                <w:rFonts w:ascii="Arial" w:eastAsia="Times New Roman" w:hAnsi="Arial" w:cs="Arial"/>
                <w:color w:val="000000"/>
              </w:rPr>
            </w:pPr>
            <w:r>
              <w:rPr>
                <w:rFonts w:ascii="Arial" w:eastAsia="Times New Roman" w:hAnsi="Arial" w:cs="Arial"/>
                <w:color w:val="000000"/>
              </w:rPr>
              <w:t>L</w:t>
            </w:r>
            <w:r w:rsidRPr="00491D8F">
              <w:rPr>
                <w:rFonts w:ascii="Arial" w:eastAsia="Times New Roman" w:hAnsi="Arial" w:cs="Arial"/>
                <w:color w:val="000000"/>
              </w:rPr>
              <w:t>ab reporting</w:t>
            </w:r>
          </w:p>
        </w:tc>
      </w:tr>
    </w:tbl>
    <w:p w14:paraId="5C2F5E52" w14:textId="77777777" w:rsidR="001C7922" w:rsidRDefault="001C7922" w:rsidP="00BF70FD">
      <w:pPr>
        <w:pStyle w:val="ListParagraph"/>
        <w:spacing w:after="0" w:line="240" w:lineRule="auto"/>
        <w:ind w:left="0"/>
        <w:rPr>
          <w:rFonts w:ascii="Arial" w:eastAsia="Times New Roman" w:hAnsi="Arial" w:cs="Arial"/>
          <w:b/>
          <w:color w:val="000000"/>
        </w:rPr>
      </w:pPr>
    </w:p>
    <w:p w14:paraId="24BE0E88" w14:textId="77777777" w:rsidR="003F5D3C" w:rsidRDefault="00710ACA" w:rsidP="00BF70FD">
      <w:pPr>
        <w:pStyle w:val="ListParagraph"/>
        <w:spacing w:after="0" w:line="240" w:lineRule="auto"/>
        <w:ind w:left="0"/>
        <w:rPr>
          <w:rFonts w:ascii="Arial" w:eastAsia="Times New Roman" w:hAnsi="Arial" w:cs="Arial"/>
          <w:b/>
          <w:color w:val="000000"/>
        </w:rPr>
      </w:pPr>
      <w:r>
        <w:rPr>
          <w:rFonts w:ascii="Arial" w:eastAsia="Times New Roman" w:hAnsi="Arial" w:cs="Arial"/>
          <w:b/>
          <w:color w:val="000000"/>
        </w:rPr>
        <w:t xml:space="preserve">Clinical: </w:t>
      </w:r>
    </w:p>
    <w:p w14:paraId="44A78F69" w14:textId="07A01E7B" w:rsidR="00F62019" w:rsidRPr="00BF70FD" w:rsidRDefault="00F62019" w:rsidP="00BF70FD">
      <w:pPr>
        <w:pStyle w:val="ListParagraph"/>
        <w:spacing w:after="0" w:line="240" w:lineRule="auto"/>
        <w:ind w:left="0"/>
        <w:rPr>
          <w:rFonts w:ascii="Arial" w:hAnsi="Arial" w:cs="Arial"/>
        </w:rPr>
      </w:pPr>
      <w:r w:rsidRPr="00BF70FD">
        <w:rPr>
          <w:rFonts w:ascii="Arial" w:eastAsia="Times New Roman" w:hAnsi="Arial" w:cs="Arial"/>
          <w:b/>
          <w:bCs/>
          <w:iCs/>
          <w:color w:val="000000"/>
        </w:rPr>
        <w:t>Screening</w:t>
      </w:r>
      <w:r w:rsidRPr="00BF70FD">
        <w:rPr>
          <w:rFonts w:ascii="Arial" w:eastAsia="Times New Roman" w:hAnsi="Arial" w:cs="Arial"/>
          <w:iCs/>
          <w:color w:val="000000"/>
        </w:rPr>
        <w:t xml:space="preserve">: </w:t>
      </w:r>
    </w:p>
    <w:p w14:paraId="2BC172DC" w14:textId="13D5777C" w:rsidR="00B54124" w:rsidRDefault="00B54124" w:rsidP="00B97862">
      <w:pPr>
        <w:spacing w:after="0" w:line="240" w:lineRule="auto"/>
        <w:contextualSpacing/>
        <w:rPr>
          <w:rFonts w:ascii="Arial" w:hAnsi="Arial" w:cs="Arial"/>
        </w:rPr>
      </w:pPr>
    </w:p>
    <w:p w14:paraId="07455A5C" w14:textId="77777777" w:rsidR="00B54124" w:rsidRPr="005072D9" w:rsidRDefault="00B54124" w:rsidP="00B54124">
      <w:pPr>
        <w:spacing w:after="0" w:line="240" w:lineRule="auto"/>
        <w:rPr>
          <w:rFonts w:ascii="Arial" w:eastAsia="Times New Roman" w:hAnsi="Arial" w:cs="Arial"/>
          <w:b/>
        </w:rPr>
      </w:pPr>
      <w:r w:rsidRPr="005072D9">
        <w:rPr>
          <w:rFonts w:ascii="Arial" w:eastAsia="Times New Roman" w:hAnsi="Arial" w:cs="Arial"/>
          <w:b/>
          <w:color w:val="000000"/>
        </w:rPr>
        <w:t>Points for consideration:</w:t>
      </w:r>
    </w:p>
    <w:p w14:paraId="7BCCBD12" w14:textId="557433CC" w:rsidR="00BA35E3" w:rsidRPr="00F403B8" w:rsidRDefault="00BA35E3" w:rsidP="00F937C9">
      <w:pPr>
        <w:spacing w:after="0" w:line="240" w:lineRule="auto"/>
        <w:rPr>
          <w:rFonts w:ascii="Arial" w:hAnsi="Arial" w:cs="Arial"/>
        </w:rPr>
      </w:pPr>
    </w:p>
    <w:p w14:paraId="3454941A" w14:textId="6599ECF1" w:rsidR="00BA35E3" w:rsidRPr="005072D9" w:rsidRDefault="00BA35E3" w:rsidP="00BA35E3">
      <w:pPr>
        <w:spacing w:after="0" w:line="240" w:lineRule="auto"/>
        <w:rPr>
          <w:rFonts w:ascii="Arial" w:hAnsi="Arial" w:cs="Arial"/>
          <w:b/>
        </w:rPr>
      </w:pPr>
      <w:r w:rsidRPr="005072D9">
        <w:rPr>
          <w:rFonts w:ascii="Arial" w:hAnsi="Arial" w:cs="Arial"/>
          <w:b/>
        </w:rPr>
        <w:t>References</w:t>
      </w:r>
      <w:r w:rsidR="001C7922">
        <w:rPr>
          <w:rFonts w:ascii="Arial" w:hAnsi="Arial" w:cs="Arial"/>
          <w:b/>
        </w:rPr>
        <w:t>:</w:t>
      </w:r>
    </w:p>
    <w:p w14:paraId="53F52DA6" w14:textId="01F070C8" w:rsidR="00BA35E3" w:rsidRDefault="00BA35E3" w:rsidP="00F937C9">
      <w:pPr>
        <w:spacing w:after="0" w:line="240" w:lineRule="auto"/>
        <w:rPr>
          <w:rFonts w:ascii="Arial" w:hAnsi="Arial" w:cs="Arial"/>
        </w:rPr>
      </w:pPr>
    </w:p>
    <w:p w14:paraId="2D05B3EA" w14:textId="77777777" w:rsidR="00BA35E3" w:rsidRPr="005072D9" w:rsidRDefault="00BA35E3" w:rsidP="00BA35E3">
      <w:pPr>
        <w:spacing w:after="0" w:line="240" w:lineRule="auto"/>
        <w:rPr>
          <w:rFonts w:ascii="Arial" w:hAnsi="Arial" w:cs="Arial"/>
          <w:b/>
        </w:rPr>
      </w:pPr>
      <w:r w:rsidRPr="005072D9">
        <w:rPr>
          <w:rFonts w:ascii="Arial" w:hAnsi="Arial" w:cs="Arial"/>
          <w:b/>
        </w:rPr>
        <w:t>Rationale (for CORHA use only):</w:t>
      </w:r>
    </w:p>
    <w:sectPr w:rsidR="00BA35E3" w:rsidRPr="005072D9" w:rsidSect="00536B1D">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939CB" w14:textId="77777777" w:rsidR="00A1502B" w:rsidRDefault="00A1502B" w:rsidP="00A1502B">
      <w:pPr>
        <w:spacing w:after="0" w:line="240" w:lineRule="auto"/>
      </w:pPr>
      <w:r>
        <w:separator/>
      </w:r>
    </w:p>
  </w:endnote>
  <w:endnote w:type="continuationSeparator" w:id="0">
    <w:p w14:paraId="3A6B41E5" w14:textId="77777777" w:rsidR="00A1502B" w:rsidRDefault="00A1502B" w:rsidP="00A15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C0A93" w14:textId="77777777" w:rsidR="00A1502B" w:rsidRDefault="00A15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C3E0F" w14:textId="77777777" w:rsidR="00A1502B" w:rsidRDefault="00A15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30943" w14:textId="77777777" w:rsidR="00A1502B" w:rsidRDefault="00A15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9AEE3" w14:textId="77777777" w:rsidR="00A1502B" w:rsidRDefault="00A1502B" w:rsidP="00A1502B">
      <w:pPr>
        <w:spacing w:after="0" w:line="240" w:lineRule="auto"/>
      </w:pPr>
      <w:r>
        <w:separator/>
      </w:r>
    </w:p>
  </w:footnote>
  <w:footnote w:type="continuationSeparator" w:id="0">
    <w:p w14:paraId="4B34CCF5" w14:textId="77777777" w:rsidR="00A1502B" w:rsidRDefault="00A1502B" w:rsidP="00A15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FFD65" w14:textId="77777777" w:rsidR="00A1502B" w:rsidRDefault="00A15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1364796"/>
      <w:docPartObj>
        <w:docPartGallery w:val="Watermarks"/>
        <w:docPartUnique/>
      </w:docPartObj>
    </w:sdtPr>
    <w:sdtEndPr/>
    <w:sdtContent>
      <w:p w14:paraId="5B45A965" w14:textId="0B95D6AA" w:rsidR="00A1502B" w:rsidRDefault="00CF5A05">
        <w:pPr>
          <w:pStyle w:val="Header"/>
        </w:pPr>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DEAC8" w14:textId="77777777" w:rsidR="00A1502B" w:rsidRDefault="00A15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8721A"/>
    <w:multiLevelType w:val="hybridMultilevel"/>
    <w:tmpl w:val="75C20320"/>
    <w:lvl w:ilvl="0" w:tplc="2EC463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1E2D91"/>
    <w:multiLevelType w:val="hybridMultilevel"/>
    <w:tmpl w:val="AA68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7B615E"/>
    <w:multiLevelType w:val="hybridMultilevel"/>
    <w:tmpl w:val="19507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1C35A4"/>
    <w:multiLevelType w:val="hybridMultilevel"/>
    <w:tmpl w:val="518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F9032D"/>
    <w:multiLevelType w:val="hybridMultilevel"/>
    <w:tmpl w:val="EFAEA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6"/>
  </w:num>
  <w:num w:numId="4">
    <w:abstractNumId w:val="0"/>
  </w:num>
  <w:num w:numId="5">
    <w:abstractNumId w:val="1"/>
  </w:num>
  <w:num w:numId="6">
    <w:abstractNumId w:val="2"/>
  </w:num>
  <w:num w:numId="7">
    <w:abstractNumId w:val="4"/>
  </w:num>
  <w:num w:numId="8">
    <w:abstractNumId w:val="9"/>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B1D"/>
    <w:rsid w:val="0005336E"/>
    <w:rsid w:val="000552B0"/>
    <w:rsid w:val="00066A8B"/>
    <w:rsid w:val="000A55A2"/>
    <w:rsid w:val="000D48CD"/>
    <w:rsid w:val="00196895"/>
    <w:rsid w:val="001C7922"/>
    <w:rsid w:val="00280D13"/>
    <w:rsid w:val="0031780F"/>
    <w:rsid w:val="00356B46"/>
    <w:rsid w:val="00382FAF"/>
    <w:rsid w:val="003D5DD0"/>
    <w:rsid w:val="003F05E3"/>
    <w:rsid w:val="003F4811"/>
    <w:rsid w:val="003F5D3C"/>
    <w:rsid w:val="00491D8F"/>
    <w:rsid w:val="00536B1D"/>
    <w:rsid w:val="0053775A"/>
    <w:rsid w:val="00620BF7"/>
    <w:rsid w:val="00625DDE"/>
    <w:rsid w:val="006328AB"/>
    <w:rsid w:val="006439C8"/>
    <w:rsid w:val="0069611B"/>
    <w:rsid w:val="00710ACA"/>
    <w:rsid w:val="007517E0"/>
    <w:rsid w:val="008223D5"/>
    <w:rsid w:val="008A093F"/>
    <w:rsid w:val="008E55A5"/>
    <w:rsid w:val="009C7BCE"/>
    <w:rsid w:val="00A06D7D"/>
    <w:rsid w:val="00A1502B"/>
    <w:rsid w:val="00A7294B"/>
    <w:rsid w:val="00A95CC9"/>
    <w:rsid w:val="00A9734F"/>
    <w:rsid w:val="00B54124"/>
    <w:rsid w:val="00B6159A"/>
    <w:rsid w:val="00B97862"/>
    <w:rsid w:val="00BA35E3"/>
    <w:rsid w:val="00BF70FD"/>
    <w:rsid w:val="00C43815"/>
    <w:rsid w:val="00C570D4"/>
    <w:rsid w:val="00CF5A05"/>
    <w:rsid w:val="00D37B11"/>
    <w:rsid w:val="00D91A10"/>
    <w:rsid w:val="00DD3EAA"/>
    <w:rsid w:val="00E52F69"/>
    <w:rsid w:val="00E57236"/>
    <w:rsid w:val="00E63AB5"/>
    <w:rsid w:val="00F0576C"/>
    <w:rsid w:val="00F403B8"/>
    <w:rsid w:val="00F62019"/>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15:docId w15:val="{6C0E9781-7B04-495C-8277-DD83884B8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39949246">
      <w:bodyDiv w:val="1"/>
      <w:marLeft w:val="0"/>
      <w:marRight w:val="0"/>
      <w:marTop w:val="0"/>
      <w:marBottom w:val="0"/>
      <w:divBdr>
        <w:top w:val="none" w:sz="0" w:space="0" w:color="auto"/>
        <w:left w:val="none" w:sz="0" w:space="0" w:color="auto"/>
        <w:bottom w:val="none" w:sz="0" w:space="0" w:color="auto"/>
        <w:right w:val="none" w:sz="0" w:space="0" w:color="auto"/>
      </w:divBdr>
      <w:divsChild>
        <w:div w:id="1428774972">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989484410">
      <w:bodyDiv w:val="1"/>
      <w:marLeft w:val="0"/>
      <w:marRight w:val="0"/>
      <w:marTop w:val="0"/>
      <w:marBottom w:val="0"/>
      <w:divBdr>
        <w:top w:val="none" w:sz="0" w:space="0" w:color="auto"/>
        <w:left w:val="none" w:sz="0" w:space="0" w:color="auto"/>
        <w:bottom w:val="none" w:sz="0" w:space="0" w:color="auto"/>
        <w:right w:val="none" w:sz="0" w:space="0" w:color="auto"/>
      </w:divBdr>
    </w:div>
    <w:div w:id="1442608360">
      <w:bodyDiv w:val="1"/>
      <w:marLeft w:val="0"/>
      <w:marRight w:val="0"/>
      <w:marTop w:val="0"/>
      <w:marBottom w:val="0"/>
      <w:divBdr>
        <w:top w:val="none" w:sz="0" w:space="0" w:color="auto"/>
        <w:left w:val="none" w:sz="0" w:space="0" w:color="auto"/>
        <w:bottom w:val="none" w:sz="0" w:space="0" w:color="auto"/>
        <w:right w:val="none" w:sz="0" w:space="0" w:color="auto"/>
      </w:divBdr>
    </w:div>
    <w:div w:id="186470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8B393-7123-4B14-8730-4C9C474E1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wbamberg</dc:creator>
  <cp:lastModifiedBy>Michael Anderson</cp:lastModifiedBy>
  <cp:revision>8</cp:revision>
  <dcterms:created xsi:type="dcterms:W3CDTF">2018-01-24T19:27:00Z</dcterms:created>
  <dcterms:modified xsi:type="dcterms:W3CDTF">2018-01-24T19:53:00Z</dcterms:modified>
</cp:coreProperties>
</file>