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E24481" w:rsidR="002C7219" w:rsidP="264D7CA1" w:rsidRDefault="264D7CA1" w14:paraId="0C40699F" w14:textId="20873DDE">
      <w:pPr>
        <w:pStyle w:val="paragraph"/>
        <w:numPr>
          <w:ilvl w:val="0"/>
          <w:numId w:val="2"/>
        </w:numPr>
        <w:spacing w:before="0" w:beforeAutospacing="0" w:after="0" w:afterAutospacing="0"/>
        <w:textAlignment w:val="baseline"/>
        <w:rPr>
          <w:rStyle w:val="normaltextrun"/>
          <w:rFonts w:asciiTheme="minorHAnsi" w:hAnsiTheme="minorHAnsi" w:cstheme="minorHAnsi"/>
          <w:sz w:val="22"/>
          <w:szCs w:val="22"/>
        </w:rPr>
      </w:pPr>
      <w:r w:rsidRPr="00E24481">
        <w:rPr>
          <w:rStyle w:val="normaltextrun"/>
          <w:rFonts w:asciiTheme="minorHAnsi" w:hAnsiTheme="minorHAnsi" w:cstheme="minorHAnsi"/>
          <w:b/>
          <w:bCs/>
          <w:sz w:val="22"/>
          <w:szCs w:val="22"/>
        </w:rPr>
        <w:t xml:space="preserve">Background </w:t>
      </w:r>
      <w:r w:rsidRPr="00E24481">
        <w:rPr>
          <w:rStyle w:val="normaltextrun"/>
          <w:rFonts w:asciiTheme="minorHAnsi" w:hAnsiTheme="minorHAnsi" w:cstheme="minorHAnsi"/>
          <w:sz w:val="22"/>
          <w:szCs w:val="22"/>
        </w:rPr>
        <w:t>[WG-A+B]</w:t>
      </w:r>
    </w:p>
    <w:p w:rsidRPr="00E24481" w:rsidR="43F760B1" w:rsidP="43F760B1" w:rsidRDefault="43F760B1" w14:paraId="549EC499" w14:textId="414FA5E9">
      <w:pPr>
        <w:pStyle w:val="paragraph"/>
        <w:spacing w:before="0" w:beforeAutospacing="0" w:after="0" w:afterAutospacing="0"/>
        <w:ind w:left="360"/>
        <w:rPr>
          <w:rFonts w:eastAsia="Calibri" w:asciiTheme="minorHAnsi" w:hAnsiTheme="minorHAnsi" w:cstheme="minorHAnsi"/>
          <w:i/>
          <w:iCs/>
          <w:sz w:val="22"/>
          <w:szCs w:val="22"/>
        </w:rPr>
      </w:pPr>
    </w:p>
    <w:p w:rsidRPr="00E24481" w:rsidR="43F760B1" w:rsidP="3038F58C" w:rsidRDefault="49957275" w14:paraId="6A583C3B" w14:textId="2B4295EC" w14:noSpellErr="1">
      <w:pPr>
        <w:pStyle w:val="paragraph"/>
        <w:spacing w:before="0" w:beforeAutospacing="off" w:after="0" w:afterAutospacing="off"/>
        <w:ind w:left="360"/>
        <w:rPr>
          <w:rStyle w:val="normaltextrun"/>
          <w:rFonts w:ascii="Calibri" w:hAnsi="Calibri" w:cs="" w:asciiTheme="minorAscii" w:hAnsiTheme="minorAscii" w:cstheme="minorBidi"/>
          <w:sz w:val="22"/>
          <w:szCs w:val="22"/>
        </w:rPr>
      </w:pPr>
      <w:r w:rsidRPr="3038F58C" w:rsidR="3038F58C">
        <w:rPr>
          <w:rFonts w:ascii="Calibri" w:hAnsi="Calibri" w:eastAsia="Calibri" w:cs="" w:asciiTheme="minorAscii" w:hAnsiTheme="minorAscii" w:cstheme="minorBidi"/>
          <w:i w:val="1"/>
          <w:iCs w:val="1"/>
          <w:sz w:val="22"/>
          <w:szCs w:val="22"/>
        </w:rPr>
        <w:t>Clostridium difficile</w:t>
      </w:r>
      <w:r w:rsidRPr="3038F58C" w:rsidR="3038F58C">
        <w:rPr>
          <w:rFonts w:ascii="Calibri" w:hAnsi="Calibri" w:eastAsia="Calibri" w:cs="" w:asciiTheme="minorAscii" w:hAnsiTheme="minorAscii" w:cstheme="minorBidi"/>
          <w:sz w:val="22"/>
          <w:szCs w:val="22"/>
        </w:rPr>
        <w:t xml:space="preserve"> is a spore-forming, gram-positive anaerobic bacillus. </w:t>
      </w:r>
      <w:r w:rsidRPr="3038F58C" w:rsidR="3038F58C">
        <w:rPr>
          <w:rFonts w:ascii="Calibri" w:hAnsi="Calibri" w:eastAsia="Calibri" w:cs="" w:asciiTheme="minorAscii" w:hAnsiTheme="minorAscii" w:cstheme="minorBidi"/>
          <w:i w:val="1"/>
          <w:iCs w:val="1"/>
          <w:sz w:val="22"/>
          <w:szCs w:val="22"/>
        </w:rPr>
        <w:t>C. difficile</w:t>
      </w:r>
      <w:r w:rsidRPr="3038F58C" w:rsidR="3038F58C">
        <w:rPr>
          <w:rFonts w:ascii="Calibri" w:hAnsi="Calibri" w:eastAsia="Calibri" w:cs="" w:asciiTheme="minorAscii" w:hAnsiTheme="minorAscii" w:cstheme="minorBidi"/>
          <w:sz w:val="22"/>
          <w:szCs w:val="22"/>
        </w:rPr>
        <w:t xml:space="preserve"> infection (CDI) is a frequent cause of healthcare-associated infections (HAI) and CDI accounts for 15-25% of all episodes of antibiotic-associated diarrhea. CDI is associated with increased length of hospital stay, costs, morbidity, and mortality in adult patients. CDI is related to antibiotic exposure and most commonly manifests as a gastrointestinal infection ranging from uncomplicated diarrhea to severe and life-threatening pseudomembranous colitis. CDI can be spread from patient to patient via environmental surfaces or on the hands of healthcare workers. </w:t>
      </w:r>
      <w:r w:rsidRPr="3038F58C" w:rsidR="3038F58C">
        <w:rPr>
          <w:rFonts w:ascii="Calibri" w:hAnsi="Calibri" w:eastAsia="Calibri" w:cs="" w:asciiTheme="minorAscii" w:hAnsiTheme="minorAscii" w:cstheme="minorBidi"/>
          <w:i w:val="1"/>
          <w:iCs w:val="1"/>
          <w:sz w:val="22"/>
          <w:szCs w:val="22"/>
        </w:rPr>
        <w:t xml:space="preserve">C. difficile </w:t>
      </w:r>
      <w:r w:rsidRPr="3038F58C" w:rsidR="3038F58C">
        <w:rPr>
          <w:rFonts w:ascii="Calibri" w:hAnsi="Calibri" w:eastAsia="Calibri" w:cs="" w:asciiTheme="minorAscii" w:hAnsiTheme="minorAscii" w:cstheme="minorBidi"/>
          <w:sz w:val="22"/>
          <w:szCs w:val="22"/>
        </w:rPr>
        <w:t>spores can persist on environmental surfaces for extended periods of time. Outbreaks of CDI occur in healthcare settings such as acute care hospitals and long-term care facilities where there is potential for a large number of susceptible hosts to be exposed to the infectious spores.</w:t>
      </w:r>
    </w:p>
    <w:p w:rsidRPr="00E24481" w:rsidR="43F760B1" w:rsidP="264D7CA1" w:rsidRDefault="43F760B1" w14:paraId="3C2DFCB7" w14:textId="1B1B8320">
      <w:pPr>
        <w:pStyle w:val="paragraph"/>
        <w:spacing w:before="0" w:beforeAutospacing="0" w:after="0" w:afterAutospacing="0"/>
        <w:ind w:left="360"/>
        <w:rPr>
          <w:rFonts w:eastAsia="Calibri" w:asciiTheme="minorHAnsi" w:hAnsiTheme="minorHAnsi" w:cstheme="minorHAnsi"/>
          <w:sz w:val="22"/>
          <w:szCs w:val="22"/>
        </w:rPr>
      </w:pPr>
    </w:p>
    <w:p w:rsidRPr="00E24481" w:rsidR="43F760B1" w:rsidP="3038F58C" w:rsidRDefault="49957275" w14:paraId="2B563462" w14:noSpellErr="1" w14:textId="24791E7A">
      <w:pPr>
        <w:pStyle w:val="paragraph"/>
        <w:spacing w:before="0" w:beforeAutospacing="off" w:after="0" w:afterAutospacing="off"/>
        <w:ind w:left="360"/>
        <w:rPr>
          <w:rStyle w:val="normaltextrun"/>
          <w:rFonts w:ascii="Calibri" w:hAnsi="Calibri" w:cs="" w:asciiTheme="minorAscii" w:hAnsiTheme="minorAscii" w:cstheme="minorBidi"/>
          <w:sz w:val="22"/>
          <w:szCs w:val="22"/>
        </w:rPr>
      </w:pPr>
      <w:r w:rsidRPr="3038F58C" w:rsidR="3038F58C">
        <w:rPr>
          <w:rFonts w:ascii="Calibri" w:hAnsi="Calibri" w:eastAsia="Calibri" w:cs="" w:asciiTheme="minorAscii" w:hAnsiTheme="minorAscii" w:cstheme="minorBidi"/>
          <w:sz w:val="22"/>
          <w:szCs w:val="22"/>
        </w:rPr>
        <w:t xml:space="preserve">The epidemic strain of </w:t>
      </w:r>
      <w:r w:rsidRPr="3038F58C" w:rsidR="3038F58C">
        <w:rPr>
          <w:rFonts w:ascii="Calibri" w:hAnsi="Calibri" w:eastAsia="Calibri" w:cs="" w:asciiTheme="minorAscii" w:hAnsiTheme="minorAscii" w:cstheme="minorBidi"/>
          <w:i w:val="1"/>
          <w:iCs w:val="1"/>
          <w:sz w:val="22"/>
          <w:szCs w:val="22"/>
        </w:rPr>
        <w:t>C. difficile</w:t>
      </w:r>
      <w:r w:rsidRPr="3038F58C" w:rsidR="3038F58C">
        <w:rPr>
          <w:rFonts w:ascii="Calibri" w:hAnsi="Calibri" w:eastAsia="Calibri" w:cs="" w:asciiTheme="minorAscii" w:hAnsiTheme="minorAscii" w:cstheme="minorBidi"/>
          <w:sz w:val="22"/>
          <w:szCs w:val="22"/>
        </w:rPr>
        <w:t xml:space="preserve">, BI/NAP1/027 is associated with more severe disease and increased mortality. As CDI is strongly associated with previous antibiotic use, prudent use of antibiotics has a significant role in the prevention and control of CDI. Both the skin and the environment of colonized patients becomes contaminated, and healthcare personnel hands may become contaminated by touching the environment or the patient. The ongoing problem of </w:t>
      </w:r>
      <w:r w:rsidRPr="3038F58C" w:rsidR="3038F58C">
        <w:rPr>
          <w:rFonts w:ascii="Calibri" w:hAnsi="Calibri" w:eastAsia="Calibri" w:cs="" w:asciiTheme="minorAscii" w:hAnsiTheme="minorAscii" w:cstheme="minorBidi"/>
          <w:i w:val="0"/>
          <w:iCs w:val="0"/>
          <w:sz w:val="22"/>
          <w:szCs w:val="22"/>
        </w:rPr>
        <w:t>C</w:t>
      </w:r>
      <w:r w:rsidRPr="3038F58C" w:rsidR="3038F58C">
        <w:rPr>
          <w:rFonts w:ascii="Calibri" w:hAnsi="Calibri" w:eastAsia="Calibri" w:cs="" w:asciiTheme="minorAscii" w:hAnsiTheme="minorAscii" w:cstheme="minorBidi"/>
          <w:i w:val="0"/>
          <w:iCs w:val="0"/>
          <w:sz w:val="22"/>
          <w:szCs w:val="22"/>
        </w:rPr>
        <w:t>DI</w:t>
      </w:r>
      <w:r w:rsidRPr="3038F58C" w:rsidR="3038F58C">
        <w:rPr>
          <w:rFonts w:ascii="Calibri" w:hAnsi="Calibri" w:eastAsia="Calibri" w:cs="" w:asciiTheme="minorAscii" w:hAnsiTheme="minorAscii" w:cstheme="minorBidi"/>
          <w:sz w:val="22"/>
          <w:szCs w:val="22"/>
        </w:rPr>
        <w:t xml:space="preserve"> emphasizes the need for better diagnostics (appropriate test for the right patient), meticulous attention to infection prevention (including environmental disinfection), and improved antibiotic stewardship.</w:t>
      </w:r>
    </w:p>
    <w:p w:rsidRPr="00E24481" w:rsidR="43F760B1" w:rsidP="43F760B1" w:rsidRDefault="43F760B1" w14:paraId="2ECB876D" w14:textId="6DBEF0A5">
      <w:pPr>
        <w:pStyle w:val="paragraph"/>
        <w:spacing w:before="0" w:beforeAutospacing="0" w:after="0" w:afterAutospacing="0"/>
        <w:ind w:left="360"/>
        <w:rPr>
          <w:rStyle w:val="normaltextrun"/>
          <w:rFonts w:asciiTheme="minorHAnsi" w:hAnsiTheme="minorHAnsi" w:cstheme="minorHAnsi"/>
          <w:sz w:val="22"/>
          <w:szCs w:val="22"/>
        </w:rPr>
      </w:pPr>
    </w:p>
    <w:p w:rsidRPr="00E24481" w:rsidR="002C7219" w:rsidP="264D7CA1" w:rsidRDefault="264D7CA1" w14:paraId="27A03AB5" w14:textId="7D81D62C">
      <w:pPr>
        <w:pStyle w:val="paragraph"/>
        <w:numPr>
          <w:ilvl w:val="0"/>
          <w:numId w:val="2"/>
        </w:numPr>
        <w:spacing w:before="0" w:beforeAutospacing="0" w:after="0" w:afterAutospacing="0"/>
        <w:textAlignment w:val="baseline"/>
        <w:rPr>
          <w:rFonts w:asciiTheme="minorHAnsi" w:hAnsiTheme="minorHAnsi" w:cstheme="minorHAnsi"/>
          <w:sz w:val="22"/>
          <w:szCs w:val="22"/>
        </w:rPr>
      </w:pPr>
      <w:r w:rsidRPr="00E24481">
        <w:rPr>
          <w:rStyle w:val="eop"/>
          <w:rFonts w:asciiTheme="minorHAnsi" w:hAnsiTheme="minorHAnsi" w:cstheme="minorHAnsi"/>
          <w:sz w:val="22"/>
          <w:szCs w:val="22"/>
        </w:rPr>
        <w:t> </w:t>
      </w:r>
      <w:r w:rsidRPr="00E24481">
        <w:rPr>
          <w:rStyle w:val="normaltextrun"/>
          <w:rFonts w:asciiTheme="minorHAnsi" w:hAnsiTheme="minorHAnsi" w:cstheme="minorHAnsi"/>
          <w:b/>
          <w:bCs/>
          <w:sz w:val="22"/>
          <w:szCs w:val="22"/>
        </w:rPr>
        <w:t xml:space="preserve">Improve Detection/Reporting </w:t>
      </w:r>
      <w:r w:rsidRPr="00E24481">
        <w:rPr>
          <w:rStyle w:val="normaltextrun"/>
          <w:rFonts w:asciiTheme="minorHAnsi" w:hAnsiTheme="minorHAnsi" w:cstheme="minorHAnsi"/>
          <w:sz w:val="22"/>
          <w:szCs w:val="22"/>
        </w:rPr>
        <w:t xml:space="preserve">[WG-A] -- </w:t>
      </w:r>
    </w:p>
    <w:p w:rsidRPr="00E24481" w:rsidR="002C7219" w:rsidP="264D7CA1" w:rsidRDefault="002C7219" w14:paraId="77998923" w14:textId="08C10BAF">
      <w:pPr>
        <w:pStyle w:val="paragraph"/>
        <w:spacing w:before="0" w:beforeAutospacing="0" w:after="0" w:afterAutospacing="0"/>
        <w:textAlignment w:val="baseline"/>
        <w:rPr>
          <w:rStyle w:val="eop"/>
          <w:rFonts w:asciiTheme="minorHAnsi" w:hAnsiTheme="minorHAnsi" w:cstheme="minorHAnsi"/>
          <w:sz w:val="22"/>
          <w:szCs w:val="22"/>
        </w:rPr>
      </w:pPr>
    </w:p>
    <w:p w:rsidRPr="00E24481" w:rsidR="002C7219" w:rsidP="264D7CA1" w:rsidRDefault="264D7CA1" w14:paraId="679E4FA5" w14:textId="048E74FA">
      <w:pPr>
        <w:pStyle w:val="paragraph"/>
        <w:numPr>
          <w:ilvl w:val="0"/>
          <w:numId w:val="1"/>
        </w:numPr>
        <w:spacing w:before="0" w:beforeAutospacing="0" w:after="0" w:afterAutospacing="0"/>
        <w:textAlignment w:val="baseline"/>
        <w:rPr>
          <w:rStyle w:val="eop"/>
          <w:rFonts w:asciiTheme="minorHAnsi" w:hAnsiTheme="minorHAnsi" w:cstheme="minorHAnsi"/>
          <w:sz w:val="22"/>
          <w:szCs w:val="22"/>
        </w:rPr>
      </w:pPr>
      <w:r w:rsidRPr="00E24481">
        <w:rPr>
          <w:rStyle w:val="eop"/>
          <w:rFonts w:asciiTheme="minorHAnsi" w:hAnsiTheme="minorHAnsi" w:cstheme="minorHAnsi"/>
          <w:sz w:val="22"/>
          <w:szCs w:val="22"/>
        </w:rPr>
        <w:t>Thresholds</w:t>
      </w:r>
    </w:p>
    <w:p w:rsidRPr="00E24481" w:rsidR="002C7219" w:rsidP="264D7CA1" w:rsidRDefault="002C7219" w14:paraId="627F4705" w14:textId="043D3544">
      <w:pPr>
        <w:spacing w:after="0" w:line="240" w:lineRule="auto"/>
        <w:ind w:left="360"/>
        <w:textAlignment w:val="baseline"/>
        <w:rPr>
          <w:rFonts w:eastAsia="Arial" w:cstheme="minorHAnsi"/>
        </w:rPr>
      </w:pPr>
    </w:p>
    <w:p w:rsidRPr="00E24481" w:rsidR="002C7219" w:rsidP="264D7CA1" w:rsidRDefault="264D7CA1" w14:paraId="47FE39B4" w14:textId="270CC54B">
      <w:pPr>
        <w:spacing w:after="0" w:line="240" w:lineRule="auto"/>
        <w:ind w:left="360"/>
        <w:textAlignment w:val="baseline"/>
        <w:rPr>
          <w:rFonts w:eastAsia="Arial" w:cstheme="minorHAnsi"/>
        </w:rPr>
      </w:pPr>
      <w:r w:rsidRPr="00E24481">
        <w:rPr>
          <w:rFonts w:eastAsia="Arial" w:cstheme="minorHAnsi"/>
        </w:rPr>
        <w:t xml:space="preserve">"The thresholds and definitions below are intended to be a </w:t>
      </w:r>
      <w:r w:rsidRPr="00E24481" w:rsidR="00021179">
        <w:rPr>
          <w:rFonts w:eastAsia="Arial" w:cstheme="minorHAnsi"/>
        </w:rPr>
        <w:t>guideline and</w:t>
      </w:r>
      <w:r w:rsidRPr="00E24481">
        <w:rPr>
          <w:rFonts w:eastAsia="Arial" w:cstheme="minorHAnsi"/>
        </w:rPr>
        <w:t xml:space="preserve"> are based on expert opinion except as noted otherwise. States and local jurisdictions may have their own outbreak definitions and requirements for reporting."</w:t>
      </w:r>
    </w:p>
    <w:p w:rsidRPr="00E24481" w:rsidR="002C7219" w:rsidP="264D7CA1" w:rsidRDefault="002C7219" w14:paraId="063D0782" w14:textId="2BD78187">
      <w:pPr>
        <w:spacing w:after="0" w:line="240" w:lineRule="auto"/>
        <w:ind w:left="360"/>
        <w:textAlignment w:val="baseline"/>
        <w:rPr>
          <w:rFonts w:eastAsia="Arial" w:cstheme="minorHAnsi"/>
        </w:rPr>
      </w:pPr>
    </w:p>
    <w:p w:rsidRPr="00E24481" w:rsidR="002C7219" w:rsidP="264D7CA1" w:rsidRDefault="264D7CA1" w14:paraId="79093E1C" w14:textId="6BF5E6D2">
      <w:pPr>
        <w:pStyle w:val="ListParagraph"/>
        <w:numPr>
          <w:ilvl w:val="0"/>
          <w:numId w:val="1"/>
        </w:numPr>
        <w:spacing w:after="0"/>
        <w:textAlignment w:val="baseline"/>
        <w:rPr>
          <w:rFonts w:cstheme="minorHAnsi"/>
        </w:rPr>
      </w:pPr>
      <w:r w:rsidRPr="00E24481">
        <w:rPr>
          <w:rFonts w:eastAsia="Times New Roman" w:cstheme="minorHAnsi"/>
        </w:rPr>
        <w:t>How can detection and reporting be improved?</w:t>
      </w:r>
    </w:p>
    <w:p w:rsidRPr="00E24481" w:rsidR="002C7219" w:rsidP="264D7CA1" w:rsidRDefault="002C7219" w14:paraId="435D2A59" w14:textId="0F053A5D">
      <w:pPr>
        <w:pStyle w:val="paragraph"/>
        <w:spacing w:before="0" w:beforeAutospacing="0" w:after="0" w:afterAutospacing="0"/>
        <w:ind w:left="360"/>
        <w:textAlignment w:val="baseline"/>
        <w:rPr>
          <w:rStyle w:val="eop"/>
          <w:rFonts w:asciiTheme="minorHAnsi" w:hAnsiTheme="minorHAnsi" w:cstheme="minorHAnsi"/>
          <w:sz w:val="22"/>
          <w:szCs w:val="22"/>
        </w:rPr>
      </w:pPr>
    </w:p>
    <w:p w:rsidRPr="00E24481" w:rsidR="002C7219" w:rsidP="264D7CA1" w:rsidRDefault="264D7CA1" w14:paraId="54700595" w14:textId="6400BAD5">
      <w:pPr>
        <w:pStyle w:val="paragraph"/>
        <w:spacing w:before="0" w:beforeAutospacing="0" w:after="0" w:afterAutospacing="0"/>
        <w:textAlignment w:val="baseline"/>
        <w:rPr>
          <w:rFonts w:asciiTheme="minorHAnsi" w:hAnsiTheme="minorHAnsi" w:cstheme="minorHAnsi"/>
          <w:sz w:val="22"/>
          <w:szCs w:val="22"/>
        </w:rPr>
      </w:pPr>
      <w:r w:rsidRPr="00E24481">
        <w:rPr>
          <w:rStyle w:val="eop"/>
          <w:rFonts w:asciiTheme="minorHAnsi" w:hAnsiTheme="minorHAnsi" w:cstheme="minorHAnsi"/>
          <w:sz w:val="22"/>
          <w:szCs w:val="22"/>
        </w:rPr>
        <w:t> </w:t>
      </w:r>
    </w:p>
    <w:p w:rsidRPr="00E24481" w:rsidR="002C7219" w:rsidP="264D7CA1" w:rsidRDefault="264D7CA1" w14:paraId="68930FC0" w14:textId="150B14BA">
      <w:pPr>
        <w:pStyle w:val="paragraph"/>
        <w:numPr>
          <w:ilvl w:val="0"/>
          <w:numId w:val="2"/>
        </w:numPr>
        <w:spacing w:before="0" w:beforeAutospacing="0" w:after="0" w:afterAutospacing="0"/>
        <w:textAlignment w:val="baseline"/>
        <w:rPr>
          <w:rFonts w:asciiTheme="minorHAnsi" w:hAnsiTheme="minorHAnsi" w:cstheme="minorHAnsi"/>
          <w:sz w:val="22"/>
          <w:szCs w:val="22"/>
        </w:rPr>
      </w:pPr>
      <w:r w:rsidRPr="00E24481">
        <w:rPr>
          <w:rStyle w:val="normaltextrun"/>
          <w:rFonts w:asciiTheme="minorHAnsi" w:hAnsiTheme="minorHAnsi" w:cstheme="minorHAnsi"/>
          <w:b/>
          <w:bCs/>
          <w:sz w:val="22"/>
          <w:szCs w:val="22"/>
        </w:rPr>
        <w:t>Improve Investigation/Control</w:t>
      </w:r>
      <w:r w:rsidRPr="00E24481">
        <w:rPr>
          <w:rStyle w:val="normaltextrun"/>
          <w:rFonts w:asciiTheme="minorHAnsi" w:hAnsiTheme="minorHAnsi" w:cstheme="minorHAnsi"/>
          <w:sz w:val="22"/>
          <w:szCs w:val="22"/>
        </w:rPr>
        <w:t xml:space="preserve"> [WG-B] -- Materials to consider for developing this section and pointing to as references here or in section 5:</w:t>
      </w:r>
      <w:r w:rsidRPr="00E24481">
        <w:rPr>
          <w:rStyle w:val="eop"/>
          <w:rFonts w:asciiTheme="minorHAnsi" w:hAnsiTheme="minorHAnsi" w:cstheme="minorHAnsi"/>
          <w:sz w:val="22"/>
          <w:szCs w:val="22"/>
        </w:rPr>
        <w:t> </w:t>
      </w:r>
    </w:p>
    <w:p w:rsidRPr="00E24481" w:rsidR="264D7CA1" w:rsidP="264D7CA1" w:rsidRDefault="264D7CA1" w14:paraId="2848F2F7" w14:textId="392F298E">
      <w:pPr>
        <w:spacing w:after="0" w:line="240" w:lineRule="auto"/>
        <w:ind w:firstLine="360"/>
        <w:rPr>
          <w:rFonts w:eastAsia="Arial" w:cstheme="minorHAnsi"/>
          <w:b/>
          <w:bCs/>
        </w:rPr>
      </w:pPr>
    </w:p>
    <w:p w:rsidRPr="00E24481" w:rsidR="264D7CA1" w:rsidP="14D7E0A5" w:rsidRDefault="14D7E0A5" w14:paraId="26A3A51E" w14:textId="6723A437">
      <w:pPr>
        <w:spacing w:after="0" w:line="240" w:lineRule="auto"/>
        <w:ind w:firstLine="360"/>
        <w:rPr>
          <w:rFonts w:eastAsia="Arial" w:cstheme="minorHAnsi"/>
        </w:rPr>
      </w:pPr>
      <w:r w:rsidRPr="00E24481">
        <w:rPr>
          <w:rFonts w:eastAsia="Arial" w:cstheme="minorHAnsi"/>
        </w:rPr>
        <w:t xml:space="preserve">A. Key Points for Successful Investigation </w:t>
      </w:r>
    </w:p>
    <w:p w:rsidRPr="00E24481" w:rsidR="5D2CD5C8" w:rsidP="5D2CD5C8" w:rsidRDefault="5D2CD5C8" w14:paraId="39D357A4" w14:textId="795A5CE1">
      <w:pPr>
        <w:pStyle w:val="paragraph"/>
        <w:spacing w:before="0" w:beforeAutospacing="0" w:after="0" w:afterAutospacing="0"/>
        <w:ind w:left="360"/>
        <w:rPr>
          <w:rStyle w:val="eop"/>
          <w:rFonts w:asciiTheme="minorHAnsi" w:hAnsiTheme="minorHAnsi" w:cstheme="minorHAnsi"/>
          <w:sz w:val="22"/>
          <w:szCs w:val="22"/>
        </w:rPr>
      </w:pPr>
    </w:p>
    <w:p w:rsidRPr="00E24481" w:rsidR="005F3856" w:rsidP="3038F58C" w:rsidRDefault="005F3856" w14:paraId="1AAA0DC4" w14:textId="71D5D613" w14:noSpellErr="1">
      <w:pPr>
        <w:pStyle w:val="paragraph"/>
        <w:spacing w:before="0" w:beforeAutospacing="off" w:after="0" w:afterAutospacing="off"/>
        <w:ind w:left="360"/>
        <w:rPr>
          <w:rStyle w:val="eop"/>
          <w:rFonts w:ascii="Calibri" w:hAnsi="Calibri" w:cs="Calibri" w:asciiTheme="minorAscii" w:hAnsiTheme="minorAscii" w:cstheme="minorAscii"/>
          <w:sz w:val="22"/>
          <w:szCs w:val="22"/>
          <w:u w:val="single"/>
        </w:rPr>
      </w:pPr>
      <w:r w:rsidRPr="3038F58C" w:rsidR="3038F58C">
        <w:rPr>
          <w:rStyle w:val="eop"/>
          <w:rFonts w:ascii="Calibri" w:hAnsi="Calibri" w:cs="Calibri" w:asciiTheme="minorAscii" w:hAnsiTheme="minorAscii" w:cstheme="minorAscii"/>
          <w:sz w:val="22"/>
          <w:szCs w:val="22"/>
          <w:u w:val="single"/>
        </w:rPr>
        <w:t>Initial Investigation</w:t>
      </w:r>
    </w:p>
    <w:p w:rsidR="3038F58C" w:rsidP="3038F58C" w:rsidRDefault="3038F58C" w14:noSpellErr="1" w14:paraId="7B364201" w14:textId="65EDD6CA">
      <w:pPr>
        <w:pStyle w:val="ListParagraph"/>
        <w:numPr>
          <w:ilvl w:val="0"/>
          <w:numId w:val="7"/>
        </w:numPr>
        <w:rPr>
          <w:sz w:val="22"/>
          <w:szCs w:val="22"/>
          <w:highlight w:val="yellow"/>
        </w:rPr>
      </w:pPr>
      <w:r w:rsidR="3038F58C">
        <w:rPr/>
        <w:t xml:space="preserve"> If the threshold for investigation </w:t>
      </w:r>
      <w:r w:rsidR="3038F58C">
        <w:rPr/>
        <w:t>is</w:t>
      </w:r>
      <w:r w:rsidR="3038F58C">
        <w:rPr/>
        <w:t xml:space="preserve"> reached</w:t>
      </w:r>
      <w:r w:rsidR="3038F58C">
        <w:rPr/>
        <w:t>,</w:t>
      </w:r>
      <w:r w:rsidR="3038F58C">
        <w:rPr/>
        <w:t xml:space="preserve"> </w:t>
      </w:r>
      <w:r w:rsidR="3038F58C">
        <w:rPr/>
        <w:t>review should be conducted</w:t>
      </w:r>
      <w:r w:rsidR="3038F58C">
        <w:rPr/>
        <w:t xml:space="preserve"> </w:t>
      </w:r>
      <w:r w:rsidR="3038F58C">
        <w:rPr/>
        <w:t>to en</w:t>
      </w:r>
      <w:r w:rsidR="3038F58C">
        <w:rPr/>
        <w:t xml:space="preserve">sure </w:t>
      </w:r>
      <w:r w:rsidR="3038F58C">
        <w:rPr/>
        <w:t>the appropriatene</w:t>
      </w:r>
      <w:r w:rsidR="3038F58C">
        <w:rPr/>
        <w:t>ss of testing</w:t>
      </w:r>
      <w:r w:rsidR="3038F58C">
        <w:rPr/>
        <w:t>.</w:t>
      </w:r>
      <w:r w:rsidR="3038F58C">
        <w:rPr/>
        <w:t xml:space="preserve"> </w:t>
      </w:r>
      <w:r w:rsidR="3038F58C">
        <w:rPr/>
        <w:t xml:space="preserve">Testing stewardship prevents testing of </w:t>
      </w:r>
      <w:r w:rsidR="3038F58C">
        <w:rPr/>
        <w:t xml:space="preserve">solid stool samples </w:t>
      </w:r>
      <w:r w:rsidR="3038F58C">
        <w:rPr/>
        <w:t xml:space="preserve">and patients with other </w:t>
      </w:r>
      <w:r w:rsidR="3038F58C">
        <w:rPr/>
        <w:t>explanations for diarrhea</w:t>
      </w:r>
      <w:r w:rsidR="3038F58C">
        <w:rPr/>
        <w:t xml:space="preserve"> (e.g. patients receiving </w:t>
      </w:r>
      <w:r w:rsidR="3038F58C">
        <w:rPr/>
        <w:t>laxatives or tube feeds</w:t>
      </w:r>
      <w:r w:rsidR="3038F58C">
        <w:rPr/>
        <w:t>)</w:t>
      </w:r>
      <w:r w:rsidR="3038F58C">
        <w:rPr/>
        <w:t>.</w:t>
      </w:r>
      <w:r w:rsidR="3038F58C">
        <w:rPr/>
        <w:t xml:space="preserve"> </w:t>
      </w:r>
      <w:r w:rsidR="3038F58C">
        <w:rPr/>
        <w:t>N</w:t>
      </w:r>
      <w:r w:rsidR="3038F58C">
        <w:rPr/>
        <w:t>ucleic</w:t>
      </w:r>
      <w:r w:rsidR="3038F58C">
        <w:rPr/>
        <w:t xml:space="preserve"> acid </w:t>
      </w:r>
      <w:r w:rsidR="3038F58C">
        <w:rPr/>
        <w:t>amplification</w:t>
      </w:r>
      <w:r w:rsidR="3038F58C">
        <w:rPr/>
        <w:t xml:space="preserve"> </w:t>
      </w:r>
      <w:r w:rsidR="3038F58C">
        <w:rPr/>
        <w:t>t</w:t>
      </w:r>
      <w:r w:rsidR="3038F58C">
        <w:rPr/>
        <w:t xml:space="preserve">ests </w:t>
      </w:r>
      <w:r w:rsidR="3038F58C">
        <w:rPr/>
        <w:t>are very sensitive but do not distinguish CDI from asymptomatic carriage</w:t>
      </w:r>
      <w:r w:rsidR="3038F58C">
        <w:rPr/>
        <w:t>, so</w:t>
      </w:r>
      <w:r w:rsidR="3038F58C">
        <w:rPr/>
        <w:t xml:space="preserve"> it is essential to avoid testing patients with low pre-test prob</w:t>
      </w:r>
      <w:r w:rsidR="3038F58C">
        <w:rPr/>
        <w:t>ability</w:t>
      </w:r>
      <w:r w:rsidR="3038F58C">
        <w:rPr/>
        <w:t>.</w:t>
      </w:r>
    </w:p>
    <w:p w:rsidRPr="00097E81" w:rsidR="00562851" w:rsidP="3038F58C" w:rsidRDefault="00562851" w14:paraId="27F692F5" w14:noSpellErr="1" w14:textId="1EA1FFAF">
      <w:pPr>
        <w:pStyle w:val="ListParagraph"/>
        <w:numPr>
          <w:ilvl w:val="0"/>
          <w:numId w:val="7"/>
        </w:numPr>
        <w:rPr>
          <w:highlight w:val="yellow"/>
        </w:rPr>
      </w:pPr>
      <w:r w:rsidR="3038F58C">
        <w:rPr/>
        <w:t xml:space="preserve">Public health should consider </w:t>
      </w:r>
      <w:r w:rsidR="3038F58C">
        <w:rPr/>
        <w:t xml:space="preserve">arranging </w:t>
      </w:r>
      <w:r w:rsidR="3038F58C">
        <w:rPr/>
        <w:t xml:space="preserve">a site visit to the facility based on the number of the cases, patient population, severity of illness, and level of assistance needed by </w:t>
      </w:r>
      <w:r w:rsidR="3038F58C">
        <w:rPr/>
        <w:t>facility</w:t>
      </w:r>
      <w:r w:rsidR="3038F58C">
        <w:rPr/>
        <w:t>.</w:t>
      </w:r>
    </w:p>
    <w:p w:rsidRPr="00E24481" w:rsidR="00F81E64" w:rsidP="49957275" w:rsidRDefault="49957275" w14:paraId="34E89AD1" w14:textId="62B1BD5F">
      <w:pPr>
        <w:pStyle w:val="ListParagraph"/>
        <w:numPr>
          <w:ilvl w:val="0"/>
          <w:numId w:val="7"/>
        </w:numPr>
      </w:pPr>
      <w:r w:rsidRPr="49957275">
        <w:t>If the threshold for additional investigation is reached, construct a line list that includes admission date, admission source, location in the facility, movement of the patient within the facility, infection control practices, environmental cleaning, symptom onset date, date of positive test, testing method, previous history of CDI, prior antibiotic exposure, discharge date, infection control practices, environmental cleaning, and other relevant information.</w:t>
      </w:r>
    </w:p>
    <w:p w:rsidRPr="00E24481" w:rsidR="00541BB8" w:rsidP="00F81E64" w:rsidRDefault="00541BB8" w14:paraId="4546CE3A" w14:textId="04C13613">
      <w:pPr>
        <w:pStyle w:val="ListParagraph"/>
        <w:numPr>
          <w:ilvl w:val="0"/>
          <w:numId w:val="7"/>
        </w:numPr>
        <w:rPr/>
      </w:pPr>
      <w:r w:rsidR="3038F58C">
        <w:rPr/>
        <w:t xml:space="preserve">Review the line list to look for </w:t>
      </w:r>
      <w:r w:rsidR="3038F58C">
        <w:rPr/>
        <w:t>commonalities</w:t>
      </w:r>
      <w:r w:rsidR="3038F58C">
        <w:rPr/>
        <w:t xml:space="preserve"> among </w:t>
      </w:r>
      <w:r w:rsidR="3038F58C">
        <w:rPr/>
        <w:t xml:space="preserve">patients </w:t>
      </w:r>
      <w:r w:rsidR="3038F58C">
        <w:rPr/>
        <w:t>and determine if the cases are epidemiologically linked</w:t>
      </w:r>
      <w:r w:rsidR="3038F58C">
        <w:rPr/>
        <w:t xml:space="preserve"> and there is evidence of transmission</w:t>
      </w:r>
      <w:r w:rsidR="3038F58C">
        <w:rPr/>
        <w:t>.</w:t>
      </w:r>
    </w:p>
    <w:p w:rsidRPr="00562851" w:rsidR="007F50D8" w:rsidP="49957275" w:rsidRDefault="49957275" w14:paraId="37EEF444" w14:textId="401A2F9C">
      <w:pPr>
        <w:pStyle w:val="ListParagraph"/>
        <w:numPr>
          <w:ilvl w:val="0"/>
          <w:numId w:val="7"/>
        </w:numPr>
      </w:pPr>
      <w:r w:rsidRPr="00562851">
        <w:t>If the outbreak threshold is met, establish a case definition including patient population, location, timeframe, as well as laboratory and clinical criteria.</w:t>
      </w:r>
    </w:p>
    <w:p w:rsidRPr="00E24481" w:rsidR="00B579B1" w:rsidP="49957275" w:rsidRDefault="49957275" w14:paraId="00F608C9" w14:textId="46085CFA">
      <w:pPr>
        <w:pStyle w:val="ListParagraph"/>
        <w:numPr>
          <w:ilvl w:val="0"/>
          <w:numId w:val="7"/>
        </w:numPr>
      </w:pPr>
      <w:r w:rsidRPr="49957275">
        <w:t xml:space="preserve">Continue enhanced surveillance for additional cases while implementing control measures and assessing infection control practices. </w:t>
      </w:r>
    </w:p>
    <w:p w:rsidRPr="00E24481" w:rsidR="005F3856" w:rsidP="49957275" w:rsidRDefault="49957275" w14:paraId="32360330" w14:textId="72402A79">
      <w:pPr>
        <w:pStyle w:val="paragraph"/>
        <w:spacing w:before="0" w:beforeAutospacing="0" w:after="0" w:afterAutospacing="0"/>
        <w:ind w:firstLine="360"/>
        <w:rPr>
          <w:rFonts w:asciiTheme="minorHAnsi" w:hAnsiTheme="minorHAnsi" w:cstheme="minorBidi"/>
          <w:sz w:val="22"/>
          <w:szCs w:val="22"/>
          <w:u w:val="single"/>
        </w:rPr>
      </w:pPr>
      <w:r w:rsidRPr="49957275">
        <w:rPr>
          <w:rStyle w:val="eop"/>
          <w:rFonts w:asciiTheme="minorHAnsi" w:hAnsiTheme="minorHAnsi" w:cstheme="minorBidi"/>
          <w:sz w:val="22"/>
          <w:szCs w:val="22"/>
          <w:u w:val="single"/>
        </w:rPr>
        <w:t>Infection Control and Assessment</w:t>
      </w:r>
    </w:p>
    <w:p w:rsidRPr="00E24481" w:rsidR="5D2CD5C8" w:rsidP="0064634E" w:rsidRDefault="264D7CA1" w14:paraId="53F91D64" w14:textId="35BC43CD">
      <w:pPr>
        <w:pStyle w:val="ListParagraph"/>
        <w:numPr>
          <w:ilvl w:val="0"/>
          <w:numId w:val="7"/>
        </w:numPr>
        <w:rPr>
          <w:rFonts w:cstheme="minorHAnsi"/>
        </w:rPr>
      </w:pPr>
      <w:r w:rsidRPr="00E24481">
        <w:rPr>
          <w:rFonts w:cstheme="minorHAnsi"/>
          <w:color w:val="000000" w:themeColor="text1"/>
        </w:rPr>
        <w:t>Pa</w:t>
      </w:r>
      <w:r w:rsidRPr="00E24481" w:rsidR="00942781">
        <w:rPr>
          <w:rFonts w:cstheme="minorHAnsi"/>
          <w:color w:val="000000" w:themeColor="text1"/>
        </w:rPr>
        <w:t>tients with CDI should be put</w:t>
      </w:r>
      <w:r w:rsidRPr="00E24481">
        <w:rPr>
          <w:rFonts w:cstheme="minorHAnsi"/>
          <w:color w:val="000000" w:themeColor="text1"/>
        </w:rPr>
        <w:t xml:space="preserve"> in a private room and placed on contact isolation.</w:t>
      </w:r>
      <w:r w:rsidRPr="00E24481" w:rsidR="00835F17">
        <w:rPr>
          <w:rFonts w:cstheme="minorHAnsi"/>
          <w:color w:val="000000" w:themeColor="text1"/>
        </w:rPr>
        <w:t xml:space="preserve"> </w:t>
      </w:r>
      <w:r w:rsidRPr="00E24481" w:rsidR="5D2CD5C8">
        <w:rPr>
          <w:rFonts w:eastAsia="Calibri" w:cstheme="minorHAnsi"/>
          <w:color w:val="000000" w:themeColor="text1"/>
        </w:rPr>
        <w:t>This should include patients suspected of having CDI while awaitin</w:t>
      </w:r>
      <w:r w:rsidRPr="00E24481" w:rsidR="00B579B1">
        <w:rPr>
          <w:rFonts w:eastAsia="Calibri" w:cstheme="minorHAnsi"/>
          <w:color w:val="000000" w:themeColor="text1"/>
        </w:rPr>
        <w:t>g testing</w:t>
      </w:r>
      <w:r w:rsidRPr="00E24481" w:rsidR="5D2CD5C8">
        <w:rPr>
          <w:rFonts w:eastAsia="Calibri" w:cstheme="minorHAnsi"/>
          <w:color w:val="000000" w:themeColor="text1"/>
        </w:rPr>
        <w:t>.</w:t>
      </w:r>
    </w:p>
    <w:p w:rsidRPr="00562851" w:rsidR="008E65E7" w:rsidP="3038F58C" w:rsidRDefault="001477B8" w14:paraId="5EED5C4A" w14:textId="513A529B" w14:noSpellErr="1">
      <w:pPr>
        <w:pStyle w:val="ListParagraph"/>
        <w:numPr>
          <w:ilvl w:val="0"/>
          <w:numId w:val="7"/>
        </w:numPr>
        <w:rPr>
          <w:rFonts w:cs="Calibri" w:cstheme="minorAscii"/>
          <w:highlight w:val="yellow"/>
        </w:rPr>
      </w:pPr>
      <w:r w:rsidRPr="3038F58C" w:rsidR="3038F58C">
        <w:rPr>
          <w:rFonts w:eastAsia="Calibri" w:cs="Calibri" w:cstheme="minorAscii"/>
          <w:color w:val="000000" w:themeColor="text1" w:themeTint="FF" w:themeShade="FF"/>
        </w:rPr>
        <w:t>When using an enzyme immunoassay for diagnosis</w:t>
      </w:r>
      <w:r w:rsidRPr="3038F58C" w:rsidR="3038F58C">
        <w:rPr>
          <w:rFonts w:eastAsia="Calibri" w:cs="Calibri" w:cstheme="minorAscii"/>
          <w:color w:val="000000" w:themeColor="text1" w:themeTint="FF" w:themeShade="FF"/>
        </w:rPr>
        <w:t xml:space="preserve">, </w:t>
      </w:r>
      <w:r w:rsidRPr="3038F58C" w:rsidR="3038F58C">
        <w:rPr>
          <w:rFonts w:eastAsia="Calibri" w:cs="Calibri" w:cstheme="minorAscii"/>
          <w:color w:val="000000" w:themeColor="text1" w:themeTint="FF" w:themeShade="FF"/>
        </w:rPr>
        <w:t xml:space="preserve">due to the lower sensitivity of the test, </w:t>
      </w:r>
      <w:r w:rsidRPr="3038F58C" w:rsidR="3038F58C">
        <w:rPr>
          <w:rFonts w:eastAsia="Calibri" w:cs="Calibri" w:cstheme="minorAscii"/>
          <w:color w:val="000000" w:themeColor="text1" w:themeTint="FF" w:themeShade="FF"/>
        </w:rPr>
        <w:t>clinical suspicion of CDI should outweigh negative test results in patients with a high pretest probability of having CDI, and the patient should remain under contact precautions.</w:t>
      </w:r>
    </w:p>
    <w:p w:rsidRPr="00562851" w:rsidR="00835F17" w:rsidP="49957275" w:rsidRDefault="49957275" w14:paraId="3149CBF7" w14:textId="7A98FE8A">
      <w:pPr>
        <w:pStyle w:val="ListParagraph"/>
        <w:numPr>
          <w:ilvl w:val="0"/>
          <w:numId w:val="7"/>
        </w:numPr>
      </w:pPr>
      <w:r w:rsidRPr="00562851">
        <w:rPr>
          <w:rFonts w:eastAsia="Calibri"/>
          <w:color w:val="000000" w:themeColor="text1"/>
        </w:rPr>
        <w:t xml:space="preserve">Strict hand hygiene should be performed with soap and water during an outbreak to physically remove spores. </w:t>
      </w:r>
    </w:p>
    <w:p w:rsidR="49957275" w:rsidP="49957275" w:rsidRDefault="49957275" w14:paraId="78E3DBC8" w14:textId="7EFCCD3D">
      <w:pPr>
        <w:pStyle w:val="ListParagraph"/>
        <w:numPr>
          <w:ilvl w:val="0"/>
          <w:numId w:val="7"/>
        </w:numPr>
      </w:pPr>
      <w:r w:rsidRPr="49957275">
        <w:t>Use bleach containing cleaning agents or other sporicidal agents to clean the rooms of patients with CDI (examples are provided in EPA List K) daily as well as on discharge. During a CDI outbreak consideration should be made to cleaning the whole unit with bleach.</w:t>
      </w:r>
    </w:p>
    <w:p w:rsidR="49957275" w:rsidP="49957275" w:rsidRDefault="49957275" w14:paraId="389BF1DD" w14:textId="46CBEBAC">
      <w:pPr>
        <w:pStyle w:val="ListParagraph"/>
        <w:numPr>
          <w:ilvl w:val="0"/>
          <w:numId w:val="7"/>
        </w:numPr>
        <w:rPr/>
      </w:pPr>
      <w:r w:rsidR="3038F58C">
        <w:rPr/>
        <w:t>Utilize CDC Target, Assess, Prevent (TAP) facility assessment tools (</w:t>
      </w:r>
      <w:hyperlink r:id="Re8ad20a458fe42d2">
        <w:r w:rsidRPr="3038F58C" w:rsidR="3038F58C">
          <w:rPr>
            <w:rStyle w:val="Hyperlink"/>
          </w:rPr>
          <w:t>www.cdc.gov/hai/prevent/tap.html</w:t>
        </w:r>
      </w:hyperlink>
      <w:r w:rsidR="3038F58C">
        <w:rPr/>
        <w:t>) to help identify modifiable risk factors</w:t>
      </w:r>
    </w:p>
    <w:p w:rsidRPr="00E24481" w:rsidR="00835F17" w:rsidP="49957275" w:rsidRDefault="49957275" w14:paraId="1E2880A6" w14:textId="430EFA9E">
      <w:pPr>
        <w:pStyle w:val="ListParagraph"/>
        <w:numPr>
          <w:ilvl w:val="0"/>
          <w:numId w:val="7"/>
        </w:numPr>
      </w:pPr>
      <w:r w:rsidRPr="49957275">
        <w:rPr>
          <w:rFonts w:eastAsia="Calibri"/>
          <w:color w:val="000000" w:themeColor="text1"/>
        </w:rPr>
        <w:t>Education on hand hygiene and PPE should be conducted followed by observations of hand hygiene, and PPE donning and doffing practices with feedback provided to ensure adherence to best practices.</w:t>
      </w:r>
    </w:p>
    <w:p w:rsidRPr="00E24481" w:rsidR="00374FEF" w:rsidP="49957275" w:rsidRDefault="49957275" w14:paraId="02FF7BF9" w14:textId="588067BC">
      <w:pPr>
        <w:pStyle w:val="ListParagraph"/>
        <w:numPr>
          <w:ilvl w:val="0"/>
          <w:numId w:val="7"/>
        </w:numPr>
      </w:pPr>
      <w:r w:rsidRPr="49957275">
        <w:t>Assess the adequacy of cleaning procedures with a focus on areas of greatest risk for CDI transmission and provide feedback to environmental services staff.</w:t>
      </w:r>
    </w:p>
    <w:p w:rsidRPr="00E24481" w:rsidR="00835F17" w:rsidP="00835F17" w:rsidRDefault="00835F17" w14:paraId="12DC28FD" w14:textId="653ABA48">
      <w:pPr>
        <w:pStyle w:val="ListParagraph"/>
        <w:numPr>
          <w:ilvl w:val="0"/>
          <w:numId w:val="7"/>
        </w:numPr>
        <w:rPr>
          <w:rFonts w:cstheme="minorHAnsi"/>
        </w:rPr>
      </w:pPr>
      <w:r w:rsidRPr="00E24481">
        <w:rPr>
          <w:rFonts w:eastAsia="Calibri" w:cstheme="minorHAnsi"/>
          <w:color w:val="000000" w:themeColor="text1"/>
        </w:rPr>
        <w:t>Visitors should be ins</w:t>
      </w:r>
      <w:r w:rsidRPr="00E24481" w:rsidR="00C645AA">
        <w:rPr>
          <w:rFonts w:eastAsia="Calibri" w:cstheme="minorHAnsi"/>
          <w:color w:val="000000" w:themeColor="text1"/>
        </w:rPr>
        <w:t>tructed on the us</w:t>
      </w:r>
      <w:r w:rsidRPr="00E24481">
        <w:rPr>
          <w:rFonts w:eastAsia="Calibri" w:cstheme="minorHAnsi"/>
          <w:color w:val="000000" w:themeColor="text1"/>
        </w:rPr>
        <w:t>e of gowns and gloves as well as performing hand hygiene.</w:t>
      </w:r>
    </w:p>
    <w:p w:rsidR="49957275" w:rsidP="49957275" w:rsidRDefault="49957275" w14:paraId="47500135" w14:textId="0DFF65EB">
      <w:pPr>
        <w:pStyle w:val="ListParagraph"/>
        <w:numPr>
          <w:ilvl w:val="0"/>
          <w:numId w:val="7"/>
        </w:numPr>
      </w:pPr>
      <w:r w:rsidRPr="49957275">
        <w:t xml:space="preserve">Maintain contact precautions for </w:t>
      </w:r>
      <w:r w:rsidRPr="49957275">
        <w:rPr>
          <w:color w:val="000000" w:themeColor="text1"/>
        </w:rPr>
        <w:t xml:space="preserve">48 hours after diarrhea has ceased and considerations should be made during an outbreak to continue contact precautions for the duration of the hospitalization. </w:t>
      </w:r>
    </w:p>
    <w:p w:rsidRPr="00E24481" w:rsidR="00781E18" w:rsidP="00C87FC4" w:rsidRDefault="00781E18" w14:paraId="07A8BB9A" w14:textId="7769865E">
      <w:pPr>
        <w:pStyle w:val="ListParagraph"/>
        <w:numPr>
          <w:ilvl w:val="0"/>
          <w:numId w:val="7"/>
        </w:numPr>
        <w:rPr>
          <w:rFonts w:cstheme="minorHAnsi"/>
        </w:rPr>
      </w:pPr>
      <w:r w:rsidRPr="00E24481">
        <w:rPr>
          <w:rFonts w:cstheme="minorHAnsi"/>
        </w:rPr>
        <w:t>Testing for cure is not recommended</w:t>
      </w:r>
      <w:r w:rsidRPr="00E24481" w:rsidR="00F84287">
        <w:rPr>
          <w:rFonts w:cstheme="minorHAnsi"/>
        </w:rPr>
        <w:t>.</w:t>
      </w:r>
    </w:p>
    <w:p w:rsidRPr="00E24481" w:rsidR="00377216" w:rsidP="00781E18" w:rsidRDefault="00377216" w14:paraId="1EAFA639" w14:textId="447D2466">
      <w:pPr>
        <w:pStyle w:val="ListParagraph"/>
        <w:numPr>
          <w:ilvl w:val="0"/>
          <w:numId w:val="7"/>
        </w:numPr>
        <w:rPr>
          <w:rFonts w:cstheme="minorHAnsi"/>
        </w:rPr>
      </w:pPr>
      <w:r w:rsidRPr="00E24481">
        <w:rPr>
          <w:rFonts w:eastAsia="Calibri" w:cstheme="minorHAnsi"/>
          <w:color w:val="000000" w:themeColor="text1"/>
        </w:rPr>
        <w:t xml:space="preserve">Screening of asymptomatic patients is not recommended. </w:t>
      </w:r>
    </w:p>
    <w:p w:rsidRPr="00E24481" w:rsidR="003351F6" w:rsidP="49957275" w:rsidRDefault="49957275" w14:paraId="0FEA45F5" w14:textId="47367BB4">
      <w:pPr>
        <w:pStyle w:val="ListParagraph"/>
        <w:numPr>
          <w:ilvl w:val="0"/>
          <w:numId w:val="7"/>
        </w:numPr>
      </w:pPr>
      <w:r w:rsidRPr="49957275">
        <w:rPr>
          <w:rFonts w:eastAsia="Calibri"/>
          <w:color w:val="000000" w:themeColor="text1"/>
        </w:rPr>
        <w:t>Continue surveillance to identify additional cases and utilize surveillance data to determine if control measures have interrupted transmission.</w:t>
      </w:r>
    </w:p>
    <w:p w:rsidR="49957275" w:rsidP="49957275" w:rsidRDefault="49957275" w14:paraId="38C1BD7A" w14:textId="61FADC9B">
      <w:pPr>
        <w:pStyle w:val="ListParagraph"/>
        <w:numPr>
          <w:ilvl w:val="0"/>
          <w:numId w:val="7"/>
        </w:numPr>
        <w:rPr>
          <w:color w:val="000000" w:themeColor="text1"/>
        </w:rPr>
      </w:pPr>
      <w:r w:rsidRPr="49957275">
        <w:rPr>
          <w:rFonts w:eastAsia="Calibri"/>
          <w:color w:val="000000" w:themeColor="text1"/>
        </w:rPr>
        <w:t xml:space="preserve">Public health should follow up with facility </w:t>
      </w:r>
      <w:r w:rsidRPr="5C939B98" w:rsidR="5C939B98">
        <w:rPr>
          <w:rFonts w:eastAsia="Calibri"/>
          <w:color w:val="000000" w:themeColor="text1"/>
        </w:rPr>
        <w:t>on a</w:t>
      </w:r>
      <w:r w:rsidRPr="49957275">
        <w:rPr>
          <w:rFonts w:eastAsia="Calibri"/>
          <w:color w:val="000000" w:themeColor="text1"/>
        </w:rPr>
        <w:t xml:space="preserve"> </w:t>
      </w:r>
      <w:r w:rsidRPr="49957275">
        <w:rPr>
          <w:rFonts w:eastAsia="Calibri"/>
          <w:color w:val="000000" w:themeColor="text1"/>
        </w:rPr>
        <w:t xml:space="preserve">weekly </w:t>
      </w:r>
      <w:r w:rsidRPr="5C939B98" w:rsidR="5C939B98">
        <w:rPr>
          <w:rFonts w:eastAsia="Calibri"/>
          <w:color w:val="000000" w:themeColor="text1"/>
        </w:rPr>
        <w:t xml:space="preserve">basis </w:t>
      </w:r>
      <w:r w:rsidRPr="3CC2BDBF" w:rsidR="3CC2BDBF">
        <w:rPr>
          <w:rFonts w:eastAsia="Calibri"/>
          <w:color w:val="000000" w:themeColor="text1"/>
        </w:rPr>
        <w:t xml:space="preserve">(e.g., </w:t>
      </w:r>
      <w:r w:rsidRPr="6A3AF3DD" w:rsidR="6A3AF3DD">
        <w:rPr>
          <w:rFonts w:eastAsia="Calibri"/>
          <w:color w:val="000000" w:themeColor="text1"/>
        </w:rPr>
        <w:t>telephone or email contact) to</w:t>
      </w:r>
      <w:r w:rsidRPr="49957275">
        <w:rPr>
          <w:rFonts w:eastAsia="Calibri"/>
          <w:color w:val="000000" w:themeColor="text1"/>
        </w:rPr>
        <w:t xml:space="preserve"> monitor </w:t>
      </w:r>
      <w:r w:rsidRPr="198809AD" w:rsidR="198809AD">
        <w:rPr>
          <w:rFonts w:eastAsia="Calibri"/>
          <w:color w:val="000000" w:themeColor="text1"/>
        </w:rPr>
        <w:t xml:space="preserve">for </w:t>
      </w:r>
      <w:r w:rsidRPr="5B130360" w:rsidR="5B130360">
        <w:rPr>
          <w:rFonts w:eastAsia="Calibri"/>
          <w:color w:val="000000" w:themeColor="text1"/>
        </w:rPr>
        <w:t>additional</w:t>
      </w:r>
      <w:r w:rsidRPr="198809AD" w:rsidR="198809AD">
        <w:rPr>
          <w:rFonts w:eastAsia="Calibri"/>
          <w:color w:val="000000" w:themeColor="text1"/>
        </w:rPr>
        <w:t xml:space="preserve"> cases </w:t>
      </w:r>
      <w:r w:rsidRPr="198809AD" w:rsidR="00763BE7">
        <w:rPr>
          <w:rFonts w:eastAsia="Calibri"/>
          <w:color w:val="000000" w:themeColor="text1"/>
        </w:rPr>
        <w:t xml:space="preserve">and </w:t>
      </w:r>
      <w:r w:rsidRPr="5B130360" w:rsidR="00763BE7">
        <w:rPr>
          <w:rFonts w:eastAsia="Calibri"/>
          <w:color w:val="000000" w:themeColor="text1"/>
        </w:rPr>
        <w:t>assess</w:t>
      </w:r>
      <w:bookmarkStart w:name="_GoBack" w:id="4"/>
      <w:bookmarkEnd w:id="4"/>
      <w:r w:rsidRPr="64535D9A" w:rsidR="64535D9A">
        <w:rPr>
          <w:rFonts w:eastAsia="Calibri"/>
          <w:color w:val="000000" w:themeColor="text1"/>
        </w:rPr>
        <w:t xml:space="preserve"> </w:t>
      </w:r>
      <w:r w:rsidRPr="5B130360" w:rsidR="5B130360">
        <w:rPr>
          <w:rFonts w:eastAsia="Calibri"/>
          <w:color w:val="000000" w:themeColor="text1"/>
        </w:rPr>
        <w:t>implementation</w:t>
      </w:r>
      <w:r w:rsidRPr="49957275">
        <w:rPr>
          <w:rFonts w:eastAsia="Calibri"/>
          <w:color w:val="000000" w:themeColor="text1"/>
        </w:rPr>
        <w:t xml:space="preserve"> of mitigation measures.</w:t>
      </w:r>
    </w:p>
    <w:p w:rsidR="49957275" w:rsidP="49957275" w:rsidRDefault="49957275" w14:paraId="57C2F565" w14:textId="024B9DEE">
      <w:pPr>
        <w:pStyle w:val="ListParagraph"/>
        <w:numPr>
          <w:ilvl w:val="0"/>
          <w:numId w:val="7"/>
        </w:numPr>
        <w:rPr/>
      </w:pPr>
      <w:r w:rsidRPr="3038F58C" w:rsidR="3038F58C">
        <w:rPr>
          <w:rFonts w:eastAsia="Calibri"/>
          <w:color w:val="000000" w:themeColor="text1" w:themeTint="FF" w:themeShade="FF"/>
        </w:rPr>
        <w:t>If after 4 weeks there are no further cases, consider concluding the investigation.</w:t>
      </w:r>
    </w:p>
    <w:p w:rsidRPr="00E24481" w:rsidR="00810982" w:rsidP="00810982" w:rsidRDefault="00810982" w14:paraId="6A96806E" w14:textId="3F61DBBB">
      <w:pPr>
        <w:pStyle w:val="paragraph"/>
        <w:spacing w:before="0" w:beforeAutospacing="0" w:after="0" w:afterAutospacing="0"/>
        <w:ind w:left="720"/>
        <w:rPr>
          <w:rFonts w:asciiTheme="minorHAnsi" w:hAnsiTheme="minorHAnsi" w:cstheme="minorHAnsi"/>
          <w:sz w:val="22"/>
          <w:szCs w:val="22"/>
          <w:u w:val="single"/>
        </w:rPr>
      </w:pPr>
      <w:r w:rsidRPr="00E24481">
        <w:rPr>
          <w:rStyle w:val="eop"/>
          <w:rFonts w:asciiTheme="minorHAnsi" w:hAnsiTheme="minorHAnsi" w:cstheme="minorHAnsi"/>
          <w:sz w:val="22"/>
          <w:szCs w:val="22"/>
          <w:u w:val="single"/>
        </w:rPr>
        <w:t>Antimicrobial Stewardship</w:t>
      </w:r>
    </w:p>
    <w:p w:rsidRPr="00E24481" w:rsidR="008E65E7" w:rsidP="00A90A82" w:rsidRDefault="14D7E0A5" w14:paraId="3E6D471A" w14:textId="77DBDF23">
      <w:pPr>
        <w:pStyle w:val="ListParagraph"/>
        <w:numPr>
          <w:ilvl w:val="0"/>
          <w:numId w:val="7"/>
        </w:numPr>
        <w:rPr>
          <w:rFonts w:cstheme="minorHAnsi"/>
        </w:rPr>
      </w:pPr>
      <w:r w:rsidRPr="00E24481">
        <w:rPr>
          <w:rFonts w:eastAsia="Calibri" w:cstheme="minorHAnsi"/>
          <w:color w:val="000000" w:themeColor="text1"/>
        </w:rPr>
        <w:t>A strong</w:t>
      </w:r>
      <w:r w:rsidRPr="00E24481" w:rsidR="004D15F2">
        <w:rPr>
          <w:rFonts w:eastAsia="Calibri" w:cstheme="minorHAnsi"/>
          <w:color w:val="000000" w:themeColor="text1"/>
        </w:rPr>
        <w:t xml:space="preserve"> antimicrobial stewardship </w:t>
      </w:r>
      <w:r w:rsidRPr="00E24481">
        <w:rPr>
          <w:rFonts w:eastAsia="Calibri" w:cstheme="minorHAnsi"/>
          <w:color w:val="000000" w:themeColor="text1"/>
        </w:rPr>
        <w:t xml:space="preserve">program is a key to preventing outbreaks of CDI. </w:t>
      </w:r>
    </w:p>
    <w:p w:rsidRPr="00E24481" w:rsidR="00A90A82" w:rsidP="49957275" w:rsidRDefault="49957275" w14:paraId="152ADC7B" w14:textId="6CBA4900">
      <w:pPr>
        <w:pStyle w:val="ListParagraph"/>
        <w:numPr>
          <w:ilvl w:val="0"/>
          <w:numId w:val="7"/>
        </w:numPr>
      </w:pPr>
      <w:r w:rsidRPr="49957275">
        <w:rPr>
          <w:rFonts w:eastAsia="Calibri"/>
          <w:color w:val="000000" w:themeColor="text1"/>
        </w:rPr>
        <w:lastRenderedPageBreak/>
        <w:t xml:space="preserve">If an outbreak does occur, conduct additional review </w:t>
      </w:r>
      <w:r w:rsidRPr="38056976" w:rsidR="38056976">
        <w:rPr>
          <w:rFonts w:eastAsia="Calibri"/>
          <w:color w:val="000000" w:themeColor="text1"/>
        </w:rPr>
        <w:t xml:space="preserve">of </w:t>
      </w:r>
      <w:r w:rsidRPr="49957275">
        <w:rPr>
          <w:rFonts w:eastAsia="Calibri"/>
          <w:color w:val="000000" w:themeColor="text1"/>
        </w:rPr>
        <w:t xml:space="preserve">antibiotic prescribing practices to identify opportunities to improve overall stewardship to optimize the frequency and duration of antimicrobial therapy and the number of antimicrobial agents prescribed. </w:t>
      </w:r>
    </w:p>
    <w:p w:rsidRPr="00E24481" w:rsidR="00B569C2" w:rsidP="00A90A82" w:rsidRDefault="00A90A82" w14:paraId="57E87143" w14:textId="08AE64B1">
      <w:pPr>
        <w:pStyle w:val="ListParagraph"/>
        <w:numPr>
          <w:ilvl w:val="0"/>
          <w:numId w:val="7"/>
        </w:numPr>
        <w:rPr>
          <w:rFonts w:cstheme="minorHAnsi"/>
        </w:rPr>
      </w:pPr>
      <w:r w:rsidRPr="00E24481">
        <w:rPr>
          <w:rFonts w:eastAsia="Calibri" w:cstheme="minorHAnsi"/>
          <w:color w:val="000000" w:themeColor="text1"/>
        </w:rPr>
        <w:t>W</w:t>
      </w:r>
      <w:r w:rsidRPr="00E24481" w:rsidR="14D7E0A5">
        <w:rPr>
          <w:rFonts w:eastAsia="Calibri" w:cstheme="minorHAnsi"/>
          <w:color w:val="000000" w:themeColor="text1"/>
        </w:rPr>
        <w:t xml:space="preserve">ork with staff from the AS program </w:t>
      </w:r>
      <w:r w:rsidRPr="00E24481" w:rsidR="007B74A0">
        <w:rPr>
          <w:rFonts w:eastAsia="Calibri" w:cstheme="minorHAnsi"/>
          <w:color w:val="000000" w:themeColor="text1"/>
        </w:rPr>
        <w:t xml:space="preserve">to review CDI cases </w:t>
      </w:r>
      <w:r w:rsidRPr="00E24481" w:rsidR="00E336B0">
        <w:rPr>
          <w:rFonts w:eastAsia="Calibri" w:cstheme="minorHAnsi"/>
          <w:color w:val="000000" w:themeColor="text1"/>
        </w:rPr>
        <w:t>to opt</w:t>
      </w:r>
      <w:r w:rsidRPr="00E24481" w:rsidR="009F037A">
        <w:rPr>
          <w:rFonts w:eastAsia="Calibri" w:cstheme="minorHAnsi"/>
          <w:color w:val="000000" w:themeColor="text1"/>
        </w:rPr>
        <w:t>imize management and discontinue</w:t>
      </w:r>
      <w:r w:rsidRPr="00E24481">
        <w:rPr>
          <w:rFonts w:eastAsia="Calibri" w:cstheme="minorHAnsi"/>
          <w:color w:val="000000" w:themeColor="text1"/>
        </w:rPr>
        <w:t xml:space="preserve"> inciting antibiotics.</w:t>
      </w:r>
    </w:p>
    <w:p w:rsidRPr="00E24481" w:rsidR="264D7CA1" w:rsidP="264D7CA1" w:rsidRDefault="264D7CA1" w14:paraId="61554221" w14:textId="1DE39B4A">
      <w:pPr>
        <w:spacing w:after="0" w:line="240" w:lineRule="auto"/>
        <w:ind w:firstLine="360"/>
        <w:rPr>
          <w:rFonts w:cstheme="minorHAnsi"/>
        </w:rPr>
      </w:pPr>
      <w:r w:rsidRPr="00E24481">
        <w:rPr>
          <w:rStyle w:val="eop"/>
          <w:rFonts w:cstheme="minorHAnsi"/>
        </w:rPr>
        <w:t> </w:t>
      </w:r>
    </w:p>
    <w:p w:rsidRPr="00E24481" w:rsidR="264D7CA1" w:rsidP="264D7CA1" w:rsidRDefault="264D7CA1" w14:paraId="3AA972C6" w14:textId="3F5D78BD">
      <w:pPr>
        <w:spacing w:after="0" w:line="240" w:lineRule="auto"/>
        <w:ind w:firstLine="360"/>
        <w:rPr>
          <w:rFonts w:eastAsia="Arial" w:cstheme="minorHAnsi"/>
        </w:rPr>
      </w:pPr>
      <w:r w:rsidRPr="00E24481">
        <w:rPr>
          <w:rFonts w:eastAsia="Arial" w:cstheme="minorHAnsi"/>
        </w:rPr>
        <w:t xml:space="preserve">B. Investigation and Control Resources </w:t>
      </w:r>
    </w:p>
    <w:p w:rsidRPr="00E24481" w:rsidR="264D7CA1" w:rsidP="264D7CA1" w:rsidRDefault="264D7CA1" w14:paraId="3B352A58" w14:textId="586DCE49">
      <w:pPr>
        <w:spacing w:after="0" w:line="240" w:lineRule="auto"/>
        <w:ind w:firstLine="360"/>
        <w:rPr>
          <w:rFonts w:eastAsia="Arial" w:cstheme="minorHAnsi"/>
        </w:rPr>
      </w:pPr>
    </w:p>
    <w:p w:rsidRPr="00E24481" w:rsidR="264D7CA1" w:rsidP="264D7CA1" w:rsidRDefault="264D7CA1" w14:paraId="2516415F" w14:textId="1B6106DC">
      <w:pPr>
        <w:spacing w:after="0" w:line="240" w:lineRule="auto"/>
        <w:ind w:firstLine="360"/>
        <w:rPr>
          <w:rFonts w:eastAsia="Arial" w:cstheme="minorHAnsi"/>
        </w:rPr>
      </w:pPr>
      <w:r w:rsidRPr="00E24481">
        <w:rPr>
          <w:rFonts w:eastAsia="Arial" w:cstheme="minorHAnsi"/>
        </w:rPr>
        <w:t>[see Scabies table for examples of specific investigation resources (e.g. line lists)]</w:t>
      </w:r>
    </w:p>
    <w:p w:rsidRPr="00E24481" w:rsidR="264D7CA1" w:rsidP="264D7CA1" w:rsidRDefault="264D7CA1" w14:paraId="5979FF53" w14:textId="2D249C66">
      <w:pPr>
        <w:pStyle w:val="paragraph"/>
        <w:spacing w:before="0" w:beforeAutospacing="0" w:after="0" w:afterAutospacing="0"/>
        <w:rPr>
          <w:rStyle w:val="eop"/>
          <w:rFonts w:asciiTheme="minorHAnsi" w:hAnsiTheme="minorHAnsi" w:cstheme="minorHAnsi"/>
          <w:sz w:val="22"/>
          <w:szCs w:val="22"/>
        </w:rPr>
      </w:pPr>
    </w:p>
    <w:p w:rsidRPr="00E24481" w:rsidR="002C7219" w:rsidP="264D7CA1" w:rsidRDefault="264D7CA1" w14:paraId="2D011589" w14:textId="77777777">
      <w:pPr>
        <w:pStyle w:val="paragraph"/>
        <w:spacing w:before="0" w:beforeAutospacing="0" w:after="0" w:afterAutospacing="0"/>
        <w:textAlignment w:val="baseline"/>
        <w:rPr>
          <w:rFonts w:asciiTheme="minorHAnsi" w:hAnsiTheme="minorHAnsi" w:cstheme="minorHAnsi"/>
          <w:sz w:val="22"/>
          <w:szCs w:val="22"/>
        </w:rPr>
      </w:pPr>
      <w:r w:rsidRPr="00E24481">
        <w:rPr>
          <w:rStyle w:val="normaltextrun"/>
          <w:rFonts w:asciiTheme="minorHAnsi" w:hAnsiTheme="minorHAnsi" w:cstheme="minorHAnsi"/>
          <w:sz w:val="22"/>
          <w:szCs w:val="22"/>
        </w:rPr>
        <w:t xml:space="preserve">5. </w:t>
      </w:r>
      <w:commentRangeStart w:id="5"/>
      <w:r w:rsidRPr="00E24481">
        <w:rPr>
          <w:rStyle w:val="normaltextrun"/>
          <w:rFonts w:asciiTheme="minorHAnsi" w:hAnsiTheme="minorHAnsi" w:cstheme="minorHAnsi"/>
          <w:b/>
          <w:bCs/>
          <w:sz w:val="22"/>
          <w:szCs w:val="22"/>
        </w:rPr>
        <w:t>Other recommended resources/key references</w:t>
      </w:r>
      <w:r w:rsidRPr="00E24481">
        <w:rPr>
          <w:rStyle w:val="normaltextrun"/>
          <w:rFonts w:asciiTheme="minorHAnsi" w:hAnsiTheme="minorHAnsi" w:cstheme="minorHAnsi"/>
          <w:sz w:val="22"/>
          <w:szCs w:val="22"/>
        </w:rPr>
        <w:t xml:space="preserve"> [WG-A+B]</w:t>
      </w:r>
      <w:r w:rsidRPr="00E24481">
        <w:rPr>
          <w:rStyle w:val="eop"/>
          <w:rFonts w:asciiTheme="minorHAnsi" w:hAnsiTheme="minorHAnsi" w:cstheme="minorHAnsi"/>
          <w:sz w:val="22"/>
          <w:szCs w:val="22"/>
        </w:rPr>
        <w:t> </w:t>
      </w:r>
    </w:p>
    <w:p w:rsidRPr="00E24481" w:rsidR="264D7CA1" w:rsidP="264D7CA1" w:rsidRDefault="00307767" w14:paraId="5106C37C" w14:textId="07113A0B">
      <w:pPr>
        <w:pStyle w:val="paragraph"/>
        <w:spacing w:before="0" w:beforeAutospacing="0" w:after="0" w:afterAutospacing="0"/>
        <w:rPr>
          <w:rStyle w:val="eop"/>
          <w:rFonts w:asciiTheme="minorHAnsi" w:hAnsiTheme="minorHAnsi" w:cstheme="minorHAnsi"/>
          <w:sz w:val="22"/>
          <w:szCs w:val="22"/>
        </w:rPr>
      </w:pPr>
      <w:commentRangeEnd w:id="5"/>
      <w:r w:rsidRPr="00E24481">
        <w:rPr>
          <w:rStyle w:val="CommentReference"/>
          <w:rFonts w:asciiTheme="minorHAnsi" w:hAnsiTheme="minorHAnsi" w:eastAsiaTheme="minorHAnsi" w:cstheme="minorHAnsi"/>
          <w:sz w:val="22"/>
          <w:szCs w:val="22"/>
        </w:rPr>
        <w:commentReference w:id="5"/>
      </w:r>
    </w:p>
    <w:p w:rsidRPr="00E24481" w:rsidR="5D2CD5C8" w:rsidP="5D2CD5C8" w:rsidRDefault="5D2CD5C8" w14:paraId="5CD73793" w14:textId="4AA4F5AE">
      <w:pPr>
        <w:pStyle w:val="ListParagraph"/>
        <w:numPr>
          <w:ilvl w:val="0"/>
          <w:numId w:val="6"/>
        </w:numPr>
        <w:rPr>
          <w:rFonts w:cstheme="minorHAnsi"/>
        </w:rPr>
      </w:pPr>
      <w:r w:rsidRPr="00E24481">
        <w:rPr>
          <w:rFonts w:cstheme="minorHAnsi"/>
        </w:rPr>
        <w:t xml:space="preserve">Cohen, Stuart H., et al. “Clinical Practice Guidelines for </w:t>
      </w:r>
      <w:r w:rsidRPr="00E24481">
        <w:rPr>
          <w:rFonts w:cstheme="minorHAnsi"/>
          <w:i/>
          <w:iCs/>
        </w:rPr>
        <w:t>Clostridium difficile</w:t>
      </w:r>
      <w:r w:rsidRPr="00E24481">
        <w:rPr>
          <w:rFonts w:cstheme="minorHAnsi"/>
        </w:rPr>
        <w:t xml:space="preserve"> Infection in Adults: 2010 Update by the Society for Healthcare Epidemiology of America (SHEA) and the Infectious Diseases Society of America (IDSA).” </w:t>
      </w:r>
      <w:r w:rsidRPr="00E24481">
        <w:rPr>
          <w:rFonts w:cstheme="minorHAnsi"/>
          <w:i/>
          <w:iCs/>
        </w:rPr>
        <w:t>Infection Control and Hospital Epidemiology</w:t>
      </w:r>
      <w:r w:rsidRPr="00E24481">
        <w:rPr>
          <w:rFonts w:cstheme="minorHAnsi"/>
        </w:rPr>
        <w:t xml:space="preserve">, vol. 31, no. 5, 2010, pp. 431–455. </w:t>
      </w:r>
      <w:r w:rsidRPr="00E24481">
        <w:rPr>
          <w:rFonts w:cstheme="minorHAnsi"/>
          <w:i/>
          <w:iCs/>
        </w:rPr>
        <w:t>JSTOR</w:t>
      </w:r>
      <w:r w:rsidRPr="00E24481">
        <w:rPr>
          <w:rFonts w:cstheme="minorHAnsi"/>
        </w:rPr>
        <w:t xml:space="preserve">, JSTOR, </w:t>
      </w:r>
      <w:hyperlink r:id="rId11">
        <w:r w:rsidRPr="00E24481">
          <w:rPr>
            <w:rStyle w:val="Hyperlink"/>
            <w:rFonts w:cstheme="minorHAnsi"/>
          </w:rPr>
          <w:t>www.jstor.org/stable/10.1086/651706</w:t>
        </w:r>
      </w:hyperlink>
      <w:r w:rsidRPr="00E24481">
        <w:rPr>
          <w:rFonts w:cstheme="minorHAnsi"/>
        </w:rPr>
        <w:t>.</w:t>
      </w:r>
    </w:p>
    <w:p w:rsidRPr="00E24481" w:rsidR="5D2CD5C8" w:rsidP="5D2CD5C8" w:rsidRDefault="5D2CD5C8" w14:paraId="53819696" w14:textId="010FFF83">
      <w:pPr>
        <w:pStyle w:val="ListParagraph"/>
        <w:numPr>
          <w:ilvl w:val="0"/>
          <w:numId w:val="6"/>
        </w:numPr>
        <w:rPr>
          <w:rFonts w:cstheme="minorHAnsi"/>
        </w:rPr>
      </w:pPr>
      <w:r w:rsidRPr="00E24481">
        <w:rPr>
          <w:rFonts w:cstheme="minorHAnsi"/>
        </w:rPr>
        <w:t xml:space="preserve">Dubberke, E., Carling, P., Carrico, R., Donskey, </w:t>
      </w:r>
      <w:r w:rsidRPr="00E24481" w:rsidR="007F56F2">
        <w:rPr>
          <w:rFonts w:cstheme="minorHAnsi"/>
        </w:rPr>
        <w:t>C., Loo, V., McDonald, L.,</w:t>
      </w:r>
      <w:r w:rsidRPr="00E24481">
        <w:rPr>
          <w:rFonts w:cstheme="minorHAnsi"/>
        </w:rPr>
        <w:t xml:space="preserve"> Gerding, D. (2014). Strategies to Prevent</w:t>
      </w:r>
      <w:r w:rsidRPr="00E24481">
        <w:rPr>
          <w:rFonts w:cstheme="minorHAnsi"/>
          <w:i/>
          <w:iCs/>
        </w:rPr>
        <w:t xml:space="preserve"> Clostridium difficile</w:t>
      </w:r>
      <w:r w:rsidRPr="00E24481">
        <w:rPr>
          <w:rFonts w:cstheme="minorHAnsi"/>
        </w:rPr>
        <w:t xml:space="preserve"> Infections in Acute Care Hospitals: 2014 Update. </w:t>
      </w:r>
      <w:r w:rsidRPr="00E24481">
        <w:rPr>
          <w:rFonts w:cstheme="minorHAnsi"/>
          <w:i/>
          <w:iCs/>
        </w:rPr>
        <w:t>Infection Control &amp; Hospital Epidemiology,</w:t>
      </w:r>
      <w:r w:rsidRPr="00E24481">
        <w:rPr>
          <w:rFonts w:cstheme="minorHAnsi"/>
        </w:rPr>
        <w:t xml:space="preserve"> </w:t>
      </w:r>
      <w:r w:rsidRPr="00E24481">
        <w:rPr>
          <w:rFonts w:cstheme="minorHAnsi"/>
          <w:i/>
          <w:iCs/>
        </w:rPr>
        <w:t>35</w:t>
      </w:r>
      <w:r w:rsidRPr="00E24481">
        <w:rPr>
          <w:rFonts w:cstheme="minorHAnsi"/>
        </w:rPr>
        <w:t>(S2), S48-S65. doi:10.1017/S0899823X00193857.</w:t>
      </w:r>
    </w:p>
    <w:p w:rsidRPr="00E24481" w:rsidR="5D2CD5C8" w:rsidP="5D2CD5C8" w:rsidRDefault="5D2CD5C8" w14:paraId="45DBEE32" w14:textId="3CF787DD">
      <w:pPr>
        <w:pStyle w:val="ListParagraph"/>
        <w:numPr>
          <w:ilvl w:val="0"/>
          <w:numId w:val="6"/>
        </w:numPr>
        <w:rPr>
          <w:rFonts w:cstheme="minorHAnsi"/>
        </w:rPr>
      </w:pPr>
      <w:r w:rsidRPr="00E24481">
        <w:rPr>
          <w:rFonts w:eastAsiaTheme="minorEastAsia" w:cstheme="minorHAnsi"/>
        </w:rPr>
        <w:t xml:space="preserve">Association of Practitioners in Infection Control. </w:t>
      </w:r>
      <w:r w:rsidRPr="00E24481">
        <w:rPr>
          <w:rFonts w:eastAsiaTheme="minorEastAsia" w:cstheme="minorHAnsi"/>
          <w:i/>
          <w:iCs/>
        </w:rPr>
        <w:t>Guide to Preventing C. difficile Infections</w:t>
      </w:r>
      <w:r w:rsidRPr="00E24481">
        <w:rPr>
          <w:rFonts w:eastAsiaTheme="minorEastAsia" w:cstheme="minorHAnsi"/>
        </w:rPr>
        <w:t xml:space="preserve">. </w:t>
      </w:r>
      <w:hyperlink r:id="rId12">
        <w:r w:rsidRPr="00E24481">
          <w:rPr>
            <w:rStyle w:val="Hyperlink"/>
            <w:rFonts w:eastAsiaTheme="minorEastAsia" w:cstheme="minorHAnsi"/>
            <w:color w:val="0000FF"/>
          </w:rPr>
          <w:t>http://apic.org/Resource_/EliminationGuideForm/59397fc6-3f90-43d1-9325-e8be75d86888/File/2013CDiffFinal.pdf</w:t>
        </w:r>
      </w:hyperlink>
      <w:r w:rsidRPr="00E24481">
        <w:rPr>
          <w:rFonts w:cstheme="minorHAnsi"/>
        </w:rPr>
        <w:t>.</w:t>
      </w:r>
    </w:p>
    <w:p w:rsidRPr="00E24481" w:rsidR="5D2CD5C8" w:rsidP="264D7CA1" w:rsidRDefault="264D7CA1" w14:paraId="549E547D" w14:textId="67A5B67F">
      <w:pPr>
        <w:pStyle w:val="ListParagraph"/>
        <w:numPr>
          <w:ilvl w:val="0"/>
          <w:numId w:val="6"/>
        </w:numPr>
        <w:rPr>
          <w:rFonts w:cstheme="minorHAnsi"/>
        </w:rPr>
      </w:pPr>
      <w:r w:rsidRPr="00E24481">
        <w:rPr>
          <w:rFonts w:eastAsiaTheme="minorEastAsia" w:cstheme="minorHAnsi"/>
        </w:rPr>
        <w:t xml:space="preserve">Gould C, McDonald C. </w:t>
      </w:r>
      <w:r w:rsidRPr="00E24481">
        <w:rPr>
          <w:rFonts w:eastAsiaTheme="minorEastAsia" w:cstheme="minorHAnsi"/>
          <w:i/>
          <w:iCs/>
        </w:rPr>
        <w:t xml:space="preserve">Clostridium difficile </w:t>
      </w:r>
      <w:r w:rsidRPr="00E24481">
        <w:rPr>
          <w:rFonts w:eastAsiaTheme="minorEastAsia" w:cstheme="minorHAnsi"/>
        </w:rPr>
        <w:t>(CDI) Infections Toolkit Activity C: ELC Prevention Collaboratives. Division of Healthcare Quality Promotion, Centers for Disease Control and Prevention.</w:t>
      </w:r>
    </w:p>
    <w:p w:rsidRPr="00E24481" w:rsidR="5D2CD5C8" w:rsidP="264D7CA1" w:rsidRDefault="264D7CA1" w14:paraId="7EF42396" w14:textId="2D7B3404">
      <w:pPr>
        <w:pStyle w:val="ListParagraph"/>
        <w:numPr>
          <w:ilvl w:val="0"/>
          <w:numId w:val="6"/>
        </w:numPr>
        <w:rPr>
          <w:rFonts w:cstheme="minorHAnsi"/>
        </w:rPr>
      </w:pPr>
      <w:r w:rsidRPr="00E24481">
        <w:rPr>
          <w:rFonts w:cstheme="minorHAnsi"/>
        </w:rPr>
        <w:t xml:space="preserve">Greater New York Hospital Association. Reducing </w:t>
      </w:r>
      <w:r w:rsidRPr="00E24481">
        <w:rPr>
          <w:rFonts w:cstheme="minorHAnsi"/>
          <w:i/>
          <w:iCs/>
        </w:rPr>
        <w:t>C. difficile</w:t>
      </w:r>
      <w:r w:rsidRPr="00E24481">
        <w:rPr>
          <w:rFonts w:cstheme="minorHAnsi"/>
        </w:rPr>
        <w:t xml:space="preserve"> infections toolkit.</w:t>
      </w:r>
    </w:p>
    <w:p w:rsidRPr="00E24481" w:rsidR="5D2CD5C8" w:rsidP="5D2CD5C8" w:rsidRDefault="5D2CD5C8" w14:paraId="26765C1D" w14:textId="2DAEDD84">
      <w:pPr>
        <w:pStyle w:val="ListParagraph"/>
        <w:numPr>
          <w:ilvl w:val="0"/>
          <w:numId w:val="6"/>
        </w:numPr>
        <w:rPr>
          <w:rFonts w:cstheme="minorHAnsi"/>
        </w:rPr>
      </w:pPr>
      <w:r w:rsidRPr="00E24481">
        <w:rPr>
          <w:rFonts w:cstheme="minorHAnsi"/>
        </w:rPr>
        <w:t xml:space="preserve">Massachusetts Department of Health. Infection Prevention in Long Term Care </w:t>
      </w:r>
      <w:r w:rsidRPr="00E24481">
        <w:rPr>
          <w:rFonts w:cstheme="minorHAnsi"/>
          <w:i/>
          <w:iCs/>
        </w:rPr>
        <w:t>Clostridium difficile</w:t>
      </w:r>
      <w:r w:rsidRPr="00E24481">
        <w:rPr>
          <w:rFonts w:cstheme="minorHAnsi"/>
        </w:rPr>
        <w:t xml:space="preserve"> (</w:t>
      </w:r>
      <w:r w:rsidRPr="00E24481">
        <w:rPr>
          <w:rFonts w:cstheme="minorHAnsi"/>
          <w:i/>
          <w:iCs/>
        </w:rPr>
        <w:t>C. difficile</w:t>
      </w:r>
      <w:r w:rsidRPr="00E24481">
        <w:rPr>
          <w:rFonts w:cstheme="minorHAnsi"/>
        </w:rPr>
        <w:t>).</w:t>
      </w:r>
    </w:p>
    <w:p w:rsidRPr="00E24481" w:rsidR="5D2CD5C8" w:rsidP="5D2CD5C8" w:rsidRDefault="5D2CD5C8" w14:paraId="1940C80A" w14:textId="3500CD0E">
      <w:pPr>
        <w:rPr>
          <w:rFonts w:cstheme="minorHAnsi"/>
        </w:rPr>
      </w:pPr>
    </w:p>
    <w:sectPr w:rsidRPr="00E24481" w:rsidR="5D2CD5C8" w:rsidSect="005576FC">
      <w:headerReference w:type="default" r:id="rId13"/>
      <w:footerReference w:type="default" r:id="rId14"/>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nitials="MA" w:author="Michael Anderson" w:date="2018-04-27T11:24:00Z" w:id="5">
    <w:p w:rsidR="00307767" w:rsidP="00307767" w:rsidRDefault="00307767" w14:paraId="0437D718" w14:textId="77777777">
      <w:pPr>
        <w:pStyle w:val="CommentText"/>
      </w:pPr>
      <w:r>
        <w:rPr>
          <w:rStyle w:val="CommentReference"/>
        </w:rPr>
        <w:annotationRef/>
      </w:r>
      <w:r>
        <w:t>Preeta: Consider adding</w:t>
      </w:r>
    </w:p>
    <w:p w:rsidR="00307767" w:rsidP="00307767" w:rsidRDefault="00307767" w14:paraId="6D43585B" w14:textId="77777777">
      <w:pPr>
        <w:pStyle w:val="CommentText"/>
        <w:numPr>
          <w:ilvl w:val="0"/>
          <w:numId w:val="13"/>
        </w:numPr>
      </w:pPr>
      <w:r>
        <w:t>IDSA 2017 Update CPG for adults and pediatrics</w:t>
      </w:r>
    </w:p>
    <w:p w:rsidR="00307767" w:rsidP="00307767" w:rsidRDefault="00307767" w14:paraId="4BA19471" w14:textId="77777777">
      <w:pPr>
        <w:pStyle w:val="CommentText"/>
        <w:numPr>
          <w:ilvl w:val="0"/>
          <w:numId w:val="13"/>
        </w:numPr>
      </w:pPr>
      <w:r>
        <w:t>SHEA Contact Precautions</w:t>
      </w:r>
    </w:p>
    <w:p w:rsidR="00307767" w:rsidP="00307767" w:rsidRDefault="00307767" w14:paraId="10C896C9" w14:textId="77777777">
      <w:pPr>
        <w:pStyle w:val="CommentText"/>
        <w:numPr>
          <w:ilvl w:val="0"/>
          <w:numId w:val="13"/>
        </w:numPr>
      </w:pPr>
      <w:r>
        <w:t>TAP on CDC</w:t>
      </w:r>
    </w:p>
    <w:p w:rsidR="00307767" w:rsidP="00307767" w:rsidRDefault="00307767" w14:paraId="7E0CF2DC" w14:textId="5BCAF531">
      <w:pPr>
        <w:pStyle w:val="CommentText"/>
      </w:pPr>
      <w:r>
        <w:t xml:space="preserve">     -AS for hospitals from CDC</w:t>
      </w:r>
    </w:p>
  </w:comment>
</w:comments>
</file>

<file path=word/commentsExtended.xml><?xml version="1.0" encoding="utf-8"?>
<w15:commentsEx xmlns:mc="http://schemas.openxmlformats.org/markup-compatibility/2006" xmlns:w15="http://schemas.microsoft.com/office/word/2012/wordml" mc:Ignorable="w15">
  <w15:commentEx w15:done="0" w15:paraId="7E0CF2DC"/>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27935F" w16cid:durableId="1E8DBE55"/>
  <w16cid:commentId w16cid:paraId="4173D376" w16cid:durableId="1E8DBD93"/>
  <w16cid:commentId w16cid:paraId="649485B4" w16cid:durableId="1E8DBD2F"/>
  <w16cid:commentId w16cid:paraId="335A74DA" w16cid:durableId="1E8DC0E8"/>
  <w16cid:commentId w16cid:paraId="7E0CF2DC" w16cid:durableId="1E8D86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C37" w:rsidRDefault="00514C37" w14:paraId="60209EF0" w14:textId="77777777">
      <w:pPr>
        <w:spacing w:after="0" w:line="240" w:lineRule="auto"/>
      </w:pPr>
      <w:r>
        <w:separator/>
      </w:r>
    </w:p>
  </w:endnote>
  <w:endnote w:type="continuationSeparator" w:id="0">
    <w:p w:rsidR="00514C37" w:rsidRDefault="00514C37" w14:paraId="2B625598" w14:textId="77777777">
      <w:pPr>
        <w:spacing w:after="0" w:line="240" w:lineRule="auto"/>
      </w:pPr>
      <w:r>
        <w:continuationSeparator/>
      </w:r>
    </w:p>
  </w:endnote>
  <w:endnote w:type="continuationNotice" w:id="1">
    <w:p w:rsidR="00514C37" w:rsidRDefault="00514C37" w14:paraId="54BF8C6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01477B8" w:rsidTr="5CE1C65C" w14:paraId="0FD67B92" w14:textId="77777777">
      <w:tc>
        <w:tcPr>
          <w:tcW w:w="3120" w:type="dxa"/>
        </w:tcPr>
        <w:p w:rsidR="001477B8" w:rsidP="5CE1C65C" w:rsidRDefault="001477B8" w14:paraId="09FFB1D5" w14:textId="2C46AA5D">
          <w:pPr>
            <w:pStyle w:val="Header"/>
            <w:ind w:left="-115"/>
          </w:pPr>
        </w:p>
      </w:tc>
      <w:tc>
        <w:tcPr>
          <w:tcW w:w="3120" w:type="dxa"/>
        </w:tcPr>
        <w:p w:rsidR="001477B8" w:rsidP="5CE1C65C" w:rsidRDefault="001477B8" w14:paraId="790FA79B" w14:textId="3C8FCBA0">
          <w:pPr>
            <w:pStyle w:val="Header"/>
            <w:jc w:val="center"/>
          </w:pPr>
        </w:p>
      </w:tc>
      <w:tc>
        <w:tcPr>
          <w:tcW w:w="3120" w:type="dxa"/>
        </w:tcPr>
        <w:p w:rsidR="001477B8" w:rsidP="5CE1C65C" w:rsidRDefault="001477B8" w14:paraId="4AEEEF7E" w14:textId="1A1AB3FE">
          <w:pPr>
            <w:pStyle w:val="Header"/>
            <w:ind w:right="-115"/>
            <w:jc w:val="right"/>
          </w:pPr>
        </w:p>
      </w:tc>
    </w:tr>
  </w:tbl>
  <w:p w:rsidR="001477B8" w:rsidP="5CE1C65C" w:rsidRDefault="001477B8" w14:paraId="348BD74D" w14:textId="1829E7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C37" w:rsidRDefault="00514C37" w14:paraId="19E4C487" w14:textId="77777777">
      <w:pPr>
        <w:spacing w:after="0" w:line="240" w:lineRule="auto"/>
      </w:pPr>
      <w:r>
        <w:separator/>
      </w:r>
    </w:p>
  </w:footnote>
  <w:footnote w:type="continuationSeparator" w:id="0">
    <w:p w:rsidR="00514C37" w:rsidRDefault="00514C37" w14:paraId="502189F4" w14:textId="77777777">
      <w:pPr>
        <w:spacing w:after="0" w:line="240" w:lineRule="auto"/>
      </w:pPr>
      <w:r>
        <w:continuationSeparator/>
      </w:r>
    </w:p>
  </w:footnote>
  <w:footnote w:type="continuationNotice" w:id="1">
    <w:p w:rsidR="00514C37" w:rsidRDefault="00514C37" w14:paraId="3365691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tbl>
    <w:tblPr>
      <w:tblW w:w="0" w:type="auto"/>
      <w:tblLayout w:type="fixed"/>
      <w:tblLook w:val="04A0" w:firstRow="1" w:lastRow="0" w:firstColumn="1" w:lastColumn="0" w:noHBand="0" w:noVBand="1"/>
    </w:tblPr>
    <w:tblGrid>
      <w:gridCol w:w="3120"/>
      <w:gridCol w:w="3120"/>
      <w:gridCol w:w="3120"/>
    </w:tblGrid>
    <w:tr w:rsidR="001477B8" w:rsidTr="5CE1C65C" w14:paraId="0843D3CA" w14:textId="77777777">
      <w:tc>
        <w:tcPr>
          <w:tcW w:w="3120" w:type="dxa"/>
        </w:tcPr>
        <w:p w:rsidR="001477B8" w:rsidP="003B7175" w:rsidRDefault="001477B8" w14:paraId="6273CE88" w14:textId="0FE8A15F">
          <w:pPr>
            <w:pStyle w:val="Header"/>
            <w:ind w:left="-115"/>
            <w:jc w:val="center"/>
          </w:pPr>
        </w:p>
      </w:tc>
      <w:tc>
        <w:tcPr>
          <w:tcW w:w="3120" w:type="dxa"/>
        </w:tcPr>
        <w:p w:rsidR="001477B8" w:rsidP="5CE1C65C" w:rsidRDefault="001477B8" w14:paraId="5B9DD738" w14:textId="5D034E85">
          <w:pPr>
            <w:pStyle w:val="Header"/>
            <w:jc w:val="center"/>
          </w:pPr>
        </w:p>
      </w:tc>
      <w:tc>
        <w:tcPr>
          <w:tcW w:w="3120" w:type="dxa"/>
        </w:tcPr>
        <w:p w:rsidR="001477B8" w:rsidP="5CE1C65C" w:rsidRDefault="001477B8" w14:paraId="0B2E4368" w14:textId="0482E78B">
          <w:pPr>
            <w:pStyle w:val="Header"/>
            <w:ind w:right="-115"/>
            <w:jc w:val="right"/>
          </w:pPr>
        </w:p>
      </w:tc>
    </w:tr>
  </w:tbl>
  <w:p w:rsidR="001477B8" w:rsidP="5CE1C65C" w:rsidRDefault="001477B8" w14:paraId="36402A1B" w14:textId="62E83A07">
    <w:pPr>
      <w:pStyle w:val="Header"/>
    </w:pPr>
    <w:r>
      <w:rPr>
        <w:noProof/>
      </w:rPr>
      <w:drawing>
        <wp:anchor distT="0" distB="0" distL="114300" distR="114300" simplePos="0" relativeHeight="251658240" behindDoc="0" locked="0" layoutInCell="1" allowOverlap="1" wp14:anchorId="4791DFE7" wp14:editId="346914AA">
          <wp:simplePos x="0" y="0"/>
          <wp:positionH relativeFrom="margin">
            <wp:align>center</wp:align>
          </wp:positionH>
          <wp:positionV relativeFrom="paragraph">
            <wp:posOffset>-580390</wp:posOffset>
          </wp:positionV>
          <wp:extent cx="2590800" cy="647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590800" cy="647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02EC1"/>
    <w:multiLevelType w:val="hybridMultilevel"/>
    <w:tmpl w:val="BE5A0966"/>
    <w:lvl w:ilvl="0" w:tplc="022CD4BA">
      <w:start w:val="1"/>
      <w:numFmt w:val="decimal"/>
      <w:lvlText w:val="%1."/>
      <w:lvlJc w:val="left"/>
      <w:pPr>
        <w:ind w:left="720" w:hanging="360"/>
      </w:pPr>
    </w:lvl>
    <w:lvl w:ilvl="1" w:tplc="61A09BA6">
      <w:start w:val="1"/>
      <w:numFmt w:val="lowerLetter"/>
      <w:lvlText w:val="%2."/>
      <w:lvlJc w:val="left"/>
      <w:pPr>
        <w:ind w:left="1440" w:hanging="360"/>
      </w:pPr>
    </w:lvl>
    <w:lvl w:ilvl="2" w:tplc="AE022194">
      <w:start w:val="1"/>
      <w:numFmt w:val="lowerRoman"/>
      <w:lvlText w:val="%3."/>
      <w:lvlJc w:val="right"/>
      <w:pPr>
        <w:ind w:left="2160" w:hanging="180"/>
      </w:pPr>
    </w:lvl>
    <w:lvl w:ilvl="3" w:tplc="83EC5EEE">
      <w:start w:val="1"/>
      <w:numFmt w:val="decimal"/>
      <w:lvlText w:val="%4."/>
      <w:lvlJc w:val="left"/>
      <w:pPr>
        <w:ind w:left="2880" w:hanging="360"/>
      </w:pPr>
    </w:lvl>
    <w:lvl w:ilvl="4" w:tplc="2ED625BE">
      <w:start w:val="1"/>
      <w:numFmt w:val="lowerLetter"/>
      <w:lvlText w:val="%5."/>
      <w:lvlJc w:val="left"/>
      <w:pPr>
        <w:ind w:left="3600" w:hanging="360"/>
      </w:pPr>
    </w:lvl>
    <w:lvl w:ilvl="5" w:tplc="4CF6D1B0">
      <w:start w:val="1"/>
      <w:numFmt w:val="lowerRoman"/>
      <w:lvlText w:val="%6."/>
      <w:lvlJc w:val="right"/>
      <w:pPr>
        <w:ind w:left="4320" w:hanging="180"/>
      </w:pPr>
    </w:lvl>
    <w:lvl w:ilvl="6" w:tplc="F4A4DCBE">
      <w:start w:val="1"/>
      <w:numFmt w:val="decimal"/>
      <w:lvlText w:val="%7."/>
      <w:lvlJc w:val="left"/>
      <w:pPr>
        <w:ind w:left="5040" w:hanging="360"/>
      </w:pPr>
    </w:lvl>
    <w:lvl w:ilvl="7" w:tplc="FE3277B2">
      <w:start w:val="1"/>
      <w:numFmt w:val="lowerLetter"/>
      <w:lvlText w:val="%8."/>
      <w:lvlJc w:val="left"/>
      <w:pPr>
        <w:ind w:left="5760" w:hanging="360"/>
      </w:pPr>
    </w:lvl>
    <w:lvl w:ilvl="8" w:tplc="664031DE">
      <w:start w:val="1"/>
      <w:numFmt w:val="lowerRoman"/>
      <w:lvlText w:val="%9."/>
      <w:lvlJc w:val="right"/>
      <w:pPr>
        <w:ind w:left="6480" w:hanging="180"/>
      </w:pPr>
    </w:lvl>
  </w:abstractNum>
  <w:abstractNum w:abstractNumId="1" w15:restartNumberingAfterBreak="0">
    <w:nsid w:val="08071D06"/>
    <w:multiLevelType w:val="hybridMultilevel"/>
    <w:tmpl w:val="34F85A08"/>
    <w:lvl w:ilvl="0" w:tplc="54EEC698">
      <w:start w:val="3"/>
      <w:numFmt w:val="decimal"/>
      <w:lvlText w:val="%1."/>
      <w:lvlJc w:val="left"/>
      <w:pPr>
        <w:ind w:left="720" w:hanging="360"/>
      </w:pPr>
    </w:lvl>
    <w:lvl w:ilvl="1" w:tplc="41E09E20">
      <w:start w:val="1"/>
      <w:numFmt w:val="lowerLetter"/>
      <w:lvlText w:val="%2."/>
      <w:lvlJc w:val="left"/>
      <w:pPr>
        <w:ind w:left="1440" w:hanging="360"/>
      </w:pPr>
    </w:lvl>
    <w:lvl w:ilvl="2" w:tplc="B5808E9C">
      <w:start w:val="1"/>
      <w:numFmt w:val="lowerRoman"/>
      <w:lvlText w:val="%3."/>
      <w:lvlJc w:val="right"/>
      <w:pPr>
        <w:ind w:left="2160" w:hanging="180"/>
      </w:pPr>
    </w:lvl>
    <w:lvl w:ilvl="3" w:tplc="63CCF0D6">
      <w:start w:val="1"/>
      <w:numFmt w:val="decimal"/>
      <w:lvlText w:val="%4."/>
      <w:lvlJc w:val="left"/>
      <w:pPr>
        <w:ind w:left="2880" w:hanging="360"/>
      </w:pPr>
    </w:lvl>
    <w:lvl w:ilvl="4" w:tplc="02D02286">
      <w:start w:val="1"/>
      <w:numFmt w:val="lowerLetter"/>
      <w:lvlText w:val="%5."/>
      <w:lvlJc w:val="left"/>
      <w:pPr>
        <w:ind w:left="3600" w:hanging="360"/>
      </w:pPr>
    </w:lvl>
    <w:lvl w:ilvl="5" w:tplc="DACA31BE">
      <w:start w:val="1"/>
      <w:numFmt w:val="lowerRoman"/>
      <w:lvlText w:val="%6."/>
      <w:lvlJc w:val="right"/>
      <w:pPr>
        <w:ind w:left="4320" w:hanging="180"/>
      </w:pPr>
    </w:lvl>
    <w:lvl w:ilvl="6" w:tplc="8F74BA84">
      <w:start w:val="1"/>
      <w:numFmt w:val="decimal"/>
      <w:lvlText w:val="%7."/>
      <w:lvlJc w:val="left"/>
      <w:pPr>
        <w:ind w:left="5040" w:hanging="360"/>
      </w:pPr>
    </w:lvl>
    <w:lvl w:ilvl="7" w:tplc="D7EE51BC">
      <w:start w:val="1"/>
      <w:numFmt w:val="lowerLetter"/>
      <w:lvlText w:val="%8."/>
      <w:lvlJc w:val="left"/>
      <w:pPr>
        <w:ind w:left="5760" w:hanging="360"/>
      </w:pPr>
    </w:lvl>
    <w:lvl w:ilvl="8" w:tplc="0A4676E8">
      <w:start w:val="1"/>
      <w:numFmt w:val="lowerRoman"/>
      <w:lvlText w:val="%9."/>
      <w:lvlJc w:val="right"/>
      <w:pPr>
        <w:ind w:left="6480" w:hanging="180"/>
      </w:pPr>
    </w:lvl>
  </w:abstractNum>
  <w:abstractNum w:abstractNumId="2" w15:restartNumberingAfterBreak="0">
    <w:nsid w:val="096514D8"/>
    <w:multiLevelType w:val="hybridMultilevel"/>
    <w:tmpl w:val="C852739C"/>
    <w:lvl w:ilvl="0" w:tplc="A00A1AD2">
      <w:start w:val="1"/>
      <w:numFmt w:val="bullet"/>
      <w:lvlText w:val=""/>
      <w:lvlJc w:val="left"/>
      <w:pPr>
        <w:ind w:left="720" w:hanging="360"/>
      </w:pPr>
      <w:rPr>
        <w:rFonts w:hint="default" w:ascii="Symbol" w:hAnsi="Symbol"/>
      </w:rPr>
    </w:lvl>
    <w:lvl w:ilvl="1" w:tplc="40569626">
      <w:start w:val="1"/>
      <w:numFmt w:val="bullet"/>
      <w:lvlText w:val="o"/>
      <w:lvlJc w:val="left"/>
      <w:pPr>
        <w:ind w:left="1440" w:hanging="360"/>
      </w:pPr>
      <w:rPr>
        <w:rFonts w:hint="default" w:ascii="Courier New" w:hAnsi="Courier New"/>
      </w:rPr>
    </w:lvl>
    <w:lvl w:ilvl="2" w:tplc="97C83F06">
      <w:start w:val="1"/>
      <w:numFmt w:val="bullet"/>
      <w:lvlText w:val=""/>
      <w:lvlJc w:val="left"/>
      <w:pPr>
        <w:ind w:left="2160" w:hanging="360"/>
      </w:pPr>
      <w:rPr>
        <w:rFonts w:hint="default" w:ascii="Wingdings" w:hAnsi="Wingdings"/>
      </w:rPr>
    </w:lvl>
    <w:lvl w:ilvl="3" w:tplc="1EC6EA08">
      <w:start w:val="1"/>
      <w:numFmt w:val="bullet"/>
      <w:lvlText w:val=""/>
      <w:lvlJc w:val="left"/>
      <w:pPr>
        <w:ind w:left="2880" w:hanging="360"/>
      </w:pPr>
      <w:rPr>
        <w:rFonts w:hint="default" w:ascii="Symbol" w:hAnsi="Symbol"/>
      </w:rPr>
    </w:lvl>
    <w:lvl w:ilvl="4" w:tplc="F9C209E8">
      <w:start w:val="1"/>
      <w:numFmt w:val="bullet"/>
      <w:lvlText w:val="o"/>
      <w:lvlJc w:val="left"/>
      <w:pPr>
        <w:ind w:left="3600" w:hanging="360"/>
      </w:pPr>
      <w:rPr>
        <w:rFonts w:hint="default" w:ascii="Courier New" w:hAnsi="Courier New"/>
      </w:rPr>
    </w:lvl>
    <w:lvl w:ilvl="5" w:tplc="79A8AAD4">
      <w:start w:val="1"/>
      <w:numFmt w:val="bullet"/>
      <w:lvlText w:val=""/>
      <w:lvlJc w:val="left"/>
      <w:pPr>
        <w:ind w:left="4320" w:hanging="360"/>
      </w:pPr>
      <w:rPr>
        <w:rFonts w:hint="default" w:ascii="Wingdings" w:hAnsi="Wingdings"/>
      </w:rPr>
    </w:lvl>
    <w:lvl w:ilvl="6" w:tplc="FAC03C64">
      <w:start w:val="1"/>
      <w:numFmt w:val="bullet"/>
      <w:lvlText w:val=""/>
      <w:lvlJc w:val="left"/>
      <w:pPr>
        <w:ind w:left="5040" w:hanging="360"/>
      </w:pPr>
      <w:rPr>
        <w:rFonts w:hint="default" w:ascii="Symbol" w:hAnsi="Symbol"/>
      </w:rPr>
    </w:lvl>
    <w:lvl w:ilvl="7" w:tplc="37E6E8EE">
      <w:start w:val="1"/>
      <w:numFmt w:val="bullet"/>
      <w:lvlText w:val="o"/>
      <w:lvlJc w:val="left"/>
      <w:pPr>
        <w:ind w:left="5760" w:hanging="360"/>
      </w:pPr>
      <w:rPr>
        <w:rFonts w:hint="default" w:ascii="Courier New" w:hAnsi="Courier New"/>
      </w:rPr>
    </w:lvl>
    <w:lvl w:ilvl="8" w:tplc="881AC2D8">
      <w:start w:val="1"/>
      <w:numFmt w:val="bullet"/>
      <w:lvlText w:val=""/>
      <w:lvlJc w:val="left"/>
      <w:pPr>
        <w:ind w:left="6480" w:hanging="360"/>
      </w:pPr>
      <w:rPr>
        <w:rFonts w:hint="default" w:ascii="Wingdings" w:hAnsi="Wingdings"/>
      </w:rPr>
    </w:lvl>
  </w:abstractNum>
  <w:abstractNum w:abstractNumId="3" w15:restartNumberingAfterBreak="0">
    <w:nsid w:val="122A7D7D"/>
    <w:multiLevelType w:val="multilevel"/>
    <w:tmpl w:val="F6E0AE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1835C7"/>
    <w:multiLevelType w:val="hybridMultilevel"/>
    <w:tmpl w:val="9508B6CC"/>
    <w:lvl w:ilvl="0" w:tplc="5784FD60">
      <w:start w:val="1"/>
      <w:numFmt w:val="upperLetter"/>
      <w:lvlText w:val="%1."/>
      <w:lvlJc w:val="left"/>
      <w:pPr>
        <w:ind w:left="720" w:hanging="360"/>
      </w:pPr>
    </w:lvl>
    <w:lvl w:ilvl="1" w:tplc="07EC2FA0">
      <w:start w:val="1"/>
      <w:numFmt w:val="lowerLetter"/>
      <w:lvlText w:val="%2."/>
      <w:lvlJc w:val="left"/>
      <w:pPr>
        <w:ind w:left="1440" w:hanging="360"/>
      </w:pPr>
    </w:lvl>
    <w:lvl w:ilvl="2" w:tplc="59EAD0EC">
      <w:start w:val="1"/>
      <w:numFmt w:val="lowerRoman"/>
      <w:lvlText w:val="%3."/>
      <w:lvlJc w:val="right"/>
      <w:pPr>
        <w:ind w:left="2160" w:hanging="180"/>
      </w:pPr>
    </w:lvl>
    <w:lvl w:ilvl="3" w:tplc="97A0470C">
      <w:start w:val="1"/>
      <w:numFmt w:val="decimal"/>
      <w:lvlText w:val="%4."/>
      <w:lvlJc w:val="left"/>
      <w:pPr>
        <w:ind w:left="2880" w:hanging="360"/>
      </w:pPr>
    </w:lvl>
    <w:lvl w:ilvl="4" w:tplc="ED568E5E">
      <w:start w:val="1"/>
      <w:numFmt w:val="lowerLetter"/>
      <w:lvlText w:val="%5."/>
      <w:lvlJc w:val="left"/>
      <w:pPr>
        <w:ind w:left="3600" w:hanging="360"/>
      </w:pPr>
    </w:lvl>
    <w:lvl w:ilvl="5" w:tplc="4A5636A2">
      <w:start w:val="1"/>
      <w:numFmt w:val="lowerRoman"/>
      <w:lvlText w:val="%6."/>
      <w:lvlJc w:val="right"/>
      <w:pPr>
        <w:ind w:left="4320" w:hanging="180"/>
      </w:pPr>
    </w:lvl>
    <w:lvl w:ilvl="6" w:tplc="354E52E6">
      <w:start w:val="1"/>
      <w:numFmt w:val="decimal"/>
      <w:lvlText w:val="%7."/>
      <w:lvlJc w:val="left"/>
      <w:pPr>
        <w:ind w:left="5040" w:hanging="360"/>
      </w:pPr>
    </w:lvl>
    <w:lvl w:ilvl="7" w:tplc="CC44C5BC">
      <w:start w:val="1"/>
      <w:numFmt w:val="lowerLetter"/>
      <w:lvlText w:val="%8."/>
      <w:lvlJc w:val="left"/>
      <w:pPr>
        <w:ind w:left="5760" w:hanging="360"/>
      </w:pPr>
    </w:lvl>
    <w:lvl w:ilvl="8" w:tplc="6C72CD8C">
      <w:start w:val="1"/>
      <w:numFmt w:val="lowerRoman"/>
      <w:lvlText w:val="%9."/>
      <w:lvlJc w:val="right"/>
      <w:pPr>
        <w:ind w:left="6480" w:hanging="180"/>
      </w:pPr>
    </w:lvl>
  </w:abstractNum>
  <w:abstractNum w:abstractNumId="5" w15:restartNumberingAfterBreak="0">
    <w:nsid w:val="23EF508A"/>
    <w:multiLevelType w:val="multilevel"/>
    <w:tmpl w:val="23501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88360A"/>
    <w:multiLevelType w:val="hybridMultilevel"/>
    <w:tmpl w:val="CF849A80"/>
    <w:lvl w:ilvl="0" w:tplc="B81EEF9A">
      <w:start w:val="1"/>
      <w:numFmt w:val="upperLetter"/>
      <w:lvlText w:val="%1."/>
      <w:lvlJc w:val="left"/>
      <w:pPr>
        <w:ind w:left="720" w:hanging="360"/>
      </w:pPr>
    </w:lvl>
    <w:lvl w:ilvl="1" w:tplc="7E90DDAE">
      <w:start w:val="1"/>
      <w:numFmt w:val="lowerLetter"/>
      <w:lvlText w:val="%2."/>
      <w:lvlJc w:val="left"/>
      <w:pPr>
        <w:ind w:left="1440" w:hanging="360"/>
      </w:pPr>
    </w:lvl>
    <w:lvl w:ilvl="2" w:tplc="057E3014">
      <w:start w:val="1"/>
      <w:numFmt w:val="lowerRoman"/>
      <w:lvlText w:val="%3."/>
      <w:lvlJc w:val="right"/>
      <w:pPr>
        <w:ind w:left="2160" w:hanging="180"/>
      </w:pPr>
    </w:lvl>
    <w:lvl w:ilvl="3" w:tplc="BB703274">
      <w:start w:val="1"/>
      <w:numFmt w:val="decimal"/>
      <w:lvlText w:val="%4."/>
      <w:lvlJc w:val="left"/>
      <w:pPr>
        <w:ind w:left="2880" w:hanging="360"/>
      </w:pPr>
    </w:lvl>
    <w:lvl w:ilvl="4" w:tplc="DCCE56A8">
      <w:start w:val="1"/>
      <w:numFmt w:val="lowerLetter"/>
      <w:lvlText w:val="%5."/>
      <w:lvlJc w:val="left"/>
      <w:pPr>
        <w:ind w:left="3600" w:hanging="360"/>
      </w:pPr>
    </w:lvl>
    <w:lvl w:ilvl="5" w:tplc="04E63E50">
      <w:start w:val="1"/>
      <w:numFmt w:val="lowerRoman"/>
      <w:lvlText w:val="%6."/>
      <w:lvlJc w:val="right"/>
      <w:pPr>
        <w:ind w:left="4320" w:hanging="180"/>
      </w:pPr>
    </w:lvl>
    <w:lvl w:ilvl="6" w:tplc="E022F44A">
      <w:start w:val="1"/>
      <w:numFmt w:val="decimal"/>
      <w:lvlText w:val="%7."/>
      <w:lvlJc w:val="left"/>
      <w:pPr>
        <w:ind w:left="5040" w:hanging="360"/>
      </w:pPr>
    </w:lvl>
    <w:lvl w:ilvl="7" w:tplc="46AEDEAE">
      <w:start w:val="1"/>
      <w:numFmt w:val="lowerLetter"/>
      <w:lvlText w:val="%8."/>
      <w:lvlJc w:val="left"/>
      <w:pPr>
        <w:ind w:left="5760" w:hanging="360"/>
      </w:pPr>
    </w:lvl>
    <w:lvl w:ilvl="8" w:tplc="51E2AF9E">
      <w:start w:val="1"/>
      <w:numFmt w:val="lowerRoman"/>
      <w:lvlText w:val="%9."/>
      <w:lvlJc w:val="right"/>
      <w:pPr>
        <w:ind w:left="6480" w:hanging="180"/>
      </w:pPr>
    </w:lvl>
  </w:abstractNum>
  <w:abstractNum w:abstractNumId="7" w15:restartNumberingAfterBreak="0">
    <w:nsid w:val="36F104CF"/>
    <w:multiLevelType w:val="hybridMultilevel"/>
    <w:tmpl w:val="6344A9EC"/>
    <w:lvl w:ilvl="0">
      <w:start w:val="1"/>
      <w:numFmt w:val="bullet"/>
      <w:lvlText w:val=""/>
      <w:lvlJc w:val="left"/>
      <w:pPr>
        <w:ind w:left="720" w:hanging="360"/>
      </w:pPr>
      <w:rPr>
        <w:rFonts w:hint="default" w:ascii="Symbol" w:hAnsi="Symbol"/>
      </w:rPr>
    </w:lvl>
    <w:lvl w:ilvl="1" w:tplc="9F6CA33A">
      <w:start w:val="1"/>
      <w:numFmt w:val="bullet"/>
      <w:lvlText w:val="o"/>
      <w:lvlJc w:val="left"/>
      <w:pPr>
        <w:ind w:left="1440" w:hanging="360"/>
      </w:pPr>
      <w:rPr>
        <w:rFonts w:hint="default" w:ascii="Courier New" w:hAnsi="Courier New"/>
      </w:rPr>
    </w:lvl>
    <w:lvl w:ilvl="2" w:tplc="77D6F144">
      <w:start w:val="1"/>
      <w:numFmt w:val="bullet"/>
      <w:lvlText w:val=""/>
      <w:lvlJc w:val="left"/>
      <w:pPr>
        <w:ind w:left="2160" w:hanging="360"/>
      </w:pPr>
      <w:rPr>
        <w:rFonts w:hint="default" w:ascii="Wingdings" w:hAnsi="Wingdings"/>
      </w:rPr>
    </w:lvl>
    <w:lvl w:ilvl="3" w:tplc="5420BD96">
      <w:start w:val="1"/>
      <w:numFmt w:val="bullet"/>
      <w:lvlText w:val=""/>
      <w:lvlJc w:val="left"/>
      <w:pPr>
        <w:ind w:left="2880" w:hanging="360"/>
      </w:pPr>
      <w:rPr>
        <w:rFonts w:hint="default" w:ascii="Symbol" w:hAnsi="Symbol"/>
      </w:rPr>
    </w:lvl>
    <w:lvl w:ilvl="4" w:tplc="DAE41FE8">
      <w:start w:val="1"/>
      <w:numFmt w:val="bullet"/>
      <w:lvlText w:val="o"/>
      <w:lvlJc w:val="left"/>
      <w:pPr>
        <w:ind w:left="3600" w:hanging="360"/>
      </w:pPr>
      <w:rPr>
        <w:rFonts w:hint="default" w:ascii="Courier New" w:hAnsi="Courier New"/>
      </w:rPr>
    </w:lvl>
    <w:lvl w:ilvl="5" w:tplc="7E202D16">
      <w:start w:val="1"/>
      <w:numFmt w:val="bullet"/>
      <w:lvlText w:val=""/>
      <w:lvlJc w:val="left"/>
      <w:pPr>
        <w:ind w:left="4320" w:hanging="360"/>
      </w:pPr>
      <w:rPr>
        <w:rFonts w:hint="default" w:ascii="Wingdings" w:hAnsi="Wingdings"/>
      </w:rPr>
    </w:lvl>
    <w:lvl w:ilvl="6" w:tplc="EF005408">
      <w:start w:val="1"/>
      <w:numFmt w:val="bullet"/>
      <w:lvlText w:val=""/>
      <w:lvlJc w:val="left"/>
      <w:pPr>
        <w:ind w:left="5040" w:hanging="360"/>
      </w:pPr>
      <w:rPr>
        <w:rFonts w:hint="default" w:ascii="Symbol" w:hAnsi="Symbol"/>
      </w:rPr>
    </w:lvl>
    <w:lvl w:ilvl="7" w:tplc="40B82296">
      <w:start w:val="1"/>
      <w:numFmt w:val="bullet"/>
      <w:lvlText w:val="o"/>
      <w:lvlJc w:val="left"/>
      <w:pPr>
        <w:ind w:left="5760" w:hanging="360"/>
      </w:pPr>
      <w:rPr>
        <w:rFonts w:hint="default" w:ascii="Courier New" w:hAnsi="Courier New"/>
      </w:rPr>
    </w:lvl>
    <w:lvl w:ilvl="8" w:tplc="30A82C80">
      <w:start w:val="1"/>
      <w:numFmt w:val="bullet"/>
      <w:lvlText w:val=""/>
      <w:lvlJc w:val="left"/>
      <w:pPr>
        <w:ind w:left="6480" w:hanging="360"/>
      </w:pPr>
      <w:rPr>
        <w:rFonts w:hint="default" w:ascii="Wingdings" w:hAnsi="Wingdings"/>
      </w:rPr>
    </w:lvl>
  </w:abstractNum>
  <w:abstractNum w:abstractNumId="8" w15:restartNumberingAfterBreak="0">
    <w:nsid w:val="4F1C3781"/>
    <w:multiLevelType w:val="hybridMultilevel"/>
    <w:tmpl w:val="31EEF116"/>
    <w:lvl w:ilvl="0" w:tplc="6254CD40">
      <w:start w:val="1"/>
      <w:numFmt w:val="bullet"/>
      <w:lvlText w:val=""/>
      <w:lvlJc w:val="left"/>
      <w:pPr>
        <w:ind w:left="720" w:hanging="360"/>
      </w:pPr>
      <w:rPr>
        <w:rFonts w:hint="default" w:ascii="Symbol" w:hAnsi="Symbol"/>
      </w:rPr>
    </w:lvl>
    <w:lvl w:ilvl="1" w:tplc="96EA3084">
      <w:start w:val="1"/>
      <w:numFmt w:val="bullet"/>
      <w:lvlText w:val="o"/>
      <w:lvlJc w:val="left"/>
      <w:pPr>
        <w:ind w:left="1440" w:hanging="360"/>
      </w:pPr>
      <w:rPr>
        <w:rFonts w:hint="default" w:ascii="Courier New" w:hAnsi="Courier New"/>
      </w:rPr>
    </w:lvl>
    <w:lvl w:ilvl="2" w:tplc="8984FD76">
      <w:start w:val="1"/>
      <w:numFmt w:val="bullet"/>
      <w:lvlText w:val=""/>
      <w:lvlJc w:val="left"/>
      <w:pPr>
        <w:ind w:left="2160" w:hanging="360"/>
      </w:pPr>
      <w:rPr>
        <w:rFonts w:hint="default" w:ascii="Wingdings" w:hAnsi="Wingdings"/>
      </w:rPr>
    </w:lvl>
    <w:lvl w:ilvl="3" w:tplc="58169DC0">
      <w:start w:val="1"/>
      <w:numFmt w:val="bullet"/>
      <w:lvlText w:val=""/>
      <w:lvlJc w:val="left"/>
      <w:pPr>
        <w:ind w:left="2880" w:hanging="360"/>
      </w:pPr>
      <w:rPr>
        <w:rFonts w:hint="default" w:ascii="Symbol" w:hAnsi="Symbol"/>
      </w:rPr>
    </w:lvl>
    <w:lvl w:ilvl="4" w:tplc="568E21E4">
      <w:start w:val="1"/>
      <w:numFmt w:val="bullet"/>
      <w:lvlText w:val="o"/>
      <w:lvlJc w:val="left"/>
      <w:pPr>
        <w:ind w:left="3600" w:hanging="360"/>
      </w:pPr>
      <w:rPr>
        <w:rFonts w:hint="default" w:ascii="Courier New" w:hAnsi="Courier New"/>
      </w:rPr>
    </w:lvl>
    <w:lvl w:ilvl="5" w:tplc="82BAA152">
      <w:start w:val="1"/>
      <w:numFmt w:val="bullet"/>
      <w:lvlText w:val=""/>
      <w:lvlJc w:val="left"/>
      <w:pPr>
        <w:ind w:left="4320" w:hanging="360"/>
      </w:pPr>
      <w:rPr>
        <w:rFonts w:hint="default" w:ascii="Wingdings" w:hAnsi="Wingdings"/>
      </w:rPr>
    </w:lvl>
    <w:lvl w:ilvl="6" w:tplc="339AF7C8">
      <w:start w:val="1"/>
      <w:numFmt w:val="bullet"/>
      <w:lvlText w:val=""/>
      <w:lvlJc w:val="left"/>
      <w:pPr>
        <w:ind w:left="5040" w:hanging="360"/>
      </w:pPr>
      <w:rPr>
        <w:rFonts w:hint="default" w:ascii="Symbol" w:hAnsi="Symbol"/>
      </w:rPr>
    </w:lvl>
    <w:lvl w:ilvl="7" w:tplc="6DCCCD34">
      <w:start w:val="1"/>
      <w:numFmt w:val="bullet"/>
      <w:lvlText w:val="o"/>
      <w:lvlJc w:val="left"/>
      <w:pPr>
        <w:ind w:left="5760" w:hanging="360"/>
      </w:pPr>
      <w:rPr>
        <w:rFonts w:hint="default" w:ascii="Courier New" w:hAnsi="Courier New"/>
      </w:rPr>
    </w:lvl>
    <w:lvl w:ilvl="8" w:tplc="C798B650">
      <w:start w:val="1"/>
      <w:numFmt w:val="bullet"/>
      <w:lvlText w:val=""/>
      <w:lvlJc w:val="left"/>
      <w:pPr>
        <w:ind w:left="6480" w:hanging="360"/>
      </w:pPr>
      <w:rPr>
        <w:rFonts w:hint="default" w:ascii="Wingdings" w:hAnsi="Wingdings"/>
      </w:rPr>
    </w:lvl>
  </w:abstractNum>
  <w:abstractNum w:abstractNumId="9" w15:restartNumberingAfterBreak="0">
    <w:nsid w:val="503A0E54"/>
    <w:multiLevelType w:val="hybridMultilevel"/>
    <w:tmpl w:val="56F2D8AC"/>
    <w:lvl w:ilvl="0" w:tplc="287A5D50">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A5F32C6"/>
    <w:multiLevelType w:val="hybridMultilevel"/>
    <w:tmpl w:val="4BC0730A"/>
    <w:lvl w:ilvl="0" w:tplc="CB14407A">
      <w:start w:val="1"/>
      <w:numFmt w:val="decimal"/>
      <w:lvlText w:val="%1."/>
      <w:lvlJc w:val="left"/>
      <w:pPr>
        <w:ind w:left="720" w:hanging="360"/>
      </w:pPr>
    </w:lvl>
    <w:lvl w:ilvl="1" w:tplc="F78A336A">
      <w:start w:val="1"/>
      <w:numFmt w:val="lowerLetter"/>
      <w:lvlText w:val="%2."/>
      <w:lvlJc w:val="left"/>
      <w:pPr>
        <w:ind w:left="1440" w:hanging="360"/>
      </w:pPr>
    </w:lvl>
    <w:lvl w:ilvl="2" w:tplc="BE80B4A2">
      <w:start w:val="1"/>
      <w:numFmt w:val="lowerRoman"/>
      <w:lvlText w:val="%3."/>
      <w:lvlJc w:val="right"/>
      <w:pPr>
        <w:ind w:left="2160" w:hanging="180"/>
      </w:pPr>
    </w:lvl>
    <w:lvl w:ilvl="3" w:tplc="23142380">
      <w:start w:val="1"/>
      <w:numFmt w:val="decimal"/>
      <w:lvlText w:val="%4."/>
      <w:lvlJc w:val="left"/>
      <w:pPr>
        <w:ind w:left="2880" w:hanging="360"/>
      </w:pPr>
    </w:lvl>
    <w:lvl w:ilvl="4" w:tplc="58D67A40">
      <w:start w:val="1"/>
      <w:numFmt w:val="lowerLetter"/>
      <w:lvlText w:val="%5."/>
      <w:lvlJc w:val="left"/>
      <w:pPr>
        <w:ind w:left="3600" w:hanging="360"/>
      </w:pPr>
    </w:lvl>
    <w:lvl w:ilvl="5" w:tplc="680C1BE6">
      <w:start w:val="1"/>
      <w:numFmt w:val="lowerRoman"/>
      <w:lvlText w:val="%6."/>
      <w:lvlJc w:val="right"/>
      <w:pPr>
        <w:ind w:left="4320" w:hanging="180"/>
      </w:pPr>
    </w:lvl>
    <w:lvl w:ilvl="6" w:tplc="87BCB74E">
      <w:start w:val="1"/>
      <w:numFmt w:val="decimal"/>
      <w:lvlText w:val="%7."/>
      <w:lvlJc w:val="left"/>
      <w:pPr>
        <w:ind w:left="5040" w:hanging="360"/>
      </w:pPr>
    </w:lvl>
    <w:lvl w:ilvl="7" w:tplc="AD4CC84A">
      <w:start w:val="1"/>
      <w:numFmt w:val="lowerLetter"/>
      <w:lvlText w:val="%8."/>
      <w:lvlJc w:val="left"/>
      <w:pPr>
        <w:ind w:left="5760" w:hanging="360"/>
      </w:pPr>
    </w:lvl>
    <w:lvl w:ilvl="8" w:tplc="69D4845A">
      <w:start w:val="1"/>
      <w:numFmt w:val="lowerRoman"/>
      <w:lvlText w:val="%9."/>
      <w:lvlJc w:val="right"/>
      <w:pPr>
        <w:ind w:left="6480" w:hanging="180"/>
      </w:pPr>
    </w:lvl>
  </w:abstractNum>
  <w:abstractNum w:abstractNumId="11" w15:restartNumberingAfterBreak="0">
    <w:nsid w:val="61176DCF"/>
    <w:multiLevelType w:val="multilevel"/>
    <w:tmpl w:val="E40C4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FAF2CBB"/>
    <w:multiLevelType w:val="multilevel"/>
    <w:tmpl w:val="7FBC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6"/>
  </w:num>
  <w:num w:numId="4">
    <w:abstractNumId w:val="10"/>
  </w:num>
  <w:num w:numId="5">
    <w:abstractNumId w:val="1"/>
  </w:num>
  <w:num w:numId="6">
    <w:abstractNumId w:val="2"/>
  </w:num>
  <w:num w:numId="7">
    <w:abstractNumId w:val="7"/>
  </w:num>
  <w:num w:numId="8">
    <w:abstractNumId w:val="8"/>
  </w:num>
  <w:num w:numId="9">
    <w:abstractNumId w:val="12"/>
  </w:num>
  <w:num w:numId="10">
    <w:abstractNumId w:val="11"/>
  </w:num>
  <w:num w:numId="11">
    <w:abstractNumId w:val="3"/>
  </w:num>
  <w:num w:numId="12">
    <w:abstractNumId w:val="5"/>
  </w:num>
  <w:num w:numId="1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rson w15:author="Guest User">
    <w15:presenceInfo w15:providerId="AD" w15:userId="S::urn:spo:anon#9884e8c2fc7f2b57f0efad978e554e4bc17999409b081701231ac310e4c084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219"/>
    <w:rsid w:val="00007DE7"/>
    <w:rsid w:val="00021179"/>
    <w:rsid w:val="0008716B"/>
    <w:rsid w:val="000928EF"/>
    <w:rsid w:val="00097E81"/>
    <w:rsid w:val="000B6D87"/>
    <w:rsid w:val="000C0D03"/>
    <w:rsid w:val="000C64ED"/>
    <w:rsid w:val="00125399"/>
    <w:rsid w:val="00132670"/>
    <w:rsid w:val="001477B8"/>
    <w:rsid w:val="00165434"/>
    <w:rsid w:val="001734A4"/>
    <w:rsid w:val="001D3BBD"/>
    <w:rsid w:val="001E0D23"/>
    <w:rsid w:val="002126A8"/>
    <w:rsid w:val="0028110A"/>
    <w:rsid w:val="00285BC7"/>
    <w:rsid w:val="002C7219"/>
    <w:rsid w:val="002D5DB6"/>
    <w:rsid w:val="002E012D"/>
    <w:rsid w:val="00307767"/>
    <w:rsid w:val="003130E9"/>
    <w:rsid w:val="003351F6"/>
    <w:rsid w:val="003529DD"/>
    <w:rsid w:val="00374FEF"/>
    <w:rsid w:val="00377216"/>
    <w:rsid w:val="003A2464"/>
    <w:rsid w:val="003B2B96"/>
    <w:rsid w:val="003B7175"/>
    <w:rsid w:val="003C588A"/>
    <w:rsid w:val="003D4C20"/>
    <w:rsid w:val="003F7D79"/>
    <w:rsid w:val="00414E43"/>
    <w:rsid w:val="00421282"/>
    <w:rsid w:val="00473005"/>
    <w:rsid w:val="0049441C"/>
    <w:rsid w:val="004B4096"/>
    <w:rsid w:val="004D15F2"/>
    <w:rsid w:val="004E67A8"/>
    <w:rsid w:val="00513B00"/>
    <w:rsid w:val="00514C37"/>
    <w:rsid w:val="00516E81"/>
    <w:rsid w:val="005243FE"/>
    <w:rsid w:val="00541BB8"/>
    <w:rsid w:val="005576FC"/>
    <w:rsid w:val="00562851"/>
    <w:rsid w:val="00563796"/>
    <w:rsid w:val="00566F5B"/>
    <w:rsid w:val="005C5AD6"/>
    <w:rsid w:val="005F3856"/>
    <w:rsid w:val="00612580"/>
    <w:rsid w:val="0064634E"/>
    <w:rsid w:val="00694A30"/>
    <w:rsid w:val="00717D7A"/>
    <w:rsid w:val="007578AC"/>
    <w:rsid w:val="00763BE7"/>
    <w:rsid w:val="00781E18"/>
    <w:rsid w:val="007960EA"/>
    <w:rsid w:val="007B74A0"/>
    <w:rsid w:val="007F50D8"/>
    <w:rsid w:val="007F56F2"/>
    <w:rsid w:val="00810982"/>
    <w:rsid w:val="00835F17"/>
    <w:rsid w:val="008956BB"/>
    <w:rsid w:val="008974D1"/>
    <w:rsid w:val="008E24FD"/>
    <w:rsid w:val="008E65E7"/>
    <w:rsid w:val="00920611"/>
    <w:rsid w:val="00942781"/>
    <w:rsid w:val="00990615"/>
    <w:rsid w:val="009C4CCC"/>
    <w:rsid w:val="009E0104"/>
    <w:rsid w:val="009F037A"/>
    <w:rsid w:val="00A219DE"/>
    <w:rsid w:val="00A62431"/>
    <w:rsid w:val="00A72E1B"/>
    <w:rsid w:val="00A850B4"/>
    <w:rsid w:val="00A90A82"/>
    <w:rsid w:val="00A95E46"/>
    <w:rsid w:val="00A95EE7"/>
    <w:rsid w:val="00AD4F55"/>
    <w:rsid w:val="00B010CA"/>
    <w:rsid w:val="00B2401D"/>
    <w:rsid w:val="00B569C2"/>
    <w:rsid w:val="00B579B1"/>
    <w:rsid w:val="00BB5157"/>
    <w:rsid w:val="00BD3091"/>
    <w:rsid w:val="00C039F0"/>
    <w:rsid w:val="00C645AA"/>
    <w:rsid w:val="00C676DD"/>
    <w:rsid w:val="00C81454"/>
    <w:rsid w:val="00C87FC4"/>
    <w:rsid w:val="00CB29B9"/>
    <w:rsid w:val="00CC3CAE"/>
    <w:rsid w:val="00CD1AC5"/>
    <w:rsid w:val="00CD3DCD"/>
    <w:rsid w:val="00D16FEF"/>
    <w:rsid w:val="00D41A4E"/>
    <w:rsid w:val="00D43C16"/>
    <w:rsid w:val="00DF0F43"/>
    <w:rsid w:val="00E24481"/>
    <w:rsid w:val="00E336B0"/>
    <w:rsid w:val="00E5060F"/>
    <w:rsid w:val="00E61E0D"/>
    <w:rsid w:val="00E918A3"/>
    <w:rsid w:val="00EC0EAA"/>
    <w:rsid w:val="00F42ACA"/>
    <w:rsid w:val="00F4586F"/>
    <w:rsid w:val="00F6427A"/>
    <w:rsid w:val="00F81E64"/>
    <w:rsid w:val="00F84287"/>
    <w:rsid w:val="00FE4041"/>
    <w:rsid w:val="00FF0663"/>
    <w:rsid w:val="14D7E0A5"/>
    <w:rsid w:val="198809AD"/>
    <w:rsid w:val="1F861318"/>
    <w:rsid w:val="264D7CA1"/>
    <w:rsid w:val="3038F58C"/>
    <w:rsid w:val="38056976"/>
    <w:rsid w:val="3CC2BDBF"/>
    <w:rsid w:val="43F760B1"/>
    <w:rsid w:val="45B8A495"/>
    <w:rsid w:val="49957275"/>
    <w:rsid w:val="5184F12A"/>
    <w:rsid w:val="55BC311F"/>
    <w:rsid w:val="5B130360"/>
    <w:rsid w:val="5BFA9DF2"/>
    <w:rsid w:val="5C939B98"/>
    <w:rsid w:val="5CE1C65C"/>
    <w:rsid w:val="5D2CD5C8"/>
    <w:rsid w:val="64535D9A"/>
    <w:rsid w:val="6A3AF3DD"/>
    <w:rsid w:val="75AB8AF5"/>
    <w:rsid w:val="76B3D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EFB6F"/>
  <w15:chartTrackingRefBased/>
  <w15:docId w15:val="{F618F431-5252-4D87-8480-CE907920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2C7219"/>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2C7219"/>
  </w:style>
  <w:style w:type="character" w:styleId="eop" w:customStyle="1">
    <w:name w:val="eop"/>
    <w:basedOn w:val="DefaultParagraphFont"/>
    <w:rsid w:val="002C7219"/>
  </w:style>
  <w:style w:type="character" w:styleId="spellingerror" w:customStyle="1">
    <w:name w:val="spellingerror"/>
    <w:basedOn w:val="DefaultParagraphFont"/>
    <w:rsid w:val="002C721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B717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B71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13B00"/>
    <w:rPr>
      <w:b/>
      <w:bCs/>
    </w:rPr>
  </w:style>
  <w:style w:type="character" w:styleId="CommentSubjectChar" w:customStyle="1">
    <w:name w:val="Comment Subject Char"/>
    <w:basedOn w:val="CommentTextChar"/>
    <w:link w:val="CommentSubject"/>
    <w:uiPriority w:val="99"/>
    <w:semiHidden/>
    <w:rsid w:val="00513B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042">
      <w:bodyDiv w:val="1"/>
      <w:marLeft w:val="0"/>
      <w:marRight w:val="0"/>
      <w:marTop w:val="0"/>
      <w:marBottom w:val="0"/>
      <w:divBdr>
        <w:top w:val="none" w:sz="0" w:space="0" w:color="auto"/>
        <w:left w:val="none" w:sz="0" w:space="0" w:color="auto"/>
        <w:bottom w:val="none" w:sz="0" w:space="0" w:color="auto"/>
        <w:right w:val="none" w:sz="0" w:space="0" w:color="auto"/>
      </w:divBdr>
      <w:divsChild>
        <w:div w:id="84961965">
          <w:marLeft w:val="0"/>
          <w:marRight w:val="0"/>
          <w:marTop w:val="0"/>
          <w:marBottom w:val="0"/>
          <w:divBdr>
            <w:top w:val="none" w:sz="0" w:space="0" w:color="auto"/>
            <w:left w:val="none" w:sz="0" w:space="0" w:color="auto"/>
            <w:bottom w:val="none" w:sz="0" w:space="0" w:color="auto"/>
            <w:right w:val="none" w:sz="0" w:space="0" w:color="auto"/>
          </w:divBdr>
          <w:divsChild>
            <w:div w:id="1226794291">
              <w:marLeft w:val="0"/>
              <w:marRight w:val="0"/>
              <w:marTop w:val="0"/>
              <w:marBottom w:val="0"/>
              <w:divBdr>
                <w:top w:val="none" w:sz="0" w:space="0" w:color="auto"/>
                <w:left w:val="none" w:sz="0" w:space="0" w:color="auto"/>
                <w:bottom w:val="none" w:sz="0" w:space="0" w:color="auto"/>
                <w:right w:val="none" w:sz="0" w:space="0" w:color="auto"/>
              </w:divBdr>
            </w:div>
            <w:div w:id="1866283138">
              <w:marLeft w:val="0"/>
              <w:marRight w:val="0"/>
              <w:marTop w:val="0"/>
              <w:marBottom w:val="0"/>
              <w:divBdr>
                <w:top w:val="none" w:sz="0" w:space="0" w:color="auto"/>
                <w:left w:val="none" w:sz="0" w:space="0" w:color="auto"/>
                <w:bottom w:val="none" w:sz="0" w:space="0" w:color="auto"/>
                <w:right w:val="none" w:sz="0" w:space="0" w:color="auto"/>
              </w:divBdr>
            </w:div>
            <w:div w:id="2037464906">
              <w:marLeft w:val="0"/>
              <w:marRight w:val="0"/>
              <w:marTop w:val="0"/>
              <w:marBottom w:val="0"/>
              <w:divBdr>
                <w:top w:val="none" w:sz="0" w:space="0" w:color="auto"/>
                <w:left w:val="none" w:sz="0" w:space="0" w:color="auto"/>
                <w:bottom w:val="none" w:sz="0" w:space="0" w:color="auto"/>
                <w:right w:val="none" w:sz="0" w:space="0" w:color="auto"/>
              </w:divBdr>
            </w:div>
          </w:divsChild>
        </w:div>
        <w:div w:id="61566018">
          <w:marLeft w:val="0"/>
          <w:marRight w:val="0"/>
          <w:marTop w:val="0"/>
          <w:marBottom w:val="0"/>
          <w:divBdr>
            <w:top w:val="none" w:sz="0" w:space="0" w:color="auto"/>
            <w:left w:val="none" w:sz="0" w:space="0" w:color="auto"/>
            <w:bottom w:val="none" w:sz="0" w:space="0" w:color="auto"/>
            <w:right w:val="none" w:sz="0" w:space="0" w:color="auto"/>
          </w:divBdr>
          <w:divsChild>
            <w:div w:id="536358964">
              <w:marLeft w:val="0"/>
              <w:marRight w:val="0"/>
              <w:marTop w:val="0"/>
              <w:marBottom w:val="0"/>
              <w:divBdr>
                <w:top w:val="none" w:sz="0" w:space="0" w:color="auto"/>
                <w:left w:val="none" w:sz="0" w:space="0" w:color="auto"/>
                <w:bottom w:val="none" w:sz="0" w:space="0" w:color="auto"/>
                <w:right w:val="none" w:sz="0" w:space="0" w:color="auto"/>
              </w:divBdr>
            </w:div>
            <w:div w:id="1628121704">
              <w:marLeft w:val="0"/>
              <w:marRight w:val="0"/>
              <w:marTop w:val="0"/>
              <w:marBottom w:val="0"/>
              <w:divBdr>
                <w:top w:val="none" w:sz="0" w:space="0" w:color="auto"/>
                <w:left w:val="none" w:sz="0" w:space="0" w:color="auto"/>
                <w:bottom w:val="none" w:sz="0" w:space="0" w:color="auto"/>
                <w:right w:val="none" w:sz="0" w:space="0" w:color="auto"/>
              </w:divBdr>
            </w:div>
            <w:div w:id="1661687439">
              <w:marLeft w:val="0"/>
              <w:marRight w:val="0"/>
              <w:marTop w:val="0"/>
              <w:marBottom w:val="0"/>
              <w:divBdr>
                <w:top w:val="none" w:sz="0" w:space="0" w:color="auto"/>
                <w:left w:val="none" w:sz="0" w:space="0" w:color="auto"/>
                <w:bottom w:val="none" w:sz="0" w:space="0" w:color="auto"/>
                <w:right w:val="none" w:sz="0" w:space="0" w:color="auto"/>
              </w:divBdr>
            </w:div>
            <w:div w:id="1006593641">
              <w:marLeft w:val="0"/>
              <w:marRight w:val="0"/>
              <w:marTop w:val="0"/>
              <w:marBottom w:val="0"/>
              <w:divBdr>
                <w:top w:val="none" w:sz="0" w:space="0" w:color="auto"/>
                <w:left w:val="none" w:sz="0" w:space="0" w:color="auto"/>
                <w:bottom w:val="none" w:sz="0" w:space="0" w:color="auto"/>
                <w:right w:val="none" w:sz="0" w:space="0" w:color="auto"/>
              </w:divBdr>
            </w:div>
          </w:divsChild>
        </w:div>
        <w:div w:id="1449817191">
          <w:marLeft w:val="0"/>
          <w:marRight w:val="0"/>
          <w:marTop w:val="0"/>
          <w:marBottom w:val="0"/>
          <w:divBdr>
            <w:top w:val="none" w:sz="0" w:space="0" w:color="auto"/>
            <w:left w:val="none" w:sz="0" w:space="0" w:color="auto"/>
            <w:bottom w:val="none" w:sz="0" w:space="0" w:color="auto"/>
            <w:right w:val="none" w:sz="0" w:space="0" w:color="auto"/>
          </w:divBdr>
          <w:divsChild>
            <w:div w:id="1279752240">
              <w:marLeft w:val="0"/>
              <w:marRight w:val="0"/>
              <w:marTop w:val="0"/>
              <w:marBottom w:val="0"/>
              <w:divBdr>
                <w:top w:val="none" w:sz="0" w:space="0" w:color="auto"/>
                <w:left w:val="none" w:sz="0" w:space="0" w:color="auto"/>
                <w:bottom w:val="none" w:sz="0" w:space="0" w:color="auto"/>
                <w:right w:val="none" w:sz="0" w:space="0" w:color="auto"/>
              </w:divBdr>
            </w:div>
            <w:div w:id="2038238784">
              <w:marLeft w:val="0"/>
              <w:marRight w:val="0"/>
              <w:marTop w:val="0"/>
              <w:marBottom w:val="0"/>
              <w:divBdr>
                <w:top w:val="none" w:sz="0" w:space="0" w:color="auto"/>
                <w:left w:val="none" w:sz="0" w:space="0" w:color="auto"/>
                <w:bottom w:val="none" w:sz="0" w:space="0" w:color="auto"/>
                <w:right w:val="none" w:sz="0" w:space="0" w:color="auto"/>
              </w:divBdr>
            </w:div>
            <w:div w:id="1233659757">
              <w:marLeft w:val="0"/>
              <w:marRight w:val="0"/>
              <w:marTop w:val="0"/>
              <w:marBottom w:val="0"/>
              <w:divBdr>
                <w:top w:val="none" w:sz="0" w:space="0" w:color="auto"/>
                <w:left w:val="none" w:sz="0" w:space="0" w:color="auto"/>
                <w:bottom w:val="none" w:sz="0" w:space="0" w:color="auto"/>
                <w:right w:val="none" w:sz="0" w:space="0" w:color="auto"/>
              </w:divBdr>
            </w:div>
            <w:div w:id="341515328">
              <w:marLeft w:val="0"/>
              <w:marRight w:val="0"/>
              <w:marTop w:val="0"/>
              <w:marBottom w:val="0"/>
              <w:divBdr>
                <w:top w:val="none" w:sz="0" w:space="0" w:color="auto"/>
                <w:left w:val="none" w:sz="0" w:space="0" w:color="auto"/>
                <w:bottom w:val="none" w:sz="0" w:space="0" w:color="auto"/>
                <w:right w:val="none" w:sz="0" w:space="0" w:color="auto"/>
              </w:divBdr>
            </w:div>
          </w:divsChild>
        </w:div>
        <w:div w:id="1320113407">
          <w:marLeft w:val="0"/>
          <w:marRight w:val="0"/>
          <w:marTop w:val="0"/>
          <w:marBottom w:val="0"/>
          <w:divBdr>
            <w:top w:val="none" w:sz="0" w:space="0" w:color="auto"/>
            <w:left w:val="none" w:sz="0" w:space="0" w:color="auto"/>
            <w:bottom w:val="none" w:sz="0" w:space="0" w:color="auto"/>
            <w:right w:val="none" w:sz="0" w:space="0" w:color="auto"/>
          </w:divBdr>
        </w:div>
        <w:div w:id="1549151031">
          <w:marLeft w:val="0"/>
          <w:marRight w:val="0"/>
          <w:marTop w:val="0"/>
          <w:marBottom w:val="0"/>
          <w:divBdr>
            <w:top w:val="none" w:sz="0" w:space="0" w:color="auto"/>
            <w:left w:val="none" w:sz="0" w:space="0" w:color="auto"/>
            <w:bottom w:val="none" w:sz="0" w:space="0" w:color="auto"/>
            <w:right w:val="none" w:sz="0" w:space="0" w:color="auto"/>
          </w:divBdr>
        </w:div>
        <w:div w:id="1964118003">
          <w:marLeft w:val="0"/>
          <w:marRight w:val="0"/>
          <w:marTop w:val="0"/>
          <w:marBottom w:val="0"/>
          <w:divBdr>
            <w:top w:val="none" w:sz="0" w:space="0" w:color="auto"/>
            <w:left w:val="none" w:sz="0" w:space="0" w:color="auto"/>
            <w:bottom w:val="none" w:sz="0" w:space="0" w:color="auto"/>
            <w:right w:val="none" w:sz="0" w:space="0" w:color="auto"/>
          </w:divBdr>
        </w:div>
        <w:div w:id="1762413953">
          <w:marLeft w:val="0"/>
          <w:marRight w:val="0"/>
          <w:marTop w:val="0"/>
          <w:marBottom w:val="0"/>
          <w:divBdr>
            <w:top w:val="none" w:sz="0" w:space="0" w:color="auto"/>
            <w:left w:val="none" w:sz="0" w:space="0" w:color="auto"/>
            <w:bottom w:val="none" w:sz="0" w:space="0" w:color="auto"/>
            <w:right w:val="none" w:sz="0" w:space="0" w:color="auto"/>
          </w:divBdr>
        </w:div>
        <w:div w:id="1778062593">
          <w:marLeft w:val="0"/>
          <w:marRight w:val="0"/>
          <w:marTop w:val="0"/>
          <w:marBottom w:val="0"/>
          <w:divBdr>
            <w:top w:val="none" w:sz="0" w:space="0" w:color="auto"/>
            <w:left w:val="none" w:sz="0" w:space="0" w:color="auto"/>
            <w:bottom w:val="none" w:sz="0" w:space="0" w:color="auto"/>
            <w:right w:val="none" w:sz="0" w:space="0" w:color="auto"/>
          </w:divBdr>
        </w:div>
        <w:div w:id="1591235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header" Target="header1.xml" Id="rId13" /><Relationship Type="http://schemas.openxmlformats.org/officeDocument/2006/relationships/settings" Target="settings.xml" Id="rId3" /><Relationship Type="http://schemas.openxmlformats.org/officeDocument/2006/relationships/comments" Target="comments.xml" Id="rId7" /><Relationship Type="http://schemas.openxmlformats.org/officeDocument/2006/relationships/hyperlink" Target="http://apic.org/Resource_/EliminationGuideForm/59397fc6-3f90-43d1-9325-e8be75d86888/File/2013CDiffFinal.pdf" TargetMode="External" Id="rId12" /><Relationship Type="http://schemas.openxmlformats.org/officeDocument/2006/relationships/theme" Target="theme/theme1.xml" Id="rId17" /><Relationship Type="http://schemas.openxmlformats.org/officeDocument/2006/relationships/styles" Target="styles.xml" Id="rId2" /><Relationship Type="http://schemas.microsoft.com/office/2011/relationships/people" Target="peop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www.jstor.org/stable/10.1086/651706"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footer" Target="footer1.xml" Id="rId14" /><Relationship Type="http://schemas.openxmlformats.org/officeDocument/2006/relationships/hyperlink" Target="http://www.cdc.gov/hai/prevent/tap.html" TargetMode="External" Id="Re8ad20a458fe42d2"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be1883-68f2-4e02-b019-f9e988ec05e9">
  <we:reference id="WA104124372" version="1.2.0.0" store="en-US" storeType="OMEX"/>
  <we:alternateReferences/>
  <we:properties/>
  <we:bindings/>
  <we:snapshot xmlns:r="http://schemas.openxmlformats.org/officeDocument/2006/relationships"/>
</we:webextension>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Anderson</dc:creator>
  <keywords/>
  <dc:description/>
  <lastModifiedBy>Guest User</lastModifiedBy>
  <revision>46</revision>
  <dcterms:created xsi:type="dcterms:W3CDTF">2018-03-19T12:55:00.0000000Z</dcterms:created>
  <dcterms:modified xsi:type="dcterms:W3CDTF">2018-04-27T21:01:02.1090163Z</dcterms:modified>
</coreProperties>
</file>