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F7E86" w14:textId="2F40C338" w:rsidR="00165D5E" w:rsidRDefault="008E45A0" w:rsidP="00EE339B">
      <w:pPr>
        <w:spacing w:after="0" w:line="240" w:lineRule="auto"/>
        <w:rPr>
          <w:rFonts w:ascii="Helvetica" w:eastAsia="Times New Roman" w:hAnsi="Helvetica" w:cs="Helvetica"/>
          <w:i/>
          <w:iCs/>
          <w:color w:val="994D00"/>
          <w:sz w:val="24"/>
          <w:szCs w:val="24"/>
        </w:rPr>
      </w:pPr>
      <w:r>
        <w:rPr>
          <w:rFonts w:ascii="Helvetica" w:eastAsia="Times New Roman" w:hAnsi="Helvetica" w:cs="Helvetica"/>
          <w:i/>
          <w:iCs/>
          <w:color w:val="994D00"/>
          <w:sz w:val="24"/>
          <w:szCs w:val="24"/>
        </w:rPr>
        <w:t>ICEID Conference, Atlanta, GA</w:t>
      </w:r>
    </w:p>
    <w:p w14:paraId="57D1C58F" w14:textId="7CB7F578" w:rsidR="007408D5" w:rsidRDefault="007408D5" w:rsidP="00EE339B">
      <w:pPr>
        <w:spacing w:after="0" w:line="240" w:lineRule="auto"/>
        <w:rPr>
          <w:rFonts w:ascii="Helvetica" w:eastAsia="Times New Roman" w:hAnsi="Helvetica" w:cs="Helvetica"/>
          <w:i/>
          <w:iCs/>
          <w:color w:val="994D00"/>
          <w:sz w:val="24"/>
          <w:szCs w:val="24"/>
        </w:rPr>
      </w:pPr>
      <w:r>
        <w:rPr>
          <w:rFonts w:ascii="Helvetica" w:eastAsia="Times New Roman" w:hAnsi="Helvetica" w:cs="Helvetica"/>
          <w:i/>
          <w:iCs/>
          <w:color w:val="994D00"/>
          <w:sz w:val="24"/>
          <w:szCs w:val="24"/>
        </w:rPr>
        <w:t xml:space="preserve">CORHA </w:t>
      </w:r>
      <w:r w:rsidR="008E45A0">
        <w:rPr>
          <w:rFonts w:ascii="Helvetica" w:eastAsia="Times New Roman" w:hAnsi="Helvetica" w:cs="Helvetica"/>
          <w:i/>
          <w:iCs/>
          <w:color w:val="994D00"/>
          <w:sz w:val="24"/>
          <w:szCs w:val="24"/>
        </w:rPr>
        <w:t>Oral Presentation</w:t>
      </w:r>
      <w:r>
        <w:rPr>
          <w:rFonts w:ascii="Helvetica" w:eastAsia="Times New Roman" w:hAnsi="Helvetica" w:cs="Helvetica"/>
          <w:i/>
          <w:iCs/>
          <w:color w:val="994D00"/>
          <w:sz w:val="24"/>
          <w:szCs w:val="24"/>
        </w:rPr>
        <w:t xml:space="preserve"> Abstract</w:t>
      </w:r>
    </w:p>
    <w:p w14:paraId="2FCF6988" w14:textId="0BDE8BDB" w:rsidR="007408D5" w:rsidRPr="00165D5E" w:rsidRDefault="008E45A0" w:rsidP="00EE339B">
      <w:pPr>
        <w:spacing w:after="0" w:line="240" w:lineRule="auto"/>
        <w:rPr>
          <w:rFonts w:ascii="Helvetica" w:eastAsia="Times New Roman" w:hAnsi="Helvetica" w:cs="Helvetica"/>
          <w:i/>
          <w:iCs/>
          <w:color w:val="994D00"/>
          <w:sz w:val="24"/>
          <w:szCs w:val="24"/>
        </w:rPr>
      </w:pPr>
      <w:r>
        <w:rPr>
          <w:rFonts w:ascii="Helvetica" w:eastAsia="Times New Roman" w:hAnsi="Helvetica" w:cs="Helvetica"/>
          <w:i/>
          <w:iCs/>
          <w:color w:val="994D00"/>
          <w:sz w:val="24"/>
          <w:szCs w:val="24"/>
        </w:rPr>
        <w:t>Aug. 2018</w:t>
      </w:r>
    </w:p>
    <w:p w14:paraId="1565BE43" w14:textId="77777777" w:rsidR="00165D5E" w:rsidRPr="00165D5E" w:rsidRDefault="006A73F3" w:rsidP="00165D5E">
      <w:pPr>
        <w:spacing w:after="0" w:line="240" w:lineRule="auto"/>
        <w:rPr>
          <w:rFonts w:ascii="Helvetica" w:eastAsia="Times New Roman" w:hAnsi="Helvetica" w:cs="Helvetica"/>
          <w:i/>
          <w:iCs/>
          <w:color w:val="242424"/>
          <w:sz w:val="24"/>
          <w:szCs w:val="24"/>
        </w:rPr>
      </w:pPr>
      <w:hyperlink r:id="rId4" w:history="1">
        <w:r w:rsidR="00165D5E" w:rsidRPr="00165D5E">
          <w:rPr>
            <w:rFonts w:ascii="Helvetica" w:eastAsia="Times New Roman" w:hAnsi="Helvetica" w:cs="Helvetica"/>
            <w:b/>
            <w:bCs/>
            <w:i/>
            <w:iCs/>
            <w:color w:val="0D6287"/>
            <w:sz w:val="24"/>
            <w:szCs w:val="24"/>
            <w:u w:val="single"/>
          </w:rPr>
          <w:t>Gerd Clabaugh</w:t>
        </w:r>
      </w:hyperlink>
      <w:r w:rsidR="00165D5E" w:rsidRPr="00165D5E">
        <w:rPr>
          <w:rFonts w:ascii="Helvetica" w:eastAsia="Times New Roman" w:hAnsi="Helvetica" w:cs="Helvetica"/>
          <w:b/>
          <w:bCs/>
          <w:i/>
          <w:iCs/>
          <w:color w:val="242424"/>
          <w:sz w:val="24"/>
          <w:szCs w:val="24"/>
        </w:rPr>
        <w:t> </w:t>
      </w:r>
      <w:r w:rsidR="00165D5E" w:rsidRPr="00165D5E">
        <w:rPr>
          <w:rFonts w:ascii="Helvetica" w:eastAsia="Times New Roman" w:hAnsi="Helvetica" w:cs="Helvetica"/>
          <w:i/>
          <w:iCs/>
          <w:color w:val="242424"/>
          <w:sz w:val="24"/>
          <w:szCs w:val="24"/>
        </w:rPr>
        <w:t>, Iowa Department of Public Health, Des Moines, IA</w:t>
      </w:r>
    </w:p>
    <w:p w14:paraId="7B40D32C" w14:textId="77777777" w:rsidR="00165D5E" w:rsidRPr="00165D5E" w:rsidRDefault="006A73F3" w:rsidP="00165D5E">
      <w:pPr>
        <w:spacing w:after="0" w:line="240" w:lineRule="auto"/>
        <w:rPr>
          <w:rFonts w:ascii="Helvetica" w:eastAsia="Times New Roman" w:hAnsi="Helvetica" w:cs="Helvetica"/>
          <w:i/>
          <w:iCs/>
          <w:color w:val="242424"/>
          <w:sz w:val="24"/>
          <w:szCs w:val="24"/>
        </w:rPr>
      </w:pPr>
      <w:hyperlink r:id="rId5" w:history="1">
        <w:r w:rsidR="00165D5E" w:rsidRPr="00165D5E">
          <w:rPr>
            <w:rFonts w:ascii="Helvetica" w:eastAsia="Times New Roman" w:hAnsi="Helvetica" w:cs="Helvetica"/>
            <w:i/>
            <w:iCs/>
            <w:color w:val="0D6287"/>
            <w:sz w:val="24"/>
            <w:szCs w:val="24"/>
            <w:u w:val="single"/>
          </w:rPr>
          <w:t>Joseph F Perz</w:t>
        </w:r>
      </w:hyperlink>
      <w:r w:rsidR="00165D5E" w:rsidRPr="00165D5E">
        <w:rPr>
          <w:rFonts w:ascii="Helvetica" w:eastAsia="Times New Roman" w:hAnsi="Helvetica" w:cs="Helvetica"/>
          <w:i/>
          <w:iCs/>
          <w:color w:val="242424"/>
          <w:sz w:val="24"/>
          <w:szCs w:val="24"/>
        </w:rPr>
        <w:t> , Centers for Disease Control and Prevention, Atlanta, GA</w:t>
      </w:r>
    </w:p>
    <w:p w14:paraId="00F24017" w14:textId="77777777" w:rsidR="00165D5E" w:rsidRPr="00165D5E" w:rsidRDefault="006A73F3" w:rsidP="00165D5E">
      <w:pPr>
        <w:spacing w:after="0" w:line="240" w:lineRule="auto"/>
        <w:rPr>
          <w:rFonts w:ascii="Helvetica" w:eastAsia="Times New Roman" w:hAnsi="Helvetica" w:cs="Helvetica"/>
          <w:i/>
          <w:iCs/>
          <w:color w:val="242424"/>
          <w:sz w:val="24"/>
          <w:szCs w:val="24"/>
        </w:rPr>
      </w:pPr>
      <w:hyperlink r:id="rId6" w:history="1">
        <w:r w:rsidR="00165D5E" w:rsidRPr="00165D5E">
          <w:rPr>
            <w:rFonts w:ascii="Helvetica" w:eastAsia="Times New Roman" w:hAnsi="Helvetica" w:cs="Helvetica"/>
            <w:b/>
            <w:bCs/>
            <w:i/>
            <w:iCs/>
            <w:color w:val="0D6287"/>
            <w:sz w:val="24"/>
            <w:szCs w:val="24"/>
            <w:u w:val="single"/>
          </w:rPr>
          <w:t>Marion Kainer</w:t>
        </w:r>
      </w:hyperlink>
      <w:r w:rsidR="00165D5E" w:rsidRPr="00165D5E">
        <w:rPr>
          <w:rFonts w:ascii="Helvetica" w:eastAsia="Times New Roman" w:hAnsi="Helvetica" w:cs="Helvetica"/>
          <w:b/>
          <w:bCs/>
          <w:i/>
          <w:iCs/>
          <w:color w:val="242424"/>
          <w:sz w:val="24"/>
          <w:szCs w:val="24"/>
        </w:rPr>
        <w:t> </w:t>
      </w:r>
      <w:r w:rsidR="00165D5E" w:rsidRPr="00165D5E">
        <w:rPr>
          <w:rFonts w:ascii="Helvetica" w:eastAsia="Times New Roman" w:hAnsi="Helvetica" w:cs="Helvetica"/>
          <w:i/>
          <w:iCs/>
          <w:color w:val="242424"/>
          <w:sz w:val="24"/>
          <w:szCs w:val="24"/>
        </w:rPr>
        <w:t>, Tennessee Department of Health, Nashville, TN</w:t>
      </w:r>
    </w:p>
    <w:p w14:paraId="689164A1" w14:textId="77777777" w:rsidR="00165D5E" w:rsidRPr="00165D5E" w:rsidRDefault="006A73F3" w:rsidP="00165D5E">
      <w:pPr>
        <w:spacing w:after="0" w:line="240" w:lineRule="auto"/>
        <w:rPr>
          <w:rFonts w:ascii="Helvetica" w:eastAsia="Times New Roman" w:hAnsi="Helvetica" w:cs="Helvetica"/>
          <w:i/>
          <w:iCs/>
          <w:color w:val="242424"/>
          <w:sz w:val="24"/>
          <w:szCs w:val="24"/>
        </w:rPr>
      </w:pPr>
      <w:hyperlink r:id="rId7" w:history="1">
        <w:r w:rsidR="00165D5E" w:rsidRPr="00165D5E">
          <w:rPr>
            <w:rFonts w:ascii="Helvetica" w:eastAsia="Times New Roman" w:hAnsi="Helvetica" w:cs="Helvetica"/>
            <w:i/>
            <w:iCs/>
            <w:color w:val="0D6287"/>
            <w:sz w:val="24"/>
            <w:szCs w:val="24"/>
            <w:u w:val="single"/>
          </w:rPr>
          <w:t>Dawn Terashita</w:t>
        </w:r>
      </w:hyperlink>
      <w:r w:rsidR="00165D5E" w:rsidRPr="00165D5E">
        <w:rPr>
          <w:rFonts w:ascii="Helvetica" w:eastAsia="Times New Roman" w:hAnsi="Helvetica" w:cs="Helvetica"/>
          <w:i/>
          <w:iCs/>
          <w:color w:val="242424"/>
          <w:sz w:val="24"/>
          <w:szCs w:val="24"/>
        </w:rPr>
        <w:t> , Los Angeles County Department of Public Health, Los Angeles, CA</w:t>
      </w:r>
    </w:p>
    <w:p w14:paraId="5757C9FC" w14:textId="77777777" w:rsidR="00AF6255" w:rsidRDefault="00AF6255" w:rsidP="00165D5E">
      <w:pPr>
        <w:spacing w:after="0" w:line="240" w:lineRule="auto"/>
        <w:rPr>
          <w:rFonts w:ascii="Helvetica" w:eastAsia="Times New Roman" w:hAnsi="Helvetica" w:cs="Helvetica"/>
          <w:b/>
          <w:bCs/>
          <w:color w:val="242424"/>
          <w:sz w:val="24"/>
          <w:szCs w:val="24"/>
        </w:rPr>
      </w:pPr>
    </w:p>
    <w:p w14:paraId="06B02F54" w14:textId="3B418120" w:rsidR="00165D5E" w:rsidRDefault="00B9115B" w:rsidP="00165D5E">
      <w:pPr>
        <w:spacing w:after="0" w:line="240" w:lineRule="auto"/>
        <w:rPr>
          <w:rFonts w:ascii="Helvetica" w:eastAsia="Times New Roman" w:hAnsi="Helvetica" w:cs="Helvetica"/>
          <w:color w:val="242424"/>
          <w:sz w:val="24"/>
          <w:szCs w:val="24"/>
        </w:rPr>
      </w:pPr>
      <w:r>
        <w:rPr>
          <w:rFonts w:ascii="Helvetica" w:eastAsia="Times New Roman" w:hAnsi="Helvetica" w:cs="Helvetica"/>
          <w:b/>
          <w:bCs/>
          <w:color w:val="242424"/>
          <w:sz w:val="24"/>
          <w:szCs w:val="24"/>
        </w:rPr>
        <w:t>Background</w:t>
      </w:r>
      <w:r w:rsidR="00165D5E" w:rsidRPr="00165D5E">
        <w:rPr>
          <w:rFonts w:ascii="Helvetica" w:eastAsia="Times New Roman" w:hAnsi="Helvetica" w:cs="Helvetica"/>
          <w:b/>
          <w:bCs/>
          <w:color w:val="242424"/>
          <w:sz w:val="24"/>
          <w:szCs w:val="24"/>
        </w:rPr>
        <w:t>: </w:t>
      </w:r>
      <w:r w:rsidR="00165D5E" w:rsidRPr="00165D5E">
        <w:rPr>
          <w:rFonts w:ascii="Helvetica" w:eastAsia="Times New Roman" w:hAnsi="Helvetica" w:cs="Helvetica"/>
          <w:color w:val="242424"/>
          <w:sz w:val="24"/>
          <w:szCs w:val="24"/>
        </w:rPr>
        <w:br/>
      </w:r>
      <w:r w:rsidR="002731E4" w:rsidRPr="002731E4">
        <w:rPr>
          <w:rFonts w:ascii="Helvetica" w:eastAsia="Times New Roman" w:hAnsi="Helvetica" w:cs="Helvetica"/>
          <w:color w:val="242424"/>
          <w:sz w:val="24"/>
          <w:szCs w:val="24"/>
        </w:rPr>
        <w:t>Healthcare-associated Infections (HAIs) including antimicrobial resistant (AR) pathogens cause hundreds of thousands of illnesses and deaths among U.S. patients each year. Despite significant progress, patients continue to experience illnesses associated with outbreaks and other adverse events due to delayed detection of emerging infectious diseases in healthcare settings. Consistent and coordinated approaches are needed to accelerate detection of new threats and develop tools to support outbreak investigation. To address these needs, a variety of public health and healthcare organizations have partnered to create the Council for Outbreak Response: HAI/AR (CORHA).</w:t>
      </w:r>
    </w:p>
    <w:p w14:paraId="639C52A8" w14:textId="77777777" w:rsidR="00AF6255" w:rsidRPr="00165D5E" w:rsidRDefault="00AF6255" w:rsidP="00165D5E">
      <w:pPr>
        <w:spacing w:after="0" w:line="240" w:lineRule="auto"/>
        <w:rPr>
          <w:rFonts w:ascii="Helvetica" w:eastAsia="Times New Roman" w:hAnsi="Helvetica" w:cs="Helvetica"/>
          <w:color w:val="242424"/>
          <w:sz w:val="24"/>
          <w:szCs w:val="24"/>
        </w:rPr>
      </w:pPr>
    </w:p>
    <w:p w14:paraId="301469BB" w14:textId="32214C13" w:rsidR="009A5C3D" w:rsidRDefault="00B9115B" w:rsidP="007916F4">
      <w:pPr>
        <w:spacing w:after="0"/>
        <w:rPr>
          <w:rFonts w:ascii="Helvetica" w:eastAsia="Times New Roman" w:hAnsi="Helvetica" w:cs="Helvetica"/>
          <w:b/>
          <w:bCs/>
          <w:color w:val="242424"/>
          <w:sz w:val="24"/>
          <w:szCs w:val="24"/>
        </w:rPr>
      </w:pPr>
      <w:r>
        <w:rPr>
          <w:rFonts w:ascii="Helvetica" w:eastAsia="Times New Roman" w:hAnsi="Helvetica" w:cs="Helvetica"/>
          <w:b/>
          <w:bCs/>
          <w:color w:val="242424"/>
          <w:sz w:val="24"/>
          <w:szCs w:val="24"/>
        </w:rPr>
        <w:t>Methods</w:t>
      </w:r>
      <w:r w:rsidRPr="00165D5E">
        <w:rPr>
          <w:rFonts w:ascii="Helvetica" w:eastAsia="Times New Roman" w:hAnsi="Helvetica" w:cs="Helvetica"/>
          <w:b/>
          <w:bCs/>
          <w:color w:val="242424"/>
          <w:sz w:val="24"/>
          <w:szCs w:val="24"/>
        </w:rPr>
        <w:t>: </w:t>
      </w:r>
    </w:p>
    <w:p w14:paraId="4417EC7A" w14:textId="77777777" w:rsidR="006A73F3" w:rsidRDefault="006A73F3" w:rsidP="00AF6255">
      <w:pPr>
        <w:spacing w:after="0"/>
        <w:rPr>
          <w:rFonts w:ascii="Helvetica" w:eastAsia="Times New Roman" w:hAnsi="Helvetica" w:cs="Helvetica"/>
          <w:color w:val="242424"/>
          <w:sz w:val="24"/>
          <w:szCs w:val="24"/>
        </w:rPr>
      </w:pPr>
      <w:r w:rsidRPr="006A73F3">
        <w:rPr>
          <w:rFonts w:ascii="Helvetica" w:eastAsia="Times New Roman" w:hAnsi="Helvetica" w:cs="Helvetica"/>
          <w:color w:val="242424"/>
          <w:sz w:val="24"/>
          <w:szCs w:val="24"/>
        </w:rPr>
        <w:t>The Council functions as a multidisciplinary collective of organizations representing the interests of healthcare consumers; the medical community; state, local and territorial public health authorities; professional associations; clinical &amp; public health laboratories; and federal agencies. Multiple workgroups have been formed to create products and identify resources aimed at improving HAI/AR outbreak response.</w:t>
      </w:r>
    </w:p>
    <w:p w14:paraId="4B07BED2" w14:textId="77777777" w:rsidR="006A73F3" w:rsidRDefault="006A73F3" w:rsidP="00AF6255">
      <w:pPr>
        <w:spacing w:after="0"/>
        <w:rPr>
          <w:rFonts w:ascii="Helvetica" w:eastAsia="Times New Roman" w:hAnsi="Helvetica" w:cs="Helvetica"/>
          <w:b/>
          <w:bCs/>
          <w:color w:val="242424"/>
          <w:sz w:val="24"/>
          <w:szCs w:val="24"/>
        </w:rPr>
      </w:pPr>
    </w:p>
    <w:p w14:paraId="7030CB32" w14:textId="64D7EF64" w:rsidR="00B9115B" w:rsidRDefault="00B9115B" w:rsidP="00AF6255">
      <w:pPr>
        <w:spacing w:after="0"/>
        <w:rPr>
          <w:rFonts w:ascii="Helvetica" w:eastAsia="Times New Roman" w:hAnsi="Helvetica" w:cs="Helvetica"/>
          <w:b/>
          <w:bCs/>
          <w:color w:val="242424"/>
          <w:sz w:val="24"/>
          <w:szCs w:val="24"/>
        </w:rPr>
      </w:pPr>
      <w:r>
        <w:rPr>
          <w:rFonts w:ascii="Helvetica" w:eastAsia="Times New Roman" w:hAnsi="Helvetica" w:cs="Helvetica"/>
          <w:b/>
          <w:bCs/>
          <w:color w:val="242424"/>
          <w:sz w:val="24"/>
          <w:szCs w:val="24"/>
        </w:rPr>
        <w:t>Results</w:t>
      </w:r>
      <w:r w:rsidRPr="00165D5E">
        <w:rPr>
          <w:rFonts w:ascii="Helvetica" w:eastAsia="Times New Roman" w:hAnsi="Helvetica" w:cs="Helvetica"/>
          <w:b/>
          <w:bCs/>
          <w:color w:val="242424"/>
          <w:sz w:val="24"/>
          <w:szCs w:val="24"/>
        </w:rPr>
        <w:t>: </w:t>
      </w:r>
    </w:p>
    <w:p w14:paraId="2EF83AC4" w14:textId="02EA6F87" w:rsidR="000B1EE2" w:rsidRDefault="006A73F3" w:rsidP="00AF6255">
      <w:pPr>
        <w:spacing w:after="0"/>
        <w:rPr>
          <w:rFonts w:ascii="Helvetica" w:hAnsi="Helvetica" w:cs="Helvetica"/>
          <w:sz w:val="24"/>
          <w:szCs w:val="24"/>
        </w:rPr>
      </w:pPr>
      <w:r w:rsidRPr="006A73F3">
        <w:rPr>
          <w:rFonts w:ascii="Helvetica" w:hAnsi="Helvetica" w:cs="Helvetica"/>
          <w:sz w:val="24"/>
          <w:szCs w:val="24"/>
        </w:rPr>
        <w:t xml:space="preserve">CORHA has developed a variety of outbreak detection and response products through workgroups composed of representatives from each member organization. The Outbreak Detection and Reporting workgroup has developed investigation/reporting thresholds and proposed outbreak definitions for selected conditions including Candida </w:t>
      </w:r>
      <w:proofErr w:type="spellStart"/>
      <w:r w:rsidRPr="006A73F3">
        <w:rPr>
          <w:rFonts w:ascii="Helvetica" w:hAnsi="Helvetica" w:cs="Helvetica"/>
          <w:sz w:val="24"/>
          <w:szCs w:val="24"/>
        </w:rPr>
        <w:t>auris</w:t>
      </w:r>
      <w:proofErr w:type="spellEnd"/>
      <w:r w:rsidRPr="006A73F3">
        <w:rPr>
          <w:rFonts w:ascii="Helvetica" w:hAnsi="Helvetica" w:cs="Helvetica"/>
          <w:sz w:val="24"/>
          <w:szCs w:val="24"/>
        </w:rPr>
        <w:t xml:space="preserve">, Clostridium difficile, Carbapenem-resistant Enterobacteriaceae (CRE), Scabies, and Nontuberculous Mycobacteria. The Outbreak Investigation and Control workgroup developed investigation guidance for C. </w:t>
      </w:r>
      <w:proofErr w:type="spellStart"/>
      <w:r w:rsidRPr="006A73F3">
        <w:rPr>
          <w:rFonts w:ascii="Helvetica" w:hAnsi="Helvetica" w:cs="Helvetica"/>
          <w:sz w:val="24"/>
          <w:szCs w:val="24"/>
        </w:rPr>
        <w:t>auris</w:t>
      </w:r>
      <w:proofErr w:type="spellEnd"/>
      <w:r w:rsidRPr="006A73F3">
        <w:rPr>
          <w:rFonts w:ascii="Helvetica" w:hAnsi="Helvetica" w:cs="Helvetica"/>
          <w:sz w:val="24"/>
          <w:szCs w:val="24"/>
        </w:rPr>
        <w:t xml:space="preserve"> &amp; C. difficile and created a data dictionary/activity tracking system to assist health departments and large healthcare systems in managing information for investigations of HAI-AR outbreaks.</w:t>
      </w:r>
    </w:p>
    <w:p w14:paraId="76C54A0F" w14:textId="77777777" w:rsidR="006A73F3" w:rsidRPr="000B1EE2" w:rsidRDefault="006A73F3" w:rsidP="00AF6255">
      <w:pPr>
        <w:spacing w:after="0"/>
        <w:rPr>
          <w:rFonts w:ascii="Helvetica" w:eastAsia="Times New Roman" w:hAnsi="Helvetica" w:cs="Helvetica"/>
          <w:b/>
          <w:bCs/>
          <w:color w:val="242424"/>
          <w:sz w:val="24"/>
          <w:szCs w:val="24"/>
        </w:rPr>
      </w:pPr>
    </w:p>
    <w:p w14:paraId="11831982" w14:textId="41D645C4" w:rsidR="00D7426E" w:rsidRDefault="00910E82" w:rsidP="006C5D98">
      <w:pPr>
        <w:spacing w:after="0"/>
        <w:rPr>
          <w:rFonts w:ascii="Helvetica" w:eastAsia="Times New Roman" w:hAnsi="Helvetica" w:cs="Helvetica"/>
          <w:b/>
          <w:bCs/>
          <w:color w:val="242424"/>
          <w:sz w:val="24"/>
          <w:szCs w:val="24"/>
        </w:rPr>
      </w:pPr>
      <w:r>
        <w:rPr>
          <w:rFonts w:ascii="Helvetica" w:eastAsia="Times New Roman" w:hAnsi="Helvetica" w:cs="Helvetica"/>
          <w:b/>
          <w:bCs/>
          <w:color w:val="242424"/>
          <w:sz w:val="24"/>
          <w:szCs w:val="24"/>
        </w:rPr>
        <w:t>Conclusion</w:t>
      </w:r>
      <w:r w:rsidR="00B9115B" w:rsidRPr="00165D5E">
        <w:rPr>
          <w:rFonts w:ascii="Helvetica" w:eastAsia="Times New Roman" w:hAnsi="Helvetica" w:cs="Helvetica"/>
          <w:b/>
          <w:bCs/>
          <w:color w:val="242424"/>
          <w:sz w:val="24"/>
          <w:szCs w:val="24"/>
        </w:rPr>
        <w:t>:</w:t>
      </w:r>
    </w:p>
    <w:p w14:paraId="57DE999A" w14:textId="43E0FCBC" w:rsidR="002D3780" w:rsidRDefault="006A73F3" w:rsidP="006A73F3">
      <w:pPr>
        <w:spacing w:after="0"/>
      </w:pPr>
      <w:r w:rsidRPr="006A73F3">
        <w:rPr>
          <w:rFonts w:ascii="Helvetica" w:hAnsi="Helvetica" w:cs="Helvetica"/>
          <w:sz w:val="24"/>
        </w:rPr>
        <w:t>Because of its multidisciplinary nature, CORHA is well equipped to identify and address the needs for HAI/AR outbreak detection and response activities across the healthcare spectrum. The Council continues to grow in terms of member organizations, expanding workgroup activities, and new product/resource development.</w:t>
      </w:r>
      <w:bookmarkStart w:id="0" w:name="_GoBack"/>
      <w:bookmarkEnd w:id="0"/>
    </w:p>
    <w:sectPr w:rsidR="002D37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D5E"/>
    <w:rsid w:val="00014751"/>
    <w:rsid w:val="00071195"/>
    <w:rsid w:val="00086AD4"/>
    <w:rsid w:val="000879F7"/>
    <w:rsid w:val="0009232C"/>
    <w:rsid w:val="000B1EE2"/>
    <w:rsid w:val="000B2385"/>
    <w:rsid w:val="000C3E53"/>
    <w:rsid w:val="000E2F8A"/>
    <w:rsid w:val="000E65B3"/>
    <w:rsid w:val="000F769E"/>
    <w:rsid w:val="00100306"/>
    <w:rsid w:val="00142E62"/>
    <w:rsid w:val="001502CD"/>
    <w:rsid w:val="001553CC"/>
    <w:rsid w:val="001556C0"/>
    <w:rsid w:val="00165D5E"/>
    <w:rsid w:val="00197B98"/>
    <w:rsid w:val="001A3414"/>
    <w:rsid w:val="001A710C"/>
    <w:rsid w:val="001E68F0"/>
    <w:rsid w:val="001F5522"/>
    <w:rsid w:val="002412A2"/>
    <w:rsid w:val="00267E01"/>
    <w:rsid w:val="002731E4"/>
    <w:rsid w:val="002834C9"/>
    <w:rsid w:val="002C1FA2"/>
    <w:rsid w:val="002D3780"/>
    <w:rsid w:val="00307102"/>
    <w:rsid w:val="003277FB"/>
    <w:rsid w:val="003448D1"/>
    <w:rsid w:val="00354655"/>
    <w:rsid w:val="00391A75"/>
    <w:rsid w:val="00392922"/>
    <w:rsid w:val="003D3B23"/>
    <w:rsid w:val="003F473B"/>
    <w:rsid w:val="0043289B"/>
    <w:rsid w:val="00460660"/>
    <w:rsid w:val="004650D7"/>
    <w:rsid w:val="0048521E"/>
    <w:rsid w:val="005035C9"/>
    <w:rsid w:val="00523437"/>
    <w:rsid w:val="00525697"/>
    <w:rsid w:val="00546BA8"/>
    <w:rsid w:val="0059700E"/>
    <w:rsid w:val="005A49B4"/>
    <w:rsid w:val="005B7CA7"/>
    <w:rsid w:val="005D4939"/>
    <w:rsid w:val="005F6D40"/>
    <w:rsid w:val="005F6FFA"/>
    <w:rsid w:val="00614D0F"/>
    <w:rsid w:val="006351AB"/>
    <w:rsid w:val="006516E6"/>
    <w:rsid w:val="006A4FD7"/>
    <w:rsid w:val="006A73F3"/>
    <w:rsid w:val="006C5D98"/>
    <w:rsid w:val="007408D5"/>
    <w:rsid w:val="007911A0"/>
    <w:rsid w:val="007916F4"/>
    <w:rsid w:val="00794A62"/>
    <w:rsid w:val="00795DD5"/>
    <w:rsid w:val="007A646B"/>
    <w:rsid w:val="007F6F4B"/>
    <w:rsid w:val="00882BD2"/>
    <w:rsid w:val="00891B49"/>
    <w:rsid w:val="008A7FB3"/>
    <w:rsid w:val="008E45A0"/>
    <w:rsid w:val="008F643C"/>
    <w:rsid w:val="008F6C1E"/>
    <w:rsid w:val="008F7509"/>
    <w:rsid w:val="00901F30"/>
    <w:rsid w:val="00910E82"/>
    <w:rsid w:val="00941B20"/>
    <w:rsid w:val="00947759"/>
    <w:rsid w:val="0097605B"/>
    <w:rsid w:val="0098063D"/>
    <w:rsid w:val="0098742D"/>
    <w:rsid w:val="009A5C3D"/>
    <w:rsid w:val="009E5FE3"/>
    <w:rsid w:val="00A51039"/>
    <w:rsid w:val="00A678A4"/>
    <w:rsid w:val="00A7211A"/>
    <w:rsid w:val="00A8134A"/>
    <w:rsid w:val="00AD2AF8"/>
    <w:rsid w:val="00AF6255"/>
    <w:rsid w:val="00B2194D"/>
    <w:rsid w:val="00B33052"/>
    <w:rsid w:val="00B9073F"/>
    <w:rsid w:val="00B9115B"/>
    <w:rsid w:val="00BB2452"/>
    <w:rsid w:val="00BD0BE3"/>
    <w:rsid w:val="00C2310A"/>
    <w:rsid w:val="00C23C5B"/>
    <w:rsid w:val="00C746E0"/>
    <w:rsid w:val="00CB70A0"/>
    <w:rsid w:val="00CD5123"/>
    <w:rsid w:val="00D06DD2"/>
    <w:rsid w:val="00D2120B"/>
    <w:rsid w:val="00D32D5B"/>
    <w:rsid w:val="00D56B28"/>
    <w:rsid w:val="00D663E8"/>
    <w:rsid w:val="00D7426E"/>
    <w:rsid w:val="00E2353A"/>
    <w:rsid w:val="00E75CDA"/>
    <w:rsid w:val="00E76D11"/>
    <w:rsid w:val="00E95D6F"/>
    <w:rsid w:val="00EA0A2B"/>
    <w:rsid w:val="00EE339B"/>
    <w:rsid w:val="00EE62C1"/>
    <w:rsid w:val="00EF380D"/>
    <w:rsid w:val="00EF3927"/>
    <w:rsid w:val="00F203DB"/>
    <w:rsid w:val="00F83D29"/>
    <w:rsid w:val="00FA2804"/>
    <w:rsid w:val="00FA3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67E27"/>
  <w15:chartTrackingRefBased/>
  <w15:docId w15:val="{660CA6C0-2EB9-40C0-85AA-65885143D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165D5E"/>
  </w:style>
  <w:style w:type="character" w:styleId="Hyperlink">
    <w:name w:val="Hyperlink"/>
    <w:basedOn w:val="DefaultParagraphFont"/>
    <w:uiPriority w:val="99"/>
    <w:semiHidden/>
    <w:unhideWhenUsed/>
    <w:rsid w:val="00165D5E"/>
    <w:rPr>
      <w:color w:val="0000FF"/>
      <w:u w:val="single"/>
    </w:rPr>
  </w:style>
  <w:style w:type="character" w:customStyle="1" w:styleId="affiliation">
    <w:name w:val="affiliation"/>
    <w:basedOn w:val="DefaultParagraphFont"/>
    <w:rsid w:val="00165D5E"/>
  </w:style>
  <w:style w:type="paragraph" w:styleId="NormalWeb">
    <w:name w:val="Normal (Web)"/>
    <w:basedOn w:val="Normal"/>
    <w:uiPriority w:val="99"/>
    <w:semiHidden/>
    <w:unhideWhenUsed/>
    <w:rsid w:val="00165D5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E339B"/>
    <w:rPr>
      <w:sz w:val="16"/>
      <w:szCs w:val="16"/>
    </w:rPr>
  </w:style>
  <w:style w:type="paragraph" w:styleId="CommentText">
    <w:name w:val="annotation text"/>
    <w:basedOn w:val="Normal"/>
    <w:link w:val="CommentTextChar"/>
    <w:uiPriority w:val="99"/>
    <w:semiHidden/>
    <w:unhideWhenUsed/>
    <w:rsid w:val="00EE339B"/>
    <w:pPr>
      <w:spacing w:line="240" w:lineRule="auto"/>
    </w:pPr>
    <w:rPr>
      <w:sz w:val="20"/>
      <w:szCs w:val="20"/>
    </w:rPr>
  </w:style>
  <w:style w:type="character" w:customStyle="1" w:styleId="CommentTextChar">
    <w:name w:val="Comment Text Char"/>
    <w:basedOn w:val="DefaultParagraphFont"/>
    <w:link w:val="CommentText"/>
    <w:uiPriority w:val="99"/>
    <w:semiHidden/>
    <w:rsid w:val="00EE339B"/>
    <w:rPr>
      <w:sz w:val="20"/>
      <w:szCs w:val="20"/>
    </w:rPr>
  </w:style>
  <w:style w:type="paragraph" w:styleId="CommentSubject">
    <w:name w:val="annotation subject"/>
    <w:basedOn w:val="CommentText"/>
    <w:next w:val="CommentText"/>
    <w:link w:val="CommentSubjectChar"/>
    <w:uiPriority w:val="99"/>
    <w:semiHidden/>
    <w:unhideWhenUsed/>
    <w:rsid w:val="00EE339B"/>
    <w:rPr>
      <w:b/>
      <w:bCs/>
    </w:rPr>
  </w:style>
  <w:style w:type="character" w:customStyle="1" w:styleId="CommentSubjectChar">
    <w:name w:val="Comment Subject Char"/>
    <w:basedOn w:val="CommentTextChar"/>
    <w:link w:val="CommentSubject"/>
    <w:uiPriority w:val="99"/>
    <w:semiHidden/>
    <w:rsid w:val="00EE339B"/>
    <w:rPr>
      <w:b/>
      <w:bCs/>
      <w:sz w:val="20"/>
      <w:szCs w:val="20"/>
    </w:rPr>
  </w:style>
  <w:style w:type="paragraph" w:styleId="BalloonText">
    <w:name w:val="Balloon Text"/>
    <w:basedOn w:val="Normal"/>
    <w:link w:val="BalloonTextChar"/>
    <w:uiPriority w:val="99"/>
    <w:semiHidden/>
    <w:unhideWhenUsed/>
    <w:rsid w:val="00EE33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3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3715799">
      <w:bodyDiv w:val="1"/>
      <w:marLeft w:val="0"/>
      <w:marRight w:val="0"/>
      <w:marTop w:val="0"/>
      <w:marBottom w:val="0"/>
      <w:divBdr>
        <w:top w:val="none" w:sz="0" w:space="0" w:color="auto"/>
        <w:left w:val="none" w:sz="0" w:space="0" w:color="auto"/>
        <w:bottom w:val="none" w:sz="0" w:space="0" w:color="auto"/>
        <w:right w:val="none" w:sz="0" w:space="0" w:color="auto"/>
      </w:divBdr>
      <w:divsChild>
        <w:div w:id="1616449824">
          <w:marLeft w:val="0"/>
          <w:marRight w:val="0"/>
          <w:marTop w:val="240"/>
          <w:marBottom w:val="48"/>
          <w:divBdr>
            <w:top w:val="none" w:sz="0" w:space="0" w:color="auto"/>
            <w:left w:val="none" w:sz="0" w:space="0" w:color="auto"/>
            <w:bottom w:val="none" w:sz="0" w:space="0" w:color="auto"/>
            <w:right w:val="none" w:sz="0" w:space="0" w:color="auto"/>
          </w:divBdr>
        </w:div>
        <w:div w:id="97678693">
          <w:marLeft w:val="0"/>
          <w:marRight w:val="0"/>
          <w:marTop w:val="0"/>
          <w:marBottom w:val="240"/>
          <w:divBdr>
            <w:top w:val="none" w:sz="0" w:space="0" w:color="auto"/>
            <w:left w:val="none" w:sz="0" w:space="0" w:color="auto"/>
            <w:bottom w:val="none" w:sz="0" w:space="0" w:color="auto"/>
            <w:right w:val="none" w:sz="0" w:space="0" w:color="auto"/>
          </w:divBdr>
        </w:div>
        <w:div w:id="752170089">
          <w:marLeft w:val="0"/>
          <w:marRight w:val="0"/>
          <w:marTop w:val="0"/>
          <w:marBottom w:val="0"/>
          <w:divBdr>
            <w:top w:val="none" w:sz="0" w:space="0" w:color="auto"/>
            <w:left w:val="none" w:sz="0" w:space="0" w:color="auto"/>
            <w:bottom w:val="none" w:sz="0" w:space="0" w:color="auto"/>
            <w:right w:val="none" w:sz="0" w:space="0" w:color="auto"/>
          </w:divBdr>
          <w:divsChild>
            <w:div w:id="1423254596">
              <w:marLeft w:val="0"/>
              <w:marRight w:val="0"/>
              <w:marTop w:val="0"/>
              <w:marBottom w:val="0"/>
              <w:divBdr>
                <w:top w:val="none" w:sz="0" w:space="0" w:color="auto"/>
                <w:left w:val="none" w:sz="0" w:space="0" w:color="auto"/>
                <w:bottom w:val="none" w:sz="0" w:space="0" w:color="auto"/>
                <w:right w:val="none" w:sz="0" w:space="0" w:color="auto"/>
              </w:divBdr>
            </w:div>
            <w:div w:id="1170169992">
              <w:marLeft w:val="0"/>
              <w:marRight w:val="0"/>
              <w:marTop w:val="0"/>
              <w:marBottom w:val="0"/>
              <w:divBdr>
                <w:top w:val="none" w:sz="0" w:space="0" w:color="auto"/>
                <w:left w:val="none" w:sz="0" w:space="0" w:color="auto"/>
                <w:bottom w:val="none" w:sz="0" w:space="0" w:color="auto"/>
                <w:right w:val="none" w:sz="0" w:space="0" w:color="auto"/>
              </w:divBdr>
            </w:div>
            <w:div w:id="1850756797">
              <w:marLeft w:val="0"/>
              <w:marRight w:val="0"/>
              <w:marTop w:val="0"/>
              <w:marBottom w:val="0"/>
              <w:divBdr>
                <w:top w:val="none" w:sz="0" w:space="0" w:color="auto"/>
                <w:left w:val="none" w:sz="0" w:space="0" w:color="auto"/>
                <w:bottom w:val="none" w:sz="0" w:space="0" w:color="auto"/>
                <w:right w:val="none" w:sz="0" w:space="0" w:color="auto"/>
              </w:divBdr>
            </w:div>
            <w:div w:id="1171868118">
              <w:marLeft w:val="0"/>
              <w:marRight w:val="0"/>
              <w:marTop w:val="0"/>
              <w:marBottom w:val="0"/>
              <w:divBdr>
                <w:top w:val="none" w:sz="0" w:space="0" w:color="auto"/>
                <w:left w:val="none" w:sz="0" w:space="0" w:color="auto"/>
                <w:bottom w:val="none" w:sz="0" w:space="0" w:color="auto"/>
                <w:right w:val="none" w:sz="0" w:space="0" w:color="auto"/>
              </w:divBdr>
            </w:div>
          </w:divsChild>
        </w:div>
        <w:div w:id="966549446">
          <w:marLeft w:val="0"/>
          <w:marRight w:val="0"/>
          <w:marTop w:val="0"/>
          <w:marBottom w:val="0"/>
          <w:divBdr>
            <w:top w:val="none" w:sz="0" w:space="0" w:color="auto"/>
            <w:left w:val="none" w:sz="0" w:space="0" w:color="auto"/>
            <w:bottom w:val="none" w:sz="0" w:space="0" w:color="auto"/>
            <w:right w:val="none" w:sz="0" w:space="0" w:color="auto"/>
          </w:divBdr>
          <w:divsChild>
            <w:div w:id="75386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ste.confex.com/cste/2017/webprogram/Person663.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ste.confex.com/cste/2017/webprogram/Person7959.html" TargetMode="External"/><Relationship Id="rId5" Type="http://schemas.openxmlformats.org/officeDocument/2006/relationships/hyperlink" Target="https://cste.confex.com/cste/2017/webprogram/Person5477.html" TargetMode="External"/><Relationship Id="rId4" Type="http://schemas.openxmlformats.org/officeDocument/2006/relationships/hyperlink" Target="https://cste.confex.com/cste/2017/webprogram/Person8488.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Michael Anderson</cp:lastModifiedBy>
  <cp:revision>98</cp:revision>
  <dcterms:created xsi:type="dcterms:W3CDTF">2018-03-02T18:36:00Z</dcterms:created>
  <dcterms:modified xsi:type="dcterms:W3CDTF">2018-03-02T22:26:00Z</dcterms:modified>
</cp:coreProperties>
</file>