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48AF" w:rsidRPr="00895933" w:rsidRDefault="00AE48AF" w:rsidP="00AE48AF">
      <w:pPr>
        <w:pStyle w:val="Heading2"/>
        <w:rPr>
          <w:rFonts w:asciiTheme="minorHAnsi" w:eastAsia="Times New Roman" w:hAnsiTheme="minorHAnsi" w:cstheme="minorHAnsi"/>
          <w:b/>
          <w:i/>
          <w:color w:val="3296D2"/>
          <w:sz w:val="28"/>
          <w:szCs w:val="28"/>
        </w:rPr>
      </w:pPr>
      <w:bookmarkStart w:id="0" w:name="_Toc514423564"/>
      <w:r w:rsidRPr="001B5861">
        <w:rPr>
          <w:rFonts w:asciiTheme="minorHAnsi" w:eastAsia="Times New Roman" w:hAnsiTheme="minorHAnsi" w:cstheme="minorHAnsi"/>
          <w:b/>
          <w:color w:val="3296D2"/>
          <w:sz w:val="28"/>
          <w:szCs w:val="28"/>
        </w:rPr>
        <w:t xml:space="preserve">Appendix A: CORHA High-Level Guidance Chapter on Investigation of HAI/AR Outbreaks </w:t>
      </w:r>
      <w:r>
        <w:rPr>
          <w:rFonts w:asciiTheme="minorHAnsi" w:eastAsia="Times New Roman" w:hAnsiTheme="minorHAnsi" w:cstheme="minorHAnsi"/>
          <w:b/>
          <w:i/>
          <w:color w:val="3296D2"/>
          <w:sz w:val="28"/>
          <w:szCs w:val="28"/>
        </w:rPr>
        <w:t>(Draft)</w:t>
      </w:r>
      <w:bookmarkEnd w:id="0"/>
    </w:p>
    <w:p w:rsidR="00AE48AF" w:rsidRPr="00912B49" w:rsidRDefault="00AE48AF" w:rsidP="00AE48AF">
      <w:pPr>
        <w:spacing w:after="0" w:line="240" w:lineRule="auto"/>
        <w:rPr>
          <w:b/>
          <w:color w:val="3296D2"/>
        </w:rPr>
      </w:pPr>
      <w:r w:rsidRPr="00912B49">
        <w:rPr>
          <w:b/>
          <w:i/>
          <w:color w:val="3296D2"/>
        </w:rPr>
        <w:t>Draft Copy for Discussion Purposes Only. Do not Distribute.</w:t>
      </w:r>
    </w:p>
    <w:p w:rsidR="00AE48AF" w:rsidRPr="007E58C5" w:rsidRDefault="00AE48AF" w:rsidP="00AE48AF">
      <w:pPr>
        <w:spacing w:after="0" w:line="240" w:lineRule="auto"/>
        <w:rPr>
          <w:b/>
          <w:color w:val="3296D2"/>
          <w:sz w:val="28"/>
          <w:szCs w:val="28"/>
        </w:rPr>
      </w:pPr>
    </w:p>
    <w:p w:rsidR="00AE48AF" w:rsidRPr="007E58C5" w:rsidRDefault="00AE48AF" w:rsidP="00AE48AF">
      <w:pPr>
        <w:pBdr>
          <w:bottom w:val="single" w:sz="6" w:space="1" w:color="auto"/>
        </w:pBdr>
        <w:spacing w:after="0" w:line="240" w:lineRule="auto"/>
        <w:rPr>
          <w:rFonts w:ascii="Calibri" w:eastAsia="Calibri" w:hAnsi="Calibri" w:cs="Avenir 55 Roman"/>
          <w:b/>
        </w:rPr>
      </w:pPr>
      <w:r w:rsidRPr="007E58C5">
        <w:rPr>
          <w:rFonts w:ascii="Calibri" w:eastAsia="Calibri" w:hAnsi="Calibri" w:cs="Avenir 55 Roman"/>
          <w:b/>
          <w:highlight w:val="yellow"/>
        </w:rPr>
        <w:t>NOTE: This is a “living document” so, as CORHA materials are developed, links will be inserted where appropriate.</w:t>
      </w:r>
    </w:p>
    <w:p w:rsidR="00AE48AF" w:rsidRPr="007E58C5" w:rsidRDefault="00AE48AF" w:rsidP="00AE48AF">
      <w:pPr>
        <w:pBdr>
          <w:bottom w:val="single" w:sz="6" w:space="1" w:color="auto"/>
        </w:pBdr>
        <w:spacing w:after="0" w:line="240" w:lineRule="auto"/>
        <w:rPr>
          <w:rFonts w:ascii="Calibri" w:eastAsia="Calibri" w:hAnsi="Calibri" w:cs="Avenir 55 Roman"/>
          <w:b/>
        </w:rPr>
      </w:pPr>
    </w:p>
    <w:p w:rsidR="00AE48AF" w:rsidRPr="007E58C5" w:rsidRDefault="00AE48AF" w:rsidP="00AE48AF">
      <w:pPr>
        <w:spacing w:after="0" w:line="240" w:lineRule="auto"/>
        <w:rPr>
          <w:rFonts w:ascii="Calibri" w:eastAsia="Calibri" w:hAnsi="Calibri" w:cs="Avenir 55 Roman"/>
          <w:b/>
        </w:rPr>
      </w:pPr>
    </w:p>
    <w:p w:rsidR="00AE48AF" w:rsidRDefault="00AE48AF" w:rsidP="00AE48AF">
      <w:pPr>
        <w:spacing w:after="0" w:line="240" w:lineRule="auto"/>
        <w:jc w:val="center"/>
        <w:rPr>
          <w:rFonts w:ascii="Calibri" w:eastAsia="Calibri" w:hAnsi="Calibri" w:cs="Avenir 55 Roman"/>
          <w:b/>
          <w:sz w:val="28"/>
        </w:rPr>
      </w:pPr>
      <w:r w:rsidRPr="007E58C5">
        <w:rPr>
          <w:rFonts w:ascii="Calibri" w:eastAsia="Calibri" w:hAnsi="Calibri" w:cs="Avenir 55 Roman"/>
          <w:b/>
          <w:sz w:val="28"/>
        </w:rPr>
        <w:t>Responding to Possible Healthcare-Associated Infection or Antibiotic-Resistant Organism (HAI-AR) Outbreaks</w:t>
      </w:r>
    </w:p>
    <w:p w:rsidR="00AE48AF" w:rsidRPr="007E58C5" w:rsidRDefault="00AE48AF" w:rsidP="00AE48AF">
      <w:pPr>
        <w:spacing w:after="0" w:line="240" w:lineRule="auto"/>
        <w:jc w:val="center"/>
        <w:rPr>
          <w:rFonts w:ascii="Calibri" w:eastAsia="Calibri" w:hAnsi="Calibri" w:cs="Avenir 55 Roman"/>
          <w:b/>
          <w:sz w:val="28"/>
        </w:rPr>
      </w:pPr>
    </w:p>
    <w:p w:rsidR="00AE48AF" w:rsidRPr="007E58C5" w:rsidRDefault="00AE48AF" w:rsidP="00AE48AF">
      <w:pPr>
        <w:spacing w:line="240" w:lineRule="auto"/>
        <w:rPr>
          <w:rFonts w:ascii="Calibri" w:eastAsia="Calibri" w:hAnsi="Calibri" w:cs="Avenir 55 Roman"/>
          <w:b/>
        </w:rPr>
      </w:pPr>
      <w:r w:rsidRPr="007E58C5">
        <w:rPr>
          <w:rFonts w:ascii="Calibri" w:eastAsia="Calibri" w:hAnsi="Calibri" w:cs="Avenir 55 Roman"/>
          <w:b/>
          <w:sz w:val="28"/>
        </w:rPr>
        <w:t>Introduction</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This guidance was developed to inform the investigation and control of possible HAI-AR outbreaks by public health and healthcare system partners. We use the term </w:t>
      </w:r>
      <w:r w:rsidRPr="007E58C5">
        <w:rPr>
          <w:rFonts w:ascii="Calibri" w:eastAsia="Calibri" w:hAnsi="Calibri" w:cs="Times New Roman"/>
          <w:i/>
        </w:rPr>
        <w:t>response</w:t>
      </w:r>
      <w:r w:rsidRPr="007E58C5">
        <w:rPr>
          <w:rFonts w:ascii="Calibri" w:eastAsia="Calibri" w:hAnsi="Calibri" w:cs="Times New Roman"/>
        </w:rPr>
        <w:t xml:space="preserve"> to describe efforts to assess and investigate specific, acute HAI-AR risks, which may take the form of (1) a serious breach in infection control practice, (2) a sentinel case of public health significance (e.g., an unusual HAI or emerging AR threat of public health significance), or (3) a possible or confirmed outbreak.</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The type of investigation and appropriate level of response will vary depending on several factors, including the nature of the initial report. Possible HAI outbreaks can be identified by routine, laboratory-based surveillance; routine infection surveillance; or reports from individual healthcare personnel who detect unusual events.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A systematic approach is necessary to examine the nature and scope of the problem, identify the etiologic agent, define the population at risk, establish the existence of an outbreak, determine risk factors and routes of transmission, implement appropriate control measures and develop strategies to prevent future occurrences.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While hospitals and other healthcare facilities are responsible for prevention and control practices on their premises, public health officials are responsible for ensuring the health and safety of the population within their jurisdiction, including residents and visitors alike. In this capacity, public health authorities may provide healthcare facilities assistance with epidemiological analyses, laboratory testing, environmental assessments, and other tasks necessary for disease control. Public health partners for HAI-AR response often include state or local health departments, as well as federal agencies such as the Centers for Disease Control and Prevention (CDC) or the Food and Drug Administration (FDA).</w:t>
      </w:r>
    </w:p>
    <w:p w:rsidR="00AE48AF"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This chapter reviews the key elements and steps involved in an HAI-AR response. The content is geared toward situations involving unexplained clusters of infections (i.e., a potential outbreak). For guidance pertaining to the investigation of serious infection control breaches or sentinel cases of emerging pathogens and AR threats, please refer to the </w:t>
      </w:r>
      <w:hyperlink r:id="rId7" w:history="1">
        <w:r w:rsidRPr="007E58C5">
          <w:rPr>
            <w:rFonts w:ascii="Calibri" w:eastAsia="Calibri" w:hAnsi="Calibri" w:cs="Times New Roman"/>
            <w:color w:val="0563C1"/>
            <w:u w:val="single"/>
          </w:rPr>
          <w:t>www.CDC.gov</w:t>
        </w:r>
      </w:hyperlink>
      <w:r w:rsidRPr="007E58C5">
        <w:rPr>
          <w:rFonts w:ascii="Calibri" w:eastAsia="Calibri" w:hAnsi="Calibri" w:cs="Times New Roman"/>
        </w:rPr>
        <w:t xml:space="preserve"> and www.CORHA.org websites.</w:t>
      </w:r>
    </w:p>
    <w:p w:rsidR="00AE48AF" w:rsidRDefault="00AE48AF" w:rsidP="00AE48AF">
      <w:pPr>
        <w:spacing w:line="240" w:lineRule="auto"/>
        <w:rPr>
          <w:rFonts w:ascii="Calibri" w:eastAsia="Calibri" w:hAnsi="Calibri" w:cs="Times New Roman"/>
        </w:rPr>
      </w:pPr>
    </w:p>
    <w:p w:rsidR="00AE48AF" w:rsidRDefault="00AE48AF" w:rsidP="00AE48AF">
      <w:pPr>
        <w:spacing w:line="240" w:lineRule="auto"/>
        <w:rPr>
          <w:rFonts w:ascii="Calibri" w:eastAsia="Calibri" w:hAnsi="Calibri" w:cs="Times New Roman"/>
        </w:rPr>
      </w:pPr>
    </w:p>
    <w:p w:rsidR="00AE48AF" w:rsidRPr="007E58C5" w:rsidRDefault="00AE48AF" w:rsidP="00AE48AF">
      <w:pPr>
        <w:spacing w:line="240" w:lineRule="auto"/>
        <w:rPr>
          <w:rFonts w:ascii="Calibri" w:eastAsia="Calibri" w:hAnsi="Calibri" w:cs="Times New Roman"/>
        </w:rPr>
      </w:pPr>
    </w:p>
    <w:p w:rsidR="00AE48AF" w:rsidRPr="007E58C5" w:rsidRDefault="00AE48AF" w:rsidP="00AE48AF">
      <w:pPr>
        <w:spacing w:line="240" w:lineRule="auto"/>
        <w:rPr>
          <w:rFonts w:ascii="Calibri" w:eastAsia="Calibri" w:hAnsi="Calibri" w:cs="Avenir 55 Roman"/>
          <w:b/>
          <w:sz w:val="28"/>
        </w:rPr>
      </w:pPr>
      <w:r w:rsidRPr="007E58C5">
        <w:rPr>
          <w:rFonts w:ascii="Calibri" w:eastAsia="Calibri" w:hAnsi="Calibri" w:cs="Avenir 55 Roman"/>
          <w:b/>
          <w:sz w:val="28"/>
        </w:rPr>
        <w:lastRenderedPageBreak/>
        <w:t>Key Elements to Successfully Conduct Outbreak Investigations</w:t>
      </w:r>
    </w:p>
    <w:p w:rsidR="00AE48AF" w:rsidRPr="007E58C5" w:rsidRDefault="00AE48AF" w:rsidP="00AE48AF">
      <w:pPr>
        <w:spacing w:line="240" w:lineRule="auto"/>
        <w:rPr>
          <w:rFonts w:ascii="Calibri" w:eastAsia="Calibri" w:hAnsi="Calibri" w:cs="Times New Roman"/>
          <w:b/>
        </w:rPr>
      </w:pPr>
      <w:r w:rsidRPr="007E58C5">
        <w:rPr>
          <w:rFonts w:ascii="Calibri" w:eastAsia="Calibri" w:hAnsi="Calibri" w:cs="Times New Roman"/>
          <w:b/>
        </w:rPr>
        <w:t>Overview of Activities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During an investigation, activities </w:t>
      </w:r>
      <w:r w:rsidRPr="007E58C5">
        <w:rPr>
          <w:rFonts w:ascii="Calibri" w:eastAsia="Calibri" w:hAnsi="Calibri" w:cs="Times New Roman"/>
          <w:i/>
        </w:rPr>
        <w:t>may</w:t>
      </w:r>
      <w:r w:rsidRPr="007E58C5">
        <w:rPr>
          <w:rFonts w:ascii="Calibri" w:eastAsia="Calibri" w:hAnsi="Calibri" w:cs="Times New Roman"/>
        </w:rPr>
        <w:t xml:space="preserve"> involve:</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 Case finding, including efforts to identify potentially at-risk patients and ascertain their status with regard to signs, symptoms or laboratory evidence of infection;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 Assessments of healthcare practices to identify breaks in infection control;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Epidemiologic studies to evaluate potential sources of exposure, routes of transmission, and disease risk factors;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Laboratory studies to identify and characterize the etiologic agent (e.g., determine its drug-resistance profile) and the patients’ infection/colonization status;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Laboratory studies to establish the relatedness of strains obtained from patients, healthcare personnel, medical products, or the healthcare environment;</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Environmental studies that incorporate sampling and testing to identify possible microbial reservoirs, evaluate possible routes of transmission, and inform control measures;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The quarantine or collection of potentially contaminated medical products (e.g., devices, medications, etc.), if indicated;</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Implementation and monitoring of control measures to correct deficient practices and stop the spread of the infectious agent;</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and</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Communication with regulatory partners (e.g., the FDA, accreditation agencies, state survey agencies, professional licensing boards, etc.) to relate findings that might prompt regulatory action to improve the safety of medical products or to remedy lapses in patient care (see Table I); and</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Communication with healthcare providers, healthcare administrators, patients, and others, as necessary to ensure appropriate awareness of investigation findings;</w:t>
      </w:r>
    </w:p>
    <w:p w:rsidR="00AE48AF" w:rsidRPr="007E58C5" w:rsidRDefault="00AE48AF" w:rsidP="00AE48AF">
      <w:pPr>
        <w:spacing w:line="240" w:lineRule="auto"/>
        <w:rPr>
          <w:rFonts w:ascii="Calibri" w:eastAsia="Calibri" w:hAnsi="Calibri" w:cs="Times New Roman"/>
        </w:rPr>
      </w:pPr>
    </w:p>
    <w:tbl>
      <w:tblPr>
        <w:tblStyle w:val="TableGrid1"/>
        <w:tblW w:w="0" w:type="auto"/>
        <w:tblLook w:val="04A0" w:firstRow="1" w:lastRow="0" w:firstColumn="1" w:lastColumn="0" w:noHBand="0" w:noVBand="1"/>
      </w:tblPr>
      <w:tblGrid>
        <w:gridCol w:w="2601"/>
        <w:gridCol w:w="5490"/>
      </w:tblGrid>
      <w:tr w:rsidR="00AE48AF" w:rsidRPr="007E58C5" w:rsidTr="009F7E3B">
        <w:tc>
          <w:tcPr>
            <w:tcW w:w="8091" w:type="dxa"/>
            <w:gridSpan w:val="2"/>
          </w:tcPr>
          <w:p w:rsidR="00AE48AF" w:rsidRPr="007E58C5" w:rsidRDefault="00AE48AF" w:rsidP="009F7E3B">
            <w:pPr>
              <w:spacing w:after="160" w:line="259" w:lineRule="auto"/>
              <w:jc w:val="center"/>
              <w:rPr>
                <w:rFonts w:ascii="Calibri" w:eastAsia="Calibri" w:hAnsi="Calibri" w:cs="Times New Roman"/>
                <w:b/>
              </w:rPr>
            </w:pPr>
            <w:r w:rsidRPr="007E58C5">
              <w:rPr>
                <w:rFonts w:ascii="Calibri" w:eastAsia="Calibri" w:hAnsi="Calibri" w:cs="Times New Roman"/>
                <w:b/>
              </w:rPr>
              <w:t>Table I:  Regulatory Partners*</w:t>
            </w:r>
          </w:p>
        </w:tc>
      </w:tr>
      <w:tr w:rsidR="00AE48AF" w:rsidRPr="007E58C5" w:rsidTr="009F7E3B">
        <w:tc>
          <w:tcPr>
            <w:tcW w:w="2601" w:type="dxa"/>
          </w:tcPr>
          <w:p w:rsidR="00AE48AF" w:rsidRPr="007E58C5" w:rsidRDefault="00AE48AF" w:rsidP="009F7E3B">
            <w:pPr>
              <w:spacing w:after="160" w:line="259" w:lineRule="auto"/>
              <w:rPr>
                <w:rFonts w:ascii="Calibri" w:eastAsia="Calibri" w:hAnsi="Calibri" w:cs="Times New Roman"/>
                <w:b/>
              </w:rPr>
            </w:pPr>
            <w:r w:rsidRPr="007E58C5">
              <w:rPr>
                <w:rFonts w:ascii="Calibri" w:eastAsia="Calibri" w:hAnsi="Calibri" w:cs="Times New Roman"/>
                <w:b/>
              </w:rPr>
              <w:t>Type of Event</w:t>
            </w:r>
          </w:p>
        </w:tc>
        <w:tc>
          <w:tcPr>
            <w:tcW w:w="5490" w:type="dxa"/>
          </w:tcPr>
          <w:p w:rsidR="00AE48AF" w:rsidRPr="007E58C5" w:rsidRDefault="00AE48AF" w:rsidP="009F7E3B">
            <w:pPr>
              <w:spacing w:after="160" w:line="259" w:lineRule="auto"/>
              <w:rPr>
                <w:rFonts w:ascii="Calibri" w:eastAsia="Calibri" w:hAnsi="Calibri" w:cs="Times New Roman"/>
                <w:b/>
              </w:rPr>
            </w:pPr>
            <w:r w:rsidRPr="007E58C5">
              <w:rPr>
                <w:rFonts w:ascii="Calibri" w:eastAsia="Calibri" w:hAnsi="Calibri" w:cs="Times New Roman"/>
                <w:b/>
              </w:rPr>
              <w:t>Agency</w:t>
            </w:r>
          </w:p>
        </w:tc>
      </w:tr>
      <w:tr w:rsidR="00AE48AF" w:rsidRPr="007E58C5" w:rsidTr="009F7E3B">
        <w:tc>
          <w:tcPr>
            <w:tcW w:w="2601" w:type="dxa"/>
          </w:tcPr>
          <w:p w:rsidR="00AE48AF" w:rsidRPr="007E58C5" w:rsidRDefault="00AE48AF" w:rsidP="009F7E3B">
            <w:pPr>
              <w:rPr>
                <w:rFonts w:ascii="Calibri" w:eastAsia="Calibri" w:hAnsi="Calibri" w:cs="Times New Roman"/>
              </w:rPr>
            </w:pPr>
            <w:r w:rsidRPr="007E58C5">
              <w:rPr>
                <w:rFonts w:ascii="Calibri" w:eastAsia="Calibri" w:hAnsi="Calibri" w:cs="Times New Roman"/>
              </w:rPr>
              <w:t>Potentially contaminated medical product or device</w:t>
            </w:r>
          </w:p>
        </w:tc>
        <w:tc>
          <w:tcPr>
            <w:tcW w:w="5490" w:type="dxa"/>
          </w:tcPr>
          <w:p w:rsidR="00AE48AF" w:rsidRPr="007E58C5" w:rsidRDefault="00AE48AF" w:rsidP="009F7E3B">
            <w:pPr>
              <w:rPr>
                <w:rFonts w:ascii="Calibri" w:eastAsia="Calibri" w:hAnsi="Calibri" w:cs="Times New Roman"/>
              </w:rPr>
            </w:pPr>
            <w:r w:rsidRPr="007E58C5">
              <w:rPr>
                <w:rFonts w:ascii="Calibri" w:eastAsia="Calibri" w:hAnsi="Calibri" w:cs="Times New Roman"/>
              </w:rPr>
              <w:t xml:space="preserve">Food and Drug Administration </w:t>
            </w:r>
            <w:r w:rsidRPr="007E58C5">
              <w:rPr>
                <w:rFonts w:ascii="Calibri" w:eastAsia="Calibri" w:hAnsi="Calibri" w:cs="Times New Roman"/>
                <w:i/>
              </w:rPr>
              <w:t>and</w:t>
            </w:r>
            <w:r w:rsidRPr="007E58C5">
              <w:rPr>
                <w:rFonts w:ascii="Calibri" w:eastAsia="Calibri" w:hAnsi="Calibri" w:cs="Times New Roman"/>
              </w:rPr>
              <w:t xml:space="preserve"> product manufacturer</w:t>
            </w:r>
          </w:p>
        </w:tc>
      </w:tr>
      <w:tr w:rsidR="00AE48AF" w:rsidRPr="007E58C5" w:rsidTr="009F7E3B">
        <w:trPr>
          <w:trHeight w:val="300"/>
        </w:trPr>
        <w:tc>
          <w:tcPr>
            <w:tcW w:w="2601" w:type="dxa"/>
          </w:tcPr>
          <w:p w:rsidR="00AE48AF" w:rsidRPr="007E58C5" w:rsidRDefault="00AE48AF" w:rsidP="009F7E3B">
            <w:pPr>
              <w:rPr>
                <w:rFonts w:ascii="Calibri" w:eastAsia="Calibri" w:hAnsi="Calibri" w:cs="Times New Roman"/>
              </w:rPr>
            </w:pPr>
            <w:r w:rsidRPr="007E58C5">
              <w:rPr>
                <w:rFonts w:ascii="Calibri" w:eastAsia="Calibri" w:hAnsi="Calibri" w:cs="Times New Roman"/>
              </w:rPr>
              <w:t>Infection control breach in licensed health care setting</w:t>
            </w:r>
          </w:p>
        </w:tc>
        <w:tc>
          <w:tcPr>
            <w:tcW w:w="5490" w:type="dxa"/>
          </w:tcPr>
          <w:p w:rsidR="00AE48AF" w:rsidRPr="007E58C5" w:rsidRDefault="00AE48AF" w:rsidP="009F7E3B">
            <w:pPr>
              <w:rPr>
                <w:rFonts w:ascii="Calibri" w:eastAsia="Calibri" w:hAnsi="Calibri" w:cs="Times New Roman"/>
              </w:rPr>
            </w:pPr>
            <w:r w:rsidRPr="007E58C5">
              <w:rPr>
                <w:rFonts w:ascii="Calibri" w:eastAsia="Calibri" w:hAnsi="Calibri" w:cs="Times New Roman"/>
              </w:rPr>
              <w:t>State regulatory agency and public health agency</w:t>
            </w:r>
          </w:p>
        </w:tc>
      </w:tr>
      <w:tr w:rsidR="00AE48AF" w:rsidRPr="007E58C5" w:rsidTr="009F7E3B">
        <w:trPr>
          <w:trHeight w:val="246"/>
        </w:trPr>
        <w:tc>
          <w:tcPr>
            <w:tcW w:w="2601" w:type="dxa"/>
          </w:tcPr>
          <w:p w:rsidR="00AE48AF" w:rsidRPr="007E58C5" w:rsidRDefault="00AE48AF" w:rsidP="009F7E3B">
            <w:pPr>
              <w:rPr>
                <w:rFonts w:ascii="Calibri" w:eastAsia="Calibri" w:hAnsi="Calibri" w:cs="Times New Roman"/>
              </w:rPr>
            </w:pPr>
            <w:r w:rsidRPr="007E58C5">
              <w:rPr>
                <w:rFonts w:ascii="Calibri" w:eastAsia="Calibri" w:hAnsi="Calibri" w:cs="Times New Roman"/>
              </w:rPr>
              <w:t>Infection control breach in private practice setting</w:t>
            </w:r>
          </w:p>
        </w:tc>
        <w:tc>
          <w:tcPr>
            <w:tcW w:w="5490" w:type="dxa"/>
          </w:tcPr>
          <w:p w:rsidR="00AE48AF" w:rsidRPr="007E58C5" w:rsidRDefault="00AE48AF" w:rsidP="009F7E3B">
            <w:pPr>
              <w:rPr>
                <w:rFonts w:ascii="Calibri" w:eastAsia="Calibri" w:hAnsi="Calibri" w:cs="Times New Roman"/>
              </w:rPr>
            </w:pPr>
            <w:r w:rsidRPr="007E58C5">
              <w:rPr>
                <w:rFonts w:ascii="Calibri" w:eastAsia="Calibri" w:hAnsi="Calibri" w:cs="Times New Roman"/>
              </w:rPr>
              <w:t>Professional licensure board and public health agency</w:t>
            </w:r>
          </w:p>
        </w:tc>
      </w:tr>
      <w:tr w:rsidR="00AE48AF" w:rsidRPr="007E58C5" w:rsidTr="009F7E3B">
        <w:trPr>
          <w:trHeight w:val="246"/>
        </w:trPr>
        <w:tc>
          <w:tcPr>
            <w:tcW w:w="2601" w:type="dxa"/>
          </w:tcPr>
          <w:p w:rsidR="00AE48AF" w:rsidRPr="007E58C5" w:rsidRDefault="00AE48AF" w:rsidP="009F7E3B">
            <w:pPr>
              <w:rPr>
                <w:rFonts w:ascii="Calibri" w:eastAsia="Calibri" w:hAnsi="Calibri" w:cs="Times New Roman"/>
              </w:rPr>
            </w:pPr>
            <w:r w:rsidRPr="007E58C5">
              <w:rPr>
                <w:rFonts w:ascii="Calibri" w:eastAsia="Calibri" w:hAnsi="Calibri" w:cs="Times New Roman"/>
              </w:rPr>
              <w:t xml:space="preserve">Drug diversion (e.g., theft or tampering) </w:t>
            </w:r>
          </w:p>
        </w:tc>
        <w:tc>
          <w:tcPr>
            <w:tcW w:w="5490" w:type="dxa"/>
          </w:tcPr>
          <w:p w:rsidR="00AE48AF" w:rsidRPr="007E58C5" w:rsidRDefault="00AE48AF" w:rsidP="009F7E3B">
            <w:pPr>
              <w:rPr>
                <w:rFonts w:ascii="Calibri" w:eastAsia="Calibri" w:hAnsi="Calibri" w:cs="Times New Roman"/>
              </w:rPr>
            </w:pPr>
            <w:r w:rsidRPr="007E58C5">
              <w:rPr>
                <w:rFonts w:ascii="Calibri" w:eastAsia="Calibri" w:hAnsi="Calibri" w:cs="Times New Roman"/>
              </w:rPr>
              <w:t>Professional licensure board, public health agency, and law enforcement agency</w:t>
            </w:r>
          </w:p>
        </w:tc>
      </w:tr>
      <w:tr w:rsidR="00AE48AF" w:rsidRPr="007E58C5" w:rsidTr="009F7E3B">
        <w:trPr>
          <w:trHeight w:val="246"/>
        </w:trPr>
        <w:tc>
          <w:tcPr>
            <w:tcW w:w="8091" w:type="dxa"/>
            <w:gridSpan w:val="2"/>
          </w:tcPr>
          <w:p w:rsidR="00AE48AF" w:rsidRPr="007E58C5" w:rsidRDefault="00AE48AF" w:rsidP="009F7E3B">
            <w:pPr>
              <w:rPr>
                <w:rFonts w:ascii="Calibri" w:eastAsia="Calibri" w:hAnsi="Calibri" w:cs="Times New Roman"/>
              </w:rPr>
            </w:pPr>
          </w:p>
        </w:tc>
      </w:tr>
      <w:tr w:rsidR="00AE48AF" w:rsidRPr="007E58C5" w:rsidTr="009F7E3B">
        <w:trPr>
          <w:trHeight w:val="246"/>
        </w:trPr>
        <w:tc>
          <w:tcPr>
            <w:tcW w:w="8091" w:type="dxa"/>
            <w:gridSpan w:val="2"/>
          </w:tcPr>
          <w:p w:rsidR="00AE48AF" w:rsidRPr="007E58C5" w:rsidRDefault="00AE48AF" w:rsidP="009F7E3B">
            <w:pPr>
              <w:rPr>
                <w:rFonts w:ascii="Calibri" w:eastAsia="Calibri" w:hAnsi="Calibri" w:cs="Times New Roman"/>
              </w:rPr>
            </w:pPr>
            <w:r w:rsidRPr="007E58C5">
              <w:rPr>
                <w:rFonts w:ascii="Calibri" w:eastAsia="Calibri" w:hAnsi="Calibri" w:cs="Times New Roman"/>
              </w:rPr>
              <w:lastRenderedPageBreak/>
              <w:t>*State and local laws differ, and additional notifications may be applicable.</w:t>
            </w:r>
          </w:p>
        </w:tc>
      </w:tr>
    </w:tbl>
    <w:p w:rsidR="00AE48AF" w:rsidRPr="007E58C5" w:rsidRDefault="00AE48AF" w:rsidP="00AE48AF">
      <w:pPr>
        <w:spacing w:line="240" w:lineRule="auto"/>
        <w:rPr>
          <w:rFonts w:ascii="Calibri" w:eastAsia="Calibri" w:hAnsi="Calibri" w:cs="Times New Roman"/>
        </w:rPr>
      </w:pPr>
    </w:p>
    <w:p w:rsidR="00AE48AF" w:rsidRPr="007E58C5" w:rsidRDefault="00AE48AF" w:rsidP="00AE48AF">
      <w:pPr>
        <w:spacing w:line="240" w:lineRule="auto"/>
        <w:rPr>
          <w:rFonts w:ascii="Calibri" w:eastAsia="Calibri" w:hAnsi="Calibri" w:cs="Times New Roman"/>
          <w:b/>
          <w:iCs/>
        </w:rPr>
      </w:pPr>
      <w:r w:rsidRPr="007E58C5">
        <w:rPr>
          <w:rFonts w:ascii="Calibri" w:eastAsia="Calibri" w:hAnsi="Calibri" w:cs="Times New Roman"/>
          <w:b/>
          <w:iCs/>
        </w:rPr>
        <w:t>Communication and Coordination</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Although most steps in an outbreak investigation follow a logical process—from determining whether an outbreak exists to identifying and controlling the source—multiple steps may occur concurrently. Maintaining close communication and coordination among members of the outbreak investigation team is the best way to ensure concurrent activities are synergistic, to maximize the use of resources, to avoid duplicating or omitting critical activities, and to hasten implementation of appropriate control measures. </w:t>
      </w:r>
    </w:p>
    <w:p w:rsidR="00AE48AF" w:rsidRPr="007E58C5" w:rsidRDefault="00AE48AF" w:rsidP="00AE48AF">
      <w:pPr>
        <w:spacing w:line="240" w:lineRule="auto"/>
        <w:rPr>
          <w:rFonts w:ascii="Calibri" w:eastAsia="Calibri" w:hAnsi="Calibri" w:cs="Avenir 55 Roman"/>
        </w:rPr>
      </w:pPr>
      <w:r w:rsidRPr="007E58C5">
        <w:rPr>
          <w:rFonts w:ascii="Calibri" w:eastAsia="Calibri" w:hAnsi="Calibri" w:cs="Avenir 55 Roman"/>
          <w:b/>
        </w:rPr>
        <w:t>Multijurisdictional Considerations for Outbreak Investigations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Increased reliance on large-scale manufacturing and the global distribution of medical products (devices, medications, etc.) has increased the likelihood of outbreaks affecting multiple jurisdictions. Local and state health agencies must be sensitive to potential regional or national implications of any local outbreak, especially those due to a potentially contaminated product or defect in a medical device. </w:t>
      </w:r>
    </w:p>
    <w:p w:rsidR="00AE48AF" w:rsidRPr="007E58C5" w:rsidRDefault="00AE48AF" w:rsidP="00AE48AF">
      <w:pPr>
        <w:spacing w:line="240" w:lineRule="auto"/>
        <w:rPr>
          <w:rFonts w:ascii="Calibri" w:eastAsia="Calibri" w:hAnsi="Calibri" w:cs="Times New Roman"/>
          <w:b/>
          <w:iCs/>
        </w:rPr>
      </w:pPr>
      <w:r w:rsidRPr="007E58C5">
        <w:rPr>
          <w:rFonts w:ascii="Calibri" w:eastAsia="Calibri" w:hAnsi="Calibri" w:cs="Times New Roman"/>
          <w:b/>
          <w:iCs/>
        </w:rPr>
        <w:t xml:space="preserve">Preliminary Assessment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Investigators should begin by establishing the existence of an outbreak and generating hypotheses about potential sources of infection. These hypotheses will be refined in an iterative process as additional information becomes available. Key steps in this process include the following: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Obtain background rates of infection for the facility, community or specific patient population, if available.</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Determine how the implicated agent was identified and request that specimens or microbial isolates be saved and made available for further testing, if necessary.</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 Consult available reference tools, guides, peer-reviewed literature, or subject matter experts to identify the most likely host, agent, exposure pathways and environmental factors associated with the infection or condition.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Consider the need for instituting immediate corrective actions or other preliminary control measures.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Examine the descriptive epidemiology of cases to identify patient, locational, or temporal characteristics that might suggest a particular exposure.</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Interview facility staff (e.g., clinical team members, laboratorians, infection control staff, etc.) to identify potential commonalities among cases and potential exposures.</w:t>
      </w:r>
      <w:r w:rsidRPr="007E58C5" w:rsidDel="00A31F90">
        <w:rPr>
          <w:rFonts w:ascii="Calibri" w:eastAsia="Calibri" w:hAnsi="Calibri" w:cs="Times New Roman"/>
        </w:rPr>
        <w:t xml:space="preserve">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Based on this information, investigators can identify possible exposures for further evaluation by epidemiologic, laboratory, or environmental studies. </w:t>
      </w:r>
    </w:p>
    <w:p w:rsidR="00AE48AF" w:rsidRPr="007E58C5" w:rsidRDefault="00AE48AF" w:rsidP="00AE48AF">
      <w:pPr>
        <w:spacing w:line="240" w:lineRule="auto"/>
        <w:rPr>
          <w:rFonts w:ascii="Calibri" w:eastAsia="Calibri" w:hAnsi="Calibri" w:cs="Times New Roman"/>
          <w:b/>
          <w:iCs/>
        </w:rPr>
      </w:pPr>
      <w:r w:rsidRPr="007E58C5">
        <w:rPr>
          <w:rFonts w:ascii="Calibri" w:eastAsia="Calibri" w:hAnsi="Calibri" w:cs="Times New Roman"/>
          <w:b/>
          <w:iCs/>
        </w:rPr>
        <w:t xml:space="preserve">Standardized Data Collection Forms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The use of standardized data collection forms ensures that pertinent information is collected from all patients, medical records and other sources for subsequent systematic analysis. In addition, the use of standardized data elements (e.g., same variable names and attributes) will enhance data sharing and comparisons of exposures between cases and controls and/or within different healthcare facilities/jurisdictions, if indicated.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lastRenderedPageBreak/>
        <w:t xml:space="preserve">The Council for Outbreak Response: Healthcare-associated Infections and Antimicrobial Resistance (CORHA) provides examples of questionnaires used by various health departments to collect exposure information for different pathogens and infection types. These may be used “as is” or adapted to meet the needs of a specific investigation. </w:t>
      </w:r>
    </w:p>
    <w:p w:rsidR="00AE48AF" w:rsidRPr="007E58C5" w:rsidRDefault="00AE48AF" w:rsidP="00AE48AF">
      <w:pPr>
        <w:spacing w:line="240" w:lineRule="auto"/>
        <w:rPr>
          <w:rFonts w:ascii="Calibri" w:eastAsia="Calibri" w:hAnsi="Calibri" w:cs="Times New Roman"/>
          <w:b/>
          <w:iCs/>
        </w:rPr>
      </w:pPr>
      <w:r w:rsidRPr="007E58C5">
        <w:rPr>
          <w:rFonts w:ascii="Calibri" w:eastAsia="Calibri" w:hAnsi="Calibri" w:cs="Times New Roman"/>
          <w:b/>
          <w:iCs/>
        </w:rPr>
        <w:t>Privacy of Individuals, Patients and Their Families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All outbreak investigations involve collections of private information, such as patient names and medical records, that must be protected from public disclosure. All members of the investigation team—epidemiologists, laboratorians, environmental health specialists, and healthcare personnel—must follow data security practices and comply with relevant state and federal laws, including the Health Insurance Portability and Accountability Act (HIPAA).</w:t>
      </w:r>
    </w:p>
    <w:p w:rsidR="00AE48AF" w:rsidRPr="007E58C5" w:rsidRDefault="00AE48AF" w:rsidP="00AE48AF">
      <w:pPr>
        <w:spacing w:line="240" w:lineRule="auto"/>
        <w:rPr>
          <w:rFonts w:ascii="Calibri" w:eastAsia="Calibri" w:hAnsi="Calibri" w:cs="Avenir 55 Roman"/>
          <w:b/>
          <w:sz w:val="24"/>
        </w:rPr>
      </w:pPr>
      <w:r w:rsidRPr="007E58C5">
        <w:rPr>
          <w:rFonts w:ascii="Calibri" w:eastAsia="Calibri" w:hAnsi="Calibri" w:cs="Avenir 55 Roman"/>
          <w:b/>
          <w:sz w:val="28"/>
        </w:rPr>
        <w:t>Cluster and Outbreak Investigation Procedures</w:t>
      </w:r>
    </w:p>
    <w:p w:rsidR="00AE48AF" w:rsidRPr="007E58C5" w:rsidRDefault="00AE48AF" w:rsidP="00AE48AF">
      <w:pPr>
        <w:spacing w:line="240" w:lineRule="auto"/>
        <w:rPr>
          <w:rFonts w:ascii="Calibri" w:eastAsia="Calibri" w:hAnsi="Calibri" w:cs="Times New Roman"/>
          <w:b/>
        </w:rPr>
      </w:pPr>
      <w:r w:rsidRPr="007E58C5">
        <w:rPr>
          <w:rFonts w:ascii="Calibri" w:eastAsia="Calibri" w:hAnsi="Calibri" w:cs="Times New Roman"/>
          <w:b/>
        </w:rPr>
        <w:t xml:space="preserve">Establishing the Existence of an Outbreak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iCs/>
        </w:rPr>
        <w:t xml:space="preserve">For reports of infection related to a specific microorganism, procedure, device, clinical setting, and/or clinical service, the following questions should be answered: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What is the background rate of infection for the specific organism or site of infection?</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When was the first case detected (date of disease onset or date of specimen collection)?</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How many cases have been identified to date and what methods of detection were used? Are there efforts underway to expand case finding activities?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 What symptoms or sites of infection have been involved?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What is the severity of illness (colonization, infection, hospitalization/readmission, re-operation, death, etc.) associated with the cases?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How many patients were likely to be exposed during the timeframe in which the cases occurred? (If indicated, numbers of personnel or visitors should be assessed as well.)</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If the number of cases exceeds what would be expected for the patient population in a given timeframe, or if the facility reports a previously unrecognized pathogen/type of infection, further investigation is warranted. A single case may constitute an outbreak. Likewise, if concerning infection control deficiencies are identified as part of the initial report or preliminary assessment, the investigation should continue. </w:t>
      </w:r>
    </w:p>
    <w:p w:rsidR="00AE48AF" w:rsidRPr="007E58C5" w:rsidRDefault="00AE48AF" w:rsidP="00AE48AF">
      <w:pPr>
        <w:spacing w:line="240" w:lineRule="auto"/>
        <w:rPr>
          <w:rFonts w:ascii="Calibri" w:eastAsia="Calibri" w:hAnsi="Calibri" w:cs="Times New Roman"/>
          <w:b/>
          <w:iCs/>
        </w:rPr>
      </w:pPr>
      <w:r w:rsidRPr="007E58C5">
        <w:rPr>
          <w:rFonts w:ascii="Calibri" w:eastAsia="Calibri" w:hAnsi="Calibri" w:cs="Times New Roman"/>
          <w:b/>
          <w:iCs/>
        </w:rPr>
        <w:t xml:space="preserve">Assemble and Brief the Investigation Team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iCs/>
        </w:rPr>
        <w:t>The urgency and intensity of the investigation should be based upon the potential for ongoing transmission and harm, which, in turn, is based on infection type, illness severity, and populations likely to be affected (e.g., infants, elderly persons, pregnant women, immunocompromised persons, etc.).</w:t>
      </w:r>
      <w:r w:rsidRPr="007E58C5">
        <w:rPr>
          <w:rFonts w:ascii="Calibri" w:eastAsia="Calibri" w:hAnsi="Calibri" w:cs="Times New Roman"/>
        </w:rPr>
        <w:t xml:space="preserve">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Members of the investigation team should be introduced to one another, assigned roles and receive regular briefings on current developments in the investigation. In the event of a large, complex or lengthy investigation, the investigation team should assess the availability of additional staff to assist with its work and consider implementing an incident command structure to formalize roles and communications. Consider the roles and responsibilities of the affected healthcare facility(ies) and their staff; communicate essential details of the investigation team’s approach and expectations regarding the facility(ies) contributions to the investigation.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lastRenderedPageBreak/>
        <w:t xml:space="preserve">For outbreaks involving multiple facilities or jurisdictions, the investigation team should include members from all agencies participating in the investigation and designate one individual as the team lead.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For outbreaks that may involve a contaminated drug or medical device, the investigation team should notify and engage appropriate regulatory partners (e.g., US FDA, state pharmacy board).</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If the investigation cannot be managed with local resources due to its scale, complexity or limited agency expertise, help should be requested as soon as possible from local, state, or federal agencies.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b/>
        </w:rPr>
        <w:t>Verify the Diagnosis</w:t>
      </w:r>
      <w:r w:rsidRPr="007E58C5">
        <w:rPr>
          <w:rFonts w:ascii="Calibri" w:eastAsia="Calibri" w:hAnsi="Calibri" w:cs="Times New Roman"/>
        </w:rPr>
        <w:t xml:space="preserve">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The facility’s laboratory should be involved in the investigation as soon as a cluster, outbreak, or unusual event is suspected. Any clinical specimens, microbial isolates or environmental samples should be secured in a manner that facilitates further evaluation and laboratory safety.</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If an unusual microorganism is suspected in the outbreak, it is essential to confirm laboratory test results. This may be achieved via a review of test methods or additional testing at either the same laboratory or a reference laboratory, such as the state public health laboratory.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Previous laboratory records should be reviewed to identify any possible, earlier unidentified cases. </w:t>
      </w:r>
    </w:p>
    <w:p w:rsidR="00AE48AF" w:rsidRPr="007E58C5" w:rsidRDefault="00AE48AF" w:rsidP="00AE48AF">
      <w:pPr>
        <w:spacing w:line="240" w:lineRule="auto"/>
        <w:rPr>
          <w:rFonts w:ascii="Calibri" w:eastAsia="Calibri" w:hAnsi="Calibri" w:cs="Times New Roman"/>
          <w:b/>
        </w:rPr>
      </w:pPr>
      <w:r w:rsidRPr="007E58C5">
        <w:rPr>
          <w:rFonts w:ascii="Calibri" w:eastAsia="Calibri" w:hAnsi="Calibri" w:cs="Times New Roman"/>
          <w:b/>
        </w:rPr>
        <w:t>Establish Case Definition and Classification Criteria</w:t>
      </w:r>
    </w:p>
    <w:p w:rsidR="00AE48AF" w:rsidRPr="007E58C5" w:rsidRDefault="00AE48AF" w:rsidP="00AE48AF">
      <w:pPr>
        <w:spacing w:after="0" w:line="240" w:lineRule="auto"/>
        <w:rPr>
          <w:rFonts w:ascii="Calibri" w:eastAsia="Calibri" w:hAnsi="Calibri" w:cs="Times New Roman"/>
        </w:rPr>
      </w:pPr>
      <w:r w:rsidRPr="007E58C5">
        <w:rPr>
          <w:rFonts w:ascii="Calibri" w:eastAsia="Times New Roman" w:hAnsi="Calibri" w:cs="Times New Roman"/>
          <w:color w:val="000000"/>
          <w:shd w:val="clear" w:color="auto" w:fill="FFFFFF"/>
        </w:rPr>
        <w:t>A case definition describes the clinical and/or laboratory-based criteria for deciding whether an individual patient should be included in the investigation</w:t>
      </w:r>
      <w:r w:rsidRPr="007E58C5">
        <w:rPr>
          <w:rFonts w:ascii="Calibri" w:eastAsia="Calibri" w:hAnsi="Calibri" w:cs="Times New Roman"/>
        </w:rPr>
        <w:t xml:space="preserve">. When drafting the definition, it is better to begin with broad criteria that err on the side of sensitivity and then to refine the case definition over time as additional evidence accumulates.  </w:t>
      </w:r>
    </w:p>
    <w:p w:rsidR="00AE48AF" w:rsidRPr="007E58C5" w:rsidRDefault="00AE48AF" w:rsidP="00AE48AF">
      <w:pPr>
        <w:spacing w:after="0" w:line="240" w:lineRule="auto"/>
        <w:rPr>
          <w:rFonts w:ascii="Calibri" w:eastAsia="Calibri" w:hAnsi="Calibri" w:cs="Times New Roman"/>
        </w:rPr>
      </w:pPr>
    </w:p>
    <w:p w:rsidR="00AE48AF" w:rsidRPr="007E58C5" w:rsidRDefault="00AE48AF" w:rsidP="00AE48AF">
      <w:pPr>
        <w:spacing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 xml:space="preserve">Investigators often create different subcategories within a case definition, such as a </w:t>
      </w:r>
      <w:r w:rsidRPr="007E58C5">
        <w:rPr>
          <w:rFonts w:ascii="Calibri" w:eastAsia="Times New Roman" w:hAnsi="Calibri" w:cs="Times New Roman"/>
          <w:i/>
          <w:color w:val="000000"/>
          <w:shd w:val="clear" w:color="auto" w:fill="FFFFFF"/>
        </w:rPr>
        <w:t>confirmed case</w:t>
      </w:r>
      <w:r w:rsidRPr="007E58C5">
        <w:rPr>
          <w:rFonts w:ascii="Calibri" w:eastAsia="Times New Roman" w:hAnsi="Calibri" w:cs="Times New Roman"/>
          <w:color w:val="000000"/>
          <w:shd w:val="clear" w:color="auto" w:fill="FFFFFF"/>
        </w:rPr>
        <w:t xml:space="preserve">, </w:t>
      </w:r>
      <w:r w:rsidRPr="007E58C5">
        <w:rPr>
          <w:rFonts w:ascii="Calibri" w:eastAsia="Times New Roman" w:hAnsi="Calibri" w:cs="Times New Roman"/>
          <w:i/>
          <w:color w:val="000000"/>
          <w:shd w:val="clear" w:color="auto" w:fill="FFFFFF"/>
        </w:rPr>
        <w:t>probable case</w:t>
      </w:r>
      <w:r w:rsidRPr="007E58C5">
        <w:rPr>
          <w:rFonts w:ascii="Calibri" w:eastAsia="Times New Roman" w:hAnsi="Calibri" w:cs="Times New Roman"/>
          <w:color w:val="000000"/>
          <w:shd w:val="clear" w:color="auto" w:fill="FFFFFF"/>
        </w:rPr>
        <w:t xml:space="preserve">, and </w:t>
      </w:r>
      <w:r w:rsidRPr="007E58C5">
        <w:rPr>
          <w:rFonts w:ascii="Calibri" w:eastAsia="Times New Roman" w:hAnsi="Calibri" w:cs="Times New Roman"/>
          <w:i/>
          <w:color w:val="000000"/>
          <w:shd w:val="clear" w:color="auto" w:fill="FFFFFF"/>
        </w:rPr>
        <w:t>possible or suspected case</w:t>
      </w:r>
      <w:r w:rsidRPr="007E58C5">
        <w:rPr>
          <w:rFonts w:ascii="Calibri" w:eastAsia="Times New Roman" w:hAnsi="Calibri" w:cs="Times New Roman"/>
          <w:color w:val="000000"/>
          <w:shd w:val="clear" w:color="auto" w:fill="FFFFFF"/>
        </w:rPr>
        <w:t>. Confirmed cases usually require laboratory verification. A probable case usually has typical clinical features of the disease without laboratory confirmation. A possible or suspected case usually has fewer of the typical clinical features than a probable case and has no laboratory confirmation. </w:t>
      </w:r>
    </w:p>
    <w:p w:rsidR="00AE48AF" w:rsidRPr="007E58C5" w:rsidRDefault="00AE48AF" w:rsidP="00AE48AF">
      <w:pPr>
        <w:spacing w:line="240" w:lineRule="auto"/>
        <w:rPr>
          <w:rFonts w:ascii="Calibri" w:eastAsia="Times New Roman" w:hAnsi="Calibri" w:cs="Times New Roman"/>
        </w:rPr>
      </w:pPr>
      <w:r w:rsidRPr="007E58C5">
        <w:rPr>
          <w:rFonts w:ascii="Calibri" w:eastAsia="Times New Roman" w:hAnsi="Calibri" w:cs="Times New Roman"/>
          <w:color w:val="000000"/>
          <w:shd w:val="clear" w:color="auto" w:fill="FFFFFF"/>
        </w:rPr>
        <w:t xml:space="preserve">Patients may move from one category to another as additional information becomes available. Thus, for example, a case might be temporarily classified as </w:t>
      </w:r>
      <w:r w:rsidRPr="007E58C5">
        <w:rPr>
          <w:rFonts w:ascii="Calibri" w:eastAsia="Times New Roman" w:hAnsi="Calibri" w:cs="Times New Roman"/>
          <w:i/>
          <w:color w:val="000000"/>
          <w:shd w:val="clear" w:color="auto" w:fill="FFFFFF"/>
        </w:rPr>
        <w:t>probable</w:t>
      </w:r>
      <w:r w:rsidRPr="007E58C5">
        <w:rPr>
          <w:rFonts w:ascii="Calibri" w:eastAsia="Times New Roman" w:hAnsi="Calibri" w:cs="Times New Roman"/>
          <w:color w:val="000000"/>
          <w:shd w:val="clear" w:color="auto" w:fill="FFFFFF"/>
        </w:rPr>
        <w:t xml:space="preserve"> or </w:t>
      </w:r>
      <w:r w:rsidRPr="007E58C5">
        <w:rPr>
          <w:rFonts w:ascii="Calibri" w:eastAsia="Times New Roman" w:hAnsi="Calibri" w:cs="Times New Roman"/>
          <w:i/>
          <w:color w:val="000000"/>
          <w:shd w:val="clear" w:color="auto" w:fill="FFFFFF"/>
        </w:rPr>
        <w:t>possible</w:t>
      </w:r>
      <w:r w:rsidRPr="007E58C5">
        <w:rPr>
          <w:rFonts w:ascii="Calibri" w:eastAsia="Times New Roman" w:hAnsi="Calibri" w:cs="Times New Roman"/>
          <w:color w:val="000000"/>
          <w:shd w:val="clear" w:color="auto" w:fill="FFFFFF"/>
        </w:rPr>
        <w:t xml:space="preserve"> while laboratory results are pending. Alternatively, a case may be permanently classified as </w:t>
      </w:r>
      <w:r w:rsidRPr="007E58C5">
        <w:rPr>
          <w:rFonts w:ascii="Calibri" w:eastAsia="Times New Roman" w:hAnsi="Calibri" w:cs="Times New Roman"/>
          <w:i/>
          <w:color w:val="000000"/>
          <w:shd w:val="clear" w:color="auto" w:fill="FFFFFF"/>
        </w:rPr>
        <w:t>probable</w:t>
      </w:r>
      <w:r w:rsidRPr="007E58C5">
        <w:rPr>
          <w:rFonts w:ascii="Calibri" w:eastAsia="Times New Roman" w:hAnsi="Calibri" w:cs="Times New Roman"/>
          <w:color w:val="000000"/>
          <w:shd w:val="clear" w:color="auto" w:fill="FFFFFF"/>
        </w:rPr>
        <w:t xml:space="preserve"> or </w:t>
      </w:r>
      <w:r w:rsidRPr="007E58C5">
        <w:rPr>
          <w:rFonts w:ascii="Calibri" w:eastAsia="Times New Roman" w:hAnsi="Calibri" w:cs="Times New Roman"/>
          <w:i/>
          <w:color w:val="000000"/>
          <w:shd w:val="clear" w:color="auto" w:fill="FFFFFF"/>
        </w:rPr>
        <w:t>possible</w:t>
      </w:r>
      <w:r w:rsidRPr="007E58C5">
        <w:rPr>
          <w:rFonts w:ascii="Calibri" w:eastAsia="Times New Roman" w:hAnsi="Calibri" w:cs="Times New Roman"/>
          <w:color w:val="000000"/>
          <w:shd w:val="clear" w:color="auto" w:fill="FFFFFF"/>
        </w:rPr>
        <w:t xml:space="preserve"> if it is not possible to obtain specimens or if testing is prohibitively expensive, difficult to obtain, or unnecessary to inform patient management. </w:t>
      </w:r>
    </w:p>
    <w:p w:rsidR="00AE48AF" w:rsidRPr="007E58C5" w:rsidRDefault="00AE48AF" w:rsidP="00AE48AF">
      <w:pPr>
        <w:spacing w:line="240" w:lineRule="auto"/>
        <w:rPr>
          <w:rFonts w:ascii="Calibri" w:eastAsia="Calibri" w:hAnsi="Calibri" w:cs="Times New Roman"/>
          <w:b/>
        </w:rPr>
      </w:pPr>
      <w:r w:rsidRPr="007E58C5">
        <w:rPr>
          <w:rFonts w:ascii="Calibri" w:eastAsia="Calibri" w:hAnsi="Calibri" w:cs="Times New Roman"/>
          <w:b/>
        </w:rPr>
        <w:t xml:space="preserve">Line List or Database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Information from questionnaires and case reports should be maintained in a consistent format and with appropriate security safeguards. Although a paper tool will suffice when few cases are involved, the development and use of a readily accessible electronic database can be invaluable to ensure all critical team members have timely and salient information during a large or complex investigation. </w:t>
      </w:r>
    </w:p>
    <w:p w:rsidR="00AE48AF" w:rsidRDefault="00AE48AF" w:rsidP="00AE48AF">
      <w:pPr>
        <w:spacing w:line="240" w:lineRule="auto"/>
        <w:rPr>
          <w:rFonts w:ascii="Calibri" w:eastAsia="Calibri" w:hAnsi="Calibri" w:cs="Times New Roman"/>
        </w:rPr>
      </w:pPr>
      <w:r w:rsidRPr="007E58C5">
        <w:rPr>
          <w:rFonts w:ascii="Calibri" w:eastAsia="Calibri" w:hAnsi="Calibri" w:cs="Times New Roman"/>
        </w:rPr>
        <w:t>INSERT LINKS TO TEMPLATES</w:t>
      </w:r>
    </w:p>
    <w:p w:rsidR="00AE48AF" w:rsidRDefault="00AE48AF" w:rsidP="00AE48AF">
      <w:pPr>
        <w:spacing w:line="240" w:lineRule="auto"/>
        <w:rPr>
          <w:rFonts w:ascii="Calibri" w:eastAsia="Calibri" w:hAnsi="Calibri" w:cs="Times New Roman"/>
        </w:rPr>
      </w:pPr>
    </w:p>
    <w:p w:rsidR="00AE48AF" w:rsidRPr="007E58C5" w:rsidRDefault="00AE48AF" w:rsidP="00AE48AF">
      <w:pPr>
        <w:spacing w:line="240" w:lineRule="auto"/>
        <w:rPr>
          <w:rFonts w:ascii="Calibri" w:eastAsia="Calibri" w:hAnsi="Calibri" w:cs="Times New Roman"/>
        </w:rPr>
      </w:pP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b/>
        </w:rPr>
        <w:lastRenderedPageBreak/>
        <w:t>Identification of Cases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Depending upon preliminary findings, it may be important to seek additional cases to determine the extent of the outbreak, identify prevention and control measures, and monitor for ongoing transmission. In addition, consider the need to collect information on potentially exposed individuals or healthcare personnel, in addition to case-patients.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Pathogen-specific outbreaks may occur as a result of a common exposure source or through direct or indirect person-to-person contact via the hands of facility personnel, contaminated medical products (devices, medications, equipment or supplies), or tainted food, water, or air. The laboratory is often the primary source of information about pathogen-specific outbreaks. Laboratory partners can assist with timely recognition of an outbreak or additional outbreak cases and provision of essential information on microbial characteristics, such as drug-susceptibility profiles, appropriate methods of specimen collection, windows for detection via laboratory testing, and likely environmental reservoirs.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Laboratory reports should be reviewed retrospectively to determine when the outbreak or cluster began, to search for additional potential cases, and to establish background rates if applicable.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Laboratory staff should be questioned to determine if there have been changes in laboratory methods that could explain the unusual rates of detection and to ensure appropriate methods of detection were used. If the laboratory findings/reports are not consistent with the clinical presentation or evidence of infection, consideration should be given to possible contamination during specimen collection, handling, or processing. An investigation of all steps in specimen handling and processing should be conducted to rule-out a pseudo-outbreak due to contamination of specimens following their collection from patients.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Laboratory staff should be trained to immediately alert the investigation team of any possible new cases and to store clinical specimens or isolates appropriately to ensure further testing can be performed. Specimen retention is increasingly important in the face of widespread use of culture-independent methods to detect specific microorganisms and/or drug-resistant genes.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Depending upon the clinical syndrome, additional sources of information may be needed to investigate cases. For example, histopathology laboratory results may be necessary to identify invasive fungal infections, such as aspergillosis. Similarly, operating room logs may be necessary to identify patients that return to the operating room for surgical site infections. Other sources may include occupational health records, pharmacy records, radiology reports, admission/discharge records, etc.</w:t>
      </w:r>
    </w:p>
    <w:p w:rsidR="00AE48AF" w:rsidRPr="007E58C5" w:rsidRDefault="00AE48AF" w:rsidP="00AE48AF">
      <w:pPr>
        <w:spacing w:line="240" w:lineRule="auto"/>
        <w:rPr>
          <w:rFonts w:ascii="Calibri" w:eastAsia="Calibri" w:hAnsi="Calibri" w:cs="Times New Roman"/>
          <w:b/>
          <w:iCs/>
        </w:rPr>
      </w:pPr>
      <w:r w:rsidRPr="007E58C5">
        <w:rPr>
          <w:rFonts w:ascii="Calibri" w:eastAsia="Calibri" w:hAnsi="Calibri" w:cs="Times New Roman"/>
          <w:b/>
          <w:iCs/>
        </w:rPr>
        <w:t xml:space="preserve">Data Collection and Analysis </w:t>
      </w:r>
    </w:p>
    <w:p w:rsidR="00AE48AF" w:rsidRPr="007E58C5" w:rsidRDefault="00AE48AF" w:rsidP="00AE48AF">
      <w:pPr>
        <w:spacing w:after="0" w:line="240" w:lineRule="auto"/>
        <w:rPr>
          <w:rFonts w:ascii="Calibri" w:eastAsia="Times New Roman" w:hAnsi="Calibri" w:cs="Times New Roman"/>
          <w:color w:val="000000"/>
          <w:u w:val="single"/>
          <w:shd w:val="clear" w:color="auto" w:fill="FFFFFF"/>
        </w:rPr>
      </w:pPr>
      <w:r w:rsidRPr="007E58C5">
        <w:rPr>
          <w:rFonts w:ascii="Calibri" w:eastAsia="Times New Roman" w:hAnsi="Calibri" w:cs="Times New Roman"/>
          <w:color w:val="000000"/>
          <w:u w:val="single"/>
          <w:shd w:val="clear" w:color="auto" w:fill="FFFFFF"/>
        </w:rPr>
        <w:t xml:space="preserve">Descriptive Epidemiology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The analytic approach used in any situation depends on a host of factors, including the circumstances specific to the outbreak (e.g., the pathogen, number and distribution of cases), staff expertise, structure of the investigating agency, and agency resources. Investigators are encouraged to use a combination of analytical approaches, as appropriate to the specific outbreak.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Descriptive epidemiology is the first stage in an epidemiologic study and is focused on two activities: (1) accumulating data to characterize the outbreak and to inform response activities, and (2) generating hypotheses to account for the data.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Medical records—including laboratory, radiology, and surgical records—often serve as the basis for data collection. As stated earlier, a standardized data collection tool will ensure that consistent, complete information is collected on all outbreak cases. If a case-control study is begun to test various hypotheses, the same tool can also be used to collect information on control patients.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lastRenderedPageBreak/>
        <w:t xml:space="preserve">The </w:t>
      </w:r>
      <w:r w:rsidRPr="007E58C5">
        <w:rPr>
          <w:rFonts w:ascii="Calibri" w:eastAsia="Calibri" w:hAnsi="Calibri" w:cs="Times New Roman"/>
          <w:b/>
        </w:rPr>
        <w:t>data collection tool</w:t>
      </w:r>
      <w:r w:rsidRPr="007E58C5">
        <w:rPr>
          <w:rFonts w:ascii="Calibri" w:eastAsia="Calibri" w:hAnsi="Calibri" w:cs="Times New Roman"/>
        </w:rPr>
        <w:t xml:space="preserve"> usually comprises the following components:</w:t>
      </w:r>
    </w:p>
    <w:p w:rsidR="00AE48AF" w:rsidRPr="007E58C5" w:rsidRDefault="00AE48AF" w:rsidP="00AE48AF">
      <w:pPr>
        <w:numPr>
          <w:ilvl w:val="0"/>
          <w:numId w:val="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Patient identifying information, such as n</w:t>
      </w:r>
      <w:r w:rsidRPr="007E58C5">
        <w:rPr>
          <w:rFonts w:ascii="Calibri" w:eastAsia="Times New Roman" w:hAnsi="Calibri" w:cs="Times New Roman"/>
          <w:color w:val="000000"/>
        </w:rPr>
        <w:t xml:space="preserve">ame, medical record number, admission date, admission status [admitted from emergency department, home, another facility (name of facility), etc.], discharge date and discharge status (discharged to home, transferred to another facility, deceased, etc.).  </w:t>
      </w:r>
    </w:p>
    <w:p w:rsidR="00AE48AF" w:rsidRPr="007E58C5" w:rsidRDefault="00AE48AF" w:rsidP="00AE48AF">
      <w:pPr>
        <w:numPr>
          <w:ilvl w:val="0"/>
          <w:numId w:val="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Demographic information, including a</w:t>
      </w:r>
      <w:r w:rsidRPr="007E58C5">
        <w:rPr>
          <w:rFonts w:ascii="Calibri" w:eastAsia="Times New Roman" w:hAnsi="Calibri" w:cs="Times New Roman"/>
          <w:color w:val="000000"/>
        </w:rPr>
        <w:t xml:space="preserve">ge, gender, room location, etc.  </w:t>
      </w:r>
    </w:p>
    <w:p w:rsidR="00AE48AF" w:rsidRPr="007E58C5" w:rsidRDefault="00AE48AF" w:rsidP="00AE48AF">
      <w:pPr>
        <w:numPr>
          <w:ilvl w:val="0"/>
          <w:numId w:val="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Clinical information focused on simple, objective criteria to the extent possible</w:t>
      </w:r>
      <w:r w:rsidRPr="007E58C5">
        <w:rPr>
          <w:rFonts w:ascii="Calibri" w:eastAsia="Times New Roman" w:hAnsi="Calibri" w:cs="Times New Roman"/>
          <w:color w:val="000000"/>
        </w:rPr>
        <w:t>. Disease signs and symptoms allow investigators to verify that the case definition has been met. Date of illness onset or specimen collection is needed to chart the time course of the outbreak and, when applicable, the incubation period. Supplementary clinical information, such as illness duration and re-hospitalizations or patient death, help characterize the spectrum of illness.</w:t>
      </w:r>
    </w:p>
    <w:p w:rsidR="00AE48AF" w:rsidRPr="007E58C5" w:rsidRDefault="00AE48AF" w:rsidP="00AE48AF">
      <w:pPr>
        <w:numPr>
          <w:ilvl w:val="0"/>
          <w:numId w:val="1"/>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bCs/>
          <w:color w:val="000000"/>
        </w:rPr>
        <w:t xml:space="preserve">Risk factor information </w:t>
      </w:r>
      <w:r w:rsidRPr="007E58C5">
        <w:rPr>
          <w:rFonts w:ascii="Calibri" w:eastAsia="Times New Roman" w:hAnsi="Calibri" w:cs="Times New Roman"/>
          <w:color w:val="000000"/>
        </w:rPr>
        <w:t xml:space="preserve">should be tailored to the specific disease and situation under investigation.  For example, underlying diseases, surgical procedures (including date and type of procedure, duration, surgical team, operating room, devices used, etc.) and other medical interventions (e.g., medications administered) may be associated with risk of exposure or transmission.  </w:t>
      </w:r>
    </w:p>
    <w:p w:rsidR="00AE48AF" w:rsidRPr="007E58C5" w:rsidRDefault="00AE48AF" w:rsidP="00AE48AF">
      <w:pPr>
        <w:spacing w:line="240" w:lineRule="auto"/>
        <w:rPr>
          <w:rFonts w:ascii="Calibri" w:eastAsia="Calibri" w:hAnsi="Calibri" w:cs="Times New Roman"/>
        </w:rPr>
      </w:pP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The </w:t>
      </w:r>
      <w:hyperlink r:id="rId8" w:history="1">
        <w:r w:rsidRPr="007E58C5">
          <w:rPr>
            <w:rFonts w:ascii="Calibri" w:eastAsia="Calibri" w:hAnsi="Calibri" w:cs="Times New Roman"/>
            <w:color w:val="0563C1"/>
            <w:u w:val="single"/>
          </w:rPr>
          <w:t>CORHA website</w:t>
        </w:r>
      </w:hyperlink>
      <w:r w:rsidRPr="007E58C5">
        <w:rPr>
          <w:rFonts w:ascii="Calibri" w:eastAsia="Calibri" w:hAnsi="Calibri" w:cs="Times New Roman"/>
        </w:rPr>
        <w:t xml:space="preserve"> has examples of tools that can be used or adapted for the following conditions:</w:t>
      </w:r>
    </w:p>
    <w:p w:rsidR="00AE48AF" w:rsidRPr="007E58C5" w:rsidRDefault="00AE48AF" w:rsidP="00AE48AF">
      <w:pPr>
        <w:spacing w:line="240" w:lineRule="auto"/>
        <w:rPr>
          <w:rFonts w:ascii="Calibri" w:eastAsia="Calibri" w:hAnsi="Calibri" w:cs="Times New Roman"/>
          <w:color w:val="FF0000"/>
        </w:rPr>
      </w:pPr>
      <w:r w:rsidRPr="007E58C5">
        <w:rPr>
          <w:rFonts w:ascii="Calibri" w:eastAsia="Calibri" w:hAnsi="Calibri" w:cs="Times New Roman"/>
          <w:color w:val="FF0000"/>
        </w:rPr>
        <w:t>INSERT LIST WITH LINKS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bCs/>
        </w:rPr>
        <w:t xml:space="preserve">In many outbreak investigations, it is helpful to prepare an </w:t>
      </w:r>
      <w:r w:rsidRPr="007E58C5">
        <w:rPr>
          <w:rFonts w:ascii="Calibri" w:eastAsia="Calibri" w:hAnsi="Calibri" w:cs="Times New Roman"/>
          <w:b/>
          <w:bCs/>
        </w:rPr>
        <w:t>epidemic curve</w:t>
      </w:r>
      <w:r w:rsidRPr="007E58C5">
        <w:rPr>
          <w:rFonts w:ascii="Calibri" w:eastAsia="Calibri" w:hAnsi="Calibri" w:cs="Times New Roman"/>
          <w:bCs/>
        </w:rPr>
        <w:t xml:space="preserve"> (i.e., a histogram). Update the epidemic curve regularly to depict the status of the outbreak.</w:t>
      </w:r>
      <w:r w:rsidRPr="007E58C5">
        <w:rPr>
          <w:rFonts w:ascii="Calibri" w:eastAsia="Calibri" w:hAnsi="Calibri" w:cs="Times New Roman"/>
          <w:b/>
          <w:bCs/>
        </w:rPr>
        <w:t xml:space="preserve"> </w:t>
      </w:r>
      <w:r w:rsidRPr="007E58C5">
        <w:rPr>
          <w:rFonts w:ascii="Calibri" w:eastAsia="Calibri" w:hAnsi="Calibri" w:cs="Times New Roman"/>
        </w:rPr>
        <w:t xml:space="preserve">Select time scales for the epidemic curve to highlight the agent, type of infection, mode of transmission, and outbreak duration. Notable events, such as implementation of control measures, can also be indicated. </w:t>
      </w:r>
    </w:p>
    <w:p w:rsidR="00AE48AF" w:rsidRPr="007E58C5" w:rsidRDefault="00AE48AF" w:rsidP="00AE48AF">
      <w:pPr>
        <w:shd w:val="clear" w:color="auto" w:fill="FFFFFF"/>
        <w:spacing w:after="45" w:line="240" w:lineRule="auto"/>
        <w:rPr>
          <w:rFonts w:ascii="Calibri" w:eastAsia="Calibri" w:hAnsi="Calibri" w:cs="Times New Roman"/>
          <w:color w:val="000000"/>
        </w:rPr>
      </w:pPr>
      <w:r w:rsidRPr="007E58C5">
        <w:rPr>
          <w:rFonts w:ascii="Calibri" w:eastAsia="Calibri" w:hAnsi="Calibri" w:cs="Times New Roman"/>
          <w:color w:val="000000"/>
        </w:rPr>
        <w:t xml:space="preserve">The epidemic curve is used to:  </w:t>
      </w:r>
    </w:p>
    <w:p w:rsidR="00AE48AF" w:rsidRPr="007E58C5" w:rsidRDefault="00AE48AF" w:rsidP="00AE48AF">
      <w:pPr>
        <w:numPr>
          <w:ilvl w:val="0"/>
          <w:numId w:val="2"/>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Depict the magnitude of the outbreak over time—and potentially correlated events—in a simple, easily understood visual format.</w:t>
      </w:r>
    </w:p>
    <w:p w:rsidR="00AE48AF" w:rsidRPr="007E58C5" w:rsidRDefault="00AE48AF" w:rsidP="00AE48AF">
      <w:pPr>
        <w:numPr>
          <w:ilvl w:val="0"/>
          <w:numId w:val="2"/>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 xml:space="preserve">Help distinguish epidemic from endemic disease. </w:t>
      </w:r>
    </w:p>
    <w:p w:rsidR="00AE48AF" w:rsidRPr="007E58C5" w:rsidRDefault="00AE48AF" w:rsidP="00AE48AF">
      <w:pPr>
        <w:numPr>
          <w:ilvl w:val="0"/>
          <w:numId w:val="2"/>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Provide clues, based on the shape of the curve, about the pattern of spread in the population (e.g., point source versus propagated transmission).</w:t>
      </w:r>
    </w:p>
    <w:p w:rsidR="00AE48AF" w:rsidRPr="007E58C5" w:rsidRDefault="00AE48AF" w:rsidP="00AE48AF">
      <w:pPr>
        <w:numPr>
          <w:ilvl w:val="0"/>
          <w:numId w:val="2"/>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Identify the current phase of the epidemic—i.e., on the upswing, on the downward slope, or post-epidemic—to help predict the magnitude of expected cases in the near future.</w:t>
      </w:r>
    </w:p>
    <w:p w:rsidR="00AE48AF" w:rsidRPr="007E58C5" w:rsidRDefault="00AE48AF" w:rsidP="00AE48AF">
      <w:pPr>
        <w:numPr>
          <w:ilvl w:val="0"/>
          <w:numId w:val="2"/>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 xml:space="preserve">Evaluate the effectiveness of control measures. </w:t>
      </w:r>
    </w:p>
    <w:p w:rsidR="00AE48AF" w:rsidRPr="007E58C5" w:rsidRDefault="00AE48AF" w:rsidP="00AE48AF">
      <w:pPr>
        <w:numPr>
          <w:ilvl w:val="0"/>
          <w:numId w:val="2"/>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Identify outliers (i.e., cases that don't fit into the body of the curve), which may yield important clues.</w:t>
      </w:r>
    </w:p>
    <w:p w:rsidR="00AE48AF" w:rsidRPr="007E58C5" w:rsidRDefault="00AE48AF" w:rsidP="00AE48AF">
      <w:pPr>
        <w:numPr>
          <w:ilvl w:val="0"/>
          <w:numId w:val="2"/>
        </w:numPr>
        <w:shd w:val="clear" w:color="auto" w:fill="FFFFFF"/>
        <w:spacing w:after="45"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Deduce a probable time of exposure—if the disease and disease incubation period are known. This information, in turn, can inform development of the data collection tool, which should focus on the identified timeframe.</w:t>
      </w:r>
    </w:p>
    <w:p w:rsidR="00AE48AF" w:rsidRPr="007E58C5" w:rsidRDefault="00AE48AF" w:rsidP="00AE48AF">
      <w:pPr>
        <w:spacing w:after="0" w:line="240" w:lineRule="auto"/>
        <w:rPr>
          <w:rFonts w:ascii="Calibri" w:eastAsia="Times New Roman" w:hAnsi="Calibri" w:cs="Times New Roman"/>
        </w:rPr>
      </w:pPr>
    </w:p>
    <w:p w:rsidR="00AE48AF" w:rsidRPr="007E58C5" w:rsidRDefault="00AE48AF" w:rsidP="00AE48AF">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t xml:space="preserve">Descriptive epidemiology provides a critical assessment of the status of the outbreak and often serves as the basis for determining further actions, such as implementing specific prevention and control measures, initiating environmental assessments, and conducting analytic studies to test specific hypotheses. </w:t>
      </w:r>
    </w:p>
    <w:p w:rsidR="00AE48AF" w:rsidRPr="007E58C5" w:rsidRDefault="00AE48AF" w:rsidP="00AE48AF">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lastRenderedPageBreak/>
        <w:t>After an explanatory outbreak hypothesis has been developed, the next step is to evaluate its plausibility, typically using a combination of epidemiology, laboratory, and environmental evidence. From the epidemiologic point-of-view, hypotheses are evaluated by either (1) comparing the hypotheses with established facts or (2) using analytic epidemiology to quantify relationships and assess the role of chance.</w:t>
      </w:r>
    </w:p>
    <w:p w:rsidR="00AE48AF" w:rsidRPr="007E58C5" w:rsidRDefault="00AE48AF" w:rsidP="00AE48AF">
      <w:pPr>
        <w:shd w:val="clear" w:color="auto" w:fill="FFFFFF"/>
        <w:spacing w:after="150" w:line="240" w:lineRule="auto"/>
        <w:rPr>
          <w:rFonts w:ascii="Calibri" w:eastAsia="Times New Roman" w:hAnsi="Calibri" w:cs="Times New Roman"/>
          <w:color w:val="000000"/>
          <w:shd w:val="clear" w:color="auto" w:fill="FFFFFF"/>
        </w:rPr>
      </w:pPr>
      <w:r w:rsidRPr="007E58C5">
        <w:rPr>
          <w:rFonts w:ascii="Calibri" w:eastAsia="Calibri" w:hAnsi="Calibri" w:cs="Times New Roman"/>
          <w:color w:val="000000"/>
        </w:rPr>
        <w:t xml:space="preserve">The first method, simple comparisons, is likely to be sufficient when the leading hypothesis is supported by accumulated evidence in an obvious manner and to a degree that formal hypothesis testing is unnecessary. </w:t>
      </w:r>
      <w:r w:rsidRPr="007E58C5">
        <w:rPr>
          <w:rFonts w:ascii="Calibri" w:eastAsia="Times New Roman" w:hAnsi="Calibri" w:cs="Times New Roman"/>
          <w:color w:val="000000"/>
          <w:shd w:val="clear" w:color="auto" w:fill="FFFFFF"/>
        </w:rPr>
        <w:t xml:space="preserve">When this is not the case, analytic epidemiology often comes into play. </w:t>
      </w:r>
    </w:p>
    <w:p w:rsidR="00AE48AF" w:rsidRPr="007E58C5" w:rsidRDefault="00AE48AF" w:rsidP="00AE48AF">
      <w:pPr>
        <w:spacing w:after="0" w:line="240" w:lineRule="auto"/>
        <w:rPr>
          <w:rFonts w:ascii="Calibri" w:eastAsia="Times New Roman" w:hAnsi="Calibri" w:cs="Times New Roman"/>
          <w:color w:val="000000"/>
          <w:u w:val="single"/>
          <w:shd w:val="clear" w:color="auto" w:fill="FFFFFF"/>
        </w:rPr>
      </w:pPr>
      <w:r w:rsidRPr="007E58C5">
        <w:rPr>
          <w:rFonts w:ascii="Calibri" w:eastAsia="Times New Roman" w:hAnsi="Calibri" w:cs="Times New Roman"/>
          <w:color w:val="000000"/>
          <w:u w:val="single"/>
          <w:shd w:val="clear" w:color="auto" w:fill="FFFFFF"/>
        </w:rPr>
        <w:t xml:space="preserve">Analytic Epidemiology </w:t>
      </w:r>
    </w:p>
    <w:p w:rsidR="00AE48AF" w:rsidRPr="007E58C5" w:rsidRDefault="00AE48AF" w:rsidP="00AE48AF">
      <w:pPr>
        <w:spacing w:after="0" w:line="240" w:lineRule="auto"/>
        <w:rPr>
          <w:rFonts w:ascii="Calibri" w:eastAsia="Times New Roman" w:hAnsi="Calibri" w:cs="Times New Roman"/>
          <w:color w:val="000000"/>
          <w:shd w:val="clear" w:color="auto" w:fill="FFFFFF"/>
        </w:rPr>
      </w:pPr>
    </w:p>
    <w:p w:rsidR="00AE48AF" w:rsidRPr="007E58C5" w:rsidRDefault="00AE48AF" w:rsidP="00AE48AF">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The key feature of analytic epidemiology is a comparison group, which enables epidemiologists to contrast the </w:t>
      </w:r>
      <w:r w:rsidRPr="007E58C5">
        <w:rPr>
          <w:rFonts w:ascii="Calibri" w:eastAsia="Times New Roman" w:hAnsi="Calibri" w:cs="Times New Roman"/>
          <w:bCs/>
          <w:color w:val="000000"/>
          <w:shd w:val="clear" w:color="auto" w:fill="FFFFFF"/>
        </w:rPr>
        <w:t xml:space="preserve">observed </w:t>
      </w:r>
      <w:r w:rsidRPr="007E58C5">
        <w:rPr>
          <w:rFonts w:ascii="Calibri" w:eastAsia="Times New Roman" w:hAnsi="Calibri" w:cs="Times New Roman"/>
          <w:color w:val="000000"/>
          <w:shd w:val="clear" w:color="auto" w:fill="FFFFFF"/>
        </w:rPr>
        <w:t xml:space="preserve">patterns (e.g., incidence rates and odds ratios) among case-patients or exposed persons with those among non-cases or unexposed persons. Do key statistics differ substantially from what should be expected? If so, by what degree? </w:t>
      </w:r>
    </w:p>
    <w:p w:rsidR="00AE48AF" w:rsidRPr="007E58C5" w:rsidRDefault="00AE48AF" w:rsidP="00AE48AF">
      <w:pPr>
        <w:spacing w:after="0" w:line="240" w:lineRule="auto"/>
        <w:rPr>
          <w:rFonts w:ascii="Calibri" w:eastAsia="Times New Roman" w:hAnsi="Calibri" w:cs="Times New Roman"/>
          <w:color w:val="000000"/>
          <w:shd w:val="clear" w:color="auto" w:fill="FFFFFF"/>
        </w:rPr>
      </w:pPr>
    </w:p>
    <w:p w:rsidR="00AE48AF" w:rsidRPr="007E58C5" w:rsidRDefault="00AE48AF" w:rsidP="00AE48AF">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 xml:space="preserve">This exercise quantifies the relationships between exposures and disease and also enables hypothesis testing with regard to the likelihood of those relationships being due to chance. The two most common types of analytic epidemiology studies used in field investigations are </w:t>
      </w:r>
      <w:r w:rsidRPr="007E58C5">
        <w:rPr>
          <w:rFonts w:ascii="Calibri" w:eastAsia="Times New Roman" w:hAnsi="Calibri" w:cs="Times New Roman"/>
          <w:i/>
          <w:color w:val="000000"/>
          <w:shd w:val="clear" w:color="auto" w:fill="FFFFFF"/>
        </w:rPr>
        <w:t>retrospective cohort studies</w:t>
      </w:r>
      <w:r w:rsidRPr="007E58C5">
        <w:rPr>
          <w:rFonts w:ascii="Calibri" w:eastAsia="Times New Roman" w:hAnsi="Calibri" w:cs="Times New Roman"/>
          <w:color w:val="000000"/>
          <w:shd w:val="clear" w:color="auto" w:fill="FFFFFF"/>
        </w:rPr>
        <w:t xml:space="preserve"> and </w:t>
      </w:r>
      <w:r w:rsidRPr="007E58C5">
        <w:rPr>
          <w:rFonts w:ascii="Calibri" w:eastAsia="Times New Roman" w:hAnsi="Calibri" w:cs="Times New Roman"/>
          <w:i/>
          <w:color w:val="000000"/>
          <w:shd w:val="clear" w:color="auto" w:fill="FFFFFF"/>
        </w:rPr>
        <w:t>case-control studies</w:t>
      </w:r>
      <w:r w:rsidRPr="007E58C5">
        <w:rPr>
          <w:rFonts w:ascii="Calibri" w:eastAsia="Times New Roman" w:hAnsi="Calibri" w:cs="Times New Roman"/>
          <w:color w:val="000000"/>
          <w:shd w:val="clear" w:color="auto" w:fill="FFFFFF"/>
        </w:rPr>
        <w:t>. A prerequisite to the conduct of an analytic study is having a sufficient sample of cases to power the statistical analyses. Additional information about each comprises Appendix A.</w:t>
      </w:r>
    </w:p>
    <w:p w:rsidR="00AE48AF" w:rsidRPr="007E58C5" w:rsidRDefault="00AE48AF" w:rsidP="00AE48AF">
      <w:pPr>
        <w:spacing w:after="0" w:line="240" w:lineRule="auto"/>
        <w:rPr>
          <w:rFonts w:ascii="Calibri" w:eastAsia="Times New Roman" w:hAnsi="Calibri" w:cs="Times New Roman"/>
          <w:color w:val="000000"/>
          <w:shd w:val="clear" w:color="auto" w:fill="FFFFFF"/>
        </w:rPr>
      </w:pPr>
    </w:p>
    <w:p w:rsidR="00AE48AF" w:rsidRPr="007E58C5" w:rsidRDefault="00AE48AF" w:rsidP="00AE48AF">
      <w:pPr>
        <w:spacing w:after="0" w:line="240" w:lineRule="auto"/>
        <w:rPr>
          <w:rFonts w:ascii="Calibri" w:eastAsia="Times New Roman" w:hAnsi="Calibri" w:cs="Times New Roman"/>
          <w:b/>
          <w:color w:val="000000"/>
          <w:shd w:val="clear" w:color="auto" w:fill="FFFFFF"/>
        </w:rPr>
      </w:pPr>
      <w:r w:rsidRPr="007E58C5">
        <w:rPr>
          <w:rFonts w:ascii="Calibri" w:eastAsia="Times New Roman" w:hAnsi="Calibri" w:cs="Times New Roman"/>
          <w:b/>
          <w:color w:val="000000"/>
          <w:shd w:val="clear" w:color="auto" w:fill="FFFFFF"/>
        </w:rPr>
        <w:t>Infection Control Assessment</w:t>
      </w:r>
    </w:p>
    <w:p w:rsidR="00AE48AF" w:rsidRPr="007E58C5" w:rsidRDefault="00AE48AF" w:rsidP="00AE48AF">
      <w:pPr>
        <w:spacing w:after="0" w:line="240" w:lineRule="auto"/>
        <w:rPr>
          <w:rFonts w:ascii="Calibri" w:eastAsia="Times New Roman" w:hAnsi="Calibri" w:cs="Times New Roman"/>
          <w:color w:val="000000"/>
          <w:shd w:val="clear" w:color="auto" w:fill="FFFFFF"/>
        </w:rPr>
      </w:pPr>
    </w:p>
    <w:p w:rsidR="00AE48AF" w:rsidRPr="007E58C5" w:rsidRDefault="00AE48AF" w:rsidP="00AE48AF">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t>Assessment of infection control practices can reveal safety breaches potentially linked to disease transmission. Such an assessment should be based upon the population affected and common patient exposures or other identified risk factors. The following is a partial list of tools developed for various healthcare settings and devices and available from CDC:</w:t>
      </w:r>
    </w:p>
    <w:p w:rsidR="00AE48AF" w:rsidRPr="007E58C5" w:rsidRDefault="00AE48AF" w:rsidP="00AE48AF">
      <w:pPr>
        <w:numPr>
          <w:ilvl w:val="0"/>
          <w:numId w:val="4"/>
        </w:numPr>
        <w:shd w:val="clear" w:color="auto" w:fill="FFFFFF"/>
        <w:spacing w:beforeAutospacing="1" w:after="0" w:afterAutospacing="1" w:line="375" w:lineRule="atLeast"/>
        <w:ind w:left="375"/>
        <w:rPr>
          <w:rFonts w:ascii="Calibri" w:eastAsia="Times New Roman" w:hAnsi="Calibri" w:cs="Times New Roman"/>
          <w:color w:val="000000"/>
        </w:rPr>
      </w:pPr>
      <w:hyperlink r:id="rId9" w:tgtFrame="_blank" w:history="1">
        <w:r w:rsidRPr="007E58C5">
          <w:rPr>
            <w:rFonts w:ascii="Calibri" w:eastAsia="Times New Roman" w:hAnsi="Calibri" w:cs="Times New Roman"/>
            <w:color w:val="000000"/>
            <w:u w:val="single"/>
          </w:rPr>
          <w:t>Infection Control Assessment Tool for Acute Care Hospitals [PDF – 433 KB]</w:t>
        </w:r>
      </w:hyperlink>
    </w:p>
    <w:p w:rsidR="00AE48AF" w:rsidRPr="007E58C5" w:rsidRDefault="00AE48AF" w:rsidP="00AE48AF">
      <w:pPr>
        <w:numPr>
          <w:ilvl w:val="0"/>
          <w:numId w:val="4"/>
        </w:numPr>
        <w:shd w:val="clear" w:color="auto" w:fill="FFFFFF"/>
        <w:spacing w:beforeAutospacing="1" w:after="0" w:afterAutospacing="1" w:line="375" w:lineRule="atLeast"/>
        <w:ind w:left="375"/>
        <w:rPr>
          <w:rFonts w:ascii="Calibri" w:eastAsia="Times New Roman" w:hAnsi="Calibri" w:cs="Times New Roman"/>
          <w:color w:val="000000"/>
        </w:rPr>
      </w:pPr>
      <w:hyperlink r:id="rId10" w:tgtFrame="_blank" w:history="1">
        <w:r w:rsidRPr="007E58C5">
          <w:rPr>
            <w:rFonts w:ascii="Calibri" w:eastAsia="Times New Roman" w:hAnsi="Calibri" w:cs="Times New Roman"/>
            <w:color w:val="000000"/>
            <w:u w:val="single"/>
          </w:rPr>
          <w:t>Infection Control Assessment Tool for Long-term Care Facilities [PDF – 104 KB]</w:t>
        </w:r>
      </w:hyperlink>
    </w:p>
    <w:p w:rsidR="00AE48AF" w:rsidRPr="007E58C5" w:rsidRDefault="00AE48AF" w:rsidP="00AE48AF">
      <w:pPr>
        <w:numPr>
          <w:ilvl w:val="0"/>
          <w:numId w:val="4"/>
        </w:numPr>
        <w:shd w:val="clear" w:color="auto" w:fill="FFFFFF"/>
        <w:spacing w:beforeAutospacing="1" w:after="0" w:afterAutospacing="1" w:line="375" w:lineRule="atLeast"/>
        <w:ind w:left="375"/>
        <w:rPr>
          <w:rFonts w:ascii="Calibri" w:eastAsia="Times New Roman" w:hAnsi="Calibri" w:cs="Times New Roman"/>
          <w:color w:val="000000"/>
        </w:rPr>
      </w:pPr>
      <w:hyperlink r:id="rId11" w:tgtFrame="_blank" w:history="1">
        <w:r w:rsidRPr="007E58C5">
          <w:rPr>
            <w:rFonts w:ascii="Calibri" w:eastAsia="Times New Roman" w:hAnsi="Calibri" w:cs="Times New Roman"/>
            <w:color w:val="000000"/>
            <w:u w:val="single"/>
          </w:rPr>
          <w:t>Infection Control Assessment Tool for Outpatient Settings [PDF – 337 KB]</w:t>
        </w:r>
      </w:hyperlink>
    </w:p>
    <w:p w:rsidR="00AE48AF" w:rsidRPr="007E58C5" w:rsidRDefault="00AE48AF" w:rsidP="00AE48AF">
      <w:pPr>
        <w:numPr>
          <w:ilvl w:val="0"/>
          <w:numId w:val="4"/>
        </w:numPr>
        <w:shd w:val="clear" w:color="auto" w:fill="FFFFFF"/>
        <w:spacing w:beforeAutospacing="1" w:after="0" w:afterAutospacing="1" w:line="375" w:lineRule="atLeast"/>
        <w:ind w:left="375"/>
        <w:rPr>
          <w:rFonts w:ascii="Calibri" w:eastAsia="Times New Roman" w:hAnsi="Calibri" w:cs="Times New Roman"/>
          <w:color w:val="000000"/>
        </w:rPr>
      </w:pPr>
      <w:hyperlink r:id="rId12" w:tgtFrame="_blank" w:history="1">
        <w:r w:rsidRPr="007E58C5">
          <w:rPr>
            <w:rFonts w:ascii="Calibri" w:eastAsia="Times New Roman" w:hAnsi="Calibri" w:cs="Times New Roman"/>
            <w:color w:val="000000"/>
            <w:u w:val="single"/>
          </w:rPr>
          <w:t>Infection Control Assessment Tool for Hemodialysis Facilities [PDF – 278 KB]</w:t>
        </w:r>
      </w:hyperlink>
    </w:p>
    <w:p w:rsidR="00AE48AF" w:rsidRPr="007E58C5" w:rsidRDefault="00AE48AF" w:rsidP="00AE48AF">
      <w:pPr>
        <w:numPr>
          <w:ilvl w:val="0"/>
          <w:numId w:val="4"/>
        </w:numPr>
        <w:shd w:val="clear" w:color="auto" w:fill="FFFFFF"/>
        <w:spacing w:beforeAutospacing="1" w:after="0" w:afterAutospacing="1" w:line="375" w:lineRule="atLeast"/>
        <w:ind w:left="375"/>
        <w:rPr>
          <w:rFonts w:ascii="Calibri" w:eastAsia="Times New Roman" w:hAnsi="Calibri" w:cs="Times New Roman"/>
          <w:color w:val="000000"/>
        </w:rPr>
      </w:pPr>
      <w:hyperlink r:id="rId13" w:tgtFrame="_blank" w:history="1">
        <w:r w:rsidRPr="007E58C5">
          <w:rPr>
            <w:rFonts w:ascii="Calibri" w:eastAsia="Times New Roman" w:hAnsi="Calibri" w:cs="Times New Roman"/>
            <w:color w:val="000000"/>
            <w:u w:val="single"/>
          </w:rPr>
          <w:t>Acute Care Facility Multidrug-resistant Organisms Control Activity Assessment Tool [PDF – 402 KB]</w:t>
        </w:r>
      </w:hyperlink>
    </w:p>
    <w:p w:rsidR="00AE48AF" w:rsidRPr="007E58C5" w:rsidRDefault="00AE48AF" w:rsidP="00AE48AF">
      <w:pPr>
        <w:numPr>
          <w:ilvl w:val="0"/>
          <w:numId w:val="4"/>
        </w:numPr>
        <w:shd w:val="clear" w:color="auto" w:fill="FFFFFF"/>
        <w:spacing w:beforeAutospacing="1" w:after="0" w:afterAutospacing="1" w:line="375" w:lineRule="atLeast"/>
        <w:ind w:left="375"/>
        <w:rPr>
          <w:rFonts w:ascii="Calibri" w:eastAsia="Times New Roman" w:hAnsi="Calibri" w:cs="Times New Roman"/>
          <w:color w:val="000000"/>
        </w:rPr>
      </w:pPr>
      <w:r w:rsidRPr="007E58C5">
        <w:rPr>
          <w:rFonts w:ascii="Calibri" w:eastAsia="Times New Roman" w:hAnsi="Calibri" w:cs="Times New Roman"/>
          <w:color w:val="000000"/>
        </w:rPr>
        <w:t xml:space="preserve">Checklist for Prevention of Central Line Associated Bloodstream Infections  </w:t>
      </w:r>
      <w:hyperlink r:id="rId14" w:history="1">
        <w:r w:rsidRPr="007E58C5">
          <w:rPr>
            <w:rFonts w:ascii="Calibri" w:eastAsia="Times New Roman" w:hAnsi="Calibri" w:cs="Times New Roman"/>
            <w:color w:val="000000"/>
            <w:u w:val="single"/>
          </w:rPr>
          <w:t>https://www.cdc.gov/hai/pdfs/bsi/checklist-for-CLABSI.pdf</w:t>
        </w:r>
      </w:hyperlink>
      <w:r w:rsidRPr="007E58C5">
        <w:rPr>
          <w:rFonts w:ascii="Calibri" w:eastAsia="Times New Roman" w:hAnsi="Calibri" w:cs="Times New Roman"/>
          <w:color w:val="000000"/>
        </w:rPr>
        <w:t xml:space="preserve"> </w:t>
      </w:r>
    </w:p>
    <w:p w:rsidR="00AE48AF" w:rsidRPr="00912B49" w:rsidRDefault="00AE48AF" w:rsidP="00AE48AF">
      <w:pPr>
        <w:rPr>
          <w:b/>
        </w:rPr>
      </w:pPr>
      <w:r w:rsidRPr="00912B49">
        <w:rPr>
          <w:b/>
        </w:rPr>
        <w:t>Implement Prevention and Control Measures</w:t>
      </w:r>
    </w:p>
    <w:p w:rsidR="00AE48AF" w:rsidRPr="007E58C5" w:rsidRDefault="00AE48AF" w:rsidP="00AE48AF">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t xml:space="preserve">If appropriate disease control measures are known and available, they should be initiated even before an epidemiologic investigation is launched. In general, such measures are directed against one or more segments in the chain of transmission that are susceptible to intervention—agent, source, mode of transmission, portal of entry, host. If appropriate interventions are not immediately obvious, they should be implemented as soon as the evidence base permits. </w:t>
      </w:r>
    </w:p>
    <w:p w:rsidR="00AE48AF" w:rsidRDefault="00AE48AF" w:rsidP="00AE48AF">
      <w:pPr>
        <w:spacing w:after="0" w:line="240" w:lineRule="auto"/>
        <w:rPr>
          <w:rFonts w:ascii="Calibri" w:eastAsia="Times New Roman" w:hAnsi="Calibri" w:cs="Times New Roman"/>
          <w:b/>
          <w:color w:val="000000"/>
          <w:shd w:val="clear" w:color="auto" w:fill="FFFFFF"/>
        </w:rPr>
      </w:pPr>
    </w:p>
    <w:p w:rsidR="00AE48AF" w:rsidRPr="007E58C5" w:rsidRDefault="00AE48AF" w:rsidP="00AE48AF">
      <w:pPr>
        <w:spacing w:after="0" w:line="240" w:lineRule="auto"/>
        <w:rPr>
          <w:rFonts w:ascii="Calibri" w:eastAsia="Times New Roman" w:hAnsi="Calibri" w:cs="Times New Roman"/>
          <w:b/>
        </w:rPr>
      </w:pPr>
      <w:r w:rsidRPr="007E58C5">
        <w:rPr>
          <w:rFonts w:ascii="Calibri" w:eastAsia="Times New Roman" w:hAnsi="Calibri" w:cs="Times New Roman"/>
          <w:b/>
          <w:color w:val="000000"/>
          <w:shd w:val="clear" w:color="auto" w:fill="FFFFFF"/>
        </w:rPr>
        <w:lastRenderedPageBreak/>
        <w:t>Environmental Assessment</w:t>
      </w:r>
    </w:p>
    <w:p w:rsidR="00AE48AF" w:rsidRPr="007E58C5" w:rsidRDefault="00AE48AF" w:rsidP="00AE48AF">
      <w:pPr>
        <w:spacing w:after="0" w:line="240" w:lineRule="auto"/>
        <w:rPr>
          <w:rFonts w:ascii="Calibri" w:eastAsia="Times New Roman" w:hAnsi="Calibri" w:cs="Times New Roman"/>
        </w:rPr>
      </w:pP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An environmental assessment is a systematic evaluation of environmental factors that may contribute to transmission in an outbreak, as revealed by the initial epidemiological investigation.</w:t>
      </w:r>
    </w:p>
    <w:p w:rsidR="00AE48AF" w:rsidRPr="007E58C5" w:rsidRDefault="00AE48AF" w:rsidP="00AE48AF">
      <w:pPr>
        <w:spacing w:line="240" w:lineRule="auto"/>
        <w:contextualSpacing/>
        <w:rPr>
          <w:rFonts w:ascii="Calibri" w:eastAsia="Calibri" w:hAnsi="Calibri" w:cs="Times New Roman"/>
        </w:rPr>
      </w:pPr>
      <w:r w:rsidRPr="007E58C5">
        <w:rPr>
          <w:rFonts w:ascii="Calibri" w:eastAsia="Calibri" w:hAnsi="Calibri" w:cs="Times New Roman"/>
        </w:rPr>
        <w:t>The overall goal of the assessment is to pinpoint the conditions that allowed the outbreak to happen, such as:</w:t>
      </w:r>
    </w:p>
    <w:p w:rsidR="00AE48AF" w:rsidRPr="007E58C5" w:rsidRDefault="00AE48AF" w:rsidP="00AE48AF">
      <w:pPr>
        <w:spacing w:line="240" w:lineRule="auto"/>
        <w:contextualSpacing/>
        <w:rPr>
          <w:rFonts w:ascii="Calibri" w:eastAsia="Calibri" w:hAnsi="Calibri" w:cs="Times New Roman"/>
        </w:rPr>
      </w:pPr>
      <w:r w:rsidRPr="007E58C5">
        <w:rPr>
          <w:rFonts w:ascii="Calibri" w:eastAsia="Calibri" w:hAnsi="Calibri" w:cs="Times New Roman"/>
        </w:rPr>
        <w:t>• Possible points of contamination and contact between the disease agent and vulnerable persons.</w:t>
      </w:r>
    </w:p>
    <w:p w:rsidR="00AE48AF" w:rsidRPr="007E58C5" w:rsidRDefault="00AE48AF" w:rsidP="00AE48AF">
      <w:pPr>
        <w:spacing w:line="240" w:lineRule="auto"/>
        <w:contextualSpacing/>
        <w:rPr>
          <w:rFonts w:ascii="Calibri" w:eastAsia="Calibri" w:hAnsi="Calibri" w:cs="Times New Roman"/>
        </w:rPr>
      </w:pPr>
      <w:r w:rsidRPr="007E58C5">
        <w:rPr>
          <w:rFonts w:ascii="Calibri" w:eastAsia="Calibri" w:hAnsi="Calibri" w:cs="Times New Roman"/>
        </w:rPr>
        <w:t>• Environmental conditions conducive to microbial survival and/or growth.</w:t>
      </w:r>
    </w:p>
    <w:p w:rsidR="00AE48AF" w:rsidRPr="007E58C5" w:rsidRDefault="00AE48AF" w:rsidP="00AE48AF">
      <w:pPr>
        <w:spacing w:line="240" w:lineRule="auto"/>
        <w:contextualSpacing/>
        <w:rPr>
          <w:rFonts w:ascii="Calibri" w:eastAsia="Calibri" w:hAnsi="Calibri" w:cs="Times New Roman"/>
        </w:rPr>
      </w:pP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Environmental cultures are infrequently warranted and should only be obtained once a potential microbial source or reservoir has been identified and epidemiologically linked to outbreak cases. Since clinical laboratories may not be licensed or able to perform environmental testing, health authorities may require further consultation and additional resources to obtain such testing, if warranted. </w:t>
      </w:r>
    </w:p>
    <w:p w:rsidR="00AE48AF" w:rsidRPr="007E58C5" w:rsidRDefault="00AE48AF" w:rsidP="00AE48AF">
      <w:pPr>
        <w:spacing w:line="240" w:lineRule="auto"/>
        <w:rPr>
          <w:rFonts w:ascii="Calibri" w:eastAsia="Calibri" w:hAnsi="Calibri" w:cs="Times New Roman"/>
          <w:b/>
        </w:rPr>
      </w:pPr>
      <w:r w:rsidRPr="007E58C5">
        <w:rPr>
          <w:rFonts w:ascii="Calibri" w:eastAsia="Calibri" w:hAnsi="Calibri" w:cs="Times New Roman"/>
          <w:b/>
        </w:rPr>
        <w:t>Coordinate Investigation Activities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Timely communication and collaboration are critical throughout the course of the investigation among all investigative partners.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bCs/>
        </w:rPr>
        <w:t xml:space="preserve">Arrange for the core outbreak control team to meet daily and for regular updates for the entire, extended team. For example, the </w:t>
      </w:r>
      <w:r w:rsidRPr="007E58C5">
        <w:rPr>
          <w:rFonts w:ascii="Calibri" w:eastAsia="Calibri" w:hAnsi="Calibri" w:cs="Times New Roman"/>
        </w:rPr>
        <w:t xml:space="preserve">public information officer will need to be briefed before any scheduled press briefings.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bCs/>
        </w:rPr>
        <w:t>Assure that pathogen-specific surveillance—by the healthcare facility and public health laboratories engaged in the investigation—continues unabated, with information on any potential new outbreak-associated cases forwarded to epidemiologists in real time to</w:t>
      </w:r>
      <w:r w:rsidRPr="007E58C5">
        <w:rPr>
          <w:rFonts w:ascii="Calibri" w:eastAsia="Calibri" w:hAnsi="Calibri" w:cs="Times New Roman"/>
        </w:rPr>
        <w:t xml:space="preserve"> ensure rapid enrollment of these cases in outbreak investigation studies. Similarly, as investigators acquire information about case-patient exposures in other facilities or case-patient transfers to or from other facilities or across state lines, they should rapidly update the appropriate health authorities and consider whether any information indicates the outbreak might be multi-jurisdictional.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Finally, the scope of the investigation or the need to identify the source of any product contamination may require engagement of local, state, or federal agencies. </w:t>
      </w:r>
    </w:p>
    <w:p w:rsidR="00AE48AF" w:rsidRPr="007E58C5" w:rsidRDefault="00AE48AF" w:rsidP="00AE48AF">
      <w:pPr>
        <w:spacing w:line="240" w:lineRule="auto"/>
        <w:rPr>
          <w:rFonts w:ascii="Calibri" w:eastAsia="Calibri" w:hAnsi="Calibri" w:cs="Times New Roman"/>
          <w:bCs/>
        </w:rPr>
      </w:pPr>
      <w:r w:rsidRPr="007E58C5">
        <w:rPr>
          <w:rFonts w:ascii="Calibri" w:eastAsia="Calibri" w:hAnsi="Calibri" w:cs="Times New Roman"/>
          <w:b/>
          <w:bCs/>
        </w:rPr>
        <w:t xml:space="preserve">Monitor the Status of all Investigation Components on an Ongoing Basis.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bCs/>
        </w:rPr>
        <w:t>Ongoing review of investigation findings—including current case-patient lists, new laboratory data, updated epidemic curves, recent environmental assessment findings, etc.—can raise novel questions or help to answer existing questions related to an outbreak. This information, in turn, may lead investigators to modify existing prevention and control strategies or to adopt new strategies.</w:t>
      </w:r>
      <w:r w:rsidRPr="007E58C5">
        <w:rPr>
          <w:rFonts w:ascii="Calibri" w:eastAsia="Calibri" w:hAnsi="Calibri" w:cs="Times New Roman"/>
        </w:rPr>
        <w:t xml:space="preserve"> </w:t>
      </w:r>
    </w:p>
    <w:p w:rsidR="00AE48AF" w:rsidRPr="007E58C5" w:rsidRDefault="00AE48AF" w:rsidP="00AE48AF">
      <w:pPr>
        <w:spacing w:line="240" w:lineRule="auto"/>
        <w:rPr>
          <w:rFonts w:ascii="Calibri" w:eastAsia="Calibri" w:hAnsi="Calibri" w:cs="Times New Roman"/>
          <w:b/>
        </w:rPr>
      </w:pPr>
      <w:r w:rsidRPr="007E58C5">
        <w:rPr>
          <w:rFonts w:ascii="Calibri" w:eastAsia="Calibri" w:hAnsi="Calibri" w:cs="Times New Roman"/>
          <w:b/>
        </w:rPr>
        <w:t>Interpreting Results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The outbreak investigator’s job is to use </w:t>
      </w:r>
      <w:r w:rsidRPr="007E58C5">
        <w:rPr>
          <w:rFonts w:ascii="Calibri" w:eastAsia="Calibri" w:hAnsi="Calibri" w:cs="Times New Roman"/>
          <w:i/>
          <w:iCs/>
        </w:rPr>
        <w:t xml:space="preserve">all </w:t>
      </w:r>
      <w:r w:rsidRPr="007E58C5">
        <w:rPr>
          <w:rFonts w:ascii="Calibri" w:eastAsia="Calibri" w:hAnsi="Calibri" w:cs="Times New Roman"/>
        </w:rPr>
        <w:t>available information to construct a coherent narrative of what happened and why. This begins with the initial detection of the outbreak and formation of hypotheses based on the agent’s ecology, microbiology, and mechanisms of transmission in healthcare settings, in addition to the descriptive epidemiology of reported cases. Results of subsequent analytic studies (e.g., cohort or case-control study results) should be interpreted within the context of all investigation findings. When all of these data elements support the primary hypothesis, strong conclusions can be drawn.</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lastRenderedPageBreak/>
        <w:t>Investigators should consider their data critically and question the strength of causal associations, in light of timing, dose-response, plausibility, and consistency of findings. Statistical association between exposure and illness may reflect a causal link, but also may reflect confounding</w:t>
      </w:r>
      <w:r w:rsidRPr="007E58C5">
        <w:rPr>
          <w:rFonts w:ascii="Calibri" w:eastAsia="Calibri" w:hAnsi="Calibri" w:cs="Times New Roman"/>
          <w:vertAlign w:val="superscript"/>
        </w:rPr>
        <w:footnoteReference w:id="1"/>
      </w:r>
      <w:r w:rsidRPr="007E58C5">
        <w:rPr>
          <w:rFonts w:ascii="Calibri" w:eastAsia="Calibri" w:hAnsi="Calibri" w:cs="Times New Roman"/>
        </w:rPr>
        <w:t>, bias</w:t>
      </w:r>
      <w:r w:rsidRPr="007E58C5">
        <w:rPr>
          <w:rFonts w:ascii="Calibri" w:eastAsia="Calibri" w:hAnsi="Calibri" w:cs="Times New Roman"/>
          <w:vertAlign w:val="superscript"/>
        </w:rPr>
        <w:footnoteReference w:id="2"/>
      </w:r>
      <w:r w:rsidRPr="007E58C5">
        <w:rPr>
          <w:rFonts w:ascii="Calibri" w:eastAsia="Calibri" w:hAnsi="Calibri" w:cs="Times New Roman"/>
        </w:rPr>
        <w:t xml:space="preserve"> or chance</w:t>
      </w:r>
      <w:r w:rsidRPr="007E58C5">
        <w:rPr>
          <w:rFonts w:ascii="Calibri" w:eastAsia="Calibri" w:hAnsi="Calibri" w:cs="Times New Roman"/>
          <w:vertAlign w:val="superscript"/>
        </w:rPr>
        <w:footnoteReference w:id="3"/>
      </w:r>
      <w:r w:rsidRPr="007E58C5">
        <w:rPr>
          <w:rFonts w:ascii="Calibri" w:eastAsia="Calibri" w:hAnsi="Calibri" w:cs="Times New Roman"/>
        </w:rPr>
        <w:t xml:space="preserve">. Conversely, failure to achieve a </w:t>
      </w:r>
      <w:r w:rsidRPr="007E58C5">
        <w:rPr>
          <w:rFonts w:ascii="Calibri" w:eastAsia="Calibri" w:hAnsi="Calibri" w:cs="Times New Roman"/>
          <w:i/>
        </w:rPr>
        <w:t>p</w:t>
      </w:r>
      <w:r w:rsidRPr="007E58C5">
        <w:rPr>
          <w:rFonts w:ascii="Calibri" w:eastAsia="Calibri" w:hAnsi="Calibri" w:cs="Times New Roman"/>
        </w:rPr>
        <w:t xml:space="preserve">-value &lt;0.05 due to a small number of cases, faulty sampling method, inappropriate selection of controls, or other factors cannot rule out an association with a potential source or exposure.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Even well-executed investigations can be inconclusive. Small sample sizes, confounders, common procedures and events can reduce the effectiveness of standard epidemiologic methods. The decision to end an investigation depends on the gravity and scope of the outbreak and on the likelihood that it reflects an ongoing public health threat.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The most successful investigations are rigorous and evidence-based, but also adaptable, with investigators able to innovate as circumstances demand. Haphazard investigations are unlikely to yield meaningful results.  Facilities or jurisdictions that cannot commit resources to conduct outbreak investigations themselves should do whatever they can to facilitate follow-up of case-patients by other agencies (e.g., counties to states; states to other states or CDC).</w:t>
      </w:r>
    </w:p>
    <w:p w:rsidR="00AE48AF" w:rsidRPr="007E58C5" w:rsidRDefault="00AE48AF" w:rsidP="00AE48AF">
      <w:pPr>
        <w:spacing w:line="240" w:lineRule="auto"/>
        <w:rPr>
          <w:rFonts w:ascii="Calibri" w:eastAsia="Calibri" w:hAnsi="Calibri" w:cs="Times New Roman"/>
          <w:b/>
        </w:rPr>
      </w:pPr>
      <w:r w:rsidRPr="007E58C5">
        <w:rPr>
          <w:rFonts w:ascii="Calibri" w:eastAsia="Calibri" w:hAnsi="Calibri" w:cs="Times New Roman"/>
          <w:b/>
        </w:rPr>
        <w:t>Debrief After the Investigation Ends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bCs/>
        </w:rPr>
        <w:t>Conduct a post-outbreak meeting among investigators to assess lessons learned and to compare notes on ultimate findings.</w:t>
      </w:r>
      <w:r w:rsidRPr="007E58C5">
        <w:rPr>
          <w:rFonts w:ascii="Calibri" w:eastAsia="Calibri" w:hAnsi="Calibri" w:cs="Times New Roman"/>
          <w:b/>
          <w:bCs/>
        </w:rPr>
        <w:t xml:space="preserve"> </w:t>
      </w:r>
      <w:r w:rsidRPr="007E58C5">
        <w:rPr>
          <w:rFonts w:ascii="Calibri" w:eastAsia="Calibri" w:hAnsi="Calibri" w:cs="Times New Roman"/>
        </w:rPr>
        <w:t>This is particularly important for multiagency investigations.</w:t>
      </w:r>
    </w:p>
    <w:p w:rsidR="00AE48AF" w:rsidRPr="007E58C5" w:rsidRDefault="00AE48AF" w:rsidP="00AE48AF">
      <w:pPr>
        <w:spacing w:line="240" w:lineRule="auto"/>
        <w:rPr>
          <w:rFonts w:ascii="Calibri" w:eastAsia="Calibri" w:hAnsi="Calibri" w:cs="Times New Roman"/>
          <w:b/>
        </w:rPr>
      </w:pPr>
      <w:r w:rsidRPr="007E58C5">
        <w:rPr>
          <w:rFonts w:ascii="Calibri" w:eastAsia="Calibri" w:hAnsi="Calibri" w:cs="Times New Roman"/>
          <w:b/>
        </w:rPr>
        <w:t>Summarize Investigation Findings, Conclusions, and Recommendations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Investigations that are large, complex or highly consequential for public health and patient-safety demand a more complete narrative report and, potentially, publication in a peer-reviewed journal. Written reports should include the following:</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Background, including information about the outbreak setting, timing, and manner of detection.</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Methods, including agencies involved in the investigation, case definition, details of investigative procedures (e.g., record reviews, patient interviews, environmental assessments, etc.), number of patient specimens and environmental samples collected and tested, and a high-level summary of laboratory test methods and target analytes.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 Results, including number of persons exposed, sickened, hospitalized and deceased; key clinical findings; key laboratory findings; key environmental findings; and epidemiologic statistics, such as odds ratios or relative risks and confidence intervals for risk factors. Include the epidemic histogram and, if possible, timing and impact of control measures.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Conclusions, including etiologic agent, transmission route(s), contributing factors, justifications for conclusions, and study limitations.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Recommendations for (1) abatement of the outbreak under investigation, (2) enhanced surveillance (if appropriate) and (3) prevention of similar outbreaks.</w:t>
      </w:r>
    </w:p>
    <w:p w:rsidR="00AE48AF" w:rsidRPr="007E58C5" w:rsidRDefault="00AE48AF" w:rsidP="00AE48AF">
      <w:pPr>
        <w:spacing w:line="240" w:lineRule="auto"/>
        <w:rPr>
          <w:rFonts w:ascii="Calibri" w:eastAsia="Calibri" w:hAnsi="Calibri" w:cs="Times New Roman"/>
          <w:b/>
        </w:rPr>
      </w:pPr>
      <w:r w:rsidRPr="007E58C5">
        <w:rPr>
          <w:rFonts w:ascii="Calibri" w:eastAsia="Calibri" w:hAnsi="Calibri" w:cs="Times New Roman"/>
          <w:b/>
        </w:rPr>
        <w:t xml:space="preserve">Distribute Report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b/>
          <w:bCs/>
        </w:rPr>
        <w:lastRenderedPageBreak/>
        <w:t xml:space="preserve">Make copies of the report available to all persons involved with the investigation, </w:t>
      </w:r>
      <w:r w:rsidRPr="007E58C5">
        <w:rPr>
          <w:rFonts w:ascii="Calibri" w:eastAsia="Calibri" w:hAnsi="Calibri" w:cs="Times New Roman"/>
        </w:rPr>
        <w:t xml:space="preserve">including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 Investigation team members and their supervisors.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 Health department officials and press officers.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 Regulatory agency officials and press officers.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Healthcare facility administrators and providers who reported cases.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Laboratorians who performed tests.</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Also distribute copies of the report to persons responsible for implementing control measures, including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 Healthcare facility CEO and/or director.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 Program staff who might oversee implementation of control measures or provide technical assistance. </w:t>
      </w:r>
    </w:p>
    <w:p w:rsidR="00AE48AF" w:rsidRPr="007E58C5" w:rsidRDefault="00AE48AF" w:rsidP="00AE48AF">
      <w:pPr>
        <w:spacing w:line="240" w:lineRule="auto"/>
        <w:rPr>
          <w:rFonts w:ascii="Calibri" w:eastAsia="Calibri" w:hAnsi="Calibri" w:cs="Times New Roman"/>
        </w:rPr>
      </w:pPr>
      <w:r w:rsidRPr="007E58C5">
        <w:rPr>
          <w:rFonts w:ascii="Calibri" w:eastAsia="Calibri" w:hAnsi="Calibri" w:cs="Times New Roman"/>
        </w:rPr>
        <w:t xml:space="preserve">• Accreditation organizations or regulatory agencies for which the investigation might have policy or regulatory implications. </w:t>
      </w:r>
      <w:r w:rsidRPr="007E58C5">
        <w:rPr>
          <w:rFonts w:ascii="Calibri" w:eastAsia="Calibri" w:hAnsi="Calibri" w:cs="Times New Roman"/>
        </w:rPr>
        <w:br w:type="page"/>
      </w:r>
    </w:p>
    <w:p w:rsidR="00AE48AF" w:rsidRPr="007E58C5" w:rsidRDefault="00AE48AF" w:rsidP="00AE48AF">
      <w:pPr>
        <w:spacing w:after="0" w:line="240" w:lineRule="auto"/>
        <w:rPr>
          <w:rFonts w:ascii="Calibri" w:eastAsia="Times New Roman" w:hAnsi="Calibri" w:cs="Times New Roman"/>
          <w:color w:val="000000"/>
          <w:shd w:val="clear" w:color="auto" w:fill="FFFFFF"/>
        </w:rPr>
      </w:pPr>
      <w:r w:rsidRPr="007E58C5">
        <w:rPr>
          <w:rFonts w:ascii="Calibri" w:eastAsia="Times New Roman" w:hAnsi="Calibri" w:cs="Times New Roman"/>
          <w:color w:val="000000"/>
          <w:shd w:val="clear" w:color="auto" w:fill="FFFFFF"/>
        </w:rPr>
        <w:lastRenderedPageBreak/>
        <w:t>Appendix A</w:t>
      </w:r>
    </w:p>
    <w:p w:rsidR="00AE48AF" w:rsidRPr="007E58C5" w:rsidRDefault="00AE48AF" w:rsidP="00AE48AF">
      <w:pPr>
        <w:shd w:val="clear" w:color="auto" w:fill="FFFFFF"/>
        <w:spacing w:before="150" w:after="150" w:line="240" w:lineRule="auto"/>
        <w:outlineLvl w:val="3"/>
        <w:rPr>
          <w:rFonts w:ascii="Calibri" w:eastAsia="Times New Roman" w:hAnsi="Calibri" w:cs="Times New Roman"/>
          <w:i/>
          <w:color w:val="000000"/>
        </w:rPr>
      </w:pPr>
      <w:r w:rsidRPr="007E58C5">
        <w:rPr>
          <w:rFonts w:ascii="Calibri" w:eastAsia="Times New Roman" w:hAnsi="Calibri" w:cs="Times New Roman"/>
          <w:i/>
          <w:iCs/>
          <w:color w:val="000000"/>
        </w:rPr>
        <w:t>Retrospective cohort studies</w:t>
      </w:r>
    </w:p>
    <w:p w:rsidR="00AE48AF" w:rsidRPr="007E58C5" w:rsidRDefault="00AE48AF" w:rsidP="00AE48AF">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rPr>
        <w:t>A retrospective cohort study—in which the investigator calculates incidence rates for the exposed and the unexposed—is the study of choice for an outbreak in a small, well-defined population. Generally, an exposure is considered a strong suspect if it meets the following criteria:</w:t>
      </w:r>
    </w:p>
    <w:p w:rsidR="00AE48AF" w:rsidRPr="007E58C5" w:rsidRDefault="00AE48AF" w:rsidP="00AE48AF">
      <w:pPr>
        <w:numPr>
          <w:ilvl w:val="0"/>
          <w:numId w:val="3"/>
        </w:numPr>
        <w:shd w:val="clear" w:color="auto" w:fill="FFFFFF"/>
        <w:spacing w:before="100" w:beforeAutospacing="1" w:after="100" w:afterAutospacing="1"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The incidence rate is high among those exposed.</w:t>
      </w:r>
    </w:p>
    <w:p w:rsidR="00AE48AF" w:rsidRPr="007E58C5" w:rsidRDefault="00AE48AF" w:rsidP="00AE48AF">
      <w:pPr>
        <w:numPr>
          <w:ilvl w:val="0"/>
          <w:numId w:val="3"/>
        </w:numPr>
        <w:shd w:val="clear" w:color="auto" w:fill="FFFFFF"/>
        <w:spacing w:before="100" w:beforeAutospacing="1" w:after="100" w:afterAutospacing="1"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The incidence rate is low among those not exposed, so the difference, or ratio, between incidence for the exposed and unexposed is high.</w:t>
      </w:r>
    </w:p>
    <w:p w:rsidR="00AE48AF" w:rsidRPr="007E58C5" w:rsidRDefault="00AE48AF" w:rsidP="00AE48AF">
      <w:pPr>
        <w:numPr>
          <w:ilvl w:val="0"/>
          <w:numId w:val="3"/>
        </w:numPr>
        <w:shd w:val="clear" w:color="auto" w:fill="FFFFFF"/>
        <w:spacing w:before="100" w:beforeAutospacing="1" w:after="100" w:afterAutospacing="1" w:line="240" w:lineRule="auto"/>
        <w:ind w:left="375"/>
        <w:rPr>
          <w:rFonts w:ascii="Calibri" w:eastAsia="Times New Roman" w:hAnsi="Calibri" w:cs="Times New Roman"/>
          <w:color w:val="000000"/>
        </w:rPr>
      </w:pPr>
      <w:r w:rsidRPr="007E58C5">
        <w:rPr>
          <w:rFonts w:ascii="Calibri" w:eastAsia="Times New Roman" w:hAnsi="Calibri" w:cs="Times New Roman"/>
          <w:color w:val="000000"/>
        </w:rPr>
        <w:t>Most case-patients were exposed, so the exposure could “explain” or account for most, if not all, cases.</w:t>
      </w:r>
    </w:p>
    <w:p w:rsidR="00AE48AF" w:rsidRPr="007E58C5" w:rsidRDefault="00AE48AF" w:rsidP="00AE48AF">
      <w:pPr>
        <w:shd w:val="clear" w:color="auto" w:fill="FFFFFF"/>
        <w:spacing w:after="150" w:line="240" w:lineRule="auto"/>
        <w:rPr>
          <w:rFonts w:ascii="Calibri" w:eastAsia="Calibri" w:hAnsi="Calibri" w:cs="Times New Roman"/>
          <w:color w:val="000000"/>
        </w:rPr>
      </w:pPr>
      <w:r w:rsidRPr="007E58C5">
        <w:rPr>
          <w:rFonts w:ascii="Calibri" w:eastAsia="Calibri" w:hAnsi="Calibri" w:cs="Times New Roman"/>
          <w:color w:val="000000"/>
          <w:u w:val="single"/>
        </w:rPr>
        <w:t>Relative risk</w:t>
      </w:r>
      <w:r w:rsidRPr="007E58C5">
        <w:rPr>
          <w:rFonts w:ascii="Calibri" w:eastAsia="Calibri" w:hAnsi="Calibri" w:cs="Times New Roman"/>
          <w:color w:val="000000"/>
        </w:rPr>
        <w:t>. Commonly, the investigator calculates the relative risk (a.k.a. risk ratio) by dividing the incidence of disease in the exposed group by the incidence of disease in the unexposed group. When the two incidence rates are the same, the relative risk equals 1.0, and the exposure is not associated with disease. The larger the relative risk, the stronger the association between exposure and disease.</w:t>
      </w:r>
    </w:p>
    <w:p w:rsidR="00AE48AF" w:rsidRPr="007E58C5" w:rsidRDefault="00AE48AF" w:rsidP="00AE48AF">
      <w:pPr>
        <w:rPr>
          <w:rFonts w:ascii="Calibri" w:eastAsia="Calibri" w:hAnsi="Calibri" w:cs="Times New Roman"/>
        </w:rPr>
      </w:pPr>
      <w:r w:rsidRPr="007E58C5">
        <w:rPr>
          <w:rFonts w:ascii="Calibri" w:eastAsia="Calibri" w:hAnsi="Calibri" w:cs="Times New Roman"/>
          <w:bCs/>
          <w:iCs/>
          <w:u w:val="single"/>
        </w:rPr>
        <w:t>Statistical significance testing</w:t>
      </w:r>
      <w:r w:rsidRPr="007E58C5">
        <w:rPr>
          <w:rFonts w:ascii="Calibri" w:eastAsia="Calibri" w:hAnsi="Calibri" w:cs="Times New Roman"/>
          <w:iCs/>
          <w:u w:val="single"/>
        </w:rPr>
        <w:t>.</w:t>
      </w:r>
      <w:r w:rsidRPr="007E58C5">
        <w:rPr>
          <w:rFonts w:ascii="Calibri" w:eastAsia="Calibri" w:hAnsi="Calibri" w:cs="Times New Roman"/>
        </w:rPr>
        <w:t xml:space="preserve"> When an exposure is found to have a relative risk different from 1.0, many investigators perform a chi-square or other test of statistical significance to determine the probability of finding an association as large or larger based on chance alone. This probability is called the </w:t>
      </w:r>
      <w:r w:rsidRPr="007E58C5">
        <w:rPr>
          <w:rFonts w:ascii="Calibri" w:eastAsia="Calibri" w:hAnsi="Calibri" w:cs="Times New Roman"/>
          <w:bCs/>
          <w:i/>
        </w:rPr>
        <w:t>p-</w:t>
      </w:r>
      <w:r w:rsidRPr="007E58C5">
        <w:rPr>
          <w:rFonts w:ascii="Calibri" w:eastAsia="Calibri" w:hAnsi="Calibri" w:cs="Times New Roman"/>
        </w:rPr>
        <w:t xml:space="preserve">value, and the smaller the </w:t>
      </w:r>
      <w:r w:rsidRPr="007E58C5">
        <w:rPr>
          <w:rFonts w:ascii="Calibri" w:eastAsia="Calibri" w:hAnsi="Calibri" w:cs="Times New Roman"/>
          <w:bCs/>
          <w:i/>
        </w:rPr>
        <w:t>p-</w:t>
      </w:r>
      <w:r w:rsidRPr="007E58C5">
        <w:rPr>
          <w:rFonts w:ascii="Calibri" w:eastAsia="Calibri" w:hAnsi="Calibri" w:cs="Times New Roman"/>
        </w:rPr>
        <w:t xml:space="preserve">value, the less likely it is that the observed association is due to chance. (A purely chance association is considered the “null hypothesis,” which must be disproved to demonstrate causality.) Generally, an acceptable </w:t>
      </w:r>
      <w:r w:rsidRPr="007E58C5">
        <w:rPr>
          <w:rFonts w:ascii="Calibri" w:eastAsia="Calibri" w:hAnsi="Calibri" w:cs="Times New Roman"/>
          <w:bCs/>
          <w:i/>
        </w:rPr>
        <w:t>p-</w:t>
      </w:r>
      <w:r w:rsidRPr="007E58C5">
        <w:rPr>
          <w:rFonts w:ascii="Calibri" w:eastAsia="Calibri" w:hAnsi="Calibri" w:cs="Times New Roman"/>
        </w:rPr>
        <w:t>value—commonly 0.05 or a 5% probability of a chance association—is specified in advance.</w:t>
      </w:r>
    </w:p>
    <w:p w:rsidR="00AE48AF" w:rsidRPr="007E58C5" w:rsidRDefault="00AE48AF" w:rsidP="00AE48AF">
      <w:pPr>
        <w:rPr>
          <w:rFonts w:ascii="Calibri" w:eastAsia="Calibri" w:hAnsi="Calibri" w:cs="Times New Roman"/>
        </w:rPr>
      </w:pPr>
      <w:r w:rsidRPr="007E58C5">
        <w:rPr>
          <w:rFonts w:ascii="Calibri" w:eastAsia="Calibri" w:hAnsi="Calibri" w:cs="Times New Roman"/>
        </w:rPr>
        <w:t xml:space="preserve">The chi-square test works well if the number of study participants is greater than about 30. For smaller studies, the Fisher Exact Test may be more appropriate. Although this statistic is tedious to calculate manually, it—like all of the statistical tests described here—can be calculated electronically via Epi Info or another computer program. </w:t>
      </w:r>
    </w:p>
    <w:p w:rsidR="00AE48AF" w:rsidRPr="007E58C5" w:rsidRDefault="00AE48AF" w:rsidP="00AE48AF">
      <w:pPr>
        <w:rPr>
          <w:rFonts w:ascii="Calibri" w:eastAsia="Calibri" w:hAnsi="Calibri" w:cs="Times New Roman"/>
        </w:rPr>
      </w:pPr>
      <w:r w:rsidRPr="007E58C5">
        <w:rPr>
          <w:rFonts w:ascii="Calibri" w:eastAsia="Calibri" w:hAnsi="Calibri" w:cs="Times New Roman"/>
          <w:bCs/>
          <w:iCs/>
          <w:color w:val="000000"/>
          <w:u w:val="single"/>
        </w:rPr>
        <w:t>Confidence intervals.</w:t>
      </w:r>
      <w:r w:rsidRPr="007E58C5">
        <w:rPr>
          <w:rFonts w:ascii="Calibri" w:eastAsia="Calibri" w:hAnsi="Calibri" w:cs="Times New Roman"/>
          <w:u w:val="single"/>
        </w:rPr>
        <w:t> </w:t>
      </w:r>
      <w:r w:rsidRPr="007E58C5">
        <w:rPr>
          <w:rFonts w:ascii="Calibri" w:eastAsia="Calibri" w:hAnsi="Calibri" w:cs="Times New Roman"/>
        </w:rPr>
        <w:t xml:space="preserve">An alternative to the </w:t>
      </w:r>
      <w:r w:rsidRPr="007E58C5">
        <w:rPr>
          <w:rFonts w:ascii="Calibri" w:eastAsia="Calibri" w:hAnsi="Calibri" w:cs="Times New Roman"/>
          <w:bCs/>
          <w:i/>
        </w:rPr>
        <w:t>p-</w:t>
      </w:r>
      <w:r w:rsidRPr="007E58C5">
        <w:rPr>
          <w:rFonts w:ascii="Calibri" w:eastAsia="Calibri" w:hAnsi="Calibri" w:cs="Times New Roman"/>
        </w:rPr>
        <w:t>value</w:t>
      </w:r>
      <w:r w:rsidRPr="007E58C5" w:rsidDel="006C5FDE">
        <w:rPr>
          <w:rFonts w:ascii="Calibri" w:eastAsia="Calibri" w:hAnsi="Calibri" w:cs="Times New Roman"/>
        </w:rPr>
        <w:t xml:space="preserve"> </w:t>
      </w:r>
      <w:r w:rsidRPr="007E58C5">
        <w:rPr>
          <w:rFonts w:ascii="Calibri" w:eastAsia="Calibri" w:hAnsi="Calibri" w:cs="Times New Roman"/>
        </w:rPr>
        <w:t xml:space="preserve">is a confidence interval, a statistic that combines an interval estimate (i.e., the range of values estimated to contain the true value), with a probability statement that specifies the uncertainty associated with the interval estimate (i.e., the uncertainty associated with the investigator’s sampling methods). The typical 95% confidence interval for a calculated relative risk, for example, indicates that use of the same sampling method to select different case-patients and controls will yield a confidence interval that contains the true relative risk 95% of the time. Less variable data and larger sample sizes will tend to yield narrower confidence intervals and thus more precise estimates of the true relative risk. </w:t>
      </w:r>
    </w:p>
    <w:p w:rsidR="00AE48AF" w:rsidRPr="007E58C5" w:rsidRDefault="00AE48AF" w:rsidP="00AE48AF">
      <w:pPr>
        <w:rPr>
          <w:rFonts w:ascii="Calibri" w:eastAsia="Calibri" w:hAnsi="Calibri" w:cs="Times New Roman"/>
        </w:rPr>
      </w:pPr>
      <w:r w:rsidRPr="007E58C5">
        <w:rPr>
          <w:rFonts w:ascii="Calibri" w:eastAsia="Calibri" w:hAnsi="Calibri" w:cs="Times New Roman"/>
        </w:rPr>
        <w:t xml:space="preserve">Because a confidence interval provides more information than a </w:t>
      </w:r>
      <w:r w:rsidRPr="007E58C5">
        <w:rPr>
          <w:rFonts w:ascii="Calibri" w:eastAsia="Calibri" w:hAnsi="Calibri" w:cs="Times New Roman"/>
          <w:bCs/>
          <w:i/>
        </w:rPr>
        <w:t>p-</w:t>
      </w:r>
      <w:r w:rsidRPr="007E58C5">
        <w:rPr>
          <w:rFonts w:ascii="Calibri" w:eastAsia="Calibri" w:hAnsi="Calibri" w:cs="Times New Roman"/>
        </w:rPr>
        <w:t xml:space="preserve">value, many medical and epidemiologic journals prefer confidence intervals to </w:t>
      </w:r>
      <w:r w:rsidRPr="007E58C5">
        <w:rPr>
          <w:rFonts w:ascii="Calibri" w:eastAsia="Calibri" w:hAnsi="Calibri" w:cs="Times New Roman"/>
          <w:bCs/>
          <w:i/>
        </w:rPr>
        <w:t>p-</w:t>
      </w:r>
      <w:r w:rsidRPr="007E58C5">
        <w:rPr>
          <w:rFonts w:ascii="Calibri" w:eastAsia="Calibri" w:hAnsi="Calibri" w:cs="Times New Roman"/>
        </w:rPr>
        <w:t xml:space="preserve">value. However, in the outbreak setting, the difference may be irrelevant. If the objective of an outbreak investigation is to identify the source of pathogenic exposure, a relative risk and </w:t>
      </w:r>
      <w:r w:rsidRPr="007E58C5">
        <w:rPr>
          <w:rFonts w:ascii="Calibri" w:eastAsia="Calibri" w:hAnsi="Calibri" w:cs="Times New Roman"/>
          <w:bCs/>
          <w:i/>
        </w:rPr>
        <w:t>p-</w:t>
      </w:r>
      <w:r w:rsidRPr="007E58C5">
        <w:rPr>
          <w:rFonts w:ascii="Calibri" w:eastAsia="Calibri" w:hAnsi="Calibri" w:cs="Times New Roman"/>
        </w:rPr>
        <w:t>value</w:t>
      </w:r>
      <w:r w:rsidRPr="007E58C5" w:rsidDel="00C53B87">
        <w:rPr>
          <w:rFonts w:ascii="Calibri" w:eastAsia="Calibri" w:hAnsi="Calibri" w:cs="Times New Roman"/>
        </w:rPr>
        <w:t xml:space="preserve"> </w:t>
      </w:r>
      <w:r w:rsidRPr="007E58C5">
        <w:rPr>
          <w:rFonts w:ascii="Calibri" w:eastAsia="Calibri" w:hAnsi="Calibri" w:cs="Times New Roman"/>
        </w:rPr>
        <w:t>may serve as well as a relative risk and confidence interval.</w:t>
      </w:r>
    </w:p>
    <w:p w:rsidR="00AE48AF" w:rsidRPr="007E58C5" w:rsidRDefault="00AE48AF" w:rsidP="00AE48AF">
      <w:pPr>
        <w:rPr>
          <w:rFonts w:ascii="Calibri" w:eastAsia="Times New Roman" w:hAnsi="Calibri" w:cs="Times New Roman"/>
          <w:i/>
        </w:rPr>
      </w:pPr>
      <w:r w:rsidRPr="007E58C5">
        <w:rPr>
          <w:rFonts w:ascii="Calibri" w:eastAsia="Times New Roman" w:hAnsi="Calibri" w:cs="Times New Roman"/>
          <w:i/>
        </w:rPr>
        <w:t>Case-control studies</w:t>
      </w:r>
    </w:p>
    <w:p w:rsidR="00AE48AF" w:rsidRPr="007E58C5" w:rsidRDefault="00AE48AF" w:rsidP="00AE48AF">
      <w:pPr>
        <w:rPr>
          <w:rFonts w:ascii="Calibri" w:eastAsia="Calibri" w:hAnsi="Calibri" w:cs="Times New Roman"/>
        </w:rPr>
      </w:pPr>
      <w:r w:rsidRPr="007E58C5">
        <w:rPr>
          <w:rFonts w:ascii="Calibri" w:eastAsia="Calibri" w:hAnsi="Calibri" w:cs="Times New Roman"/>
        </w:rPr>
        <w:lastRenderedPageBreak/>
        <w:t xml:space="preserve">In a case-control study, the investigator compares the exposure status of case-patients with a comparable group of persons without the disease under study ("controls"). </w:t>
      </w:r>
    </w:p>
    <w:p w:rsidR="00AE48AF" w:rsidRPr="007E58C5" w:rsidRDefault="00AE48AF" w:rsidP="00AE48AF">
      <w:pPr>
        <w:rPr>
          <w:rFonts w:ascii="Calibri" w:eastAsia="Calibri" w:hAnsi="Calibri" w:cs="Times New Roman"/>
        </w:rPr>
      </w:pPr>
      <w:r w:rsidRPr="007E58C5">
        <w:rPr>
          <w:rFonts w:ascii="Calibri" w:eastAsia="Calibri" w:hAnsi="Calibri" w:cs="Times New Roman"/>
          <w:bCs/>
          <w:u w:val="single"/>
        </w:rPr>
        <w:t>Choosing controls.</w:t>
      </w:r>
      <w:r w:rsidRPr="007E58C5">
        <w:rPr>
          <w:rFonts w:ascii="Calibri" w:eastAsia="Calibri" w:hAnsi="Calibri" w:cs="Times New Roman"/>
          <w:u w:val="single"/>
        </w:rPr>
        <w:t> </w:t>
      </w:r>
      <w:r w:rsidRPr="007E58C5">
        <w:rPr>
          <w:rFonts w:ascii="Calibri" w:eastAsia="Calibri" w:hAnsi="Calibri" w:cs="Times New Roman"/>
        </w:rPr>
        <w:t xml:space="preserve">When designing a case-control study, one of the most important tasks is selecting the individuals who will comprise the control group. As mentioned above, the controls must </w:t>
      </w:r>
      <w:r w:rsidRPr="007E58C5">
        <w:rPr>
          <w:rFonts w:ascii="Calibri" w:eastAsia="Calibri" w:hAnsi="Calibri" w:cs="Times New Roman"/>
          <w:i/>
        </w:rPr>
        <w:t>not</w:t>
      </w:r>
      <w:r w:rsidRPr="007E58C5">
        <w:rPr>
          <w:rFonts w:ascii="Calibri" w:eastAsia="Calibri" w:hAnsi="Calibri" w:cs="Times New Roman"/>
        </w:rPr>
        <w:t xml:space="preserve"> have the disease under study, but should otherwise represent the population in which the cases occurred. </w:t>
      </w:r>
    </w:p>
    <w:p w:rsidR="00AE48AF" w:rsidRPr="007E58C5" w:rsidRDefault="00AE48AF" w:rsidP="00AE48AF">
      <w:pPr>
        <w:rPr>
          <w:rFonts w:ascii="Calibri" w:eastAsia="Calibri" w:hAnsi="Calibri" w:cs="Times New Roman"/>
        </w:rPr>
      </w:pPr>
      <w:r w:rsidRPr="007E58C5">
        <w:rPr>
          <w:rFonts w:ascii="Calibri" w:eastAsia="Calibri" w:hAnsi="Calibri" w:cs="Times New Roman"/>
        </w:rPr>
        <w:t>Common control groups consist of:</w:t>
      </w:r>
    </w:p>
    <w:p w:rsidR="00AE48AF" w:rsidRPr="007E58C5" w:rsidRDefault="00AE48AF" w:rsidP="00AE48AF">
      <w:pPr>
        <w:numPr>
          <w:ilvl w:val="0"/>
          <w:numId w:val="5"/>
        </w:numPr>
        <w:contextualSpacing/>
        <w:rPr>
          <w:rFonts w:ascii="Calibri" w:eastAsia="Times New Roman" w:hAnsi="Calibri" w:cs="Times New Roman"/>
        </w:rPr>
      </w:pPr>
      <w:r w:rsidRPr="007E58C5">
        <w:rPr>
          <w:rFonts w:ascii="Calibri" w:eastAsia="Times New Roman" w:hAnsi="Calibri" w:cs="Times New Roman"/>
        </w:rPr>
        <w:t xml:space="preserve">Random patients admitted to the same hospital unit within the same timeframe. </w:t>
      </w:r>
    </w:p>
    <w:p w:rsidR="00AE48AF" w:rsidRPr="007E58C5" w:rsidRDefault="00AE48AF" w:rsidP="00AE48AF">
      <w:pPr>
        <w:numPr>
          <w:ilvl w:val="0"/>
          <w:numId w:val="5"/>
        </w:numPr>
        <w:contextualSpacing/>
        <w:rPr>
          <w:rFonts w:ascii="Calibri" w:eastAsia="Times New Roman" w:hAnsi="Calibri" w:cs="Times New Roman"/>
        </w:rPr>
      </w:pPr>
      <w:r w:rsidRPr="007E58C5">
        <w:rPr>
          <w:rFonts w:ascii="Calibri" w:eastAsia="Times New Roman" w:hAnsi="Calibri" w:cs="Times New Roman"/>
        </w:rPr>
        <w:t xml:space="preserve">Patients undergoing the same medical procedure. </w:t>
      </w:r>
    </w:p>
    <w:p w:rsidR="00AE48AF" w:rsidRPr="007E58C5" w:rsidRDefault="00AE48AF" w:rsidP="00AE48AF">
      <w:pPr>
        <w:numPr>
          <w:ilvl w:val="0"/>
          <w:numId w:val="5"/>
        </w:numPr>
        <w:contextualSpacing/>
        <w:rPr>
          <w:rFonts w:ascii="Calibri" w:eastAsia="Calibri" w:hAnsi="Calibri" w:cs="Times New Roman"/>
        </w:rPr>
      </w:pPr>
      <w:r w:rsidRPr="007E58C5">
        <w:rPr>
          <w:rFonts w:ascii="Calibri" w:eastAsia="Times New Roman" w:hAnsi="Calibri" w:cs="Times New Roman"/>
        </w:rPr>
        <w:t xml:space="preserve">Patients with the same underlying diagnosis that prompted hospital admittance (but without, of course, the HAI under study).  </w:t>
      </w:r>
    </w:p>
    <w:p w:rsidR="00AE48AF" w:rsidRPr="007E58C5" w:rsidRDefault="00AE48AF" w:rsidP="00AE48AF">
      <w:pPr>
        <w:rPr>
          <w:rFonts w:ascii="Calibri" w:eastAsia="Calibri" w:hAnsi="Calibri" w:cs="Times New Roman"/>
        </w:rPr>
      </w:pPr>
      <w:r w:rsidRPr="007E58C5">
        <w:rPr>
          <w:rFonts w:ascii="Calibri" w:eastAsia="Calibri" w:hAnsi="Calibri" w:cs="Times New Roman"/>
        </w:rPr>
        <w:t xml:space="preserve">If the control group differs systematically from the case group, a true association between exposure and disease may be missed or a spurious association may be observed between a non-causal exposure and disease. </w:t>
      </w:r>
    </w:p>
    <w:p w:rsidR="00AE48AF" w:rsidRPr="007E58C5" w:rsidRDefault="00AE48AF" w:rsidP="00AE48AF">
      <w:pPr>
        <w:rPr>
          <w:rFonts w:ascii="Calibri" w:eastAsia="Calibri" w:hAnsi="Calibri" w:cs="Times New Roman"/>
        </w:rPr>
      </w:pPr>
      <w:r w:rsidRPr="007E58C5">
        <w:rPr>
          <w:rFonts w:ascii="Calibri" w:eastAsia="Calibri" w:hAnsi="Calibri" w:cs="Times New Roman"/>
        </w:rPr>
        <w:t>When designing a case-control study, other considerations include the number of controls to select per case and potential confounding due to factors associated with both the exposure and disease outcome that cause a spurious association. Sample size formulas are available to help determine the number of controls per case. Confounding can be controlled by matching cases and controls on the confounding factor during the selection process or during data analysis.</w:t>
      </w:r>
    </w:p>
    <w:p w:rsidR="00AE48AF" w:rsidRPr="007E58C5" w:rsidRDefault="00AE48AF" w:rsidP="00AE48AF">
      <w:pPr>
        <w:rPr>
          <w:rFonts w:ascii="Calibri" w:eastAsia="Calibri" w:hAnsi="Calibri" w:cs="Times New Roman"/>
        </w:rPr>
      </w:pPr>
      <w:r w:rsidRPr="007E58C5">
        <w:rPr>
          <w:rFonts w:ascii="Calibri" w:eastAsia="Calibri" w:hAnsi="Calibri" w:cs="Times New Roman"/>
        </w:rPr>
        <w:t>Often, the number of case-patients that can be enrolled in a study is limited by the size of the outbreak. For example, in a hospital, four or five cases may constitute an outbreak. Fortunately, potential controls are usually plentiful. In an outbreak of 50 or more cases, one control per case will usually suffice. In smaller outbreaks, two, three, or four controls per case may be feasible. However, including more than four controls per case is rarely worth the effort in terms of increased statistical power.</w:t>
      </w:r>
    </w:p>
    <w:p w:rsidR="00AE48AF" w:rsidRPr="007E58C5" w:rsidRDefault="00AE48AF" w:rsidP="00AE48AF">
      <w:pPr>
        <w:rPr>
          <w:rFonts w:ascii="Calibri" w:eastAsia="Times New Roman" w:hAnsi="Calibri" w:cs="Times New Roman"/>
          <w:shd w:val="clear" w:color="auto" w:fill="FFFFFF"/>
        </w:rPr>
      </w:pPr>
      <w:r w:rsidRPr="007E58C5">
        <w:rPr>
          <w:rFonts w:ascii="Calibri" w:eastAsia="Times New Roman" w:hAnsi="Calibri" w:cs="Times New Roman"/>
          <w:bCs/>
          <w:iCs/>
          <w:u w:val="single"/>
          <w:shd w:val="clear" w:color="auto" w:fill="FFFFFF"/>
        </w:rPr>
        <w:t>Odds ratios.</w:t>
      </w:r>
      <w:r w:rsidRPr="007E58C5">
        <w:rPr>
          <w:rFonts w:ascii="Calibri" w:eastAsia="Times New Roman" w:hAnsi="Calibri" w:cs="Times New Roman"/>
          <w:u w:val="single"/>
          <w:shd w:val="clear" w:color="auto" w:fill="FFFFFF"/>
        </w:rPr>
        <w:t> </w:t>
      </w:r>
      <w:r w:rsidRPr="007E58C5">
        <w:rPr>
          <w:rFonts w:ascii="Calibri" w:eastAsia="Times New Roman" w:hAnsi="Calibri" w:cs="Times New Roman"/>
          <w:shd w:val="clear" w:color="auto" w:fill="FFFFFF"/>
        </w:rPr>
        <w:t>In most case-control studies, the population is not well defined, and the total number of people exposed (or unexposed) to a suspected vehicle or source is not known. Without a proper denominator, incidence rates cannot be calculated. </w:t>
      </w:r>
    </w:p>
    <w:p w:rsidR="00AE48AF" w:rsidRPr="007E58C5" w:rsidRDefault="00AE48AF" w:rsidP="00AE48AF">
      <w:pPr>
        <w:rPr>
          <w:rFonts w:ascii="Calibri" w:eastAsia="Times New Roman" w:hAnsi="Calibri" w:cs="Times New Roman"/>
          <w:shd w:val="clear" w:color="auto" w:fill="FFFFFF"/>
        </w:rPr>
      </w:pPr>
      <w:r w:rsidRPr="007E58C5">
        <w:rPr>
          <w:rFonts w:ascii="Calibri" w:eastAsia="Times New Roman" w:hAnsi="Calibri" w:cs="Times New Roman"/>
          <w:shd w:val="clear" w:color="auto" w:fill="FFFFFF"/>
        </w:rPr>
        <w:t xml:space="preserve">Thus, for a case-control study, the odds ratio is the preeminent measure of association. Fortunately, for rare events, such as HAIs and most other outbreak-associated diseases, the odds ratio from a case-control study approximates the relative risk that would have been found if a cohort study had been feasible. </w:t>
      </w:r>
    </w:p>
    <w:p w:rsidR="00AE48AF" w:rsidRPr="007E58C5" w:rsidRDefault="00AE48AF" w:rsidP="00AE48AF">
      <w:pPr>
        <w:rPr>
          <w:rFonts w:ascii="Calibri" w:eastAsia="Calibri" w:hAnsi="Calibri" w:cs="Times New Roman"/>
        </w:rPr>
      </w:pPr>
      <w:r w:rsidRPr="007E58C5">
        <w:rPr>
          <w:rFonts w:ascii="Calibri" w:eastAsia="Calibri" w:hAnsi="Calibri" w:cs="Times New Roman"/>
        </w:rPr>
        <w:t>The odds ratio—the ratio of the odds of exposure among cases to that among controls—is calculated as a/c ÷ b/d where:</w:t>
      </w:r>
    </w:p>
    <w:p w:rsidR="00AE48AF" w:rsidRPr="007E58C5" w:rsidRDefault="00AE48AF" w:rsidP="00AE48AF">
      <w:pPr>
        <w:rPr>
          <w:rFonts w:ascii="Calibri" w:eastAsia="Calibri" w:hAnsi="Calibri" w:cs="Times New Roman"/>
        </w:rPr>
      </w:pPr>
      <w:r w:rsidRPr="007E58C5">
        <w:rPr>
          <w:rFonts w:ascii="Calibri" w:eastAsia="Calibri" w:hAnsi="Calibri" w:cs="Times New Roman"/>
        </w:rPr>
        <w:t>a = the number of individuals who are both exposed and have the disease.</w:t>
      </w:r>
    </w:p>
    <w:p w:rsidR="00AE48AF" w:rsidRPr="007E58C5" w:rsidRDefault="00AE48AF" w:rsidP="00AE48AF">
      <w:pPr>
        <w:rPr>
          <w:rFonts w:ascii="Calibri" w:eastAsia="Calibri" w:hAnsi="Calibri" w:cs="Times New Roman"/>
        </w:rPr>
      </w:pPr>
      <w:r w:rsidRPr="007E58C5">
        <w:rPr>
          <w:rFonts w:ascii="Calibri" w:eastAsia="Calibri" w:hAnsi="Calibri" w:cs="Times New Roman"/>
        </w:rPr>
        <w:t>b = the number who are exposed and do not have the disease.</w:t>
      </w:r>
    </w:p>
    <w:p w:rsidR="00AE48AF" w:rsidRPr="007E58C5" w:rsidRDefault="00AE48AF" w:rsidP="00AE48AF">
      <w:pPr>
        <w:rPr>
          <w:rFonts w:ascii="Calibri" w:eastAsia="Calibri" w:hAnsi="Calibri" w:cs="Times New Roman"/>
        </w:rPr>
      </w:pPr>
      <w:r w:rsidRPr="007E58C5">
        <w:rPr>
          <w:rFonts w:ascii="Calibri" w:eastAsia="Calibri" w:hAnsi="Calibri" w:cs="Times New Roman"/>
        </w:rPr>
        <w:t>c = the number who are unexposed and have the disease</w:t>
      </w:r>
    </w:p>
    <w:p w:rsidR="00AE48AF" w:rsidRPr="007E58C5" w:rsidRDefault="00AE48AF" w:rsidP="00AE48AF">
      <w:pPr>
        <w:rPr>
          <w:rFonts w:ascii="Calibri" w:eastAsia="Calibri" w:hAnsi="Calibri" w:cs="Times New Roman"/>
        </w:rPr>
      </w:pPr>
      <w:r w:rsidRPr="007E58C5">
        <w:rPr>
          <w:rFonts w:ascii="Calibri" w:eastAsia="Calibri" w:hAnsi="Calibri" w:cs="Times New Roman"/>
        </w:rPr>
        <w:t>d = the number who are both unexposed and without the disease.</w:t>
      </w:r>
    </w:p>
    <w:p w:rsidR="00AE48AF" w:rsidRPr="007E58C5" w:rsidRDefault="00AE48AF" w:rsidP="00AE48AF">
      <w:pPr>
        <w:rPr>
          <w:rFonts w:ascii="Calibri" w:eastAsia="Times New Roman" w:hAnsi="Calibri" w:cs="Times New Roman"/>
          <w:shd w:val="clear" w:color="auto" w:fill="FFFFFF"/>
        </w:rPr>
      </w:pPr>
      <w:r w:rsidRPr="007E58C5">
        <w:rPr>
          <w:rFonts w:ascii="Calibri" w:eastAsia="Times New Roman" w:hAnsi="Calibri" w:cs="Times New Roman"/>
          <w:shd w:val="clear" w:color="auto" w:fill="FFFFFF"/>
        </w:rPr>
        <w:lastRenderedPageBreak/>
        <w:t xml:space="preserve">To test the statistical significance of the odds ratio, a chi-square test can be computed. However, it is important to remember that statistical significance is not proof of causality, as the observed result may be due to chance, bias or confounding.  </w:t>
      </w:r>
    </w:p>
    <w:p w:rsidR="003C0D19" w:rsidRDefault="003C0D19">
      <w:bookmarkStart w:id="1" w:name="_GoBack"/>
      <w:bookmarkEnd w:id="1"/>
    </w:p>
    <w:sectPr w:rsidR="003C0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48AF" w:rsidRDefault="00AE48AF" w:rsidP="00AE48AF">
      <w:pPr>
        <w:spacing w:after="0" w:line="240" w:lineRule="auto"/>
      </w:pPr>
      <w:r>
        <w:separator/>
      </w:r>
    </w:p>
  </w:endnote>
  <w:endnote w:type="continuationSeparator" w:id="0">
    <w:p w:rsidR="00AE48AF" w:rsidRDefault="00AE48AF" w:rsidP="00AE4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55 Roman">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48AF" w:rsidRDefault="00AE48AF" w:rsidP="00AE48AF">
      <w:pPr>
        <w:spacing w:after="0" w:line="240" w:lineRule="auto"/>
      </w:pPr>
      <w:r>
        <w:separator/>
      </w:r>
    </w:p>
  </w:footnote>
  <w:footnote w:type="continuationSeparator" w:id="0">
    <w:p w:rsidR="00AE48AF" w:rsidRDefault="00AE48AF" w:rsidP="00AE48AF">
      <w:pPr>
        <w:spacing w:after="0" w:line="240" w:lineRule="auto"/>
      </w:pPr>
      <w:r>
        <w:continuationSeparator/>
      </w:r>
    </w:p>
  </w:footnote>
  <w:footnote w:id="1">
    <w:p w:rsidR="00AE48AF" w:rsidRPr="00BB5197" w:rsidRDefault="00AE48AF" w:rsidP="00AE48AF">
      <w:pPr>
        <w:pStyle w:val="FootnoteText"/>
        <w:rPr>
          <w:sz w:val="20"/>
          <w:szCs w:val="20"/>
        </w:rPr>
      </w:pPr>
      <w:r w:rsidRPr="00BB5197">
        <w:rPr>
          <w:rStyle w:val="FootnoteReference"/>
          <w:sz w:val="20"/>
          <w:szCs w:val="20"/>
        </w:rPr>
        <w:footnoteRef/>
      </w:r>
      <w:r w:rsidRPr="00BB5197">
        <w:rPr>
          <w:sz w:val="20"/>
          <w:szCs w:val="20"/>
        </w:rPr>
        <w:t xml:space="preserve"> Interference by a third variable that distorts the association between cases and exposures.</w:t>
      </w:r>
    </w:p>
  </w:footnote>
  <w:footnote w:id="2">
    <w:p w:rsidR="00AE48AF" w:rsidRPr="00BB5197" w:rsidRDefault="00AE48AF" w:rsidP="00AE48AF">
      <w:pPr>
        <w:pStyle w:val="FootnoteText"/>
        <w:rPr>
          <w:sz w:val="20"/>
          <w:szCs w:val="20"/>
        </w:rPr>
      </w:pPr>
      <w:r w:rsidRPr="00BB5197">
        <w:rPr>
          <w:rStyle w:val="FootnoteReference"/>
          <w:sz w:val="20"/>
          <w:szCs w:val="20"/>
        </w:rPr>
        <w:footnoteRef/>
      </w:r>
      <w:r w:rsidRPr="00BB5197">
        <w:rPr>
          <w:sz w:val="20"/>
          <w:szCs w:val="20"/>
        </w:rPr>
        <w:t xml:space="preserve"> Any action that systematically distorts findings.</w:t>
      </w:r>
    </w:p>
  </w:footnote>
  <w:footnote w:id="3">
    <w:p w:rsidR="00AE48AF" w:rsidRDefault="00AE48AF" w:rsidP="00AE48AF">
      <w:pPr>
        <w:pStyle w:val="FootnoteText"/>
      </w:pPr>
      <w:r w:rsidRPr="00BB5197">
        <w:rPr>
          <w:rStyle w:val="FootnoteReference"/>
          <w:sz w:val="20"/>
          <w:szCs w:val="20"/>
        </w:rPr>
        <w:footnoteRef/>
      </w:r>
      <w:r w:rsidRPr="00BB5197">
        <w:rPr>
          <w:sz w:val="20"/>
          <w:szCs w:val="20"/>
        </w:rPr>
        <w:t xml:space="preserve"> A random, unpredictable occurrence that is not due to human intervention.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01CAB"/>
    <w:multiLevelType w:val="hybridMultilevel"/>
    <w:tmpl w:val="F0DA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B90B83"/>
    <w:multiLevelType w:val="multilevel"/>
    <w:tmpl w:val="A3BE2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BC2828"/>
    <w:multiLevelType w:val="multilevel"/>
    <w:tmpl w:val="6EC2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0203C"/>
    <w:multiLevelType w:val="multilevel"/>
    <w:tmpl w:val="A308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682C62"/>
    <w:multiLevelType w:val="multilevel"/>
    <w:tmpl w:val="A9F2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8AF"/>
    <w:rsid w:val="0000148E"/>
    <w:rsid w:val="000023FE"/>
    <w:rsid w:val="00002729"/>
    <w:rsid w:val="00002CEA"/>
    <w:rsid w:val="000039F3"/>
    <w:rsid w:val="00003C0C"/>
    <w:rsid w:val="00006512"/>
    <w:rsid w:val="00011B0E"/>
    <w:rsid w:val="00012B51"/>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222A"/>
    <w:rsid w:val="00032C01"/>
    <w:rsid w:val="00032DBF"/>
    <w:rsid w:val="000359B4"/>
    <w:rsid w:val="00035B90"/>
    <w:rsid w:val="00041407"/>
    <w:rsid w:val="0004156F"/>
    <w:rsid w:val="00042B1F"/>
    <w:rsid w:val="00044D9A"/>
    <w:rsid w:val="0004545D"/>
    <w:rsid w:val="0004553D"/>
    <w:rsid w:val="0004700B"/>
    <w:rsid w:val="000526EC"/>
    <w:rsid w:val="00052AE3"/>
    <w:rsid w:val="00055AB4"/>
    <w:rsid w:val="00055BA9"/>
    <w:rsid w:val="000560AB"/>
    <w:rsid w:val="00056EC5"/>
    <w:rsid w:val="00057A74"/>
    <w:rsid w:val="00057FEE"/>
    <w:rsid w:val="00060642"/>
    <w:rsid w:val="00061BD1"/>
    <w:rsid w:val="000633DC"/>
    <w:rsid w:val="0006350B"/>
    <w:rsid w:val="00064DC1"/>
    <w:rsid w:val="000663AB"/>
    <w:rsid w:val="0007006F"/>
    <w:rsid w:val="00070472"/>
    <w:rsid w:val="00070DF8"/>
    <w:rsid w:val="00071765"/>
    <w:rsid w:val="00071977"/>
    <w:rsid w:val="00074644"/>
    <w:rsid w:val="00075448"/>
    <w:rsid w:val="00076671"/>
    <w:rsid w:val="00077BA8"/>
    <w:rsid w:val="0008049B"/>
    <w:rsid w:val="00081F27"/>
    <w:rsid w:val="00082A4A"/>
    <w:rsid w:val="00083044"/>
    <w:rsid w:val="0008462A"/>
    <w:rsid w:val="00085FCF"/>
    <w:rsid w:val="0008794F"/>
    <w:rsid w:val="00090496"/>
    <w:rsid w:val="00091358"/>
    <w:rsid w:val="00091631"/>
    <w:rsid w:val="0009288B"/>
    <w:rsid w:val="000932B3"/>
    <w:rsid w:val="00095A73"/>
    <w:rsid w:val="00096259"/>
    <w:rsid w:val="000971D0"/>
    <w:rsid w:val="000A02CD"/>
    <w:rsid w:val="000A0E7B"/>
    <w:rsid w:val="000A3436"/>
    <w:rsid w:val="000A3E67"/>
    <w:rsid w:val="000A48A5"/>
    <w:rsid w:val="000A4921"/>
    <w:rsid w:val="000A7392"/>
    <w:rsid w:val="000B0EEC"/>
    <w:rsid w:val="000B204E"/>
    <w:rsid w:val="000B2A68"/>
    <w:rsid w:val="000B3835"/>
    <w:rsid w:val="000B39FE"/>
    <w:rsid w:val="000B4364"/>
    <w:rsid w:val="000B50F9"/>
    <w:rsid w:val="000B62D8"/>
    <w:rsid w:val="000B66C7"/>
    <w:rsid w:val="000B67C7"/>
    <w:rsid w:val="000B6F8A"/>
    <w:rsid w:val="000C0A3C"/>
    <w:rsid w:val="000C12DF"/>
    <w:rsid w:val="000C1CFB"/>
    <w:rsid w:val="000C29AF"/>
    <w:rsid w:val="000C4029"/>
    <w:rsid w:val="000C61E3"/>
    <w:rsid w:val="000C655D"/>
    <w:rsid w:val="000C675E"/>
    <w:rsid w:val="000C7F0D"/>
    <w:rsid w:val="000D00AB"/>
    <w:rsid w:val="000D0845"/>
    <w:rsid w:val="000D0ABB"/>
    <w:rsid w:val="000D265A"/>
    <w:rsid w:val="000D2940"/>
    <w:rsid w:val="000D5E3F"/>
    <w:rsid w:val="000D7FF7"/>
    <w:rsid w:val="000E0738"/>
    <w:rsid w:val="000E2781"/>
    <w:rsid w:val="000E2B04"/>
    <w:rsid w:val="000E4A16"/>
    <w:rsid w:val="000E4B97"/>
    <w:rsid w:val="000E5BBC"/>
    <w:rsid w:val="000E62D6"/>
    <w:rsid w:val="000E68FC"/>
    <w:rsid w:val="000E6A17"/>
    <w:rsid w:val="000E75E0"/>
    <w:rsid w:val="000E7A9D"/>
    <w:rsid w:val="000F1D20"/>
    <w:rsid w:val="000F2CED"/>
    <w:rsid w:val="000F5367"/>
    <w:rsid w:val="000F5B3C"/>
    <w:rsid w:val="00100B13"/>
    <w:rsid w:val="00101B05"/>
    <w:rsid w:val="0010297B"/>
    <w:rsid w:val="00102E43"/>
    <w:rsid w:val="00103CE9"/>
    <w:rsid w:val="00103DD4"/>
    <w:rsid w:val="00106653"/>
    <w:rsid w:val="00107430"/>
    <w:rsid w:val="00107557"/>
    <w:rsid w:val="00107619"/>
    <w:rsid w:val="00107D43"/>
    <w:rsid w:val="00110B80"/>
    <w:rsid w:val="00110C32"/>
    <w:rsid w:val="00111D80"/>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45CA"/>
    <w:rsid w:val="0013489B"/>
    <w:rsid w:val="00134E72"/>
    <w:rsid w:val="00134FB4"/>
    <w:rsid w:val="001352EF"/>
    <w:rsid w:val="00141B71"/>
    <w:rsid w:val="00142421"/>
    <w:rsid w:val="001428FE"/>
    <w:rsid w:val="00142C6D"/>
    <w:rsid w:val="00144D98"/>
    <w:rsid w:val="001461B2"/>
    <w:rsid w:val="0014700E"/>
    <w:rsid w:val="00147189"/>
    <w:rsid w:val="00150D5F"/>
    <w:rsid w:val="001513C1"/>
    <w:rsid w:val="00154382"/>
    <w:rsid w:val="00154678"/>
    <w:rsid w:val="00156809"/>
    <w:rsid w:val="00161FE7"/>
    <w:rsid w:val="00163C26"/>
    <w:rsid w:val="00164A46"/>
    <w:rsid w:val="00164B2B"/>
    <w:rsid w:val="00165EBE"/>
    <w:rsid w:val="001679F0"/>
    <w:rsid w:val="00171A34"/>
    <w:rsid w:val="00171AF3"/>
    <w:rsid w:val="001726EC"/>
    <w:rsid w:val="0017423B"/>
    <w:rsid w:val="00175E32"/>
    <w:rsid w:val="001762F3"/>
    <w:rsid w:val="00176356"/>
    <w:rsid w:val="00180BDB"/>
    <w:rsid w:val="00181055"/>
    <w:rsid w:val="001841AE"/>
    <w:rsid w:val="00185995"/>
    <w:rsid w:val="00185F96"/>
    <w:rsid w:val="0018600A"/>
    <w:rsid w:val="001862BE"/>
    <w:rsid w:val="00186679"/>
    <w:rsid w:val="00191515"/>
    <w:rsid w:val="00191628"/>
    <w:rsid w:val="00194C50"/>
    <w:rsid w:val="00196075"/>
    <w:rsid w:val="001A04D8"/>
    <w:rsid w:val="001A1CC6"/>
    <w:rsid w:val="001A56D4"/>
    <w:rsid w:val="001A6378"/>
    <w:rsid w:val="001A6809"/>
    <w:rsid w:val="001B0486"/>
    <w:rsid w:val="001B142B"/>
    <w:rsid w:val="001B32E2"/>
    <w:rsid w:val="001B3639"/>
    <w:rsid w:val="001B3A82"/>
    <w:rsid w:val="001B3A98"/>
    <w:rsid w:val="001B3AFE"/>
    <w:rsid w:val="001B411B"/>
    <w:rsid w:val="001B7CD9"/>
    <w:rsid w:val="001C0194"/>
    <w:rsid w:val="001C08FB"/>
    <w:rsid w:val="001C244C"/>
    <w:rsid w:val="001C344B"/>
    <w:rsid w:val="001C3AEF"/>
    <w:rsid w:val="001C7C28"/>
    <w:rsid w:val="001D0F86"/>
    <w:rsid w:val="001D103F"/>
    <w:rsid w:val="001D28C7"/>
    <w:rsid w:val="001D2A6A"/>
    <w:rsid w:val="001D3190"/>
    <w:rsid w:val="001D348A"/>
    <w:rsid w:val="001D44E2"/>
    <w:rsid w:val="001D5A69"/>
    <w:rsid w:val="001D66C1"/>
    <w:rsid w:val="001D789D"/>
    <w:rsid w:val="001E0797"/>
    <w:rsid w:val="001E1DD1"/>
    <w:rsid w:val="001E2FD3"/>
    <w:rsid w:val="001E486C"/>
    <w:rsid w:val="001E53DA"/>
    <w:rsid w:val="001E5588"/>
    <w:rsid w:val="001E58E3"/>
    <w:rsid w:val="001E6769"/>
    <w:rsid w:val="001E78DE"/>
    <w:rsid w:val="001F11D5"/>
    <w:rsid w:val="001F23ED"/>
    <w:rsid w:val="001F311A"/>
    <w:rsid w:val="001F3AED"/>
    <w:rsid w:val="001F4AF7"/>
    <w:rsid w:val="001F5B99"/>
    <w:rsid w:val="001F7978"/>
    <w:rsid w:val="0020026F"/>
    <w:rsid w:val="0020067C"/>
    <w:rsid w:val="002014F2"/>
    <w:rsid w:val="00201E02"/>
    <w:rsid w:val="002023F2"/>
    <w:rsid w:val="00202619"/>
    <w:rsid w:val="0020340A"/>
    <w:rsid w:val="00203913"/>
    <w:rsid w:val="00203F46"/>
    <w:rsid w:val="002068ED"/>
    <w:rsid w:val="0020715B"/>
    <w:rsid w:val="0020729B"/>
    <w:rsid w:val="00207F3B"/>
    <w:rsid w:val="0021029A"/>
    <w:rsid w:val="00211627"/>
    <w:rsid w:val="00211B74"/>
    <w:rsid w:val="00213070"/>
    <w:rsid w:val="00213818"/>
    <w:rsid w:val="00214504"/>
    <w:rsid w:val="00214870"/>
    <w:rsid w:val="002159A6"/>
    <w:rsid w:val="00217D88"/>
    <w:rsid w:val="00221254"/>
    <w:rsid w:val="002212BE"/>
    <w:rsid w:val="00223CA6"/>
    <w:rsid w:val="00224E4D"/>
    <w:rsid w:val="002263B6"/>
    <w:rsid w:val="00230C29"/>
    <w:rsid w:val="0023245C"/>
    <w:rsid w:val="00232D8C"/>
    <w:rsid w:val="00232DB8"/>
    <w:rsid w:val="00235EC0"/>
    <w:rsid w:val="00240394"/>
    <w:rsid w:val="002410C6"/>
    <w:rsid w:val="002416BA"/>
    <w:rsid w:val="002416FD"/>
    <w:rsid w:val="00241DFC"/>
    <w:rsid w:val="00242556"/>
    <w:rsid w:val="00242B3F"/>
    <w:rsid w:val="00242C05"/>
    <w:rsid w:val="00243BB2"/>
    <w:rsid w:val="0024607A"/>
    <w:rsid w:val="002500CA"/>
    <w:rsid w:val="002507B4"/>
    <w:rsid w:val="00250FC4"/>
    <w:rsid w:val="00253815"/>
    <w:rsid w:val="00254CAF"/>
    <w:rsid w:val="002555C9"/>
    <w:rsid w:val="002620B6"/>
    <w:rsid w:val="00262992"/>
    <w:rsid w:val="002635C8"/>
    <w:rsid w:val="00263A4A"/>
    <w:rsid w:val="002644B4"/>
    <w:rsid w:val="00265175"/>
    <w:rsid w:val="00265E65"/>
    <w:rsid w:val="0026776A"/>
    <w:rsid w:val="00270442"/>
    <w:rsid w:val="002717DC"/>
    <w:rsid w:val="00271FC9"/>
    <w:rsid w:val="0027307C"/>
    <w:rsid w:val="00273D7D"/>
    <w:rsid w:val="00276DC2"/>
    <w:rsid w:val="0027790C"/>
    <w:rsid w:val="00281DF0"/>
    <w:rsid w:val="00282F9D"/>
    <w:rsid w:val="00285564"/>
    <w:rsid w:val="002873A9"/>
    <w:rsid w:val="00290EFB"/>
    <w:rsid w:val="00290F03"/>
    <w:rsid w:val="00292272"/>
    <w:rsid w:val="002933E1"/>
    <w:rsid w:val="00294E3D"/>
    <w:rsid w:val="002A1AD7"/>
    <w:rsid w:val="002A1C97"/>
    <w:rsid w:val="002A21A3"/>
    <w:rsid w:val="002A28E7"/>
    <w:rsid w:val="002A3941"/>
    <w:rsid w:val="002A3C09"/>
    <w:rsid w:val="002A40E9"/>
    <w:rsid w:val="002A4F11"/>
    <w:rsid w:val="002A6EC4"/>
    <w:rsid w:val="002A7CA7"/>
    <w:rsid w:val="002B0450"/>
    <w:rsid w:val="002B0B2E"/>
    <w:rsid w:val="002B310C"/>
    <w:rsid w:val="002B3151"/>
    <w:rsid w:val="002B3179"/>
    <w:rsid w:val="002B40CF"/>
    <w:rsid w:val="002B46E4"/>
    <w:rsid w:val="002B4949"/>
    <w:rsid w:val="002B6273"/>
    <w:rsid w:val="002B65B5"/>
    <w:rsid w:val="002B663B"/>
    <w:rsid w:val="002B66F7"/>
    <w:rsid w:val="002B6AAA"/>
    <w:rsid w:val="002B7112"/>
    <w:rsid w:val="002C1867"/>
    <w:rsid w:val="002C37F9"/>
    <w:rsid w:val="002C6145"/>
    <w:rsid w:val="002C71F7"/>
    <w:rsid w:val="002D267D"/>
    <w:rsid w:val="002D5C9B"/>
    <w:rsid w:val="002D6D94"/>
    <w:rsid w:val="002D6E7E"/>
    <w:rsid w:val="002E1C64"/>
    <w:rsid w:val="002E2E7F"/>
    <w:rsid w:val="002E7EF7"/>
    <w:rsid w:val="002F0544"/>
    <w:rsid w:val="002F0679"/>
    <w:rsid w:val="002F079D"/>
    <w:rsid w:val="002F0819"/>
    <w:rsid w:val="002F0C34"/>
    <w:rsid w:val="002F3309"/>
    <w:rsid w:val="002F3C1B"/>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5B"/>
    <w:rsid w:val="00317A94"/>
    <w:rsid w:val="00320224"/>
    <w:rsid w:val="00321393"/>
    <w:rsid w:val="00322CA3"/>
    <w:rsid w:val="0032418A"/>
    <w:rsid w:val="0032492B"/>
    <w:rsid w:val="00325811"/>
    <w:rsid w:val="00326187"/>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4676"/>
    <w:rsid w:val="00346C82"/>
    <w:rsid w:val="00347A65"/>
    <w:rsid w:val="00350FFD"/>
    <w:rsid w:val="00351E84"/>
    <w:rsid w:val="00353004"/>
    <w:rsid w:val="00353E23"/>
    <w:rsid w:val="0035423B"/>
    <w:rsid w:val="00355398"/>
    <w:rsid w:val="0035567A"/>
    <w:rsid w:val="00356EF2"/>
    <w:rsid w:val="00361878"/>
    <w:rsid w:val="00361BC2"/>
    <w:rsid w:val="00361D37"/>
    <w:rsid w:val="00362085"/>
    <w:rsid w:val="00363DF3"/>
    <w:rsid w:val="0036517A"/>
    <w:rsid w:val="00365310"/>
    <w:rsid w:val="0037020F"/>
    <w:rsid w:val="00370948"/>
    <w:rsid w:val="0037114F"/>
    <w:rsid w:val="0037143F"/>
    <w:rsid w:val="0037245C"/>
    <w:rsid w:val="003725CC"/>
    <w:rsid w:val="003725EC"/>
    <w:rsid w:val="00373D59"/>
    <w:rsid w:val="0037423F"/>
    <w:rsid w:val="0037589D"/>
    <w:rsid w:val="00376079"/>
    <w:rsid w:val="00376B38"/>
    <w:rsid w:val="00376E1A"/>
    <w:rsid w:val="00380F67"/>
    <w:rsid w:val="003816D5"/>
    <w:rsid w:val="00381B5F"/>
    <w:rsid w:val="00382AE5"/>
    <w:rsid w:val="00382CA2"/>
    <w:rsid w:val="00383707"/>
    <w:rsid w:val="0038467D"/>
    <w:rsid w:val="00384AA1"/>
    <w:rsid w:val="00384AC2"/>
    <w:rsid w:val="00387C41"/>
    <w:rsid w:val="0039144D"/>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B7"/>
    <w:rsid w:val="003C2C21"/>
    <w:rsid w:val="003C347B"/>
    <w:rsid w:val="003C34FA"/>
    <w:rsid w:val="003C6562"/>
    <w:rsid w:val="003C6C76"/>
    <w:rsid w:val="003C7AC9"/>
    <w:rsid w:val="003C7D2F"/>
    <w:rsid w:val="003D04A4"/>
    <w:rsid w:val="003D0AE1"/>
    <w:rsid w:val="003D1AD4"/>
    <w:rsid w:val="003D203C"/>
    <w:rsid w:val="003D2311"/>
    <w:rsid w:val="003D256C"/>
    <w:rsid w:val="003D2BDF"/>
    <w:rsid w:val="003D3030"/>
    <w:rsid w:val="003D4E14"/>
    <w:rsid w:val="003D6823"/>
    <w:rsid w:val="003E0AE3"/>
    <w:rsid w:val="003E14C4"/>
    <w:rsid w:val="003E3A39"/>
    <w:rsid w:val="003E575D"/>
    <w:rsid w:val="003F0E7F"/>
    <w:rsid w:val="003F138D"/>
    <w:rsid w:val="003F3B68"/>
    <w:rsid w:val="003F3EF1"/>
    <w:rsid w:val="003F7AFE"/>
    <w:rsid w:val="0040472B"/>
    <w:rsid w:val="004047BC"/>
    <w:rsid w:val="00404E76"/>
    <w:rsid w:val="00406D1E"/>
    <w:rsid w:val="00410407"/>
    <w:rsid w:val="00410856"/>
    <w:rsid w:val="0041091E"/>
    <w:rsid w:val="0041184C"/>
    <w:rsid w:val="0041355D"/>
    <w:rsid w:val="00413B46"/>
    <w:rsid w:val="0041489E"/>
    <w:rsid w:val="00414AF8"/>
    <w:rsid w:val="00421D88"/>
    <w:rsid w:val="0042246D"/>
    <w:rsid w:val="00422560"/>
    <w:rsid w:val="00423F35"/>
    <w:rsid w:val="00425144"/>
    <w:rsid w:val="0042560A"/>
    <w:rsid w:val="00426885"/>
    <w:rsid w:val="004302D5"/>
    <w:rsid w:val="004311BB"/>
    <w:rsid w:val="0043169E"/>
    <w:rsid w:val="00434A3C"/>
    <w:rsid w:val="00434C18"/>
    <w:rsid w:val="00435C63"/>
    <w:rsid w:val="004360EE"/>
    <w:rsid w:val="00436DC5"/>
    <w:rsid w:val="00436EED"/>
    <w:rsid w:val="00437172"/>
    <w:rsid w:val="0044073D"/>
    <w:rsid w:val="0044107E"/>
    <w:rsid w:val="00441B04"/>
    <w:rsid w:val="00442245"/>
    <w:rsid w:val="00442E7F"/>
    <w:rsid w:val="00443076"/>
    <w:rsid w:val="0044368C"/>
    <w:rsid w:val="00444A59"/>
    <w:rsid w:val="00446B5D"/>
    <w:rsid w:val="0045015D"/>
    <w:rsid w:val="0045038E"/>
    <w:rsid w:val="00450537"/>
    <w:rsid w:val="00451105"/>
    <w:rsid w:val="004527FD"/>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1148"/>
    <w:rsid w:val="004858D9"/>
    <w:rsid w:val="0048603E"/>
    <w:rsid w:val="004872CA"/>
    <w:rsid w:val="00487C7B"/>
    <w:rsid w:val="00493628"/>
    <w:rsid w:val="00496554"/>
    <w:rsid w:val="004A031C"/>
    <w:rsid w:val="004A18DE"/>
    <w:rsid w:val="004A37CD"/>
    <w:rsid w:val="004A43E4"/>
    <w:rsid w:val="004A5A18"/>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5172"/>
    <w:rsid w:val="004D5DEC"/>
    <w:rsid w:val="004D611F"/>
    <w:rsid w:val="004D7179"/>
    <w:rsid w:val="004D7C9B"/>
    <w:rsid w:val="004E0B10"/>
    <w:rsid w:val="004E0BB1"/>
    <w:rsid w:val="004E1D93"/>
    <w:rsid w:val="004E3717"/>
    <w:rsid w:val="004E3962"/>
    <w:rsid w:val="004E4C59"/>
    <w:rsid w:val="004E4E49"/>
    <w:rsid w:val="004E6224"/>
    <w:rsid w:val="004E6C8C"/>
    <w:rsid w:val="004E7CA4"/>
    <w:rsid w:val="004E7D38"/>
    <w:rsid w:val="004F2044"/>
    <w:rsid w:val="004F2FDD"/>
    <w:rsid w:val="004F3736"/>
    <w:rsid w:val="004F4BFE"/>
    <w:rsid w:val="004F582F"/>
    <w:rsid w:val="004F5BD6"/>
    <w:rsid w:val="004F67E4"/>
    <w:rsid w:val="004F6AAD"/>
    <w:rsid w:val="0050014F"/>
    <w:rsid w:val="0050141B"/>
    <w:rsid w:val="00502A4D"/>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48E"/>
    <w:rsid w:val="00525B2D"/>
    <w:rsid w:val="00527572"/>
    <w:rsid w:val="00530162"/>
    <w:rsid w:val="0053023A"/>
    <w:rsid w:val="00530517"/>
    <w:rsid w:val="00534B3E"/>
    <w:rsid w:val="00535159"/>
    <w:rsid w:val="005362D4"/>
    <w:rsid w:val="00537514"/>
    <w:rsid w:val="0054044F"/>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BFF"/>
    <w:rsid w:val="00550DF7"/>
    <w:rsid w:val="00551613"/>
    <w:rsid w:val="00551CD7"/>
    <w:rsid w:val="0055264E"/>
    <w:rsid w:val="005529D6"/>
    <w:rsid w:val="00553B5A"/>
    <w:rsid w:val="00553F4F"/>
    <w:rsid w:val="00554FC2"/>
    <w:rsid w:val="005555D4"/>
    <w:rsid w:val="00556851"/>
    <w:rsid w:val="0055723C"/>
    <w:rsid w:val="00561FAC"/>
    <w:rsid w:val="005625E1"/>
    <w:rsid w:val="00564744"/>
    <w:rsid w:val="00564C0A"/>
    <w:rsid w:val="00566802"/>
    <w:rsid w:val="0056729C"/>
    <w:rsid w:val="005710F2"/>
    <w:rsid w:val="00571269"/>
    <w:rsid w:val="00571951"/>
    <w:rsid w:val="00571D0A"/>
    <w:rsid w:val="005720E8"/>
    <w:rsid w:val="005725E2"/>
    <w:rsid w:val="00573147"/>
    <w:rsid w:val="00575557"/>
    <w:rsid w:val="00580414"/>
    <w:rsid w:val="00582234"/>
    <w:rsid w:val="005858DC"/>
    <w:rsid w:val="00585E2C"/>
    <w:rsid w:val="0058626F"/>
    <w:rsid w:val="00587151"/>
    <w:rsid w:val="00590035"/>
    <w:rsid w:val="0059072E"/>
    <w:rsid w:val="0059241A"/>
    <w:rsid w:val="00595D2C"/>
    <w:rsid w:val="00595DB0"/>
    <w:rsid w:val="00596A5F"/>
    <w:rsid w:val="00596FFE"/>
    <w:rsid w:val="005A2E87"/>
    <w:rsid w:val="005A3A3B"/>
    <w:rsid w:val="005A3CB6"/>
    <w:rsid w:val="005A55E8"/>
    <w:rsid w:val="005A6C29"/>
    <w:rsid w:val="005B09A9"/>
    <w:rsid w:val="005B4011"/>
    <w:rsid w:val="005B4D39"/>
    <w:rsid w:val="005B58E2"/>
    <w:rsid w:val="005B5AF7"/>
    <w:rsid w:val="005B6906"/>
    <w:rsid w:val="005C0DFC"/>
    <w:rsid w:val="005C14E5"/>
    <w:rsid w:val="005C29A3"/>
    <w:rsid w:val="005C3CBC"/>
    <w:rsid w:val="005C520D"/>
    <w:rsid w:val="005C52A3"/>
    <w:rsid w:val="005C5884"/>
    <w:rsid w:val="005C6A70"/>
    <w:rsid w:val="005D13BD"/>
    <w:rsid w:val="005D1834"/>
    <w:rsid w:val="005D1CD5"/>
    <w:rsid w:val="005D53CA"/>
    <w:rsid w:val="005D55A3"/>
    <w:rsid w:val="005D56E8"/>
    <w:rsid w:val="005D5F60"/>
    <w:rsid w:val="005D73F2"/>
    <w:rsid w:val="005D7769"/>
    <w:rsid w:val="005E3786"/>
    <w:rsid w:val="005E4216"/>
    <w:rsid w:val="005E46FD"/>
    <w:rsid w:val="005E6A51"/>
    <w:rsid w:val="005E6E0A"/>
    <w:rsid w:val="005E6E7C"/>
    <w:rsid w:val="005F1E09"/>
    <w:rsid w:val="005F1EEB"/>
    <w:rsid w:val="005F3414"/>
    <w:rsid w:val="005F377E"/>
    <w:rsid w:val="005F5018"/>
    <w:rsid w:val="005F5893"/>
    <w:rsid w:val="005F7E0D"/>
    <w:rsid w:val="00600178"/>
    <w:rsid w:val="00604574"/>
    <w:rsid w:val="00604E8B"/>
    <w:rsid w:val="00607333"/>
    <w:rsid w:val="00607742"/>
    <w:rsid w:val="00607CE6"/>
    <w:rsid w:val="006106E2"/>
    <w:rsid w:val="00610E27"/>
    <w:rsid w:val="00611143"/>
    <w:rsid w:val="00611955"/>
    <w:rsid w:val="00611ED5"/>
    <w:rsid w:val="006127BA"/>
    <w:rsid w:val="00616479"/>
    <w:rsid w:val="00617032"/>
    <w:rsid w:val="006208B0"/>
    <w:rsid w:val="00622598"/>
    <w:rsid w:val="0062330A"/>
    <w:rsid w:val="00625EEC"/>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60B7D"/>
    <w:rsid w:val="00660DD6"/>
    <w:rsid w:val="00660EDD"/>
    <w:rsid w:val="006625DA"/>
    <w:rsid w:val="006642C4"/>
    <w:rsid w:val="00665E5D"/>
    <w:rsid w:val="00665EE9"/>
    <w:rsid w:val="006665BD"/>
    <w:rsid w:val="00666C70"/>
    <w:rsid w:val="00667B39"/>
    <w:rsid w:val="006700D0"/>
    <w:rsid w:val="00671A6D"/>
    <w:rsid w:val="006720C5"/>
    <w:rsid w:val="0067412F"/>
    <w:rsid w:val="00674A33"/>
    <w:rsid w:val="00676342"/>
    <w:rsid w:val="006767A9"/>
    <w:rsid w:val="006806A4"/>
    <w:rsid w:val="00682A2B"/>
    <w:rsid w:val="00682A50"/>
    <w:rsid w:val="00682BC4"/>
    <w:rsid w:val="00684082"/>
    <w:rsid w:val="00685089"/>
    <w:rsid w:val="00685901"/>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F66"/>
    <w:rsid w:val="006B0FE7"/>
    <w:rsid w:val="006B1FA8"/>
    <w:rsid w:val="006B2C6B"/>
    <w:rsid w:val="006B2CF6"/>
    <w:rsid w:val="006B32DF"/>
    <w:rsid w:val="006B3532"/>
    <w:rsid w:val="006B5001"/>
    <w:rsid w:val="006B58DD"/>
    <w:rsid w:val="006B74E0"/>
    <w:rsid w:val="006B7723"/>
    <w:rsid w:val="006B7A0F"/>
    <w:rsid w:val="006C043B"/>
    <w:rsid w:val="006C0440"/>
    <w:rsid w:val="006C1EE0"/>
    <w:rsid w:val="006C200D"/>
    <w:rsid w:val="006C2216"/>
    <w:rsid w:val="006C48DF"/>
    <w:rsid w:val="006C4F00"/>
    <w:rsid w:val="006C56CC"/>
    <w:rsid w:val="006C58E3"/>
    <w:rsid w:val="006C645C"/>
    <w:rsid w:val="006C6CA3"/>
    <w:rsid w:val="006C7883"/>
    <w:rsid w:val="006C7AD9"/>
    <w:rsid w:val="006D0C78"/>
    <w:rsid w:val="006D1ADB"/>
    <w:rsid w:val="006D1E3E"/>
    <w:rsid w:val="006D283E"/>
    <w:rsid w:val="006D2B8F"/>
    <w:rsid w:val="006D2BA3"/>
    <w:rsid w:val="006D2FF4"/>
    <w:rsid w:val="006D3FD8"/>
    <w:rsid w:val="006D4F30"/>
    <w:rsid w:val="006D75DE"/>
    <w:rsid w:val="006D7742"/>
    <w:rsid w:val="006D7A50"/>
    <w:rsid w:val="006E07E2"/>
    <w:rsid w:val="006E0FAD"/>
    <w:rsid w:val="006E1125"/>
    <w:rsid w:val="006E25DE"/>
    <w:rsid w:val="006E58F6"/>
    <w:rsid w:val="006E78FE"/>
    <w:rsid w:val="006E7D62"/>
    <w:rsid w:val="006F111C"/>
    <w:rsid w:val="006F1A02"/>
    <w:rsid w:val="006F371A"/>
    <w:rsid w:val="006F41B0"/>
    <w:rsid w:val="006F6DAD"/>
    <w:rsid w:val="006F7814"/>
    <w:rsid w:val="00701293"/>
    <w:rsid w:val="0070606A"/>
    <w:rsid w:val="0070637C"/>
    <w:rsid w:val="0070639C"/>
    <w:rsid w:val="0070727E"/>
    <w:rsid w:val="0071052F"/>
    <w:rsid w:val="00713596"/>
    <w:rsid w:val="007139CD"/>
    <w:rsid w:val="00716FC5"/>
    <w:rsid w:val="00717832"/>
    <w:rsid w:val="00717E64"/>
    <w:rsid w:val="0072241C"/>
    <w:rsid w:val="00723BA5"/>
    <w:rsid w:val="007265C0"/>
    <w:rsid w:val="00726FDA"/>
    <w:rsid w:val="00727C41"/>
    <w:rsid w:val="00732ADD"/>
    <w:rsid w:val="00732FA7"/>
    <w:rsid w:val="00736A7F"/>
    <w:rsid w:val="00737794"/>
    <w:rsid w:val="0074252C"/>
    <w:rsid w:val="00742E5D"/>
    <w:rsid w:val="00745A7F"/>
    <w:rsid w:val="00745FF9"/>
    <w:rsid w:val="00746A3E"/>
    <w:rsid w:val="00746F30"/>
    <w:rsid w:val="00747168"/>
    <w:rsid w:val="007524EC"/>
    <w:rsid w:val="007554BE"/>
    <w:rsid w:val="00755E81"/>
    <w:rsid w:val="0075662B"/>
    <w:rsid w:val="007571BB"/>
    <w:rsid w:val="00757BFB"/>
    <w:rsid w:val="00760387"/>
    <w:rsid w:val="00760E6D"/>
    <w:rsid w:val="00763520"/>
    <w:rsid w:val="0076468A"/>
    <w:rsid w:val="0076530A"/>
    <w:rsid w:val="0076563A"/>
    <w:rsid w:val="00765D5A"/>
    <w:rsid w:val="00766776"/>
    <w:rsid w:val="00766908"/>
    <w:rsid w:val="0076774D"/>
    <w:rsid w:val="00767C03"/>
    <w:rsid w:val="00770995"/>
    <w:rsid w:val="00770D90"/>
    <w:rsid w:val="007710AE"/>
    <w:rsid w:val="007711C8"/>
    <w:rsid w:val="00771454"/>
    <w:rsid w:val="00776F16"/>
    <w:rsid w:val="00777942"/>
    <w:rsid w:val="0078191A"/>
    <w:rsid w:val="0078261F"/>
    <w:rsid w:val="00782A27"/>
    <w:rsid w:val="00782F44"/>
    <w:rsid w:val="00783210"/>
    <w:rsid w:val="00784170"/>
    <w:rsid w:val="0078592B"/>
    <w:rsid w:val="0078634C"/>
    <w:rsid w:val="00787E32"/>
    <w:rsid w:val="007909FF"/>
    <w:rsid w:val="00791483"/>
    <w:rsid w:val="00792AC1"/>
    <w:rsid w:val="007939D5"/>
    <w:rsid w:val="007946A1"/>
    <w:rsid w:val="00795E38"/>
    <w:rsid w:val="00796D51"/>
    <w:rsid w:val="007A27A0"/>
    <w:rsid w:val="007A2DF9"/>
    <w:rsid w:val="007B2608"/>
    <w:rsid w:val="007B2A32"/>
    <w:rsid w:val="007B2A68"/>
    <w:rsid w:val="007B38B8"/>
    <w:rsid w:val="007B454D"/>
    <w:rsid w:val="007B4E5C"/>
    <w:rsid w:val="007B6A7B"/>
    <w:rsid w:val="007B7825"/>
    <w:rsid w:val="007C4A40"/>
    <w:rsid w:val="007C4AE4"/>
    <w:rsid w:val="007C7858"/>
    <w:rsid w:val="007C7BAB"/>
    <w:rsid w:val="007D001E"/>
    <w:rsid w:val="007D1221"/>
    <w:rsid w:val="007D17D1"/>
    <w:rsid w:val="007E0EAE"/>
    <w:rsid w:val="007E2515"/>
    <w:rsid w:val="007E2739"/>
    <w:rsid w:val="007E3282"/>
    <w:rsid w:val="007E3BFD"/>
    <w:rsid w:val="007E4243"/>
    <w:rsid w:val="007E438B"/>
    <w:rsid w:val="007E6066"/>
    <w:rsid w:val="007E662E"/>
    <w:rsid w:val="007E679F"/>
    <w:rsid w:val="007F28F6"/>
    <w:rsid w:val="007F57B8"/>
    <w:rsid w:val="007F7B2C"/>
    <w:rsid w:val="008007B1"/>
    <w:rsid w:val="0080257C"/>
    <w:rsid w:val="008034BA"/>
    <w:rsid w:val="00803BD3"/>
    <w:rsid w:val="0080417C"/>
    <w:rsid w:val="008047AA"/>
    <w:rsid w:val="00805177"/>
    <w:rsid w:val="0080662A"/>
    <w:rsid w:val="00806FCB"/>
    <w:rsid w:val="0080719D"/>
    <w:rsid w:val="008072FD"/>
    <w:rsid w:val="00810A19"/>
    <w:rsid w:val="00810C7C"/>
    <w:rsid w:val="0081385B"/>
    <w:rsid w:val="00815F21"/>
    <w:rsid w:val="00816076"/>
    <w:rsid w:val="00817BAF"/>
    <w:rsid w:val="0082151A"/>
    <w:rsid w:val="00822264"/>
    <w:rsid w:val="008243A2"/>
    <w:rsid w:val="00824761"/>
    <w:rsid w:val="0082599F"/>
    <w:rsid w:val="0082675A"/>
    <w:rsid w:val="00826BF0"/>
    <w:rsid w:val="00830371"/>
    <w:rsid w:val="0083152F"/>
    <w:rsid w:val="00831917"/>
    <w:rsid w:val="0083191F"/>
    <w:rsid w:val="008329EA"/>
    <w:rsid w:val="00832A1A"/>
    <w:rsid w:val="00832E73"/>
    <w:rsid w:val="00834534"/>
    <w:rsid w:val="00835E55"/>
    <w:rsid w:val="00841372"/>
    <w:rsid w:val="008414C7"/>
    <w:rsid w:val="008421D4"/>
    <w:rsid w:val="00842D77"/>
    <w:rsid w:val="00843007"/>
    <w:rsid w:val="00845609"/>
    <w:rsid w:val="00847E60"/>
    <w:rsid w:val="0085050D"/>
    <w:rsid w:val="0085433B"/>
    <w:rsid w:val="0085568C"/>
    <w:rsid w:val="0085601B"/>
    <w:rsid w:val="00856B5C"/>
    <w:rsid w:val="00856E34"/>
    <w:rsid w:val="00857E44"/>
    <w:rsid w:val="00860C6D"/>
    <w:rsid w:val="00860E06"/>
    <w:rsid w:val="00861468"/>
    <w:rsid w:val="00861796"/>
    <w:rsid w:val="00861B1A"/>
    <w:rsid w:val="00862C89"/>
    <w:rsid w:val="0086334B"/>
    <w:rsid w:val="00863431"/>
    <w:rsid w:val="00863CD1"/>
    <w:rsid w:val="008649E7"/>
    <w:rsid w:val="00866378"/>
    <w:rsid w:val="00866C72"/>
    <w:rsid w:val="00870F2B"/>
    <w:rsid w:val="00871E12"/>
    <w:rsid w:val="0087312C"/>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3876"/>
    <w:rsid w:val="00893B18"/>
    <w:rsid w:val="00895512"/>
    <w:rsid w:val="00896CAF"/>
    <w:rsid w:val="00896D77"/>
    <w:rsid w:val="00896D9E"/>
    <w:rsid w:val="00897083"/>
    <w:rsid w:val="008979B2"/>
    <w:rsid w:val="00897B52"/>
    <w:rsid w:val="00897C87"/>
    <w:rsid w:val="008A13AA"/>
    <w:rsid w:val="008A239E"/>
    <w:rsid w:val="008A2925"/>
    <w:rsid w:val="008A3650"/>
    <w:rsid w:val="008A5A30"/>
    <w:rsid w:val="008A680F"/>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159D"/>
    <w:rsid w:val="008D16E9"/>
    <w:rsid w:val="008D5E61"/>
    <w:rsid w:val="008D77F8"/>
    <w:rsid w:val="008E06CF"/>
    <w:rsid w:val="008E1C10"/>
    <w:rsid w:val="008E4CFE"/>
    <w:rsid w:val="008E5DE8"/>
    <w:rsid w:val="008E7277"/>
    <w:rsid w:val="008E7F38"/>
    <w:rsid w:val="008F03A2"/>
    <w:rsid w:val="008F0934"/>
    <w:rsid w:val="008F15C4"/>
    <w:rsid w:val="008F1C74"/>
    <w:rsid w:val="008F1C89"/>
    <w:rsid w:val="008F25F0"/>
    <w:rsid w:val="008F2E61"/>
    <w:rsid w:val="008F3E34"/>
    <w:rsid w:val="008F4C5B"/>
    <w:rsid w:val="008F5F4F"/>
    <w:rsid w:val="008F5FD2"/>
    <w:rsid w:val="008F7209"/>
    <w:rsid w:val="009002DB"/>
    <w:rsid w:val="00902F08"/>
    <w:rsid w:val="00905024"/>
    <w:rsid w:val="00906592"/>
    <w:rsid w:val="0090781B"/>
    <w:rsid w:val="00911570"/>
    <w:rsid w:val="00912598"/>
    <w:rsid w:val="00913E39"/>
    <w:rsid w:val="00915CE9"/>
    <w:rsid w:val="00916076"/>
    <w:rsid w:val="0091660D"/>
    <w:rsid w:val="00917CCB"/>
    <w:rsid w:val="0092124C"/>
    <w:rsid w:val="00921302"/>
    <w:rsid w:val="00921B77"/>
    <w:rsid w:val="009221FF"/>
    <w:rsid w:val="00924873"/>
    <w:rsid w:val="00924A86"/>
    <w:rsid w:val="009254C2"/>
    <w:rsid w:val="00926C9A"/>
    <w:rsid w:val="009322C6"/>
    <w:rsid w:val="009324B0"/>
    <w:rsid w:val="00932A62"/>
    <w:rsid w:val="00933A94"/>
    <w:rsid w:val="00934195"/>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DC1"/>
    <w:rsid w:val="00950B7C"/>
    <w:rsid w:val="009512A1"/>
    <w:rsid w:val="00951C63"/>
    <w:rsid w:val="00951E3E"/>
    <w:rsid w:val="00953556"/>
    <w:rsid w:val="00953B61"/>
    <w:rsid w:val="009546BB"/>
    <w:rsid w:val="00956D21"/>
    <w:rsid w:val="00956F28"/>
    <w:rsid w:val="009610CE"/>
    <w:rsid w:val="009626F4"/>
    <w:rsid w:val="00963251"/>
    <w:rsid w:val="00963EF7"/>
    <w:rsid w:val="009650BD"/>
    <w:rsid w:val="00966A19"/>
    <w:rsid w:val="00966F18"/>
    <w:rsid w:val="00970541"/>
    <w:rsid w:val="00970882"/>
    <w:rsid w:val="00971472"/>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3F73"/>
    <w:rsid w:val="009852A3"/>
    <w:rsid w:val="00987A96"/>
    <w:rsid w:val="00990362"/>
    <w:rsid w:val="0099046F"/>
    <w:rsid w:val="009907AD"/>
    <w:rsid w:val="00990E38"/>
    <w:rsid w:val="009914FC"/>
    <w:rsid w:val="00993CB6"/>
    <w:rsid w:val="0099452B"/>
    <w:rsid w:val="00994688"/>
    <w:rsid w:val="009A1A6F"/>
    <w:rsid w:val="009A2783"/>
    <w:rsid w:val="009A3117"/>
    <w:rsid w:val="009A3424"/>
    <w:rsid w:val="009A3AAC"/>
    <w:rsid w:val="009A3EDF"/>
    <w:rsid w:val="009A4299"/>
    <w:rsid w:val="009A4479"/>
    <w:rsid w:val="009A6D6B"/>
    <w:rsid w:val="009B10DA"/>
    <w:rsid w:val="009B4082"/>
    <w:rsid w:val="009B4BF4"/>
    <w:rsid w:val="009B5114"/>
    <w:rsid w:val="009B5803"/>
    <w:rsid w:val="009B5E26"/>
    <w:rsid w:val="009B6211"/>
    <w:rsid w:val="009B6CB2"/>
    <w:rsid w:val="009C0792"/>
    <w:rsid w:val="009C0C93"/>
    <w:rsid w:val="009C2DA5"/>
    <w:rsid w:val="009C4203"/>
    <w:rsid w:val="009C4E20"/>
    <w:rsid w:val="009C51F0"/>
    <w:rsid w:val="009C5781"/>
    <w:rsid w:val="009C6433"/>
    <w:rsid w:val="009D0860"/>
    <w:rsid w:val="009D0FBF"/>
    <w:rsid w:val="009D1912"/>
    <w:rsid w:val="009D2F86"/>
    <w:rsid w:val="009D52C7"/>
    <w:rsid w:val="009D5950"/>
    <w:rsid w:val="009D71FD"/>
    <w:rsid w:val="009D75FF"/>
    <w:rsid w:val="009E103D"/>
    <w:rsid w:val="009E41E4"/>
    <w:rsid w:val="009E42DA"/>
    <w:rsid w:val="009E5A24"/>
    <w:rsid w:val="009E6083"/>
    <w:rsid w:val="009E6BF8"/>
    <w:rsid w:val="009E786F"/>
    <w:rsid w:val="009E7FD1"/>
    <w:rsid w:val="009F21DD"/>
    <w:rsid w:val="009F550B"/>
    <w:rsid w:val="009F56C3"/>
    <w:rsid w:val="00A0097F"/>
    <w:rsid w:val="00A00AED"/>
    <w:rsid w:val="00A01C1A"/>
    <w:rsid w:val="00A01CBC"/>
    <w:rsid w:val="00A03A71"/>
    <w:rsid w:val="00A054BF"/>
    <w:rsid w:val="00A05877"/>
    <w:rsid w:val="00A06013"/>
    <w:rsid w:val="00A07AD4"/>
    <w:rsid w:val="00A10579"/>
    <w:rsid w:val="00A10AEC"/>
    <w:rsid w:val="00A1196C"/>
    <w:rsid w:val="00A11ECB"/>
    <w:rsid w:val="00A129E3"/>
    <w:rsid w:val="00A14ECF"/>
    <w:rsid w:val="00A15122"/>
    <w:rsid w:val="00A16178"/>
    <w:rsid w:val="00A16BCF"/>
    <w:rsid w:val="00A17C32"/>
    <w:rsid w:val="00A20636"/>
    <w:rsid w:val="00A20AB9"/>
    <w:rsid w:val="00A21C77"/>
    <w:rsid w:val="00A21DA7"/>
    <w:rsid w:val="00A24E93"/>
    <w:rsid w:val="00A255FC"/>
    <w:rsid w:val="00A2647D"/>
    <w:rsid w:val="00A27AA1"/>
    <w:rsid w:val="00A30787"/>
    <w:rsid w:val="00A31454"/>
    <w:rsid w:val="00A31991"/>
    <w:rsid w:val="00A32179"/>
    <w:rsid w:val="00A3343F"/>
    <w:rsid w:val="00A33A72"/>
    <w:rsid w:val="00A33F58"/>
    <w:rsid w:val="00A35406"/>
    <w:rsid w:val="00A35A4D"/>
    <w:rsid w:val="00A364ED"/>
    <w:rsid w:val="00A415A9"/>
    <w:rsid w:val="00A41697"/>
    <w:rsid w:val="00A45437"/>
    <w:rsid w:val="00A501A3"/>
    <w:rsid w:val="00A51454"/>
    <w:rsid w:val="00A51686"/>
    <w:rsid w:val="00A51A41"/>
    <w:rsid w:val="00A532B1"/>
    <w:rsid w:val="00A5477F"/>
    <w:rsid w:val="00A54ADA"/>
    <w:rsid w:val="00A54B08"/>
    <w:rsid w:val="00A56925"/>
    <w:rsid w:val="00A60EFA"/>
    <w:rsid w:val="00A61822"/>
    <w:rsid w:val="00A6222A"/>
    <w:rsid w:val="00A641D2"/>
    <w:rsid w:val="00A67E80"/>
    <w:rsid w:val="00A7092D"/>
    <w:rsid w:val="00A71E7A"/>
    <w:rsid w:val="00A72138"/>
    <w:rsid w:val="00A72739"/>
    <w:rsid w:val="00A7463F"/>
    <w:rsid w:val="00A74AA8"/>
    <w:rsid w:val="00A77017"/>
    <w:rsid w:val="00A8215A"/>
    <w:rsid w:val="00A838C4"/>
    <w:rsid w:val="00A83EAE"/>
    <w:rsid w:val="00A84119"/>
    <w:rsid w:val="00A8596D"/>
    <w:rsid w:val="00A87C19"/>
    <w:rsid w:val="00A90004"/>
    <w:rsid w:val="00A929E5"/>
    <w:rsid w:val="00A92B33"/>
    <w:rsid w:val="00A93E47"/>
    <w:rsid w:val="00A94A95"/>
    <w:rsid w:val="00A952AC"/>
    <w:rsid w:val="00A972B8"/>
    <w:rsid w:val="00A97B46"/>
    <w:rsid w:val="00AA162D"/>
    <w:rsid w:val="00AA18C6"/>
    <w:rsid w:val="00AA2B02"/>
    <w:rsid w:val="00AA403B"/>
    <w:rsid w:val="00AA4EF0"/>
    <w:rsid w:val="00AA6AAD"/>
    <w:rsid w:val="00AA6B9F"/>
    <w:rsid w:val="00AA6E98"/>
    <w:rsid w:val="00AA75BA"/>
    <w:rsid w:val="00AB0B9A"/>
    <w:rsid w:val="00AB0CBF"/>
    <w:rsid w:val="00AB1BE9"/>
    <w:rsid w:val="00AB34AD"/>
    <w:rsid w:val="00AB3932"/>
    <w:rsid w:val="00AB479D"/>
    <w:rsid w:val="00AB5DDA"/>
    <w:rsid w:val="00AB6EE4"/>
    <w:rsid w:val="00AB768E"/>
    <w:rsid w:val="00AB78EA"/>
    <w:rsid w:val="00AB7B37"/>
    <w:rsid w:val="00AB7DF3"/>
    <w:rsid w:val="00AC0128"/>
    <w:rsid w:val="00AC03ED"/>
    <w:rsid w:val="00AC15F4"/>
    <w:rsid w:val="00AC33A5"/>
    <w:rsid w:val="00AC376C"/>
    <w:rsid w:val="00AC5529"/>
    <w:rsid w:val="00AC6649"/>
    <w:rsid w:val="00AC6E8D"/>
    <w:rsid w:val="00AC7B74"/>
    <w:rsid w:val="00AD0FD3"/>
    <w:rsid w:val="00AD47A8"/>
    <w:rsid w:val="00AD52BA"/>
    <w:rsid w:val="00AD6104"/>
    <w:rsid w:val="00AD6659"/>
    <w:rsid w:val="00AD71AB"/>
    <w:rsid w:val="00AE0560"/>
    <w:rsid w:val="00AE0692"/>
    <w:rsid w:val="00AE2AFE"/>
    <w:rsid w:val="00AE3E97"/>
    <w:rsid w:val="00AE3F0F"/>
    <w:rsid w:val="00AE48AF"/>
    <w:rsid w:val="00AE59EA"/>
    <w:rsid w:val="00AE6741"/>
    <w:rsid w:val="00AE7E1E"/>
    <w:rsid w:val="00AF0584"/>
    <w:rsid w:val="00AF0BEE"/>
    <w:rsid w:val="00AF0DDC"/>
    <w:rsid w:val="00AF1BD3"/>
    <w:rsid w:val="00AF27C5"/>
    <w:rsid w:val="00AF344A"/>
    <w:rsid w:val="00AF3503"/>
    <w:rsid w:val="00AF37AD"/>
    <w:rsid w:val="00AF3809"/>
    <w:rsid w:val="00AF39C6"/>
    <w:rsid w:val="00AF44A2"/>
    <w:rsid w:val="00AF52BF"/>
    <w:rsid w:val="00AF563D"/>
    <w:rsid w:val="00AF5DD9"/>
    <w:rsid w:val="00AF65F4"/>
    <w:rsid w:val="00AF6A7E"/>
    <w:rsid w:val="00AF7C39"/>
    <w:rsid w:val="00B019CA"/>
    <w:rsid w:val="00B03BF3"/>
    <w:rsid w:val="00B04017"/>
    <w:rsid w:val="00B04EC5"/>
    <w:rsid w:val="00B0660A"/>
    <w:rsid w:val="00B11235"/>
    <w:rsid w:val="00B116A5"/>
    <w:rsid w:val="00B12F1E"/>
    <w:rsid w:val="00B13848"/>
    <w:rsid w:val="00B13A5B"/>
    <w:rsid w:val="00B13BFD"/>
    <w:rsid w:val="00B148DD"/>
    <w:rsid w:val="00B16245"/>
    <w:rsid w:val="00B16F26"/>
    <w:rsid w:val="00B170FE"/>
    <w:rsid w:val="00B20511"/>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F19"/>
    <w:rsid w:val="00B40022"/>
    <w:rsid w:val="00B42360"/>
    <w:rsid w:val="00B43574"/>
    <w:rsid w:val="00B554CC"/>
    <w:rsid w:val="00B566E7"/>
    <w:rsid w:val="00B57053"/>
    <w:rsid w:val="00B57220"/>
    <w:rsid w:val="00B603E1"/>
    <w:rsid w:val="00B62272"/>
    <w:rsid w:val="00B64419"/>
    <w:rsid w:val="00B64B82"/>
    <w:rsid w:val="00B65ED6"/>
    <w:rsid w:val="00B66707"/>
    <w:rsid w:val="00B6681A"/>
    <w:rsid w:val="00B67E95"/>
    <w:rsid w:val="00B72D0B"/>
    <w:rsid w:val="00B737E7"/>
    <w:rsid w:val="00B73B3A"/>
    <w:rsid w:val="00B740EE"/>
    <w:rsid w:val="00B74749"/>
    <w:rsid w:val="00B82AF7"/>
    <w:rsid w:val="00B84005"/>
    <w:rsid w:val="00B8513A"/>
    <w:rsid w:val="00B8721F"/>
    <w:rsid w:val="00B925BD"/>
    <w:rsid w:val="00B94838"/>
    <w:rsid w:val="00B94B0A"/>
    <w:rsid w:val="00B96197"/>
    <w:rsid w:val="00B96722"/>
    <w:rsid w:val="00B9745C"/>
    <w:rsid w:val="00BA0314"/>
    <w:rsid w:val="00BA16F4"/>
    <w:rsid w:val="00BA1A02"/>
    <w:rsid w:val="00BA2386"/>
    <w:rsid w:val="00BA3795"/>
    <w:rsid w:val="00BA3C3B"/>
    <w:rsid w:val="00BA3CB1"/>
    <w:rsid w:val="00BA653D"/>
    <w:rsid w:val="00BA70B7"/>
    <w:rsid w:val="00BB0021"/>
    <w:rsid w:val="00BB05D3"/>
    <w:rsid w:val="00BB0AA9"/>
    <w:rsid w:val="00BB0FC1"/>
    <w:rsid w:val="00BB2B31"/>
    <w:rsid w:val="00BB3375"/>
    <w:rsid w:val="00BB4876"/>
    <w:rsid w:val="00BB4D5A"/>
    <w:rsid w:val="00BB4F2F"/>
    <w:rsid w:val="00BB6FBA"/>
    <w:rsid w:val="00BB78B3"/>
    <w:rsid w:val="00BC0F6E"/>
    <w:rsid w:val="00BC136B"/>
    <w:rsid w:val="00BC27F1"/>
    <w:rsid w:val="00BC2F6F"/>
    <w:rsid w:val="00BC4DA5"/>
    <w:rsid w:val="00BC510D"/>
    <w:rsid w:val="00BC7478"/>
    <w:rsid w:val="00BD0702"/>
    <w:rsid w:val="00BD0C41"/>
    <w:rsid w:val="00BD1044"/>
    <w:rsid w:val="00BD37BE"/>
    <w:rsid w:val="00BD38F3"/>
    <w:rsid w:val="00BD3ACE"/>
    <w:rsid w:val="00BD459B"/>
    <w:rsid w:val="00BD5C64"/>
    <w:rsid w:val="00BD79FA"/>
    <w:rsid w:val="00BD7A0B"/>
    <w:rsid w:val="00BD7E8E"/>
    <w:rsid w:val="00BE1DF8"/>
    <w:rsid w:val="00BE2F50"/>
    <w:rsid w:val="00BE318E"/>
    <w:rsid w:val="00BE3E5D"/>
    <w:rsid w:val="00BE5A74"/>
    <w:rsid w:val="00BE5DD3"/>
    <w:rsid w:val="00BE65B6"/>
    <w:rsid w:val="00BE78A2"/>
    <w:rsid w:val="00BF077D"/>
    <w:rsid w:val="00BF3A6F"/>
    <w:rsid w:val="00BF3D89"/>
    <w:rsid w:val="00BF54EE"/>
    <w:rsid w:val="00BF5792"/>
    <w:rsid w:val="00BF73DC"/>
    <w:rsid w:val="00BF7AB9"/>
    <w:rsid w:val="00C00495"/>
    <w:rsid w:val="00C01E60"/>
    <w:rsid w:val="00C025A4"/>
    <w:rsid w:val="00C126B8"/>
    <w:rsid w:val="00C134FB"/>
    <w:rsid w:val="00C15A66"/>
    <w:rsid w:val="00C166A4"/>
    <w:rsid w:val="00C16AAA"/>
    <w:rsid w:val="00C202AC"/>
    <w:rsid w:val="00C20F1A"/>
    <w:rsid w:val="00C2120F"/>
    <w:rsid w:val="00C21ED5"/>
    <w:rsid w:val="00C23A06"/>
    <w:rsid w:val="00C24EEA"/>
    <w:rsid w:val="00C25072"/>
    <w:rsid w:val="00C25175"/>
    <w:rsid w:val="00C27396"/>
    <w:rsid w:val="00C2794C"/>
    <w:rsid w:val="00C30C32"/>
    <w:rsid w:val="00C315B7"/>
    <w:rsid w:val="00C345FA"/>
    <w:rsid w:val="00C34841"/>
    <w:rsid w:val="00C35A38"/>
    <w:rsid w:val="00C37851"/>
    <w:rsid w:val="00C3792D"/>
    <w:rsid w:val="00C4049B"/>
    <w:rsid w:val="00C41511"/>
    <w:rsid w:val="00C416F0"/>
    <w:rsid w:val="00C41AAF"/>
    <w:rsid w:val="00C451A4"/>
    <w:rsid w:val="00C4706F"/>
    <w:rsid w:val="00C52D53"/>
    <w:rsid w:val="00C53A3C"/>
    <w:rsid w:val="00C557B3"/>
    <w:rsid w:val="00C55B7F"/>
    <w:rsid w:val="00C604AA"/>
    <w:rsid w:val="00C623B3"/>
    <w:rsid w:val="00C63B91"/>
    <w:rsid w:val="00C64142"/>
    <w:rsid w:val="00C660A5"/>
    <w:rsid w:val="00C67FF4"/>
    <w:rsid w:val="00C70089"/>
    <w:rsid w:val="00C70859"/>
    <w:rsid w:val="00C73A12"/>
    <w:rsid w:val="00C73A55"/>
    <w:rsid w:val="00C749EB"/>
    <w:rsid w:val="00C74C5D"/>
    <w:rsid w:val="00C76B76"/>
    <w:rsid w:val="00C7779E"/>
    <w:rsid w:val="00C80360"/>
    <w:rsid w:val="00C8086C"/>
    <w:rsid w:val="00C80EC0"/>
    <w:rsid w:val="00C81667"/>
    <w:rsid w:val="00C8598E"/>
    <w:rsid w:val="00C86BAD"/>
    <w:rsid w:val="00C87F5A"/>
    <w:rsid w:val="00C90E31"/>
    <w:rsid w:val="00C9230D"/>
    <w:rsid w:val="00C93419"/>
    <w:rsid w:val="00C93E2E"/>
    <w:rsid w:val="00C93E6B"/>
    <w:rsid w:val="00C942BF"/>
    <w:rsid w:val="00C94ADA"/>
    <w:rsid w:val="00C95682"/>
    <w:rsid w:val="00C95F29"/>
    <w:rsid w:val="00C965B5"/>
    <w:rsid w:val="00C967C1"/>
    <w:rsid w:val="00C9698C"/>
    <w:rsid w:val="00C96ABB"/>
    <w:rsid w:val="00CA110E"/>
    <w:rsid w:val="00CA3C66"/>
    <w:rsid w:val="00CA4C93"/>
    <w:rsid w:val="00CA5ED2"/>
    <w:rsid w:val="00CA7B12"/>
    <w:rsid w:val="00CB1BD9"/>
    <w:rsid w:val="00CB1F31"/>
    <w:rsid w:val="00CB6874"/>
    <w:rsid w:val="00CB6FE8"/>
    <w:rsid w:val="00CB73A1"/>
    <w:rsid w:val="00CB7757"/>
    <w:rsid w:val="00CB797B"/>
    <w:rsid w:val="00CB7E45"/>
    <w:rsid w:val="00CC0ABC"/>
    <w:rsid w:val="00CC38DC"/>
    <w:rsid w:val="00CC38E1"/>
    <w:rsid w:val="00CC4507"/>
    <w:rsid w:val="00CC61D9"/>
    <w:rsid w:val="00CD1176"/>
    <w:rsid w:val="00CD23D3"/>
    <w:rsid w:val="00CD2A1B"/>
    <w:rsid w:val="00CD4F1B"/>
    <w:rsid w:val="00CD5244"/>
    <w:rsid w:val="00CE023D"/>
    <w:rsid w:val="00CE2F10"/>
    <w:rsid w:val="00CE4A5F"/>
    <w:rsid w:val="00CE56C7"/>
    <w:rsid w:val="00CE5A7D"/>
    <w:rsid w:val="00CE5FE4"/>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3670"/>
    <w:rsid w:val="00D23F84"/>
    <w:rsid w:val="00D245B4"/>
    <w:rsid w:val="00D30584"/>
    <w:rsid w:val="00D31FBA"/>
    <w:rsid w:val="00D331C0"/>
    <w:rsid w:val="00D341A8"/>
    <w:rsid w:val="00D35A0D"/>
    <w:rsid w:val="00D375CD"/>
    <w:rsid w:val="00D37C60"/>
    <w:rsid w:val="00D4007E"/>
    <w:rsid w:val="00D40E3A"/>
    <w:rsid w:val="00D42AAB"/>
    <w:rsid w:val="00D42E67"/>
    <w:rsid w:val="00D44ABF"/>
    <w:rsid w:val="00D44BE6"/>
    <w:rsid w:val="00D450B9"/>
    <w:rsid w:val="00D451AD"/>
    <w:rsid w:val="00D4546F"/>
    <w:rsid w:val="00D47474"/>
    <w:rsid w:val="00D55BDA"/>
    <w:rsid w:val="00D55CA3"/>
    <w:rsid w:val="00D56836"/>
    <w:rsid w:val="00D56DAD"/>
    <w:rsid w:val="00D61BA6"/>
    <w:rsid w:val="00D626AF"/>
    <w:rsid w:val="00D626EC"/>
    <w:rsid w:val="00D6386A"/>
    <w:rsid w:val="00D65CDA"/>
    <w:rsid w:val="00D67832"/>
    <w:rsid w:val="00D67BA7"/>
    <w:rsid w:val="00D7042C"/>
    <w:rsid w:val="00D70F98"/>
    <w:rsid w:val="00D7136B"/>
    <w:rsid w:val="00D71DC8"/>
    <w:rsid w:val="00D72DC1"/>
    <w:rsid w:val="00D7506D"/>
    <w:rsid w:val="00D75481"/>
    <w:rsid w:val="00D758C9"/>
    <w:rsid w:val="00D762A0"/>
    <w:rsid w:val="00D76991"/>
    <w:rsid w:val="00D802AB"/>
    <w:rsid w:val="00D81115"/>
    <w:rsid w:val="00D81447"/>
    <w:rsid w:val="00D81989"/>
    <w:rsid w:val="00D82EFC"/>
    <w:rsid w:val="00D830FA"/>
    <w:rsid w:val="00D833D9"/>
    <w:rsid w:val="00D86940"/>
    <w:rsid w:val="00D86944"/>
    <w:rsid w:val="00D87D0E"/>
    <w:rsid w:val="00D913F6"/>
    <w:rsid w:val="00D91758"/>
    <w:rsid w:val="00D91A7C"/>
    <w:rsid w:val="00D92FD4"/>
    <w:rsid w:val="00D9376E"/>
    <w:rsid w:val="00D96153"/>
    <w:rsid w:val="00D96C21"/>
    <w:rsid w:val="00DA18D8"/>
    <w:rsid w:val="00DA286F"/>
    <w:rsid w:val="00DA37F5"/>
    <w:rsid w:val="00DA3E0C"/>
    <w:rsid w:val="00DA66D9"/>
    <w:rsid w:val="00DB0356"/>
    <w:rsid w:val="00DB0A26"/>
    <w:rsid w:val="00DB2767"/>
    <w:rsid w:val="00DB42CC"/>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843"/>
    <w:rsid w:val="00DD0908"/>
    <w:rsid w:val="00DD2076"/>
    <w:rsid w:val="00DD310A"/>
    <w:rsid w:val="00DD335F"/>
    <w:rsid w:val="00DD6866"/>
    <w:rsid w:val="00DD6EC4"/>
    <w:rsid w:val="00DE2CD2"/>
    <w:rsid w:val="00DE3FE2"/>
    <w:rsid w:val="00DE4070"/>
    <w:rsid w:val="00DE4320"/>
    <w:rsid w:val="00DE5995"/>
    <w:rsid w:val="00DE62E3"/>
    <w:rsid w:val="00DF2298"/>
    <w:rsid w:val="00DF2F4E"/>
    <w:rsid w:val="00DF4808"/>
    <w:rsid w:val="00DF4FE6"/>
    <w:rsid w:val="00DF521D"/>
    <w:rsid w:val="00DF6BD2"/>
    <w:rsid w:val="00E013B8"/>
    <w:rsid w:val="00E01FE7"/>
    <w:rsid w:val="00E03A81"/>
    <w:rsid w:val="00E03B08"/>
    <w:rsid w:val="00E045A7"/>
    <w:rsid w:val="00E064B4"/>
    <w:rsid w:val="00E079A2"/>
    <w:rsid w:val="00E1291A"/>
    <w:rsid w:val="00E1339D"/>
    <w:rsid w:val="00E154E9"/>
    <w:rsid w:val="00E200D4"/>
    <w:rsid w:val="00E20745"/>
    <w:rsid w:val="00E20F56"/>
    <w:rsid w:val="00E21497"/>
    <w:rsid w:val="00E23429"/>
    <w:rsid w:val="00E249D6"/>
    <w:rsid w:val="00E24B27"/>
    <w:rsid w:val="00E25099"/>
    <w:rsid w:val="00E25726"/>
    <w:rsid w:val="00E277EE"/>
    <w:rsid w:val="00E3030B"/>
    <w:rsid w:val="00E3089B"/>
    <w:rsid w:val="00E30E34"/>
    <w:rsid w:val="00E3148B"/>
    <w:rsid w:val="00E3170C"/>
    <w:rsid w:val="00E32787"/>
    <w:rsid w:val="00E32F34"/>
    <w:rsid w:val="00E33098"/>
    <w:rsid w:val="00E34628"/>
    <w:rsid w:val="00E356C4"/>
    <w:rsid w:val="00E35760"/>
    <w:rsid w:val="00E35C07"/>
    <w:rsid w:val="00E36D0C"/>
    <w:rsid w:val="00E4016A"/>
    <w:rsid w:val="00E41A4C"/>
    <w:rsid w:val="00E42894"/>
    <w:rsid w:val="00E43C7B"/>
    <w:rsid w:val="00E44084"/>
    <w:rsid w:val="00E468EA"/>
    <w:rsid w:val="00E4693F"/>
    <w:rsid w:val="00E510BB"/>
    <w:rsid w:val="00E514AB"/>
    <w:rsid w:val="00E51E7C"/>
    <w:rsid w:val="00E540BE"/>
    <w:rsid w:val="00E545C5"/>
    <w:rsid w:val="00E551D5"/>
    <w:rsid w:val="00E562D0"/>
    <w:rsid w:val="00E57B2E"/>
    <w:rsid w:val="00E60103"/>
    <w:rsid w:val="00E608E0"/>
    <w:rsid w:val="00E611DC"/>
    <w:rsid w:val="00E61E42"/>
    <w:rsid w:val="00E63869"/>
    <w:rsid w:val="00E6466C"/>
    <w:rsid w:val="00E6699D"/>
    <w:rsid w:val="00E71DC8"/>
    <w:rsid w:val="00E733BD"/>
    <w:rsid w:val="00E73FFD"/>
    <w:rsid w:val="00E74518"/>
    <w:rsid w:val="00E7637A"/>
    <w:rsid w:val="00E763BD"/>
    <w:rsid w:val="00E764AD"/>
    <w:rsid w:val="00E765B2"/>
    <w:rsid w:val="00E8108F"/>
    <w:rsid w:val="00E8187B"/>
    <w:rsid w:val="00E84E8E"/>
    <w:rsid w:val="00E873BD"/>
    <w:rsid w:val="00E92F83"/>
    <w:rsid w:val="00E94195"/>
    <w:rsid w:val="00E94E7E"/>
    <w:rsid w:val="00E9594D"/>
    <w:rsid w:val="00E95B32"/>
    <w:rsid w:val="00E96379"/>
    <w:rsid w:val="00E96AA5"/>
    <w:rsid w:val="00E972D7"/>
    <w:rsid w:val="00EA04FB"/>
    <w:rsid w:val="00EA1A08"/>
    <w:rsid w:val="00EA33B4"/>
    <w:rsid w:val="00EA7F9B"/>
    <w:rsid w:val="00EB0D87"/>
    <w:rsid w:val="00EB0EB3"/>
    <w:rsid w:val="00EB3113"/>
    <w:rsid w:val="00EB37C4"/>
    <w:rsid w:val="00EB4DB2"/>
    <w:rsid w:val="00EB5732"/>
    <w:rsid w:val="00EB65D8"/>
    <w:rsid w:val="00EC0873"/>
    <w:rsid w:val="00EC1104"/>
    <w:rsid w:val="00EC1D94"/>
    <w:rsid w:val="00EC3427"/>
    <w:rsid w:val="00EC35EA"/>
    <w:rsid w:val="00EC5178"/>
    <w:rsid w:val="00EC53EF"/>
    <w:rsid w:val="00EC57FA"/>
    <w:rsid w:val="00EC6584"/>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3B10"/>
    <w:rsid w:val="00EE40AF"/>
    <w:rsid w:val="00EE51E3"/>
    <w:rsid w:val="00EE68A1"/>
    <w:rsid w:val="00EE6DA4"/>
    <w:rsid w:val="00EF1BEF"/>
    <w:rsid w:val="00EF3873"/>
    <w:rsid w:val="00EF440A"/>
    <w:rsid w:val="00EF6537"/>
    <w:rsid w:val="00EF6A4E"/>
    <w:rsid w:val="00F01A8E"/>
    <w:rsid w:val="00F023AA"/>
    <w:rsid w:val="00F04C26"/>
    <w:rsid w:val="00F05650"/>
    <w:rsid w:val="00F063E8"/>
    <w:rsid w:val="00F06704"/>
    <w:rsid w:val="00F11A18"/>
    <w:rsid w:val="00F121C8"/>
    <w:rsid w:val="00F147D9"/>
    <w:rsid w:val="00F15B7E"/>
    <w:rsid w:val="00F162FE"/>
    <w:rsid w:val="00F16BE4"/>
    <w:rsid w:val="00F17D41"/>
    <w:rsid w:val="00F21356"/>
    <w:rsid w:val="00F21A54"/>
    <w:rsid w:val="00F22256"/>
    <w:rsid w:val="00F235E8"/>
    <w:rsid w:val="00F30BBB"/>
    <w:rsid w:val="00F3305C"/>
    <w:rsid w:val="00F33FA3"/>
    <w:rsid w:val="00F34972"/>
    <w:rsid w:val="00F34C47"/>
    <w:rsid w:val="00F3541E"/>
    <w:rsid w:val="00F35BF0"/>
    <w:rsid w:val="00F36447"/>
    <w:rsid w:val="00F40BC2"/>
    <w:rsid w:val="00F423B5"/>
    <w:rsid w:val="00F42749"/>
    <w:rsid w:val="00F43A4A"/>
    <w:rsid w:val="00F440FD"/>
    <w:rsid w:val="00F5116A"/>
    <w:rsid w:val="00F51187"/>
    <w:rsid w:val="00F543BB"/>
    <w:rsid w:val="00F55CB3"/>
    <w:rsid w:val="00F55ED1"/>
    <w:rsid w:val="00F57EAA"/>
    <w:rsid w:val="00F60528"/>
    <w:rsid w:val="00F60580"/>
    <w:rsid w:val="00F607BB"/>
    <w:rsid w:val="00F612C4"/>
    <w:rsid w:val="00F62461"/>
    <w:rsid w:val="00F63479"/>
    <w:rsid w:val="00F63761"/>
    <w:rsid w:val="00F649F6"/>
    <w:rsid w:val="00F64ABC"/>
    <w:rsid w:val="00F66D39"/>
    <w:rsid w:val="00F6733E"/>
    <w:rsid w:val="00F71A57"/>
    <w:rsid w:val="00F71D69"/>
    <w:rsid w:val="00F721AF"/>
    <w:rsid w:val="00F72CB9"/>
    <w:rsid w:val="00F73BA1"/>
    <w:rsid w:val="00F75C4C"/>
    <w:rsid w:val="00F8081B"/>
    <w:rsid w:val="00F80C76"/>
    <w:rsid w:val="00F81520"/>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5A63"/>
    <w:rsid w:val="00F95ED0"/>
    <w:rsid w:val="00F96A79"/>
    <w:rsid w:val="00F9782E"/>
    <w:rsid w:val="00FA1465"/>
    <w:rsid w:val="00FA191F"/>
    <w:rsid w:val="00FA46DC"/>
    <w:rsid w:val="00FA68BF"/>
    <w:rsid w:val="00FB271D"/>
    <w:rsid w:val="00FB4ECA"/>
    <w:rsid w:val="00FB5E75"/>
    <w:rsid w:val="00FB6F89"/>
    <w:rsid w:val="00FB758C"/>
    <w:rsid w:val="00FB7693"/>
    <w:rsid w:val="00FC02A3"/>
    <w:rsid w:val="00FC0A2D"/>
    <w:rsid w:val="00FC0DCF"/>
    <w:rsid w:val="00FC0E39"/>
    <w:rsid w:val="00FC0F0C"/>
    <w:rsid w:val="00FC0FC8"/>
    <w:rsid w:val="00FC24CA"/>
    <w:rsid w:val="00FC32BA"/>
    <w:rsid w:val="00FC3776"/>
    <w:rsid w:val="00FC5094"/>
    <w:rsid w:val="00FC5EBD"/>
    <w:rsid w:val="00FC69AB"/>
    <w:rsid w:val="00FC6D78"/>
    <w:rsid w:val="00FC6EED"/>
    <w:rsid w:val="00FC7D4B"/>
    <w:rsid w:val="00FC7EF6"/>
    <w:rsid w:val="00FD0C11"/>
    <w:rsid w:val="00FD1167"/>
    <w:rsid w:val="00FD13FE"/>
    <w:rsid w:val="00FD1775"/>
    <w:rsid w:val="00FD1DDD"/>
    <w:rsid w:val="00FD21C3"/>
    <w:rsid w:val="00FD3EA8"/>
    <w:rsid w:val="00FD4740"/>
    <w:rsid w:val="00FD4E10"/>
    <w:rsid w:val="00FD6DC0"/>
    <w:rsid w:val="00FE04C4"/>
    <w:rsid w:val="00FE1748"/>
    <w:rsid w:val="00FE2880"/>
    <w:rsid w:val="00FE2DD3"/>
    <w:rsid w:val="00FE36DB"/>
    <w:rsid w:val="00FE3A15"/>
    <w:rsid w:val="00FE7FF8"/>
    <w:rsid w:val="00FF0FD2"/>
    <w:rsid w:val="00FF2E9E"/>
    <w:rsid w:val="00FF4DA5"/>
    <w:rsid w:val="00FF4E9A"/>
    <w:rsid w:val="00FF52B5"/>
    <w:rsid w:val="00FF6290"/>
    <w:rsid w:val="00FF6388"/>
    <w:rsid w:val="00FF6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B0E40D-2296-412A-82F3-16683BD0F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48AF"/>
  </w:style>
  <w:style w:type="paragraph" w:styleId="Heading2">
    <w:name w:val="heading 2"/>
    <w:basedOn w:val="Normal"/>
    <w:next w:val="Normal"/>
    <w:link w:val="Heading2Char"/>
    <w:uiPriority w:val="9"/>
    <w:unhideWhenUsed/>
    <w:qFormat/>
    <w:rsid w:val="00AE48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48AF"/>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uiPriority w:val="39"/>
    <w:rsid w:val="00AE4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E48AF"/>
    <w:pPr>
      <w:spacing w:after="0" w:line="240" w:lineRule="auto"/>
    </w:pPr>
    <w:rPr>
      <w:sz w:val="24"/>
      <w:szCs w:val="24"/>
    </w:rPr>
  </w:style>
  <w:style w:type="character" w:customStyle="1" w:styleId="FootnoteTextChar">
    <w:name w:val="Footnote Text Char"/>
    <w:basedOn w:val="DefaultParagraphFont"/>
    <w:link w:val="FootnoteText"/>
    <w:uiPriority w:val="99"/>
    <w:rsid w:val="00AE48AF"/>
    <w:rPr>
      <w:sz w:val="24"/>
      <w:szCs w:val="24"/>
    </w:rPr>
  </w:style>
  <w:style w:type="character" w:styleId="FootnoteReference">
    <w:name w:val="footnote reference"/>
    <w:basedOn w:val="DefaultParagraphFont"/>
    <w:uiPriority w:val="99"/>
    <w:unhideWhenUsed/>
    <w:rsid w:val="00AE48AF"/>
    <w:rPr>
      <w:vertAlign w:val="superscript"/>
    </w:rPr>
  </w:style>
  <w:style w:type="table" w:styleId="TableGrid">
    <w:name w:val="Table Grid"/>
    <w:basedOn w:val="TableNormal"/>
    <w:uiPriority w:val="39"/>
    <w:rsid w:val="00AE4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rha.org" TargetMode="External"/><Relationship Id="rId13" Type="http://schemas.openxmlformats.org/officeDocument/2006/relationships/hyperlink" Target="https://www.cdc.gov/hai/pdfs/prevent/MDRO-Facility-Assessment_7_28.pdf" TargetMode="External"/><Relationship Id="rId3" Type="http://schemas.openxmlformats.org/officeDocument/2006/relationships/settings" Target="settings.xml"/><Relationship Id="rId7" Type="http://schemas.openxmlformats.org/officeDocument/2006/relationships/hyperlink" Target="http://www.CDC.gov" TargetMode="External"/><Relationship Id="rId12" Type="http://schemas.openxmlformats.org/officeDocument/2006/relationships/hyperlink" Target="https://www.cdc.gov/infectioncontrol/pdf/icar/dialysis.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infectioncontrol/pdf/icar/outpatient.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dc.gov/infectioncontrol/pdf/icar/ltcf.pdf" TargetMode="External"/><Relationship Id="rId4" Type="http://schemas.openxmlformats.org/officeDocument/2006/relationships/webSettings" Target="webSettings.xml"/><Relationship Id="rId9" Type="http://schemas.openxmlformats.org/officeDocument/2006/relationships/hyperlink" Target="https://www.cdc.gov/infectioncontrol/pdf/icar/hospital.pdf" TargetMode="External"/><Relationship Id="rId14" Type="http://schemas.openxmlformats.org/officeDocument/2006/relationships/hyperlink" Target="https://www.cdc.gov/hai/pdfs/bsi/checklist-for-CLABS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5658</Words>
  <Characters>32251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cp:revision>
  <dcterms:created xsi:type="dcterms:W3CDTF">2018-05-18T20:51:00Z</dcterms:created>
  <dcterms:modified xsi:type="dcterms:W3CDTF">2018-05-18T20:52:00Z</dcterms:modified>
</cp:coreProperties>
</file>