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60F2" w:rsidRPr="000260F2" w:rsidRDefault="000260F2" w:rsidP="00703A5E">
      <w:pPr>
        <w:spacing w:after="160" w:line="259" w:lineRule="auto"/>
        <w:rPr>
          <w:rFonts w:asciiTheme="minorHAnsi" w:hAnsiTheme="minorHAnsi" w:cstheme="minorHAnsi"/>
          <w:b/>
          <w:color w:val="000000" w:themeColor="text1"/>
          <w:sz w:val="32"/>
          <w:szCs w:val="32"/>
          <w:u w:val="single"/>
        </w:rPr>
      </w:pPr>
      <w:r w:rsidRPr="000260F2">
        <w:rPr>
          <w:rFonts w:asciiTheme="minorHAnsi" w:hAnsiTheme="minorHAnsi" w:cstheme="minorHAnsi"/>
          <w:b/>
          <w:color w:val="000000" w:themeColor="text1"/>
          <w:sz w:val="32"/>
          <w:szCs w:val="32"/>
          <w:u w:val="single"/>
        </w:rPr>
        <w:t xml:space="preserve">CONFIDENTIAL DRAFT, NOT FOR PUBLIC RELEASE. </w:t>
      </w:r>
    </w:p>
    <w:p w:rsidR="000260F2" w:rsidRDefault="000260F2" w:rsidP="00703A5E">
      <w:pPr>
        <w:spacing w:after="160" w:line="259" w:lineRule="auto"/>
        <w:rPr>
          <w:rFonts w:asciiTheme="minorHAnsi" w:hAnsiTheme="minorHAnsi" w:cstheme="minorHAnsi"/>
          <w:b/>
          <w:color w:val="000000" w:themeColor="text1"/>
          <w:sz w:val="24"/>
          <w:szCs w:val="24"/>
          <w:u w:val="single"/>
        </w:rPr>
      </w:pPr>
    </w:p>
    <w:p w:rsidR="00525ED3" w:rsidRPr="00703A5E" w:rsidRDefault="00F652AD" w:rsidP="00703A5E">
      <w:pPr>
        <w:spacing w:after="160" w:line="259" w:lineRule="auto"/>
        <w:rPr>
          <w:b/>
          <w:color w:val="000000" w:themeColor="text1"/>
          <w:sz w:val="24"/>
          <w:szCs w:val="24"/>
          <w:u w:val="single"/>
        </w:rPr>
      </w:pPr>
      <w:r w:rsidRPr="00091489">
        <w:rPr>
          <w:rFonts w:asciiTheme="minorHAnsi" w:hAnsiTheme="minorHAnsi" w:cstheme="minorHAnsi"/>
          <w:b/>
          <w:color w:val="000000" w:themeColor="text1"/>
          <w:sz w:val="24"/>
          <w:szCs w:val="24"/>
          <w:u w:val="single"/>
        </w:rPr>
        <w:t>Abstract</w:t>
      </w:r>
      <w:bookmarkStart w:id="0" w:name="_GoBack"/>
      <w:bookmarkEnd w:id="0"/>
    </w:p>
    <w:p w:rsidR="00F652AD" w:rsidRPr="00F652AD" w:rsidRDefault="00F652AD" w:rsidP="00A84D70">
      <w:pPr>
        <w:spacing w:line="480" w:lineRule="auto"/>
        <w:rPr>
          <w:color w:val="000000" w:themeColor="text1"/>
          <w:sz w:val="24"/>
          <w:szCs w:val="24"/>
        </w:rPr>
      </w:pPr>
      <w:r w:rsidRPr="00F652AD">
        <w:rPr>
          <w:b/>
          <w:i/>
          <w:color w:val="000000" w:themeColor="text1"/>
          <w:sz w:val="24"/>
          <w:szCs w:val="24"/>
        </w:rPr>
        <w:t xml:space="preserve">Background. </w:t>
      </w:r>
      <w:r w:rsidRPr="00F652AD">
        <w:rPr>
          <w:color w:val="000000" w:themeColor="text1"/>
          <w:sz w:val="24"/>
          <w:szCs w:val="24"/>
        </w:rPr>
        <w:t>Nontuberculous mycobacteria</w:t>
      </w:r>
      <w:r w:rsidR="00432B8C">
        <w:rPr>
          <w:color w:val="000000" w:themeColor="text1"/>
          <w:sz w:val="24"/>
          <w:szCs w:val="24"/>
        </w:rPr>
        <w:t xml:space="preserve"> (NTM)</w:t>
      </w:r>
      <w:r w:rsidRPr="00F652AD">
        <w:rPr>
          <w:color w:val="000000" w:themeColor="text1"/>
          <w:sz w:val="24"/>
          <w:szCs w:val="24"/>
        </w:rPr>
        <w:t xml:space="preserve"> are an important cause of morbidity and mortality in the U.S., yet not much is known about the prevalence and risk factors. It is tho</w:t>
      </w:r>
      <w:r w:rsidR="00432B8C">
        <w:rPr>
          <w:color w:val="000000" w:themeColor="text1"/>
          <w:sz w:val="24"/>
          <w:szCs w:val="24"/>
        </w:rPr>
        <w:t>ught to be increasing and most</w:t>
      </w:r>
      <w:r w:rsidRPr="00F652AD">
        <w:rPr>
          <w:color w:val="000000" w:themeColor="text1"/>
          <w:sz w:val="24"/>
          <w:szCs w:val="24"/>
        </w:rPr>
        <w:t xml:space="preserve"> commonly found in women and older adults. The objectives of this project were to estimate the burden of NTM in Nebraska and to describe the patterns of NTM infection including location, species, specimen source, and patient demographic characteristics. </w:t>
      </w:r>
    </w:p>
    <w:p w:rsidR="00F652AD" w:rsidRPr="00F652AD" w:rsidRDefault="00F652AD" w:rsidP="00A84D70">
      <w:pPr>
        <w:spacing w:line="480" w:lineRule="auto"/>
        <w:rPr>
          <w:color w:val="000000" w:themeColor="text1"/>
          <w:sz w:val="24"/>
          <w:szCs w:val="24"/>
        </w:rPr>
      </w:pPr>
      <w:r w:rsidRPr="00F652AD">
        <w:rPr>
          <w:b/>
          <w:i/>
          <w:color w:val="000000" w:themeColor="text1"/>
          <w:sz w:val="24"/>
          <w:szCs w:val="24"/>
        </w:rPr>
        <w:t xml:space="preserve">Methods. </w:t>
      </w:r>
      <w:r w:rsidRPr="00F652AD">
        <w:rPr>
          <w:color w:val="000000" w:themeColor="text1"/>
          <w:sz w:val="24"/>
          <w:szCs w:val="24"/>
        </w:rPr>
        <w:t xml:space="preserve">The National Electronic Disease Surveillance System was searched for all NTM infections reported from 2012-2017. Cases were classified as either pulmonary or </w:t>
      </w:r>
      <w:proofErr w:type="spellStart"/>
      <w:r w:rsidRPr="00F652AD">
        <w:rPr>
          <w:color w:val="000000" w:themeColor="text1"/>
          <w:sz w:val="24"/>
          <w:szCs w:val="24"/>
        </w:rPr>
        <w:t>nonpulmonary</w:t>
      </w:r>
      <w:proofErr w:type="spellEnd"/>
      <w:r w:rsidRPr="00F652AD">
        <w:rPr>
          <w:color w:val="000000" w:themeColor="text1"/>
          <w:sz w:val="24"/>
          <w:szCs w:val="24"/>
        </w:rPr>
        <w:t xml:space="preserve"> and available information was assessed including age, gender, and species type.</w:t>
      </w:r>
    </w:p>
    <w:p w:rsidR="00F652AD" w:rsidRPr="00F652AD" w:rsidRDefault="00F652AD" w:rsidP="00A84D70">
      <w:pPr>
        <w:spacing w:line="480" w:lineRule="auto"/>
        <w:rPr>
          <w:color w:val="000000" w:themeColor="text1"/>
          <w:sz w:val="24"/>
          <w:szCs w:val="24"/>
        </w:rPr>
      </w:pPr>
      <w:r w:rsidRPr="00F652AD">
        <w:rPr>
          <w:b/>
          <w:i/>
          <w:color w:val="000000" w:themeColor="text1"/>
          <w:sz w:val="24"/>
          <w:szCs w:val="24"/>
        </w:rPr>
        <w:t xml:space="preserve">Results. </w:t>
      </w:r>
      <w:r w:rsidRPr="00F652AD">
        <w:rPr>
          <w:color w:val="000000" w:themeColor="text1"/>
          <w:sz w:val="24"/>
          <w:szCs w:val="24"/>
        </w:rPr>
        <w:t xml:space="preserve">759 cases of NTM infection in Nebraska were identified over the six-year period. The annualized isolation rate was 6.16 cases per 100,000 population. The overall isolation rate decreased over the study period, however, there was an increase in </w:t>
      </w:r>
      <w:proofErr w:type="spellStart"/>
      <w:r w:rsidRPr="00F652AD">
        <w:rPr>
          <w:color w:val="000000" w:themeColor="text1"/>
          <w:sz w:val="24"/>
          <w:szCs w:val="24"/>
        </w:rPr>
        <w:t>nonpulmonary</w:t>
      </w:r>
      <w:proofErr w:type="spellEnd"/>
      <w:r w:rsidRPr="00F652AD">
        <w:rPr>
          <w:color w:val="000000" w:themeColor="text1"/>
          <w:sz w:val="24"/>
          <w:szCs w:val="24"/>
        </w:rPr>
        <w:t xml:space="preserve"> isolates. </w:t>
      </w:r>
      <w:proofErr w:type="spellStart"/>
      <w:r w:rsidRPr="00F652AD">
        <w:rPr>
          <w:color w:val="000000" w:themeColor="text1"/>
          <w:sz w:val="24"/>
          <w:szCs w:val="24"/>
        </w:rPr>
        <w:t>Nonpulmonary</w:t>
      </w:r>
      <w:proofErr w:type="spellEnd"/>
      <w:r w:rsidRPr="00F652AD">
        <w:rPr>
          <w:color w:val="000000" w:themeColor="text1"/>
          <w:sz w:val="24"/>
          <w:szCs w:val="24"/>
        </w:rPr>
        <w:t xml:space="preserve"> cases predominated (54%) and </w:t>
      </w:r>
      <w:r w:rsidRPr="00F652AD">
        <w:rPr>
          <w:i/>
          <w:color w:val="000000" w:themeColor="text1"/>
          <w:sz w:val="24"/>
          <w:szCs w:val="24"/>
        </w:rPr>
        <w:t xml:space="preserve">Mycobacterium Avium </w:t>
      </w:r>
      <w:proofErr w:type="spellStart"/>
      <w:r w:rsidRPr="00F652AD">
        <w:rPr>
          <w:i/>
          <w:color w:val="000000" w:themeColor="text1"/>
          <w:sz w:val="24"/>
          <w:szCs w:val="24"/>
        </w:rPr>
        <w:t>Intracellulare</w:t>
      </w:r>
      <w:proofErr w:type="spellEnd"/>
      <w:r w:rsidRPr="00F652AD">
        <w:rPr>
          <w:i/>
          <w:color w:val="000000" w:themeColor="text1"/>
          <w:sz w:val="24"/>
          <w:szCs w:val="24"/>
        </w:rPr>
        <w:t xml:space="preserve"> </w:t>
      </w:r>
      <w:r w:rsidRPr="00F652AD">
        <w:rPr>
          <w:color w:val="000000" w:themeColor="text1"/>
          <w:sz w:val="24"/>
          <w:szCs w:val="24"/>
        </w:rPr>
        <w:t xml:space="preserve">was the most common species identified. </w:t>
      </w:r>
    </w:p>
    <w:p w:rsidR="00F652AD" w:rsidRPr="00ED5021" w:rsidRDefault="00F652AD" w:rsidP="00A84D70">
      <w:pPr>
        <w:spacing w:line="480" w:lineRule="auto"/>
        <w:rPr>
          <w:color w:val="000000" w:themeColor="text1"/>
          <w:sz w:val="24"/>
          <w:szCs w:val="24"/>
        </w:rPr>
      </w:pPr>
      <w:r w:rsidRPr="00F652AD">
        <w:rPr>
          <w:b/>
          <w:i/>
          <w:color w:val="000000" w:themeColor="text1"/>
          <w:sz w:val="24"/>
          <w:szCs w:val="24"/>
        </w:rPr>
        <w:t xml:space="preserve">Conclusions. </w:t>
      </w:r>
      <w:proofErr w:type="spellStart"/>
      <w:r w:rsidRPr="00F652AD">
        <w:rPr>
          <w:color w:val="000000" w:themeColor="text1"/>
          <w:sz w:val="24"/>
          <w:szCs w:val="24"/>
        </w:rPr>
        <w:t>Nonpulmonary</w:t>
      </w:r>
      <w:proofErr w:type="spellEnd"/>
      <w:r w:rsidRPr="00F652AD">
        <w:rPr>
          <w:color w:val="000000" w:themeColor="text1"/>
          <w:sz w:val="24"/>
          <w:szCs w:val="24"/>
        </w:rPr>
        <w:t xml:space="preserve"> NTM may be a more important cause of disease than previously recognized. The differing trends in pulmonary and </w:t>
      </w:r>
      <w:proofErr w:type="spellStart"/>
      <w:r w:rsidRPr="00F652AD">
        <w:rPr>
          <w:color w:val="000000" w:themeColor="text1"/>
          <w:sz w:val="24"/>
          <w:szCs w:val="24"/>
        </w:rPr>
        <w:t>nonpulmonary</w:t>
      </w:r>
      <w:proofErr w:type="spellEnd"/>
      <w:r w:rsidRPr="00F652AD">
        <w:rPr>
          <w:color w:val="000000" w:themeColor="text1"/>
          <w:sz w:val="24"/>
          <w:szCs w:val="24"/>
        </w:rPr>
        <w:t xml:space="preserve"> NTM isolation indicate a difference in disease and associated risk factors. </w:t>
      </w:r>
      <w:r w:rsidR="00ED5021" w:rsidRPr="001D55A1">
        <w:rPr>
          <w:color w:val="000000" w:themeColor="text1"/>
          <w:sz w:val="24"/>
          <w:szCs w:val="24"/>
        </w:rPr>
        <w:t>These results</w:t>
      </w:r>
      <w:r w:rsidR="00ED5021">
        <w:rPr>
          <w:color w:val="000000" w:themeColor="text1"/>
          <w:sz w:val="24"/>
          <w:szCs w:val="24"/>
        </w:rPr>
        <w:t xml:space="preserve"> may be indicative of a decrease in reporting or testing of pulmonary isolates in Nebraska. </w:t>
      </w:r>
      <w:r w:rsidRPr="00F652AD">
        <w:rPr>
          <w:color w:val="000000" w:themeColor="text1"/>
          <w:sz w:val="24"/>
          <w:szCs w:val="24"/>
        </w:rPr>
        <w:t>Further efforts to monitor disease trends and differences in risk factors should be undertaken.</w:t>
      </w:r>
      <w:r w:rsidRPr="00F652AD">
        <w:rPr>
          <w:b/>
          <w:color w:val="000000" w:themeColor="text1"/>
          <w:sz w:val="24"/>
          <w:szCs w:val="24"/>
          <w:u w:val="single"/>
        </w:rPr>
        <w:br w:type="page"/>
      </w:r>
    </w:p>
    <w:p w:rsidR="00F652AD" w:rsidRPr="00091489" w:rsidRDefault="00F652AD" w:rsidP="00091489">
      <w:pPr>
        <w:pStyle w:val="Heading1"/>
        <w:spacing w:before="0" w:line="480" w:lineRule="auto"/>
        <w:rPr>
          <w:rFonts w:asciiTheme="minorHAnsi" w:hAnsiTheme="minorHAnsi" w:cstheme="minorHAnsi"/>
          <w:b/>
          <w:color w:val="000000" w:themeColor="text1"/>
          <w:sz w:val="24"/>
          <w:szCs w:val="24"/>
          <w:u w:val="single"/>
        </w:rPr>
      </w:pPr>
      <w:r w:rsidRPr="00091489">
        <w:rPr>
          <w:rFonts w:asciiTheme="minorHAnsi" w:hAnsiTheme="minorHAnsi" w:cstheme="minorHAnsi"/>
          <w:b/>
          <w:color w:val="000000" w:themeColor="text1"/>
          <w:sz w:val="24"/>
          <w:szCs w:val="24"/>
          <w:u w:val="single"/>
        </w:rPr>
        <w:lastRenderedPageBreak/>
        <w:t>Introduction</w:t>
      </w:r>
    </w:p>
    <w:p w:rsidR="00C70642" w:rsidRPr="00C70642" w:rsidRDefault="00C70642" w:rsidP="00C70642">
      <w:pPr>
        <w:spacing w:line="480" w:lineRule="auto"/>
        <w:rPr>
          <w:b/>
          <w:color w:val="000000" w:themeColor="text1"/>
          <w:sz w:val="24"/>
          <w:szCs w:val="24"/>
          <w:u w:val="single"/>
        </w:rPr>
      </w:pPr>
      <w:r w:rsidRPr="00C70642">
        <w:rPr>
          <w:b/>
          <w:color w:val="000000" w:themeColor="text1"/>
          <w:sz w:val="24"/>
          <w:szCs w:val="24"/>
          <w:u w:val="single"/>
        </w:rPr>
        <w:t>Epidemiology of NTM</w:t>
      </w:r>
    </w:p>
    <w:p w:rsidR="00F652AD" w:rsidRPr="00F652AD" w:rsidRDefault="00F652AD" w:rsidP="00F652AD">
      <w:pPr>
        <w:spacing w:line="480" w:lineRule="auto"/>
        <w:ind w:firstLine="720"/>
        <w:rPr>
          <w:color w:val="000000" w:themeColor="text1"/>
          <w:sz w:val="24"/>
          <w:szCs w:val="24"/>
        </w:rPr>
      </w:pPr>
      <w:r w:rsidRPr="00F652AD">
        <w:rPr>
          <w:color w:val="000000" w:themeColor="text1"/>
          <w:sz w:val="24"/>
          <w:szCs w:val="24"/>
        </w:rPr>
        <w:t xml:space="preserve">The </w:t>
      </w:r>
      <w:r w:rsidR="00837173">
        <w:rPr>
          <w:color w:val="000000" w:themeColor="text1"/>
          <w:sz w:val="24"/>
          <w:szCs w:val="24"/>
        </w:rPr>
        <w:t>burden</w:t>
      </w:r>
      <w:r w:rsidRPr="00F652AD">
        <w:rPr>
          <w:color w:val="000000" w:themeColor="text1"/>
          <w:sz w:val="24"/>
          <w:szCs w:val="24"/>
        </w:rPr>
        <w:t xml:space="preserve"> of disease due to NTM in the United States is unknown, however, experts believe that </w:t>
      </w:r>
      <w:r w:rsidR="002E6657">
        <w:rPr>
          <w:color w:val="000000" w:themeColor="text1"/>
          <w:sz w:val="24"/>
          <w:szCs w:val="24"/>
        </w:rPr>
        <w:t>it</w:t>
      </w:r>
      <w:r w:rsidR="00542C20" w:rsidRPr="008512EB">
        <w:rPr>
          <w:color w:val="000000" w:themeColor="text1"/>
          <w:sz w:val="24"/>
          <w:szCs w:val="24"/>
        </w:rPr>
        <w:t xml:space="preserve"> </w:t>
      </w:r>
      <w:r w:rsidRPr="008512EB">
        <w:rPr>
          <w:color w:val="000000" w:themeColor="text1"/>
          <w:sz w:val="24"/>
          <w:szCs w:val="24"/>
        </w:rPr>
        <w:t xml:space="preserve">is increasing </w:t>
      </w:r>
      <w:r w:rsidRPr="00F652AD">
        <w:rPr>
          <w:color w:val="000000" w:themeColor="text1"/>
          <w:sz w:val="24"/>
          <w:szCs w:val="24"/>
        </w:rPr>
        <w:t xml:space="preserve">(Cassidy et al., 2009; Griffith, 2017; Griffith et al., 2007; </w:t>
      </w:r>
      <w:proofErr w:type="spellStart"/>
      <w:r w:rsidRPr="00F652AD">
        <w:rPr>
          <w:rFonts w:eastAsia="Times New Roman" w:cs="Arial"/>
          <w:color w:val="000000" w:themeColor="text1"/>
          <w:sz w:val="24"/>
          <w:szCs w:val="24"/>
          <w:shd w:val="clear" w:color="auto" w:fill="FFFFFF"/>
        </w:rPr>
        <w:t>Henkle</w:t>
      </w:r>
      <w:proofErr w:type="spellEnd"/>
      <w:r w:rsidRPr="00F652AD">
        <w:rPr>
          <w:rFonts w:eastAsia="Times New Roman" w:cs="Arial"/>
          <w:color w:val="000000" w:themeColor="text1"/>
          <w:sz w:val="24"/>
          <w:szCs w:val="24"/>
          <w:shd w:val="clear" w:color="auto" w:fill="FFFFFF"/>
        </w:rPr>
        <w:t xml:space="preserve">, Hedberg, Schafer, </w:t>
      </w:r>
      <w:proofErr w:type="spellStart"/>
      <w:r w:rsidRPr="00F652AD">
        <w:rPr>
          <w:rFonts w:eastAsia="Times New Roman" w:cs="Arial"/>
          <w:color w:val="000000" w:themeColor="text1"/>
          <w:sz w:val="24"/>
          <w:szCs w:val="24"/>
          <w:shd w:val="clear" w:color="auto" w:fill="FFFFFF"/>
        </w:rPr>
        <w:t>Novosad</w:t>
      </w:r>
      <w:proofErr w:type="spellEnd"/>
      <w:r w:rsidRPr="00F652AD">
        <w:rPr>
          <w:rFonts w:eastAsia="Times New Roman" w:cs="Arial"/>
          <w:color w:val="000000" w:themeColor="text1"/>
          <w:sz w:val="24"/>
          <w:szCs w:val="24"/>
          <w:shd w:val="clear" w:color="auto" w:fill="FFFFFF"/>
        </w:rPr>
        <w:t xml:space="preserve">, &amp; Winthrop, 2015; </w:t>
      </w:r>
      <w:proofErr w:type="spellStart"/>
      <w:r w:rsidRPr="00F652AD">
        <w:rPr>
          <w:rFonts w:eastAsia="Times New Roman" w:cs="Arial"/>
          <w:color w:val="000000" w:themeColor="text1"/>
          <w:sz w:val="24"/>
          <w:szCs w:val="24"/>
          <w:shd w:val="clear" w:color="auto" w:fill="FFFFFF"/>
        </w:rPr>
        <w:t>Prevots</w:t>
      </w:r>
      <w:proofErr w:type="spellEnd"/>
      <w:r w:rsidRPr="00F652AD">
        <w:rPr>
          <w:rFonts w:eastAsia="Times New Roman" w:cs="Arial"/>
          <w:color w:val="000000" w:themeColor="text1"/>
          <w:sz w:val="24"/>
          <w:szCs w:val="24"/>
          <w:shd w:val="clear" w:color="auto" w:fill="FFFFFF"/>
        </w:rPr>
        <w:t xml:space="preserve"> &amp; </w:t>
      </w:r>
      <w:proofErr w:type="spellStart"/>
      <w:r w:rsidRPr="00F652AD">
        <w:rPr>
          <w:rFonts w:eastAsia="Times New Roman" w:cs="Arial"/>
          <w:color w:val="000000" w:themeColor="text1"/>
          <w:sz w:val="24"/>
          <w:szCs w:val="24"/>
          <w:shd w:val="clear" w:color="auto" w:fill="FFFFFF"/>
        </w:rPr>
        <w:t>Marras</w:t>
      </w:r>
      <w:proofErr w:type="spellEnd"/>
      <w:r w:rsidRPr="00F652AD">
        <w:rPr>
          <w:rFonts w:eastAsia="Times New Roman" w:cs="Arial"/>
          <w:color w:val="000000" w:themeColor="text1"/>
          <w:sz w:val="24"/>
          <w:szCs w:val="24"/>
          <w:shd w:val="clear" w:color="auto" w:fill="FFFFFF"/>
        </w:rPr>
        <w:t>, 2015</w:t>
      </w:r>
      <w:r w:rsidRPr="00F652AD">
        <w:rPr>
          <w:color w:val="000000" w:themeColor="text1"/>
          <w:sz w:val="24"/>
          <w:szCs w:val="24"/>
        </w:rPr>
        <w:t xml:space="preserve">). </w:t>
      </w:r>
      <w:r w:rsidR="0002350B">
        <w:rPr>
          <w:color w:val="000000" w:themeColor="text1"/>
          <w:sz w:val="24"/>
          <w:szCs w:val="24"/>
        </w:rPr>
        <w:t>Annual rates</w:t>
      </w:r>
      <w:r w:rsidRPr="008512EB">
        <w:rPr>
          <w:color w:val="000000" w:themeColor="text1"/>
          <w:sz w:val="24"/>
          <w:szCs w:val="24"/>
        </w:rPr>
        <w:t xml:space="preserve"> </w:t>
      </w:r>
      <w:r w:rsidRPr="00F652AD">
        <w:rPr>
          <w:color w:val="000000" w:themeColor="text1"/>
          <w:sz w:val="24"/>
          <w:szCs w:val="24"/>
        </w:rPr>
        <w:t>of</w:t>
      </w:r>
      <w:r w:rsidR="005935DC">
        <w:rPr>
          <w:color w:val="000000" w:themeColor="text1"/>
          <w:sz w:val="24"/>
          <w:szCs w:val="24"/>
        </w:rPr>
        <w:t xml:space="preserve"> pulmonary</w:t>
      </w:r>
      <w:r w:rsidRPr="00F652AD">
        <w:rPr>
          <w:color w:val="000000" w:themeColor="text1"/>
          <w:sz w:val="24"/>
          <w:szCs w:val="24"/>
        </w:rPr>
        <w:t xml:space="preserve"> </w:t>
      </w:r>
      <w:r w:rsidR="0002350B">
        <w:rPr>
          <w:color w:val="000000" w:themeColor="text1"/>
          <w:sz w:val="24"/>
          <w:szCs w:val="24"/>
        </w:rPr>
        <w:t>NTM disease in North America are</w:t>
      </w:r>
      <w:r w:rsidRPr="00F652AD">
        <w:rPr>
          <w:color w:val="000000" w:themeColor="text1"/>
          <w:sz w:val="24"/>
          <w:szCs w:val="24"/>
        </w:rPr>
        <w:t xml:space="preserve"> estimated to range from 5 to 10 per 100,000 persons, but this varies by geographic region (</w:t>
      </w:r>
      <w:proofErr w:type="spellStart"/>
      <w:r w:rsidRPr="00F652AD">
        <w:rPr>
          <w:rFonts w:eastAsia="Times New Roman" w:cs="Arial"/>
          <w:color w:val="000000" w:themeColor="text1"/>
          <w:sz w:val="24"/>
          <w:szCs w:val="24"/>
          <w:shd w:val="clear" w:color="auto" w:fill="FFFFFF"/>
        </w:rPr>
        <w:t>Prevots</w:t>
      </w:r>
      <w:proofErr w:type="spellEnd"/>
      <w:r w:rsidRPr="00F652AD">
        <w:rPr>
          <w:rFonts w:eastAsia="Times New Roman" w:cs="Arial"/>
          <w:color w:val="000000" w:themeColor="text1"/>
          <w:sz w:val="24"/>
          <w:szCs w:val="24"/>
          <w:shd w:val="clear" w:color="auto" w:fill="FFFFFF"/>
        </w:rPr>
        <w:t xml:space="preserve"> &amp; </w:t>
      </w:r>
      <w:proofErr w:type="spellStart"/>
      <w:r w:rsidRPr="00F652AD">
        <w:rPr>
          <w:rFonts w:eastAsia="Times New Roman" w:cs="Arial"/>
          <w:color w:val="000000" w:themeColor="text1"/>
          <w:sz w:val="24"/>
          <w:szCs w:val="24"/>
          <w:shd w:val="clear" w:color="auto" w:fill="FFFFFF"/>
        </w:rPr>
        <w:t>Marras</w:t>
      </w:r>
      <w:proofErr w:type="spellEnd"/>
      <w:r w:rsidRPr="00F652AD">
        <w:rPr>
          <w:rFonts w:eastAsia="Times New Roman" w:cs="Arial"/>
          <w:color w:val="000000" w:themeColor="text1"/>
          <w:sz w:val="24"/>
          <w:szCs w:val="24"/>
          <w:shd w:val="clear" w:color="auto" w:fill="FFFFFF"/>
        </w:rPr>
        <w:t xml:space="preserve">, 2015; </w:t>
      </w:r>
      <w:proofErr w:type="spellStart"/>
      <w:r w:rsidRPr="00F652AD">
        <w:rPr>
          <w:rFonts w:eastAsia="Times New Roman" w:cs="Arial"/>
          <w:color w:val="000000" w:themeColor="text1"/>
          <w:sz w:val="24"/>
          <w:szCs w:val="24"/>
          <w:shd w:val="clear" w:color="auto" w:fill="FFFFFF"/>
        </w:rPr>
        <w:t>Prevots</w:t>
      </w:r>
      <w:proofErr w:type="spellEnd"/>
      <w:r w:rsidRPr="00F652AD">
        <w:rPr>
          <w:rFonts w:eastAsia="Times New Roman" w:cs="Arial"/>
          <w:color w:val="000000" w:themeColor="text1"/>
          <w:sz w:val="24"/>
          <w:szCs w:val="24"/>
          <w:shd w:val="clear" w:color="auto" w:fill="FFFFFF"/>
        </w:rPr>
        <w:t xml:space="preserve"> et al., 2010). </w:t>
      </w:r>
      <w:r w:rsidRPr="00F652AD">
        <w:rPr>
          <w:color w:val="000000" w:themeColor="text1"/>
          <w:sz w:val="24"/>
          <w:szCs w:val="24"/>
        </w:rPr>
        <w:t xml:space="preserve">Population-based data to </w:t>
      </w:r>
      <w:r w:rsidR="00837173">
        <w:rPr>
          <w:color w:val="000000" w:themeColor="text1"/>
          <w:sz w:val="24"/>
          <w:szCs w:val="24"/>
        </w:rPr>
        <w:t>confirm this</w:t>
      </w:r>
      <w:r w:rsidRPr="00F652AD">
        <w:rPr>
          <w:color w:val="000000" w:themeColor="text1"/>
          <w:sz w:val="24"/>
          <w:szCs w:val="24"/>
        </w:rPr>
        <w:t xml:space="preserve"> are </w:t>
      </w:r>
      <w:r w:rsidR="00837173">
        <w:rPr>
          <w:color w:val="000000" w:themeColor="text1"/>
          <w:sz w:val="24"/>
          <w:szCs w:val="24"/>
        </w:rPr>
        <w:t xml:space="preserve">limited </w:t>
      </w:r>
      <w:r w:rsidRPr="00F652AD">
        <w:rPr>
          <w:color w:val="000000" w:themeColor="text1"/>
          <w:sz w:val="24"/>
          <w:szCs w:val="24"/>
        </w:rPr>
        <w:t>due to the lack of a mandate for reporting of laboratory isolation of, or disease due to, nontuberculous mycobacteria in the U.S. (Cassidy et al., 2009). Historically, men comprised a majority of those who were infected with NTM, however, the majorit</w:t>
      </w:r>
      <w:r w:rsidR="00837173">
        <w:rPr>
          <w:color w:val="000000" w:themeColor="text1"/>
          <w:sz w:val="24"/>
          <w:szCs w:val="24"/>
        </w:rPr>
        <w:t>y of NTM infected individuals are</w:t>
      </w:r>
      <w:r w:rsidRPr="00F652AD">
        <w:rPr>
          <w:color w:val="000000" w:themeColor="text1"/>
          <w:sz w:val="24"/>
          <w:szCs w:val="24"/>
        </w:rPr>
        <w:t xml:space="preserve"> currently women (</w:t>
      </w:r>
      <w:r w:rsidRPr="00F652AD">
        <w:rPr>
          <w:rFonts w:eastAsia="Times New Roman"/>
          <w:color w:val="000000" w:themeColor="text1"/>
          <w:sz w:val="24"/>
          <w:szCs w:val="24"/>
          <w:shd w:val="clear" w:color="auto" w:fill="FFFFFF"/>
        </w:rPr>
        <w:t xml:space="preserve">Cassidy et al., 2009; </w:t>
      </w:r>
      <w:proofErr w:type="spellStart"/>
      <w:r w:rsidRPr="00F652AD">
        <w:rPr>
          <w:rFonts w:eastAsia="Times New Roman"/>
          <w:color w:val="000000" w:themeColor="text1"/>
          <w:sz w:val="24"/>
          <w:szCs w:val="24"/>
          <w:shd w:val="clear" w:color="auto" w:fill="FFFFFF"/>
        </w:rPr>
        <w:t>Falkinham</w:t>
      </w:r>
      <w:proofErr w:type="spellEnd"/>
      <w:r w:rsidRPr="00F652AD">
        <w:rPr>
          <w:rFonts w:eastAsia="Times New Roman"/>
          <w:color w:val="000000" w:themeColor="text1"/>
          <w:sz w:val="24"/>
          <w:szCs w:val="24"/>
          <w:shd w:val="clear" w:color="auto" w:fill="FFFFFF"/>
        </w:rPr>
        <w:t>, 2016; Griffith, 2017). Without population-based data,</w:t>
      </w:r>
      <w:r w:rsidRPr="00F652AD">
        <w:rPr>
          <w:color w:val="000000" w:themeColor="text1"/>
          <w:sz w:val="24"/>
          <w:szCs w:val="24"/>
        </w:rPr>
        <w:t xml:space="preserve"> the </w:t>
      </w:r>
      <w:r w:rsidR="00837173">
        <w:rPr>
          <w:color w:val="000000" w:themeColor="text1"/>
          <w:sz w:val="24"/>
          <w:szCs w:val="24"/>
        </w:rPr>
        <w:t>burden of</w:t>
      </w:r>
      <w:r w:rsidRPr="00F652AD">
        <w:rPr>
          <w:color w:val="000000" w:themeColor="text1"/>
          <w:sz w:val="24"/>
          <w:szCs w:val="24"/>
        </w:rPr>
        <w:t xml:space="preserve"> disease due to different NTM species is currently unknown, but the most commonly identified NTM species causing disease in humans in the U.S. are the species of the </w:t>
      </w:r>
      <w:r w:rsidRPr="00F652AD">
        <w:rPr>
          <w:i/>
          <w:color w:val="000000" w:themeColor="text1"/>
          <w:sz w:val="24"/>
          <w:szCs w:val="24"/>
        </w:rPr>
        <w:t>M. avium complex (MAC)</w:t>
      </w:r>
      <w:r w:rsidRPr="00F652AD">
        <w:rPr>
          <w:color w:val="000000" w:themeColor="text1"/>
          <w:sz w:val="24"/>
          <w:szCs w:val="24"/>
        </w:rPr>
        <w:t xml:space="preserve"> and </w:t>
      </w:r>
      <w:r w:rsidRPr="00F652AD">
        <w:rPr>
          <w:i/>
          <w:color w:val="000000" w:themeColor="text1"/>
          <w:sz w:val="24"/>
          <w:szCs w:val="24"/>
        </w:rPr>
        <w:t xml:space="preserve">M. </w:t>
      </w:r>
      <w:proofErr w:type="spellStart"/>
      <w:r w:rsidRPr="00F652AD">
        <w:rPr>
          <w:i/>
          <w:color w:val="000000" w:themeColor="text1"/>
          <w:sz w:val="24"/>
          <w:szCs w:val="24"/>
        </w:rPr>
        <w:t>kansasii</w:t>
      </w:r>
      <w:proofErr w:type="spellEnd"/>
      <w:r w:rsidRPr="00F652AD">
        <w:rPr>
          <w:color w:val="000000" w:themeColor="text1"/>
          <w:sz w:val="24"/>
          <w:szCs w:val="24"/>
        </w:rPr>
        <w:t xml:space="preserve"> (Griffith et al., 2007; Griffith, 2017; </w:t>
      </w:r>
      <w:proofErr w:type="spellStart"/>
      <w:r w:rsidRPr="00F652AD">
        <w:rPr>
          <w:rFonts w:eastAsia="Times New Roman" w:cs="Arial"/>
          <w:color w:val="000000" w:themeColor="text1"/>
          <w:sz w:val="24"/>
          <w:szCs w:val="24"/>
          <w:shd w:val="clear" w:color="auto" w:fill="FFFFFF"/>
        </w:rPr>
        <w:t>Prevots</w:t>
      </w:r>
      <w:proofErr w:type="spellEnd"/>
      <w:r w:rsidRPr="00F652AD">
        <w:rPr>
          <w:rFonts w:eastAsia="Times New Roman" w:cs="Arial"/>
          <w:color w:val="000000" w:themeColor="text1"/>
          <w:sz w:val="24"/>
          <w:szCs w:val="24"/>
          <w:shd w:val="clear" w:color="auto" w:fill="FFFFFF"/>
        </w:rPr>
        <w:t xml:space="preserve"> &amp; </w:t>
      </w:r>
      <w:proofErr w:type="spellStart"/>
      <w:r w:rsidRPr="00F652AD">
        <w:rPr>
          <w:rFonts w:eastAsia="Times New Roman" w:cs="Arial"/>
          <w:color w:val="000000" w:themeColor="text1"/>
          <w:sz w:val="24"/>
          <w:szCs w:val="24"/>
          <w:shd w:val="clear" w:color="auto" w:fill="FFFFFF"/>
        </w:rPr>
        <w:t>Marras</w:t>
      </w:r>
      <w:proofErr w:type="spellEnd"/>
      <w:r w:rsidRPr="00F652AD">
        <w:rPr>
          <w:rFonts w:eastAsia="Times New Roman" w:cs="Arial"/>
          <w:color w:val="000000" w:themeColor="text1"/>
          <w:sz w:val="24"/>
          <w:szCs w:val="24"/>
          <w:shd w:val="clear" w:color="auto" w:fill="FFFFFF"/>
        </w:rPr>
        <w:t>, 2015</w:t>
      </w:r>
      <w:r w:rsidRPr="00F652AD">
        <w:rPr>
          <w:color w:val="000000" w:themeColor="text1"/>
          <w:sz w:val="24"/>
          <w:szCs w:val="24"/>
        </w:rPr>
        <w:t xml:space="preserve">). Other medically important species include </w:t>
      </w:r>
      <w:r w:rsidRPr="00F652AD">
        <w:rPr>
          <w:i/>
          <w:color w:val="000000" w:themeColor="text1"/>
          <w:sz w:val="24"/>
          <w:szCs w:val="24"/>
        </w:rPr>
        <w:t xml:space="preserve">M. chimaera, M. </w:t>
      </w:r>
      <w:proofErr w:type="spellStart"/>
      <w:r w:rsidRPr="00F652AD">
        <w:rPr>
          <w:i/>
          <w:color w:val="000000" w:themeColor="text1"/>
          <w:sz w:val="24"/>
          <w:szCs w:val="24"/>
        </w:rPr>
        <w:t>abscessus</w:t>
      </w:r>
      <w:proofErr w:type="spellEnd"/>
      <w:r w:rsidRPr="00F652AD">
        <w:rPr>
          <w:i/>
          <w:color w:val="000000" w:themeColor="text1"/>
          <w:sz w:val="24"/>
          <w:szCs w:val="24"/>
        </w:rPr>
        <w:t xml:space="preserve">, M. </w:t>
      </w:r>
      <w:proofErr w:type="spellStart"/>
      <w:r w:rsidRPr="00F652AD">
        <w:rPr>
          <w:i/>
          <w:color w:val="000000" w:themeColor="text1"/>
          <w:sz w:val="24"/>
          <w:szCs w:val="24"/>
        </w:rPr>
        <w:t>chelonae</w:t>
      </w:r>
      <w:proofErr w:type="spellEnd"/>
      <w:r w:rsidRPr="00F652AD">
        <w:rPr>
          <w:color w:val="000000" w:themeColor="text1"/>
          <w:sz w:val="24"/>
          <w:szCs w:val="24"/>
        </w:rPr>
        <w:t xml:space="preserve">, and </w:t>
      </w:r>
      <w:r w:rsidRPr="00F652AD">
        <w:rPr>
          <w:i/>
          <w:color w:val="000000" w:themeColor="text1"/>
          <w:sz w:val="24"/>
          <w:szCs w:val="24"/>
        </w:rPr>
        <w:t xml:space="preserve">M. </w:t>
      </w:r>
      <w:proofErr w:type="spellStart"/>
      <w:r w:rsidRPr="00F652AD">
        <w:rPr>
          <w:i/>
          <w:color w:val="000000" w:themeColor="text1"/>
          <w:sz w:val="24"/>
          <w:szCs w:val="24"/>
        </w:rPr>
        <w:t>fortuitum</w:t>
      </w:r>
      <w:proofErr w:type="spellEnd"/>
      <w:r w:rsidRPr="00F652AD">
        <w:rPr>
          <w:color w:val="000000" w:themeColor="text1"/>
          <w:sz w:val="24"/>
          <w:szCs w:val="24"/>
        </w:rPr>
        <w:t xml:space="preserve"> (</w:t>
      </w:r>
      <w:proofErr w:type="spellStart"/>
      <w:r w:rsidRPr="00F652AD">
        <w:rPr>
          <w:color w:val="000000" w:themeColor="text1"/>
          <w:sz w:val="24"/>
          <w:szCs w:val="24"/>
        </w:rPr>
        <w:t>Falkinham</w:t>
      </w:r>
      <w:proofErr w:type="spellEnd"/>
      <w:r w:rsidRPr="00F652AD">
        <w:rPr>
          <w:color w:val="000000" w:themeColor="text1"/>
          <w:sz w:val="24"/>
          <w:szCs w:val="24"/>
        </w:rPr>
        <w:t>, 2016).</w:t>
      </w:r>
    </w:p>
    <w:p w:rsidR="00F652AD" w:rsidRPr="00F652AD" w:rsidRDefault="00F652AD" w:rsidP="00F652AD">
      <w:pPr>
        <w:spacing w:line="480" w:lineRule="auto"/>
        <w:ind w:firstLine="720"/>
        <w:rPr>
          <w:color w:val="000000" w:themeColor="text1"/>
          <w:sz w:val="24"/>
          <w:szCs w:val="24"/>
        </w:rPr>
      </w:pPr>
      <w:r w:rsidRPr="00F652AD">
        <w:rPr>
          <w:color w:val="000000" w:themeColor="text1"/>
          <w:sz w:val="24"/>
          <w:szCs w:val="24"/>
        </w:rPr>
        <w:t>As the prevalence of NTM disease has appeared to increase with no obvious environmental source, experts believe that host factors are of increasing importance in the pathogenesis of NTM infections. Host factors have also been thought to be related to the severity of the disease experienced (</w:t>
      </w:r>
      <w:proofErr w:type="spellStart"/>
      <w:r w:rsidRPr="00F652AD">
        <w:rPr>
          <w:rFonts w:eastAsia="Times New Roman" w:cs="Arial"/>
          <w:color w:val="000000" w:themeColor="text1"/>
          <w:sz w:val="24"/>
          <w:szCs w:val="24"/>
          <w:shd w:val="clear" w:color="auto" w:fill="FFFFFF"/>
        </w:rPr>
        <w:t>Mirsaeidi</w:t>
      </w:r>
      <w:proofErr w:type="spellEnd"/>
      <w:r w:rsidRPr="00F652AD">
        <w:rPr>
          <w:rFonts w:eastAsia="Times New Roman" w:cs="Arial"/>
          <w:color w:val="000000" w:themeColor="text1"/>
          <w:sz w:val="24"/>
          <w:szCs w:val="24"/>
          <w:shd w:val="clear" w:color="auto" w:fill="FFFFFF"/>
        </w:rPr>
        <w:t xml:space="preserve"> et al., 2014). Two major categories of NTM disease are pulmonary and </w:t>
      </w:r>
      <w:proofErr w:type="spellStart"/>
      <w:r w:rsidRPr="00F652AD">
        <w:rPr>
          <w:rFonts w:eastAsia="Times New Roman" w:cs="Arial"/>
          <w:color w:val="000000" w:themeColor="text1"/>
          <w:sz w:val="24"/>
          <w:szCs w:val="24"/>
          <w:shd w:val="clear" w:color="auto" w:fill="FFFFFF"/>
        </w:rPr>
        <w:t>nonpulmonary</w:t>
      </w:r>
      <w:proofErr w:type="spellEnd"/>
      <w:r w:rsidRPr="00F652AD">
        <w:rPr>
          <w:rFonts w:eastAsia="Times New Roman" w:cs="Arial"/>
          <w:color w:val="000000" w:themeColor="text1"/>
          <w:sz w:val="24"/>
          <w:szCs w:val="24"/>
          <w:shd w:val="clear" w:color="auto" w:fill="FFFFFF"/>
        </w:rPr>
        <w:t xml:space="preserve">. </w:t>
      </w:r>
      <w:r w:rsidRPr="00F652AD">
        <w:rPr>
          <w:color w:val="000000" w:themeColor="text1"/>
          <w:sz w:val="24"/>
          <w:szCs w:val="24"/>
        </w:rPr>
        <w:t>There are a fe</w:t>
      </w:r>
      <w:r w:rsidR="00837173">
        <w:rPr>
          <w:color w:val="000000" w:themeColor="text1"/>
          <w:sz w:val="24"/>
          <w:szCs w:val="24"/>
        </w:rPr>
        <w:t>w groups of individuals that have been found to be</w:t>
      </w:r>
      <w:r w:rsidRPr="00F652AD">
        <w:rPr>
          <w:color w:val="000000" w:themeColor="text1"/>
          <w:sz w:val="24"/>
          <w:szCs w:val="24"/>
        </w:rPr>
        <w:t xml:space="preserve"> at a particularly heightened risk for pulmonary NTM disease (</w:t>
      </w:r>
      <w:proofErr w:type="spellStart"/>
      <w:r w:rsidRPr="00F652AD">
        <w:rPr>
          <w:rFonts w:eastAsia="Times New Roman"/>
          <w:color w:val="000000" w:themeColor="text1"/>
          <w:sz w:val="24"/>
          <w:szCs w:val="24"/>
          <w:shd w:val="clear" w:color="auto" w:fill="FFFFFF"/>
        </w:rPr>
        <w:t>Falkinham</w:t>
      </w:r>
      <w:proofErr w:type="spellEnd"/>
      <w:r w:rsidRPr="00F652AD">
        <w:rPr>
          <w:rFonts w:eastAsia="Times New Roman"/>
          <w:color w:val="000000" w:themeColor="text1"/>
          <w:sz w:val="24"/>
          <w:szCs w:val="24"/>
          <w:shd w:val="clear" w:color="auto" w:fill="FFFFFF"/>
        </w:rPr>
        <w:t xml:space="preserve">, 2016; Griffith, 2017). The first high-risk </w:t>
      </w:r>
      <w:r w:rsidRPr="00F652AD">
        <w:rPr>
          <w:rFonts w:eastAsia="Times New Roman"/>
          <w:color w:val="000000" w:themeColor="text1"/>
          <w:sz w:val="24"/>
          <w:szCs w:val="24"/>
          <w:shd w:val="clear" w:color="auto" w:fill="FFFFFF"/>
        </w:rPr>
        <w:lastRenderedPageBreak/>
        <w:t xml:space="preserve">group includes older men who are smokers and heavy alcohol drinkers. This group is at increased risk of developing NTM pulmonary infection </w:t>
      </w:r>
      <w:r w:rsidRPr="00F652AD">
        <w:rPr>
          <w:color w:val="000000" w:themeColor="text1"/>
          <w:sz w:val="24"/>
          <w:szCs w:val="24"/>
        </w:rPr>
        <w:t>(</w:t>
      </w:r>
      <w:proofErr w:type="spellStart"/>
      <w:r w:rsidRPr="00F652AD">
        <w:rPr>
          <w:rFonts w:eastAsia="Times New Roman"/>
          <w:color w:val="000000" w:themeColor="text1"/>
          <w:sz w:val="24"/>
          <w:szCs w:val="24"/>
          <w:shd w:val="clear" w:color="auto" w:fill="FFFFFF"/>
        </w:rPr>
        <w:t>Falkinham</w:t>
      </w:r>
      <w:proofErr w:type="spellEnd"/>
      <w:r w:rsidRPr="00F652AD">
        <w:rPr>
          <w:rFonts w:eastAsia="Times New Roman"/>
          <w:color w:val="000000" w:themeColor="text1"/>
          <w:sz w:val="24"/>
          <w:szCs w:val="24"/>
          <w:shd w:val="clear" w:color="auto" w:fill="FFFFFF"/>
        </w:rPr>
        <w:t xml:space="preserve">, 2016; Griffith, 2017). The second group also involves older men who suffer extensive lung damage from occupational exposures to dusts. These individuals can include, but are not limited to, miners and farmers </w:t>
      </w:r>
      <w:r w:rsidRPr="00F652AD">
        <w:rPr>
          <w:color w:val="000000" w:themeColor="text1"/>
          <w:sz w:val="24"/>
          <w:szCs w:val="24"/>
        </w:rPr>
        <w:t>(</w:t>
      </w:r>
      <w:proofErr w:type="spellStart"/>
      <w:r w:rsidRPr="00F652AD">
        <w:rPr>
          <w:rFonts w:eastAsia="Times New Roman"/>
          <w:color w:val="000000" w:themeColor="text1"/>
          <w:sz w:val="24"/>
          <w:szCs w:val="24"/>
          <w:shd w:val="clear" w:color="auto" w:fill="FFFFFF"/>
        </w:rPr>
        <w:t>Falkinham</w:t>
      </w:r>
      <w:proofErr w:type="spellEnd"/>
      <w:r w:rsidRPr="00F652AD">
        <w:rPr>
          <w:rFonts w:eastAsia="Times New Roman"/>
          <w:color w:val="000000" w:themeColor="text1"/>
          <w:sz w:val="24"/>
          <w:szCs w:val="24"/>
          <w:shd w:val="clear" w:color="auto" w:fill="FFFFFF"/>
        </w:rPr>
        <w:t xml:space="preserve">, 2016). A third population group with higher risk of NTM pulmonary disease are thin (BMI &lt; 20), older women above the age of 50 years </w:t>
      </w:r>
      <w:r w:rsidRPr="00F652AD">
        <w:rPr>
          <w:color w:val="000000" w:themeColor="text1"/>
          <w:sz w:val="24"/>
          <w:szCs w:val="24"/>
        </w:rPr>
        <w:t>(</w:t>
      </w:r>
      <w:proofErr w:type="spellStart"/>
      <w:r w:rsidRPr="00F652AD">
        <w:rPr>
          <w:rFonts w:eastAsia="Times New Roman"/>
          <w:color w:val="000000" w:themeColor="text1"/>
          <w:sz w:val="24"/>
          <w:szCs w:val="24"/>
          <w:shd w:val="clear" w:color="auto" w:fill="FFFFFF"/>
        </w:rPr>
        <w:t>Falkinham</w:t>
      </w:r>
      <w:proofErr w:type="spellEnd"/>
      <w:r w:rsidRPr="00F652AD">
        <w:rPr>
          <w:rFonts w:eastAsia="Times New Roman"/>
          <w:color w:val="000000" w:themeColor="text1"/>
          <w:sz w:val="24"/>
          <w:szCs w:val="24"/>
          <w:shd w:val="clear" w:color="auto" w:fill="FFFFFF"/>
        </w:rPr>
        <w:t xml:space="preserve">, 2016; </w:t>
      </w:r>
      <w:r w:rsidRPr="00F652AD">
        <w:rPr>
          <w:color w:val="000000" w:themeColor="text1"/>
          <w:sz w:val="24"/>
          <w:szCs w:val="24"/>
        </w:rPr>
        <w:t xml:space="preserve">Griffith, 2017; </w:t>
      </w:r>
      <w:proofErr w:type="spellStart"/>
      <w:r w:rsidRPr="00F652AD">
        <w:rPr>
          <w:rFonts w:eastAsia="Times New Roman" w:cs="Arial"/>
          <w:color w:val="000000" w:themeColor="text1"/>
          <w:sz w:val="24"/>
          <w:szCs w:val="24"/>
          <w:shd w:val="clear" w:color="auto" w:fill="FFFFFF"/>
        </w:rPr>
        <w:t>Prevots</w:t>
      </w:r>
      <w:proofErr w:type="spellEnd"/>
      <w:r w:rsidRPr="00F652AD">
        <w:rPr>
          <w:rFonts w:eastAsia="Times New Roman" w:cs="Arial"/>
          <w:color w:val="000000" w:themeColor="text1"/>
          <w:sz w:val="24"/>
          <w:szCs w:val="24"/>
          <w:shd w:val="clear" w:color="auto" w:fill="FFFFFF"/>
        </w:rPr>
        <w:t xml:space="preserve"> &amp; </w:t>
      </w:r>
      <w:proofErr w:type="spellStart"/>
      <w:r w:rsidRPr="00F652AD">
        <w:rPr>
          <w:rFonts w:eastAsia="Times New Roman" w:cs="Arial"/>
          <w:color w:val="000000" w:themeColor="text1"/>
          <w:sz w:val="24"/>
          <w:szCs w:val="24"/>
          <w:shd w:val="clear" w:color="auto" w:fill="FFFFFF"/>
        </w:rPr>
        <w:t>Marras</w:t>
      </w:r>
      <w:proofErr w:type="spellEnd"/>
      <w:r w:rsidRPr="00F652AD">
        <w:rPr>
          <w:rFonts w:eastAsia="Times New Roman" w:cs="Arial"/>
          <w:color w:val="000000" w:themeColor="text1"/>
          <w:sz w:val="24"/>
          <w:szCs w:val="24"/>
          <w:shd w:val="clear" w:color="auto" w:fill="FFFFFF"/>
        </w:rPr>
        <w:t>, 2015</w:t>
      </w:r>
      <w:r w:rsidRPr="00F652AD">
        <w:rPr>
          <w:rFonts w:eastAsia="Times New Roman"/>
          <w:color w:val="000000" w:themeColor="text1"/>
          <w:sz w:val="24"/>
          <w:szCs w:val="24"/>
          <w:shd w:val="clear" w:color="auto" w:fill="FFFFFF"/>
        </w:rPr>
        <w:t>). These women are generally nonsmokers with no underlying lung disease (</w:t>
      </w:r>
      <w:r w:rsidRPr="00F652AD">
        <w:rPr>
          <w:color w:val="000000" w:themeColor="text1"/>
          <w:sz w:val="24"/>
          <w:szCs w:val="24"/>
        </w:rPr>
        <w:t xml:space="preserve">Griffith, 2017). </w:t>
      </w:r>
      <w:r w:rsidR="00837173">
        <w:rPr>
          <w:color w:val="000000" w:themeColor="text1"/>
          <w:sz w:val="24"/>
          <w:szCs w:val="24"/>
        </w:rPr>
        <w:t xml:space="preserve">Immunodeficiency has been found to be a risk factor of </w:t>
      </w:r>
      <w:proofErr w:type="spellStart"/>
      <w:r w:rsidR="00837173">
        <w:rPr>
          <w:color w:val="000000" w:themeColor="text1"/>
          <w:sz w:val="24"/>
          <w:szCs w:val="24"/>
        </w:rPr>
        <w:t>nonpulmonary</w:t>
      </w:r>
      <w:proofErr w:type="spellEnd"/>
      <w:r w:rsidR="00837173">
        <w:rPr>
          <w:color w:val="000000" w:themeColor="text1"/>
          <w:sz w:val="24"/>
          <w:szCs w:val="24"/>
        </w:rPr>
        <w:t xml:space="preserve"> disease, most often resulting in disseminated disease</w:t>
      </w:r>
      <w:r w:rsidRPr="00F652AD">
        <w:rPr>
          <w:color w:val="000000" w:themeColor="text1"/>
          <w:sz w:val="24"/>
          <w:szCs w:val="24"/>
        </w:rPr>
        <w:t xml:space="preserve"> (</w:t>
      </w:r>
      <w:proofErr w:type="spellStart"/>
      <w:r w:rsidRPr="00F652AD">
        <w:rPr>
          <w:rFonts w:eastAsia="Times New Roman"/>
          <w:color w:val="000000" w:themeColor="text1"/>
          <w:sz w:val="24"/>
          <w:szCs w:val="24"/>
          <w:shd w:val="clear" w:color="auto" w:fill="FFFFFF"/>
        </w:rPr>
        <w:t>Falkinham</w:t>
      </w:r>
      <w:proofErr w:type="spellEnd"/>
      <w:r w:rsidRPr="00F652AD">
        <w:rPr>
          <w:rFonts w:eastAsia="Times New Roman"/>
          <w:color w:val="000000" w:themeColor="text1"/>
          <w:sz w:val="24"/>
          <w:szCs w:val="24"/>
          <w:shd w:val="clear" w:color="auto" w:fill="FFFFFF"/>
        </w:rPr>
        <w:t xml:space="preserve">, 2016; </w:t>
      </w:r>
      <w:r w:rsidRPr="00F652AD">
        <w:rPr>
          <w:color w:val="000000" w:themeColor="text1"/>
          <w:sz w:val="24"/>
          <w:szCs w:val="24"/>
        </w:rPr>
        <w:t>Griffith, 2017). Comorbidities are commonly found in patients with pulmonary nontuberculous mycobacteria disease. Among these comorbidities include Human Immunodeficiency Virus (HIV), Chronic Obstructive Pulmonary Disease (COPD), bronchiectasis, and cystic fibrosis (</w:t>
      </w:r>
      <w:proofErr w:type="spellStart"/>
      <w:r w:rsidRPr="00F652AD">
        <w:rPr>
          <w:rFonts w:eastAsia="Times New Roman" w:cs="Arial"/>
          <w:color w:val="000000" w:themeColor="text1"/>
          <w:sz w:val="24"/>
          <w:szCs w:val="24"/>
          <w:shd w:val="clear" w:color="auto" w:fill="FFFFFF"/>
        </w:rPr>
        <w:t>Mirsaeidi</w:t>
      </w:r>
      <w:proofErr w:type="spellEnd"/>
      <w:r w:rsidRPr="00F652AD">
        <w:rPr>
          <w:rFonts w:eastAsia="Times New Roman" w:cs="Arial"/>
          <w:color w:val="000000" w:themeColor="text1"/>
          <w:sz w:val="24"/>
          <w:szCs w:val="24"/>
          <w:shd w:val="clear" w:color="auto" w:fill="FFFFFF"/>
        </w:rPr>
        <w:t xml:space="preserve"> et al., 2014; </w:t>
      </w:r>
      <w:proofErr w:type="spellStart"/>
      <w:r w:rsidRPr="00F652AD">
        <w:rPr>
          <w:color w:val="000000" w:themeColor="text1"/>
          <w:sz w:val="24"/>
          <w:szCs w:val="24"/>
        </w:rPr>
        <w:t>Prevots</w:t>
      </w:r>
      <w:proofErr w:type="spellEnd"/>
      <w:r w:rsidRPr="00F652AD">
        <w:rPr>
          <w:color w:val="000000" w:themeColor="text1"/>
          <w:sz w:val="24"/>
          <w:szCs w:val="24"/>
        </w:rPr>
        <w:t xml:space="preserve"> et al., 2010).</w:t>
      </w:r>
    </w:p>
    <w:p w:rsidR="00F652AD" w:rsidRDefault="00F652AD" w:rsidP="00F652AD">
      <w:pPr>
        <w:spacing w:line="480" w:lineRule="auto"/>
        <w:ind w:firstLine="720"/>
        <w:rPr>
          <w:color w:val="000000" w:themeColor="text1"/>
          <w:sz w:val="24"/>
          <w:szCs w:val="24"/>
        </w:rPr>
      </w:pPr>
      <w:proofErr w:type="spellStart"/>
      <w:r w:rsidRPr="00F652AD">
        <w:rPr>
          <w:color w:val="000000" w:themeColor="text1"/>
          <w:sz w:val="24"/>
          <w:szCs w:val="24"/>
        </w:rPr>
        <w:t>Nonpulmonary</w:t>
      </w:r>
      <w:proofErr w:type="spellEnd"/>
      <w:r w:rsidRPr="00F652AD">
        <w:rPr>
          <w:color w:val="000000" w:themeColor="text1"/>
          <w:sz w:val="24"/>
          <w:szCs w:val="24"/>
        </w:rPr>
        <w:t xml:space="preserve"> NTM infections </w:t>
      </w:r>
      <w:r w:rsidR="00AB42A6">
        <w:rPr>
          <w:color w:val="000000" w:themeColor="text1"/>
          <w:sz w:val="24"/>
          <w:szCs w:val="24"/>
        </w:rPr>
        <w:t xml:space="preserve">often </w:t>
      </w:r>
      <w:r w:rsidRPr="00F652AD">
        <w:rPr>
          <w:color w:val="000000" w:themeColor="text1"/>
          <w:sz w:val="24"/>
          <w:szCs w:val="24"/>
        </w:rPr>
        <w:t xml:space="preserve">occur in normally sterile body sites and are a cause of both sporadic and healthcare associated infections (Bancroft et al., 2017). </w:t>
      </w:r>
      <w:proofErr w:type="spellStart"/>
      <w:r w:rsidRPr="00F652AD">
        <w:rPr>
          <w:color w:val="000000" w:themeColor="text1"/>
          <w:sz w:val="24"/>
          <w:szCs w:val="24"/>
        </w:rPr>
        <w:t>Nonpulmonary</w:t>
      </w:r>
      <w:proofErr w:type="spellEnd"/>
      <w:r w:rsidRPr="00F652AD">
        <w:rPr>
          <w:color w:val="000000" w:themeColor="text1"/>
          <w:sz w:val="24"/>
          <w:szCs w:val="24"/>
        </w:rPr>
        <w:t xml:space="preserve"> NTM infections typically present clinically as superficial lymphadenitis, disseminated disease, and skin and soft tissue infections (Bancroft et al., 2017; Griffith, 2017). Cases of superficial lymphadenitis primarily occur in children (ages 1 to 5 years) and most often present as cervical lymphadenitis (</w:t>
      </w:r>
      <w:proofErr w:type="spellStart"/>
      <w:r w:rsidRPr="00F652AD">
        <w:rPr>
          <w:color w:val="000000" w:themeColor="text1"/>
          <w:sz w:val="24"/>
          <w:szCs w:val="24"/>
        </w:rPr>
        <w:t>Piersimoni</w:t>
      </w:r>
      <w:proofErr w:type="spellEnd"/>
      <w:r w:rsidRPr="00F652AD">
        <w:rPr>
          <w:color w:val="000000" w:themeColor="text1"/>
          <w:sz w:val="24"/>
          <w:szCs w:val="24"/>
        </w:rPr>
        <w:t xml:space="preserve"> &amp; </w:t>
      </w:r>
      <w:proofErr w:type="spellStart"/>
      <w:r w:rsidRPr="00F652AD">
        <w:rPr>
          <w:color w:val="000000" w:themeColor="text1"/>
          <w:sz w:val="24"/>
          <w:szCs w:val="24"/>
        </w:rPr>
        <w:t>Scarparo</w:t>
      </w:r>
      <w:proofErr w:type="spellEnd"/>
      <w:r w:rsidRPr="00F652AD">
        <w:rPr>
          <w:color w:val="000000" w:themeColor="text1"/>
          <w:sz w:val="24"/>
          <w:szCs w:val="24"/>
        </w:rPr>
        <w:t xml:space="preserve">, 2009). These cases are most frequently caused by </w:t>
      </w:r>
      <w:r w:rsidRPr="00F652AD">
        <w:rPr>
          <w:i/>
          <w:color w:val="000000" w:themeColor="text1"/>
          <w:sz w:val="24"/>
          <w:szCs w:val="24"/>
        </w:rPr>
        <w:t>M. avium complex</w:t>
      </w:r>
      <w:r w:rsidRPr="00F652AD">
        <w:rPr>
          <w:color w:val="000000" w:themeColor="text1"/>
          <w:sz w:val="24"/>
          <w:szCs w:val="24"/>
        </w:rPr>
        <w:t xml:space="preserve"> and </w:t>
      </w:r>
      <w:r w:rsidRPr="00F652AD">
        <w:rPr>
          <w:i/>
          <w:color w:val="000000" w:themeColor="text1"/>
          <w:sz w:val="24"/>
          <w:szCs w:val="24"/>
        </w:rPr>
        <w:t xml:space="preserve">M. </w:t>
      </w:r>
      <w:proofErr w:type="spellStart"/>
      <w:r w:rsidRPr="00F652AD">
        <w:rPr>
          <w:i/>
          <w:color w:val="000000" w:themeColor="text1"/>
          <w:sz w:val="24"/>
          <w:szCs w:val="24"/>
        </w:rPr>
        <w:t>scrofulaceum</w:t>
      </w:r>
      <w:proofErr w:type="spellEnd"/>
      <w:r w:rsidRPr="00F652AD">
        <w:rPr>
          <w:color w:val="000000" w:themeColor="text1"/>
          <w:sz w:val="24"/>
          <w:szCs w:val="24"/>
        </w:rPr>
        <w:t xml:space="preserve"> in the U.S. (Bancroft et al., 2017; Griffith 2017; </w:t>
      </w:r>
      <w:proofErr w:type="spellStart"/>
      <w:r w:rsidRPr="00F652AD">
        <w:rPr>
          <w:color w:val="000000" w:themeColor="text1"/>
          <w:sz w:val="24"/>
          <w:szCs w:val="24"/>
        </w:rPr>
        <w:t>Piersimoni</w:t>
      </w:r>
      <w:proofErr w:type="spellEnd"/>
      <w:r w:rsidRPr="00F652AD">
        <w:rPr>
          <w:color w:val="000000" w:themeColor="text1"/>
          <w:sz w:val="24"/>
          <w:szCs w:val="24"/>
        </w:rPr>
        <w:t xml:space="preserve"> &amp; </w:t>
      </w:r>
      <w:proofErr w:type="spellStart"/>
      <w:r w:rsidRPr="00F652AD">
        <w:rPr>
          <w:color w:val="000000" w:themeColor="text1"/>
          <w:sz w:val="24"/>
          <w:szCs w:val="24"/>
        </w:rPr>
        <w:t>Scarparo</w:t>
      </w:r>
      <w:proofErr w:type="spellEnd"/>
      <w:r w:rsidRPr="00F652AD">
        <w:rPr>
          <w:color w:val="000000" w:themeColor="text1"/>
          <w:sz w:val="24"/>
          <w:szCs w:val="24"/>
        </w:rPr>
        <w:t>, 2009). Patients impacted by lymphadenitis are generally otherwise healthy and clinically present with a chronic neck mass (</w:t>
      </w:r>
      <w:proofErr w:type="spellStart"/>
      <w:r w:rsidRPr="00F652AD">
        <w:rPr>
          <w:color w:val="000000" w:themeColor="text1"/>
          <w:sz w:val="24"/>
          <w:szCs w:val="24"/>
        </w:rPr>
        <w:t>Piersimoni</w:t>
      </w:r>
      <w:proofErr w:type="spellEnd"/>
      <w:r w:rsidRPr="00F652AD">
        <w:rPr>
          <w:color w:val="000000" w:themeColor="text1"/>
          <w:sz w:val="24"/>
          <w:szCs w:val="24"/>
        </w:rPr>
        <w:t xml:space="preserve"> &amp; </w:t>
      </w:r>
      <w:proofErr w:type="spellStart"/>
      <w:r w:rsidRPr="00F652AD">
        <w:rPr>
          <w:color w:val="000000" w:themeColor="text1"/>
          <w:sz w:val="24"/>
          <w:szCs w:val="24"/>
        </w:rPr>
        <w:t>Scarparo</w:t>
      </w:r>
      <w:proofErr w:type="spellEnd"/>
      <w:r w:rsidRPr="00F652AD">
        <w:rPr>
          <w:color w:val="000000" w:themeColor="text1"/>
          <w:sz w:val="24"/>
          <w:szCs w:val="24"/>
        </w:rPr>
        <w:t xml:space="preserve">, 2009). Disseminated disease primarily affects severely immunocompromised patients and is believed to arise from infection of a mucosal surface and </w:t>
      </w:r>
      <w:r w:rsidRPr="00F652AD">
        <w:rPr>
          <w:color w:val="000000" w:themeColor="text1"/>
          <w:sz w:val="24"/>
          <w:szCs w:val="24"/>
        </w:rPr>
        <w:lastRenderedPageBreak/>
        <w:t>subsequent local multiplication and entry into the bloodstream (Bancroft et al., 2017; Griffith 2017). Cases of NTM impacting the musculoskeletal system are rare, however, they do occur from both rapidly and slow growing species in the bones and joints (</w:t>
      </w:r>
      <w:proofErr w:type="spellStart"/>
      <w:r w:rsidRPr="00F652AD">
        <w:rPr>
          <w:color w:val="000000" w:themeColor="text1"/>
          <w:sz w:val="24"/>
          <w:szCs w:val="24"/>
        </w:rPr>
        <w:t>Piersimoni</w:t>
      </w:r>
      <w:proofErr w:type="spellEnd"/>
      <w:r w:rsidRPr="00F652AD">
        <w:rPr>
          <w:color w:val="000000" w:themeColor="text1"/>
          <w:sz w:val="24"/>
          <w:szCs w:val="24"/>
        </w:rPr>
        <w:t xml:space="preserve"> &amp; </w:t>
      </w:r>
      <w:proofErr w:type="spellStart"/>
      <w:r w:rsidRPr="00F652AD">
        <w:rPr>
          <w:color w:val="000000" w:themeColor="text1"/>
          <w:sz w:val="24"/>
          <w:szCs w:val="24"/>
        </w:rPr>
        <w:t>Scarparo</w:t>
      </w:r>
      <w:proofErr w:type="spellEnd"/>
      <w:r w:rsidRPr="00F652AD">
        <w:rPr>
          <w:color w:val="000000" w:themeColor="text1"/>
          <w:sz w:val="24"/>
          <w:szCs w:val="24"/>
        </w:rPr>
        <w:t xml:space="preserve">, 2009). Lastly, skin and soft tissue </w:t>
      </w:r>
      <w:r w:rsidR="00AB42A6">
        <w:rPr>
          <w:color w:val="000000" w:themeColor="text1"/>
          <w:sz w:val="24"/>
          <w:szCs w:val="24"/>
        </w:rPr>
        <w:t>infection can also occur,</w:t>
      </w:r>
      <w:r w:rsidRPr="00F652AD">
        <w:rPr>
          <w:color w:val="000000" w:themeColor="text1"/>
          <w:sz w:val="24"/>
          <w:szCs w:val="24"/>
        </w:rPr>
        <w:t xml:space="preserve"> most often as a result of direct inoculation (Griffith, 201</w:t>
      </w:r>
      <w:r w:rsidR="00AB42A6">
        <w:rPr>
          <w:color w:val="000000" w:themeColor="text1"/>
          <w:sz w:val="24"/>
          <w:szCs w:val="24"/>
        </w:rPr>
        <w:t>7). Cutaneous NTM infections have also been</w:t>
      </w:r>
      <w:r w:rsidRPr="00F652AD">
        <w:rPr>
          <w:color w:val="000000" w:themeColor="text1"/>
          <w:sz w:val="24"/>
          <w:szCs w:val="24"/>
        </w:rPr>
        <w:t xml:space="preserve"> found in immunocompromised patients, as well as in immunocompetent persons resulting from a traumatic injury, surgery, or cosmetic procedures (</w:t>
      </w:r>
      <w:proofErr w:type="spellStart"/>
      <w:r w:rsidRPr="00F652AD">
        <w:rPr>
          <w:color w:val="000000" w:themeColor="text1"/>
          <w:sz w:val="24"/>
          <w:szCs w:val="24"/>
        </w:rPr>
        <w:t>Piersimoni</w:t>
      </w:r>
      <w:proofErr w:type="spellEnd"/>
      <w:r w:rsidRPr="00F652AD">
        <w:rPr>
          <w:color w:val="000000" w:themeColor="text1"/>
          <w:sz w:val="24"/>
          <w:szCs w:val="24"/>
        </w:rPr>
        <w:t xml:space="preserve"> &amp; </w:t>
      </w:r>
      <w:proofErr w:type="spellStart"/>
      <w:r w:rsidRPr="00F652AD">
        <w:rPr>
          <w:color w:val="000000" w:themeColor="text1"/>
          <w:sz w:val="24"/>
          <w:szCs w:val="24"/>
        </w:rPr>
        <w:t>Scarparo</w:t>
      </w:r>
      <w:proofErr w:type="spellEnd"/>
      <w:r w:rsidRPr="00F652AD">
        <w:rPr>
          <w:color w:val="000000" w:themeColor="text1"/>
          <w:sz w:val="24"/>
          <w:szCs w:val="24"/>
        </w:rPr>
        <w:t xml:space="preserve">, 2009; Wentworth, </w:t>
      </w:r>
      <w:proofErr w:type="spellStart"/>
      <w:r w:rsidRPr="00F652AD">
        <w:rPr>
          <w:color w:val="000000" w:themeColor="text1"/>
          <w:sz w:val="24"/>
          <w:szCs w:val="24"/>
        </w:rPr>
        <w:t>Wengenack</w:t>
      </w:r>
      <w:proofErr w:type="spellEnd"/>
      <w:r w:rsidRPr="00F652AD">
        <w:rPr>
          <w:color w:val="000000" w:themeColor="text1"/>
          <w:sz w:val="24"/>
          <w:szCs w:val="24"/>
        </w:rPr>
        <w:t>, Wilson, &amp; Lohse, 2013).</w:t>
      </w:r>
    </w:p>
    <w:p w:rsidR="00C70642" w:rsidRPr="00C70642" w:rsidRDefault="00C70642" w:rsidP="00C70642">
      <w:pPr>
        <w:spacing w:line="480" w:lineRule="auto"/>
        <w:rPr>
          <w:b/>
          <w:color w:val="000000" w:themeColor="text1"/>
          <w:sz w:val="24"/>
          <w:szCs w:val="24"/>
          <w:u w:val="single"/>
        </w:rPr>
      </w:pPr>
      <w:r w:rsidRPr="00C70642">
        <w:rPr>
          <w:b/>
          <w:color w:val="000000" w:themeColor="text1"/>
          <w:sz w:val="24"/>
          <w:szCs w:val="24"/>
          <w:u w:val="single"/>
        </w:rPr>
        <w:t>Healthcare Associated Infections</w:t>
      </w:r>
    </w:p>
    <w:p w:rsidR="00F652AD" w:rsidRPr="00F652AD" w:rsidRDefault="00F652AD" w:rsidP="00F652AD">
      <w:pPr>
        <w:spacing w:line="480" w:lineRule="auto"/>
        <w:ind w:firstLine="720"/>
        <w:rPr>
          <w:color w:val="000000" w:themeColor="text1"/>
          <w:sz w:val="24"/>
          <w:szCs w:val="24"/>
        </w:rPr>
      </w:pPr>
      <w:r w:rsidRPr="00F652AD">
        <w:rPr>
          <w:color w:val="000000" w:themeColor="text1"/>
          <w:sz w:val="24"/>
          <w:szCs w:val="24"/>
        </w:rPr>
        <w:t xml:space="preserve">There is evidence of healthcare associated NTM infections involving hematopoietic stem cell transplant recipients, cardiac surgery, dialysis, injections, plastic surgery, liposuction, LASIK, long-term central intravenous catheters, and a variety of surgical procedures (Baker et al., 2017; Bancroft et al., 2017; Griffith et al., 2007; Li et al., 2017). </w:t>
      </w:r>
      <w:r w:rsidR="00AB42A6">
        <w:rPr>
          <w:color w:val="000000" w:themeColor="text1"/>
          <w:sz w:val="24"/>
          <w:szCs w:val="24"/>
        </w:rPr>
        <w:t>Previously documented</w:t>
      </w:r>
      <w:r w:rsidRPr="00F652AD">
        <w:rPr>
          <w:color w:val="000000" w:themeColor="text1"/>
          <w:sz w:val="24"/>
          <w:szCs w:val="24"/>
        </w:rPr>
        <w:t xml:space="preserve"> sources o</w:t>
      </w:r>
      <w:r w:rsidR="00AB42A6">
        <w:rPr>
          <w:color w:val="000000" w:themeColor="text1"/>
          <w:sz w:val="24"/>
          <w:szCs w:val="24"/>
        </w:rPr>
        <w:t>f NTM in healthcare settings include</w:t>
      </w:r>
      <w:r w:rsidRPr="00F652AD">
        <w:rPr>
          <w:color w:val="000000" w:themeColor="text1"/>
          <w:sz w:val="24"/>
          <w:szCs w:val="24"/>
        </w:rPr>
        <w:t xml:space="preserve"> tap water, ice made from tap water, distilled water used for preparing solutions, and processed tap water used for dialysis (Griffith et al., 2007).  From a systematic review of NTM infections from healthcare facility water systems, Li et al. found that the median attack rate of patients infected per patients exposed to NTM in health care settings was 12.1% and that the most affected populations include the immunocompromised, post-surgical and hemodialysis patients (Li et al., 2017).</w:t>
      </w:r>
    </w:p>
    <w:p w:rsidR="00F652AD" w:rsidRPr="00F652AD" w:rsidRDefault="00AB42A6" w:rsidP="00AB42A6">
      <w:pPr>
        <w:spacing w:line="480" w:lineRule="auto"/>
        <w:ind w:firstLine="720"/>
        <w:rPr>
          <w:color w:val="000000" w:themeColor="text1"/>
          <w:sz w:val="24"/>
          <w:szCs w:val="24"/>
        </w:rPr>
      </w:pPr>
      <w:r>
        <w:rPr>
          <w:color w:val="000000" w:themeColor="text1"/>
          <w:sz w:val="24"/>
          <w:szCs w:val="24"/>
        </w:rPr>
        <w:t>R</w:t>
      </w:r>
      <w:r w:rsidR="00F652AD" w:rsidRPr="00F652AD">
        <w:rPr>
          <w:color w:val="000000" w:themeColor="text1"/>
          <w:sz w:val="24"/>
          <w:szCs w:val="24"/>
        </w:rPr>
        <w:t>ecent</w:t>
      </w:r>
      <w:r>
        <w:rPr>
          <w:color w:val="000000" w:themeColor="text1"/>
          <w:sz w:val="24"/>
          <w:szCs w:val="24"/>
        </w:rPr>
        <w:t>ly, a notable</w:t>
      </w:r>
      <w:r w:rsidR="00F652AD" w:rsidRPr="00F652AD">
        <w:rPr>
          <w:color w:val="000000" w:themeColor="text1"/>
          <w:sz w:val="24"/>
          <w:szCs w:val="24"/>
        </w:rPr>
        <w:t xml:space="preserve"> outbreak of </w:t>
      </w:r>
      <w:proofErr w:type="spellStart"/>
      <w:r w:rsidR="00F652AD" w:rsidRPr="00F652AD">
        <w:rPr>
          <w:color w:val="000000" w:themeColor="text1"/>
          <w:sz w:val="24"/>
          <w:szCs w:val="24"/>
        </w:rPr>
        <w:t>nonpulmonary</w:t>
      </w:r>
      <w:proofErr w:type="spellEnd"/>
      <w:r w:rsidR="00F652AD" w:rsidRPr="00F652AD">
        <w:rPr>
          <w:color w:val="000000" w:themeColor="text1"/>
          <w:sz w:val="24"/>
          <w:szCs w:val="24"/>
        </w:rPr>
        <w:t xml:space="preserve"> invasive NTM i</w:t>
      </w:r>
      <w:r>
        <w:rPr>
          <w:color w:val="000000" w:themeColor="text1"/>
          <w:sz w:val="24"/>
          <w:szCs w:val="24"/>
        </w:rPr>
        <w:t>nfection</w:t>
      </w:r>
      <w:r w:rsidR="00F652AD" w:rsidRPr="00F652AD">
        <w:rPr>
          <w:color w:val="000000" w:themeColor="text1"/>
          <w:sz w:val="24"/>
          <w:szCs w:val="24"/>
        </w:rPr>
        <w:t xml:space="preserve"> occurred among hospital patients who underwent cardiopulmonary bypass during cardiac surgery</w:t>
      </w:r>
      <w:r>
        <w:rPr>
          <w:color w:val="000000" w:themeColor="text1"/>
          <w:sz w:val="24"/>
          <w:szCs w:val="24"/>
        </w:rPr>
        <w:t xml:space="preserve">. This was hypothesized to be </w:t>
      </w:r>
      <w:r w:rsidR="00F652AD" w:rsidRPr="00F652AD">
        <w:rPr>
          <w:color w:val="000000" w:themeColor="text1"/>
          <w:sz w:val="24"/>
          <w:szCs w:val="24"/>
        </w:rPr>
        <w:t xml:space="preserve">due to aerosols generated from colonized heater-cooler units (Baker et al., 2017). The primary organism responsible for NTM contamination in heater-cooler devices is the </w:t>
      </w:r>
      <w:r w:rsidR="00F652AD" w:rsidRPr="00F652AD">
        <w:rPr>
          <w:color w:val="000000" w:themeColor="text1"/>
          <w:sz w:val="24"/>
          <w:szCs w:val="24"/>
        </w:rPr>
        <w:lastRenderedPageBreak/>
        <w:t xml:space="preserve">slow-growing </w:t>
      </w:r>
      <w:r w:rsidR="00F652AD" w:rsidRPr="00F652AD">
        <w:rPr>
          <w:i/>
          <w:color w:val="000000" w:themeColor="text1"/>
          <w:sz w:val="24"/>
          <w:szCs w:val="24"/>
        </w:rPr>
        <w:t>M. chimaera</w:t>
      </w:r>
      <w:r w:rsidR="00F652AD" w:rsidRPr="00F652AD">
        <w:rPr>
          <w:color w:val="000000" w:themeColor="text1"/>
          <w:sz w:val="24"/>
          <w:szCs w:val="24"/>
        </w:rPr>
        <w:t xml:space="preserve"> (</w:t>
      </w:r>
      <w:proofErr w:type="spellStart"/>
      <w:r w:rsidR="00F652AD" w:rsidRPr="00F652AD">
        <w:rPr>
          <w:rFonts w:eastAsia="Times New Roman"/>
          <w:color w:val="000000" w:themeColor="text1"/>
          <w:sz w:val="24"/>
          <w:szCs w:val="24"/>
          <w:shd w:val="clear" w:color="auto" w:fill="FFFFFF"/>
        </w:rPr>
        <w:t>Ninh</w:t>
      </w:r>
      <w:proofErr w:type="spellEnd"/>
      <w:r w:rsidR="00F652AD" w:rsidRPr="00F652AD">
        <w:rPr>
          <w:rFonts w:eastAsia="Times New Roman"/>
          <w:color w:val="000000" w:themeColor="text1"/>
          <w:sz w:val="24"/>
          <w:szCs w:val="24"/>
          <w:shd w:val="clear" w:color="auto" w:fill="FFFFFF"/>
        </w:rPr>
        <w:t xml:space="preserve">, Weiner, &amp; Goldberg, 2017). Positive </w:t>
      </w:r>
      <w:r w:rsidR="00F652AD" w:rsidRPr="00F652AD">
        <w:rPr>
          <w:rFonts w:eastAsia="Times New Roman"/>
          <w:i/>
          <w:color w:val="000000" w:themeColor="text1"/>
          <w:sz w:val="24"/>
          <w:szCs w:val="24"/>
          <w:shd w:val="clear" w:color="auto" w:fill="FFFFFF"/>
        </w:rPr>
        <w:t>M. chimaera</w:t>
      </w:r>
      <w:r w:rsidR="00F652AD" w:rsidRPr="00F652AD">
        <w:rPr>
          <w:rFonts w:eastAsia="Times New Roman"/>
          <w:color w:val="000000" w:themeColor="text1"/>
          <w:sz w:val="24"/>
          <w:szCs w:val="24"/>
          <w:shd w:val="clear" w:color="auto" w:fill="FFFFFF"/>
        </w:rPr>
        <w:t xml:space="preserve"> cultures have been drawn from a range of specimen sources including cardiac tissue, bone, blood, cardiac prostheses, and urine (</w:t>
      </w:r>
      <w:proofErr w:type="spellStart"/>
      <w:r w:rsidR="00F652AD" w:rsidRPr="00F652AD">
        <w:rPr>
          <w:rFonts w:eastAsia="Times New Roman"/>
          <w:color w:val="000000" w:themeColor="text1"/>
          <w:sz w:val="24"/>
          <w:szCs w:val="24"/>
          <w:shd w:val="clear" w:color="auto" w:fill="FFFFFF"/>
        </w:rPr>
        <w:t>Ninh</w:t>
      </w:r>
      <w:proofErr w:type="spellEnd"/>
      <w:r w:rsidR="00F652AD" w:rsidRPr="00F652AD">
        <w:rPr>
          <w:rFonts w:eastAsia="Times New Roman"/>
          <w:color w:val="000000" w:themeColor="text1"/>
          <w:sz w:val="24"/>
          <w:szCs w:val="24"/>
          <w:shd w:val="clear" w:color="auto" w:fill="FFFFFF"/>
        </w:rPr>
        <w:t xml:space="preserve"> et al., 2017). </w:t>
      </w:r>
      <w:r w:rsidR="00F652AD" w:rsidRPr="00F652AD">
        <w:rPr>
          <w:color w:val="000000" w:themeColor="text1"/>
          <w:sz w:val="24"/>
          <w:szCs w:val="24"/>
        </w:rPr>
        <w:t>Individuals in hospital settings are a vulnerable population and if exposed to NTM, are more likely to become ill than the general population (Li et al., 2017). A majority of exposed patients are initially asymptomatic, although, when symptoms are present, patients often exhibit cardiac complications that can be fatal (</w:t>
      </w:r>
      <w:proofErr w:type="spellStart"/>
      <w:r w:rsidR="00F652AD" w:rsidRPr="00F652AD">
        <w:rPr>
          <w:color w:val="000000" w:themeColor="text1"/>
          <w:sz w:val="24"/>
          <w:szCs w:val="24"/>
        </w:rPr>
        <w:t>Ninh</w:t>
      </w:r>
      <w:proofErr w:type="spellEnd"/>
      <w:r w:rsidR="00F652AD" w:rsidRPr="00F652AD">
        <w:rPr>
          <w:color w:val="000000" w:themeColor="text1"/>
          <w:sz w:val="24"/>
          <w:szCs w:val="24"/>
        </w:rPr>
        <w:t xml:space="preserve"> et al., 2017). A median of 21 months from the time of cardiac surgery to the onset of symptoms has been described, however, latency periods have been reported anywhere from three months to five years (</w:t>
      </w:r>
      <w:proofErr w:type="spellStart"/>
      <w:r w:rsidR="00F652AD" w:rsidRPr="00F652AD">
        <w:rPr>
          <w:color w:val="000000" w:themeColor="text1"/>
          <w:sz w:val="24"/>
          <w:szCs w:val="24"/>
        </w:rPr>
        <w:t>Ninh</w:t>
      </w:r>
      <w:proofErr w:type="spellEnd"/>
      <w:r w:rsidR="00F652AD" w:rsidRPr="00F652AD">
        <w:rPr>
          <w:color w:val="000000" w:themeColor="text1"/>
          <w:sz w:val="24"/>
          <w:szCs w:val="24"/>
        </w:rPr>
        <w:t xml:space="preserve"> et al., 2017; </w:t>
      </w:r>
      <w:proofErr w:type="spellStart"/>
      <w:r w:rsidR="00F652AD" w:rsidRPr="00F652AD">
        <w:rPr>
          <w:color w:val="000000" w:themeColor="text1"/>
          <w:sz w:val="24"/>
          <w:szCs w:val="24"/>
        </w:rPr>
        <w:t>Sommerstein</w:t>
      </w:r>
      <w:proofErr w:type="spellEnd"/>
      <w:r w:rsidR="00F652AD" w:rsidRPr="00F652AD">
        <w:rPr>
          <w:color w:val="000000" w:themeColor="text1"/>
          <w:sz w:val="24"/>
          <w:szCs w:val="24"/>
        </w:rPr>
        <w:t xml:space="preserve"> et al., 2017). With a limited number of reported cases, the impact of </w:t>
      </w:r>
      <w:r w:rsidR="00F652AD" w:rsidRPr="00F652AD">
        <w:rPr>
          <w:i/>
          <w:color w:val="000000" w:themeColor="text1"/>
          <w:sz w:val="24"/>
          <w:szCs w:val="24"/>
        </w:rPr>
        <w:t>M. chimaera</w:t>
      </w:r>
      <w:r w:rsidR="00F652AD" w:rsidRPr="00F652AD">
        <w:rPr>
          <w:color w:val="000000" w:themeColor="text1"/>
          <w:sz w:val="24"/>
          <w:szCs w:val="24"/>
        </w:rPr>
        <w:t xml:space="preserve"> has not </w:t>
      </w:r>
      <w:r>
        <w:rPr>
          <w:color w:val="000000" w:themeColor="text1"/>
          <w:sz w:val="24"/>
          <w:szCs w:val="24"/>
        </w:rPr>
        <w:t xml:space="preserve">yet </w:t>
      </w:r>
      <w:r w:rsidR="00F652AD" w:rsidRPr="00F652AD">
        <w:rPr>
          <w:color w:val="000000" w:themeColor="text1"/>
          <w:sz w:val="24"/>
          <w:szCs w:val="24"/>
        </w:rPr>
        <w:t>been</w:t>
      </w:r>
      <w:r>
        <w:rPr>
          <w:color w:val="000000" w:themeColor="text1"/>
          <w:sz w:val="24"/>
          <w:szCs w:val="24"/>
        </w:rPr>
        <w:t xml:space="preserve"> thoroughly</w:t>
      </w:r>
      <w:r w:rsidR="00F652AD" w:rsidRPr="00F652AD">
        <w:rPr>
          <w:color w:val="000000" w:themeColor="text1"/>
          <w:sz w:val="24"/>
          <w:szCs w:val="24"/>
        </w:rPr>
        <w:t xml:space="preserve"> measured and accordingly, a specific treatment course has not been defined (</w:t>
      </w:r>
      <w:proofErr w:type="spellStart"/>
      <w:r w:rsidR="00F652AD" w:rsidRPr="00F652AD">
        <w:rPr>
          <w:color w:val="000000" w:themeColor="text1"/>
          <w:sz w:val="24"/>
          <w:szCs w:val="24"/>
        </w:rPr>
        <w:t>Ninh</w:t>
      </w:r>
      <w:proofErr w:type="spellEnd"/>
      <w:r w:rsidR="00F652AD" w:rsidRPr="00F652AD">
        <w:rPr>
          <w:color w:val="000000" w:themeColor="text1"/>
          <w:sz w:val="24"/>
          <w:szCs w:val="24"/>
        </w:rPr>
        <w:t xml:space="preserve"> et al., 2017; </w:t>
      </w:r>
      <w:proofErr w:type="spellStart"/>
      <w:r w:rsidR="00F652AD" w:rsidRPr="00F652AD">
        <w:rPr>
          <w:color w:val="000000" w:themeColor="text1"/>
          <w:sz w:val="24"/>
          <w:szCs w:val="24"/>
        </w:rPr>
        <w:t>Sommerstein</w:t>
      </w:r>
      <w:proofErr w:type="spellEnd"/>
      <w:r w:rsidR="00F652AD" w:rsidRPr="00F652AD">
        <w:rPr>
          <w:color w:val="000000" w:themeColor="text1"/>
          <w:sz w:val="24"/>
          <w:szCs w:val="24"/>
        </w:rPr>
        <w:t xml:space="preserve"> et al., 2017). The American Thoracic Society/Infectious Diseases Society of America (ATS/IDSA) guidelines recommend that surgical wounds, injection sites, and intravenous catheters are not exposed to tap water to tap water-derived fluids to prevent healthcare related NTM infections (Griffith et al., 2007).</w:t>
      </w:r>
    </w:p>
    <w:p w:rsidR="00F652AD" w:rsidRPr="00F652AD" w:rsidRDefault="00F652AD" w:rsidP="00F652AD">
      <w:pPr>
        <w:spacing w:line="480" w:lineRule="auto"/>
        <w:ind w:firstLine="720"/>
        <w:rPr>
          <w:color w:val="000000" w:themeColor="text1"/>
          <w:sz w:val="24"/>
          <w:szCs w:val="24"/>
        </w:rPr>
      </w:pPr>
      <w:r w:rsidRPr="00F652AD">
        <w:rPr>
          <w:color w:val="000000" w:themeColor="text1"/>
          <w:sz w:val="24"/>
          <w:szCs w:val="24"/>
        </w:rPr>
        <w:t>An</w:t>
      </w:r>
      <w:r w:rsidR="00AB42A6">
        <w:rPr>
          <w:color w:val="000000" w:themeColor="text1"/>
          <w:sz w:val="24"/>
          <w:szCs w:val="24"/>
        </w:rPr>
        <w:t>other</w:t>
      </w:r>
      <w:r w:rsidRPr="00F652AD">
        <w:rPr>
          <w:color w:val="000000" w:themeColor="text1"/>
          <w:sz w:val="24"/>
          <w:szCs w:val="24"/>
        </w:rPr>
        <w:t xml:space="preserve"> outbreak</w:t>
      </w:r>
      <w:r w:rsidR="00AB42A6">
        <w:rPr>
          <w:color w:val="000000" w:themeColor="text1"/>
          <w:sz w:val="24"/>
          <w:szCs w:val="24"/>
        </w:rPr>
        <w:t>, this time</w:t>
      </w:r>
      <w:r w:rsidRPr="00F652AD">
        <w:rPr>
          <w:color w:val="000000" w:themeColor="text1"/>
          <w:sz w:val="24"/>
          <w:szCs w:val="24"/>
        </w:rPr>
        <w:t xml:space="preserve"> of </w:t>
      </w:r>
      <w:r w:rsidRPr="00F652AD">
        <w:rPr>
          <w:i/>
          <w:color w:val="000000" w:themeColor="text1"/>
          <w:sz w:val="24"/>
          <w:szCs w:val="24"/>
        </w:rPr>
        <w:t xml:space="preserve">M. </w:t>
      </w:r>
      <w:proofErr w:type="spellStart"/>
      <w:r w:rsidRPr="00F652AD">
        <w:rPr>
          <w:i/>
          <w:color w:val="000000" w:themeColor="text1"/>
          <w:sz w:val="24"/>
          <w:szCs w:val="24"/>
        </w:rPr>
        <w:t>abscessus</w:t>
      </w:r>
      <w:proofErr w:type="spellEnd"/>
      <w:r w:rsidRPr="00F652AD">
        <w:rPr>
          <w:color w:val="000000" w:themeColor="text1"/>
          <w:sz w:val="24"/>
          <w:szCs w:val="24"/>
        </w:rPr>
        <w:t xml:space="preserve"> occurred in association with a pediatric dental clinic (</w:t>
      </w:r>
      <w:proofErr w:type="spellStart"/>
      <w:r w:rsidRPr="00F652AD">
        <w:rPr>
          <w:rFonts w:eastAsia="Times New Roman"/>
          <w:color w:val="000000" w:themeColor="text1"/>
          <w:sz w:val="24"/>
          <w:szCs w:val="24"/>
          <w:lang w:val="en"/>
        </w:rPr>
        <w:t>Hatzenbuehler</w:t>
      </w:r>
      <w:proofErr w:type="spellEnd"/>
      <w:r w:rsidRPr="00F652AD">
        <w:rPr>
          <w:rFonts w:eastAsia="Times New Roman"/>
          <w:color w:val="000000" w:themeColor="text1"/>
          <w:sz w:val="24"/>
          <w:szCs w:val="24"/>
          <w:lang w:val="en"/>
        </w:rPr>
        <w:t xml:space="preserve"> et al., 2017). Facial and neck swelling occurred among 24 children who underwent a pulpotomy where municipal water was used for the drilling and irrigation </w:t>
      </w:r>
      <w:r w:rsidRPr="00F652AD">
        <w:rPr>
          <w:color w:val="000000" w:themeColor="text1"/>
          <w:sz w:val="24"/>
          <w:szCs w:val="24"/>
        </w:rPr>
        <w:t>(</w:t>
      </w:r>
      <w:proofErr w:type="spellStart"/>
      <w:r w:rsidRPr="00F652AD">
        <w:rPr>
          <w:rFonts w:eastAsia="Times New Roman"/>
          <w:color w:val="000000" w:themeColor="text1"/>
          <w:sz w:val="24"/>
          <w:szCs w:val="24"/>
          <w:lang w:val="en"/>
        </w:rPr>
        <w:t>Hatzenbuehler</w:t>
      </w:r>
      <w:proofErr w:type="spellEnd"/>
      <w:r w:rsidRPr="00F652AD">
        <w:rPr>
          <w:rFonts w:eastAsia="Times New Roman"/>
          <w:color w:val="000000" w:themeColor="text1"/>
          <w:sz w:val="24"/>
          <w:szCs w:val="24"/>
          <w:lang w:val="en"/>
        </w:rPr>
        <w:t xml:space="preserve"> et al., 2017).</w:t>
      </w:r>
      <w:r w:rsidRPr="00F652AD">
        <w:rPr>
          <w:color w:val="000000" w:themeColor="text1"/>
          <w:sz w:val="24"/>
          <w:szCs w:val="24"/>
        </w:rPr>
        <w:t xml:space="preserve"> Among 24 children, the median age was 7.3 years and clinical diagnoses included cervical lymphadenitis, mandibular or maxillary osteomyelitis, and disseminated infection with pulmonary nodules (</w:t>
      </w:r>
      <w:proofErr w:type="spellStart"/>
      <w:r w:rsidRPr="00F652AD">
        <w:rPr>
          <w:rFonts w:eastAsia="Times New Roman"/>
          <w:color w:val="000000" w:themeColor="text1"/>
          <w:sz w:val="24"/>
          <w:szCs w:val="24"/>
          <w:lang w:val="en"/>
        </w:rPr>
        <w:t>Hatzenbuehler</w:t>
      </w:r>
      <w:proofErr w:type="spellEnd"/>
      <w:r w:rsidRPr="00F652AD">
        <w:rPr>
          <w:rFonts w:eastAsia="Times New Roman"/>
          <w:color w:val="000000" w:themeColor="text1"/>
          <w:sz w:val="24"/>
          <w:szCs w:val="24"/>
          <w:lang w:val="en"/>
        </w:rPr>
        <w:t xml:space="preserve"> et al., 2017). All of the children were hospitalized at least once and there was a median of two surgeries per child </w:t>
      </w:r>
      <w:r w:rsidRPr="00F652AD">
        <w:rPr>
          <w:color w:val="000000" w:themeColor="text1"/>
          <w:sz w:val="24"/>
          <w:szCs w:val="24"/>
        </w:rPr>
        <w:t>(</w:t>
      </w:r>
      <w:proofErr w:type="spellStart"/>
      <w:r w:rsidRPr="00F652AD">
        <w:rPr>
          <w:rFonts w:eastAsia="Times New Roman"/>
          <w:color w:val="000000" w:themeColor="text1"/>
          <w:sz w:val="24"/>
          <w:szCs w:val="24"/>
          <w:lang w:val="en"/>
        </w:rPr>
        <w:t>Hatzenbuehler</w:t>
      </w:r>
      <w:proofErr w:type="spellEnd"/>
      <w:r w:rsidRPr="00F652AD">
        <w:rPr>
          <w:rFonts w:eastAsia="Times New Roman"/>
          <w:color w:val="000000" w:themeColor="text1"/>
          <w:sz w:val="24"/>
          <w:szCs w:val="24"/>
          <w:lang w:val="en"/>
        </w:rPr>
        <w:t xml:space="preserve"> et al., 2017). 79% of the children experienced complications including vascular access malfunction, high-frequency </w:t>
      </w:r>
      <w:r w:rsidRPr="00F652AD">
        <w:rPr>
          <w:rFonts w:eastAsia="Times New Roman"/>
          <w:color w:val="000000" w:themeColor="text1"/>
          <w:sz w:val="24"/>
          <w:szCs w:val="24"/>
          <w:lang w:val="en"/>
        </w:rPr>
        <w:lastRenderedPageBreak/>
        <w:t xml:space="preserve">hearing loss, permanent tooth loss, facial nerve palsy, urticarial rash, elevated liver enzyme levels acute kidney injury, neutropenia, and incision dehiscence/fibrosis </w:t>
      </w:r>
      <w:r w:rsidRPr="00F652AD">
        <w:rPr>
          <w:color w:val="000000" w:themeColor="text1"/>
          <w:sz w:val="24"/>
          <w:szCs w:val="24"/>
        </w:rPr>
        <w:t>(</w:t>
      </w:r>
      <w:proofErr w:type="spellStart"/>
      <w:r w:rsidRPr="00F652AD">
        <w:rPr>
          <w:rFonts w:eastAsia="Times New Roman"/>
          <w:color w:val="000000" w:themeColor="text1"/>
          <w:sz w:val="24"/>
          <w:szCs w:val="24"/>
          <w:lang w:val="en"/>
        </w:rPr>
        <w:t>Hatzenbuehler</w:t>
      </w:r>
      <w:proofErr w:type="spellEnd"/>
      <w:r w:rsidRPr="00F652AD">
        <w:rPr>
          <w:rFonts w:eastAsia="Times New Roman"/>
          <w:color w:val="000000" w:themeColor="text1"/>
          <w:sz w:val="24"/>
          <w:szCs w:val="24"/>
          <w:lang w:val="en"/>
        </w:rPr>
        <w:t xml:space="preserve"> et al., 2017).</w:t>
      </w:r>
    </w:p>
    <w:p w:rsidR="00F652AD" w:rsidRDefault="00F652AD" w:rsidP="00F652AD">
      <w:pPr>
        <w:spacing w:line="480" w:lineRule="auto"/>
        <w:ind w:firstLine="720"/>
        <w:rPr>
          <w:color w:val="000000" w:themeColor="text1"/>
          <w:sz w:val="24"/>
          <w:szCs w:val="24"/>
        </w:rPr>
      </w:pPr>
      <w:r w:rsidRPr="00F652AD">
        <w:rPr>
          <w:color w:val="000000" w:themeColor="text1"/>
          <w:sz w:val="24"/>
          <w:szCs w:val="24"/>
        </w:rPr>
        <w:t xml:space="preserve">Outbreaks of extrapulmonary NTM infection have also occurred in patients undergoing dialysis (Phillips &amp; Von </w:t>
      </w:r>
      <w:proofErr w:type="spellStart"/>
      <w:r w:rsidRPr="00F652AD">
        <w:rPr>
          <w:color w:val="000000" w:themeColor="text1"/>
          <w:sz w:val="24"/>
          <w:szCs w:val="24"/>
        </w:rPr>
        <w:t>Reyn</w:t>
      </w:r>
      <w:proofErr w:type="spellEnd"/>
      <w:r w:rsidRPr="00F652AD">
        <w:rPr>
          <w:color w:val="000000" w:themeColor="text1"/>
          <w:sz w:val="24"/>
          <w:szCs w:val="24"/>
        </w:rPr>
        <w:t xml:space="preserve">, 2001). Typically caused by contaminated water solutions or the use of colonized potable water in the processing of reusable hemodialysis filters, </w:t>
      </w:r>
      <w:r w:rsidRPr="00F652AD">
        <w:rPr>
          <w:i/>
          <w:color w:val="000000" w:themeColor="text1"/>
          <w:sz w:val="24"/>
          <w:szCs w:val="24"/>
        </w:rPr>
        <w:t xml:space="preserve">M. </w:t>
      </w:r>
      <w:proofErr w:type="spellStart"/>
      <w:r w:rsidRPr="00F652AD">
        <w:rPr>
          <w:i/>
          <w:color w:val="000000" w:themeColor="text1"/>
          <w:sz w:val="24"/>
          <w:szCs w:val="24"/>
        </w:rPr>
        <w:t>fortuitum</w:t>
      </w:r>
      <w:proofErr w:type="spellEnd"/>
      <w:r w:rsidRPr="00F652AD">
        <w:rPr>
          <w:color w:val="000000" w:themeColor="text1"/>
          <w:sz w:val="24"/>
          <w:szCs w:val="24"/>
        </w:rPr>
        <w:t xml:space="preserve"> infection has caused clusters of peritonitis cases in individuals on continuous ambulatory peritoneal dialysis (Phillips &amp; Von </w:t>
      </w:r>
      <w:proofErr w:type="spellStart"/>
      <w:r w:rsidRPr="00F652AD">
        <w:rPr>
          <w:color w:val="000000" w:themeColor="text1"/>
          <w:sz w:val="24"/>
          <w:szCs w:val="24"/>
        </w:rPr>
        <w:t>Reyn</w:t>
      </w:r>
      <w:proofErr w:type="spellEnd"/>
      <w:r w:rsidRPr="00F652AD">
        <w:rPr>
          <w:color w:val="000000" w:themeColor="text1"/>
          <w:sz w:val="24"/>
          <w:szCs w:val="24"/>
        </w:rPr>
        <w:t xml:space="preserve">, 2001). </w:t>
      </w:r>
      <w:r w:rsidRPr="00F652AD">
        <w:rPr>
          <w:i/>
          <w:color w:val="000000" w:themeColor="text1"/>
          <w:sz w:val="24"/>
          <w:szCs w:val="24"/>
        </w:rPr>
        <w:t xml:space="preserve">M. </w:t>
      </w:r>
      <w:proofErr w:type="spellStart"/>
      <w:r w:rsidRPr="00F652AD">
        <w:rPr>
          <w:i/>
          <w:color w:val="000000" w:themeColor="text1"/>
          <w:sz w:val="24"/>
          <w:szCs w:val="24"/>
        </w:rPr>
        <w:t>chelonae</w:t>
      </w:r>
      <w:proofErr w:type="spellEnd"/>
      <w:r w:rsidRPr="00F652AD">
        <w:rPr>
          <w:i/>
          <w:color w:val="000000" w:themeColor="text1"/>
          <w:sz w:val="24"/>
          <w:szCs w:val="24"/>
        </w:rPr>
        <w:t xml:space="preserve"> </w:t>
      </w:r>
      <w:r w:rsidRPr="00F652AD">
        <w:rPr>
          <w:color w:val="000000" w:themeColor="text1"/>
          <w:sz w:val="24"/>
          <w:szCs w:val="24"/>
        </w:rPr>
        <w:t>and</w:t>
      </w:r>
      <w:r w:rsidRPr="00F652AD">
        <w:rPr>
          <w:i/>
          <w:color w:val="000000" w:themeColor="text1"/>
          <w:sz w:val="24"/>
          <w:szCs w:val="24"/>
        </w:rPr>
        <w:t xml:space="preserve"> M. </w:t>
      </w:r>
      <w:proofErr w:type="spellStart"/>
      <w:r w:rsidRPr="00F652AD">
        <w:rPr>
          <w:i/>
          <w:color w:val="000000" w:themeColor="text1"/>
          <w:sz w:val="24"/>
          <w:szCs w:val="24"/>
        </w:rPr>
        <w:t>abcessus</w:t>
      </w:r>
      <w:proofErr w:type="spellEnd"/>
      <w:r w:rsidRPr="00F652AD">
        <w:rPr>
          <w:color w:val="000000" w:themeColor="text1"/>
          <w:sz w:val="24"/>
          <w:szCs w:val="24"/>
        </w:rPr>
        <w:t xml:space="preserve"> have also been associated with outbreaks among patients undergoing dialysis (Phillips &amp; Von </w:t>
      </w:r>
      <w:proofErr w:type="spellStart"/>
      <w:r w:rsidRPr="00F652AD">
        <w:rPr>
          <w:color w:val="000000" w:themeColor="text1"/>
          <w:sz w:val="24"/>
          <w:szCs w:val="24"/>
        </w:rPr>
        <w:t>Reyn</w:t>
      </w:r>
      <w:proofErr w:type="spellEnd"/>
      <w:r w:rsidRPr="00F652AD">
        <w:rPr>
          <w:color w:val="000000" w:themeColor="text1"/>
          <w:sz w:val="24"/>
          <w:szCs w:val="24"/>
        </w:rPr>
        <w:t>, 2001).</w:t>
      </w:r>
    </w:p>
    <w:p w:rsidR="00B75972" w:rsidRPr="00432FA6" w:rsidRDefault="00432FA6" w:rsidP="00B75972">
      <w:pPr>
        <w:spacing w:line="480" w:lineRule="auto"/>
        <w:rPr>
          <w:b/>
          <w:color w:val="000000" w:themeColor="text1"/>
          <w:sz w:val="24"/>
          <w:szCs w:val="24"/>
          <w:u w:val="single"/>
        </w:rPr>
      </w:pPr>
      <w:r w:rsidRPr="00432FA6">
        <w:rPr>
          <w:b/>
          <w:color w:val="000000" w:themeColor="text1"/>
          <w:sz w:val="24"/>
          <w:szCs w:val="24"/>
          <w:u w:val="single"/>
        </w:rPr>
        <w:t>Project Significance</w:t>
      </w:r>
    </w:p>
    <w:p w:rsidR="00F652AD" w:rsidRPr="00F652AD" w:rsidRDefault="00F652AD" w:rsidP="00F652AD">
      <w:pPr>
        <w:spacing w:line="480" w:lineRule="auto"/>
        <w:ind w:firstLine="720"/>
        <w:rPr>
          <w:rFonts w:eastAsia="Times New Roman" w:cs="Arial"/>
          <w:color w:val="000000" w:themeColor="text1"/>
          <w:sz w:val="24"/>
          <w:szCs w:val="24"/>
          <w:shd w:val="clear" w:color="auto" w:fill="FFFFFF"/>
        </w:rPr>
      </w:pPr>
      <w:r w:rsidRPr="00F652AD">
        <w:rPr>
          <w:color w:val="000000" w:themeColor="text1"/>
          <w:sz w:val="24"/>
          <w:szCs w:val="24"/>
        </w:rPr>
        <w:t xml:space="preserve">The public health </w:t>
      </w:r>
      <w:r w:rsidR="00703A5E">
        <w:rPr>
          <w:color w:val="000000" w:themeColor="text1"/>
          <w:sz w:val="24"/>
          <w:szCs w:val="24"/>
        </w:rPr>
        <w:t>burden</w:t>
      </w:r>
      <w:r w:rsidRPr="00F652AD">
        <w:rPr>
          <w:color w:val="000000" w:themeColor="text1"/>
          <w:sz w:val="24"/>
          <w:szCs w:val="24"/>
        </w:rPr>
        <w:t xml:space="preserve"> of NTM disease in the U.S. are unknown, however, there are estimates of the disease burden. </w:t>
      </w:r>
      <w:proofErr w:type="spellStart"/>
      <w:r w:rsidRPr="00F652AD">
        <w:rPr>
          <w:rFonts w:eastAsia="Times New Roman" w:cs="Arial"/>
          <w:color w:val="000000" w:themeColor="text1"/>
          <w:sz w:val="24"/>
          <w:szCs w:val="24"/>
          <w:shd w:val="clear" w:color="auto" w:fill="FFFFFF"/>
        </w:rPr>
        <w:t>Strollo</w:t>
      </w:r>
      <w:proofErr w:type="spellEnd"/>
      <w:r w:rsidRPr="00F652AD">
        <w:rPr>
          <w:rFonts w:eastAsia="Times New Roman" w:cs="Arial"/>
          <w:color w:val="000000" w:themeColor="text1"/>
          <w:sz w:val="24"/>
          <w:szCs w:val="24"/>
          <w:shd w:val="clear" w:color="auto" w:fill="FFFFFF"/>
        </w:rPr>
        <w:t xml:space="preserve"> et al. estimated that there were 86,244 cases of NTM disease in the U.S. in 2010, equating to about $815 million in costs (</w:t>
      </w:r>
      <w:proofErr w:type="spellStart"/>
      <w:r w:rsidRPr="00F652AD">
        <w:rPr>
          <w:rFonts w:eastAsia="Times New Roman" w:cs="Arial"/>
          <w:color w:val="000000" w:themeColor="text1"/>
          <w:sz w:val="24"/>
          <w:szCs w:val="24"/>
          <w:shd w:val="clear" w:color="auto" w:fill="FFFFFF"/>
        </w:rPr>
        <w:t>Strollo</w:t>
      </w:r>
      <w:proofErr w:type="spellEnd"/>
      <w:r w:rsidRPr="00F652AD">
        <w:rPr>
          <w:rFonts w:eastAsia="Times New Roman" w:cs="Arial"/>
          <w:color w:val="000000" w:themeColor="text1"/>
          <w:sz w:val="24"/>
          <w:szCs w:val="24"/>
          <w:shd w:val="clear" w:color="auto" w:fill="FFFFFF"/>
        </w:rPr>
        <w:t xml:space="preserve">, </w:t>
      </w:r>
      <w:proofErr w:type="spellStart"/>
      <w:r w:rsidRPr="00F652AD">
        <w:rPr>
          <w:rFonts w:eastAsia="Times New Roman" w:cs="Arial"/>
          <w:color w:val="000000" w:themeColor="text1"/>
          <w:sz w:val="24"/>
          <w:szCs w:val="24"/>
          <w:shd w:val="clear" w:color="auto" w:fill="FFFFFF"/>
        </w:rPr>
        <w:t>Adjemian</w:t>
      </w:r>
      <w:proofErr w:type="spellEnd"/>
      <w:r w:rsidRPr="00F652AD">
        <w:rPr>
          <w:rFonts w:eastAsia="Times New Roman" w:cs="Arial"/>
          <w:color w:val="000000" w:themeColor="text1"/>
          <w:sz w:val="24"/>
          <w:szCs w:val="24"/>
          <w:shd w:val="clear" w:color="auto" w:fill="FFFFFF"/>
        </w:rPr>
        <w:t xml:space="preserve">, J., </w:t>
      </w:r>
      <w:proofErr w:type="spellStart"/>
      <w:r w:rsidRPr="00F652AD">
        <w:rPr>
          <w:rFonts w:eastAsia="Times New Roman" w:cs="Arial"/>
          <w:color w:val="000000" w:themeColor="text1"/>
          <w:sz w:val="24"/>
          <w:szCs w:val="24"/>
          <w:shd w:val="clear" w:color="auto" w:fill="FFFFFF"/>
        </w:rPr>
        <w:t>Adjemian</w:t>
      </w:r>
      <w:proofErr w:type="spellEnd"/>
      <w:r w:rsidRPr="00F652AD">
        <w:rPr>
          <w:rFonts w:eastAsia="Times New Roman" w:cs="Arial"/>
          <w:color w:val="000000" w:themeColor="text1"/>
          <w:sz w:val="24"/>
          <w:szCs w:val="24"/>
          <w:shd w:val="clear" w:color="auto" w:fill="FFFFFF"/>
        </w:rPr>
        <w:t xml:space="preserve">, M., &amp; </w:t>
      </w:r>
      <w:proofErr w:type="spellStart"/>
      <w:r w:rsidRPr="00F652AD">
        <w:rPr>
          <w:rFonts w:eastAsia="Times New Roman" w:cs="Arial"/>
          <w:color w:val="000000" w:themeColor="text1"/>
          <w:sz w:val="24"/>
          <w:szCs w:val="24"/>
          <w:shd w:val="clear" w:color="auto" w:fill="FFFFFF"/>
        </w:rPr>
        <w:t>Prevots</w:t>
      </w:r>
      <w:proofErr w:type="spellEnd"/>
      <w:r w:rsidRPr="00F652AD">
        <w:rPr>
          <w:rFonts w:eastAsia="Times New Roman" w:cs="Arial"/>
          <w:color w:val="000000" w:themeColor="text1"/>
          <w:sz w:val="24"/>
          <w:szCs w:val="24"/>
          <w:shd w:val="clear" w:color="auto" w:fill="FFFFFF"/>
        </w:rPr>
        <w:t>, 2015). The state estimates came out to a median of 1,208 annual cases with an estimated range of 48 to 12,54</w:t>
      </w:r>
      <w:r w:rsidR="00703A5E">
        <w:rPr>
          <w:rFonts w:eastAsia="Times New Roman" w:cs="Arial"/>
          <w:color w:val="000000" w:themeColor="text1"/>
          <w:sz w:val="24"/>
          <w:szCs w:val="24"/>
          <w:shd w:val="clear" w:color="auto" w:fill="FFFFFF"/>
        </w:rPr>
        <w:t>4 cases per year in each state.</w:t>
      </w:r>
    </w:p>
    <w:p w:rsidR="00F652AD" w:rsidRPr="00F652AD" w:rsidRDefault="00F652AD" w:rsidP="00703A5E">
      <w:pPr>
        <w:spacing w:line="480" w:lineRule="auto"/>
        <w:ind w:firstLine="720"/>
        <w:rPr>
          <w:color w:val="000000" w:themeColor="text1"/>
          <w:sz w:val="24"/>
          <w:szCs w:val="24"/>
        </w:rPr>
      </w:pPr>
      <w:r w:rsidRPr="00F652AD">
        <w:rPr>
          <w:color w:val="000000" w:themeColor="text1"/>
          <w:sz w:val="24"/>
          <w:szCs w:val="24"/>
        </w:rPr>
        <w:t xml:space="preserve">Further research is needed to quantify the </w:t>
      </w:r>
      <w:r w:rsidR="00AB42A6">
        <w:rPr>
          <w:color w:val="000000" w:themeColor="text1"/>
          <w:sz w:val="24"/>
          <w:szCs w:val="24"/>
        </w:rPr>
        <w:t xml:space="preserve">complete </w:t>
      </w:r>
      <w:r w:rsidRPr="00F652AD">
        <w:rPr>
          <w:color w:val="000000" w:themeColor="text1"/>
          <w:sz w:val="24"/>
          <w:szCs w:val="24"/>
        </w:rPr>
        <w:t xml:space="preserve">burden of disease on public health, to identify the risk factors associated with NTM disease, and to further inform public health interventions (Cassidy et al., 2009; </w:t>
      </w:r>
      <w:proofErr w:type="spellStart"/>
      <w:r w:rsidRPr="00F652AD">
        <w:rPr>
          <w:rFonts w:eastAsia="Times New Roman" w:cs="Arial"/>
          <w:color w:val="000000" w:themeColor="text1"/>
          <w:sz w:val="24"/>
          <w:szCs w:val="24"/>
          <w:shd w:val="clear" w:color="auto" w:fill="FFFFFF"/>
        </w:rPr>
        <w:t>Henkle</w:t>
      </w:r>
      <w:proofErr w:type="spellEnd"/>
      <w:r w:rsidRPr="00F652AD">
        <w:rPr>
          <w:rFonts w:eastAsia="Times New Roman" w:cs="Arial"/>
          <w:color w:val="000000" w:themeColor="text1"/>
          <w:sz w:val="24"/>
          <w:szCs w:val="24"/>
          <w:shd w:val="clear" w:color="auto" w:fill="FFFFFF"/>
        </w:rPr>
        <w:t xml:space="preserve"> et al., 2015; </w:t>
      </w:r>
      <w:proofErr w:type="spellStart"/>
      <w:r w:rsidRPr="00F652AD">
        <w:rPr>
          <w:rFonts w:eastAsia="Times New Roman" w:cs="Arial"/>
          <w:color w:val="000000" w:themeColor="text1"/>
          <w:sz w:val="24"/>
          <w:szCs w:val="24"/>
          <w:shd w:val="clear" w:color="auto" w:fill="FFFFFF"/>
        </w:rPr>
        <w:t>Prevots</w:t>
      </w:r>
      <w:proofErr w:type="spellEnd"/>
      <w:r w:rsidRPr="00F652AD">
        <w:rPr>
          <w:rFonts w:eastAsia="Times New Roman" w:cs="Arial"/>
          <w:color w:val="000000" w:themeColor="text1"/>
          <w:sz w:val="24"/>
          <w:szCs w:val="24"/>
          <w:shd w:val="clear" w:color="auto" w:fill="FFFFFF"/>
        </w:rPr>
        <w:t xml:space="preserve"> &amp; </w:t>
      </w:r>
      <w:proofErr w:type="spellStart"/>
      <w:r w:rsidRPr="00F652AD">
        <w:rPr>
          <w:rFonts w:eastAsia="Times New Roman" w:cs="Arial"/>
          <w:color w:val="000000" w:themeColor="text1"/>
          <w:sz w:val="24"/>
          <w:szCs w:val="24"/>
          <w:shd w:val="clear" w:color="auto" w:fill="FFFFFF"/>
        </w:rPr>
        <w:t>Marras</w:t>
      </w:r>
      <w:proofErr w:type="spellEnd"/>
      <w:r w:rsidRPr="00F652AD">
        <w:rPr>
          <w:rFonts w:eastAsia="Times New Roman" w:cs="Arial"/>
          <w:color w:val="000000" w:themeColor="text1"/>
          <w:sz w:val="24"/>
          <w:szCs w:val="24"/>
          <w:shd w:val="clear" w:color="auto" w:fill="FFFFFF"/>
        </w:rPr>
        <w:t xml:space="preserve">, 2015; </w:t>
      </w:r>
      <w:proofErr w:type="spellStart"/>
      <w:r w:rsidRPr="00F652AD">
        <w:rPr>
          <w:color w:val="000000" w:themeColor="text1"/>
          <w:sz w:val="24"/>
          <w:szCs w:val="24"/>
        </w:rPr>
        <w:t>Strollo</w:t>
      </w:r>
      <w:proofErr w:type="spellEnd"/>
      <w:r w:rsidRPr="00F652AD">
        <w:rPr>
          <w:color w:val="000000" w:themeColor="text1"/>
          <w:sz w:val="24"/>
          <w:szCs w:val="24"/>
        </w:rPr>
        <w:t xml:space="preserve"> et al., </w:t>
      </w:r>
      <w:r w:rsidRPr="00F652AD">
        <w:rPr>
          <w:rFonts w:eastAsia="Times New Roman" w:cs="Arial"/>
          <w:color w:val="000000" w:themeColor="text1"/>
          <w:sz w:val="24"/>
          <w:szCs w:val="24"/>
          <w:shd w:val="clear" w:color="auto" w:fill="FFFFFF"/>
        </w:rPr>
        <w:t xml:space="preserve">2015). </w:t>
      </w:r>
      <w:r w:rsidR="00AB42A6">
        <w:rPr>
          <w:color w:val="000000" w:themeColor="text1"/>
          <w:sz w:val="24"/>
          <w:szCs w:val="24"/>
        </w:rPr>
        <w:t>And w</w:t>
      </w:r>
      <w:r w:rsidRPr="00F652AD">
        <w:rPr>
          <w:color w:val="000000" w:themeColor="text1"/>
          <w:sz w:val="24"/>
          <w:szCs w:val="24"/>
        </w:rPr>
        <w:t xml:space="preserve">hile reporting of </w:t>
      </w:r>
      <w:r w:rsidRPr="00F652AD">
        <w:rPr>
          <w:rFonts w:eastAsia="Times New Roman" w:cs="Arial"/>
          <w:color w:val="000000" w:themeColor="text1"/>
          <w:sz w:val="24"/>
          <w:szCs w:val="24"/>
          <w:shd w:val="clear" w:color="auto" w:fill="FFFFFF"/>
        </w:rPr>
        <w:t>nontuberculous</w:t>
      </w:r>
      <w:r w:rsidRPr="00F652AD">
        <w:rPr>
          <w:color w:val="000000" w:themeColor="text1"/>
          <w:sz w:val="24"/>
          <w:szCs w:val="24"/>
        </w:rPr>
        <w:t xml:space="preserve"> mycobacterial infection is not mandated for the United States as a whole, it is mandated in </w:t>
      </w:r>
      <w:r w:rsidR="00AB42A6">
        <w:rPr>
          <w:color w:val="000000" w:themeColor="text1"/>
          <w:sz w:val="24"/>
          <w:szCs w:val="24"/>
        </w:rPr>
        <w:t xml:space="preserve">the state of Nebraska. Using reports </w:t>
      </w:r>
      <w:r w:rsidRPr="00F652AD">
        <w:rPr>
          <w:color w:val="000000" w:themeColor="text1"/>
          <w:sz w:val="24"/>
          <w:szCs w:val="24"/>
        </w:rPr>
        <w:t xml:space="preserve">of NTM infection in the state of Nebraska from 2012 until 2017, the objectives of this project were to estimate the population-based prevalence of NTM disease in Nebraska and to describe the patterns of NTM infection including location, species, specimen source, and patient demographic characteristics. </w:t>
      </w:r>
      <w:r w:rsidRPr="00F652AD">
        <w:rPr>
          <w:color w:val="000000" w:themeColor="text1"/>
          <w:sz w:val="24"/>
          <w:szCs w:val="24"/>
        </w:rPr>
        <w:lastRenderedPageBreak/>
        <w:t>This project serves to better estimate the burden of NTM in the United States through population-based prevalence and the associated risk factors of NTM infection within the state of Nebraska. By understanding the scope of the disease, populations affected, and species involved, public health professionals and health care providers can better understand the need for additional surveillance and which populations are at risk of NTM infection, in order to improve surveillance methods and develop strategies for prevention.</w:t>
      </w:r>
      <w:r w:rsidR="00703A5E">
        <w:rPr>
          <w:color w:val="000000" w:themeColor="text1"/>
          <w:sz w:val="24"/>
          <w:szCs w:val="24"/>
        </w:rPr>
        <w:t xml:space="preserve"> </w:t>
      </w:r>
      <w:r w:rsidRPr="00F652AD">
        <w:rPr>
          <w:color w:val="000000" w:themeColor="text1"/>
          <w:sz w:val="24"/>
          <w:szCs w:val="24"/>
        </w:rPr>
        <w:t>This project was conducted in collaboration with the Nebraska Department of H</w:t>
      </w:r>
      <w:r w:rsidR="00703A5E">
        <w:rPr>
          <w:color w:val="000000" w:themeColor="text1"/>
          <w:sz w:val="24"/>
          <w:szCs w:val="24"/>
        </w:rPr>
        <w:t>ealth and Human Services (DHHS).</w:t>
      </w:r>
    </w:p>
    <w:p w:rsidR="00F652AD" w:rsidRPr="00091489" w:rsidRDefault="00F652AD" w:rsidP="00091489">
      <w:pPr>
        <w:pStyle w:val="Heading1"/>
        <w:spacing w:before="0" w:line="480" w:lineRule="auto"/>
        <w:rPr>
          <w:rFonts w:asciiTheme="minorHAnsi" w:hAnsiTheme="minorHAnsi" w:cstheme="minorHAnsi"/>
          <w:b/>
          <w:color w:val="000000" w:themeColor="text1"/>
          <w:sz w:val="24"/>
          <w:szCs w:val="24"/>
          <w:u w:val="single"/>
        </w:rPr>
      </w:pPr>
      <w:r w:rsidRPr="00091489">
        <w:rPr>
          <w:rFonts w:asciiTheme="minorHAnsi" w:hAnsiTheme="minorHAnsi" w:cstheme="minorHAnsi"/>
          <w:b/>
          <w:color w:val="000000" w:themeColor="text1"/>
          <w:sz w:val="24"/>
          <w:szCs w:val="24"/>
          <w:u w:val="single"/>
        </w:rPr>
        <w:t>Methods</w:t>
      </w:r>
    </w:p>
    <w:p w:rsidR="00F652AD" w:rsidRPr="00F652AD" w:rsidRDefault="00F652AD" w:rsidP="00EC1E92">
      <w:pPr>
        <w:spacing w:line="480" w:lineRule="auto"/>
        <w:rPr>
          <w:b/>
          <w:color w:val="000000" w:themeColor="text1"/>
          <w:sz w:val="24"/>
          <w:szCs w:val="24"/>
        </w:rPr>
      </w:pPr>
      <w:r w:rsidRPr="00F652AD">
        <w:rPr>
          <w:b/>
          <w:i/>
          <w:color w:val="000000" w:themeColor="text1"/>
          <w:sz w:val="24"/>
          <w:szCs w:val="24"/>
        </w:rPr>
        <w:t>Study design &amp; data collection.</w:t>
      </w:r>
      <w:r w:rsidRPr="00F652AD">
        <w:rPr>
          <w:color w:val="000000" w:themeColor="text1"/>
          <w:sz w:val="24"/>
          <w:szCs w:val="24"/>
        </w:rPr>
        <w:t xml:space="preserve"> A retrospective review of surveillance reports of nontuberculous mycobacteria was conducted to provide estimates of the burden of infection in Nebraska. Nontuberculous mycobacteria (NTM) infections have been reportable in the state of Nebraska beginning in 2010, but this reporting was not considered reliable until 2012</w:t>
      </w:r>
      <w:r w:rsidR="00774A45">
        <w:rPr>
          <w:color w:val="000000" w:themeColor="text1"/>
          <w:sz w:val="24"/>
          <w:szCs w:val="24"/>
        </w:rPr>
        <w:t xml:space="preserve"> due to the time required to establish this reporting with providers and laboratories</w:t>
      </w:r>
      <w:r w:rsidR="00774A45" w:rsidRPr="00F652AD">
        <w:rPr>
          <w:color w:val="000000" w:themeColor="text1"/>
          <w:sz w:val="24"/>
          <w:szCs w:val="24"/>
        </w:rPr>
        <w:t xml:space="preserve">. </w:t>
      </w:r>
      <w:r w:rsidR="00774A45" w:rsidRPr="00565CA1">
        <w:rPr>
          <w:color w:val="000000" w:themeColor="text1"/>
          <w:sz w:val="24"/>
          <w:szCs w:val="24"/>
        </w:rPr>
        <w:t xml:space="preserve">Nebraska was one of the </w:t>
      </w:r>
      <w:r w:rsidR="00774A45">
        <w:rPr>
          <w:color w:val="000000" w:themeColor="text1"/>
          <w:sz w:val="24"/>
          <w:szCs w:val="24"/>
        </w:rPr>
        <w:t>first states to adopt the Center for Disease Control and Prevention’s electronic platform for</w:t>
      </w:r>
      <w:r w:rsidR="00774A45" w:rsidRPr="00565CA1">
        <w:rPr>
          <w:color w:val="000000" w:themeColor="text1"/>
          <w:sz w:val="24"/>
          <w:szCs w:val="24"/>
        </w:rPr>
        <w:t xml:space="preserve"> disease reporting. The system is called the Nebraska Electronic Disease Surveillance </w:t>
      </w:r>
      <w:r w:rsidR="00774A45">
        <w:rPr>
          <w:color w:val="000000" w:themeColor="text1"/>
          <w:sz w:val="24"/>
          <w:szCs w:val="24"/>
        </w:rPr>
        <w:t xml:space="preserve">System (NEDSS) in Nebraska, and </w:t>
      </w:r>
      <w:r w:rsidR="00774A45" w:rsidRPr="00565CA1">
        <w:rPr>
          <w:color w:val="000000" w:themeColor="text1"/>
          <w:sz w:val="24"/>
          <w:szCs w:val="24"/>
        </w:rPr>
        <w:t>there are an additional 23 jurisdictions that utilize th</w:t>
      </w:r>
      <w:r w:rsidR="00774A45">
        <w:rPr>
          <w:color w:val="000000" w:themeColor="text1"/>
          <w:sz w:val="24"/>
          <w:szCs w:val="24"/>
        </w:rPr>
        <w:t>is</w:t>
      </w:r>
      <w:r w:rsidR="00774A45" w:rsidRPr="00565CA1">
        <w:rPr>
          <w:color w:val="000000" w:themeColor="text1"/>
          <w:sz w:val="24"/>
          <w:szCs w:val="24"/>
        </w:rPr>
        <w:t xml:space="preserve"> platform</w:t>
      </w:r>
      <w:r w:rsidR="00774A45">
        <w:rPr>
          <w:color w:val="000000" w:themeColor="text1"/>
          <w:sz w:val="24"/>
          <w:szCs w:val="24"/>
        </w:rPr>
        <w:t xml:space="preserve"> to extract relevant information</w:t>
      </w:r>
      <w:r w:rsidR="00774A45" w:rsidRPr="00565CA1">
        <w:rPr>
          <w:color w:val="000000" w:themeColor="text1"/>
          <w:sz w:val="24"/>
          <w:szCs w:val="24"/>
        </w:rPr>
        <w:t xml:space="preserve"> from the HL7 messages that are sent via Public Health Information Network (PHIN) secure messages to the </w:t>
      </w:r>
      <w:r w:rsidR="00774A45" w:rsidRPr="00E84FF8">
        <w:rPr>
          <w:color w:val="000000" w:themeColor="text1"/>
          <w:sz w:val="24"/>
          <w:szCs w:val="24"/>
        </w:rPr>
        <w:t xml:space="preserve">NEDSS system </w:t>
      </w:r>
      <w:r w:rsidR="00E84FF8">
        <w:rPr>
          <w:color w:val="000000" w:themeColor="text1"/>
          <w:sz w:val="24"/>
          <w:szCs w:val="24"/>
        </w:rPr>
        <w:t>(</w:t>
      </w:r>
      <w:r w:rsidR="00774A45" w:rsidRPr="00E84FF8">
        <w:rPr>
          <w:color w:val="000000" w:themeColor="text1"/>
          <w:sz w:val="24"/>
          <w:szCs w:val="24"/>
        </w:rPr>
        <w:t>CDC</w:t>
      </w:r>
      <w:r w:rsidR="00E84FF8">
        <w:rPr>
          <w:color w:val="000000" w:themeColor="text1"/>
          <w:sz w:val="24"/>
          <w:szCs w:val="24"/>
        </w:rPr>
        <w:t>, 2017</w:t>
      </w:r>
      <w:r w:rsidR="00774A45" w:rsidRPr="00E84FF8">
        <w:rPr>
          <w:color w:val="000000" w:themeColor="text1"/>
          <w:sz w:val="24"/>
          <w:szCs w:val="24"/>
        </w:rPr>
        <w:t xml:space="preserve">). </w:t>
      </w:r>
      <w:r w:rsidR="00174C34" w:rsidRPr="00E84FF8">
        <w:rPr>
          <w:color w:val="000000" w:themeColor="text1"/>
          <w:sz w:val="24"/>
          <w:szCs w:val="24"/>
        </w:rPr>
        <w:t>NEDSS</w:t>
      </w:r>
      <w:r w:rsidRPr="00E84FF8">
        <w:rPr>
          <w:color w:val="000000" w:themeColor="text1"/>
          <w:sz w:val="24"/>
          <w:szCs w:val="24"/>
        </w:rPr>
        <w:t xml:space="preserve"> was</w:t>
      </w:r>
      <w:r w:rsidRPr="00F652AD">
        <w:rPr>
          <w:color w:val="000000" w:themeColor="text1"/>
          <w:sz w:val="24"/>
          <w:szCs w:val="24"/>
        </w:rPr>
        <w:t xml:space="preserve"> searched for all NTM infections reported from 01/01/2012 to 12/</w:t>
      </w:r>
      <w:r w:rsidR="00103A9B">
        <w:rPr>
          <w:color w:val="000000" w:themeColor="text1"/>
          <w:sz w:val="24"/>
          <w:szCs w:val="24"/>
        </w:rPr>
        <w:t>31/2017 to examine the burden of</w:t>
      </w:r>
      <w:r w:rsidRPr="00F652AD">
        <w:rPr>
          <w:color w:val="000000" w:themeColor="text1"/>
          <w:sz w:val="24"/>
          <w:szCs w:val="24"/>
        </w:rPr>
        <w:t xml:space="preserve"> NTM infections in the state of Nebraska over this six-year period. All of the data that was used for analysis was extracted from the NEDSS database into Microsoft Excel and cleaned using SAS Software version 9.4 (SAS Institute, Inc., Cary, North Carolina). The University of Nebraska Medical Center Institutional Rev</w:t>
      </w:r>
      <w:r w:rsidR="00103A9B">
        <w:rPr>
          <w:color w:val="000000" w:themeColor="text1"/>
          <w:sz w:val="24"/>
          <w:szCs w:val="24"/>
        </w:rPr>
        <w:t xml:space="preserve">iew Board </w:t>
      </w:r>
    </w:p>
    <w:p w:rsidR="00321FCB" w:rsidRPr="00091489" w:rsidRDefault="00321FCB" w:rsidP="00091489">
      <w:pPr>
        <w:pStyle w:val="Heading1"/>
        <w:spacing w:before="0" w:line="480" w:lineRule="auto"/>
        <w:rPr>
          <w:rFonts w:asciiTheme="minorHAnsi" w:hAnsiTheme="minorHAnsi" w:cstheme="minorHAnsi"/>
          <w:b/>
          <w:color w:val="000000" w:themeColor="text1"/>
          <w:sz w:val="24"/>
          <w:szCs w:val="24"/>
          <w:u w:val="single"/>
        </w:rPr>
      </w:pPr>
      <w:r w:rsidRPr="00091489">
        <w:rPr>
          <w:rFonts w:asciiTheme="minorHAnsi" w:hAnsiTheme="minorHAnsi" w:cstheme="minorHAnsi"/>
          <w:b/>
          <w:color w:val="000000" w:themeColor="text1"/>
          <w:sz w:val="24"/>
          <w:szCs w:val="24"/>
          <w:u w:val="single"/>
        </w:rPr>
        <w:lastRenderedPageBreak/>
        <w:t>Results</w:t>
      </w:r>
    </w:p>
    <w:p w:rsidR="00F619E6" w:rsidRPr="00F652AD" w:rsidRDefault="00686732" w:rsidP="00F652AD">
      <w:pPr>
        <w:spacing w:line="480" w:lineRule="auto"/>
        <w:ind w:firstLine="720"/>
        <w:rPr>
          <w:sz w:val="24"/>
          <w:szCs w:val="24"/>
        </w:rPr>
      </w:pPr>
      <w:r w:rsidRPr="00F652AD">
        <w:rPr>
          <w:sz w:val="24"/>
          <w:szCs w:val="24"/>
        </w:rPr>
        <w:t xml:space="preserve">During </w:t>
      </w:r>
      <w:r w:rsidR="00F619E6" w:rsidRPr="00F652AD">
        <w:rPr>
          <w:sz w:val="24"/>
          <w:szCs w:val="24"/>
        </w:rPr>
        <w:t>2012 to 2017</w:t>
      </w:r>
      <w:r w:rsidRPr="00F652AD">
        <w:rPr>
          <w:sz w:val="24"/>
          <w:szCs w:val="24"/>
        </w:rPr>
        <w:t xml:space="preserve">, </w:t>
      </w:r>
      <w:r w:rsidR="00F728EB">
        <w:rPr>
          <w:sz w:val="24"/>
          <w:szCs w:val="24"/>
        </w:rPr>
        <w:t xml:space="preserve">there were </w:t>
      </w:r>
      <w:r w:rsidR="00D25042" w:rsidRPr="00F652AD">
        <w:rPr>
          <w:sz w:val="24"/>
          <w:szCs w:val="24"/>
        </w:rPr>
        <w:t>759</w:t>
      </w:r>
      <w:r w:rsidR="00F728EB">
        <w:rPr>
          <w:sz w:val="24"/>
          <w:szCs w:val="24"/>
        </w:rPr>
        <w:t xml:space="preserve"> reports </w:t>
      </w:r>
      <w:r w:rsidRPr="00F652AD">
        <w:rPr>
          <w:sz w:val="24"/>
          <w:szCs w:val="24"/>
        </w:rPr>
        <w:t xml:space="preserve">of </w:t>
      </w:r>
      <w:r w:rsidR="009D0DEA" w:rsidRPr="00F652AD">
        <w:rPr>
          <w:sz w:val="24"/>
          <w:szCs w:val="24"/>
        </w:rPr>
        <w:t xml:space="preserve">nontuberculous </w:t>
      </w:r>
      <w:r w:rsidRPr="00F652AD">
        <w:rPr>
          <w:sz w:val="24"/>
          <w:szCs w:val="24"/>
        </w:rPr>
        <w:t xml:space="preserve">mycobacteria in the state of Nebraska </w:t>
      </w:r>
      <w:r w:rsidR="000643F0" w:rsidRPr="00F652AD">
        <w:rPr>
          <w:sz w:val="24"/>
          <w:szCs w:val="24"/>
        </w:rPr>
        <w:t xml:space="preserve">for </w:t>
      </w:r>
      <w:r w:rsidR="00C0184C" w:rsidRPr="00F652AD">
        <w:rPr>
          <w:color w:val="000000" w:themeColor="text1"/>
          <w:sz w:val="24"/>
          <w:szCs w:val="24"/>
        </w:rPr>
        <w:t>a period isolation</w:t>
      </w:r>
      <w:r w:rsidR="00253CB6" w:rsidRPr="00F652AD">
        <w:rPr>
          <w:color w:val="000000" w:themeColor="text1"/>
          <w:sz w:val="24"/>
          <w:szCs w:val="24"/>
        </w:rPr>
        <w:t xml:space="preserve"> rate</w:t>
      </w:r>
      <w:r w:rsidR="00C0184C" w:rsidRPr="00F652AD">
        <w:rPr>
          <w:color w:val="000000" w:themeColor="text1"/>
          <w:sz w:val="24"/>
          <w:szCs w:val="24"/>
        </w:rPr>
        <w:t xml:space="preserve"> equal </w:t>
      </w:r>
      <w:r w:rsidR="00C0184C" w:rsidRPr="00F652AD">
        <w:rPr>
          <w:sz w:val="24"/>
          <w:szCs w:val="24"/>
        </w:rPr>
        <w:t xml:space="preserve">to 40.21 cases per 100,000 population over the </w:t>
      </w:r>
      <w:r w:rsidR="00253CB6" w:rsidRPr="00F652AD">
        <w:rPr>
          <w:sz w:val="24"/>
          <w:szCs w:val="24"/>
        </w:rPr>
        <w:t>6-year</w:t>
      </w:r>
      <w:r w:rsidR="00C0184C" w:rsidRPr="00F652AD">
        <w:rPr>
          <w:sz w:val="24"/>
          <w:szCs w:val="24"/>
        </w:rPr>
        <w:t xml:space="preserve"> period.</w:t>
      </w:r>
      <w:r w:rsidR="00146668" w:rsidRPr="00F652AD">
        <w:rPr>
          <w:sz w:val="24"/>
          <w:szCs w:val="24"/>
        </w:rPr>
        <w:t xml:space="preserve"> The annualized isolation rate wa</w:t>
      </w:r>
      <w:r w:rsidR="00C0184C" w:rsidRPr="00F652AD">
        <w:rPr>
          <w:sz w:val="24"/>
          <w:szCs w:val="24"/>
        </w:rPr>
        <w:t>s</w:t>
      </w:r>
      <w:r w:rsidR="000643F0" w:rsidRPr="00F652AD">
        <w:rPr>
          <w:sz w:val="24"/>
          <w:szCs w:val="24"/>
        </w:rPr>
        <w:t xml:space="preserve"> 6.70 cases per 100,000 population</w:t>
      </w:r>
      <w:r w:rsidR="00C0184C" w:rsidRPr="00F652AD">
        <w:rPr>
          <w:sz w:val="24"/>
          <w:szCs w:val="24"/>
        </w:rPr>
        <w:t xml:space="preserve"> and 6.16 cases per 100,000 population a</w:t>
      </w:r>
      <w:r w:rsidR="000643F0" w:rsidRPr="00F652AD">
        <w:rPr>
          <w:sz w:val="24"/>
          <w:szCs w:val="24"/>
        </w:rPr>
        <w:t xml:space="preserve">fter exclusion of </w:t>
      </w:r>
      <w:r w:rsidR="000643F0" w:rsidRPr="00F652AD">
        <w:rPr>
          <w:i/>
          <w:sz w:val="24"/>
          <w:szCs w:val="24"/>
        </w:rPr>
        <w:t>Mycobacterium</w:t>
      </w:r>
      <w:r w:rsidR="000643F0" w:rsidRPr="00F652AD">
        <w:rPr>
          <w:sz w:val="24"/>
          <w:szCs w:val="24"/>
        </w:rPr>
        <w:t xml:space="preserve"> </w:t>
      </w:r>
      <w:proofErr w:type="spellStart"/>
      <w:r w:rsidR="000643F0" w:rsidRPr="00F652AD">
        <w:rPr>
          <w:i/>
          <w:sz w:val="24"/>
          <w:szCs w:val="24"/>
        </w:rPr>
        <w:t>Gordonae</w:t>
      </w:r>
      <w:proofErr w:type="spellEnd"/>
      <w:r w:rsidR="00C0184C" w:rsidRPr="00F652AD">
        <w:rPr>
          <w:sz w:val="24"/>
          <w:szCs w:val="24"/>
        </w:rPr>
        <w:t>.</w:t>
      </w:r>
      <w:r w:rsidR="000643F0" w:rsidRPr="00F652AD">
        <w:rPr>
          <w:sz w:val="24"/>
          <w:szCs w:val="24"/>
        </w:rPr>
        <w:t xml:space="preserve"> </w:t>
      </w:r>
      <w:r w:rsidR="00F619E6" w:rsidRPr="00F652AD">
        <w:rPr>
          <w:sz w:val="24"/>
          <w:szCs w:val="24"/>
        </w:rPr>
        <w:t xml:space="preserve">From the original 934 lab reports from this </w:t>
      </w:r>
      <w:proofErr w:type="gramStart"/>
      <w:r w:rsidR="00F619E6" w:rsidRPr="00F652AD">
        <w:rPr>
          <w:sz w:val="24"/>
          <w:szCs w:val="24"/>
        </w:rPr>
        <w:t>time period</w:t>
      </w:r>
      <w:proofErr w:type="gramEnd"/>
      <w:r w:rsidR="00F619E6" w:rsidRPr="00F652AD">
        <w:rPr>
          <w:sz w:val="24"/>
          <w:szCs w:val="24"/>
        </w:rPr>
        <w:t>, 111 were excluded due to residency outside of Neb</w:t>
      </w:r>
      <w:r w:rsidR="00D25042" w:rsidRPr="00F652AD">
        <w:rPr>
          <w:sz w:val="24"/>
          <w:szCs w:val="24"/>
        </w:rPr>
        <w:t>raska or an unknown location, 57</w:t>
      </w:r>
      <w:r w:rsidR="00F619E6" w:rsidRPr="00F652AD">
        <w:rPr>
          <w:sz w:val="24"/>
          <w:szCs w:val="24"/>
        </w:rPr>
        <w:t xml:space="preserve"> were excluded due to negative results or because results </w:t>
      </w:r>
      <w:r w:rsidR="007F5E72" w:rsidRPr="00F652AD">
        <w:rPr>
          <w:sz w:val="24"/>
          <w:szCs w:val="24"/>
        </w:rPr>
        <w:t>reported</w:t>
      </w:r>
      <w:r w:rsidR="00F619E6" w:rsidRPr="00F652AD">
        <w:rPr>
          <w:sz w:val="24"/>
          <w:szCs w:val="24"/>
        </w:rPr>
        <w:t xml:space="preserve"> </w:t>
      </w:r>
      <w:r w:rsidR="007F5E72" w:rsidRPr="00F652AD">
        <w:rPr>
          <w:sz w:val="24"/>
          <w:szCs w:val="24"/>
        </w:rPr>
        <w:t>detected</w:t>
      </w:r>
      <w:r w:rsidR="00EF0141" w:rsidRPr="00F652AD">
        <w:rPr>
          <w:color w:val="000000" w:themeColor="text1"/>
          <w:sz w:val="24"/>
          <w:szCs w:val="24"/>
        </w:rPr>
        <w:t xml:space="preserve"> </w:t>
      </w:r>
      <w:r w:rsidR="007F5E72" w:rsidRPr="00F652AD">
        <w:rPr>
          <w:color w:val="000000" w:themeColor="text1"/>
          <w:sz w:val="24"/>
          <w:szCs w:val="24"/>
        </w:rPr>
        <w:t>organisms</w:t>
      </w:r>
      <w:r w:rsidR="00EF0141" w:rsidRPr="00F652AD">
        <w:rPr>
          <w:color w:val="000000" w:themeColor="text1"/>
          <w:sz w:val="24"/>
          <w:szCs w:val="24"/>
        </w:rPr>
        <w:t xml:space="preserve"> </w:t>
      </w:r>
      <w:r w:rsidR="00EF0141" w:rsidRPr="00F652AD">
        <w:rPr>
          <w:sz w:val="24"/>
          <w:szCs w:val="24"/>
        </w:rPr>
        <w:t>other than</w:t>
      </w:r>
      <w:r w:rsidR="00F619E6" w:rsidRPr="00F652AD">
        <w:rPr>
          <w:sz w:val="24"/>
          <w:szCs w:val="24"/>
        </w:rPr>
        <w:t xml:space="preserve"> NTM including </w:t>
      </w:r>
      <w:r w:rsidR="00EF0141" w:rsidRPr="00F652AD">
        <w:rPr>
          <w:i/>
          <w:sz w:val="24"/>
          <w:szCs w:val="24"/>
        </w:rPr>
        <w:t>Mycobacterium Tuberculosis</w:t>
      </w:r>
      <w:r w:rsidR="00F619E6" w:rsidRPr="00F652AD">
        <w:rPr>
          <w:sz w:val="24"/>
          <w:szCs w:val="24"/>
        </w:rPr>
        <w:t xml:space="preserve">, </w:t>
      </w:r>
      <w:r w:rsidR="00953F66" w:rsidRPr="00F652AD">
        <w:rPr>
          <w:i/>
          <w:sz w:val="24"/>
          <w:szCs w:val="24"/>
        </w:rPr>
        <w:t>Mycobacterium Leprae</w:t>
      </w:r>
      <w:r w:rsidR="00953F66" w:rsidRPr="00F652AD">
        <w:rPr>
          <w:sz w:val="24"/>
          <w:szCs w:val="24"/>
        </w:rPr>
        <w:t xml:space="preserve">, </w:t>
      </w:r>
      <w:r w:rsidR="00F619E6" w:rsidRPr="00EC1E92">
        <w:rPr>
          <w:i/>
          <w:sz w:val="24"/>
          <w:szCs w:val="24"/>
        </w:rPr>
        <w:t xml:space="preserve">Histoplasma </w:t>
      </w:r>
      <w:r w:rsidR="00EC1E92" w:rsidRPr="00EC1E92">
        <w:rPr>
          <w:i/>
          <w:sz w:val="24"/>
          <w:szCs w:val="24"/>
        </w:rPr>
        <w:t>c</w:t>
      </w:r>
      <w:r w:rsidR="00F619E6" w:rsidRPr="00EC1E92">
        <w:rPr>
          <w:i/>
          <w:sz w:val="24"/>
          <w:szCs w:val="24"/>
        </w:rPr>
        <w:t xml:space="preserve">apsulatum, </w:t>
      </w:r>
      <w:r w:rsidR="00F619E6" w:rsidRPr="00EC1E92">
        <w:rPr>
          <w:sz w:val="24"/>
          <w:szCs w:val="24"/>
        </w:rPr>
        <w:t>and</w:t>
      </w:r>
      <w:r w:rsidR="00F619E6" w:rsidRPr="00EC1E92">
        <w:rPr>
          <w:i/>
          <w:sz w:val="24"/>
          <w:szCs w:val="24"/>
        </w:rPr>
        <w:t xml:space="preserve"> Corynebacterium </w:t>
      </w:r>
      <w:proofErr w:type="spellStart"/>
      <w:r w:rsidR="00EC1E92" w:rsidRPr="00EC1E92">
        <w:rPr>
          <w:i/>
          <w:sz w:val="24"/>
          <w:szCs w:val="24"/>
        </w:rPr>
        <w:t>a</w:t>
      </w:r>
      <w:r w:rsidR="00F619E6" w:rsidRPr="00EC1E92">
        <w:rPr>
          <w:i/>
          <w:sz w:val="24"/>
          <w:szCs w:val="24"/>
        </w:rPr>
        <w:t>mycolatum</w:t>
      </w:r>
      <w:proofErr w:type="spellEnd"/>
      <w:r w:rsidR="00F619E6" w:rsidRPr="00F652AD">
        <w:rPr>
          <w:sz w:val="24"/>
          <w:szCs w:val="24"/>
        </w:rPr>
        <w:t>, and 7 results from environmental sources were excluded because they were not connec</w:t>
      </w:r>
      <w:r w:rsidR="0071476E" w:rsidRPr="00F652AD">
        <w:rPr>
          <w:sz w:val="24"/>
          <w:szCs w:val="24"/>
        </w:rPr>
        <w:t xml:space="preserve">ted to an identifiable patient (Figure 1). </w:t>
      </w:r>
      <w:r w:rsidR="0093708F" w:rsidRPr="00F652AD">
        <w:rPr>
          <w:sz w:val="24"/>
          <w:szCs w:val="24"/>
        </w:rPr>
        <w:t>Environmental sources reported include scrub sink aerators, PMS water, turnout tap PMS, and counter tap H</w:t>
      </w:r>
      <w:r w:rsidR="0093708F" w:rsidRPr="00F652AD">
        <w:rPr>
          <w:sz w:val="24"/>
          <w:szCs w:val="24"/>
          <w:vertAlign w:val="subscript"/>
        </w:rPr>
        <w:t>2</w:t>
      </w:r>
      <w:r w:rsidR="0093708F" w:rsidRPr="00F652AD">
        <w:rPr>
          <w:sz w:val="24"/>
          <w:szCs w:val="24"/>
        </w:rPr>
        <w:t>O PMS</w:t>
      </w:r>
      <w:r w:rsidR="004A1872" w:rsidRPr="00F652AD">
        <w:rPr>
          <w:sz w:val="24"/>
          <w:szCs w:val="24"/>
        </w:rPr>
        <w:t xml:space="preserve">. Species identified from environmental sources include </w:t>
      </w:r>
      <w:r w:rsidR="004A1872" w:rsidRPr="00F652AD">
        <w:rPr>
          <w:i/>
          <w:sz w:val="24"/>
          <w:szCs w:val="24"/>
        </w:rPr>
        <w:t xml:space="preserve">Mycobacterium </w:t>
      </w:r>
      <w:proofErr w:type="spellStart"/>
      <w:r w:rsidR="004A1872" w:rsidRPr="00F652AD">
        <w:rPr>
          <w:i/>
          <w:sz w:val="24"/>
          <w:szCs w:val="24"/>
        </w:rPr>
        <w:t>Mucogenicum</w:t>
      </w:r>
      <w:proofErr w:type="spellEnd"/>
      <w:r w:rsidR="004A1872" w:rsidRPr="00F652AD">
        <w:rPr>
          <w:sz w:val="24"/>
          <w:szCs w:val="24"/>
        </w:rPr>
        <w:t>,</w:t>
      </w:r>
      <w:r w:rsidR="004A1872" w:rsidRPr="00F652AD">
        <w:rPr>
          <w:i/>
          <w:sz w:val="24"/>
          <w:szCs w:val="24"/>
        </w:rPr>
        <w:t xml:space="preserve"> Mycobacterium Avium </w:t>
      </w:r>
      <w:proofErr w:type="spellStart"/>
      <w:r w:rsidR="004A1872" w:rsidRPr="00F652AD">
        <w:rPr>
          <w:i/>
          <w:sz w:val="24"/>
          <w:szCs w:val="24"/>
        </w:rPr>
        <w:t>Intracellulare</w:t>
      </w:r>
      <w:proofErr w:type="spellEnd"/>
      <w:r w:rsidR="004A1872" w:rsidRPr="00F652AD">
        <w:rPr>
          <w:sz w:val="24"/>
          <w:szCs w:val="24"/>
        </w:rPr>
        <w:t>,</w:t>
      </w:r>
      <w:r w:rsidR="004A1872" w:rsidRPr="00F652AD">
        <w:rPr>
          <w:i/>
          <w:sz w:val="24"/>
          <w:szCs w:val="24"/>
        </w:rPr>
        <w:t xml:space="preserve"> Mycobacterium Chimaera</w:t>
      </w:r>
      <w:r w:rsidR="004A1872" w:rsidRPr="00F652AD">
        <w:rPr>
          <w:sz w:val="24"/>
          <w:szCs w:val="24"/>
        </w:rPr>
        <w:t>,</w:t>
      </w:r>
      <w:r w:rsidR="004A1872" w:rsidRPr="00F652AD">
        <w:rPr>
          <w:i/>
          <w:sz w:val="24"/>
          <w:szCs w:val="24"/>
        </w:rPr>
        <w:t xml:space="preserve"> Mycobacterium </w:t>
      </w:r>
      <w:proofErr w:type="spellStart"/>
      <w:r w:rsidR="004A1872" w:rsidRPr="00F652AD">
        <w:rPr>
          <w:i/>
          <w:sz w:val="24"/>
          <w:szCs w:val="24"/>
        </w:rPr>
        <w:t>Kansasii</w:t>
      </w:r>
      <w:proofErr w:type="spellEnd"/>
      <w:r w:rsidR="004A1872" w:rsidRPr="00F652AD">
        <w:rPr>
          <w:sz w:val="24"/>
          <w:szCs w:val="24"/>
        </w:rPr>
        <w:t xml:space="preserve">, and </w:t>
      </w:r>
      <w:proofErr w:type="spellStart"/>
      <w:r w:rsidR="004A1872" w:rsidRPr="00F652AD">
        <w:rPr>
          <w:i/>
          <w:sz w:val="24"/>
          <w:szCs w:val="24"/>
        </w:rPr>
        <w:t>Mycbacterium</w:t>
      </w:r>
      <w:proofErr w:type="spellEnd"/>
      <w:r w:rsidR="004A1872" w:rsidRPr="00F652AD">
        <w:rPr>
          <w:i/>
          <w:sz w:val="24"/>
          <w:szCs w:val="24"/>
        </w:rPr>
        <w:t xml:space="preserve"> </w:t>
      </w:r>
      <w:proofErr w:type="spellStart"/>
      <w:r w:rsidR="004A1872" w:rsidRPr="00F652AD">
        <w:rPr>
          <w:i/>
          <w:sz w:val="24"/>
          <w:szCs w:val="24"/>
        </w:rPr>
        <w:t>Arupense</w:t>
      </w:r>
      <w:proofErr w:type="spellEnd"/>
      <w:r w:rsidR="004A1872" w:rsidRPr="00F652AD">
        <w:rPr>
          <w:sz w:val="24"/>
          <w:szCs w:val="24"/>
        </w:rPr>
        <w:t>.</w:t>
      </w:r>
    </w:p>
    <w:p w:rsidR="00F652AD" w:rsidRDefault="00F652AD" w:rsidP="00222FFB">
      <w:pPr>
        <w:outlineLvl w:val="0"/>
        <w:rPr>
          <w:rFonts w:ascii="Arial" w:hAnsi="Arial" w:cs="Arial"/>
          <w:color w:val="000000"/>
          <w:sz w:val="24"/>
          <w:szCs w:val="24"/>
        </w:rPr>
      </w:pPr>
    </w:p>
    <w:p w:rsidR="008512EB" w:rsidRDefault="008512EB">
      <w:pPr>
        <w:spacing w:after="160" w:line="259" w:lineRule="auto"/>
        <w:rPr>
          <w:rFonts w:asciiTheme="minorHAnsi" w:eastAsiaTheme="majorEastAsia" w:hAnsiTheme="minorHAnsi" w:cstheme="minorHAnsi"/>
          <w:color w:val="000000"/>
          <w:sz w:val="24"/>
          <w:szCs w:val="24"/>
        </w:rPr>
      </w:pPr>
      <w:r>
        <w:rPr>
          <w:rFonts w:asciiTheme="minorHAnsi" w:hAnsiTheme="minorHAnsi" w:cstheme="minorHAnsi"/>
          <w:color w:val="000000"/>
          <w:sz w:val="24"/>
          <w:szCs w:val="24"/>
        </w:rPr>
        <w:br w:type="page"/>
      </w:r>
    </w:p>
    <w:p w:rsidR="00313595" w:rsidRPr="008512EB" w:rsidRDefault="00313595" w:rsidP="00206848">
      <w:pPr>
        <w:pStyle w:val="Heading2"/>
        <w:rPr>
          <w:rFonts w:asciiTheme="minorHAnsi" w:hAnsiTheme="minorHAnsi" w:cstheme="minorHAnsi"/>
          <w:color w:val="000000"/>
          <w:sz w:val="24"/>
          <w:szCs w:val="24"/>
        </w:rPr>
      </w:pPr>
      <w:r w:rsidRPr="008512EB">
        <w:rPr>
          <w:rFonts w:asciiTheme="minorHAnsi" w:hAnsiTheme="minorHAnsi" w:cstheme="minorHAnsi"/>
          <w:color w:val="000000"/>
          <w:sz w:val="24"/>
          <w:szCs w:val="24"/>
        </w:rPr>
        <w:lastRenderedPageBreak/>
        <w:t>Figure 1.</w:t>
      </w:r>
      <w:r w:rsidR="0071476E" w:rsidRPr="008512EB">
        <w:rPr>
          <w:rFonts w:asciiTheme="minorHAnsi" w:hAnsiTheme="minorHAnsi" w:cstheme="minorHAnsi"/>
          <w:color w:val="000000"/>
          <w:sz w:val="24"/>
          <w:szCs w:val="24"/>
        </w:rPr>
        <w:t xml:space="preserve"> Sample Flow Diagram</w:t>
      </w:r>
    </w:p>
    <w:p w:rsidR="00F652AD" w:rsidRPr="00F652AD" w:rsidRDefault="00F652AD" w:rsidP="00222FFB">
      <w:pPr>
        <w:outlineLvl w:val="0"/>
        <w:rPr>
          <w:rFonts w:ascii="Arial" w:hAnsi="Arial" w:cs="Arial"/>
          <w:color w:val="FF0000"/>
          <w:sz w:val="24"/>
          <w:szCs w:val="24"/>
        </w:rPr>
      </w:pPr>
    </w:p>
    <w:p w:rsidR="0071476E" w:rsidRDefault="00032416" w:rsidP="0071476E">
      <w:pPr>
        <w:rPr>
          <w:color w:val="000000"/>
        </w:rPr>
      </w:pPr>
      <w:r>
        <w:rPr>
          <w:noProof/>
          <w:szCs w:val="16"/>
        </w:rPr>
        <w:drawing>
          <wp:inline distT="0" distB="0" distL="0" distR="0" wp14:anchorId="0623ECEE" wp14:editId="2B450C9A">
            <wp:extent cx="5346700" cy="5816600"/>
            <wp:effectExtent l="0" t="38100" r="0" b="127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367DDE" w:rsidRDefault="00367DDE" w:rsidP="0071476E"/>
    <w:p w:rsidR="001A63AC" w:rsidRPr="00F652AD" w:rsidRDefault="001A63AC" w:rsidP="00F652AD">
      <w:pPr>
        <w:spacing w:line="480" w:lineRule="auto"/>
        <w:ind w:firstLine="720"/>
        <w:rPr>
          <w:color w:val="000000" w:themeColor="text1"/>
          <w:sz w:val="24"/>
          <w:szCs w:val="24"/>
        </w:rPr>
      </w:pPr>
      <w:r w:rsidRPr="00F652AD">
        <w:rPr>
          <w:color w:val="000000" w:themeColor="text1"/>
          <w:sz w:val="24"/>
          <w:szCs w:val="24"/>
        </w:rPr>
        <w:t xml:space="preserve">Ages </w:t>
      </w:r>
      <w:r w:rsidR="00BC5504" w:rsidRPr="00F652AD">
        <w:rPr>
          <w:color w:val="000000" w:themeColor="text1"/>
          <w:sz w:val="24"/>
          <w:szCs w:val="24"/>
        </w:rPr>
        <w:t>ranged</w:t>
      </w:r>
      <w:r w:rsidR="00F50EA9" w:rsidRPr="00F652AD">
        <w:rPr>
          <w:color w:val="000000" w:themeColor="text1"/>
          <w:sz w:val="24"/>
          <w:szCs w:val="24"/>
        </w:rPr>
        <w:t xml:space="preserve"> from 0 to 97 </w:t>
      </w:r>
      <w:r w:rsidR="00637F7B" w:rsidRPr="00F652AD">
        <w:rPr>
          <w:color w:val="000000" w:themeColor="text1"/>
          <w:sz w:val="24"/>
          <w:szCs w:val="24"/>
        </w:rPr>
        <w:t>years</w:t>
      </w:r>
      <w:r w:rsidR="00F50EA9" w:rsidRPr="00F652AD">
        <w:rPr>
          <w:color w:val="000000" w:themeColor="text1"/>
          <w:sz w:val="24"/>
          <w:szCs w:val="24"/>
        </w:rPr>
        <w:t xml:space="preserve"> with a</w:t>
      </w:r>
      <w:r w:rsidRPr="00F652AD">
        <w:rPr>
          <w:color w:val="000000" w:themeColor="text1"/>
          <w:sz w:val="24"/>
          <w:szCs w:val="24"/>
        </w:rPr>
        <w:t xml:space="preserve"> </w:t>
      </w:r>
      <w:r w:rsidR="00F50EA9" w:rsidRPr="00F652AD">
        <w:rPr>
          <w:color w:val="000000" w:themeColor="text1"/>
          <w:sz w:val="24"/>
          <w:szCs w:val="24"/>
        </w:rPr>
        <w:t>mean of</w:t>
      </w:r>
      <w:r w:rsidRPr="00F652AD">
        <w:rPr>
          <w:color w:val="000000" w:themeColor="text1"/>
          <w:sz w:val="24"/>
          <w:szCs w:val="24"/>
        </w:rPr>
        <w:t xml:space="preserve"> 57 years </w:t>
      </w:r>
      <w:r w:rsidR="00F50EA9" w:rsidRPr="00F652AD">
        <w:rPr>
          <w:color w:val="000000" w:themeColor="text1"/>
          <w:sz w:val="24"/>
          <w:szCs w:val="24"/>
        </w:rPr>
        <w:t>(</w:t>
      </w:r>
      <w:r w:rsidR="0071476E" w:rsidRPr="00F652AD">
        <w:rPr>
          <w:color w:val="000000" w:themeColor="text1"/>
          <w:sz w:val="24"/>
          <w:szCs w:val="24"/>
        </w:rPr>
        <w:t>STD</w:t>
      </w:r>
      <w:r w:rsidR="00F50EA9" w:rsidRPr="00F652AD">
        <w:rPr>
          <w:color w:val="000000" w:themeColor="text1"/>
          <w:sz w:val="24"/>
          <w:szCs w:val="24"/>
        </w:rPr>
        <w:t>=</w:t>
      </w:r>
      <w:r w:rsidR="006A554B" w:rsidRPr="00F652AD">
        <w:rPr>
          <w:color w:val="000000" w:themeColor="text1"/>
          <w:sz w:val="24"/>
          <w:szCs w:val="24"/>
        </w:rPr>
        <w:t xml:space="preserve">22.57 years). </w:t>
      </w:r>
      <w:r w:rsidR="00D633D6" w:rsidRPr="00F652AD">
        <w:rPr>
          <w:color w:val="000000" w:themeColor="text1"/>
          <w:sz w:val="24"/>
          <w:szCs w:val="24"/>
        </w:rPr>
        <w:t xml:space="preserve">The mean age for patients with pulmonary isolates was nearly twenty years older than the </w:t>
      </w:r>
      <w:r w:rsidR="00146668" w:rsidRPr="00F652AD">
        <w:rPr>
          <w:color w:val="000000" w:themeColor="text1"/>
          <w:sz w:val="24"/>
          <w:szCs w:val="24"/>
        </w:rPr>
        <w:t xml:space="preserve">mean </w:t>
      </w:r>
      <w:r w:rsidR="00D633D6" w:rsidRPr="00F652AD">
        <w:rPr>
          <w:color w:val="000000" w:themeColor="text1"/>
          <w:sz w:val="24"/>
          <w:szCs w:val="24"/>
        </w:rPr>
        <w:t xml:space="preserve">age of patients with </w:t>
      </w:r>
      <w:proofErr w:type="spellStart"/>
      <w:r w:rsidR="00D633D6" w:rsidRPr="00F652AD">
        <w:rPr>
          <w:color w:val="000000" w:themeColor="text1"/>
          <w:sz w:val="24"/>
          <w:szCs w:val="24"/>
        </w:rPr>
        <w:t>nonpulmonary</w:t>
      </w:r>
      <w:proofErr w:type="spellEnd"/>
      <w:r w:rsidR="00D633D6" w:rsidRPr="00F652AD">
        <w:rPr>
          <w:color w:val="000000" w:themeColor="text1"/>
          <w:sz w:val="24"/>
          <w:szCs w:val="24"/>
        </w:rPr>
        <w:t xml:space="preserve"> isolates. </w:t>
      </w:r>
      <w:r w:rsidR="000F1C93" w:rsidRPr="00F652AD">
        <w:rPr>
          <w:color w:val="000000" w:themeColor="text1"/>
          <w:sz w:val="24"/>
          <w:szCs w:val="24"/>
        </w:rPr>
        <w:t xml:space="preserve">A majority of the </w:t>
      </w:r>
      <w:r w:rsidR="008B72F6">
        <w:rPr>
          <w:color w:val="000000" w:themeColor="text1"/>
          <w:sz w:val="24"/>
          <w:szCs w:val="24"/>
        </w:rPr>
        <w:t xml:space="preserve">overall </w:t>
      </w:r>
      <w:r w:rsidR="000F1C93" w:rsidRPr="00F652AD">
        <w:rPr>
          <w:color w:val="000000" w:themeColor="text1"/>
          <w:sz w:val="24"/>
          <w:szCs w:val="24"/>
        </w:rPr>
        <w:t xml:space="preserve">sample </w:t>
      </w:r>
      <w:r w:rsidR="00BD6524" w:rsidRPr="00F652AD">
        <w:rPr>
          <w:color w:val="000000" w:themeColor="text1"/>
          <w:sz w:val="24"/>
          <w:szCs w:val="24"/>
        </w:rPr>
        <w:t>were males</w:t>
      </w:r>
      <w:r w:rsidR="000F1C93" w:rsidRPr="00F652AD">
        <w:rPr>
          <w:color w:val="000000" w:themeColor="text1"/>
          <w:sz w:val="24"/>
          <w:szCs w:val="24"/>
        </w:rPr>
        <w:t xml:space="preserve"> (53%)</w:t>
      </w:r>
      <w:r w:rsidR="003453DF" w:rsidRPr="00F652AD">
        <w:rPr>
          <w:color w:val="000000" w:themeColor="text1"/>
          <w:sz w:val="24"/>
          <w:szCs w:val="24"/>
        </w:rPr>
        <w:t>.</w:t>
      </w:r>
      <w:r w:rsidR="0065446F" w:rsidRPr="00F652AD">
        <w:rPr>
          <w:color w:val="000000" w:themeColor="text1"/>
          <w:sz w:val="24"/>
          <w:szCs w:val="24"/>
        </w:rPr>
        <w:t xml:space="preserve"> The time from sample collection to laboratory report</w:t>
      </w:r>
      <w:r w:rsidR="00BF7223" w:rsidRPr="00F652AD">
        <w:rPr>
          <w:color w:val="000000" w:themeColor="text1"/>
          <w:sz w:val="24"/>
          <w:szCs w:val="24"/>
        </w:rPr>
        <w:t>ing</w:t>
      </w:r>
      <w:r w:rsidR="0065446F" w:rsidRPr="00F652AD">
        <w:rPr>
          <w:color w:val="000000" w:themeColor="text1"/>
          <w:sz w:val="24"/>
          <w:szCs w:val="24"/>
        </w:rPr>
        <w:t xml:space="preserve"> ranged from 0 to 393 days with an overall mean of 35.5 </w:t>
      </w:r>
      <w:r w:rsidR="0065446F" w:rsidRPr="00F652AD">
        <w:rPr>
          <w:color w:val="000000" w:themeColor="text1"/>
          <w:sz w:val="24"/>
          <w:szCs w:val="24"/>
        </w:rPr>
        <w:lastRenderedPageBreak/>
        <w:t xml:space="preserve">days. This overall mean greatly differs from that of reports with </w:t>
      </w:r>
      <w:r w:rsidR="00450182" w:rsidRPr="00F652AD">
        <w:rPr>
          <w:color w:val="000000" w:themeColor="text1"/>
          <w:sz w:val="24"/>
          <w:szCs w:val="24"/>
        </w:rPr>
        <w:t>complete data for the</w:t>
      </w:r>
      <w:r w:rsidR="0065446F" w:rsidRPr="00F652AD">
        <w:rPr>
          <w:color w:val="000000" w:themeColor="text1"/>
          <w:sz w:val="24"/>
          <w:szCs w:val="24"/>
        </w:rPr>
        <w:t xml:space="preserve"> spe</w:t>
      </w:r>
      <w:r w:rsidR="00F12E1C" w:rsidRPr="00F652AD">
        <w:rPr>
          <w:color w:val="000000" w:themeColor="text1"/>
          <w:sz w:val="24"/>
          <w:szCs w:val="24"/>
        </w:rPr>
        <w:t>cimen source as seen in Table 1</w:t>
      </w:r>
      <w:r w:rsidR="002C799D" w:rsidRPr="00F652AD">
        <w:rPr>
          <w:color w:val="000000" w:themeColor="text1"/>
          <w:sz w:val="24"/>
          <w:szCs w:val="24"/>
        </w:rPr>
        <w:t>a</w:t>
      </w:r>
      <w:r w:rsidR="0065446F" w:rsidRPr="00F652AD">
        <w:rPr>
          <w:color w:val="000000" w:themeColor="text1"/>
          <w:sz w:val="24"/>
          <w:szCs w:val="24"/>
        </w:rPr>
        <w:t xml:space="preserve">. </w:t>
      </w:r>
    </w:p>
    <w:p w:rsidR="00E630A0" w:rsidRPr="00F652AD" w:rsidRDefault="00533743" w:rsidP="00F652AD">
      <w:pPr>
        <w:spacing w:line="480" w:lineRule="auto"/>
        <w:ind w:firstLine="720"/>
        <w:rPr>
          <w:color w:val="000000" w:themeColor="text1"/>
          <w:sz w:val="24"/>
          <w:szCs w:val="24"/>
        </w:rPr>
      </w:pPr>
      <w:r w:rsidRPr="00F652AD">
        <w:rPr>
          <w:color w:val="000000" w:themeColor="text1"/>
          <w:sz w:val="24"/>
          <w:szCs w:val="24"/>
        </w:rPr>
        <w:t xml:space="preserve">Of the cases with an identified specimen source, </w:t>
      </w:r>
      <w:r w:rsidR="00B134C2" w:rsidRPr="00F652AD">
        <w:rPr>
          <w:color w:val="000000" w:themeColor="text1"/>
          <w:sz w:val="24"/>
          <w:szCs w:val="24"/>
        </w:rPr>
        <w:t>180</w:t>
      </w:r>
      <w:r w:rsidR="0016265D" w:rsidRPr="00F652AD">
        <w:rPr>
          <w:color w:val="000000" w:themeColor="text1"/>
          <w:sz w:val="24"/>
          <w:szCs w:val="24"/>
        </w:rPr>
        <w:t xml:space="preserve"> (46</w:t>
      </w:r>
      <w:r w:rsidR="00686732" w:rsidRPr="00F652AD">
        <w:rPr>
          <w:color w:val="000000" w:themeColor="text1"/>
          <w:sz w:val="24"/>
          <w:szCs w:val="24"/>
        </w:rPr>
        <w:t xml:space="preserve">%) </w:t>
      </w:r>
      <w:r w:rsidRPr="00F652AD">
        <w:rPr>
          <w:color w:val="000000" w:themeColor="text1"/>
          <w:sz w:val="24"/>
          <w:szCs w:val="24"/>
        </w:rPr>
        <w:t>were</w:t>
      </w:r>
      <w:r w:rsidR="00686732" w:rsidRPr="00F652AD">
        <w:rPr>
          <w:color w:val="000000" w:themeColor="text1"/>
          <w:sz w:val="24"/>
          <w:szCs w:val="24"/>
        </w:rPr>
        <w:t xml:space="preserve"> pulmonary and</w:t>
      </w:r>
      <w:r w:rsidR="006F49A6" w:rsidRPr="00F652AD">
        <w:rPr>
          <w:color w:val="000000" w:themeColor="text1"/>
          <w:sz w:val="24"/>
          <w:szCs w:val="24"/>
        </w:rPr>
        <w:t xml:space="preserve"> 209</w:t>
      </w:r>
      <w:r w:rsidR="0016265D" w:rsidRPr="00F652AD">
        <w:rPr>
          <w:color w:val="000000" w:themeColor="text1"/>
          <w:sz w:val="24"/>
          <w:szCs w:val="24"/>
        </w:rPr>
        <w:t xml:space="preserve"> (54</w:t>
      </w:r>
      <w:r w:rsidR="0071476E" w:rsidRPr="00F652AD">
        <w:rPr>
          <w:color w:val="000000" w:themeColor="text1"/>
          <w:sz w:val="24"/>
          <w:szCs w:val="24"/>
        </w:rPr>
        <w:t xml:space="preserve">%) </w:t>
      </w:r>
      <w:r w:rsidRPr="00F652AD">
        <w:rPr>
          <w:color w:val="000000" w:themeColor="text1"/>
          <w:sz w:val="24"/>
          <w:szCs w:val="24"/>
        </w:rPr>
        <w:t>were</w:t>
      </w:r>
      <w:r w:rsidR="00BD3161" w:rsidRPr="00F652AD">
        <w:rPr>
          <w:color w:val="000000" w:themeColor="text1"/>
          <w:sz w:val="24"/>
          <w:szCs w:val="24"/>
        </w:rPr>
        <w:t xml:space="preserve"> </w:t>
      </w:r>
      <w:proofErr w:type="spellStart"/>
      <w:r w:rsidR="00AD2146" w:rsidRPr="00F652AD">
        <w:rPr>
          <w:color w:val="000000" w:themeColor="text1"/>
          <w:sz w:val="24"/>
          <w:szCs w:val="24"/>
        </w:rPr>
        <w:t>non</w:t>
      </w:r>
      <w:r w:rsidR="00686732" w:rsidRPr="00F652AD">
        <w:rPr>
          <w:color w:val="000000" w:themeColor="text1"/>
          <w:sz w:val="24"/>
          <w:szCs w:val="24"/>
        </w:rPr>
        <w:t>pulmonary</w:t>
      </w:r>
      <w:proofErr w:type="spellEnd"/>
      <w:r w:rsidR="00686732" w:rsidRPr="00F652AD">
        <w:rPr>
          <w:color w:val="000000" w:themeColor="text1"/>
          <w:sz w:val="24"/>
          <w:szCs w:val="24"/>
        </w:rPr>
        <w:t xml:space="preserve"> cases.</w:t>
      </w:r>
      <w:r w:rsidR="00BD3161" w:rsidRPr="00F652AD">
        <w:rPr>
          <w:color w:val="000000" w:themeColor="text1"/>
          <w:sz w:val="24"/>
          <w:szCs w:val="24"/>
        </w:rPr>
        <w:t xml:space="preserve"> </w:t>
      </w:r>
      <w:r w:rsidR="00111C6F" w:rsidRPr="00F652AD">
        <w:rPr>
          <w:color w:val="000000" w:themeColor="text1"/>
          <w:sz w:val="24"/>
          <w:szCs w:val="24"/>
        </w:rPr>
        <w:t xml:space="preserve">The specimen </w:t>
      </w:r>
      <w:r w:rsidR="006F49A6" w:rsidRPr="00F652AD">
        <w:rPr>
          <w:color w:val="000000" w:themeColor="text1"/>
          <w:sz w:val="24"/>
          <w:szCs w:val="24"/>
        </w:rPr>
        <w:t>source from 368</w:t>
      </w:r>
      <w:r w:rsidR="00111C6F" w:rsidRPr="00F652AD">
        <w:rPr>
          <w:color w:val="000000" w:themeColor="text1"/>
          <w:sz w:val="24"/>
          <w:szCs w:val="24"/>
        </w:rPr>
        <w:t xml:space="preserve"> cases was not identified. </w:t>
      </w:r>
      <w:r w:rsidR="00E630A0" w:rsidRPr="00F652AD">
        <w:rPr>
          <w:color w:val="000000" w:themeColor="text1"/>
          <w:sz w:val="24"/>
          <w:szCs w:val="24"/>
        </w:rPr>
        <w:t>It should</w:t>
      </w:r>
      <w:r w:rsidR="00111C6F" w:rsidRPr="00F652AD">
        <w:rPr>
          <w:color w:val="000000" w:themeColor="text1"/>
          <w:sz w:val="24"/>
          <w:szCs w:val="24"/>
        </w:rPr>
        <w:t xml:space="preserve"> also</w:t>
      </w:r>
      <w:r w:rsidR="00E630A0" w:rsidRPr="00F652AD">
        <w:rPr>
          <w:color w:val="000000" w:themeColor="text1"/>
          <w:sz w:val="24"/>
          <w:szCs w:val="24"/>
        </w:rPr>
        <w:t xml:space="preserve"> be noted that the specimen source for two cases was</w:t>
      </w:r>
      <w:r w:rsidR="00D5362C" w:rsidRPr="00F652AD">
        <w:rPr>
          <w:color w:val="000000" w:themeColor="text1"/>
          <w:sz w:val="24"/>
          <w:szCs w:val="24"/>
        </w:rPr>
        <w:t xml:space="preserve"> documented </w:t>
      </w:r>
      <w:r w:rsidR="00111C6F" w:rsidRPr="00F652AD">
        <w:rPr>
          <w:color w:val="000000" w:themeColor="text1"/>
          <w:sz w:val="24"/>
          <w:szCs w:val="24"/>
        </w:rPr>
        <w:t>as</w:t>
      </w:r>
      <w:r w:rsidR="00E630A0" w:rsidRPr="00F652AD">
        <w:rPr>
          <w:color w:val="000000" w:themeColor="text1"/>
          <w:sz w:val="24"/>
          <w:szCs w:val="24"/>
        </w:rPr>
        <w:t xml:space="preserve"> </w:t>
      </w:r>
      <w:r w:rsidR="00D5362C" w:rsidRPr="00F652AD">
        <w:rPr>
          <w:color w:val="000000" w:themeColor="text1"/>
          <w:sz w:val="24"/>
          <w:szCs w:val="24"/>
        </w:rPr>
        <w:t xml:space="preserve">being obtained </w:t>
      </w:r>
      <w:r w:rsidR="00E630A0" w:rsidRPr="00F652AD">
        <w:rPr>
          <w:color w:val="000000" w:themeColor="text1"/>
          <w:sz w:val="24"/>
          <w:szCs w:val="24"/>
        </w:rPr>
        <w:t>from a device</w:t>
      </w:r>
      <w:r w:rsidR="004F6C42" w:rsidRPr="00F652AD">
        <w:rPr>
          <w:color w:val="000000" w:themeColor="text1"/>
          <w:sz w:val="24"/>
          <w:szCs w:val="24"/>
        </w:rPr>
        <w:t xml:space="preserve"> and therefore was not categorized into either pulmonary and </w:t>
      </w:r>
      <w:proofErr w:type="spellStart"/>
      <w:r w:rsidR="004F6C42" w:rsidRPr="00F652AD">
        <w:rPr>
          <w:color w:val="000000" w:themeColor="text1"/>
          <w:sz w:val="24"/>
          <w:szCs w:val="24"/>
        </w:rPr>
        <w:t>nonpulmonary</w:t>
      </w:r>
      <w:proofErr w:type="spellEnd"/>
      <w:r w:rsidR="00E630A0" w:rsidRPr="00F652AD">
        <w:rPr>
          <w:color w:val="000000" w:themeColor="text1"/>
          <w:sz w:val="24"/>
          <w:szCs w:val="24"/>
        </w:rPr>
        <w:t xml:space="preserve">. The species identified </w:t>
      </w:r>
      <w:r w:rsidR="007A5FC8" w:rsidRPr="00F652AD">
        <w:rPr>
          <w:color w:val="000000" w:themeColor="text1"/>
          <w:sz w:val="24"/>
          <w:szCs w:val="24"/>
        </w:rPr>
        <w:t xml:space="preserve">in both cases </w:t>
      </w:r>
      <w:r w:rsidR="00E630A0" w:rsidRPr="00F652AD">
        <w:rPr>
          <w:color w:val="000000" w:themeColor="text1"/>
          <w:sz w:val="24"/>
          <w:szCs w:val="24"/>
        </w:rPr>
        <w:t xml:space="preserve">was </w:t>
      </w:r>
      <w:r w:rsidR="00111C6F" w:rsidRPr="00F652AD">
        <w:rPr>
          <w:i/>
          <w:color w:val="000000" w:themeColor="text1"/>
          <w:sz w:val="24"/>
          <w:szCs w:val="24"/>
        </w:rPr>
        <w:t xml:space="preserve">Mycobacterium </w:t>
      </w:r>
      <w:proofErr w:type="spellStart"/>
      <w:r w:rsidR="00111C6F" w:rsidRPr="00F652AD">
        <w:rPr>
          <w:i/>
          <w:color w:val="000000" w:themeColor="text1"/>
          <w:sz w:val="24"/>
          <w:szCs w:val="24"/>
        </w:rPr>
        <w:t>Mucogenicum</w:t>
      </w:r>
      <w:proofErr w:type="spellEnd"/>
      <w:r w:rsidR="008B72F6">
        <w:rPr>
          <w:color w:val="000000" w:themeColor="text1"/>
          <w:sz w:val="24"/>
          <w:szCs w:val="24"/>
        </w:rPr>
        <w:t>, and both were from a c</w:t>
      </w:r>
      <w:r w:rsidR="00E630A0" w:rsidRPr="00F652AD">
        <w:rPr>
          <w:color w:val="000000" w:themeColor="text1"/>
          <w:sz w:val="24"/>
          <w:szCs w:val="24"/>
        </w:rPr>
        <w:t xml:space="preserve">atheter tip. They do not appear to be connected as they are from different facilities </w:t>
      </w:r>
      <w:r w:rsidR="0053711F" w:rsidRPr="00F652AD">
        <w:rPr>
          <w:color w:val="000000" w:themeColor="text1"/>
          <w:sz w:val="24"/>
          <w:szCs w:val="24"/>
        </w:rPr>
        <w:t>during different time periods.</w:t>
      </w:r>
    </w:p>
    <w:p w:rsidR="00224FF5" w:rsidRPr="00F652AD" w:rsidRDefault="00224FF5" w:rsidP="00021EEF">
      <w:pPr>
        <w:rPr>
          <w:rFonts w:ascii="Arial" w:hAnsi="Arial" w:cs="Arial"/>
          <w:color w:val="000000" w:themeColor="text1"/>
          <w:sz w:val="24"/>
          <w:szCs w:val="24"/>
        </w:rPr>
      </w:pPr>
    </w:p>
    <w:p w:rsidR="00021EEF" w:rsidRPr="00845A66" w:rsidRDefault="00021EEF" w:rsidP="00206848">
      <w:pPr>
        <w:pStyle w:val="Heading2"/>
        <w:rPr>
          <w:rFonts w:asciiTheme="minorHAnsi" w:hAnsiTheme="minorHAnsi" w:cstheme="minorHAnsi"/>
          <w:color w:val="000000" w:themeColor="text1"/>
          <w:sz w:val="24"/>
          <w:szCs w:val="24"/>
        </w:rPr>
      </w:pPr>
      <w:r w:rsidRPr="00845A66">
        <w:rPr>
          <w:rFonts w:asciiTheme="minorHAnsi" w:hAnsiTheme="minorHAnsi" w:cstheme="minorHAnsi"/>
          <w:color w:val="000000" w:themeColor="text1"/>
          <w:sz w:val="24"/>
          <w:szCs w:val="24"/>
        </w:rPr>
        <w:t xml:space="preserve">Table 1a. Characteristics of Individuals </w:t>
      </w:r>
      <w:proofErr w:type="gramStart"/>
      <w:r w:rsidRPr="00845A66">
        <w:rPr>
          <w:rFonts w:asciiTheme="minorHAnsi" w:hAnsiTheme="minorHAnsi" w:cstheme="minorHAnsi"/>
          <w:color w:val="000000" w:themeColor="text1"/>
          <w:sz w:val="24"/>
          <w:szCs w:val="24"/>
        </w:rPr>
        <w:t>With</w:t>
      </w:r>
      <w:proofErr w:type="gramEnd"/>
      <w:r w:rsidRPr="00845A66">
        <w:rPr>
          <w:rFonts w:asciiTheme="minorHAnsi" w:hAnsiTheme="minorHAnsi" w:cstheme="minorHAnsi"/>
          <w:color w:val="000000" w:themeColor="text1"/>
          <w:sz w:val="24"/>
          <w:szCs w:val="24"/>
        </w:rPr>
        <w:t xml:space="preserve"> Positive Lab Reports of </w:t>
      </w:r>
      <w:r w:rsidR="009D0DEA" w:rsidRPr="00845A66">
        <w:rPr>
          <w:rFonts w:asciiTheme="minorHAnsi" w:hAnsiTheme="minorHAnsi" w:cstheme="minorHAnsi"/>
          <w:color w:val="000000" w:themeColor="text1"/>
          <w:sz w:val="24"/>
          <w:szCs w:val="24"/>
        </w:rPr>
        <w:t>Nontuberculous</w:t>
      </w:r>
      <w:r w:rsidRPr="00845A66">
        <w:rPr>
          <w:rFonts w:asciiTheme="minorHAnsi" w:hAnsiTheme="minorHAnsi" w:cstheme="minorHAnsi"/>
          <w:color w:val="000000" w:themeColor="text1"/>
          <w:sz w:val="24"/>
          <w:szCs w:val="24"/>
        </w:rPr>
        <w:t xml:space="preserve"> Mycobacteria By Specime</w:t>
      </w:r>
      <w:r w:rsidR="00AD3F2F">
        <w:rPr>
          <w:rFonts w:asciiTheme="minorHAnsi" w:hAnsiTheme="minorHAnsi" w:cstheme="minorHAnsi"/>
          <w:color w:val="000000" w:themeColor="text1"/>
          <w:sz w:val="24"/>
          <w:szCs w:val="24"/>
        </w:rPr>
        <w:t>n Source, Nebraska, 2012-2017 (n</w:t>
      </w:r>
      <w:r w:rsidRPr="00845A66">
        <w:rPr>
          <w:rFonts w:asciiTheme="minorHAnsi" w:hAnsiTheme="minorHAnsi" w:cstheme="minorHAnsi"/>
          <w:color w:val="000000" w:themeColor="text1"/>
          <w:sz w:val="24"/>
          <w:szCs w:val="24"/>
        </w:rPr>
        <w:t xml:space="preserve">=388) </w:t>
      </w:r>
    </w:p>
    <w:p w:rsidR="00021EEF" w:rsidRPr="00651A94" w:rsidRDefault="00021EEF" w:rsidP="00021EEF">
      <w:pPr>
        <w:pBdr>
          <w:bottom w:val="single" w:sz="4" w:space="1" w:color="auto"/>
        </w:pBdr>
        <w:spacing w:line="120" w:lineRule="exact"/>
        <w:rPr>
          <w:rFonts w:ascii="Arial" w:hAnsi="Arial" w:cs="Arial"/>
          <w:color w:val="000000" w:themeColor="text1"/>
        </w:rPr>
      </w:pPr>
    </w:p>
    <w:tbl>
      <w:tblPr>
        <w:tblStyle w:val="TableGrid"/>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08"/>
        <w:gridCol w:w="1327"/>
        <w:gridCol w:w="1440"/>
        <w:gridCol w:w="270"/>
        <w:gridCol w:w="1530"/>
        <w:gridCol w:w="1477"/>
      </w:tblGrid>
      <w:tr w:rsidR="00021EEF" w:rsidRPr="007B3DBB" w:rsidTr="00091489">
        <w:trPr>
          <w:trHeight w:val="513"/>
        </w:trPr>
        <w:tc>
          <w:tcPr>
            <w:tcW w:w="3708" w:type="dxa"/>
          </w:tcPr>
          <w:p w:rsidR="00021EEF" w:rsidRPr="00845A66" w:rsidRDefault="00021EEF" w:rsidP="00091489">
            <w:pPr>
              <w:rPr>
                <w:rFonts w:asciiTheme="minorHAnsi" w:hAnsiTheme="minorHAnsi" w:cstheme="minorHAnsi"/>
                <w:iCs/>
                <w:sz w:val="20"/>
                <w:szCs w:val="20"/>
              </w:rPr>
            </w:pPr>
          </w:p>
        </w:tc>
        <w:tc>
          <w:tcPr>
            <w:tcW w:w="6044" w:type="dxa"/>
            <w:gridSpan w:val="5"/>
            <w:tcBorders>
              <w:bottom w:val="single" w:sz="4" w:space="0" w:color="auto"/>
            </w:tcBorders>
          </w:tcPr>
          <w:p w:rsidR="00021EEF" w:rsidRPr="00845A66" w:rsidRDefault="00021EEF" w:rsidP="00091489">
            <w:pPr>
              <w:jc w:val="center"/>
              <w:rPr>
                <w:rFonts w:asciiTheme="minorHAnsi" w:hAnsiTheme="minorHAnsi" w:cstheme="minorHAnsi"/>
                <w:iCs/>
                <w:color w:val="000000"/>
                <w:sz w:val="20"/>
                <w:szCs w:val="20"/>
              </w:rPr>
            </w:pPr>
          </w:p>
          <w:p w:rsidR="00021EEF" w:rsidRPr="00845A66" w:rsidRDefault="00021EEF" w:rsidP="00091489">
            <w:pPr>
              <w:jc w:val="center"/>
              <w:rPr>
                <w:rFonts w:asciiTheme="minorHAnsi" w:hAnsiTheme="minorHAnsi" w:cstheme="minorHAnsi"/>
                <w:color w:val="000000" w:themeColor="text1"/>
                <w:sz w:val="20"/>
                <w:szCs w:val="20"/>
              </w:rPr>
            </w:pPr>
            <w:r w:rsidRPr="00845A66">
              <w:rPr>
                <w:rFonts w:asciiTheme="minorHAnsi" w:hAnsiTheme="minorHAnsi" w:cstheme="minorHAnsi"/>
                <w:color w:val="000000" w:themeColor="text1"/>
                <w:sz w:val="20"/>
                <w:szCs w:val="20"/>
              </w:rPr>
              <w:t xml:space="preserve">Specimen </w:t>
            </w:r>
            <w:proofErr w:type="spellStart"/>
            <w:proofErr w:type="gramStart"/>
            <w:r w:rsidRPr="00845A66">
              <w:rPr>
                <w:rFonts w:asciiTheme="minorHAnsi" w:hAnsiTheme="minorHAnsi" w:cstheme="minorHAnsi"/>
                <w:color w:val="000000" w:themeColor="text1"/>
                <w:sz w:val="20"/>
                <w:szCs w:val="20"/>
              </w:rPr>
              <w:t>Source</w:t>
            </w:r>
            <w:r w:rsidRPr="00845A66">
              <w:rPr>
                <w:rFonts w:asciiTheme="minorHAnsi" w:hAnsiTheme="minorHAnsi" w:cstheme="minorHAnsi"/>
                <w:color w:val="000000" w:themeColor="text1"/>
                <w:sz w:val="20"/>
                <w:szCs w:val="20"/>
                <w:vertAlign w:val="superscript"/>
              </w:rPr>
              <w:t>a,b</w:t>
            </w:r>
            <w:proofErr w:type="spellEnd"/>
            <w:proofErr w:type="gramEnd"/>
          </w:p>
        </w:tc>
      </w:tr>
      <w:tr w:rsidR="00021EEF" w:rsidRPr="007B3DBB" w:rsidTr="00091489">
        <w:trPr>
          <w:trHeight w:val="521"/>
        </w:trPr>
        <w:tc>
          <w:tcPr>
            <w:tcW w:w="3708" w:type="dxa"/>
          </w:tcPr>
          <w:p w:rsidR="00021EEF" w:rsidRPr="00845A66" w:rsidRDefault="00021EEF" w:rsidP="00091489">
            <w:pPr>
              <w:rPr>
                <w:rFonts w:asciiTheme="minorHAnsi" w:hAnsiTheme="minorHAnsi" w:cstheme="minorHAnsi"/>
                <w:iCs/>
                <w:sz w:val="20"/>
                <w:szCs w:val="20"/>
              </w:rPr>
            </w:pPr>
          </w:p>
        </w:tc>
        <w:tc>
          <w:tcPr>
            <w:tcW w:w="2767" w:type="dxa"/>
            <w:gridSpan w:val="2"/>
            <w:tcBorders>
              <w:top w:val="single" w:sz="4" w:space="0" w:color="auto"/>
              <w:bottom w:val="single" w:sz="4" w:space="0" w:color="auto"/>
            </w:tcBorders>
          </w:tcPr>
          <w:p w:rsidR="00021EEF" w:rsidRPr="00845A66" w:rsidRDefault="00021EEF" w:rsidP="00091489">
            <w:pPr>
              <w:jc w:val="center"/>
              <w:rPr>
                <w:rFonts w:asciiTheme="minorHAnsi" w:hAnsiTheme="minorHAnsi" w:cstheme="minorHAnsi"/>
                <w:iCs/>
                <w:color w:val="000000"/>
                <w:sz w:val="20"/>
                <w:szCs w:val="20"/>
              </w:rPr>
            </w:pPr>
          </w:p>
          <w:p w:rsidR="00021EEF" w:rsidRPr="00845A66" w:rsidRDefault="00021EEF" w:rsidP="00091489">
            <w:pPr>
              <w:jc w:val="center"/>
              <w:rPr>
                <w:rFonts w:asciiTheme="minorHAnsi" w:hAnsiTheme="minorHAnsi" w:cstheme="minorHAnsi"/>
                <w:color w:val="000000" w:themeColor="text1"/>
                <w:sz w:val="20"/>
                <w:szCs w:val="20"/>
              </w:rPr>
            </w:pPr>
            <w:proofErr w:type="spellStart"/>
            <w:r w:rsidRPr="00845A66">
              <w:rPr>
                <w:rFonts w:asciiTheme="minorHAnsi" w:hAnsiTheme="minorHAnsi" w:cstheme="minorHAnsi"/>
                <w:color w:val="000000" w:themeColor="text1"/>
                <w:sz w:val="20"/>
                <w:szCs w:val="20"/>
              </w:rPr>
              <w:t>NonPulmonary</w:t>
            </w:r>
            <w:proofErr w:type="spellEnd"/>
            <w:r w:rsidRPr="00845A66">
              <w:rPr>
                <w:rFonts w:asciiTheme="minorHAnsi" w:hAnsiTheme="minorHAnsi" w:cstheme="minorHAnsi"/>
                <w:color w:val="000000" w:themeColor="text1"/>
                <w:sz w:val="20"/>
                <w:szCs w:val="20"/>
              </w:rPr>
              <w:t xml:space="preserve"> (n=208)</w:t>
            </w:r>
          </w:p>
        </w:tc>
        <w:tc>
          <w:tcPr>
            <w:tcW w:w="270" w:type="dxa"/>
            <w:tcBorders>
              <w:top w:val="single" w:sz="4" w:space="0" w:color="auto"/>
              <w:bottom w:val="single" w:sz="4" w:space="0" w:color="auto"/>
            </w:tcBorders>
          </w:tcPr>
          <w:p w:rsidR="00021EEF" w:rsidRPr="00845A66" w:rsidRDefault="00021EEF" w:rsidP="00091489">
            <w:pPr>
              <w:jc w:val="center"/>
              <w:rPr>
                <w:rFonts w:asciiTheme="minorHAnsi" w:hAnsiTheme="minorHAnsi" w:cstheme="minorHAnsi"/>
                <w:iCs/>
                <w:color w:val="000000"/>
                <w:sz w:val="20"/>
                <w:szCs w:val="20"/>
              </w:rPr>
            </w:pPr>
          </w:p>
        </w:tc>
        <w:tc>
          <w:tcPr>
            <w:tcW w:w="3007" w:type="dxa"/>
            <w:gridSpan w:val="2"/>
            <w:tcBorders>
              <w:top w:val="single" w:sz="4" w:space="0" w:color="auto"/>
              <w:left w:val="nil"/>
              <w:bottom w:val="single" w:sz="4" w:space="0" w:color="auto"/>
            </w:tcBorders>
          </w:tcPr>
          <w:p w:rsidR="00021EEF" w:rsidRPr="00845A66" w:rsidRDefault="00021EEF" w:rsidP="00091489">
            <w:pPr>
              <w:jc w:val="center"/>
              <w:rPr>
                <w:rFonts w:asciiTheme="minorHAnsi" w:hAnsiTheme="minorHAnsi" w:cstheme="minorHAnsi"/>
                <w:iCs/>
                <w:color w:val="000000"/>
                <w:sz w:val="20"/>
                <w:szCs w:val="20"/>
              </w:rPr>
            </w:pPr>
          </w:p>
          <w:p w:rsidR="00021EEF" w:rsidRPr="00845A66" w:rsidRDefault="00021EEF" w:rsidP="00091489">
            <w:pPr>
              <w:jc w:val="center"/>
              <w:rPr>
                <w:rFonts w:asciiTheme="minorHAnsi" w:hAnsiTheme="minorHAnsi" w:cstheme="minorHAnsi"/>
                <w:color w:val="000000" w:themeColor="text1"/>
                <w:sz w:val="20"/>
                <w:szCs w:val="20"/>
              </w:rPr>
            </w:pPr>
            <w:r w:rsidRPr="00845A66">
              <w:rPr>
                <w:rFonts w:asciiTheme="minorHAnsi" w:hAnsiTheme="minorHAnsi" w:cstheme="minorHAnsi"/>
                <w:color w:val="000000" w:themeColor="text1"/>
                <w:sz w:val="20"/>
                <w:szCs w:val="20"/>
              </w:rPr>
              <w:t>Pulmonary (n =180)</w:t>
            </w:r>
          </w:p>
        </w:tc>
      </w:tr>
      <w:tr w:rsidR="00021EEF" w:rsidRPr="007B3DBB" w:rsidTr="00091489">
        <w:trPr>
          <w:trHeight w:val="436"/>
        </w:trPr>
        <w:tc>
          <w:tcPr>
            <w:tcW w:w="3708" w:type="dxa"/>
            <w:tcBorders>
              <w:bottom w:val="single" w:sz="4" w:space="0" w:color="auto"/>
            </w:tcBorders>
          </w:tcPr>
          <w:p w:rsidR="00021EEF" w:rsidRPr="00845A66" w:rsidRDefault="00021EEF" w:rsidP="00091489">
            <w:pPr>
              <w:rPr>
                <w:rFonts w:asciiTheme="minorHAnsi" w:hAnsiTheme="minorHAnsi" w:cstheme="minorHAnsi"/>
                <w:iCs/>
                <w:sz w:val="20"/>
                <w:szCs w:val="20"/>
              </w:rPr>
            </w:pPr>
          </w:p>
        </w:tc>
        <w:tc>
          <w:tcPr>
            <w:tcW w:w="1327" w:type="dxa"/>
            <w:tcBorders>
              <w:top w:val="single" w:sz="4" w:space="0" w:color="auto"/>
              <w:bottom w:val="single" w:sz="4" w:space="0" w:color="auto"/>
            </w:tcBorders>
          </w:tcPr>
          <w:p w:rsidR="00021EEF" w:rsidRPr="00845A66" w:rsidRDefault="00021EEF" w:rsidP="00091489">
            <w:pPr>
              <w:jc w:val="center"/>
              <w:rPr>
                <w:rFonts w:asciiTheme="minorHAnsi" w:hAnsiTheme="minorHAnsi" w:cstheme="minorHAnsi"/>
                <w:iCs/>
                <w:sz w:val="20"/>
                <w:szCs w:val="20"/>
              </w:rPr>
            </w:pPr>
          </w:p>
          <w:p w:rsidR="00021EEF" w:rsidRPr="00845A66" w:rsidRDefault="00021EEF" w:rsidP="00091489">
            <w:pPr>
              <w:jc w:val="center"/>
              <w:rPr>
                <w:rFonts w:asciiTheme="minorHAnsi" w:hAnsiTheme="minorHAnsi" w:cstheme="minorHAnsi"/>
                <w:sz w:val="20"/>
                <w:szCs w:val="20"/>
              </w:rPr>
            </w:pPr>
            <w:r w:rsidRPr="00845A66">
              <w:rPr>
                <w:rFonts w:asciiTheme="minorHAnsi" w:hAnsiTheme="minorHAnsi" w:cstheme="minorHAnsi"/>
                <w:sz w:val="20"/>
                <w:szCs w:val="20"/>
              </w:rPr>
              <w:t>No.</w:t>
            </w:r>
          </w:p>
        </w:tc>
        <w:tc>
          <w:tcPr>
            <w:tcW w:w="1440" w:type="dxa"/>
            <w:tcBorders>
              <w:top w:val="single" w:sz="4" w:space="0" w:color="auto"/>
              <w:bottom w:val="single" w:sz="4" w:space="0" w:color="auto"/>
            </w:tcBorders>
          </w:tcPr>
          <w:p w:rsidR="00021EEF" w:rsidRPr="00845A66" w:rsidRDefault="00021EEF" w:rsidP="00091489">
            <w:pPr>
              <w:jc w:val="center"/>
              <w:rPr>
                <w:rFonts w:asciiTheme="minorHAnsi" w:hAnsiTheme="minorHAnsi" w:cstheme="minorHAnsi"/>
                <w:iCs/>
                <w:sz w:val="20"/>
                <w:szCs w:val="20"/>
              </w:rPr>
            </w:pPr>
          </w:p>
          <w:p w:rsidR="00021EEF" w:rsidRPr="00845A66" w:rsidRDefault="00021EEF" w:rsidP="00091489">
            <w:pPr>
              <w:jc w:val="center"/>
              <w:rPr>
                <w:rFonts w:asciiTheme="minorHAnsi" w:hAnsiTheme="minorHAnsi" w:cstheme="minorHAnsi"/>
                <w:sz w:val="20"/>
                <w:szCs w:val="20"/>
              </w:rPr>
            </w:pPr>
            <w:r w:rsidRPr="00845A66">
              <w:rPr>
                <w:rFonts w:asciiTheme="minorHAnsi" w:hAnsiTheme="minorHAnsi" w:cstheme="minorHAnsi"/>
                <w:sz w:val="20"/>
                <w:szCs w:val="20"/>
              </w:rPr>
              <w:t>%</w:t>
            </w:r>
          </w:p>
        </w:tc>
        <w:tc>
          <w:tcPr>
            <w:tcW w:w="270" w:type="dxa"/>
            <w:tcBorders>
              <w:top w:val="single" w:sz="4" w:space="0" w:color="auto"/>
            </w:tcBorders>
          </w:tcPr>
          <w:p w:rsidR="00021EEF" w:rsidRPr="00845A66" w:rsidRDefault="00021EEF" w:rsidP="00091489">
            <w:pPr>
              <w:rPr>
                <w:rFonts w:asciiTheme="minorHAnsi" w:hAnsiTheme="minorHAnsi" w:cstheme="minorHAnsi"/>
                <w:iCs/>
                <w:sz w:val="20"/>
                <w:szCs w:val="20"/>
              </w:rPr>
            </w:pPr>
          </w:p>
        </w:tc>
        <w:tc>
          <w:tcPr>
            <w:tcW w:w="1530" w:type="dxa"/>
            <w:tcBorders>
              <w:top w:val="single" w:sz="4" w:space="0" w:color="auto"/>
              <w:bottom w:val="single" w:sz="4" w:space="0" w:color="auto"/>
            </w:tcBorders>
          </w:tcPr>
          <w:p w:rsidR="00021EEF" w:rsidRPr="00845A66" w:rsidRDefault="00021EEF" w:rsidP="00091489">
            <w:pPr>
              <w:jc w:val="center"/>
              <w:rPr>
                <w:rFonts w:asciiTheme="minorHAnsi" w:hAnsiTheme="minorHAnsi" w:cstheme="minorHAnsi"/>
                <w:iCs/>
                <w:sz w:val="20"/>
                <w:szCs w:val="20"/>
              </w:rPr>
            </w:pPr>
          </w:p>
          <w:p w:rsidR="00021EEF" w:rsidRPr="00845A66" w:rsidRDefault="00021EEF" w:rsidP="00091489">
            <w:pPr>
              <w:jc w:val="center"/>
              <w:rPr>
                <w:rFonts w:asciiTheme="minorHAnsi" w:hAnsiTheme="minorHAnsi" w:cstheme="minorHAnsi"/>
                <w:sz w:val="20"/>
                <w:szCs w:val="20"/>
              </w:rPr>
            </w:pPr>
            <w:r w:rsidRPr="00845A66">
              <w:rPr>
                <w:rFonts w:asciiTheme="minorHAnsi" w:hAnsiTheme="minorHAnsi" w:cstheme="minorHAnsi"/>
                <w:sz w:val="20"/>
                <w:szCs w:val="20"/>
              </w:rPr>
              <w:t>No.</w:t>
            </w:r>
          </w:p>
        </w:tc>
        <w:tc>
          <w:tcPr>
            <w:tcW w:w="1477" w:type="dxa"/>
            <w:tcBorders>
              <w:top w:val="single" w:sz="4" w:space="0" w:color="auto"/>
              <w:bottom w:val="single" w:sz="4" w:space="0" w:color="auto"/>
            </w:tcBorders>
          </w:tcPr>
          <w:p w:rsidR="00021EEF" w:rsidRPr="00845A66" w:rsidRDefault="00021EEF" w:rsidP="00091489">
            <w:pPr>
              <w:jc w:val="center"/>
              <w:rPr>
                <w:rFonts w:asciiTheme="minorHAnsi" w:hAnsiTheme="minorHAnsi" w:cstheme="minorHAnsi"/>
                <w:iCs/>
                <w:sz w:val="20"/>
                <w:szCs w:val="20"/>
              </w:rPr>
            </w:pPr>
          </w:p>
          <w:p w:rsidR="00021EEF" w:rsidRPr="00845A66" w:rsidRDefault="00021EEF" w:rsidP="00091489">
            <w:pPr>
              <w:jc w:val="center"/>
              <w:rPr>
                <w:rFonts w:asciiTheme="minorHAnsi" w:hAnsiTheme="minorHAnsi" w:cstheme="minorHAnsi"/>
                <w:sz w:val="20"/>
                <w:szCs w:val="20"/>
              </w:rPr>
            </w:pPr>
            <w:r w:rsidRPr="00845A66">
              <w:rPr>
                <w:rFonts w:asciiTheme="minorHAnsi" w:hAnsiTheme="minorHAnsi" w:cstheme="minorHAnsi"/>
                <w:sz w:val="20"/>
                <w:szCs w:val="20"/>
              </w:rPr>
              <w:t>%</w:t>
            </w:r>
          </w:p>
        </w:tc>
      </w:tr>
      <w:tr w:rsidR="00021EEF" w:rsidRPr="007B3DBB" w:rsidTr="00091489">
        <w:trPr>
          <w:trHeight w:val="431"/>
        </w:trPr>
        <w:tc>
          <w:tcPr>
            <w:tcW w:w="3708" w:type="dxa"/>
            <w:tcBorders>
              <w:top w:val="single" w:sz="4" w:space="0" w:color="auto"/>
            </w:tcBorders>
            <w:hideMark/>
          </w:tcPr>
          <w:p w:rsidR="00021EEF" w:rsidRPr="00845A66" w:rsidRDefault="00021EEF" w:rsidP="00091489">
            <w:pPr>
              <w:spacing w:line="140" w:lineRule="exact"/>
              <w:rPr>
                <w:rFonts w:asciiTheme="minorHAnsi" w:hAnsiTheme="minorHAnsi" w:cstheme="minorHAnsi"/>
                <w:iCs/>
                <w:color w:val="000000"/>
                <w:sz w:val="20"/>
                <w:szCs w:val="20"/>
              </w:rPr>
            </w:pPr>
          </w:p>
          <w:p w:rsidR="00021EEF" w:rsidRPr="00845A66" w:rsidRDefault="00021EEF" w:rsidP="00091489">
            <w:pPr>
              <w:rPr>
                <w:rFonts w:asciiTheme="minorHAnsi" w:hAnsiTheme="minorHAnsi" w:cstheme="minorHAnsi"/>
                <w:color w:val="000000" w:themeColor="text1"/>
                <w:sz w:val="20"/>
                <w:szCs w:val="20"/>
              </w:rPr>
            </w:pPr>
            <w:proofErr w:type="spellStart"/>
            <w:r w:rsidRPr="00845A66">
              <w:rPr>
                <w:rFonts w:asciiTheme="minorHAnsi" w:hAnsiTheme="minorHAnsi" w:cstheme="minorHAnsi"/>
                <w:color w:val="000000" w:themeColor="text1"/>
                <w:sz w:val="20"/>
                <w:szCs w:val="20"/>
              </w:rPr>
              <w:t>Sex</w:t>
            </w:r>
            <w:r w:rsidRPr="00845A66">
              <w:rPr>
                <w:rFonts w:asciiTheme="minorHAnsi" w:hAnsiTheme="minorHAnsi" w:cstheme="minorHAnsi"/>
                <w:color w:val="000000" w:themeColor="text1"/>
                <w:sz w:val="20"/>
                <w:szCs w:val="20"/>
                <w:vertAlign w:val="superscript"/>
              </w:rPr>
              <w:t>c</w:t>
            </w:r>
            <w:proofErr w:type="spellEnd"/>
          </w:p>
        </w:tc>
        <w:tc>
          <w:tcPr>
            <w:tcW w:w="1327" w:type="dxa"/>
            <w:tcBorders>
              <w:top w:val="single" w:sz="4" w:space="0" w:color="auto"/>
            </w:tcBorders>
          </w:tcPr>
          <w:p w:rsidR="00021EEF" w:rsidRPr="00845A66" w:rsidRDefault="00021EEF" w:rsidP="00091489">
            <w:pPr>
              <w:jc w:val="center"/>
              <w:rPr>
                <w:rFonts w:asciiTheme="minorHAnsi" w:hAnsiTheme="minorHAnsi" w:cstheme="minorHAnsi"/>
                <w:iCs/>
                <w:color w:val="000000"/>
                <w:sz w:val="20"/>
                <w:szCs w:val="20"/>
              </w:rPr>
            </w:pPr>
          </w:p>
        </w:tc>
        <w:tc>
          <w:tcPr>
            <w:tcW w:w="1440" w:type="dxa"/>
            <w:tcBorders>
              <w:top w:val="single" w:sz="4" w:space="0" w:color="auto"/>
            </w:tcBorders>
          </w:tcPr>
          <w:p w:rsidR="00021EEF" w:rsidRPr="00845A66" w:rsidRDefault="00021EEF" w:rsidP="00091489">
            <w:pPr>
              <w:jc w:val="center"/>
              <w:rPr>
                <w:rFonts w:asciiTheme="minorHAnsi" w:hAnsiTheme="minorHAnsi" w:cstheme="minorHAnsi"/>
                <w:iCs/>
                <w:color w:val="000000"/>
                <w:sz w:val="20"/>
                <w:szCs w:val="20"/>
              </w:rPr>
            </w:pPr>
          </w:p>
        </w:tc>
        <w:tc>
          <w:tcPr>
            <w:tcW w:w="270" w:type="dxa"/>
          </w:tcPr>
          <w:p w:rsidR="00021EEF" w:rsidRPr="00845A66" w:rsidRDefault="00021EEF" w:rsidP="00091489">
            <w:pPr>
              <w:jc w:val="center"/>
              <w:rPr>
                <w:rFonts w:asciiTheme="minorHAnsi" w:hAnsiTheme="minorHAnsi" w:cstheme="minorHAnsi"/>
                <w:iCs/>
                <w:color w:val="000000"/>
                <w:sz w:val="20"/>
                <w:szCs w:val="20"/>
              </w:rPr>
            </w:pPr>
          </w:p>
        </w:tc>
        <w:tc>
          <w:tcPr>
            <w:tcW w:w="1530" w:type="dxa"/>
            <w:tcBorders>
              <w:top w:val="single" w:sz="4" w:space="0" w:color="auto"/>
            </w:tcBorders>
          </w:tcPr>
          <w:p w:rsidR="00021EEF" w:rsidRPr="00845A66" w:rsidRDefault="00021EEF" w:rsidP="00091489">
            <w:pPr>
              <w:jc w:val="center"/>
              <w:rPr>
                <w:rFonts w:asciiTheme="minorHAnsi" w:hAnsiTheme="minorHAnsi" w:cstheme="minorHAnsi"/>
                <w:iCs/>
                <w:color w:val="000000"/>
                <w:sz w:val="20"/>
                <w:szCs w:val="20"/>
              </w:rPr>
            </w:pPr>
          </w:p>
        </w:tc>
        <w:tc>
          <w:tcPr>
            <w:tcW w:w="1477" w:type="dxa"/>
            <w:tcBorders>
              <w:top w:val="single" w:sz="4" w:space="0" w:color="auto"/>
            </w:tcBorders>
          </w:tcPr>
          <w:p w:rsidR="00021EEF" w:rsidRPr="00845A66" w:rsidRDefault="00021EEF" w:rsidP="00091489">
            <w:pPr>
              <w:jc w:val="center"/>
              <w:rPr>
                <w:rFonts w:asciiTheme="minorHAnsi" w:hAnsiTheme="minorHAnsi" w:cstheme="minorHAnsi"/>
                <w:iCs/>
                <w:color w:val="000000"/>
                <w:sz w:val="20"/>
                <w:szCs w:val="20"/>
              </w:rPr>
            </w:pPr>
          </w:p>
        </w:tc>
      </w:tr>
      <w:tr w:rsidR="00021EEF" w:rsidRPr="007B3DBB" w:rsidTr="00091489">
        <w:trPr>
          <w:trHeight w:val="236"/>
        </w:trPr>
        <w:tc>
          <w:tcPr>
            <w:tcW w:w="3708" w:type="dxa"/>
          </w:tcPr>
          <w:p w:rsidR="00021EEF" w:rsidRPr="00845A66" w:rsidRDefault="00021EEF" w:rsidP="00091489">
            <w:pPr>
              <w:ind w:left="330"/>
              <w:rPr>
                <w:rFonts w:asciiTheme="minorHAnsi" w:hAnsiTheme="minorHAnsi" w:cstheme="minorHAnsi"/>
                <w:color w:val="000000" w:themeColor="text1"/>
                <w:sz w:val="20"/>
                <w:szCs w:val="20"/>
              </w:rPr>
            </w:pPr>
            <w:r w:rsidRPr="00845A66">
              <w:rPr>
                <w:rFonts w:asciiTheme="minorHAnsi" w:hAnsiTheme="minorHAnsi" w:cstheme="minorHAnsi"/>
                <w:color w:val="000000" w:themeColor="text1"/>
                <w:sz w:val="20"/>
                <w:szCs w:val="20"/>
              </w:rPr>
              <w:t>Male</w:t>
            </w:r>
          </w:p>
        </w:tc>
        <w:tc>
          <w:tcPr>
            <w:tcW w:w="1327" w:type="dxa"/>
          </w:tcPr>
          <w:p w:rsidR="00021EEF" w:rsidRPr="00845A66" w:rsidRDefault="00021EEF" w:rsidP="00091489">
            <w:pPr>
              <w:jc w:val="center"/>
              <w:rPr>
                <w:rFonts w:asciiTheme="minorHAnsi" w:hAnsiTheme="minorHAnsi" w:cstheme="minorHAnsi"/>
                <w:iCs/>
                <w:color w:val="000000"/>
                <w:sz w:val="20"/>
                <w:szCs w:val="20"/>
              </w:rPr>
            </w:pPr>
            <w:r w:rsidRPr="00845A66">
              <w:rPr>
                <w:rFonts w:asciiTheme="minorHAnsi" w:hAnsiTheme="minorHAnsi" w:cstheme="minorHAnsi"/>
                <w:iCs/>
                <w:color w:val="000000"/>
                <w:sz w:val="20"/>
                <w:szCs w:val="20"/>
              </w:rPr>
              <w:t>105</w:t>
            </w:r>
          </w:p>
        </w:tc>
        <w:tc>
          <w:tcPr>
            <w:tcW w:w="1440" w:type="dxa"/>
          </w:tcPr>
          <w:p w:rsidR="00021EEF" w:rsidRPr="00845A66" w:rsidRDefault="00021EEF" w:rsidP="00091489">
            <w:pPr>
              <w:jc w:val="center"/>
              <w:rPr>
                <w:rFonts w:asciiTheme="minorHAnsi" w:hAnsiTheme="minorHAnsi" w:cstheme="minorHAnsi"/>
                <w:iCs/>
                <w:color w:val="000000"/>
                <w:sz w:val="20"/>
                <w:szCs w:val="20"/>
              </w:rPr>
            </w:pPr>
            <w:r w:rsidRPr="00845A66">
              <w:rPr>
                <w:rFonts w:asciiTheme="minorHAnsi" w:hAnsiTheme="minorHAnsi" w:cstheme="minorHAnsi"/>
                <w:iCs/>
                <w:color w:val="000000"/>
                <w:sz w:val="20"/>
                <w:szCs w:val="20"/>
              </w:rPr>
              <w:t>50.48</w:t>
            </w:r>
          </w:p>
        </w:tc>
        <w:tc>
          <w:tcPr>
            <w:tcW w:w="270" w:type="dxa"/>
          </w:tcPr>
          <w:p w:rsidR="00021EEF" w:rsidRPr="00845A66" w:rsidRDefault="00021EEF" w:rsidP="00091489">
            <w:pPr>
              <w:rPr>
                <w:rFonts w:asciiTheme="minorHAnsi" w:hAnsiTheme="minorHAnsi" w:cstheme="minorHAnsi"/>
                <w:iCs/>
                <w:color w:val="000000"/>
                <w:sz w:val="20"/>
                <w:szCs w:val="20"/>
              </w:rPr>
            </w:pPr>
          </w:p>
        </w:tc>
        <w:tc>
          <w:tcPr>
            <w:tcW w:w="1530" w:type="dxa"/>
          </w:tcPr>
          <w:p w:rsidR="00021EEF" w:rsidRPr="00845A66" w:rsidRDefault="00021EEF" w:rsidP="00091489">
            <w:pPr>
              <w:jc w:val="center"/>
              <w:rPr>
                <w:rFonts w:asciiTheme="minorHAnsi" w:hAnsiTheme="minorHAnsi" w:cstheme="minorHAnsi"/>
                <w:iCs/>
                <w:color w:val="000000"/>
                <w:sz w:val="20"/>
                <w:szCs w:val="20"/>
              </w:rPr>
            </w:pPr>
            <w:r w:rsidRPr="00845A66">
              <w:rPr>
                <w:rFonts w:asciiTheme="minorHAnsi" w:hAnsiTheme="minorHAnsi" w:cstheme="minorHAnsi"/>
                <w:iCs/>
                <w:color w:val="000000"/>
                <w:sz w:val="20"/>
                <w:szCs w:val="20"/>
              </w:rPr>
              <w:t>102</w:t>
            </w:r>
          </w:p>
        </w:tc>
        <w:tc>
          <w:tcPr>
            <w:tcW w:w="1477" w:type="dxa"/>
          </w:tcPr>
          <w:p w:rsidR="00021EEF" w:rsidRPr="00845A66" w:rsidRDefault="00021EEF" w:rsidP="00091489">
            <w:pPr>
              <w:jc w:val="center"/>
              <w:rPr>
                <w:rFonts w:asciiTheme="minorHAnsi" w:hAnsiTheme="minorHAnsi" w:cstheme="minorHAnsi"/>
                <w:iCs/>
                <w:color w:val="000000"/>
                <w:sz w:val="20"/>
                <w:szCs w:val="20"/>
              </w:rPr>
            </w:pPr>
            <w:r w:rsidRPr="00845A66">
              <w:rPr>
                <w:rFonts w:asciiTheme="minorHAnsi" w:hAnsiTheme="minorHAnsi" w:cstheme="minorHAnsi"/>
                <w:iCs/>
                <w:color w:val="000000"/>
                <w:sz w:val="20"/>
                <w:szCs w:val="20"/>
              </w:rPr>
              <w:t>56.67</w:t>
            </w:r>
          </w:p>
        </w:tc>
      </w:tr>
      <w:tr w:rsidR="00021EEF" w:rsidRPr="007B3DBB" w:rsidTr="00091489">
        <w:trPr>
          <w:trHeight w:val="236"/>
        </w:trPr>
        <w:tc>
          <w:tcPr>
            <w:tcW w:w="3708" w:type="dxa"/>
          </w:tcPr>
          <w:p w:rsidR="00021EEF" w:rsidRPr="00845A66" w:rsidRDefault="00021EEF" w:rsidP="00091489">
            <w:pPr>
              <w:ind w:left="330"/>
              <w:rPr>
                <w:rFonts w:asciiTheme="minorHAnsi" w:hAnsiTheme="minorHAnsi" w:cstheme="minorHAnsi"/>
                <w:color w:val="000000" w:themeColor="text1"/>
                <w:sz w:val="20"/>
                <w:szCs w:val="20"/>
              </w:rPr>
            </w:pPr>
            <w:r w:rsidRPr="00845A66">
              <w:rPr>
                <w:rFonts w:asciiTheme="minorHAnsi" w:hAnsiTheme="minorHAnsi" w:cstheme="minorHAnsi"/>
                <w:color w:val="000000" w:themeColor="text1"/>
                <w:sz w:val="20"/>
                <w:szCs w:val="20"/>
              </w:rPr>
              <w:t>Female</w:t>
            </w:r>
          </w:p>
        </w:tc>
        <w:tc>
          <w:tcPr>
            <w:tcW w:w="1327" w:type="dxa"/>
          </w:tcPr>
          <w:p w:rsidR="00021EEF" w:rsidRPr="00845A66" w:rsidRDefault="00021EEF" w:rsidP="00091489">
            <w:pPr>
              <w:jc w:val="center"/>
              <w:rPr>
                <w:rFonts w:asciiTheme="minorHAnsi" w:hAnsiTheme="minorHAnsi" w:cstheme="minorHAnsi"/>
                <w:iCs/>
                <w:color w:val="000000"/>
                <w:sz w:val="20"/>
                <w:szCs w:val="20"/>
              </w:rPr>
            </w:pPr>
            <w:r w:rsidRPr="00845A66">
              <w:rPr>
                <w:rFonts w:asciiTheme="minorHAnsi" w:hAnsiTheme="minorHAnsi" w:cstheme="minorHAnsi"/>
                <w:iCs/>
                <w:color w:val="000000"/>
                <w:sz w:val="20"/>
                <w:szCs w:val="20"/>
              </w:rPr>
              <w:t>103</w:t>
            </w:r>
          </w:p>
        </w:tc>
        <w:tc>
          <w:tcPr>
            <w:tcW w:w="1440" w:type="dxa"/>
          </w:tcPr>
          <w:p w:rsidR="00021EEF" w:rsidRPr="00845A66" w:rsidRDefault="00021EEF" w:rsidP="00091489">
            <w:pPr>
              <w:jc w:val="center"/>
              <w:rPr>
                <w:rFonts w:asciiTheme="minorHAnsi" w:hAnsiTheme="minorHAnsi" w:cstheme="minorHAnsi"/>
                <w:iCs/>
                <w:color w:val="000000"/>
                <w:sz w:val="20"/>
                <w:szCs w:val="20"/>
              </w:rPr>
            </w:pPr>
            <w:r w:rsidRPr="00845A66">
              <w:rPr>
                <w:rFonts w:asciiTheme="minorHAnsi" w:hAnsiTheme="minorHAnsi" w:cstheme="minorHAnsi"/>
                <w:iCs/>
                <w:color w:val="000000"/>
                <w:sz w:val="20"/>
                <w:szCs w:val="20"/>
              </w:rPr>
              <w:t>49.52</w:t>
            </w:r>
          </w:p>
        </w:tc>
        <w:tc>
          <w:tcPr>
            <w:tcW w:w="270" w:type="dxa"/>
          </w:tcPr>
          <w:p w:rsidR="00021EEF" w:rsidRPr="00845A66" w:rsidRDefault="00021EEF" w:rsidP="00091489">
            <w:pPr>
              <w:jc w:val="center"/>
              <w:rPr>
                <w:rFonts w:asciiTheme="minorHAnsi" w:hAnsiTheme="minorHAnsi" w:cstheme="minorHAnsi"/>
                <w:iCs/>
                <w:color w:val="000000"/>
                <w:sz w:val="20"/>
                <w:szCs w:val="20"/>
              </w:rPr>
            </w:pPr>
          </w:p>
        </w:tc>
        <w:tc>
          <w:tcPr>
            <w:tcW w:w="1530" w:type="dxa"/>
          </w:tcPr>
          <w:p w:rsidR="00021EEF" w:rsidRPr="00845A66" w:rsidRDefault="00021EEF" w:rsidP="00091489">
            <w:pPr>
              <w:jc w:val="center"/>
              <w:rPr>
                <w:rFonts w:asciiTheme="minorHAnsi" w:hAnsiTheme="minorHAnsi" w:cstheme="minorHAnsi"/>
                <w:iCs/>
                <w:color w:val="000000"/>
                <w:sz w:val="20"/>
                <w:szCs w:val="20"/>
              </w:rPr>
            </w:pPr>
            <w:r w:rsidRPr="00845A66">
              <w:rPr>
                <w:rFonts w:asciiTheme="minorHAnsi" w:hAnsiTheme="minorHAnsi" w:cstheme="minorHAnsi"/>
                <w:iCs/>
                <w:color w:val="000000"/>
                <w:sz w:val="20"/>
                <w:szCs w:val="20"/>
              </w:rPr>
              <w:t>78</w:t>
            </w:r>
          </w:p>
        </w:tc>
        <w:tc>
          <w:tcPr>
            <w:tcW w:w="1477" w:type="dxa"/>
          </w:tcPr>
          <w:p w:rsidR="00021EEF" w:rsidRPr="00845A66" w:rsidRDefault="00021EEF" w:rsidP="00091489">
            <w:pPr>
              <w:jc w:val="center"/>
              <w:rPr>
                <w:rFonts w:asciiTheme="minorHAnsi" w:hAnsiTheme="minorHAnsi" w:cstheme="minorHAnsi"/>
                <w:iCs/>
                <w:color w:val="000000"/>
                <w:sz w:val="20"/>
                <w:szCs w:val="20"/>
              </w:rPr>
            </w:pPr>
            <w:r w:rsidRPr="00845A66">
              <w:rPr>
                <w:rFonts w:asciiTheme="minorHAnsi" w:hAnsiTheme="minorHAnsi" w:cstheme="minorHAnsi"/>
                <w:iCs/>
                <w:color w:val="000000"/>
                <w:sz w:val="20"/>
                <w:szCs w:val="20"/>
              </w:rPr>
              <w:t>43.33</w:t>
            </w:r>
          </w:p>
        </w:tc>
      </w:tr>
      <w:tr w:rsidR="00021EEF" w:rsidRPr="007B3DBB" w:rsidTr="00091489">
        <w:trPr>
          <w:trHeight w:val="423"/>
        </w:trPr>
        <w:tc>
          <w:tcPr>
            <w:tcW w:w="3708" w:type="dxa"/>
            <w:hideMark/>
          </w:tcPr>
          <w:p w:rsidR="00021EEF" w:rsidRPr="00845A66" w:rsidRDefault="00021EEF" w:rsidP="00091489">
            <w:pPr>
              <w:spacing w:line="140" w:lineRule="exact"/>
              <w:rPr>
                <w:rFonts w:asciiTheme="minorHAnsi" w:hAnsiTheme="minorHAnsi" w:cstheme="minorHAnsi"/>
                <w:iCs/>
                <w:color w:val="000000"/>
                <w:sz w:val="20"/>
                <w:szCs w:val="20"/>
              </w:rPr>
            </w:pPr>
          </w:p>
          <w:p w:rsidR="00021EEF" w:rsidRPr="00845A66" w:rsidRDefault="00021EEF" w:rsidP="00091489">
            <w:pPr>
              <w:rPr>
                <w:rFonts w:asciiTheme="minorHAnsi" w:hAnsiTheme="minorHAnsi" w:cstheme="minorHAnsi"/>
                <w:color w:val="000000" w:themeColor="text1"/>
                <w:sz w:val="20"/>
                <w:szCs w:val="20"/>
                <w:vertAlign w:val="superscript"/>
              </w:rPr>
            </w:pPr>
            <w:r w:rsidRPr="00845A66">
              <w:rPr>
                <w:rFonts w:asciiTheme="minorHAnsi" w:hAnsiTheme="minorHAnsi" w:cstheme="minorHAnsi"/>
                <w:color w:val="000000" w:themeColor="text1"/>
                <w:sz w:val="20"/>
                <w:szCs w:val="20"/>
              </w:rPr>
              <w:t>Specimen Collection Year</w:t>
            </w:r>
          </w:p>
        </w:tc>
        <w:tc>
          <w:tcPr>
            <w:tcW w:w="1327" w:type="dxa"/>
          </w:tcPr>
          <w:p w:rsidR="00021EEF" w:rsidRPr="00845A66" w:rsidRDefault="00021EEF" w:rsidP="00091489">
            <w:pPr>
              <w:jc w:val="center"/>
              <w:rPr>
                <w:rFonts w:asciiTheme="minorHAnsi" w:hAnsiTheme="minorHAnsi" w:cstheme="minorHAnsi"/>
                <w:iCs/>
                <w:color w:val="000000"/>
                <w:sz w:val="20"/>
                <w:szCs w:val="20"/>
              </w:rPr>
            </w:pPr>
          </w:p>
        </w:tc>
        <w:tc>
          <w:tcPr>
            <w:tcW w:w="1440" w:type="dxa"/>
          </w:tcPr>
          <w:p w:rsidR="00021EEF" w:rsidRPr="00845A66" w:rsidRDefault="00021EEF" w:rsidP="00091489">
            <w:pPr>
              <w:jc w:val="center"/>
              <w:rPr>
                <w:rFonts w:asciiTheme="minorHAnsi" w:hAnsiTheme="minorHAnsi" w:cstheme="minorHAnsi"/>
                <w:iCs/>
                <w:color w:val="000000"/>
                <w:sz w:val="20"/>
                <w:szCs w:val="20"/>
              </w:rPr>
            </w:pPr>
          </w:p>
        </w:tc>
        <w:tc>
          <w:tcPr>
            <w:tcW w:w="270" w:type="dxa"/>
          </w:tcPr>
          <w:p w:rsidR="00021EEF" w:rsidRPr="00845A66" w:rsidRDefault="00021EEF" w:rsidP="00091489">
            <w:pPr>
              <w:jc w:val="center"/>
              <w:rPr>
                <w:rFonts w:asciiTheme="minorHAnsi" w:hAnsiTheme="minorHAnsi" w:cstheme="minorHAnsi"/>
                <w:iCs/>
                <w:color w:val="000000"/>
                <w:sz w:val="20"/>
                <w:szCs w:val="20"/>
              </w:rPr>
            </w:pPr>
          </w:p>
        </w:tc>
        <w:tc>
          <w:tcPr>
            <w:tcW w:w="1530" w:type="dxa"/>
          </w:tcPr>
          <w:p w:rsidR="00021EEF" w:rsidRPr="00845A66" w:rsidRDefault="00021EEF" w:rsidP="00091489">
            <w:pPr>
              <w:jc w:val="center"/>
              <w:rPr>
                <w:rFonts w:asciiTheme="minorHAnsi" w:hAnsiTheme="minorHAnsi" w:cstheme="minorHAnsi"/>
                <w:iCs/>
                <w:color w:val="000000"/>
                <w:sz w:val="20"/>
                <w:szCs w:val="20"/>
              </w:rPr>
            </w:pPr>
          </w:p>
        </w:tc>
        <w:tc>
          <w:tcPr>
            <w:tcW w:w="1477" w:type="dxa"/>
          </w:tcPr>
          <w:p w:rsidR="00021EEF" w:rsidRPr="00845A66" w:rsidRDefault="00021EEF" w:rsidP="00091489">
            <w:pPr>
              <w:jc w:val="center"/>
              <w:rPr>
                <w:rFonts w:asciiTheme="minorHAnsi" w:hAnsiTheme="minorHAnsi" w:cstheme="minorHAnsi"/>
                <w:iCs/>
                <w:color w:val="000000"/>
                <w:sz w:val="20"/>
                <w:szCs w:val="20"/>
              </w:rPr>
            </w:pPr>
          </w:p>
        </w:tc>
      </w:tr>
      <w:tr w:rsidR="00021EEF" w:rsidRPr="007B3DBB" w:rsidTr="00091489">
        <w:trPr>
          <w:trHeight w:val="306"/>
        </w:trPr>
        <w:tc>
          <w:tcPr>
            <w:tcW w:w="3708" w:type="dxa"/>
            <w:hideMark/>
          </w:tcPr>
          <w:p w:rsidR="00021EEF" w:rsidRPr="00845A66" w:rsidRDefault="00021EEF" w:rsidP="00091489">
            <w:pPr>
              <w:ind w:left="330"/>
              <w:rPr>
                <w:rFonts w:asciiTheme="minorHAnsi" w:hAnsiTheme="minorHAnsi" w:cstheme="minorHAnsi"/>
                <w:sz w:val="20"/>
                <w:szCs w:val="20"/>
              </w:rPr>
            </w:pPr>
            <w:r w:rsidRPr="00845A66">
              <w:rPr>
                <w:rFonts w:asciiTheme="minorHAnsi" w:hAnsiTheme="minorHAnsi" w:cstheme="minorHAnsi"/>
                <w:sz w:val="20"/>
                <w:szCs w:val="20"/>
              </w:rPr>
              <w:t>2012</w:t>
            </w:r>
          </w:p>
        </w:tc>
        <w:tc>
          <w:tcPr>
            <w:tcW w:w="1327"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9</w:t>
            </w:r>
          </w:p>
        </w:tc>
        <w:tc>
          <w:tcPr>
            <w:tcW w:w="1440"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4.33</w:t>
            </w:r>
          </w:p>
        </w:tc>
        <w:tc>
          <w:tcPr>
            <w:tcW w:w="270" w:type="dxa"/>
          </w:tcPr>
          <w:p w:rsidR="00021EEF" w:rsidRPr="00845A66" w:rsidRDefault="00021EEF" w:rsidP="00091489">
            <w:pPr>
              <w:jc w:val="center"/>
              <w:rPr>
                <w:rFonts w:asciiTheme="minorHAnsi" w:hAnsiTheme="minorHAnsi" w:cstheme="minorHAnsi"/>
                <w:iCs/>
                <w:color w:val="FF0000"/>
                <w:sz w:val="20"/>
                <w:szCs w:val="20"/>
              </w:rPr>
            </w:pPr>
          </w:p>
        </w:tc>
        <w:tc>
          <w:tcPr>
            <w:tcW w:w="1530"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53</w:t>
            </w:r>
          </w:p>
        </w:tc>
        <w:tc>
          <w:tcPr>
            <w:tcW w:w="1477"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29.44</w:t>
            </w:r>
          </w:p>
        </w:tc>
      </w:tr>
      <w:tr w:rsidR="00021EEF" w:rsidRPr="007B3DBB" w:rsidTr="00091489">
        <w:trPr>
          <w:trHeight w:val="306"/>
        </w:trPr>
        <w:tc>
          <w:tcPr>
            <w:tcW w:w="3708" w:type="dxa"/>
          </w:tcPr>
          <w:p w:rsidR="00021EEF" w:rsidRPr="00845A66" w:rsidRDefault="00021EEF" w:rsidP="00091489">
            <w:pPr>
              <w:ind w:left="330"/>
              <w:rPr>
                <w:rFonts w:asciiTheme="minorHAnsi" w:hAnsiTheme="minorHAnsi" w:cstheme="minorHAnsi"/>
                <w:sz w:val="20"/>
                <w:szCs w:val="20"/>
              </w:rPr>
            </w:pPr>
            <w:r w:rsidRPr="00845A66">
              <w:rPr>
                <w:rFonts w:asciiTheme="minorHAnsi" w:hAnsiTheme="minorHAnsi" w:cstheme="minorHAnsi"/>
                <w:sz w:val="20"/>
                <w:szCs w:val="20"/>
              </w:rPr>
              <w:t>2013</w:t>
            </w:r>
          </w:p>
        </w:tc>
        <w:tc>
          <w:tcPr>
            <w:tcW w:w="1327"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9</w:t>
            </w:r>
          </w:p>
        </w:tc>
        <w:tc>
          <w:tcPr>
            <w:tcW w:w="1440"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4.33</w:t>
            </w:r>
          </w:p>
        </w:tc>
        <w:tc>
          <w:tcPr>
            <w:tcW w:w="270" w:type="dxa"/>
          </w:tcPr>
          <w:p w:rsidR="00021EEF" w:rsidRPr="00845A66" w:rsidRDefault="00021EEF" w:rsidP="00091489">
            <w:pPr>
              <w:jc w:val="center"/>
              <w:rPr>
                <w:rFonts w:asciiTheme="minorHAnsi" w:hAnsiTheme="minorHAnsi" w:cstheme="minorHAnsi"/>
                <w:iCs/>
                <w:color w:val="FF0000"/>
                <w:sz w:val="20"/>
                <w:szCs w:val="20"/>
              </w:rPr>
            </w:pPr>
          </w:p>
        </w:tc>
        <w:tc>
          <w:tcPr>
            <w:tcW w:w="1530"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79</w:t>
            </w:r>
          </w:p>
        </w:tc>
        <w:tc>
          <w:tcPr>
            <w:tcW w:w="1477"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43.89</w:t>
            </w:r>
          </w:p>
        </w:tc>
      </w:tr>
      <w:tr w:rsidR="00021EEF" w:rsidRPr="007B3DBB" w:rsidTr="00091489">
        <w:trPr>
          <w:trHeight w:val="342"/>
        </w:trPr>
        <w:tc>
          <w:tcPr>
            <w:tcW w:w="3708" w:type="dxa"/>
          </w:tcPr>
          <w:p w:rsidR="00021EEF" w:rsidRPr="00845A66" w:rsidRDefault="00021EEF" w:rsidP="00091489">
            <w:pPr>
              <w:ind w:left="330"/>
              <w:rPr>
                <w:rFonts w:asciiTheme="minorHAnsi" w:hAnsiTheme="minorHAnsi" w:cstheme="minorHAnsi"/>
                <w:sz w:val="20"/>
                <w:szCs w:val="20"/>
              </w:rPr>
            </w:pPr>
            <w:r w:rsidRPr="00845A66">
              <w:rPr>
                <w:rFonts w:asciiTheme="minorHAnsi" w:hAnsiTheme="minorHAnsi" w:cstheme="minorHAnsi"/>
                <w:sz w:val="20"/>
                <w:szCs w:val="20"/>
              </w:rPr>
              <w:t>2014</w:t>
            </w:r>
          </w:p>
        </w:tc>
        <w:tc>
          <w:tcPr>
            <w:tcW w:w="1327"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31</w:t>
            </w:r>
          </w:p>
        </w:tc>
        <w:tc>
          <w:tcPr>
            <w:tcW w:w="1440"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14.90</w:t>
            </w:r>
          </w:p>
        </w:tc>
        <w:tc>
          <w:tcPr>
            <w:tcW w:w="270" w:type="dxa"/>
          </w:tcPr>
          <w:p w:rsidR="00021EEF" w:rsidRPr="00845A66" w:rsidRDefault="00021EEF" w:rsidP="00091489">
            <w:pPr>
              <w:jc w:val="center"/>
              <w:rPr>
                <w:rFonts w:asciiTheme="minorHAnsi" w:hAnsiTheme="minorHAnsi" w:cstheme="minorHAnsi"/>
                <w:iCs/>
                <w:color w:val="FF0000"/>
                <w:sz w:val="20"/>
                <w:szCs w:val="20"/>
              </w:rPr>
            </w:pPr>
          </w:p>
        </w:tc>
        <w:tc>
          <w:tcPr>
            <w:tcW w:w="1530"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10</w:t>
            </w:r>
          </w:p>
        </w:tc>
        <w:tc>
          <w:tcPr>
            <w:tcW w:w="1477"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5.56</w:t>
            </w:r>
          </w:p>
        </w:tc>
      </w:tr>
      <w:tr w:rsidR="00021EEF" w:rsidRPr="007B3DBB" w:rsidTr="00091489">
        <w:trPr>
          <w:trHeight w:val="351"/>
        </w:trPr>
        <w:tc>
          <w:tcPr>
            <w:tcW w:w="3708" w:type="dxa"/>
          </w:tcPr>
          <w:p w:rsidR="00021EEF" w:rsidRPr="00845A66" w:rsidRDefault="00021EEF" w:rsidP="00091489">
            <w:pPr>
              <w:ind w:left="330"/>
              <w:rPr>
                <w:rFonts w:asciiTheme="minorHAnsi" w:hAnsiTheme="minorHAnsi" w:cstheme="minorHAnsi"/>
                <w:sz w:val="20"/>
                <w:szCs w:val="20"/>
              </w:rPr>
            </w:pPr>
            <w:r w:rsidRPr="00845A66">
              <w:rPr>
                <w:rFonts w:asciiTheme="minorHAnsi" w:hAnsiTheme="minorHAnsi" w:cstheme="minorHAnsi"/>
                <w:sz w:val="20"/>
                <w:szCs w:val="20"/>
              </w:rPr>
              <w:t>2015</w:t>
            </w:r>
          </w:p>
        </w:tc>
        <w:tc>
          <w:tcPr>
            <w:tcW w:w="1327"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44</w:t>
            </w:r>
          </w:p>
        </w:tc>
        <w:tc>
          <w:tcPr>
            <w:tcW w:w="1440"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21.15</w:t>
            </w:r>
          </w:p>
        </w:tc>
        <w:tc>
          <w:tcPr>
            <w:tcW w:w="270" w:type="dxa"/>
          </w:tcPr>
          <w:p w:rsidR="00021EEF" w:rsidRPr="00845A66" w:rsidRDefault="00021EEF" w:rsidP="00091489">
            <w:pPr>
              <w:jc w:val="center"/>
              <w:rPr>
                <w:rFonts w:asciiTheme="minorHAnsi" w:hAnsiTheme="minorHAnsi" w:cstheme="minorHAnsi"/>
                <w:iCs/>
                <w:color w:val="FF0000"/>
                <w:sz w:val="20"/>
                <w:szCs w:val="20"/>
              </w:rPr>
            </w:pPr>
          </w:p>
        </w:tc>
        <w:tc>
          <w:tcPr>
            <w:tcW w:w="1530"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20</w:t>
            </w:r>
          </w:p>
        </w:tc>
        <w:tc>
          <w:tcPr>
            <w:tcW w:w="1477"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11.11</w:t>
            </w:r>
          </w:p>
        </w:tc>
      </w:tr>
      <w:tr w:rsidR="00021EEF" w:rsidRPr="007B3DBB" w:rsidTr="00091489">
        <w:trPr>
          <w:trHeight w:val="351"/>
        </w:trPr>
        <w:tc>
          <w:tcPr>
            <w:tcW w:w="3708" w:type="dxa"/>
          </w:tcPr>
          <w:p w:rsidR="00021EEF" w:rsidRPr="00845A66" w:rsidRDefault="00021EEF" w:rsidP="00091489">
            <w:pPr>
              <w:ind w:left="330"/>
              <w:rPr>
                <w:rFonts w:asciiTheme="minorHAnsi" w:hAnsiTheme="minorHAnsi" w:cstheme="minorHAnsi"/>
                <w:sz w:val="20"/>
                <w:szCs w:val="20"/>
              </w:rPr>
            </w:pPr>
            <w:r w:rsidRPr="00845A66">
              <w:rPr>
                <w:rFonts w:asciiTheme="minorHAnsi" w:hAnsiTheme="minorHAnsi" w:cstheme="minorHAnsi"/>
                <w:sz w:val="20"/>
                <w:szCs w:val="20"/>
              </w:rPr>
              <w:t>2016</w:t>
            </w:r>
          </w:p>
        </w:tc>
        <w:tc>
          <w:tcPr>
            <w:tcW w:w="1327"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62</w:t>
            </w:r>
          </w:p>
        </w:tc>
        <w:tc>
          <w:tcPr>
            <w:tcW w:w="1440"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29.81</w:t>
            </w:r>
          </w:p>
        </w:tc>
        <w:tc>
          <w:tcPr>
            <w:tcW w:w="270" w:type="dxa"/>
          </w:tcPr>
          <w:p w:rsidR="00021EEF" w:rsidRPr="00845A66" w:rsidRDefault="00021EEF" w:rsidP="00091489">
            <w:pPr>
              <w:jc w:val="center"/>
              <w:rPr>
                <w:rFonts w:asciiTheme="minorHAnsi" w:hAnsiTheme="minorHAnsi" w:cstheme="minorHAnsi"/>
                <w:iCs/>
                <w:color w:val="FF0000"/>
                <w:sz w:val="20"/>
                <w:szCs w:val="20"/>
              </w:rPr>
            </w:pPr>
          </w:p>
        </w:tc>
        <w:tc>
          <w:tcPr>
            <w:tcW w:w="1530"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7</w:t>
            </w:r>
          </w:p>
        </w:tc>
        <w:tc>
          <w:tcPr>
            <w:tcW w:w="1477"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3.89</w:t>
            </w:r>
          </w:p>
        </w:tc>
      </w:tr>
      <w:tr w:rsidR="00021EEF" w:rsidRPr="007B3DBB" w:rsidTr="00091489">
        <w:trPr>
          <w:trHeight w:val="351"/>
        </w:trPr>
        <w:tc>
          <w:tcPr>
            <w:tcW w:w="3708" w:type="dxa"/>
          </w:tcPr>
          <w:p w:rsidR="00021EEF" w:rsidRPr="00845A66" w:rsidRDefault="00021EEF" w:rsidP="00091489">
            <w:pPr>
              <w:ind w:left="330"/>
              <w:rPr>
                <w:rFonts w:asciiTheme="minorHAnsi" w:hAnsiTheme="minorHAnsi" w:cstheme="minorHAnsi"/>
                <w:sz w:val="20"/>
                <w:szCs w:val="20"/>
              </w:rPr>
            </w:pPr>
            <w:r w:rsidRPr="00845A66">
              <w:rPr>
                <w:rFonts w:asciiTheme="minorHAnsi" w:hAnsiTheme="minorHAnsi" w:cstheme="minorHAnsi"/>
                <w:sz w:val="20"/>
                <w:szCs w:val="20"/>
              </w:rPr>
              <w:t>2017</w:t>
            </w:r>
          </w:p>
        </w:tc>
        <w:tc>
          <w:tcPr>
            <w:tcW w:w="1327"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53</w:t>
            </w:r>
          </w:p>
        </w:tc>
        <w:tc>
          <w:tcPr>
            <w:tcW w:w="1440"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25.48</w:t>
            </w:r>
          </w:p>
        </w:tc>
        <w:tc>
          <w:tcPr>
            <w:tcW w:w="270" w:type="dxa"/>
          </w:tcPr>
          <w:p w:rsidR="00021EEF" w:rsidRPr="00845A66" w:rsidRDefault="00021EEF" w:rsidP="00091489">
            <w:pPr>
              <w:jc w:val="center"/>
              <w:rPr>
                <w:rFonts w:asciiTheme="minorHAnsi" w:hAnsiTheme="minorHAnsi" w:cstheme="minorHAnsi"/>
                <w:iCs/>
                <w:color w:val="FF0000"/>
                <w:sz w:val="20"/>
                <w:szCs w:val="20"/>
              </w:rPr>
            </w:pPr>
          </w:p>
        </w:tc>
        <w:tc>
          <w:tcPr>
            <w:tcW w:w="1530"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11</w:t>
            </w:r>
          </w:p>
        </w:tc>
        <w:tc>
          <w:tcPr>
            <w:tcW w:w="1477" w:type="dxa"/>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6.11</w:t>
            </w:r>
          </w:p>
        </w:tc>
      </w:tr>
      <w:tr w:rsidR="00021EEF" w:rsidRPr="007B3DBB" w:rsidTr="00091489">
        <w:trPr>
          <w:trHeight w:val="324"/>
        </w:trPr>
        <w:tc>
          <w:tcPr>
            <w:tcW w:w="3708" w:type="dxa"/>
          </w:tcPr>
          <w:p w:rsidR="00021EEF" w:rsidRPr="00845A66" w:rsidRDefault="00021EEF" w:rsidP="00091489">
            <w:pPr>
              <w:rPr>
                <w:rFonts w:asciiTheme="minorHAnsi" w:hAnsiTheme="minorHAnsi" w:cstheme="minorHAnsi"/>
                <w:sz w:val="20"/>
                <w:szCs w:val="20"/>
              </w:rPr>
            </w:pPr>
            <w:r w:rsidRPr="00845A66">
              <w:rPr>
                <w:rFonts w:asciiTheme="minorHAnsi" w:hAnsiTheme="minorHAnsi" w:cstheme="minorHAnsi"/>
                <w:sz w:val="20"/>
                <w:szCs w:val="20"/>
              </w:rPr>
              <w:t xml:space="preserve">Age, </w:t>
            </w:r>
            <w:proofErr w:type="spellStart"/>
            <w:r w:rsidRPr="00845A66">
              <w:rPr>
                <w:rFonts w:asciiTheme="minorHAnsi" w:hAnsiTheme="minorHAnsi" w:cstheme="minorHAnsi"/>
                <w:sz w:val="20"/>
                <w:szCs w:val="20"/>
              </w:rPr>
              <w:t>years</w:t>
            </w:r>
            <w:r w:rsidRPr="00845A66">
              <w:rPr>
                <w:rFonts w:asciiTheme="minorHAnsi" w:hAnsiTheme="minorHAnsi" w:cstheme="minorHAnsi"/>
                <w:sz w:val="20"/>
                <w:szCs w:val="20"/>
                <w:vertAlign w:val="superscript"/>
              </w:rPr>
              <w:t>d</w:t>
            </w:r>
            <w:proofErr w:type="spellEnd"/>
          </w:p>
        </w:tc>
        <w:tc>
          <w:tcPr>
            <w:tcW w:w="2767" w:type="dxa"/>
            <w:gridSpan w:val="2"/>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46.98 (26.16)</w:t>
            </w:r>
          </w:p>
        </w:tc>
        <w:tc>
          <w:tcPr>
            <w:tcW w:w="270" w:type="dxa"/>
          </w:tcPr>
          <w:p w:rsidR="00021EEF" w:rsidRPr="00845A66" w:rsidRDefault="00021EEF" w:rsidP="00091489">
            <w:pPr>
              <w:jc w:val="center"/>
              <w:rPr>
                <w:rFonts w:asciiTheme="minorHAnsi" w:hAnsiTheme="minorHAnsi" w:cstheme="minorHAnsi"/>
                <w:iCs/>
                <w:color w:val="FF0000"/>
                <w:sz w:val="20"/>
                <w:szCs w:val="20"/>
              </w:rPr>
            </w:pPr>
          </w:p>
        </w:tc>
        <w:tc>
          <w:tcPr>
            <w:tcW w:w="3007" w:type="dxa"/>
            <w:gridSpan w:val="2"/>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65.50 (18.23)</w:t>
            </w:r>
          </w:p>
        </w:tc>
      </w:tr>
      <w:tr w:rsidR="00021EEF" w:rsidRPr="00325712" w:rsidTr="00091489">
        <w:trPr>
          <w:trHeight w:val="291"/>
        </w:trPr>
        <w:tc>
          <w:tcPr>
            <w:tcW w:w="3708" w:type="dxa"/>
            <w:tcBorders>
              <w:bottom w:val="single" w:sz="4" w:space="0" w:color="auto"/>
            </w:tcBorders>
          </w:tcPr>
          <w:p w:rsidR="00021EEF" w:rsidRPr="00845A66" w:rsidRDefault="00021EEF" w:rsidP="00091489">
            <w:pPr>
              <w:rPr>
                <w:rFonts w:asciiTheme="minorHAnsi" w:hAnsiTheme="minorHAnsi" w:cstheme="minorHAnsi"/>
                <w:sz w:val="20"/>
                <w:szCs w:val="20"/>
              </w:rPr>
            </w:pPr>
            <w:r w:rsidRPr="00845A66">
              <w:rPr>
                <w:rFonts w:asciiTheme="minorHAnsi" w:hAnsiTheme="minorHAnsi" w:cstheme="minorHAnsi"/>
                <w:sz w:val="20"/>
                <w:szCs w:val="20"/>
              </w:rPr>
              <w:t xml:space="preserve">Time from Sample Collection to Lab Report, </w:t>
            </w:r>
            <w:proofErr w:type="spellStart"/>
            <w:r w:rsidRPr="00845A66">
              <w:rPr>
                <w:rFonts w:asciiTheme="minorHAnsi" w:hAnsiTheme="minorHAnsi" w:cstheme="minorHAnsi"/>
                <w:sz w:val="20"/>
                <w:szCs w:val="20"/>
              </w:rPr>
              <w:t>days</w:t>
            </w:r>
            <w:r w:rsidRPr="00845A66">
              <w:rPr>
                <w:rFonts w:asciiTheme="minorHAnsi" w:hAnsiTheme="minorHAnsi" w:cstheme="minorHAnsi"/>
                <w:sz w:val="20"/>
                <w:szCs w:val="20"/>
                <w:vertAlign w:val="superscript"/>
              </w:rPr>
              <w:t>d</w:t>
            </w:r>
            <w:proofErr w:type="spellEnd"/>
          </w:p>
        </w:tc>
        <w:tc>
          <w:tcPr>
            <w:tcW w:w="2767" w:type="dxa"/>
            <w:gridSpan w:val="2"/>
            <w:tcBorders>
              <w:bottom w:val="single" w:sz="4" w:space="0" w:color="auto"/>
            </w:tcBorders>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25.68 (20.94)</w:t>
            </w:r>
          </w:p>
        </w:tc>
        <w:tc>
          <w:tcPr>
            <w:tcW w:w="270" w:type="dxa"/>
            <w:tcBorders>
              <w:bottom w:val="single" w:sz="4" w:space="0" w:color="auto"/>
            </w:tcBorders>
          </w:tcPr>
          <w:p w:rsidR="00021EEF" w:rsidRPr="00845A66" w:rsidRDefault="00021EEF" w:rsidP="00091489">
            <w:pPr>
              <w:jc w:val="center"/>
              <w:rPr>
                <w:rFonts w:asciiTheme="minorHAnsi" w:hAnsiTheme="minorHAnsi" w:cstheme="minorHAnsi"/>
                <w:iCs/>
                <w:sz w:val="20"/>
                <w:szCs w:val="20"/>
              </w:rPr>
            </w:pPr>
          </w:p>
        </w:tc>
        <w:tc>
          <w:tcPr>
            <w:tcW w:w="3007" w:type="dxa"/>
            <w:gridSpan w:val="2"/>
            <w:tcBorders>
              <w:bottom w:val="single" w:sz="4" w:space="0" w:color="auto"/>
            </w:tcBorders>
          </w:tcPr>
          <w:p w:rsidR="00021EEF" w:rsidRPr="00845A66" w:rsidRDefault="00021EEF" w:rsidP="00091489">
            <w:pPr>
              <w:jc w:val="center"/>
              <w:rPr>
                <w:rFonts w:asciiTheme="minorHAnsi" w:hAnsiTheme="minorHAnsi" w:cstheme="minorHAnsi"/>
                <w:iCs/>
                <w:sz w:val="20"/>
                <w:szCs w:val="20"/>
              </w:rPr>
            </w:pPr>
            <w:r w:rsidRPr="00845A66">
              <w:rPr>
                <w:rFonts w:asciiTheme="minorHAnsi" w:hAnsiTheme="minorHAnsi" w:cstheme="minorHAnsi"/>
                <w:iCs/>
                <w:sz w:val="20"/>
                <w:szCs w:val="20"/>
              </w:rPr>
              <w:t>25.14 (24.28)</w:t>
            </w:r>
          </w:p>
        </w:tc>
      </w:tr>
    </w:tbl>
    <w:p w:rsidR="00021EEF" w:rsidRDefault="00021EEF" w:rsidP="00021EEF">
      <w:pPr>
        <w:rPr>
          <w:sz w:val="16"/>
          <w:szCs w:val="16"/>
        </w:rPr>
      </w:pPr>
      <w:proofErr w:type="gramStart"/>
      <w:r w:rsidRPr="00F12667">
        <w:rPr>
          <w:sz w:val="16"/>
          <w:szCs w:val="16"/>
        </w:rPr>
        <w:t xml:space="preserve">a </w:t>
      </w:r>
      <w:r>
        <w:rPr>
          <w:sz w:val="16"/>
          <w:szCs w:val="16"/>
        </w:rPr>
        <w:t xml:space="preserve">368 </w:t>
      </w:r>
      <w:r w:rsidRPr="00F12667">
        <w:rPr>
          <w:sz w:val="16"/>
          <w:szCs w:val="16"/>
        </w:rPr>
        <w:t>observations</w:t>
      </w:r>
      <w:proofErr w:type="gramEnd"/>
      <w:r w:rsidRPr="00F12667">
        <w:rPr>
          <w:sz w:val="16"/>
          <w:szCs w:val="16"/>
        </w:rPr>
        <w:t xml:space="preserve"> w</w:t>
      </w:r>
      <w:r>
        <w:rPr>
          <w:sz w:val="16"/>
          <w:szCs w:val="16"/>
        </w:rPr>
        <w:t>ith missing specimen data were excluded from descriptive statistics</w:t>
      </w:r>
    </w:p>
    <w:p w:rsidR="00021EEF" w:rsidRDefault="00021EEF" w:rsidP="00021EEF">
      <w:pPr>
        <w:rPr>
          <w:sz w:val="16"/>
          <w:szCs w:val="16"/>
        </w:rPr>
      </w:pPr>
      <w:r>
        <w:rPr>
          <w:sz w:val="16"/>
          <w:szCs w:val="16"/>
        </w:rPr>
        <w:t>b 2 observations with device as the specimen source were excluded from descriptive statistics</w:t>
      </w:r>
    </w:p>
    <w:p w:rsidR="00021EEF" w:rsidRDefault="00021EEF" w:rsidP="00021EEF">
      <w:pPr>
        <w:rPr>
          <w:sz w:val="16"/>
          <w:szCs w:val="16"/>
        </w:rPr>
      </w:pPr>
      <w:r>
        <w:rPr>
          <w:sz w:val="16"/>
          <w:szCs w:val="16"/>
        </w:rPr>
        <w:t>c 1 observation with missing gender was excluded from descriptive statistics</w:t>
      </w:r>
    </w:p>
    <w:p w:rsidR="0071476E" w:rsidRDefault="00021EEF" w:rsidP="00021EEF">
      <w:pPr>
        <w:rPr>
          <w:color w:val="0070C0"/>
        </w:rPr>
      </w:pPr>
      <w:r>
        <w:rPr>
          <w:sz w:val="16"/>
          <w:szCs w:val="16"/>
        </w:rPr>
        <w:t xml:space="preserve">d </w:t>
      </w:r>
      <w:r w:rsidRPr="00F12667">
        <w:rPr>
          <w:sz w:val="16"/>
          <w:szCs w:val="16"/>
        </w:rPr>
        <w:t>values express</w:t>
      </w:r>
      <w:r>
        <w:rPr>
          <w:sz w:val="16"/>
          <w:szCs w:val="16"/>
        </w:rPr>
        <w:t>ed as mean (standard deviation)</w:t>
      </w:r>
    </w:p>
    <w:p w:rsidR="00021EEF" w:rsidRDefault="00021EEF" w:rsidP="000A2A14">
      <w:pPr>
        <w:rPr>
          <w:rFonts w:asciiTheme="minorHAnsi" w:hAnsiTheme="minorHAnsi"/>
          <w:color w:val="000000" w:themeColor="text1"/>
        </w:rPr>
      </w:pPr>
    </w:p>
    <w:p w:rsidR="008F4F52" w:rsidRPr="00F652AD" w:rsidRDefault="00315DAC" w:rsidP="00F652AD">
      <w:pPr>
        <w:spacing w:line="480" w:lineRule="auto"/>
        <w:ind w:firstLine="720"/>
        <w:rPr>
          <w:rFonts w:asciiTheme="minorHAnsi" w:hAnsiTheme="minorHAnsi"/>
          <w:color w:val="FF0000"/>
          <w:sz w:val="24"/>
          <w:szCs w:val="24"/>
        </w:rPr>
      </w:pPr>
      <w:r w:rsidRPr="00F652AD">
        <w:rPr>
          <w:rFonts w:asciiTheme="minorHAnsi" w:hAnsiTheme="minorHAnsi"/>
          <w:color w:val="000000" w:themeColor="text1"/>
          <w:sz w:val="24"/>
          <w:szCs w:val="24"/>
        </w:rPr>
        <w:lastRenderedPageBreak/>
        <w:t>24</w:t>
      </w:r>
      <w:r w:rsidR="008F4F52" w:rsidRPr="00F652AD">
        <w:rPr>
          <w:rFonts w:asciiTheme="minorHAnsi" w:hAnsiTheme="minorHAnsi"/>
          <w:color w:val="000000" w:themeColor="text1"/>
          <w:sz w:val="24"/>
          <w:szCs w:val="24"/>
        </w:rPr>
        <w:t xml:space="preserve"> species types </w:t>
      </w:r>
      <w:r w:rsidR="00220629" w:rsidRPr="00F652AD">
        <w:rPr>
          <w:rFonts w:asciiTheme="minorHAnsi" w:hAnsiTheme="minorHAnsi"/>
          <w:color w:val="000000" w:themeColor="text1"/>
          <w:sz w:val="24"/>
          <w:szCs w:val="24"/>
        </w:rPr>
        <w:t xml:space="preserve">including the contaminant, </w:t>
      </w:r>
      <w:r w:rsidR="004A3BEF" w:rsidRPr="00F652AD">
        <w:rPr>
          <w:rFonts w:asciiTheme="minorHAnsi" w:hAnsiTheme="minorHAnsi"/>
          <w:i/>
          <w:color w:val="000000" w:themeColor="text1"/>
          <w:sz w:val="24"/>
          <w:szCs w:val="24"/>
        </w:rPr>
        <w:t xml:space="preserve">Mycobacterium </w:t>
      </w:r>
      <w:proofErr w:type="spellStart"/>
      <w:r w:rsidR="00220629" w:rsidRPr="00F652AD">
        <w:rPr>
          <w:rFonts w:asciiTheme="minorHAnsi" w:hAnsiTheme="minorHAnsi"/>
          <w:i/>
          <w:color w:val="000000" w:themeColor="text1"/>
          <w:sz w:val="24"/>
          <w:szCs w:val="24"/>
        </w:rPr>
        <w:t>Gordonae</w:t>
      </w:r>
      <w:proofErr w:type="spellEnd"/>
      <w:r w:rsidR="00220629" w:rsidRPr="00F652AD">
        <w:rPr>
          <w:rFonts w:asciiTheme="minorHAnsi" w:hAnsiTheme="minorHAnsi"/>
          <w:color w:val="000000" w:themeColor="text1"/>
          <w:sz w:val="24"/>
          <w:szCs w:val="24"/>
        </w:rPr>
        <w:t xml:space="preserve">, </w:t>
      </w:r>
      <w:r w:rsidRPr="00F652AD">
        <w:rPr>
          <w:rFonts w:asciiTheme="minorHAnsi" w:hAnsiTheme="minorHAnsi"/>
          <w:color w:val="000000" w:themeColor="text1"/>
          <w:sz w:val="24"/>
          <w:szCs w:val="24"/>
        </w:rPr>
        <w:t xml:space="preserve">and </w:t>
      </w:r>
      <w:r w:rsidRPr="00F652AD">
        <w:rPr>
          <w:rFonts w:asciiTheme="minorHAnsi" w:hAnsiTheme="minorHAnsi"/>
          <w:i/>
          <w:color w:val="000000" w:themeColor="text1"/>
          <w:sz w:val="24"/>
          <w:szCs w:val="24"/>
        </w:rPr>
        <w:t>Mycobacterium Chimaera</w:t>
      </w:r>
      <w:r w:rsidR="00191A19" w:rsidRPr="00F652AD">
        <w:rPr>
          <w:rFonts w:asciiTheme="minorHAnsi" w:hAnsiTheme="minorHAnsi"/>
          <w:i/>
          <w:color w:val="000000" w:themeColor="text1"/>
          <w:sz w:val="24"/>
          <w:szCs w:val="24"/>
        </w:rPr>
        <w:t>,</w:t>
      </w:r>
      <w:r w:rsidRPr="00F652AD">
        <w:rPr>
          <w:rFonts w:asciiTheme="minorHAnsi" w:hAnsiTheme="minorHAnsi"/>
          <w:color w:val="000000" w:themeColor="text1"/>
          <w:sz w:val="24"/>
          <w:szCs w:val="24"/>
        </w:rPr>
        <w:t xml:space="preserve"> from an environmental source</w:t>
      </w:r>
      <w:r w:rsidR="00191A19" w:rsidRPr="00F652AD">
        <w:rPr>
          <w:rFonts w:asciiTheme="minorHAnsi" w:hAnsiTheme="minorHAnsi"/>
          <w:color w:val="000000" w:themeColor="text1"/>
          <w:sz w:val="24"/>
          <w:szCs w:val="24"/>
        </w:rPr>
        <w:t>,</w:t>
      </w:r>
      <w:r w:rsidRPr="00F652AD">
        <w:rPr>
          <w:rFonts w:asciiTheme="minorHAnsi" w:hAnsiTheme="minorHAnsi"/>
          <w:color w:val="000000" w:themeColor="text1"/>
          <w:sz w:val="24"/>
          <w:szCs w:val="24"/>
        </w:rPr>
        <w:t xml:space="preserve"> </w:t>
      </w:r>
      <w:r w:rsidR="008F4F52" w:rsidRPr="00F652AD">
        <w:rPr>
          <w:rFonts w:asciiTheme="minorHAnsi" w:hAnsiTheme="minorHAnsi"/>
          <w:color w:val="000000" w:themeColor="text1"/>
          <w:sz w:val="24"/>
          <w:szCs w:val="24"/>
        </w:rPr>
        <w:t xml:space="preserve">were identified </w:t>
      </w:r>
      <w:r w:rsidR="00BF5A0A" w:rsidRPr="00F652AD">
        <w:rPr>
          <w:rFonts w:asciiTheme="minorHAnsi" w:hAnsiTheme="minorHAnsi"/>
          <w:color w:val="000000" w:themeColor="text1"/>
          <w:sz w:val="24"/>
          <w:szCs w:val="24"/>
        </w:rPr>
        <w:t>(</w:t>
      </w:r>
      <w:r w:rsidR="002C799D" w:rsidRPr="00F652AD">
        <w:rPr>
          <w:rFonts w:asciiTheme="minorHAnsi" w:hAnsiTheme="minorHAnsi"/>
          <w:color w:val="000000" w:themeColor="text1"/>
          <w:sz w:val="24"/>
          <w:szCs w:val="24"/>
        </w:rPr>
        <w:t>Table 1b</w:t>
      </w:r>
      <w:r w:rsidR="00BF5A0A" w:rsidRPr="00F652AD">
        <w:rPr>
          <w:rFonts w:asciiTheme="minorHAnsi" w:hAnsiTheme="minorHAnsi"/>
          <w:color w:val="000000" w:themeColor="text1"/>
          <w:sz w:val="24"/>
          <w:szCs w:val="24"/>
        </w:rPr>
        <w:t xml:space="preserve">). </w:t>
      </w:r>
      <w:r w:rsidR="00367DDE" w:rsidRPr="00F652AD">
        <w:rPr>
          <w:rFonts w:asciiTheme="minorHAnsi" w:hAnsiTheme="minorHAnsi"/>
          <w:color w:val="000000" w:themeColor="text1"/>
          <w:sz w:val="24"/>
          <w:szCs w:val="24"/>
        </w:rPr>
        <w:t xml:space="preserve">A majority of isolates (58%) were identified as </w:t>
      </w:r>
      <w:r w:rsidR="00367DDE" w:rsidRPr="00F652AD">
        <w:rPr>
          <w:rFonts w:asciiTheme="minorHAnsi" w:hAnsiTheme="minorHAnsi"/>
          <w:i/>
          <w:color w:val="000000" w:themeColor="text1"/>
          <w:sz w:val="24"/>
          <w:szCs w:val="24"/>
        </w:rPr>
        <w:t>Mycobacterium</w:t>
      </w:r>
      <w:r w:rsidR="00367DDE" w:rsidRPr="00F652AD">
        <w:rPr>
          <w:rFonts w:asciiTheme="minorHAnsi" w:hAnsiTheme="minorHAnsi" w:cs="Arial"/>
          <w:i/>
          <w:iCs/>
          <w:color w:val="000000" w:themeColor="text1"/>
          <w:sz w:val="24"/>
          <w:szCs w:val="24"/>
        </w:rPr>
        <w:t xml:space="preserve"> Avium </w:t>
      </w:r>
      <w:proofErr w:type="spellStart"/>
      <w:r w:rsidR="00367DDE" w:rsidRPr="00F652AD">
        <w:rPr>
          <w:rFonts w:asciiTheme="minorHAnsi" w:hAnsiTheme="minorHAnsi" w:cs="Arial"/>
          <w:i/>
          <w:iCs/>
          <w:color w:val="000000" w:themeColor="text1"/>
          <w:sz w:val="24"/>
          <w:szCs w:val="24"/>
        </w:rPr>
        <w:t>Intracellulare</w:t>
      </w:r>
      <w:proofErr w:type="spellEnd"/>
      <w:r w:rsidR="00367DDE" w:rsidRPr="00F652AD">
        <w:rPr>
          <w:rFonts w:asciiTheme="minorHAnsi" w:hAnsiTheme="minorHAnsi" w:cs="Arial"/>
          <w:i/>
          <w:iCs/>
          <w:color w:val="000000" w:themeColor="text1"/>
          <w:sz w:val="24"/>
          <w:szCs w:val="24"/>
        </w:rPr>
        <w:t xml:space="preserve"> </w:t>
      </w:r>
      <w:r w:rsidR="00367DDE" w:rsidRPr="00F652AD">
        <w:rPr>
          <w:rFonts w:asciiTheme="minorHAnsi" w:hAnsiTheme="minorHAnsi" w:cs="Arial"/>
          <w:iCs/>
          <w:color w:val="000000" w:themeColor="text1"/>
          <w:sz w:val="24"/>
          <w:szCs w:val="24"/>
        </w:rPr>
        <w:t xml:space="preserve">with an annualized isolation rate of 3.71 cases per 100,000 </w:t>
      </w:r>
      <w:r w:rsidR="00367DDE" w:rsidRPr="00F652AD">
        <w:rPr>
          <w:rFonts w:asciiTheme="minorHAnsi" w:hAnsiTheme="minorHAnsi" w:cs="Arial"/>
          <w:iCs/>
          <w:sz w:val="24"/>
          <w:szCs w:val="24"/>
        </w:rPr>
        <w:t>population.</w:t>
      </w:r>
      <w:r w:rsidR="00DC0A31" w:rsidRPr="00F652AD">
        <w:rPr>
          <w:rFonts w:asciiTheme="minorHAnsi" w:hAnsiTheme="minorHAnsi" w:cs="Arial"/>
          <w:iCs/>
          <w:sz w:val="24"/>
          <w:szCs w:val="24"/>
        </w:rPr>
        <w:t xml:space="preserve"> The second most commonly isolated species was </w:t>
      </w:r>
      <w:r w:rsidR="00DC0A31" w:rsidRPr="00F652AD">
        <w:rPr>
          <w:rFonts w:asciiTheme="minorHAnsi" w:hAnsiTheme="minorHAnsi"/>
          <w:i/>
          <w:sz w:val="24"/>
          <w:szCs w:val="24"/>
        </w:rPr>
        <w:t>Mycobacterium</w:t>
      </w:r>
      <w:r w:rsidR="00DC0A31" w:rsidRPr="00F652AD">
        <w:rPr>
          <w:rFonts w:asciiTheme="minorHAnsi" w:hAnsiTheme="minorHAnsi" w:cs="Arial"/>
          <w:i/>
          <w:iCs/>
          <w:sz w:val="24"/>
          <w:szCs w:val="24"/>
        </w:rPr>
        <w:t xml:space="preserve"> </w:t>
      </w:r>
      <w:proofErr w:type="spellStart"/>
      <w:r w:rsidR="00DC0A31" w:rsidRPr="00F652AD">
        <w:rPr>
          <w:rFonts w:asciiTheme="minorHAnsi" w:hAnsiTheme="minorHAnsi" w:cs="Arial"/>
          <w:i/>
          <w:iCs/>
          <w:sz w:val="24"/>
          <w:szCs w:val="24"/>
        </w:rPr>
        <w:t>Chelonae</w:t>
      </w:r>
      <w:proofErr w:type="spellEnd"/>
      <w:r w:rsidR="00DC0A31" w:rsidRPr="00F652AD">
        <w:rPr>
          <w:rFonts w:asciiTheme="minorHAnsi" w:hAnsiTheme="minorHAnsi" w:cs="Arial"/>
          <w:iCs/>
          <w:sz w:val="24"/>
          <w:szCs w:val="24"/>
        </w:rPr>
        <w:t xml:space="preserve"> with an annualized isolation rate of 0.81 cases per 100,000 population.</w:t>
      </w:r>
    </w:p>
    <w:p w:rsidR="00FB05CB" w:rsidRPr="00F652AD" w:rsidRDefault="00FB05CB" w:rsidP="002C2558">
      <w:pPr>
        <w:rPr>
          <w:color w:val="FF0000"/>
          <w:sz w:val="24"/>
          <w:szCs w:val="24"/>
        </w:rPr>
      </w:pPr>
    </w:p>
    <w:p w:rsidR="00EC776F" w:rsidRPr="00FB05CB" w:rsidRDefault="002C799D" w:rsidP="00206848">
      <w:pPr>
        <w:pStyle w:val="Heading2"/>
        <w:rPr>
          <w:rFonts w:asciiTheme="minorHAnsi" w:eastAsiaTheme="minorEastAsia" w:hAnsiTheme="minorHAnsi" w:cstheme="minorHAnsi"/>
          <w:iCs/>
          <w:sz w:val="20"/>
          <w:szCs w:val="20"/>
        </w:rPr>
      </w:pPr>
      <w:r w:rsidRPr="00FB05CB">
        <w:rPr>
          <w:rFonts w:asciiTheme="minorHAnsi" w:hAnsiTheme="minorHAnsi" w:cstheme="minorHAnsi"/>
          <w:iCs/>
          <w:color w:val="000000"/>
          <w:sz w:val="24"/>
        </w:rPr>
        <w:t>Table 1b</w:t>
      </w:r>
      <w:r w:rsidR="00EC776F" w:rsidRPr="00FB05CB">
        <w:rPr>
          <w:rFonts w:asciiTheme="minorHAnsi" w:hAnsiTheme="minorHAnsi" w:cstheme="minorHAnsi"/>
          <w:iCs/>
          <w:color w:val="000000"/>
          <w:sz w:val="24"/>
        </w:rPr>
        <w:t xml:space="preserve">. </w:t>
      </w:r>
      <w:r w:rsidR="008B72F6" w:rsidRPr="00FB05CB">
        <w:rPr>
          <w:rFonts w:asciiTheme="minorHAnsi" w:hAnsiTheme="minorHAnsi" w:cstheme="minorHAnsi"/>
          <w:iCs/>
          <w:color w:val="000000"/>
          <w:sz w:val="24"/>
        </w:rPr>
        <w:t>Reported</w:t>
      </w:r>
      <w:r w:rsidR="00EC776F" w:rsidRPr="00FB05CB">
        <w:rPr>
          <w:rFonts w:asciiTheme="minorHAnsi" w:hAnsiTheme="minorHAnsi" w:cstheme="minorHAnsi"/>
          <w:iCs/>
          <w:color w:val="000000"/>
          <w:sz w:val="24"/>
        </w:rPr>
        <w:t xml:space="preserve"> Isolates by Species Type, Nebraska NTM Infections 2012-2017</w:t>
      </w:r>
      <w:r w:rsidR="00EC776F" w:rsidRPr="00FB05CB">
        <w:rPr>
          <w:rFonts w:asciiTheme="minorHAnsi" w:hAnsiTheme="minorHAnsi" w:cstheme="minorHAnsi"/>
          <w:color w:val="000000" w:themeColor="text1"/>
          <w:sz w:val="24"/>
          <w:vertAlign w:val="superscript"/>
        </w:rPr>
        <w:t xml:space="preserve"> </w:t>
      </w:r>
      <w:r w:rsidR="00AD3F2F">
        <w:rPr>
          <w:rFonts w:asciiTheme="minorHAnsi" w:hAnsiTheme="minorHAnsi" w:cstheme="minorHAnsi"/>
          <w:color w:val="000000" w:themeColor="text1"/>
          <w:sz w:val="24"/>
        </w:rPr>
        <w:t>(n</w:t>
      </w:r>
      <w:r w:rsidR="00EC776F" w:rsidRPr="00FB05CB">
        <w:rPr>
          <w:rFonts w:asciiTheme="minorHAnsi" w:hAnsiTheme="minorHAnsi" w:cstheme="minorHAnsi"/>
          <w:color w:val="000000" w:themeColor="text1"/>
          <w:sz w:val="24"/>
        </w:rPr>
        <w:t>=727</w:t>
      </w:r>
      <w:r w:rsidR="00EC776F" w:rsidRPr="00FB05CB">
        <w:rPr>
          <w:rFonts w:asciiTheme="minorHAnsi" w:hAnsiTheme="minorHAnsi" w:cstheme="minorHAnsi"/>
          <w:color w:val="000000" w:themeColor="text1"/>
          <w:sz w:val="24"/>
          <w:vertAlign w:val="superscript"/>
        </w:rPr>
        <w:t>a</w:t>
      </w:r>
      <w:r w:rsidR="00EC776F" w:rsidRPr="00FB05CB">
        <w:rPr>
          <w:rFonts w:asciiTheme="minorHAnsi" w:hAnsiTheme="minorHAnsi" w:cstheme="minorHAnsi"/>
          <w:color w:val="000000" w:themeColor="text1"/>
          <w:sz w:val="24"/>
        </w:rPr>
        <w:t>)</w:t>
      </w:r>
    </w:p>
    <w:tbl>
      <w:tblPr>
        <w:tblStyle w:val="TableGrid"/>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08"/>
        <w:gridCol w:w="2767"/>
        <w:gridCol w:w="255"/>
        <w:gridCol w:w="15"/>
        <w:gridCol w:w="3007"/>
      </w:tblGrid>
      <w:tr w:rsidR="00EC776F" w:rsidRPr="007B3DBB" w:rsidTr="00091489">
        <w:trPr>
          <w:trHeight w:val="470"/>
        </w:trPr>
        <w:tc>
          <w:tcPr>
            <w:tcW w:w="3708" w:type="dxa"/>
            <w:tcBorders>
              <w:top w:val="single" w:sz="4" w:space="0" w:color="auto"/>
              <w:bottom w:val="single" w:sz="4" w:space="0" w:color="auto"/>
            </w:tcBorders>
            <w:vAlign w:val="bottom"/>
          </w:tcPr>
          <w:p w:rsidR="00EC776F" w:rsidRPr="00FB05CB" w:rsidRDefault="00EC776F" w:rsidP="00091489">
            <w:pPr>
              <w:rPr>
                <w:rFonts w:asciiTheme="minorHAnsi" w:hAnsiTheme="minorHAnsi" w:cstheme="minorHAnsi"/>
                <w:iCs/>
              </w:rPr>
            </w:pPr>
            <w:proofErr w:type="spellStart"/>
            <w:proofErr w:type="gramStart"/>
            <w:r w:rsidRPr="00FB05CB">
              <w:rPr>
                <w:rFonts w:asciiTheme="minorHAnsi" w:hAnsiTheme="minorHAnsi" w:cstheme="minorHAnsi"/>
                <w:iCs/>
              </w:rPr>
              <w:t>Species</w:t>
            </w:r>
            <w:r w:rsidRPr="00FB05CB">
              <w:rPr>
                <w:rFonts w:asciiTheme="minorHAnsi" w:hAnsiTheme="minorHAnsi" w:cstheme="minorHAnsi"/>
                <w:iCs/>
                <w:vertAlign w:val="superscript"/>
              </w:rPr>
              <w:t>b,c</w:t>
            </w:r>
            <w:proofErr w:type="gramEnd"/>
            <w:r w:rsidRPr="00FB05CB">
              <w:rPr>
                <w:rFonts w:asciiTheme="minorHAnsi" w:hAnsiTheme="minorHAnsi" w:cstheme="minorHAnsi"/>
                <w:iCs/>
                <w:vertAlign w:val="superscript"/>
              </w:rPr>
              <w:t>,d</w:t>
            </w:r>
            <w:proofErr w:type="spellEnd"/>
          </w:p>
        </w:tc>
        <w:tc>
          <w:tcPr>
            <w:tcW w:w="2767" w:type="dxa"/>
            <w:tcBorders>
              <w:top w:val="single" w:sz="4" w:space="0" w:color="auto"/>
              <w:bottom w:val="single" w:sz="4" w:space="0" w:color="auto"/>
            </w:tcBorders>
          </w:tcPr>
          <w:p w:rsidR="00EC776F" w:rsidRPr="00FB05CB" w:rsidRDefault="00EC776F" w:rsidP="00091489">
            <w:pPr>
              <w:jc w:val="center"/>
              <w:rPr>
                <w:rFonts w:asciiTheme="minorHAnsi" w:hAnsiTheme="minorHAnsi" w:cstheme="minorHAnsi"/>
                <w:iCs/>
              </w:rPr>
            </w:pPr>
          </w:p>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No. (%</w:t>
            </w:r>
            <w:r w:rsidR="008B72F6" w:rsidRPr="00FB05CB">
              <w:rPr>
                <w:rFonts w:asciiTheme="minorHAnsi" w:hAnsiTheme="minorHAnsi" w:cstheme="minorHAnsi"/>
                <w:iCs/>
              </w:rPr>
              <w:t>) of reported</w:t>
            </w:r>
            <w:r w:rsidRPr="00FB05CB">
              <w:rPr>
                <w:rFonts w:asciiTheme="minorHAnsi" w:hAnsiTheme="minorHAnsi" w:cstheme="minorHAnsi"/>
                <w:iCs/>
              </w:rPr>
              <w:t xml:space="preserve"> </w:t>
            </w:r>
            <w:proofErr w:type="spellStart"/>
            <w:r w:rsidRPr="00FB05CB">
              <w:rPr>
                <w:rFonts w:asciiTheme="minorHAnsi" w:hAnsiTheme="minorHAnsi" w:cstheme="minorHAnsi"/>
                <w:iCs/>
              </w:rPr>
              <w:t>isolates</w:t>
            </w:r>
            <w:r w:rsidRPr="00FB05CB">
              <w:rPr>
                <w:rFonts w:asciiTheme="minorHAnsi" w:hAnsiTheme="minorHAnsi" w:cstheme="minorHAnsi"/>
                <w:iCs/>
                <w:vertAlign w:val="superscript"/>
              </w:rPr>
              <w:t>b</w:t>
            </w:r>
            <w:proofErr w:type="spellEnd"/>
          </w:p>
        </w:tc>
        <w:tc>
          <w:tcPr>
            <w:tcW w:w="270" w:type="dxa"/>
            <w:gridSpan w:val="2"/>
            <w:tcBorders>
              <w:top w:val="single" w:sz="4" w:space="0" w:color="auto"/>
              <w:bottom w:val="single" w:sz="4" w:space="0" w:color="auto"/>
            </w:tcBorders>
          </w:tcPr>
          <w:p w:rsidR="00EC776F" w:rsidRPr="00FB05CB" w:rsidRDefault="00EC776F" w:rsidP="00091489">
            <w:pPr>
              <w:rPr>
                <w:rFonts w:asciiTheme="minorHAnsi" w:hAnsiTheme="minorHAnsi" w:cstheme="minorHAnsi"/>
                <w:iCs/>
              </w:rPr>
            </w:pPr>
          </w:p>
        </w:tc>
        <w:tc>
          <w:tcPr>
            <w:tcW w:w="3007" w:type="dxa"/>
            <w:tcBorders>
              <w:top w:val="single" w:sz="4" w:space="0" w:color="auto"/>
              <w:bottom w:val="single" w:sz="4" w:space="0" w:color="auto"/>
            </w:tcBorders>
          </w:tcPr>
          <w:p w:rsidR="00EC776F" w:rsidRPr="00FB05CB" w:rsidRDefault="00EC776F" w:rsidP="00091489">
            <w:pPr>
              <w:rPr>
                <w:rFonts w:asciiTheme="minorHAnsi" w:hAnsiTheme="minorHAnsi" w:cstheme="minorHAnsi"/>
                <w:iCs/>
              </w:rPr>
            </w:pPr>
          </w:p>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 xml:space="preserve">Annualized Isolation </w:t>
            </w:r>
            <w:proofErr w:type="spellStart"/>
            <w:proofErr w:type="gramStart"/>
            <w:r w:rsidRPr="00FB05CB">
              <w:rPr>
                <w:rFonts w:asciiTheme="minorHAnsi" w:hAnsiTheme="minorHAnsi" w:cstheme="minorHAnsi"/>
                <w:iCs/>
              </w:rPr>
              <w:t>Rate</w:t>
            </w:r>
            <w:r w:rsidRPr="00FB05CB">
              <w:rPr>
                <w:rFonts w:asciiTheme="minorHAnsi" w:hAnsiTheme="minorHAnsi" w:cstheme="minorHAnsi"/>
                <w:iCs/>
                <w:vertAlign w:val="superscript"/>
              </w:rPr>
              <w:t>b</w:t>
            </w:r>
            <w:r w:rsidR="0049243D" w:rsidRPr="00FB05CB">
              <w:rPr>
                <w:rFonts w:asciiTheme="minorHAnsi" w:hAnsiTheme="minorHAnsi" w:cstheme="minorHAnsi"/>
                <w:iCs/>
                <w:vertAlign w:val="superscript"/>
              </w:rPr>
              <w:t>,f</w:t>
            </w:r>
            <w:proofErr w:type="spellEnd"/>
            <w:proofErr w:type="gramEnd"/>
          </w:p>
        </w:tc>
      </w:tr>
      <w:tr w:rsidR="00EC776F" w:rsidRPr="007B3DBB" w:rsidTr="00091489">
        <w:trPr>
          <w:trHeight w:val="324"/>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Abscessus</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33 (4.54)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0.29</w:t>
            </w:r>
          </w:p>
        </w:tc>
      </w:tr>
      <w:tr w:rsidR="00EC776F" w:rsidRPr="007B3DBB" w:rsidTr="00091489">
        <w:trPr>
          <w:trHeight w:val="261"/>
        </w:trPr>
        <w:tc>
          <w:tcPr>
            <w:tcW w:w="3708" w:type="dxa"/>
          </w:tcPr>
          <w:p w:rsidR="00EC776F" w:rsidRPr="00FB05CB" w:rsidRDefault="00EC776F" w:rsidP="00091489">
            <w:pPr>
              <w:ind w:left="330"/>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Arupense</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12 (1.65)</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0.11</w:t>
            </w:r>
          </w:p>
        </w:tc>
      </w:tr>
      <w:tr w:rsidR="00EC776F" w:rsidRPr="007B3DBB" w:rsidTr="00091489">
        <w:trPr>
          <w:trHeight w:val="261"/>
        </w:trPr>
        <w:tc>
          <w:tcPr>
            <w:tcW w:w="3708" w:type="dxa"/>
          </w:tcPr>
          <w:p w:rsidR="00EC776F" w:rsidRPr="00FB05CB" w:rsidRDefault="00EC776F" w:rsidP="00091489">
            <w:pPr>
              <w:ind w:left="330"/>
              <w:rPr>
                <w:rFonts w:asciiTheme="minorHAnsi" w:hAnsiTheme="minorHAnsi" w:cstheme="minorHAnsi"/>
                <w:i/>
                <w:iCs/>
              </w:rPr>
            </w:pPr>
            <w:r w:rsidRPr="00FB05CB">
              <w:rPr>
                <w:rFonts w:asciiTheme="minorHAnsi" w:hAnsiTheme="minorHAnsi" w:cstheme="minorHAnsi"/>
                <w:i/>
                <w:iCs/>
              </w:rPr>
              <w:t>M. Aurum</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 (0.14)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w:t>
            </w:r>
          </w:p>
        </w:tc>
      </w:tr>
      <w:tr w:rsidR="00EC776F" w:rsidRPr="007B3DBB" w:rsidTr="00091489">
        <w:trPr>
          <w:trHeight w:val="299"/>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Avium </w:t>
            </w:r>
            <w:proofErr w:type="spellStart"/>
            <w:r w:rsidRPr="00FB05CB">
              <w:rPr>
                <w:rFonts w:asciiTheme="minorHAnsi" w:hAnsiTheme="minorHAnsi" w:cstheme="minorHAnsi"/>
                <w:i/>
                <w:iCs/>
              </w:rPr>
              <w:t>Intracellulare</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420 (57.77)</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3.71</w:t>
            </w:r>
          </w:p>
        </w:tc>
      </w:tr>
      <w:tr w:rsidR="00EC776F" w:rsidRPr="007B3DBB" w:rsidTr="00091489">
        <w:trPr>
          <w:trHeight w:val="299"/>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Chelonae</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92 (12.65)</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0.81</w:t>
            </w:r>
          </w:p>
        </w:tc>
      </w:tr>
      <w:tr w:rsidR="00EC776F" w:rsidRPr="007B3DBB" w:rsidTr="00091489">
        <w:trPr>
          <w:trHeight w:val="299"/>
        </w:trPr>
        <w:tc>
          <w:tcPr>
            <w:tcW w:w="3708" w:type="dxa"/>
          </w:tcPr>
          <w:p w:rsidR="00EC776F" w:rsidRPr="00FB05CB" w:rsidRDefault="00EC776F" w:rsidP="00091489">
            <w:pPr>
              <w:ind w:left="342"/>
              <w:rPr>
                <w:rFonts w:asciiTheme="minorHAnsi" w:hAnsiTheme="minorHAnsi" w:cstheme="minorHAnsi"/>
                <w:iCs/>
                <w:color w:val="FF0000"/>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Chelonae</w:t>
            </w:r>
            <w:proofErr w:type="spellEnd"/>
            <w:r w:rsidRPr="00FB05CB">
              <w:rPr>
                <w:rFonts w:asciiTheme="minorHAnsi" w:hAnsiTheme="minorHAnsi" w:cstheme="minorHAnsi"/>
                <w:i/>
                <w:iCs/>
              </w:rPr>
              <w:t>/</w:t>
            </w:r>
            <w:proofErr w:type="spellStart"/>
            <w:r w:rsidRPr="00FB05CB">
              <w:rPr>
                <w:rFonts w:asciiTheme="minorHAnsi" w:hAnsiTheme="minorHAnsi" w:cstheme="minorHAnsi"/>
                <w:i/>
                <w:iCs/>
              </w:rPr>
              <w:t>Abscessus</w:t>
            </w:r>
            <w:proofErr w:type="spellEnd"/>
            <w:r w:rsidRPr="00FB05CB">
              <w:rPr>
                <w:rFonts w:asciiTheme="minorHAnsi" w:hAnsiTheme="minorHAnsi" w:cstheme="minorHAnsi"/>
                <w:i/>
                <w:iCs/>
              </w:rPr>
              <w:t xml:space="preserve"> Complex</w:t>
            </w:r>
            <w:r w:rsidRPr="00FB05CB">
              <w:rPr>
                <w:rFonts w:asciiTheme="minorHAnsi" w:hAnsiTheme="minorHAnsi" w:cstheme="minorHAnsi"/>
                <w:iCs/>
              </w:rPr>
              <w:t xml:space="preserve"> </w:t>
            </w:r>
            <w:r w:rsidRPr="00FB05CB">
              <w:rPr>
                <w:rFonts w:asciiTheme="minorHAnsi" w:hAnsiTheme="minorHAnsi" w:cstheme="minorHAnsi"/>
                <w:iCs/>
                <w:vertAlign w:val="superscript"/>
              </w:rPr>
              <w:t>e</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 (0.14)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w:t>
            </w:r>
          </w:p>
        </w:tc>
      </w:tr>
      <w:tr w:rsidR="00EC776F" w:rsidRPr="007B3DBB" w:rsidTr="00091489">
        <w:trPr>
          <w:trHeight w:val="299"/>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Fortuitum</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41 (5.64)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0.35</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Goodii</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 (0.14)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Gordonae</w:t>
            </w:r>
            <w:r w:rsidR="000121BE" w:rsidRPr="00FB05CB">
              <w:rPr>
                <w:rFonts w:asciiTheme="minorHAnsi" w:hAnsiTheme="minorHAnsi" w:cstheme="minorHAnsi"/>
                <w:i/>
                <w:iCs/>
                <w:vertAlign w:val="superscript"/>
              </w:rPr>
              <w:t>g</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61 (8.39)</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Immunogenium</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 (0.14)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Kansasii</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15 (2.06)</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0.13</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Lentiflavum</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 (0.14)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Mageritense</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 (0.14)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Marinum</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6 (0.83)</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0.05</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Massilense</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 (0.14)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Monacense</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 (0.14)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Mucogenicum</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28 (3.85)</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0.25</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Neoaurum</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3 (0.41)</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0.03</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Peregrinum</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2 (0.28)</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0.02</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Phocaicum</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 (0.14)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 xml:space="preserve">M. </w:t>
            </w:r>
            <w:proofErr w:type="spellStart"/>
            <w:r w:rsidRPr="00FB05CB">
              <w:rPr>
                <w:rFonts w:asciiTheme="minorHAnsi" w:hAnsiTheme="minorHAnsi" w:cstheme="minorHAnsi"/>
                <w:i/>
                <w:iCs/>
              </w:rPr>
              <w:t>Scrofulaceum</w:t>
            </w:r>
            <w:proofErr w:type="spellEnd"/>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 (0.14)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w:t>
            </w:r>
          </w:p>
        </w:tc>
      </w:tr>
      <w:tr w:rsidR="00EC776F" w:rsidRPr="007B3DBB" w:rsidTr="00091489">
        <w:trPr>
          <w:trHeight w:val="351"/>
        </w:trPr>
        <w:tc>
          <w:tcPr>
            <w:tcW w:w="3708" w:type="dxa"/>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M. Smegmatis</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1 (0.14)</w:t>
            </w:r>
          </w:p>
        </w:tc>
        <w:tc>
          <w:tcPr>
            <w:tcW w:w="3022" w:type="dxa"/>
            <w:gridSpan w:val="2"/>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w:t>
            </w:r>
          </w:p>
        </w:tc>
      </w:tr>
      <w:tr w:rsidR="00EC776F" w:rsidRPr="007B3DBB" w:rsidTr="00091489">
        <w:trPr>
          <w:trHeight w:val="279"/>
        </w:trPr>
        <w:tc>
          <w:tcPr>
            <w:tcW w:w="3708" w:type="dxa"/>
            <w:tcBorders>
              <w:bottom w:val="single" w:sz="4" w:space="0" w:color="auto"/>
            </w:tcBorders>
          </w:tcPr>
          <w:p w:rsidR="00EC776F" w:rsidRPr="00FB05CB" w:rsidRDefault="00EC776F" w:rsidP="00091489">
            <w:pPr>
              <w:ind w:left="342"/>
              <w:rPr>
                <w:rFonts w:asciiTheme="minorHAnsi" w:hAnsiTheme="minorHAnsi" w:cstheme="minorHAnsi"/>
                <w:i/>
                <w:iCs/>
              </w:rPr>
            </w:pPr>
            <w:r w:rsidRPr="00FB05CB">
              <w:rPr>
                <w:rFonts w:asciiTheme="minorHAnsi" w:hAnsiTheme="minorHAnsi" w:cstheme="minorHAnsi"/>
                <w:i/>
                <w:iCs/>
              </w:rPr>
              <w:t>M. Terrae</w:t>
            </w:r>
          </w:p>
        </w:tc>
        <w:tc>
          <w:tcPr>
            <w:tcW w:w="3022" w:type="dxa"/>
            <w:gridSpan w:val="2"/>
            <w:tcBorders>
              <w:bottom w:val="single" w:sz="4" w:space="0" w:color="auto"/>
            </w:tcBorders>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3 (0.41)</w:t>
            </w:r>
          </w:p>
        </w:tc>
        <w:tc>
          <w:tcPr>
            <w:tcW w:w="3022" w:type="dxa"/>
            <w:gridSpan w:val="2"/>
            <w:tcBorders>
              <w:bottom w:val="single" w:sz="4" w:space="0" w:color="auto"/>
            </w:tcBorders>
          </w:tcPr>
          <w:p w:rsidR="00EC776F" w:rsidRPr="00FB05CB" w:rsidRDefault="00EC776F" w:rsidP="00091489">
            <w:pPr>
              <w:jc w:val="center"/>
              <w:rPr>
                <w:rFonts w:asciiTheme="minorHAnsi" w:hAnsiTheme="minorHAnsi" w:cstheme="minorHAnsi"/>
                <w:iCs/>
              </w:rPr>
            </w:pPr>
            <w:r w:rsidRPr="00FB05CB">
              <w:rPr>
                <w:rFonts w:asciiTheme="minorHAnsi" w:hAnsiTheme="minorHAnsi" w:cstheme="minorHAnsi"/>
                <w:iCs/>
              </w:rPr>
              <w:t>0.0</w:t>
            </w:r>
            <w:r w:rsidR="005A60F8" w:rsidRPr="00FB05CB">
              <w:rPr>
                <w:rFonts w:asciiTheme="minorHAnsi" w:hAnsiTheme="minorHAnsi" w:cstheme="minorHAnsi"/>
                <w:iCs/>
              </w:rPr>
              <w:t>3</w:t>
            </w:r>
          </w:p>
        </w:tc>
      </w:tr>
    </w:tbl>
    <w:p w:rsidR="00EC776F" w:rsidRDefault="00EC776F" w:rsidP="00EC776F">
      <w:pPr>
        <w:rPr>
          <w:sz w:val="16"/>
          <w:szCs w:val="16"/>
        </w:rPr>
      </w:pPr>
      <w:proofErr w:type="gramStart"/>
      <w:r>
        <w:rPr>
          <w:sz w:val="16"/>
          <w:szCs w:val="16"/>
        </w:rPr>
        <w:t>a 28 observations</w:t>
      </w:r>
      <w:proofErr w:type="gramEnd"/>
      <w:r>
        <w:rPr>
          <w:sz w:val="16"/>
          <w:szCs w:val="16"/>
        </w:rPr>
        <w:t xml:space="preserve"> with missing species data were excluded</w:t>
      </w:r>
    </w:p>
    <w:p w:rsidR="00EC776F" w:rsidRDefault="00EC776F" w:rsidP="00EC776F">
      <w:pPr>
        <w:rPr>
          <w:sz w:val="16"/>
          <w:szCs w:val="16"/>
        </w:rPr>
      </w:pPr>
      <w:r>
        <w:rPr>
          <w:sz w:val="16"/>
          <w:szCs w:val="16"/>
        </w:rPr>
        <w:t>b Isolates from environmental sources are not included</w:t>
      </w:r>
    </w:p>
    <w:p w:rsidR="00EC776F" w:rsidRDefault="00EC776F" w:rsidP="00EC776F">
      <w:pPr>
        <w:rPr>
          <w:sz w:val="16"/>
          <w:szCs w:val="16"/>
        </w:rPr>
      </w:pPr>
      <w:r>
        <w:rPr>
          <w:sz w:val="16"/>
          <w:szCs w:val="16"/>
        </w:rPr>
        <w:t xml:space="preserve">c </w:t>
      </w:r>
      <w:r w:rsidRPr="004D065E">
        <w:rPr>
          <w:i/>
          <w:sz w:val="16"/>
          <w:szCs w:val="16"/>
        </w:rPr>
        <w:t>Mycobacterium Chimaera</w:t>
      </w:r>
      <w:r>
        <w:rPr>
          <w:sz w:val="16"/>
          <w:szCs w:val="16"/>
        </w:rPr>
        <w:t xml:space="preserve"> is excluded due to isolation from an environmental source</w:t>
      </w:r>
    </w:p>
    <w:p w:rsidR="00EC776F" w:rsidRDefault="00EC776F" w:rsidP="00EC776F">
      <w:pPr>
        <w:rPr>
          <w:sz w:val="16"/>
          <w:szCs w:val="16"/>
        </w:rPr>
      </w:pPr>
      <w:r>
        <w:rPr>
          <w:sz w:val="16"/>
          <w:szCs w:val="16"/>
        </w:rPr>
        <w:t>d 4 species identified as Group IV Rapid Grower were excluded</w:t>
      </w:r>
    </w:p>
    <w:p w:rsidR="00EC776F" w:rsidRPr="00121514" w:rsidRDefault="00EC776F" w:rsidP="00EC776F">
      <w:pPr>
        <w:rPr>
          <w:color w:val="000000" w:themeColor="text1"/>
          <w:sz w:val="16"/>
          <w:szCs w:val="16"/>
        </w:rPr>
      </w:pPr>
      <w:r w:rsidRPr="00121514">
        <w:rPr>
          <w:color w:val="000000" w:themeColor="text1"/>
          <w:sz w:val="16"/>
          <w:szCs w:val="16"/>
        </w:rPr>
        <w:t>e</w:t>
      </w:r>
      <w:r w:rsidR="000121BE" w:rsidRPr="00121514">
        <w:rPr>
          <w:color w:val="000000" w:themeColor="text1"/>
          <w:sz w:val="16"/>
          <w:szCs w:val="16"/>
        </w:rPr>
        <w:t xml:space="preserve"> </w:t>
      </w:r>
      <w:r w:rsidR="00121514" w:rsidRPr="00121514">
        <w:rPr>
          <w:color w:val="000000" w:themeColor="text1"/>
          <w:sz w:val="16"/>
          <w:szCs w:val="16"/>
        </w:rPr>
        <w:t>R</w:t>
      </w:r>
      <w:r w:rsidRPr="00121514">
        <w:rPr>
          <w:color w:val="000000" w:themeColor="text1"/>
          <w:sz w:val="16"/>
          <w:szCs w:val="16"/>
        </w:rPr>
        <w:t>e</w:t>
      </w:r>
      <w:r w:rsidR="00682496">
        <w:rPr>
          <w:color w:val="000000" w:themeColor="text1"/>
          <w:sz w:val="16"/>
          <w:szCs w:val="16"/>
        </w:rPr>
        <w:t>sults from</w:t>
      </w:r>
      <w:r w:rsidR="00121514">
        <w:rPr>
          <w:color w:val="000000" w:themeColor="text1"/>
          <w:sz w:val="16"/>
          <w:szCs w:val="16"/>
        </w:rPr>
        <w:t xml:space="preserve"> </w:t>
      </w:r>
      <w:r w:rsidR="00682496">
        <w:rPr>
          <w:color w:val="000000" w:themeColor="text1"/>
          <w:sz w:val="16"/>
          <w:szCs w:val="16"/>
        </w:rPr>
        <w:t>a former</w:t>
      </w:r>
      <w:r w:rsidRPr="00121514">
        <w:rPr>
          <w:color w:val="000000" w:themeColor="text1"/>
          <w:sz w:val="16"/>
          <w:szCs w:val="16"/>
        </w:rPr>
        <w:t xml:space="preserve"> reporting system</w:t>
      </w:r>
      <w:r w:rsidR="00121514" w:rsidRPr="00121514">
        <w:rPr>
          <w:color w:val="000000" w:themeColor="text1"/>
          <w:sz w:val="16"/>
          <w:szCs w:val="16"/>
        </w:rPr>
        <w:t xml:space="preserve"> unable to differentiate between </w:t>
      </w:r>
      <w:r w:rsidR="00121514" w:rsidRPr="00121514">
        <w:rPr>
          <w:i/>
          <w:color w:val="000000" w:themeColor="text1"/>
          <w:sz w:val="16"/>
          <w:szCs w:val="16"/>
        </w:rPr>
        <w:t xml:space="preserve">M. </w:t>
      </w:r>
      <w:proofErr w:type="spellStart"/>
      <w:r w:rsidR="00121514" w:rsidRPr="00121514">
        <w:rPr>
          <w:i/>
          <w:color w:val="000000" w:themeColor="text1"/>
          <w:sz w:val="16"/>
          <w:szCs w:val="16"/>
        </w:rPr>
        <w:t>Chelonae</w:t>
      </w:r>
      <w:proofErr w:type="spellEnd"/>
      <w:r w:rsidR="00121514" w:rsidRPr="00121514">
        <w:rPr>
          <w:color w:val="000000" w:themeColor="text1"/>
          <w:sz w:val="16"/>
          <w:szCs w:val="16"/>
        </w:rPr>
        <w:t xml:space="preserve"> and </w:t>
      </w:r>
      <w:r w:rsidR="00121514" w:rsidRPr="00121514">
        <w:rPr>
          <w:i/>
          <w:color w:val="000000" w:themeColor="text1"/>
          <w:sz w:val="16"/>
          <w:szCs w:val="16"/>
        </w:rPr>
        <w:t xml:space="preserve">M. </w:t>
      </w:r>
      <w:proofErr w:type="spellStart"/>
      <w:r w:rsidR="00121514" w:rsidRPr="00121514">
        <w:rPr>
          <w:i/>
          <w:color w:val="000000" w:themeColor="text1"/>
          <w:sz w:val="16"/>
          <w:szCs w:val="16"/>
        </w:rPr>
        <w:t>Abscessus</w:t>
      </w:r>
      <w:proofErr w:type="spellEnd"/>
    </w:p>
    <w:p w:rsidR="002C3A97" w:rsidRDefault="002C3A97" w:rsidP="00EC776F">
      <w:pPr>
        <w:rPr>
          <w:sz w:val="16"/>
          <w:szCs w:val="16"/>
        </w:rPr>
      </w:pPr>
      <w:r>
        <w:rPr>
          <w:sz w:val="16"/>
          <w:szCs w:val="16"/>
        </w:rPr>
        <w:t>f Rates ≤0.01 were excluded</w:t>
      </w:r>
    </w:p>
    <w:p w:rsidR="000121BE" w:rsidRDefault="000121BE" w:rsidP="00EC776F">
      <w:pPr>
        <w:rPr>
          <w:sz w:val="16"/>
          <w:szCs w:val="16"/>
        </w:rPr>
      </w:pPr>
      <w:r>
        <w:rPr>
          <w:sz w:val="16"/>
          <w:szCs w:val="16"/>
        </w:rPr>
        <w:lastRenderedPageBreak/>
        <w:t xml:space="preserve">g Considered a </w:t>
      </w:r>
      <w:proofErr w:type="gramStart"/>
      <w:r>
        <w:rPr>
          <w:sz w:val="16"/>
          <w:szCs w:val="16"/>
        </w:rPr>
        <w:t>contaminant</w:t>
      </w:r>
      <w:proofErr w:type="gramEnd"/>
      <w:r>
        <w:rPr>
          <w:sz w:val="16"/>
          <w:szCs w:val="16"/>
        </w:rPr>
        <w:t xml:space="preserve"> so rate was not calculated</w:t>
      </w:r>
    </w:p>
    <w:p w:rsidR="00BE08D9" w:rsidRDefault="00BE08D9" w:rsidP="000A2A14">
      <w:pPr>
        <w:rPr>
          <w:color w:val="0070C0"/>
        </w:rPr>
      </w:pPr>
    </w:p>
    <w:p w:rsidR="00BE08D9" w:rsidRPr="00FB05CB" w:rsidRDefault="00BE08D9" w:rsidP="00FB05CB">
      <w:pPr>
        <w:spacing w:line="480" w:lineRule="auto"/>
        <w:ind w:firstLine="630"/>
        <w:rPr>
          <w:color w:val="000000" w:themeColor="text1"/>
          <w:sz w:val="24"/>
        </w:rPr>
      </w:pPr>
      <w:r w:rsidRPr="00F652AD">
        <w:rPr>
          <w:color w:val="000000" w:themeColor="text1"/>
          <w:sz w:val="24"/>
        </w:rPr>
        <w:t>The overall rate of isolation</w:t>
      </w:r>
      <w:r w:rsidR="0019373F" w:rsidRPr="00F652AD">
        <w:rPr>
          <w:color w:val="000000" w:themeColor="text1"/>
          <w:sz w:val="24"/>
        </w:rPr>
        <w:t xml:space="preserve">, excluding </w:t>
      </w:r>
      <w:r w:rsidR="0019373F" w:rsidRPr="00F652AD">
        <w:rPr>
          <w:rFonts w:asciiTheme="minorHAnsi" w:hAnsiTheme="minorHAnsi"/>
          <w:i/>
          <w:color w:val="000000" w:themeColor="text1"/>
          <w:sz w:val="24"/>
        </w:rPr>
        <w:t xml:space="preserve">Mycobacterium </w:t>
      </w:r>
      <w:proofErr w:type="spellStart"/>
      <w:r w:rsidR="0019373F" w:rsidRPr="00F652AD">
        <w:rPr>
          <w:rFonts w:asciiTheme="minorHAnsi" w:hAnsiTheme="minorHAnsi"/>
          <w:i/>
          <w:color w:val="000000" w:themeColor="text1"/>
          <w:sz w:val="24"/>
        </w:rPr>
        <w:t>Gordonae</w:t>
      </w:r>
      <w:proofErr w:type="spellEnd"/>
      <w:r w:rsidR="0019373F" w:rsidRPr="00F652AD">
        <w:rPr>
          <w:rFonts w:asciiTheme="minorHAnsi" w:hAnsiTheme="minorHAnsi"/>
          <w:i/>
          <w:color w:val="000000" w:themeColor="text1"/>
          <w:sz w:val="24"/>
        </w:rPr>
        <w:t>,</w:t>
      </w:r>
      <w:r w:rsidR="0019373F" w:rsidRPr="00F652AD">
        <w:rPr>
          <w:color w:val="000000" w:themeColor="text1"/>
          <w:sz w:val="24"/>
        </w:rPr>
        <w:t xml:space="preserve"> decreased</w:t>
      </w:r>
      <w:r w:rsidRPr="00F652AD">
        <w:rPr>
          <w:color w:val="000000" w:themeColor="text1"/>
          <w:sz w:val="24"/>
        </w:rPr>
        <w:t xml:space="preserve"> throu</w:t>
      </w:r>
      <w:r w:rsidR="00D23910" w:rsidRPr="00F652AD">
        <w:rPr>
          <w:color w:val="000000" w:themeColor="text1"/>
          <w:sz w:val="24"/>
        </w:rPr>
        <w:t>ghout the study period from 9.33</w:t>
      </w:r>
      <w:r w:rsidRPr="00F652AD">
        <w:rPr>
          <w:color w:val="000000" w:themeColor="text1"/>
          <w:sz w:val="24"/>
        </w:rPr>
        <w:t xml:space="preserve"> isolates per 100,000 persons in 2012 down to 3.75 isolates per 100,000 persons in 2017</w:t>
      </w:r>
      <w:r w:rsidR="0019373F" w:rsidRPr="00F652AD">
        <w:rPr>
          <w:color w:val="000000" w:themeColor="text1"/>
          <w:sz w:val="24"/>
        </w:rPr>
        <w:t xml:space="preserve"> (Figure 2)</w:t>
      </w:r>
      <w:r w:rsidRPr="00F652AD">
        <w:rPr>
          <w:color w:val="000000" w:themeColor="text1"/>
          <w:sz w:val="24"/>
        </w:rPr>
        <w:t>.</w:t>
      </w:r>
      <w:r w:rsidR="0019373F" w:rsidRPr="00F652AD">
        <w:rPr>
          <w:color w:val="000000" w:themeColor="text1"/>
          <w:sz w:val="24"/>
        </w:rPr>
        <w:t xml:space="preserve"> The isolation trends differed for pulmonary and </w:t>
      </w:r>
      <w:proofErr w:type="spellStart"/>
      <w:r w:rsidR="0019373F" w:rsidRPr="00F652AD">
        <w:rPr>
          <w:color w:val="000000" w:themeColor="text1"/>
          <w:sz w:val="24"/>
        </w:rPr>
        <w:t>nonpulmonary</w:t>
      </w:r>
      <w:proofErr w:type="spellEnd"/>
      <w:r w:rsidR="0019373F" w:rsidRPr="00F652AD">
        <w:rPr>
          <w:color w:val="000000" w:themeColor="text1"/>
          <w:sz w:val="24"/>
        </w:rPr>
        <w:t xml:space="preserve"> isolates</w:t>
      </w:r>
      <w:r w:rsidR="002C799D" w:rsidRPr="00F652AD">
        <w:rPr>
          <w:color w:val="000000" w:themeColor="text1"/>
          <w:sz w:val="24"/>
        </w:rPr>
        <w:t xml:space="preserve"> (Figures 3a &amp; 3b</w:t>
      </w:r>
      <w:r w:rsidR="00E41049" w:rsidRPr="00F652AD">
        <w:rPr>
          <w:color w:val="000000" w:themeColor="text1"/>
          <w:sz w:val="24"/>
        </w:rPr>
        <w:t>)</w:t>
      </w:r>
      <w:r w:rsidR="0019373F" w:rsidRPr="00F652AD">
        <w:rPr>
          <w:color w:val="000000" w:themeColor="text1"/>
          <w:sz w:val="24"/>
        </w:rPr>
        <w:t xml:space="preserve">. Although the overall rate of isolation decreased throughout the </w:t>
      </w:r>
      <w:r w:rsidR="008D7C78" w:rsidRPr="00F652AD">
        <w:rPr>
          <w:color w:val="000000" w:themeColor="text1"/>
          <w:sz w:val="24"/>
        </w:rPr>
        <w:t>6-year</w:t>
      </w:r>
      <w:r w:rsidR="0019373F" w:rsidRPr="00F652AD">
        <w:rPr>
          <w:color w:val="000000" w:themeColor="text1"/>
          <w:sz w:val="24"/>
        </w:rPr>
        <w:t xml:space="preserve"> period, however, the rate of isolation in </w:t>
      </w:r>
      <w:proofErr w:type="spellStart"/>
      <w:r w:rsidR="0019373F" w:rsidRPr="00F652AD">
        <w:rPr>
          <w:color w:val="000000" w:themeColor="text1"/>
          <w:sz w:val="24"/>
        </w:rPr>
        <w:t>nonpul</w:t>
      </w:r>
      <w:r w:rsidR="008D7C78" w:rsidRPr="00F652AD">
        <w:rPr>
          <w:color w:val="000000" w:themeColor="text1"/>
          <w:sz w:val="24"/>
        </w:rPr>
        <w:t>monary</w:t>
      </w:r>
      <w:proofErr w:type="spellEnd"/>
      <w:r w:rsidR="008D7C78" w:rsidRPr="00F652AD">
        <w:rPr>
          <w:color w:val="000000" w:themeColor="text1"/>
          <w:sz w:val="24"/>
        </w:rPr>
        <w:t xml:space="preserve"> cases increased from 0.48 to 2.60</w:t>
      </w:r>
      <w:r w:rsidR="0019373F" w:rsidRPr="00F652AD">
        <w:rPr>
          <w:color w:val="000000" w:themeColor="text1"/>
          <w:sz w:val="24"/>
        </w:rPr>
        <w:t xml:space="preserve"> isolates per 100,000 persons </w:t>
      </w:r>
      <w:r w:rsidR="008D7C78" w:rsidRPr="00F652AD">
        <w:rPr>
          <w:color w:val="000000" w:themeColor="text1"/>
          <w:sz w:val="24"/>
        </w:rPr>
        <w:t xml:space="preserve">after exclusion of </w:t>
      </w:r>
      <w:r w:rsidR="008D7C78" w:rsidRPr="00F652AD">
        <w:rPr>
          <w:rFonts w:asciiTheme="minorHAnsi" w:hAnsiTheme="minorHAnsi"/>
          <w:i/>
          <w:color w:val="000000" w:themeColor="text1"/>
          <w:sz w:val="24"/>
        </w:rPr>
        <w:t xml:space="preserve">Mycobacterium </w:t>
      </w:r>
      <w:proofErr w:type="spellStart"/>
      <w:r w:rsidR="008D7C78" w:rsidRPr="00F652AD">
        <w:rPr>
          <w:rFonts w:asciiTheme="minorHAnsi" w:hAnsiTheme="minorHAnsi"/>
          <w:i/>
          <w:color w:val="000000" w:themeColor="text1"/>
          <w:sz w:val="24"/>
        </w:rPr>
        <w:t>Gordonae</w:t>
      </w:r>
      <w:proofErr w:type="spellEnd"/>
      <w:r w:rsidR="00E41049" w:rsidRPr="00F652AD">
        <w:rPr>
          <w:color w:val="000000" w:themeColor="text1"/>
          <w:sz w:val="24"/>
        </w:rPr>
        <w:t xml:space="preserve">. This is contrary to the decrease in pulmonary cases from 2.32 to 0.57 isolates per 100,000 persons after exclusion of </w:t>
      </w:r>
      <w:r w:rsidR="00E41049" w:rsidRPr="00F652AD">
        <w:rPr>
          <w:rFonts w:asciiTheme="minorHAnsi" w:hAnsiTheme="minorHAnsi"/>
          <w:i/>
          <w:color w:val="000000" w:themeColor="text1"/>
          <w:sz w:val="24"/>
        </w:rPr>
        <w:t xml:space="preserve">Mycobacterium </w:t>
      </w:r>
      <w:proofErr w:type="spellStart"/>
      <w:r w:rsidR="00E41049" w:rsidRPr="00F652AD">
        <w:rPr>
          <w:rFonts w:asciiTheme="minorHAnsi" w:hAnsiTheme="minorHAnsi"/>
          <w:i/>
          <w:color w:val="000000" w:themeColor="text1"/>
          <w:sz w:val="24"/>
        </w:rPr>
        <w:t>Gordonae</w:t>
      </w:r>
      <w:proofErr w:type="spellEnd"/>
      <w:r w:rsidR="00E41049" w:rsidRPr="00F652AD">
        <w:rPr>
          <w:rFonts w:asciiTheme="minorHAnsi" w:hAnsiTheme="minorHAnsi"/>
          <w:i/>
          <w:color w:val="000000" w:themeColor="text1"/>
          <w:sz w:val="24"/>
        </w:rPr>
        <w:t>.</w:t>
      </w:r>
    </w:p>
    <w:p w:rsidR="00BE08D9" w:rsidRPr="00FB05CB" w:rsidRDefault="00BE08D9" w:rsidP="00206848">
      <w:pPr>
        <w:pStyle w:val="Heading2"/>
        <w:rPr>
          <w:rFonts w:asciiTheme="minorHAnsi" w:hAnsiTheme="minorHAnsi" w:cstheme="minorHAnsi"/>
          <w:color w:val="000000" w:themeColor="text1"/>
          <w:sz w:val="24"/>
          <w:vertAlign w:val="superscript"/>
        </w:rPr>
      </w:pPr>
      <w:r w:rsidRPr="00FB05CB">
        <w:rPr>
          <w:rFonts w:asciiTheme="minorHAnsi" w:hAnsiTheme="minorHAnsi" w:cstheme="minorHAnsi"/>
          <w:color w:val="000000" w:themeColor="text1"/>
          <w:sz w:val="24"/>
        </w:rPr>
        <w:t>Figure 2.</w:t>
      </w:r>
      <w:r w:rsidR="002D7766" w:rsidRPr="00FB05CB">
        <w:rPr>
          <w:rFonts w:asciiTheme="minorHAnsi" w:hAnsiTheme="minorHAnsi" w:cstheme="minorHAnsi"/>
          <w:color w:val="000000" w:themeColor="text1"/>
          <w:sz w:val="24"/>
        </w:rPr>
        <w:t xml:space="preserve"> Annual NTM Isolation Rate per 100,000 population in Nebraska from 2012 to 2017</w:t>
      </w:r>
      <w:proofErr w:type="gramStart"/>
      <w:r w:rsidR="00A376F2" w:rsidRPr="00FB05CB">
        <w:rPr>
          <w:rFonts w:asciiTheme="minorHAnsi" w:hAnsiTheme="minorHAnsi" w:cstheme="minorHAnsi"/>
          <w:color w:val="000000" w:themeColor="text1"/>
          <w:sz w:val="24"/>
          <w:vertAlign w:val="superscript"/>
        </w:rPr>
        <w:t>a,b</w:t>
      </w:r>
      <w:proofErr w:type="gramEnd"/>
    </w:p>
    <w:p w:rsidR="001A5375" w:rsidRPr="00F652AD" w:rsidRDefault="001A5375" w:rsidP="00F652AD">
      <w:pPr>
        <w:ind w:left="-180"/>
        <w:rPr>
          <w:rFonts w:ascii="Arial" w:hAnsi="Arial" w:cs="Arial"/>
          <w:color w:val="000000" w:themeColor="text1"/>
          <w:sz w:val="24"/>
        </w:rPr>
      </w:pPr>
    </w:p>
    <w:p w:rsidR="009703A8" w:rsidRDefault="00834AC1" w:rsidP="00B554CB">
      <w:pPr>
        <w:jc w:val="center"/>
        <w:rPr>
          <w:color w:val="0070C0"/>
        </w:rPr>
      </w:pPr>
      <w:r>
        <w:rPr>
          <w:noProof/>
        </w:rPr>
        <w:drawing>
          <wp:inline distT="0" distB="0" distL="0" distR="0" wp14:anchorId="2EDBB064" wp14:editId="61A90E0F">
            <wp:extent cx="5359400" cy="3708400"/>
            <wp:effectExtent l="0" t="0" r="12700" b="12700"/>
            <wp:docPr id="8" name="Chart 8">
              <a:extLst xmlns:a="http://schemas.openxmlformats.org/drawingml/2006/main">
                <a:ext uri="{FF2B5EF4-FFF2-40B4-BE49-F238E27FC236}">
                  <a16:creationId xmlns:a16="http://schemas.microsoft.com/office/drawing/2014/main" id="{5C9DDEF4-C5EF-0448-8534-1A7B1224AC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D7766" w:rsidRPr="00A376F2" w:rsidRDefault="00433E9B" w:rsidP="006414A5">
      <w:pPr>
        <w:ind w:left="630"/>
        <w:rPr>
          <w:color w:val="000000" w:themeColor="text1"/>
          <w:sz w:val="16"/>
        </w:rPr>
      </w:pPr>
      <w:proofErr w:type="spellStart"/>
      <w:proofErr w:type="gramStart"/>
      <w:r w:rsidRPr="00A376F2">
        <w:rPr>
          <w:color w:val="000000" w:themeColor="text1"/>
          <w:sz w:val="16"/>
        </w:rPr>
        <w:t>a</w:t>
      </w:r>
      <w:proofErr w:type="spellEnd"/>
      <w:proofErr w:type="gramEnd"/>
      <w:r w:rsidRPr="00A376F2">
        <w:rPr>
          <w:color w:val="000000" w:themeColor="text1"/>
          <w:sz w:val="16"/>
        </w:rPr>
        <w:t xml:space="preserve"> </w:t>
      </w:r>
      <w:r w:rsidR="002D7766" w:rsidRPr="00A376F2">
        <w:rPr>
          <w:color w:val="000000" w:themeColor="text1"/>
          <w:sz w:val="16"/>
        </w:rPr>
        <w:t xml:space="preserve">Isolates identified as </w:t>
      </w:r>
      <w:r w:rsidR="002D7766" w:rsidRPr="00A376F2">
        <w:rPr>
          <w:i/>
          <w:color w:val="000000" w:themeColor="text1"/>
          <w:sz w:val="16"/>
        </w:rPr>
        <w:t xml:space="preserve">M. </w:t>
      </w:r>
      <w:proofErr w:type="spellStart"/>
      <w:r w:rsidR="002D7766" w:rsidRPr="00A376F2">
        <w:rPr>
          <w:i/>
          <w:color w:val="000000" w:themeColor="text1"/>
          <w:sz w:val="16"/>
        </w:rPr>
        <w:t>Gordonae</w:t>
      </w:r>
      <w:proofErr w:type="spellEnd"/>
      <w:r w:rsidR="002D7766" w:rsidRPr="00A376F2">
        <w:rPr>
          <w:color w:val="000000" w:themeColor="text1"/>
          <w:sz w:val="16"/>
        </w:rPr>
        <w:t xml:space="preserve"> were excluded due to identification </w:t>
      </w:r>
      <w:r w:rsidRPr="00A376F2">
        <w:rPr>
          <w:color w:val="000000" w:themeColor="text1"/>
          <w:sz w:val="16"/>
        </w:rPr>
        <w:t>of</w:t>
      </w:r>
      <w:r w:rsidRPr="00A376F2">
        <w:rPr>
          <w:i/>
          <w:color w:val="000000" w:themeColor="text1"/>
          <w:sz w:val="16"/>
        </w:rPr>
        <w:t xml:space="preserve"> M. </w:t>
      </w:r>
      <w:proofErr w:type="spellStart"/>
      <w:r w:rsidRPr="00A376F2">
        <w:rPr>
          <w:i/>
          <w:color w:val="000000" w:themeColor="text1"/>
          <w:sz w:val="16"/>
        </w:rPr>
        <w:t>Gordonae</w:t>
      </w:r>
      <w:proofErr w:type="spellEnd"/>
      <w:r w:rsidRPr="00A376F2">
        <w:rPr>
          <w:i/>
          <w:color w:val="000000" w:themeColor="text1"/>
          <w:sz w:val="16"/>
        </w:rPr>
        <w:t xml:space="preserve"> </w:t>
      </w:r>
      <w:r w:rsidRPr="00A376F2">
        <w:rPr>
          <w:color w:val="000000" w:themeColor="text1"/>
          <w:sz w:val="16"/>
        </w:rPr>
        <w:t>as a contaminant</w:t>
      </w:r>
    </w:p>
    <w:p w:rsidR="00433E9B" w:rsidRPr="00A376F2" w:rsidRDefault="00433E9B" w:rsidP="006414A5">
      <w:pPr>
        <w:ind w:left="630"/>
        <w:rPr>
          <w:color w:val="000000" w:themeColor="text1"/>
          <w:sz w:val="16"/>
        </w:rPr>
      </w:pPr>
      <w:r w:rsidRPr="00A376F2">
        <w:rPr>
          <w:color w:val="000000" w:themeColor="text1"/>
          <w:sz w:val="16"/>
        </w:rPr>
        <w:t xml:space="preserve">b </w:t>
      </w:r>
      <w:r w:rsidR="00A376F2" w:rsidRPr="00A376F2">
        <w:rPr>
          <w:color w:val="000000" w:themeColor="text1"/>
          <w:sz w:val="16"/>
        </w:rPr>
        <w:t>Population estimates used in rates were determined using the U.S. Census Bureau’s annual population projections</w:t>
      </w:r>
    </w:p>
    <w:p w:rsidR="00BE7243" w:rsidRDefault="00BE7243" w:rsidP="00B554CB">
      <w:pPr>
        <w:jc w:val="center"/>
        <w:rPr>
          <w:color w:val="0070C0"/>
        </w:rPr>
      </w:pPr>
    </w:p>
    <w:p w:rsidR="00BE7243" w:rsidRPr="00FB05CB" w:rsidRDefault="00BE7243" w:rsidP="00206848">
      <w:pPr>
        <w:pStyle w:val="Heading2"/>
        <w:rPr>
          <w:rFonts w:asciiTheme="minorHAnsi" w:hAnsiTheme="minorHAnsi" w:cstheme="minorHAnsi"/>
          <w:color w:val="000000" w:themeColor="text1"/>
          <w:sz w:val="24"/>
          <w:vertAlign w:val="superscript"/>
        </w:rPr>
      </w:pPr>
      <w:r w:rsidRPr="00FB05CB">
        <w:rPr>
          <w:rFonts w:asciiTheme="minorHAnsi" w:hAnsiTheme="minorHAnsi" w:cstheme="minorHAnsi"/>
          <w:color w:val="000000" w:themeColor="text1"/>
          <w:sz w:val="24"/>
        </w:rPr>
        <w:t>Figure 3</w:t>
      </w:r>
      <w:r w:rsidR="002C799D" w:rsidRPr="00FB05CB">
        <w:rPr>
          <w:rFonts w:asciiTheme="minorHAnsi" w:hAnsiTheme="minorHAnsi" w:cstheme="minorHAnsi"/>
          <w:color w:val="000000" w:themeColor="text1"/>
          <w:sz w:val="24"/>
        </w:rPr>
        <w:t>a</w:t>
      </w:r>
      <w:r w:rsidRPr="00FB05CB">
        <w:rPr>
          <w:rFonts w:asciiTheme="minorHAnsi" w:hAnsiTheme="minorHAnsi" w:cstheme="minorHAnsi"/>
          <w:color w:val="000000" w:themeColor="text1"/>
          <w:sz w:val="24"/>
        </w:rPr>
        <w:t>.</w:t>
      </w:r>
      <w:r w:rsidRPr="00FB05CB">
        <w:rPr>
          <w:rFonts w:asciiTheme="minorHAnsi" w:eastAsiaTheme="minorEastAsia" w:hAnsiTheme="minorHAnsi" w:cstheme="minorHAnsi"/>
          <w:color w:val="000000" w:themeColor="text1"/>
          <w:kern w:val="24"/>
          <w:sz w:val="32"/>
          <w:szCs w:val="28"/>
        </w:rPr>
        <w:t xml:space="preserve"> </w:t>
      </w:r>
      <w:r w:rsidR="00AD2146" w:rsidRPr="00FB05CB">
        <w:rPr>
          <w:rFonts w:asciiTheme="minorHAnsi" w:hAnsiTheme="minorHAnsi" w:cstheme="minorHAnsi"/>
          <w:color w:val="000000" w:themeColor="text1"/>
          <w:sz w:val="24"/>
        </w:rPr>
        <w:t xml:space="preserve">Annual </w:t>
      </w:r>
      <w:proofErr w:type="spellStart"/>
      <w:r w:rsidR="00AD2146" w:rsidRPr="00FB05CB">
        <w:rPr>
          <w:rFonts w:asciiTheme="minorHAnsi" w:hAnsiTheme="minorHAnsi" w:cstheme="minorHAnsi"/>
          <w:color w:val="000000" w:themeColor="text1"/>
          <w:sz w:val="24"/>
        </w:rPr>
        <w:t>Nonp</w:t>
      </w:r>
      <w:r w:rsidRPr="00FB05CB">
        <w:rPr>
          <w:rFonts w:asciiTheme="minorHAnsi" w:hAnsiTheme="minorHAnsi" w:cstheme="minorHAnsi"/>
          <w:color w:val="000000" w:themeColor="text1"/>
          <w:sz w:val="24"/>
        </w:rPr>
        <w:t>ulmonary</w:t>
      </w:r>
      <w:proofErr w:type="spellEnd"/>
      <w:r w:rsidRPr="00FB05CB">
        <w:rPr>
          <w:rFonts w:asciiTheme="minorHAnsi" w:hAnsiTheme="minorHAnsi" w:cstheme="minorHAnsi"/>
          <w:color w:val="000000" w:themeColor="text1"/>
          <w:sz w:val="24"/>
        </w:rPr>
        <w:t xml:space="preserve"> NTM Isolation Rate per 100,000 population in </w:t>
      </w:r>
      <w:proofErr w:type="spellStart"/>
      <w:proofErr w:type="gramStart"/>
      <w:r w:rsidRPr="00FB05CB">
        <w:rPr>
          <w:rFonts w:asciiTheme="minorHAnsi" w:hAnsiTheme="minorHAnsi" w:cstheme="minorHAnsi"/>
          <w:color w:val="000000" w:themeColor="text1"/>
          <w:sz w:val="24"/>
        </w:rPr>
        <w:t>Nebraska</w:t>
      </w:r>
      <w:r w:rsidR="00A376F2" w:rsidRPr="00FB05CB">
        <w:rPr>
          <w:rFonts w:asciiTheme="minorHAnsi" w:hAnsiTheme="minorHAnsi" w:cstheme="minorHAnsi"/>
          <w:color w:val="000000" w:themeColor="text1"/>
          <w:sz w:val="24"/>
          <w:vertAlign w:val="superscript"/>
        </w:rPr>
        <w:t>a,b</w:t>
      </w:r>
      <w:proofErr w:type="spellEnd"/>
      <w:proofErr w:type="gramEnd"/>
    </w:p>
    <w:p w:rsidR="001A5375" w:rsidRPr="00F652AD" w:rsidRDefault="001A5375" w:rsidP="006414A5">
      <w:pPr>
        <w:ind w:left="-540"/>
        <w:jc w:val="center"/>
        <w:rPr>
          <w:rFonts w:ascii="Arial" w:hAnsi="Arial" w:cs="Arial"/>
          <w:color w:val="0070C0"/>
          <w:sz w:val="24"/>
        </w:rPr>
      </w:pPr>
    </w:p>
    <w:p w:rsidR="009703A8" w:rsidRDefault="009703A8" w:rsidP="00B554CB">
      <w:pPr>
        <w:jc w:val="center"/>
        <w:rPr>
          <w:color w:val="0070C0"/>
        </w:rPr>
      </w:pPr>
      <w:r>
        <w:rPr>
          <w:noProof/>
        </w:rPr>
        <w:lastRenderedPageBreak/>
        <w:drawing>
          <wp:inline distT="0" distB="0" distL="0" distR="0" wp14:anchorId="508036CA" wp14:editId="0823F6E6">
            <wp:extent cx="5321300" cy="3175000"/>
            <wp:effectExtent l="0" t="0" r="12700" b="12700"/>
            <wp:docPr id="11" name="Chart 11">
              <a:extLst xmlns:a="http://schemas.openxmlformats.org/drawingml/2006/main">
                <a:ext uri="{FF2B5EF4-FFF2-40B4-BE49-F238E27FC236}">
                  <a16:creationId xmlns:a16="http://schemas.microsoft.com/office/drawing/2014/main" id="{842B5915-F9FE-FB4B-92F1-089F688644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E7243" w:rsidRPr="00A376F2" w:rsidRDefault="00A376F2" w:rsidP="00F73F0F">
      <w:pPr>
        <w:ind w:left="720"/>
        <w:rPr>
          <w:color w:val="000000" w:themeColor="text1"/>
          <w:sz w:val="16"/>
        </w:rPr>
      </w:pPr>
      <w:proofErr w:type="spellStart"/>
      <w:proofErr w:type="gramStart"/>
      <w:r w:rsidRPr="00A376F2">
        <w:rPr>
          <w:color w:val="000000" w:themeColor="text1"/>
          <w:sz w:val="16"/>
        </w:rPr>
        <w:t>a</w:t>
      </w:r>
      <w:proofErr w:type="spellEnd"/>
      <w:proofErr w:type="gramEnd"/>
      <w:r w:rsidRPr="00A376F2">
        <w:rPr>
          <w:color w:val="000000" w:themeColor="text1"/>
          <w:sz w:val="16"/>
        </w:rPr>
        <w:t xml:space="preserve"> </w:t>
      </w:r>
      <w:r w:rsidR="00BE7243" w:rsidRPr="00A376F2">
        <w:rPr>
          <w:color w:val="000000" w:themeColor="text1"/>
          <w:sz w:val="16"/>
        </w:rPr>
        <w:t xml:space="preserve">Isolates identified as </w:t>
      </w:r>
      <w:r w:rsidR="00BE7243" w:rsidRPr="00A376F2">
        <w:rPr>
          <w:i/>
          <w:color w:val="000000" w:themeColor="text1"/>
          <w:sz w:val="16"/>
        </w:rPr>
        <w:t xml:space="preserve">M. </w:t>
      </w:r>
      <w:proofErr w:type="spellStart"/>
      <w:r w:rsidR="00BE7243" w:rsidRPr="00A376F2">
        <w:rPr>
          <w:i/>
          <w:color w:val="000000" w:themeColor="text1"/>
          <w:sz w:val="16"/>
        </w:rPr>
        <w:t>Gordonae</w:t>
      </w:r>
      <w:proofErr w:type="spellEnd"/>
      <w:r w:rsidR="00BE7243" w:rsidRPr="00A376F2">
        <w:rPr>
          <w:color w:val="000000" w:themeColor="text1"/>
          <w:sz w:val="16"/>
        </w:rPr>
        <w:t xml:space="preserve"> </w:t>
      </w:r>
      <w:r w:rsidR="009652B9" w:rsidRPr="00A376F2">
        <w:rPr>
          <w:color w:val="000000" w:themeColor="text1"/>
          <w:sz w:val="16"/>
        </w:rPr>
        <w:t>were excluded</w:t>
      </w:r>
      <w:r w:rsidR="00014943" w:rsidRPr="00A376F2">
        <w:rPr>
          <w:color w:val="000000" w:themeColor="text1"/>
          <w:sz w:val="16"/>
        </w:rPr>
        <w:t>)</w:t>
      </w:r>
      <w:r w:rsidR="00BE7243" w:rsidRPr="00A376F2">
        <w:rPr>
          <w:color w:val="000000" w:themeColor="text1"/>
          <w:sz w:val="16"/>
        </w:rPr>
        <w:t xml:space="preserve"> due to identification </w:t>
      </w:r>
      <w:r w:rsidRPr="00A376F2">
        <w:rPr>
          <w:color w:val="000000" w:themeColor="text1"/>
          <w:sz w:val="16"/>
        </w:rPr>
        <w:t xml:space="preserve">of </w:t>
      </w:r>
      <w:r w:rsidRPr="00A376F2">
        <w:rPr>
          <w:i/>
          <w:color w:val="000000" w:themeColor="text1"/>
          <w:sz w:val="16"/>
        </w:rPr>
        <w:t xml:space="preserve">M. </w:t>
      </w:r>
      <w:proofErr w:type="spellStart"/>
      <w:r w:rsidRPr="00A376F2">
        <w:rPr>
          <w:i/>
          <w:color w:val="000000" w:themeColor="text1"/>
          <w:sz w:val="16"/>
        </w:rPr>
        <w:t>Gordonae</w:t>
      </w:r>
      <w:proofErr w:type="spellEnd"/>
      <w:r w:rsidRPr="00A376F2">
        <w:rPr>
          <w:color w:val="000000" w:themeColor="text1"/>
          <w:sz w:val="16"/>
        </w:rPr>
        <w:t xml:space="preserve"> as a contaminant</w:t>
      </w:r>
    </w:p>
    <w:p w:rsidR="00A376F2" w:rsidRPr="00A376F2" w:rsidRDefault="00A376F2" w:rsidP="00A376F2">
      <w:pPr>
        <w:ind w:left="630" w:firstLine="90"/>
        <w:rPr>
          <w:color w:val="000000" w:themeColor="text1"/>
          <w:sz w:val="16"/>
        </w:rPr>
      </w:pPr>
      <w:r w:rsidRPr="00A376F2">
        <w:rPr>
          <w:color w:val="000000" w:themeColor="text1"/>
          <w:sz w:val="16"/>
        </w:rPr>
        <w:t>b Population estimates used in rates were determined using the U.S. Census Bureau’s annual population projections</w:t>
      </w:r>
    </w:p>
    <w:p w:rsidR="00A376F2" w:rsidRPr="00F652AD" w:rsidRDefault="00A376F2" w:rsidP="00F73F0F">
      <w:pPr>
        <w:ind w:left="720"/>
        <w:rPr>
          <w:color w:val="FF0000"/>
          <w:sz w:val="16"/>
        </w:rPr>
      </w:pPr>
    </w:p>
    <w:p w:rsidR="00BE7243" w:rsidRDefault="00BE7243" w:rsidP="000A2A14">
      <w:pPr>
        <w:rPr>
          <w:color w:val="0070C0"/>
        </w:rPr>
      </w:pPr>
    </w:p>
    <w:p w:rsidR="00BE7243" w:rsidRPr="00FB05CB" w:rsidRDefault="002C799D" w:rsidP="00206848">
      <w:pPr>
        <w:pStyle w:val="Heading2"/>
        <w:rPr>
          <w:rFonts w:asciiTheme="minorHAnsi" w:hAnsiTheme="minorHAnsi" w:cstheme="minorHAnsi"/>
          <w:color w:val="000000" w:themeColor="text1"/>
          <w:sz w:val="24"/>
          <w:vertAlign w:val="superscript"/>
        </w:rPr>
      </w:pPr>
      <w:r w:rsidRPr="00FB05CB">
        <w:rPr>
          <w:rFonts w:asciiTheme="minorHAnsi" w:hAnsiTheme="minorHAnsi" w:cstheme="minorHAnsi"/>
          <w:color w:val="000000" w:themeColor="text1"/>
          <w:sz w:val="24"/>
        </w:rPr>
        <w:t>Figure 3b</w:t>
      </w:r>
      <w:r w:rsidR="00BE7243" w:rsidRPr="00FB05CB">
        <w:rPr>
          <w:rFonts w:asciiTheme="minorHAnsi" w:hAnsiTheme="minorHAnsi" w:cstheme="minorHAnsi"/>
          <w:color w:val="000000" w:themeColor="text1"/>
          <w:sz w:val="24"/>
        </w:rPr>
        <w:t xml:space="preserve">. Annual Pulmonary NTM Isolation Rate per 100,000 population in </w:t>
      </w:r>
      <w:proofErr w:type="spellStart"/>
      <w:proofErr w:type="gramStart"/>
      <w:r w:rsidR="00BE7243" w:rsidRPr="00FB05CB">
        <w:rPr>
          <w:rFonts w:asciiTheme="minorHAnsi" w:hAnsiTheme="minorHAnsi" w:cstheme="minorHAnsi"/>
          <w:color w:val="000000" w:themeColor="text1"/>
          <w:sz w:val="24"/>
        </w:rPr>
        <w:t>Nebraska</w:t>
      </w:r>
      <w:r w:rsidR="00FB05CB">
        <w:rPr>
          <w:rFonts w:asciiTheme="minorHAnsi" w:hAnsiTheme="minorHAnsi" w:cstheme="minorHAnsi"/>
          <w:color w:val="000000" w:themeColor="text1"/>
          <w:sz w:val="24"/>
          <w:vertAlign w:val="superscript"/>
        </w:rPr>
        <w:t>a,b</w:t>
      </w:r>
      <w:proofErr w:type="spellEnd"/>
      <w:proofErr w:type="gramEnd"/>
    </w:p>
    <w:p w:rsidR="001A5375" w:rsidRPr="00F652AD" w:rsidRDefault="001A5375" w:rsidP="00F652AD">
      <w:pPr>
        <w:ind w:left="-180"/>
        <w:rPr>
          <w:rFonts w:ascii="Arial" w:hAnsi="Arial" w:cs="Arial"/>
          <w:color w:val="000000" w:themeColor="text1"/>
          <w:sz w:val="24"/>
        </w:rPr>
      </w:pPr>
    </w:p>
    <w:p w:rsidR="009703A8" w:rsidRDefault="009703A8" w:rsidP="006414A5">
      <w:pPr>
        <w:jc w:val="center"/>
        <w:rPr>
          <w:color w:val="0070C0"/>
        </w:rPr>
      </w:pPr>
      <w:r>
        <w:rPr>
          <w:noProof/>
        </w:rPr>
        <w:drawing>
          <wp:inline distT="0" distB="0" distL="0" distR="0" wp14:anchorId="15C7F61C" wp14:editId="37F05CF3">
            <wp:extent cx="5486400" cy="3086100"/>
            <wp:effectExtent l="0" t="0" r="12700" b="12700"/>
            <wp:docPr id="12" name="Chart 12">
              <a:extLst xmlns:a="http://schemas.openxmlformats.org/drawingml/2006/main">
                <a:ext uri="{FF2B5EF4-FFF2-40B4-BE49-F238E27FC236}">
                  <a16:creationId xmlns:a16="http://schemas.microsoft.com/office/drawing/2014/main" id="{E95D5B72-11A5-CD4B-8F27-A277A8B018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06848" w:rsidRPr="00A376F2" w:rsidRDefault="00A376F2" w:rsidP="00206848">
      <w:pPr>
        <w:ind w:left="547"/>
        <w:rPr>
          <w:color w:val="000000" w:themeColor="text1"/>
          <w:sz w:val="16"/>
        </w:rPr>
      </w:pPr>
      <w:proofErr w:type="spellStart"/>
      <w:proofErr w:type="gramStart"/>
      <w:r w:rsidRPr="00A376F2">
        <w:rPr>
          <w:color w:val="000000" w:themeColor="text1"/>
          <w:sz w:val="16"/>
        </w:rPr>
        <w:t>a</w:t>
      </w:r>
      <w:proofErr w:type="spellEnd"/>
      <w:proofErr w:type="gramEnd"/>
      <w:r w:rsidRPr="00A376F2">
        <w:rPr>
          <w:color w:val="000000" w:themeColor="text1"/>
          <w:sz w:val="16"/>
        </w:rPr>
        <w:t xml:space="preserve"> </w:t>
      </w:r>
      <w:r w:rsidR="00587E00" w:rsidRPr="00A376F2">
        <w:rPr>
          <w:color w:val="000000" w:themeColor="text1"/>
          <w:sz w:val="16"/>
        </w:rPr>
        <w:t xml:space="preserve">Isolates identified as </w:t>
      </w:r>
      <w:r w:rsidR="00587E00" w:rsidRPr="00A376F2">
        <w:rPr>
          <w:i/>
          <w:color w:val="000000" w:themeColor="text1"/>
          <w:sz w:val="16"/>
        </w:rPr>
        <w:t xml:space="preserve">M. </w:t>
      </w:r>
      <w:proofErr w:type="spellStart"/>
      <w:r w:rsidR="00587E00" w:rsidRPr="00A376F2">
        <w:rPr>
          <w:i/>
          <w:color w:val="000000" w:themeColor="text1"/>
          <w:sz w:val="16"/>
        </w:rPr>
        <w:t>Gordonae</w:t>
      </w:r>
      <w:proofErr w:type="spellEnd"/>
      <w:r w:rsidR="00587E00" w:rsidRPr="00A376F2">
        <w:rPr>
          <w:color w:val="000000" w:themeColor="text1"/>
          <w:sz w:val="16"/>
        </w:rPr>
        <w:t xml:space="preserve"> </w:t>
      </w:r>
      <w:r w:rsidR="009652B9" w:rsidRPr="00A376F2">
        <w:rPr>
          <w:color w:val="000000" w:themeColor="text1"/>
          <w:sz w:val="16"/>
        </w:rPr>
        <w:t xml:space="preserve">were excluded </w:t>
      </w:r>
      <w:r w:rsidR="00587E00" w:rsidRPr="00A376F2">
        <w:rPr>
          <w:color w:val="000000" w:themeColor="text1"/>
          <w:sz w:val="16"/>
        </w:rPr>
        <w:t xml:space="preserve">due to identification </w:t>
      </w:r>
      <w:r w:rsidRPr="00A376F2">
        <w:rPr>
          <w:color w:val="000000" w:themeColor="text1"/>
          <w:sz w:val="16"/>
        </w:rPr>
        <w:t xml:space="preserve">of </w:t>
      </w:r>
      <w:r w:rsidRPr="00A376F2">
        <w:rPr>
          <w:i/>
          <w:color w:val="000000" w:themeColor="text1"/>
          <w:sz w:val="16"/>
        </w:rPr>
        <w:t xml:space="preserve">M. </w:t>
      </w:r>
      <w:proofErr w:type="spellStart"/>
      <w:r w:rsidRPr="00A376F2">
        <w:rPr>
          <w:i/>
          <w:color w:val="000000" w:themeColor="text1"/>
          <w:sz w:val="16"/>
        </w:rPr>
        <w:t>Gordonae</w:t>
      </w:r>
      <w:proofErr w:type="spellEnd"/>
      <w:r w:rsidRPr="00A376F2">
        <w:rPr>
          <w:color w:val="000000" w:themeColor="text1"/>
          <w:sz w:val="16"/>
        </w:rPr>
        <w:t xml:space="preserve"> as a contaminant</w:t>
      </w:r>
    </w:p>
    <w:p w:rsidR="00A376F2" w:rsidRPr="00A376F2" w:rsidRDefault="00A376F2" w:rsidP="00A376F2">
      <w:pPr>
        <w:ind w:firstLine="540"/>
        <w:rPr>
          <w:color w:val="000000" w:themeColor="text1"/>
          <w:sz w:val="16"/>
        </w:rPr>
      </w:pPr>
      <w:r w:rsidRPr="00A376F2">
        <w:rPr>
          <w:color w:val="000000" w:themeColor="text1"/>
          <w:sz w:val="16"/>
        </w:rPr>
        <w:t>b Population estimates used in rates were determined using the U.S. Census Bureau’s annual population projections</w:t>
      </w:r>
    </w:p>
    <w:p w:rsidR="00A376F2" w:rsidRDefault="00A376F2" w:rsidP="00206848">
      <w:pPr>
        <w:ind w:left="547"/>
        <w:rPr>
          <w:color w:val="FF0000"/>
          <w:sz w:val="16"/>
        </w:rPr>
      </w:pPr>
    </w:p>
    <w:p w:rsidR="00206848" w:rsidRPr="00206848" w:rsidRDefault="00206848" w:rsidP="00206848">
      <w:pPr>
        <w:rPr>
          <w:color w:val="0070C0"/>
          <w:sz w:val="28"/>
        </w:rPr>
      </w:pPr>
    </w:p>
    <w:p w:rsidR="003A3FF9" w:rsidRPr="003A3FF9" w:rsidRDefault="008D10CE" w:rsidP="00206848">
      <w:pPr>
        <w:spacing w:line="480" w:lineRule="auto"/>
        <w:ind w:firstLine="540"/>
        <w:rPr>
          <w:color w:val="000000" w:themeColor="text1"/>
          <w:sz w:val="24"/>
        </w:rPr>
      </w:pPr>
      <w:r w:rsidRPr="00F652AD">
        <w:rPr>
          <w:color w:val="000000" w:themeColor="text1"/>
          <w:sz w:val="24"/>
        </w:rPr>
        <w:lastRenderedPageBreak/>
        <w:t xml:space="preserve">The species identified from a majority of the </w:t>
      </w:r>
      <w:proofErr w:type="spellStart"/>
      <w:r w:rsidRPr="00F652AD">
        <w:rPr>
          <w:color w:val="000000" w:themeColor="text1"/>
          <w:sz w:val="24"/>
        </w:rPr>
        <w:t>nonpulmonary</w:t>
      </w:r>
      <w:proofErr w:type="spellEnd"/>
      <w:r w:rsidRPr="00F652AD">
        <w:rPr>
          <w:color w:val="000000" w:themeColor="text1"/>
          <w:sz w:val="24"/>
        </w:rPr>
        <w:t xml:space="preserve"> isolates, and within each category</w:t>
      </w:r>
      <w:r w:rsidR="00826052" w:rsidRPr="00F652AD">
        <w:rPr>
          <w:color w:val="000000" w:themeColor="text1"/>
          <w:sz w:val="24"/>
        </w:rPr>
        <w:t>,</w:t>
      </w:r>
      <w:r w:rsidRPr="00F652AD">
        <w:rPr>
          <w:color w:val="000000" w:themeColor="text1"/>
          <w:sz w:val="24"/>
        </w:rPr>
        <w:t xml:space="preserve"> was </w:t>
      </w:r>
      <w:r w:rsidRPr="00F652AD">
        <w:rPr>
          <w:i/>
          <w:color w:val="000000" w:themeColor="text1"/>
          <w:sz w:val="24"/>
        </w:rPr>
        <w:t xml:space="preserve">Mycobacterium Avium </w:t>
      </w:r>
      <w:proofErr w:type="spellStart"/>
      <w:r w:rsidRPr="00F652AD">
        <w:rPr>
          <w:i/>
          <w:color w:val="000000" w:themeColor="text1"/>
          <w:sz w:val="24"/>
        </w:rPr>
        <w:t>Intracellulare</w:t>
      </w:r>
      <w:proofErr w:type="spellEnd"/>
      <w:r w:rsidR="00826052" w:rsidRPr="00F652AD">
        <w:rPr>
          <w:i/>
          <w:color w:val="000000" w:themeColor="text1"/>
          <w:sz w:val="24"/>
        </w:rPr>
        <w:t xml:space="preserve"> </w:t>
      </w:r>
      <w:r w:rsidR="00826052" w:rsidRPr="00F652AD">
        <w:rPr>
          <w:color w:val="000000" w:themeColor="text1"/>
          <w:sz w:val="24"/>
        </w:rPr>
        <w:t>(</w:t>
      </w:r>
      <w:r w:rsidR="002C799D" w:rsidRPr="00F652AD">
        <w:rPr>
          <w:color w:val="000000" w:themeColor="text1"/>
          <w:sz w:val="24"/>
        </w:rPr>
        <w:t>Table 2</w:t>
      </w:r>
      <w:r w:rsidR="00826052" w:rsidRPr="00F652AD">
        <w:rPr>
          <w:color w:val="000000" w:themeColor="text1"/>
          <w:sz w:val="24"/>
        </w:rPr>
        <w:t>). A</w:t>
      </w:r>
      <w:r w:rsidRPr="00F652AD">
        <w:rPr>
          <w:color w:val="000000" w:themeColor="text1"/>
          <w:sz w:val="24"/>
        </w:rPr>
        <w:t xml:space="preserve">ll </w:t>
      </w:r>
      <w:r w:rsidR="00E8386C">
        <w:rPr>
          <w:color w:val="000000" w:themeColor="text1"/>
          <w:sz w:val="24"/>
        </w:rPr>
        <w:t>of the isolates categorized as l</w:t>
      </w:r>
      <w:r w:rsidRPr="00F652AD">
        <w:rPr>
          <w:color w:val="000000" w:themeColor="text1"/>
          <w:sz w:val="24"/>
        </w:rPr>
        <w:t xml:space="preserve">ymphadenitis </w:t>
      </w:r>
      <w:r w:rsidR="00160015" w:rsidRPr="00F652AD">
        <w:rPr>
          <w:color w:val="000000" w:themeColor="text1"/>
          <w:sz w:val="24"/>
        </w:rPr>
        <w:t xml:space="preserve">(n=5) </w:t>
      </w:r>
      <w:r w:rsidRPr="00F652AD">
        <w:rPr>
          <w:color w:val="000000" w:themeColor="text1"/>
          <w:sz w:val="24"/>
        </w:rPr>
        <w:t xml:space="preserve">were identified as </w:t>
      </w:r>
      <w:r w:rsidRPr="00F652AD">
        <w:rPr>
          <w:i/>
          <w:color w:val="000000" w:themeColor="text1"/>
          <w:sz w:val="24"/>
        </w:rPr>
        <w:t xml:space="preserve">Mycobacterium Avium </w:t>
      </w:r>
      <w:proofErr w:type="spellStart"/>
      <w:r w:rsidRPr="00F652AD">
        <w:rPr>
          <w:i/>
          <w:color w:val="000000" w:themeColor="text1"/>
          <w:sz w:val="24"/>
        </w:rPr>
        <w:t>Intracellulare</w:t>
      </w:r>
      <w:proofErr w:type="spellEnd"/>
      <w:r w:rsidRPr="00F652AD">
        <w:rPr>
          <w:i/>
          <w:color w:val="000000" w:themeColor="text1"/>
          <w:sz w:val="24"/>
        </w:rPr>
        <w:t xml:space="preserve">. </w:t>
      </w:r>
      <w:r w:rsidR="003A3FF9">
        <w:rPr>
          <w:color w:val="000000" w:themeColor="text1"/>
          <w:sz w:val="24"/>
        </w:rPr>
        <w:t>The most frequently isolated specimens were from skin/soft tissue (31.5%)</w:t>
      </w:r>
      <w:r w:rsidR="003A1DCB">
        <w:rPr>
          <w:color w:val="000000" w:themeColor="text1"/>
          <w:sz w:val="24"/>
        </w:rPr>
        <w:t>, followed by isolates from bone/joints (19%).</w:t>
      </w:r>
    </w:p>
    <w:p w:rsidR="00CD702B" w:rsidRPr="003372DB" w:rsidRDefault="002C799D" w:rsidP="00206848">
      <w:pPr>
        <w:pStyle w:val="Heading2"/>
        <w:rPr>
          <w:rFonts w:asciiTheme="minorHAnsi" w:hAnsiTheme="minorHAnsi" w:cstheme="minorHAnsi"/>
          <w:color w:val="000000" w:themeColor="text1"/>
          <w:vertAlign w:val="superscript"/>
        </w:rPr>
      </w:pPr>
      <w:r w:rsidRPr="003372DB">
        <w:rPr>
          <w:rFonts w:asciiTheme="minorHAnsi" w:hAnsiTheme="minorHAnsi" w:cstheme="minorHAnsi"/>
          <w:iCs/>
          <w:color w:val="000000"/>
          <w:sz w:val="24"/>
        </w:rPr>
        <w:t>Table 2</w:t>
      </w:r>
      <w:r w:rsidR="00CD702B" w:rsidRPr="003372DB">
        <w:rPr>
          <w:rFonts w:asciiTheme="minorHAnsi" w:hAnsiTheme="minorHAnsi" w:cstheme="minorHAnsi"/>
          <w:iCs/>
          <w:color w:val="000000"/>
          <w:sz w:val="24"/>
        </w:rPr>
        <w:t xml:space="preserve">. Species </w:t>
      </w:r>
      <w:r w:rsidR="00082031" w:rsidRPr="003372DB">
        <w:rPr>
          <w:rFonts w:asciiTheme="minorHAnsi" w:hAnsiTheme="minorHAnsi" w:cstheme="minorHAnsi"/>
          <w:iCs/>
          <w:color w:val="000000"/>
          <w:sz w:val="24"/>
        </w:rPr>
        <w:t>Distribution</w:t>
      </w:r>
      <w:r w:rsidR="00CD702B" w:rsidRPr="003372DB">
        <w:rPr>
          <w:rFonts w:asciiTheme="minorHAnsi" w:hAnsiTheme="minorHAnsi" w:cstheme="minorHAnsi"/>
          <w:iCs/>
          <w:color w:val="000000"/>
          <w:sz w:val="24"/>
        </w:rPr>
        <w:t xml:space="preserve"> Characterized by </w:t>
      </w:r>
      <w:proofErr w:type="spellStart"/>
      <w:r w:rsidR="00CD702B" w:rsidRPr="003372DB">
        <w:rPr>
          <w:rFonts w:asciiTheme="minorHAnsi" w:hAnsiTheme="minorHAnsi" w:cstheme="minorHAnsi"/>
          <w:iCs/>
          <w:color w:val="000000"/>
          <w:sz w:val="24"/>
        </w:rPr>
        <w:t>Nonpulmonary</w:t>
      </w:r>
      <w:proofErr w:type="spellEnd"/>
      <w:r w:rsidR="00CD702B" w:rsidRPr="003372DB">
        <w:rPr>
          <w:rFonts w:asciiTheme="minorHAnsi" w:hAnsiTheme="minorHAnsi" w:cstheme="minorHAnsi"/>
          <w:iCs/>
          <w:color w:val="000000"/>
          <w:sz w:val="24"/>
        </w:rPr>
        <w:t xml:space="preserve"> Specimen Source, Nebraska NTM </w:t>
      </w:r>
      <w:r w:rsidR="00CD702B" w:rsidRPr="003372DB">
        <w:rPr>
          <w:rFonts w:asciiTheme="minorHAnsi" w:hAnsiTheme="minorHAnsi" w:cstheme="minorHAnsi"/>
          <w:iCs/>
          <w:color w:val="000000"/>
          <w:sz w:val="24"/>
          <w:u w:val="single"/>
        </w:rPr>
        <w:t>Infections 2012-2017</w:t>
      </w:r>
      <w:r w:rsidR="00CD702B" w:rsidRPr="003372DB">
        <w:rPr>
          <w:rFonts w:asciiTheme="minorHAnsi" w:hAnsiTheme="minorHAnsi" w:cstheme="minorHAnsi"/>
          <w:iCs/>
          <w:color w:val="000000"/>
          <w:sz w:val="24"/>
          <w:u w:val="single"/>
          <w:vertAlign w:val="superscript"/>
        </w:rPr>
        <w:t>a</w:t>
      </w:r>
      <w:r w:rsidR="00CD702B" w:rsidRPr="003372DB">
        <w:rPr>
          <w:rFonts w:asciiTheme="minorHAnsi" w:hAnsiTheme="minorHAnsi" w:cstheme="minorHAnsi"/>
          <w:color w:val="000000" w:themeColor="text1"/>
          <w:sz w:val="24"/>
          <w:u w:val="single"/>
          <w:vertAlign w:val="superscript"/>
        </w:rPr>
        <w:t xml:space="preserve"> </w:t>
      </w:r>
      <w:r w:rsidR="00AD3F2F">
        <w:rPr>
          <w:rFonts w:asciiTheme="minorHAnsi" w:hAnsiTheme="minorHAnsi" w:cstheme="minorHAnsi"/>
          <w:color w:val="000000" w:themeColor="text1"/>
          <w:sz w:val="24"/>
          <w:u w:val="single"/>
        </w:rPr>
        <w:t>(n</w:t>
      </w:r>
      <w:r w:rsidR="00CD702B" w:rsidRPr="003372DB">
        <w:rPr>
          <w:rFonts w:asciiTheme="minorHAnsi" w:hAnsiTheme="minorHAnsi" w:cstheme="minorHAnsi"/>
          <w:color w:val="000000" w:themeColor="text1"/>
          <w:sz w:val="24"/>
          <w:u w:val="single"/>
        </w:rPr>
        <w:t>=200)</w:t>
      </w:r>
      <w:r w:rsidR="00F652AD" w:rsidRPr="003372DB">
        <w:rPr>
          <w:rFonts w:asciiTheme="minorHAnsi" w:hAnsiTheme="minorHAnsi" w:cstheme="minorHAnsi"/>
          <w:color w:val="000000" w:themeColor="text1"/>
          <w:u w:val="single"/>
        </w:rPr>
        <w:tab/>
      </w:r>
      <w:r w:rsidR="00F652AD" w:rsidRPr="003372DB">
        <w:rPr>
          <w:rFonts w:asciiTheme="minorHAnsi" w:hAnsiTheme="minorHAnsi" w:cstheme="minorHAnsi"/>
          <w:color w:val="000000" w:themeColor="text1"/>
          <w:u w:val="single"/>
        </w:rPr>
        <w:tab/>
      </w:r>
      <w:r w:rsidR="00CD702B" w:rsidRPr="003372DB">
        <w:rPr>
          <w:rFonts w:asciiTheme="minorHAnsi" w:hAnsiTheme="minorHAnsi" w:cstheme="minorHAnsi"/>
          <w:color w:val="000000" w:themeColor="text1"/>
          <w:u w:val="single"/>
        </w:rPr>
        <w:tab/>
      </w:r>
      <w:r w:rsidR="00CD702B" w:rsidRPr="003372DB">
        <w:rPr>
          <w:rFonts w:asciiTheme="minorHAnsi" w:hAnsiTheme="minorHAnsi" w:cstheme="minorHAnsi"/>
          <w:color w:val="000000" w:themeColor="text1"/>
          <w:u w:val="single"/>
        </w:rPr>
        <w:tab/>
      </w:r>
      <w:r w:rsidR="00CD702B" w:rsidRPr="003372DB">
        <w:rPr>
          <w:rFonts w:asciiTheme="minorHAnsi" w:hAnsiTheme="minorHAnsi" w:cstheme="minorHAnsi"/>
          <w:color w:val="000000" w:themeColor="text1"/>
          <w:u w:val="single"/>
        </w:rPr>
        <w:tab/>
      </w:r>
      <w:r w:rsidR="00CD702B" w:rsidRPr="003372DB">
        <w:rPr>
          <w:rFonts w:asciiTheme="minorHAnsi" w:hAnsiTheme="minorHAnsi" w:cstheme="minorHAnsi"/>
          <w:color w:val="000000" w:themeColor="text1"/>
          <w:u w:val="single"/>
        </w:rPr>
        <w:tab/>
      </w:r>
      <w:r w:rsidR="00CD702B" w:rsidRPr="003372DB">
        <w:rPr>
          <w:rFonts w:asciiTheme="minorHAnsi" w:hAnsiTheme="minorHAnsi" w:cstheme="minorHAnsi"/>
          <w:color w:val="000000" w:themeColor="text1"/>
          <w:u w:val="single"/>
        </w:rPr>
        <w:tab/>
      </w:r>
      <w:r w:rsidR="00CD702B" w:rsidRPr="003372DB">
        <w:rPr>
          <w:rFonts w:asciiTheme="minorHAnsi" w:hAnsiTheme="minorHAnsi" w:cstheme="minorHAnsi"/>
          <w:color w:val="000000" w:themeColor="text1"/>
          <w:u w:val="single"/>
        </w:rPr>
        <w:tab/>
      </w:r>
    </w:p>
    <w:tbl>
      <w:tblPr>
        <w:tblStyle w:val="TableGrid"/>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6"/>
        <w:gridCol w:w="1353"/>
        <w:gridCol w:w="1531"/>
        <w:gridCol w:w="1620"/>
        <w:gridCol w:w="1350"/>
        <w:gridCol w:w="1350"/>
      </w:tblGrid>
      <w:tr w:rsidR="00CD702B" w:rsidRPr="007B3DBB" w:rsidTr="00091489">
        <w:trPr>
          <w:trHeight w:val="414"/>
        </w:trPr>
        <w:tc>
          <w:tcPr>
            <w:tcW w:w="2606" w:type="dxa"/>
          </w:tcPr>
          <w:p w:rsidR="00CD702B" w:rsidRPr="00FB05CB" w:rsidRDefault="00CD702B" w:rsidP="00091489">
            <w:pPr>
              <w:ind w:right="890"/>
              <w:rPr>
                <w:rFonts w:asciiTheme="minorHAnsi" w:hAnsiTheme="minorHAnsi" w:cstheme="minorHAnsi"/>
                <w:iCs/>
                <w:sz w:val="20"/>
                <w:szCs w:val="20"/>
              </w:rPr>
            </w:pPr>
          </w:p>
        </w:tc>
        <w:tc>
          <w:tcPr>
            <w:tcW w:w="7204" w:type="dxa"/>
            <w:gridSpan w:val="5"/>
            <w:tcBorders>
              <w:bottom w:val="single" w:sz="4" w:space="0" w:color="auto"/>
            </w:tcBorders>
          </w:tcPr>
          <w:p w:rsidR="00CD702B" w:rsidRPr="00FB05CB" w:rsidRDefault="00CD702B" w:rsidP="00091489">
            <w:pPr>
              <w:ind w:left="-16"/>
              <w:jc w:val="center"/>
              <w:rPr>
                <w:rFonts w:asciiTheme="minorHAnsi" w:hAnsiTheme="minorHAnsi" w:cstheme="minorHAnsi"/>
                <w:iCs/>
                <w:color w:val="000000"/>
                <w:sz w:val="20"/>
                <w:szCs w:val="20"/>
              </w:rPr>
            </w:pPr>
          </w:p>
          <w:p w:rsidR="00CD702B" w:rsidRPr="00FB05CB" w:rsidRDefault="00CD702B" w:rsidP="00091489">
            <w:pPr>
              <w:ind w:left="-16"/>
              <w:jc w:val="center"/>
              <w:rPr>
                <w:rFonts w:asciiTheme="minorHAnsi" w:hAnsiTheme="minorHAnsi" w:cstheme="minorHAnsi"/>
                <w:iCs/>
                <w:color w:val="000000"/>
                <w:sz w:val="20"/>
                <w:szCs w:val="20"/>
                <w:vertAlign w:val="superscript"/>
              </w:rPr>
            </w:pPr>
            <w:proofErr w:type="spellStart"/>
            <w:r w:rsidRPr="00FB05CB">
              <w:rPr>
                <w:rFonts w:asciiTheme="minorHAnsi" w:hAnsiTheme="minorHAnsi" w:cstheme="minorHAnsi"/>
                <w:iCs/>
                <w:color w:val="000000"/>
                <w:sz w:val="20"/>
                <w:szCs w:val="20"/>
              </w:rPr>
              <w:t>Nonpulmonary</w:t>
            </w:r>
            <w:proofErr w:type="spellEnd"/>
            <w:r w:rsidRPr="00FB05CB">
              <w:rPr>
                <w:rFonts w:asciiTheme="minorHAnsi" w:hAnsiTheme="minorHAnsi" w:cstheme="minorHAnsi"/>
                <w:iCs/>
                <w:color w:val="000000"/>
                <w:sz w:val="20"/>
                <w:szCs w:val="20"/>
              </w:rPr>
              <w:t xml:space="preserve"> Specimen Source</w:t>
            </w:r>
          </w:p>
        </w:tc>
      </w:tr>
      <w:tr w:rsidR="00CD702B" w:rsidRPr="007B3DBB" w:rsidTr="00091489">
        <w:trPr>
          <w:trHeight w:val="530"/>
        </w:trPr>
        <w:tc>
          <w:tcPr>
            <w:tcW w:w="2606" w:type="dxa"/>
          </w:tcPr>
          <w:p w:rsidR="00CD702B" w:rsidRPr="00FB05CB" w:rsidRDefault="00CD702B" w:rsidP="00091489">
            <w:pPr>
              <w:ind w:right="890"/>
              <w:rPr>
                <w:rFonts w:asciiTheme="minorHAnsi" w:hAnsiTheme="minorHAnsi" w:cstheme="minorHAnsi"/>
                <w:iCs/>
                <w:sz w:val="20"/>
                <w:szCs w:val="20"/>
              </w:rPr>
            </w:pPr>
          </w:p>
        </w:tc>
        <w:tc>
          <w:tcPr>
            <w:tcW w:w="1353" w:type="dxa"/>
            <w:tcBorders>
              <w:top w:val="single" w:sz="4" w:space="0" w:color="auto"/>
              <w:bottom w:val="single" w:sz="4" w:space="0" w:color="auto"/>
            </w:tcBorders>
            <w:vAlign w:val="center"/>
          </w:tcPr>
          <w:p w:rsidR="00CD702B" w:rsidRPr="00FB05CB" w:rsidRDefault="00CD702B" w:rsidP="00091489">
            <w:pPr>
              <w:ind w:left="-16"/>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Bone/Joint (n=38)</w:t>
            </w:r>
          </w:p>
        </w:tc>
        <w:tc>
          <w:tcPr>
            <w:tcW w:w="1531" w:type="dxa"/>
            <w:tcBorders>
              <w:top w:val="single" w:sz="4" w:space="0" w:color="auto"/>
              <w:bottom w:val="single" w:sz="4" w:space="0" w:color="auto"/>
            </w:tcBorders>
            <w:vAlign w:val="center"/>
          </w:tcPr>
          <w:p w:rsidR="00CD702B" w:rsidRPr="00FB05CB" w:rsidRDefault="00CD702B" w:rsidP="00091489">
            <w:pPr>
              <w:ind w:left="-16"/>
              <w:jc w:val="center"/>
              <w:rPr>
                <w:rFonts w:asciiTheme="minorHAnsi" w:hAnsiTheme="minorHAnsi" w:cstheme="minorHAnsi"/>
                <w:iCs/>
                <w:color w:val="000000"/>
                <w:sz w:val="20"/>
                <w:szCs w:val="20"/>
              </w:rPr>
            </w:pPr>
            <w:proofErr w:type="spellStart"/>
            <w:r w:rsidRPr="00FB05CB">
              <w:rPr>
                <w:rFonts w:asciiTheme="minorHAnsi" w:hAnsiTheme="minorHAnsi" w:cstheme="minorHAnsi"/>
                <w:iCs/>
                <w:color w:val="000000"/>
                <w:sz w:val="20"/>
                <w:szCs w:val="20"/>
              </w:rPr>
              <w:t>Disseminated</w:t>
            </w:r>
            <w:r w:rsidRPr="00FB05CB">
              <w:rPr>
                <w:rFonts w:asciiTheme="minorHAnsi" w:hAnsiTheme="minorHAnsi" w:cstheme="minorHAnsi"/>
                <w:iCs/>
                <w:color w:val="000000"/>
                <w:sz w:val="20"/>
                <w:szCs w:val="20"/>
                <w:vertAlign w:val="superscript"/>
              </w:rPr>
              <w:t>c</w:t>
            </w:r>
            <w:proofErr w:type="spellEnd"/>
            <w:r w:rsidRPr="00FB05CB">
              <w:rPr>
                <w:rFonts w:asciiTheme="minorHAnsi" w:hAnsiTheme="minorHAnsi" w:cstheme="minorHAnsi"/>
                <w:iCs/>
                <w:color w:val="000000"/>
                <w:sz w:val="20"/>
                <w:szCs w:val="20"/>
              </w:rPr>
              <w:t xml:space="preserve"> (n=20)</w:t>
            </w:r>
          </w:p>
        </w:tc>
        <w:tc>
          <w:tcPr>
            <w:tcW w:w="1620" w:type="dxa"/>
            <w:tcBorders>
              <w:top w:val="single" w:sz="4" w:space="0" w:color="auto"/>
              <w:bottom w:val="single" w:sz="4" w:space="0" w:color="auto"/>
            </w:tcBorders>
            <w:vAlign w:val="center"/>
          </w:tcPr>
          <w:p w:rsidR="00CD702B" w:rsidRPr="00FB05CB" w:rsidRDefault="00CD702B" w:rsidP="00091489">
            <w:pPr>
              <w:ind w:left="-16"/>
              <w:jc w:val="center"/>
              <w:rPr>
                <w:rFonts w:asciiTheme="minorHAnsi" w:hAnsiTheme="minorHAnsi" w:cstheme="minorHAnsi"/>
                <w:iCs/>
                <w:color w:val="000000"/>
                <w:sz w:val="20"/>
                <w:szCs w:val="20"/>
              </w:rPr>
            </w:pPr>
            <w:proofErr w:type="spellStart"/>
            <w:r w:rsidRPr="00FB05CB">
              <w:rPr>
                <w:rFonts w:asciiTheme="minorHAnsi" w:hAnsiTheme="minorHAnsi" w:cstheme="minorHAnsi"/>
                <w:iCs/>
                <w:color w:val="000000"/>
                <w:sz w:val="20"/>
                <w:szCs w:val="20"/>
              </w:rPr>
              <w:t>Lymphadenitis</w:t>
            </w:r>
            <w:r w:rsidRPr="00FB05CB">
              <w:rPr>
                <w:rFonts w:asciiTheme="minorHAnsi" w:hAnsiTheme="minorHAnsi" w:cstheme="minorHAnsi"/>
                <w:iCs/>
                <w:color w:val="000000"/>
                <w:sz w:val="20"/>
                <w:szCs w:val="20"/>
                <w:vertAlign w:val="superscript"/>
              </w:rPr>
              <w:t>d</w:t>
            </w:r>
            <w:proofErr w:type="spellEnd"/>
            <w:r w:rsidRPr="00FB05CB">
              <w:rPr>
                <w:rFonts w:asciiTheme="minorHAnsi" w:hAnsiTheme="minorHAnsi" w:cstheme="minorHAnsi"/>
                <w:iCs/>
                <w:color w:val="000000"/>
                <w:sz w:val="20"/>
                <w:szCs w:val="20"/>
              </w:rPr>
              <w:t xml:space="preserve"> (n=5)</w:t>
            </w:r>
          </w:p>
        </w:tc>
        <w:tc>
          <w:tcPr>
            <w:tcW w:w="1350" w:type="dxa"/>
            <w:tcBorders>
              <w:top w:val="single" w:sz="4" w:space="0" w:color="auto"/>
              <w:bottom w:val="single" w:sz="4" w:space="0" w:color="auto"/>
            </w:tcBorders>
            <w:vAlign w:val="center"/>
          </w:tcPr>
          <w:p w:rsidR="00CD702B" w:rsidRPr="00FB05CB" w:rsidRDefault="00CD702B" w:rsidP="00091489">
            <w:pPr>
              <w:ind w:left="-16"/>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 xml:space="preserve">Skin/Soft </w:t>
            </w:r>
            <w:proofErr w:type="spellStart"/>
            <w:r w:rsidRPr="00FB05CB">
              <w:rPr>
                <w:rFonts w:asciiTheme="minorHAnsi" w:hAnsiTheme="minorHAnsi" w:cstheme="minorHAnsi"/>
                <w:iCs/>
                <w:color w:val="000000"/>
                <w:sz w:val="20"/>
                <w:szCs w:val="20"/>
              </w:rPr>
              <w:t>Tissue</w:t>
            </w:r>
            <w:r w:rsidRPr="00FB05CB">
              <w:rPr>
                <w:rFonts w:asciiTheme="minorHAnsi" w:hAnsiTheme="minorHAnsi" w:cstheme="minorHAnsi"/>
                <w:iCs/>
                <w:color w:val="000000"/>
                <w:sz w:val="20"/>
                <w:szCs w:val="20"/>
                <w:vertAlign w:val="superscript"/>
              </w:rPr>
              <w:t>e</w:t>
            </w:r>
            <w:proofErr w:type="spellEnd"/>
            <w:r w:rsidRPr="00FB05CB">
              <w:rPr>
                <w:rFonts w:asciiTheme="minorHAnsi" w:hAnsiTheme="minorHAnsi" w:cstheme="minorHAnsi"/>
                <w:iCs/>
                <w:color w:val="000000"/>
                <w:sz w:val="20"/>
                <w:szCs w:val="20"/>
              </w:rPr>
              <w:t xml:space="preserve"> (n=63)</w:t>
            </w:r>
          </w:p>
        </w:tc>
        <w:tc>
          <w:tcPr>
            <w:tcW w:w="1350" w:type="dxa"/>
            <w:tcBorders>
              <w:top w:val="single" w:sz="4" w:space="0" w:color="auto"/>
              <w:bottom w:val="single" w:sz="4" w:space="0" w:color="auto"/>
            </w:tcBorders>
            <w:vAlign w:val="center"/>
          </w:tcPr>
          <w:p w:rsidR="00CD702B" w:rsidRPr="00FB05CB" w:rsidRDefault="00CD702B" w:rsidP="00091489">
            <w:pPr>
              <w:ind w:left="-16"/>
              <w:jc w:val="center"/>
              <w:rPr>
                <w:rFonts w:asciiTheme="minorHAnsi" w:hAnsiTheme="minorHAnsi" w:cstheme="minorHAnsi"/>
                <w:iCs/>
                <w:color w:val="000000"/>
                <w:sz w:val="20"/>
                <w:szCs w:val="20"/>
              </w:rPr>
            </w:pPr>
            <w:proofErr w:type="spellStart"/>
            <w:r w:rsidRPr="00FB05CB">
              <w:rPr>
                <w:rFonts w:asciiTheme="minorHAnsi" w:hAnsiTheme="minorHAnsi" w:cstheme="minorHAnsi"/>
                <w:iCs/>
                <w:color w:val="000000"/>
                <w:sz w:val="20"/>
                <w:szCs w:val="20"/>
              </w:rPr>
              <w:t>Other</w:t>
            </w:r>
            <w:r w:rsidRPr="00FB05CB">
              <w:rPr>
                <w:rFonts w:asciiTheme="minorHAnsi" w:hAnsiTheme="minorHAnsi" w:cstheme="minorHAnsi"/>
                <w:iCs/>
                <w:color w:val="000000"/>
                <w:sz w:val="20"/>
                <w:szCs w:val="20"/>
                <w:vertAlign w:val="superscript"/>
              </w:rPr>
              <w:t>f</w:t>
            </w:r>
            <w:proofErr w:type="spellEnd"/>
            <w:r w:rsidRPr="00FB05CB">
              <w:rPr>
                <w:rFonts w:asciiTheme="minorHAnsi" w:hAnsiTheme="minorHAnsi" w:cstheme="minorHAnsi"/>
                <w:iCs/>
                <w:color w:val="000000"/>
                <w:sz w:val="20"/>
                <w:szCs w:val="20"/>
              </w:rPr>
              <w:t xml:space="preserve"> (n=74)</w:t>
            </w:r>
          </w:p>
        </w:tc>
      </w:tr>
      <w:tr w:rsidR="00CD702B" w:rsidRPr="007B3DBB" w:rsidTr="00091489">
        <w:trPr>
          <w:trHeight w:val="436"/>
        </w:trPr>
        <w:tc>
          <w:tcPr>
            <w:tcW w:w="2606" w:type="dxa"/>
            <w:tcBorders>
              <w:bottom w:val="single" w:sz="4" w:space="0" w:color="auto"/>
            </w:tcBorders>
            <w:vAlign w:val="bottom"/>
          </w:tcPr>
          <w:p w:rsidR="00CD702B" w:rsidRPr="00FB05CB" w:rsidRDefault="00CD702B" w:rsidP="00091489">
            <w:pPr>
              <w:ind w:right="890"/>
              <w:rPr>
                <w:rFonts w:asciiTheme="minorHAnsi" w:hAnsiTheme="minorHAnsi" w:cstheme="minorHAnsi"/>
                <w:iCs/>
                <w:sz w:val="20"/>
                <w:szCs w:val="20"/>
              </w:rPr>
            </w:pPr>
            <w:r w:rsidRPr="00FB05CB">
              <w:rPr>
                <w:rFonts w:asciiTheme="minorHAnsi" w:hAnsiTheme="minorHAnsi" w:cstheme="minorHAnsi"/>
                <w:iCs/>
                <w:sz w:val="20"/>
                <w:szCs w:val="20"/>
              </w:rPr>
              <w:t xml:space="preserve">Species </w:t>
            </w:r>
            <w:proofErr w:type="spellStart"/>
            <w:proofErr w:type="gramStart"/>
            <w:r w:rsidRPr="00FB05CB">
              <w:rPr>
                <w:rFonts w:asciiTheme="minorHAnsi" w:hAnsiTheme="minorHAnsi" w:cstheme="minorHAnsi"/>
                <w:iCs/>
                <w:sz w:val="20"/>
                <w:szCs w:val="20"/>
              </w:rPr>
              <w:t>Type</w:t>
            </w:r>
            <w:r w:rsidRPr="00FB05CB">
              <w:rPr>
                <w:rFonts w:asciiTheme="minorHAnsi" w:hAnsiTheme="minorHAnsi" w:cstheme="minorHAnsi"/>
                <w:iCs/>
                <w:sz w:val="20"/>
                <w:szCs w:val="20"/>
                <w:vertAlign w:val="superscript"/>
              </w:rPr>
              <w:t>a,b</w:t>
            </w:r>
            <w:proofErr w:type="spellEnd"/>
            <w:proofErr w:type="gramEnd"/>
          </w:p>
        </w:tc>
        <w:tc>
          <w:tcPr>
            <w:tcW w:w="1353" w:type="dxa"/>
            <w:tcBorders>
              <w:top w:val="single" w:sz="4" w:space="0" w:color="auto"/>
              <w:bottom w:val="single" w:sz="4" w:space="0" w:color="auto"/>
            </w:tcBorders>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No. (%)</w:t>
            </w:r>
          </w:p>
        </w:tc>
        <w:tc>
          <w:tcPr>
            <w:tcW w:w="1531" w:type="dxa"/>
            <w:tcBorders>
              <w:top w:val="single" w:sz="4" w:space="0" w:color="auto"/>
              <w:bottom w:val="single" w:sz="4" w:space="0" w:color="auto"/>
            </w:tcBorders>
            <w:vAlign w:val="center"/>
          </w:tcPr>
          <w:p w:rsidR="00CD702B" w:rsidRPr="00FB05CB" w:rsidRDefault="00CD702B" w:rsidP="00091489">
            <w:pPr>
              <w:ind w:left="-16"/>
              <w:jc w:val="center"/>
              <w:rPr>
                <w:rFonts w:asciiTheme="minorHAnsi" w:hAnsiTheme="minorHAnsi" w:cstheme="minorHAnsi"/>
                <w:iCs/>
                <w:sz w:val="20"/>
                <w:szCs w:val="20"/>
              </w:rPr>
            </w:pPr>
            <w:r w:rsidRPr="00FB05CB">
              <w:rPr>
                <w:rFonts w:asciiTheme="minorHAnsi" w:hAnsiTheme="minorHAnsi" w:cstheme="minorHAnsi"/>
                <w:iCs/>
                <w:sz w:val="20"/>
                <w:szCs w:val="20"/>
              </w:rPr>
              <w:t>No. (%)</w:t>
            </w:r>
          </w:p>
        </w:tc>
        <w:tc>
          <w:tcPr>
            <w:tcW w:w="1620" w:type="dxa"/>
            <w:tcBorders>
              <w:top w:val="single" w:sz="4" w:space="0" w:color="auto"/>
              <w:bottom w:val="single" w:sz="4" w:space="0" w:color="auto"/>
            </w:tcBorders>
            <w:vAlign w:val="center"/>
          </w:tcPr>
          <w:p w:rsidR="00CD702B" w:rsidRPr="00FB05CB" w:rsidRDefault="00CD702B" w:rsidP="00091489">
            <w:pPr>
              <w:ind w:left="-16"/>
              <w:jc w:val="center"/>
              <w:rPr>
                <w:rFonts w:asciiTheme="minorHAnsi" w:hAnsiTheme="minorHAnsi" w:cstheme="minorHAnsi"/>
                <w:iCs/>
                <w:sz w:val="20"/>
                <w:szCs w:val="20"/>
              </w:rPr>
            </w:pPr>
            <w:r w:rsidRPr="00FB05CB">
              <w:rPr>
                <w:rFonts w:asciiTheme="minorHAnsi" w:hAnsiTheme="minorHAnsi" w:cstheme="minorHAnsi"/>
                <w:iCs/>
                <w:sz w:val="20"/>
                <w:szCs w:val="20"/>
              </w:rPr>
              <w:t>No. (%)</w:t>
            </w:r>
          </w:p>
        </w:tc>
        <w:tc>
          <w:tcPr>
            <w:tcW w:w="1350" w:type="dxa"/>
            <w:tcBorders>
              <w:top w:val="single" w:sz="4" w:space="0" w:color="auto"/>
              <w:bottom w:val="single" w:sz="4" w:space="0" w:color="auto"/>
            </w:tcBorders>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No. (%)</w:t>
            </w:r>
          </w:p>
        </w:tc>
        <w:tc>
          <w:tcPr>
            <w:tcW w:w="1350" w:type="dxa"/>
            <w:tcBorders>
              <w:top w:val="single" w:sz="4" w:space="0" w:color="auto"/>
              <w:bottom w:val="single" w:sz="4" w:space="0" w:color="auto"/>
            </w:tcBorders>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No. (%)</w:t>
            </w:r>
          </w:p>
        </w:tc>
      </w:tr>
      <w:tr w:rsidR="00CD702B" w:rsidRPr="007B3DBB" w:rsidTr="00091489">
        <w:trPr>
          <w:trHeight w:val="395"/>
        </w:trPr>
        <w:tc>
          <w:tcPr>
            <w:tcW w:w="2606" w:type="dxa"/>
            <w:tcBorders>
              <w:top w:val="single" w:sz="4" w:space="0" w:color="auto"/>
            </w:tcBorders>
            <w:vAlign w:val="center"/>
            <w:hideMark/>
          </w:tcPr>
          <w:p w:rsidR="00CD702B" w:rsidRPr="00FB05CB" w:rsidRDefault="00CD702B" w:rsidP="00091489">
            <w:pPr>
              <w:rPr>
                <w:rFonts w:asciiTheme="minorHAnsi" w:hAnsiTheme="minorHAnsi" w:cstheme="minorHAnsi"/>
                <w:i/>
                <w:iCs/>
                <w:color w:val="000000"/>
                <w:sz w:val="20"/>
                <w:szCs w:val="20"/>
              </w:rPr>
            </w:pPr>
            <w:r w:rsidRPr="00FB05CB">
              <w:rPr>
                <w:rFonts w:asciiTheme="minorHAnsi" w:hAnsiTheme="minorHAnsi" w:cstheme="minorHAnsi"/>
                <w:i/>
                <w:iCs/>
                <w:color w:val="000000"/>
                <w:sz w:val="20"/>
                <w:szCs w:val="20"/>
              </w:rPr>
              <w:t xml:space="preserve">M. </w:t>
            </w:r>
            <w:proofErr w:type="spellStart"/>
            <w:r w:rsidRPr="00FB05CB">
              <w:rPr>
                <w:rFonts w:asciiTheme="minorHAnsi" w:hAnsiTheme="minorHAnsi" w:cstheme="minorHAnsi"/>
                <w:i/>
                <w:iCs/>
                <w:color w:val="000000"/>
                <w:sz w:val="20"/>
                <w:szCs w:val="20"/>
              </w:rPr>
              <w:t>Abscessus</w:t>
            </w:r>
            <w:proofErr w:type="spellEnd"/>
          </w:p>
        </w:tc>
        <w:tc>
          <w:tcPr>
            <w:tcW w:w="1353" w:type="dxa"/>
            <w:tcBorders>
              <w:top w:val="single" w:sz="4" w:space="0" w:color="auto"/>
            </w:tcBorders>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2 (5.26%)</w:t>
            </w:r>
          </w:p>
        </w:tc>
        <w:tc>
          <w:tcPr>
            <w:tcW w:w="1531" w:type="dxa"/>
            <w:tcBorders>
              <w:top w:val="single" w:sz="4" w:space="0" w:color="auto"/>
            </w:tcBorders>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2 (10.0%)</w:t>
            </w:r>
          </w:p>
        </w:tc>
        <w:tc>
          <w:tcPr>
            <w:tcW w:w="1620" w:type="dxa"/>
            <w:tcBorders>
              <w:top w:val="single" w:sz="4" w:space="0" w:color="auto"/>
            </w:tcBorders>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tcBorders>
              <w:top w:val="single" w:sz="4" w:space="0" w:color="auto"/>
            </w:tcBorders>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4 (6.35%)</w:t>
            </w:r>
          </w:p>
        </w:tc>
        <w:tc>
          <w:tcPr>
            <w:tcW w:w="1350" w:type="dxa"/>
            <w:tcBorders>
              <w:top w:val="single" w:sz="4" w:space="0" w:color="auto"/>
            </w:tcBorders>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5 (6.76%)</w:t>
            </w:r>
          </w:p>
        </w:tc>
      </w:tr>
      <w:tr w:rsidR="00CD702B" w:rsidRPr="007B3DBB" w:rsidTr="00091489">
        <w:trPr>
          <w:trHeight w:val="324"/>
        </w:trPr>
        <w:tc>
          <w:tcPr>
            <w:tcW w:w="2606" w:type="dxa"/>
            <w:vAlign w:val="center"/>
          </w:tcPr>
          <w:p w:rsidR="00CD702B" w:rsidRPr="00FB05CB" w:rsidRDefault="00CD702B" w:rsidP="00091489">
            <w:pPr>
              <w:rPr>
                <w:rFonts w:asciiTheme="minorHAnsi" w:hAnsiTheme="minorHAnsi" w:cstheme="minorHAnsi"/>
                <w:i/>
                <w:iCs/>
                <w:color w:val="000000"/>
                <w:sz w:val="20"/>
                <w:szCs w:val="20"/>
              </w:rPr>
            </w:pPr>
            <w:r w:rsidRPr="00FB05CB">
              <w:rPr>
                <w:rFonts w:asciiTheme="minorHAnsi" w:hAnsiTheme="minorHAnsi" w:cstheme="minorHAnsi"/>
                <w:i/>
                <w:iCs/>
                <w:color w:val="000000"/>
                <w:sz w:val="20"/>
                <w:szCs w:val="20"/>
              </w:rPr>
              <w:t xml:space="preserve">M. Avium </w:t>
            </w:r>
            <w:proofErr w:type="spellStart"/>
            <w:r w:rsidRPr="00FB05CB">
              <w:rPr>
                <w:rFonts w:asciiTheme="minorHAnsi" w:hAnsiTheme="minorHAnsi" w:cstheme="minorHAnsi"/>
                <w:i/>
                <w:iCs/>
                <w:color w:val="000000"/>
                <w:sz w:val="20"/>
                <w:szCs w:val="20"/>
              </w:rPr>
              <w:t>Intracellulare</w:t>
            </w:r>
            <w:proofErr w:type="spellEnd"/>
          </w:p>
        </w:tc>
        <w:tc>
          <w:tcPr>
            <w:tcW w:w="1353"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18 (47.37%)</w:t>
            </w:r>
          </w:p>
        </w:tc>
        <w:tc>
          <w:tcPr>
            <w:tcW w:w="1531"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10 (50.0%)</w:t>
            </w:r>
          </w:p>
        </w:tc>
        <w:tc>
          <w:tcPr>
            <w:tcW w:w="1620"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5 (100%)</w:t>
            </w:r>
          </w:p>
        </w:tc>
        <w:tc>
          <w:tcPr>
            <w:tcW w:w="1350"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30 (47.62%)</w:t>
            </w:r>
          </w:p>
        </w:tc>
        <w:tc>
          <w:tcPr>
            <w:tcW w:w="1350"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49 (66.22%)</w:t>
            </w:r>
          </w:p>
        </w:tc>
      </w:tr>
      <w:tr w:rsidR="00CD702B" w:rsidRPr="007B3DBB" w:rsidTr="00091489">
        <w:trPr>
          <w:trHeight w:val="306"/>
        </w:trPr>
        <w:tc>
          <w:tcPr>
            <w:tcW w:w="2606" w:type="dxa"/>
            <w:vAlign w:val="center"/>
          </w:tcPr>
          <w:p w:rsidR="00CD702B" w:rsidRPr="00FB05CB" w:rsidRDefault="00CD702B" w:rsidP="00091489">
            <w:pPr>
              <w:rPr>
                <w:rFonts w:asciiTheme="minorHAnsi" w:hAnsiTheme="minorHAnsi" w:cstheme="minorHAnsi"/>
                <w:i/>
                <w:iCs/>
                <w:color w:val="000000"/>
                <w:sz w:val="20"/>
                <w:szCs w:val="20"/>
              </w:rPr>
            </w:pPr>
            <w:r w:rsidRPr="00FB05CB">
              <w:rPr>
                <w:rFonts w:asciiTheme="minorHAnsi" w:hAnsiTheme="minorHAnsi" w:cstheme="minorHAnsi"/>
                <w:i/>
                <w:iCs/>
                <w:color w:val="000000"/>
                <w:sz w:val="20"/>
                <w:szCs w:val="20"/>
              </w:rPr>
              <w:t xml:space="preserve">M. </w:t>
            </w:r>
            <w:proofErr w:type="spellStart"/>
            <w:r w:rsidRPr="00FB05CB">
              <w:rPr>
                <w:rFonts w:asciiTheme="minorHAnsi" w:hAnsiTheme="minorHAnsi" w:cstheme="minorHAnsi"/>
                <w:i/>
                <w:iCs/>
                <w:color w:val="000000"/>
                <w:sz w:val="20"/>
                <w:szCs w:val="20"/>
              </w:rPr>
              <w:t>Chelonae</w:t>
            </w:r>
            <w:proofErr w:type="spellEnd"/>
          </w:p>
        </w:tc>
        <w:tc>
          <w:tcPr>
            <w:tcW w:w="1353"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11 (28.95%)</w:t>
            </w:r>
          </w:p>
        </w:tc>
        <w:tc>
          <w:tcPr>
            <w:tcW w:w="1531"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0</w:t>
            </w:r>
          </w:p>
        </w:tc>
        <w:tc>
          <w:tcPr>
            <w:tcW w:w="1620"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0</w:t>
            </w:r>
          </w:p>
        </w:tc>
        <w:tc>
          <w:tcPr>
            <w:tcW w:w="1350"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8 (12.70%)</w:t>
            </w:r>
          </w:p>
        </w:tc>
        <w:tc>
          <w:tcPr>
            <w:tcW w:w="1350"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7 (9.46%)</w:t>
            </w:r>
          </w:p>
        </w:tc>
      </w:tr>
      <w:tr w:rsidR="00CD702B" w:rsidRPr="007B3DBB" w:rsidTr="00091489">
        <w:trPr>
          <w:trHeight w:val="342"/>
        </w:trPr>
        <w:tc>
          <w:tcPr>
            <w:tcW w:w="2606" w:type="dxa"/>
            <w:vAlign w:val="center"/>
          </w:tcPr>
          <w:p w:rsidR="00CD702B" w:rsidRPr="00FB05CB" w:rsidRDefault="00CD702B" w:rsidP="00091489">
            <w:pPr>
              <w:rPr>
                <w:rFonts w:asciiTheme="minorHAnsi" w:hAnsiTheme="minorHAnsi" w:cstheme="minorHAnsi"/>
                <w:i/>
                <w:iCs/>
                <w:color w:val="000000"/>
                <w:sz w:val="20"/>
                <w:szCs w:val="20"/>
              </w:rPr>
            </w:pPr>
            <w:r w:rsidRPr="00FB05CB">
              <w:rPr>
                <w:rFonts w:asciiTheme="minorHAnsi" w:hAnsiTheme="minorHAnsi" w:cstheme="minorHAnsi"/>
                <w:i/>
                <w:iCs/>
                <w:color w:val="000000"/>
                <w:sz w:val="20"/>
                <w:szCs w:val="20"/>
              </w:rPr>
              <w:t xml:space="preserve">M. </w:t>
            </w:r>
            <w:proofErr w:type="spellStart"/>
            <w:r w:rsidRPr="00FB05CB">
              <w:rPr>
                <w:rFonts w:asciiTheme="minorHAnsi" w:hAnsiTheme="minorHAnsi" w:cstheme="minorHAnsi"/>
                <w:i/>
                <w:iCs/>
                <w:color w:val="000000"/>
                <w:sz w:val="20"/>
                <w:szCs w:val="20"/>
              </w:rPr>
              <w:t>Chelonae</w:t>
            </w:r>
            <w:proofErr w:type="spellEnd"/>
            <w:r w:rsidRPr="00FB05CB">
              <w:rPr>
                <w:rFonts w:asciiTheme="minorHAnsi" w:hAnsiTheme="minorHAnsi" w:cstheme="minorHAnsi"/>
                <w:i/>
                <w:iCs/>
                <w:color w:val="000000"/>
                <w:sz w:val="20"/>
                <w:szCs w:val="20"/>
              </w:rPr>
              <w:t>/</w:t>
            </w:r>
            <w:proofErr w:type="spellStart"/>
            <w:r w:rsidRPr="00FB05CB">
              <w:rPr>
                <w:rFonts w:asciiTheme="minorHAnsi" w:hAnsiTheme="minorHAnsi" w:cstheme="minorHAnsi"/>
                <w:i/>
                <w:iCs/>
                <w:color w:val="000000"/>
                <w:sz w:val="20"/>
                <w:szCs w:val="20"/>
              </w:rPr>
              <w:t>Abscessus</w:t>
            </w:r>
            <w:proofErr w:type="spellEnd"/>
            <w:r w:rsidRPr="00FB05CB">
              <w:rPr>
                <w:rFonts w:asciiTheme="minorHAnsi" w:hAnsiTheme="minorHAnsi" w:cstheme="minorHAnsi"/>
                <w:i/>
                <w:iCs/>
                <w:color w:val="000000"/>
                <w:sz w:val="20"/>
                <w:szCs w:val="20"/>
              </w:rPr>
              <w:t xml:space="preserve">       Complex </w:t>
            </w:r>
            <w:r w:rsidRPr="00FB05CB">
              <w:rPr>
                <w:rFonts w:asciiTheme="minorHAnsi" w:hAnsiTheme="minorHAnsi" w:cstheme="minorHAnsi"/>
                <w:i/>
                <w:iCs/>
                <w:color w:val="000000"/>
                <w:sz w:val="20"/>
                <w:szCs w:val="20"/>
                <w:vertAlign w:val="superscript"/>
              </w:rPr>
              <w:t>g</w:t>
            </w:r>
          </w:p>
        </w:tc>
        <w:tc>
          <w:tcPr>
            <w:tcW w:w="1353"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0</w:t>
            </w:r>
          </w:p>
        </w:tc>
        <w:tc>
          <w:tcPr>
            <w:tcW w:w="1531"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1 (5.0%)</w:t>
            </w:r>
          </w:p>
        </w:tc>
        <w:tc>
          <w:tcPr>
            <w:tcW w:w="1620"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0</w:t>
            </w:r>
          </w:p>
        </w:tc>
        <w:tc>
          <w:tcPr>
            <w:tcW w:w="1350"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0</w:t>
            </w:r>
          </w:p>
        </w:tc>
        <w:tc>
          <w:tcPr>
            <w:tcW w:w="1350"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0</w:t>
            </w:r>
          </w:p>
        </w:tc>
      </w:tr>
      <w:tr w:rsidR="00CD702B" w:rsidRPr="007B3DBB" w:rsidTr="00091489">
        <w:trPr>
          <w:trHeight w:val="432"/>
        </w:trPr>
        <w:tc>
          <w:tcPr>
            <w:tcW w:w="2606" w:type="dxa"/>
            <w:vAlign w:val="center"/>
            <w:hideMark/>
          </w:tcPr>
          <w:p w:rsidR="00CD702B" w:rsidRPr="00FB05CB" w:rsidRDefault="00CD702B" w:rsidP="00091489">
            <w:pPr>
              <w:rPr>
                <w:rFonts w:asciiTheme="minorHAnsi" w:hAnsiTheme="minorHAnsi" w:cstheme="minorHAnsi"/>
                <w:i/>
                <w:iCs/>
                <w:color w:val="000000"/>
                <w:sz w:val="20"/>
                <w:szCs w:val="20"/>
                <w:vertAlign w:val="superscript"/>
              </w:rPr>
            </w:pPr>
            <w:r w:rsidRPr="00FB05CB">
              <w:rPr>
                <w:rFonts w:asciiTheme="minorHAnsi" w:hAnsiTheme="minorHAnsi" w:cstheme="minorHAnsi"/>
                <w:i/>
                <w:iCs/>
                <w:color w:val="000000"/>
                <w:sz w:val="20"/>
                <w:szCs w:val="20"/>
              </w:rPr>
              <w:t xml:space="preserve">M. </w:t>
            </w:r>
            <w:proofErr w:type="spellStart"/>
            <w:r w:rsidRPr="00FB05CB">
              <w:rPr>
                <w:rFonts w:asciiTheme="minorHAnsi" w:hAnsiTheme="minorHAnsi" w:cstheme="minorHAnsi"/>
                <w:i/>
                <w:iCs/>
                <w:color w:val="000000"/>
                <w:sz w:val="20"/>
                <w:szCs w:val="20"/>
              </w:rPr>
              <w:t>Fortuitum</w:t>
            </w:r>
            <w:proofErr w:type="spellEnd"/>
          </w:p>
        </w:tc>
        <w:tc>
          <w:tcPr>
            <w:tcW w:w="1353"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3 (7.89%)</w:t>
            </w:r>
          </w:p>
        </w:tc>
        <w:tc>
          <w:tcPr>
            <w:tcW w:w="1531"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3 (15.0%)</w:t>
            </w:r>
          </w:p>
        </w:tc>
        <w:tc>
          <w:tcPr>
            <w:tcW w:w="1620"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0</w:t>
            </w:r>
          </w:p>
        </w:tc>
        <w:tc>
          <w:tcPr>
            <w:tcW w:w="1350"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6 (9.52%)</w:t>
            </w:r>
          </w:p>
        </w:tc>
        <w:tc>
          <w:tcPr>
            <w:tcW w:w="1350" w:type="dxa"/>
            <w:vAlign w:val="center"/>
          </w:tcPr>
          <w:p w:rsidR="00CD702B" w:rsidRPr="00FB05CB" w:rsidRDefault="00CD702B" w:rsidP="00091489">
            <w:pPr>
              <w:jc w:val="center"/>
              <w:rPr>
                <w:rFonts w:asciiTheme="minorHAnsi" w:hAnsiTheme="minorHAnsi" w:cstheme="minorHAnsi"/>
                <w:iCs/>
                <w:color w:val="000000"/>
                <w:sz w:val="20"/>
                <w:szCs w:val="20"/>
              </w:rPr>
            </w:pPr>
            <w:r w:rsidRPr="00FB05CB">
              <w:rPr>
                <w:rFonts w:asciiTheme="minorHAnsi" w:hAnsiTheme="minorHAnsi" w:cstheme="minorHAnsi"/>
                <w:iCs/>
                <w:color w:val="000000"/>
                <w:sz w:val="20"/>
                <w:szCs w:val="20"/>
              </w:rPr>
              <w:t>2 (2.70%)</w:t>
            </w:r>
          </w:p>
        </w:tc>
      </w:tr>
      <w:tr w:rsidR="00CD702B" w:rsidRPr="007B3DBB" w:rsidTr="00091489">
        <w:trPr>
          <w:trHeight w:val="339"/>
        </w:trPr>
        <w:tc>
          <w:tcPr>
            <w:tcW w:w="2606" w:type="dxa"/>
            <w:vAlign w:val="center"/>
            <w:hideMark/>
          </w:tcPr>
          <w:p w:rsidR="00CD702B" w:rsidRPr="00FB05CB" w:rsidRDefault="00CD702B" w:rsidP="00091489">
            <w:pPr>
              <w:rPr>
                <w:rFonts w:asciiTheme="minorHAnsi" w:hAnsiTheme="minorHAnsi" w:cstheme="minorHAnsi"/>
                <w:i/>
                <w:iCs/>
                <w:sz w:val="20"/>
                <w:szCs w:val="20"/>
              </w:rPr>
            </w:pPr>
            <w:r w:rsidRPr="00FB05CB">
              <w:rPr>
                <w:rFonts w:asciiTheme="minorHAnsi" w:hAnsiTheme="minorHAnsi" w:cstheme="minorHAnsi"/>
                <w:i/>
                <w:iCs/>
                <w:sz w:val="20"/>
                <w:szCs w:val="20"/>
              </w:rPr>
              <w:t xml:space="preserve">M. </w:t>
            </w:r>
            <w:proofErr w:type="spellStart"/>
            <w:r w:rsidRPr="00FB05CB">
              <w:rPr>
                <w:rFonts w:asciiTheme="minorHAnsi" w:hAnsiTheme="minorHAnsi" w:cstheme="minorHAnsi"/>
                <w:i/>
                <w:iCs/>
                <w:sz w:val="20"/>
                <w:szCs w:val="20"/>
              </w:rPr>
              <w:t>Goodii</w:t>
            </w:r>
            <w:proofErr w:type="spellEnd"/>
          </w:p>
        </w:tc>
        <w:tc>
          <w:tcPr>
            <w:tcW w:w="1353"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531"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62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1 (1.35%)</w:t>
            </w:r>
          </w:p>
        </w:tc>
      </w:tr>
      <w:tr w:rsidR="00CD702B" w:rsidRPr="007B3DBB" w:rsidTr="00091489">
        <w:trPr>
          <w:trHeight w:val="339"/>
        </w:trPr>
        <w:tc>
          <w:tcPr>
            <w:tcW w:w="2606" w:type="dxa"/>
            <w:vAlign w:val="center"/>
          </w:tcPr>
          <w:p w:rsidR="00CD702B" w:rsidRPr="00FB05CB" w:rsidRDefault="00CD702B" w:rsidP="00091489">
            <w:pPr>
              <w:rPr>
                <w:rFonts w:asciiTheme="minorHAnsi" w:hAnsiTheme="minorHAnsi" w:cstheme="minorHAnsi"/>
                <w:i/>
                <w:iCs/>
                <w:sz w:val="20"/>
                <w:szCs w:val="20"/>
              </w:rPr>
            </w:pPr>
            <w:r w:rsidRPr="00FB05CB">
              <w:rPr>
                <w:rFonts w:asciiTheme="minorHAnsi" w:hAnsiTheme="minorHAnsi" w:cstheme="minorHAnsi"/>
                <w:i/>
                <w:iCs/>
                <w:sz w:val="20"/>
                <w:szCs w:val="20"/>
              </w:rPr>
              <w:t xml:space="preserve">M. </w:t>
            </w:r>
            <w:proofErr w:type="spellStart"/>
            <w:r w:rsidRPr="00FB05CB">
              <w:rPr>
                <w:rFonts w:asciiTheme="minorHAnsi" w:hAnsiTheme="minorHAnsi" w:cstheme="minorHAnsi"/>
                <w:i/>
                <w:iCs/>
                <w:sz w:val="20"/>
                <w:szCs w:val="20"/>
              </w:rPr>
              <w:t>Gordonae</w:t>
            </w:r>
            <w:proofErr w:type="spellEnd"/>
          </w:p>
        </w:tc>
        <w:tc>
          <w:tcPr>
            <w:tcW w:w="1353"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2 (5.26%)</w:t>
            </w:r>
          </w:p>
        </w:tc>
        <w:tc>
          <w:tcPr>
            <w:tcW w:w="1531"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62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5 (7.94%)</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6 (8.11%)</w:t>
            </w:r>
          </w:p>
        </w:tc>
      </w:tr>
      <w:tr w:rsidR="00CD702B" w:rsidRPr="007B3DBB" w:rsidTr="00091489">
        <w:trPr>
          <w:trHeight w:val="339"/>
        </w:trPr>
        <w:tc>
          <w:tcPr>
            <w:tcW w:w="2606" w:type="dxa"/>
            <w:vAlign w:val="center"/>
          </w:tcPr>
          <w:p w:rsidR="00CD702B" w:rsidRPr="00FB05CB" w:rsidRDefault="00CD702B" w:rsidP="00091489">
            <w:pPr>
              <w:rPr>
                <w:rFonts w:asciiTheme="minorHAnsi" w:hAnsiTheme="minorHAnsi" w:cstheme="minorHAnsi"/>
                <w:i/>
                <w:iCs/>
                <w:sz w:val="20"/>
                <w:szCs w:val="20"/>
              </w:rPr>
            </w:pPr>
            <w:r w:rsidRPr="00FB05CB">
              <w:rPr>
                <w:rFonts w:asciiTheme="minorHAnsi" w:hAnsiTheme="minorHAnsi" w:cstheme="minorHAnsi"/>
                <w:i/>
                <w:iCs/>
                <w:sz w:val="20"/>
                <w:szCs w:val="20"/>
              </w:rPr>
              <w:t xml:space="preserve">M. </w:t>
            </w:r>
            <w:proofErr w:type="spellStart"/>
            <w:r w:rsidRPr="00FB05CB">
              <w:rPr>
                <w:rFonts w:asciiTheme="minorHAnsi" w:hAnsiTheme="minorHAnsi" w:cstheme="minorHAnsi"/>
                <w:i/>
                <w:iCs/>
                <w:sz w:val="20"/>
                <w:szCs w:val="20"/>
              </w:rPr>
              <w:t>Mageritense</w:t>
            </w:r>
            <w:proofErr w:type="spellEnd"/>
          </w:p>
        </w:tc>
        <w:tc>
          <w:tcPr>
            <w:tcW w:w="1353"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1 (2.63%)</w:t>
            </w:r>
          </w:p>
        </w:tc>
        <w:tc>
          <w:tcPr>
            <w:tcW w:w="1531"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62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r>
      <w:tr w:rsidR="00CD702B" w:rsidRPr="007B3DBB" w:rsidTr="00091489">
        <w:trPr>
          <w:trHeight w:val="339"/>
        </w:trPr>
        <w:tc>
          <w:tcPr>
            <w:tcW w:w="2606" w:type="dxa"/>
            <w:vAlign w:val="center"/>
          </w:tcPr>
          <w:p w:rsidR="00CD702B" w:rsidRPr="00FB05CB" w:rsidRDefault="00CD702B" w:rsidP="00091489">
            <w:pPr>
              <w:rPr>
                <w:rFonts w:asciiTheme="minorHAnsi" w:hAnsiTheme="minorHAnsi" w:cstheme="minorHAnsi"/>
                <w:i/>
                <w:iCs/>
                <w:sz w:val="20"/>
                <w:szCs w:val="20"/>
              </w:rPr>
            </w:pPr>
            <w:r w:rsidRPr="00FB05CB">
              <w:rPr>
                <w:rFonts w:asciiTheme="minorHAnsi" w:hAnsiTheme="minorHAnsi" w:cstheme="minorHAnsi"/>
                <w:i/>
                <w:iCs/>
                <w:sz w:val="20"/>
                <w:szCs w:val="20"/>
              </w:rPr>
              <w:t xml:space="preserve">M. </w:t>
            </w:r>
            <w:proofErr w:type="spellStart"/>
            <w:r w:rsidRPr="00FB05CB">
              <w:rPr>
                <w:rFonts w:asciiTheme="minorHAnsi" w:hAnsiTheme="minorHAnsi" w:cstheme="minorHAnsi"/>
                <w:i/>
                <w:iCs/>
                <w:sz w:val="20"/>
                <w:szCs w:val="20"/>
              </w:rPr>
              <w:t>Massiliense</w:t>
            </w:r>
            <w:proofErr w:type="spellEnd"/>
          </w:p>
        </w:tc>
        <w:tc>
          <w:tcPr>
            <w:tcW w:w="1353"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531"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62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1 (1.35%)</w:t>
            </w:r>
          </w:p>
        </w:tc>
      </w:tr>
      <w:tr w:rsidR="00CD702B" w:rsidRPr="007B3DBB" w:rsidTr="00091489">
        <w:trPr>
          <w:trHeight w:val="339"/>
        </w:trPr>
        <w:tc>
          <w:tcPr>
            <w:tcW w:w="2606" w:type="dxa"/>
            <w:vAlign w:val="center"/>
          </w:tcPr>
          <w:p w:rsidR="00CD702B" w:rsidRPr="00FB05CB" w:rsidRDefault="00CD702B" w:rsidP="00091489">
            <w:pPr>
              <w:rPr>
                <w:rFonts w:asciiTheme="minorHAnsi" w:hAnsiTheme="minorHAnsi" w:cstheme="minorHAnsi"/>
                <w:i/>
                <w:iCs/>
                <w:sz w:val="20"/>
                <w:szCs w:val="20"/>
              </w:rPr>
            </w:pPr>
            <w:r w:rsidRPr="00FB05CB">
              <w:rPr>
                <w:rFonts w:asciiTheme="minorHAnsi" w:hAnsiTheme="minorHAnsi" w:cstheme="minorHAnsi"/>
                <w:i/>
                <w:iCs/>
                <w:sz w:val="20"/>
                <w:szCs w:val="20"/>
              </w:rPr>
              <w:t xml:space="preserve">M. </w:t>
            </w:r>
            <w:proofErr w:type="spellStart"/>
            <w:r w:rsidRPr="00FB05CB">
              <w:rPr>
                <w:rFonts w:asciiTheme="minorHAnsi" w:hAnsiTheme="minorHAnsi" w:cstheme="minorHAnsi"/>
                <w:i/>
                <w:iCs/>
                <w:sz w:val="20"/>
                <w:szCs w:val="20"/>
              </w:rPr>
              <w:t>Marinum</w:t>
            </w:r>
            <w:proofErr w:type="spellEnd"/>
          </w:p>
        </w:tc>
        <w:tc>
          <w:tcPr>
            <w:tcW w:w="1353"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531"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62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3 (4.76%)</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1 (1.35%)</w:t>
            </w:r>
          </w:p>
        </w:tc>
      </w:tr>
      <w:tr w:rsidR="00CD702B" w:rsidRPr="007B3DBB" w:rsidTr="00091489">
        <w:trPr>
          <w:trHeight w:val="360"/>
        </w:trPr>
        <w:tc>
          <w:tcPr>
            <w:tcW w:w="2606" w:type="dxa"/>
            <w:vAlign w:val="center"/>
          </w:tcPr>
          <w:p w:rsidR="00CD702B" w:rsidRPr="00FB05CB" w:rsidRDefault="00CD702B" w:rsidP="00091489">
            <w:pPr>
              <w:rPr>
                <w:rFonts w:asciiTheme="minorHAnsi" w:hAnsiTheme="minorHAnsi" w:cstheme="minorHAnsi"/>
                <w:i/>
                <w:iCs/>
                <w:sz w:val="20"/>
                <w:szCs w:val="20"/>
                <w:vertAlign w:val="superscript"/>
              </w:rPr>
            </w:pPr>
            <w:r w:rsidRPr="00FB05CB">
              <w:rPr>
                <w:rFonts w:asciiTheme="minorHAnsi" w:hAnsiTheme="minorHAnsi" w:cstheme="minorHAnsi"/>
                <w:i/>
                <w:iCs/>
                <w:sz w:val="20"/>
                <w:szCs w:val="20"/>
              </w:rPr>
              <w:t xml:space="preserve">M. </w:t>
            </w:r>
            <w:proofErr w:type="spellStart"/>
            <w:r w:rsidRPr="00FB05CB">
              <w:rPr>
                <w:rFonts w:asciiTheme="minorHAnsi" w:hAnsiTheme="minorHAnsi" w:cstheme="minorHAnsi"/>
                <w:i/>
                <w:iCs/>
                <w:sz w:val="20"/>
                <w:szCs w:val="20"/>
              </w:rPr>
              <w:t>Monacense</w:t>
            </w:r>
            <w:proofErr w:type="spellEnd"/>
          </w:p>
        </w:tc>
        <w:tc>
          <w:tcPr>
            <w:tcW w:w="1353"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531"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62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1 (1.59%)</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r>
      <w:tr w:rsidR="00CD702B" w:rsidRPr="007B3DBB" w:rsidTr="00091489">
        <w:trPr>
          <w:trHeight w:val="332"/>
        </w:trPr>
        <w:tc>
          <w:tcPr>
            <w:tcW w:w="2606" w:type="dxa"/>
            <w:vAlign w:val="center"/>
          </w:tcPr>
          <w:p w:rsidR="00CD702B" w:rsidRPr="00FB05CB" w:rsidRDefault="00CD702B" w:rsidP="00091489">
            <w:pPr>
              <w:rPr>
                <w:rFonts w:asciiTheme="minorHAnsi" w:hAnsiTheme="minorHAnsi" w:cstheme="minorHAnsi"/>
                <w:i/>
                <w:iCs/>
                <w:sz w:val="20"/>
                <w:szCs w:val="20"/>
              </w:rPr>
            </w:pPr>
            <w:r w:rsidRPr="00FB05CB">
              <w:rPr>
                <w:rFonts w:asciiTheme="minorHAnsi" w:hAnsiTheme="minorHAnsi" w:cstheme="minorHAnsi"/>
                <w:i/>
                <w:iCs/>
                <w:sz w:val="20"/>
                <w:szCs w:val="20"/>
              </w:rPr>
              <w:t xml:space="preserve">M. </w:t>
            </w:r>
            <w:proofErr w:type="spellStart"/>
            <w:r w:rsidRPr="00FB05CB">
              <w:rPr>
                <w:rFonts w:asciiTheme="minorHAnsi" w:hAnsiTheme="minorHAnsi" w:cstheme="minorHAnsi"/>
                <w:i/>
                <w:iCs/>
                <w:sz w:val="20"/>
                <w:szCs w:val="20"/>
              </w:rPr>
              <w:t>Mucogenicum</w:t>
            </w:r>
            <w:proofErr w:type="spellEnd"/>
          </w:p>
        </w:tc>
        <w:tc>
          <w:tcPr>
            <w:tcW w:w="1353"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1 (2.63%)</w:t>
            </w:r>
          </w:p>
        </w:tc>
        <w:tc>
          <w:tcPr>
            <w:tcW w:w="1531"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3 (15.0%)</w:t>
            </w:r>
          </w:p>
        </w:tc>
        <w:tc>
          <w:tcPr>
            <w:tcW w:w="162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5 (7.94%)</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2 (2.70%)</w:t>
            </w:r>
          </w:p>
        </w:tc>
      </w:tr>
      <w:tr w:rsidR="00CD702B" w:rsidRPr="007B3DBB" w:rsidTr="00091489">
        <w:trPr>
          <w:trHeight w:val="332"/>
        </w:trPr>
        <w:tc>
          <w:tcPr>
            <w:tcW w:w="2606" w:type="dxa"/>
            <w:vAlign w:val="center"/>
          </w:tcPr>
          <w:p w:rsidR="00CD702B" w:rsidRPr="00FB05CB" w:rsidRDefault="00CD702B" w:rsidP="00091489">
            <w:pPr>
              <w:rPr>
                <w:rFonts w:asciiTheme="minorHAnsi" w:hAnsiTheme="minorHAnsi" w:cstheme="minorHAnsi"/>
                <w:i/>
                <w:iCs/>
                <w:sz w:val="20"/>
                <w:szCs w:val="20"/>
              </w:rPr>
            </w:pPr>
            <w:r w:rsidRPr="00FB05CB">
              <w:rPr>
                <w:rFonts w:asciiTheme="minorHAnsi" w:hAnsiTheme="minorHAnsi" w:cstheme="minorHAnsi"/>
                <w:i/>
                <w:iCs/>
                <w:sz w:val="20"/>
                <w:szCs w:val="20"/>
              </w:rPr>
              <w:t xml:space="preserve">M. </w:t>
            </w:r>
            <w:proofErr w:type="spellStart"/>
            <w:r w:rsidRPr="00FB05CB">
              <w:rPr>
                <w:rFonts w:asciiTheme="minorHAnsi" w:hAnsiTheme="minorHAnsi" w:cstheme="minorHAnsi"/>
                <w:i/>
                <w:iCs/>
                <w:sz w:val="20"/>
                <w:szCs w:val="20"/>
              </w:rPr>
              <w:t>Neoaurum</w:t>
            </w:r>
            <w:proofErr w:type="spellEnd"/>
          </w:p>
        </w:tc>
        <w:tc>
          <w:tcPr>
            <w:tcW w:w="1353"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531"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1 (5.0%)</w:t>
            </w:r>
          </w:p>
        </w:tc>
        <w:tc>
          <w:tcPr>
            <w:tcW w:w="162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r>
      <w:tr w:rsidR="00CD702B" w:rsidRPr="007B3DBB" w:rsidTr="00091489">
        <w:trPr>
          <w:trHeight w:val="459"/>
        </w:trPr>
        <w:tc>
          <w:tcPr>
            <w:tcW w:w="2606" w:type="dxa"/>
            <w:tcBorders>
              <w:bottom w:val="single" w:sz="4" w:space="0" w:color="auto"/>
            </w:tcBorders>
            <w:vAlign w:val="center"/>
          </w:tcPr>
          <w:p w:rsidR="00CD702B" w:rsidRPr="00FB05CB" w:rsidRDefault="00CD702B" w:rsidP="00091489">
            <w:pPr>
              <w:rPr>
                <w:rFonts w:asciiTheme="minorHAnsi" w:hAnsiTheme="minorHAnsi" w:cstheme="minorHAnsi"/>
                <w:i/>
                <w:iCs/>
                <w:sz w:val="20"/>
                <w:szCs w:val="20"/>
              </w:rPr>
            </w:pPr>
            <w:r w:rsidRPr="00FB05CB">
              <w:rPr>
                <w:rFonts w:asciiTheme="minorHAnsi" w:hAnsiTheme="minorHAnsi" w:cstheme="minorHAnsi"/>
                <w:i/>
                <w:iCs/>
                <w:sz w:val="20"/>
                <w:szCs w:val="20"/>
              </w:rPr>
              <w:t>M. Smegmatis</w:t>
            </w:r>
          </w:p>
        </w:tc>
        <w:tc>
          <w:tcPr>
            <w:tcW w:w="1353" w:type="dxa"/>
            <w:tcBorders>
              <w:bottom w:val="single" w:sz="4" w:space="0" w:color="auto"/>
            </w:tcBorders>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531" w:type="dxa"/>
            <w:tcBorders>
              <w:bottom w:val="single" w:sz="4" w:space="0" w:color="auto"/>
            </w:tcBorders>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620" w:type="dxa"/>
            <w:tcBorders>
              <w:bottom w:val="single" w:sz="4" w:space="0" w:color="auto"/>
            </w:tcBorders>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c>
          <w:tcPr>
            <w:tcW w:w="1350" w:type="dxa"/>
            <w:tcBorders>
              <w:bottom w:val="single" w:sz="4" w:space="0" w:color="auto"/>
            </w:tcBorders>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1 (1.59%)</w:t>
            </w:r>
          </w:p>
        </w:tc>
        <w:tc>
          <w:tcPr>
            <w:tcW w:w="1350" w:type="dxa"/>
            <w:tcBorders>
              <w:bottom w:val="single" w:sz="4" w:space="0" w:color="auto"/>
            </w:tcBorders>
            <w:vAlign w:val="center"/>
          </w:tcPr>
          <w:p w:rsidR="00CD702B" w:rsidRPr="00FB05CB" w:rsidRDefault="00CD702B" w:rsidP="00091489">
            <w:pPr>
              <w:jc w:val="center"/>
              <w:rPr>
                <w:rFonts w:asciiTheme="minorHAnsi" w:hAnsiTheme="minorHAnsi" w:cstheme="minorHAnsi"/>
                <w:iCs/>
                <w:sz w:val="20"/>
                <w:szCs w:val="20"/>
              </w:rPr>
            </w:pPr>
            <w:r w:rsidRPr="00FB05CB">
              <w:rPr>
                <w:rFonts w:asciiTheme="minorHAnsi" w:hAnsiTheme="minorHAnsi" w:cstheme="minorHAnsi"/>
                <w:iCs/>
                <w:sz w:val="20"/>
                <w:szCs w:val="20"/>
              </w:rPr>
              <w:t>0</w:t>
            </w:r>
          </w:p>
        </w:tc>
      </w:tr>
    </w:tbl>
    <w:p w:rsidR="00CD702B" w:rsidRDefault="00CD702B" w:rsidP="00CD702B">
      <w:pPr>
        <w:rPr>
          <w:sz w:val="16"/>
          <w:szCs w:val="16"/>
        </w:rPr>
      </w:pPr>
      <w:proofErr w:type="gramStart"/>
      <w:r w:rsidRPr="00F12667">
        <w:rPr>
          <w:sz w:val="16"/>
          <w:szCs w:val="16"/>
        </w:rPr>
        <w:t xml:space="preserve">a </w:t>
      </w:r>
      <w:r>
        <w:rPr>
          <w:sz w:val="16"/>
          <w:szCs w:val="16"/>
        </w:rPr>
        <w:t>7 observations</w:t>
      </w:r>
      <w:proofErr w:type="gramEnd"/>
      <w:r>
        <w:rPr>
          <w:sz w:val="16"/>
          <w:szCs w:val="16"/>
        </w:rPr>
        <w:t xml:space="preserve"> with missing species data were excluded</w:t>
      </w:r>
    </w:p>
    <w:p w:rsidR="00CD702B" w:rsidRDefault="00CD702B" w:rsidP="00CD702B">
      <w:pPr>
        <w:rPr>
          <w:sz w:val="16"/>
          <w:szCs w:val="16"/>
        </w:rPr>
      </w:pPr>
      <w:r>
        <w:rPr>
          <w:sz w:val="16"/>
          <w:szCs w:val="16"/>
        </w:rPr>
        <w:t>b 2 species identified as Group IV Rapid Grower were excluded</w:t>
      </w:r>
    </w:p>
    <w:p w:rsidR="00CD702B" w:rsidRDefault="00CD702B" w:rsidP="00CD702B">
      <w:pPr>
        <w:rPr>
          <w:sz w:val="16"/>
          <w:szCs w:val="16"/>
        </w:rPr>
      </w:pPr>
      <w:r>
        <w:rPr>
          <w:sz w:val="16"/>
          <w:szCs w:val="16"/>
        </w:rPr>
        <w:t>c Blood, cerebrospinal fluid, &amp; heart included in ‘Disseminated’</w:t>
      </w:r>
    </w:p>
    <w:p w:rsidR="00CD702B" w:rsidRDefault="00CD702B" w:rsidP="00CD702B">
      <w:pPr>
        <w:rPr>
          <w:sz w:val="16"/>
          <w:szCs w:val="16"/>
        </w:rPr>
      </w:pPr>
      <w:r>
        <w:rPr>
          <w:sz w:val="16"/>
          <w:szCs w:val="16"/>
        </w:rPr>
        <w:t>d Lymph node included in ‘Lymphadenitis’</w:t>
      </w:r>
    </w:p>
    <w:p w:rsidR="00CD702B" w:rsidRDefault="00CD702B" w:rsidP="00CD702B">
      <w:pPr>
        <w:rPr>
          <w:sz w:val="16"/>
          <w:szCs w:val="16"/>
        </w:rPr>
      </w:pPr>
      <w:proofErr w:type="spellStart"/>
      <w:r>
        <w:rPr>
          <w:sz w:val="16"/>
          <w:szCs w:val="16"/>
        </w:rPr>
        <w:t>e</w:t>
      </w:r>
      <w:proofErr w:type="spellEnd"/>
      <w:r>
        <w:rPr>
          <w:sz w:val="16"/>
          <w:szCs w:val="16"/>
        </w:rPr>
        <w:t xml:space="preserve"> Wound, mass, abscess, &amp; lesion included in ‘Skin/Soft Tissue’</w:t>
      </w:r>
    </w:p>
    <w:p w:rsidR="00CD702B" w:rsidRDefault="00CD702B" w:rsidP="00CD702B">
      <w:pPr>
        <w:rPr>
          <w:sz w:val="16"/>
          <w:szCs w:val="16"/>
        </w:rPr>
      </w:pPr>
      <w:r>
        <w:rPr>
          <w:sz w:val="16"/>
          <w:szCs w:val="16"/>
        </w:rPr>
        <w:t>f Urine, stool, p</w:t>
      </w:r>
      <w:r w:rsidRPr="008201F3">
        <w:rPr>
          <w:sz w:val="16"/>
          <w:szCs w:val="16"/>
        </w:rPr>
        <w:t>eritoneal fluid</w:t>
      </w:r>
      <w:r>
        <w:rPr>
          <w:sz w:val="16"/>
          <w:szCs w:val="16"/>
        </w:rPr>
        <w:t>, neck, ear, eye, body fluid, aspirate, biopsy, gland, swab, &amp; abdominal fluid/abdomen included in ‘Other’</w:t>
      </w:r>
    </w:p>
    <w:p w:rsidR="00433E9B" w:rsidRPr="00121514" w:rsidRDefault="00CD702B" w:rsidP="00433E9B">
      <w:pPr>
        <w:rPr>
          <w:color w:val="000000" w:themeColor="text1"/>
          <w:sz w:val="16"/>
          <w:szCs w:val="16"/>
        </w:rPr>
      </w:pPr>
      <w:r>
        <w:rPr>
          <w:sz w:val="16"/>
          <w:szCs w:val="16"/>
        </w:rPr>
        <w:t xml:space="preserve">g </w:t>
      </w:r>
      <w:r w:rsidR="00433E9B" w:rsidRPr="00121514">
        <w:rPr>
          <w:color w:val="000000" w:themeColor="text1"/>
          <w:sz w:val="16"/>
          <w:szCs w:val="16"/>
        </w:rPr>
        <w:t>Re</w:t>
      </w:r>
      <w:r w:rsidR="00433E9B">
        <w:rPr>
          <w:color w:val="000000" w:themeColor="text1"/>
          <w:sz w:val="16"/>
          <w:szCs w:val="16"/>
        </w:rPr>
        <w:t>sults from a former</w:t>
      </w:r>
      <w:r w:rsidR="00433E9B" w:rsidRPr="00121514">
        <w:rPr>
          <w:color w:val="000000" w:themeColor="text1"/>
          <w:sz w:val="16"/>
          <w:szCs w:val="16"/>
        </w:rPr>
        <w:t xml:space="preserve"> reporting system unable to differentiate between </w:t>
      </w:r>
      <w:r w:rsidR="00433E9B" w:rsidRPr="00121514">
        <w:rPr>
          <w:i/>
          <w:color w:val="000000" w:themeColor="text1"/>
          <w:sz w:val="16"/>
          <w:szCs w:val="16"/>
        </w:rPr>
        <w:t xml:space="preserve">M. </w:t>
      </w:r>
      <w:proofErr w:type="spellStart"/>
      <w:r w:rsidR="00433E9B" w:rsidRPr="00121514">
        <w:rPr>
          <w:i/>
          <w:color w:val="000000" w:themeColor="text1"/>
          <w:sz w:val="16"/>
          <w:szCs w:val="16"/>
        </w:rPr>
        <w:t>Chelonae</w:t>
      </w:r>
      <w:proofErr w:type="spellEnd"/>
      <w:r w:rsidR="00433E9B" w:rsidRPr="00121514">
        <w:rPr>
          <w:color w:val="000000" w:themeColor="text1"/>
          <w:sz w:val="16"/>
          <w:szCs w:val="16"/>
        </w:rPr>
        <w:t xml:space="preserve"> and </w:t>
      </w:r>
      <w:r w:rsidR="00433E9B" w:rsidRPr="00121514">
        <w:rPr>
          <w:i/>
          <w:color w:val="000000" w:themeColor="text1"/>
          <w:sz w:val="16"/>
          <w:szCs w:val="16"/>
        </w:rPr>
        <w:t xml:space="preserve">M. </w:t>
      </w:r>
      <w:proofErr w:type="spellStart"/>
      <w:r w:rsidR="00433E9B" w:rsidRPr="00121514">
        <w:rPr>
          <w:i/>
          <w:color w:val="000000" w:themeColor="text1"/>
          <w:sz w:val="16"/>
          <w:szCs w:val="16"/>
        </w:rPr>
        <w:t>Abscessus</w:t>
      </w:r>
      <w:proofErr w:type="spellEnd"/>
    </w:p>
    <w:p w:rsidR="00F652AD" w:rsidRDefault="00F652AD" w:rsidP="00FB0F11">
      <w:pPr>
        <w:rPr>
          <w:sz w:val="16"/>
          <w:szCs w:val="16"/>
        </w:rPr>
      </w:pPr>
    </w:p>
    <w:p w:rsidR="00EC1E92" w:rsidRDefault="00EC1E92" w:rsidP="00091489">
      <w:pPr>
        <w:pStyle w:val="Heading1"/>
        <w:spacing w:before="0" w:line="480" w:lineRule="auto"/>
        <w:rPr>
          <w:rFonts w:asciiTheme="minorHAnsi" w:hAnsiTheme="minorHAnsi" w:cstheme="minorHAnsi"/>
          <w:b/>
          <w:color w:val="000000" w:themeColor="text1"/>
          <w:sz w:val="24"/>
          <w:szCs w:val="24"/>
          <w:u w:val="single"/>
        </w:rPr>
      </w:pPr>
      <w:r>
        <w:rPr>
          <w:rFonts w:asciiTheme="minorHAnsi" w:hAnsiTheme="minorHAnsi" w:cstheme="minorHAnsi"/>
          <w:b/>
          <w:color w:val="000000" w:themeColor="text1"/>
          <w:sz w:val="24"/>
          <w:szCs w:val="24"/>
          <w:u w:val="single"/>
        </w:rPr>
        <w:lastRenderedPageBreak/>
        <w:t>Discussion</w:t>
      </w:r>
    </w:p>
    <w:p w:rsidR="00EC1E92" w:rsidRDefault="00EC1E92" w:rsidP="00091489">
      <w:pPr>
        <w:pStyle w:val="Heading1"/>
        <w:spacing w:before="0" w:line="480" w:lineRule="auto"/>
        <w:rPr>
          <w:rFonts w:asciiTheme="minorHAnsi" w:hAnsiTheme="minorHAnsi" w:cstheme="minorHAnsi"/>
          <w:b/>
          <w:color w:val="000000" w:themeColor="text1"/>
          <w:sz w:val="24"/>
          <w:szCs w:val="24"/>
          <w:u w:val="single"/>
        </w:rPr>
      </w:pPr>
      <w:r>
        <w:rPr>
          <w:rFonts w:asciiTheme="minorHAnsi" w:hAnsiTheme="minorHAnsi" w:cstheme="minorHAnsi"/>
          <w:b/>
          <w:color w:val="000000" w:themeColor="text1"/>
          <w:sz w:val="24"/>
          <w:szCs w:val="24"/>
          <w:u w:val="single"/>
        </w:rPr>
        <w:t>Removed-lots of concern re reporting</w:t>
      </w:r>
    </w:p>
    <w:p w:rsidR="00EC1E92" w:rsidRDefault="00EC1E92" w:rsidP="00091489">
      <w:pPr>
        <w:pStyle w:val="Heading1"/>
        <w:spacing w:before="0" w:line="480" w:lineRule="auto"/>
        <w:rPr>
          <w:rFonts w:asciiTheme="minorHAnsi" w:hAnsiTheme="minorHAnsi" w:cstheme="minorHAnsi"/>
          <w:b/>
          <w:color w:val="000000" w:themeColor="text1"/>
          <w:sz w:val="24"/>
          <w:szCs w:val="24"/>
          <w:u w:val="single"/>
        </w:rPr>
      </w:pPr>
    </w:p>
    <w:p w:rsidR="00F652AD" w:rsidRPr="00091489" w:rsidRDefault="00F652AD" w:rsidP="00091489">
      <w:pPr>
        <w:pStyle w:val="Heading1"/>
        <w:spacing w:before="0" w:line="480" w:lineRule="auto"/>
        <w:rPr>
          <w:rFonts w:asciiTheme="minorHAnsi" w:hAnsiTheme="minorHAnsi" w:cstheme="minorHAnsi"/>
          <w:b/>
          <w:color w:val="000000" w:themeColor="text1"/>
          <w:sz w:val="24"/>
          <w:szCs w:val="24"/>
          <w:u w:val="single"/>
        </w:rPr>
      </w:pPr>
      <w:r w:rsidRPr="00091489">
        <w:rPr>
          <w:rFonts w:asciiTheme="minorHAnsi" w:hAnsiTheme="minorHAnsi" w:cstheme="minorHAnsi"/>
          <w:b/>
          <w:color w:val="000000" w:themeColor="text1"/>
          <w:sz w:val="24"/>
          <w:szCs w:val="24"/>
          <w:u w:val="single"/>
        </w:rPr>
        <w:t>References</w:t>
      </w:r>
    </w:p>
    <w:p w:rsidR="00F652AD" w:rsidRPr="000332D1" w:rsidRDefault="00F652AD" w:rsidP="00F652AD">
      <w:pPr>
        <w:spacing w:line="480" w:lineRule="auto"/>
        <w:ind w:left="720" w:hanging="720"/>
        <w:rPr>
          <w:color w:val="000000" w:themeColor="text1"/>
          <w:sz w:val="24"/>
          <w:szCs w:val="24"/>
        </w:rPr>
      </w:pPr>
      <w:proofErr w:type="spellStart"/>
      <w:r w:rsidRPr="000332D1">
        <w:rPr>
          <w:color w:val="000000" w:themeColor="text1"/>
          <w:sz w:val="24"/>
          <w:szCs w:val="24"/>
        </w:rPr>
        <w:t>Adjemian</w:t>
      </w:r>
      <w:proofErr w:type="spellEnd"/>
      <w:r w:rsidRPr="000332D1">
        <w:rPr>
          <w:color w:val="000000" w:themeColor="text1"/>
          <w:sz w:val="24"/>
          <w:szCs w:val="24"/>
        </w:rPr>
        <w:t xml:space="preserve">, J., Frankland, T. B., </w:t>
      </w:r>
      <w:proofErr w:type="spellStart"/>
      <w:r w:rsidRPr="000332D1">
        <w:rPr>
          <w:color w:val="000000" w:themeColor="text1"/>
          <w:sz w:val="24"/>
          <w:szCs w:val="24"/>
        </w:rPr>
        <w:t>Daida</w:t>
      </w:r>
      <w:proofErr w:type="spellEnd"/>
      <w:r w:rsidRPr="000332D1">
        <w:rPr>
          <w:color w:val="000000" w:themeColor="text1"/>
          <w:sz w:val="24"/>
          <w:szCs w:val="24"/>
        </w:rPr>
        <w:t xml:space="preserve">, Y. G., Honda, J. R., Olivier, K. N., </w:t>
      </w:r>
      <w:proofErr w:type="spellStart"/>
      <w:r w:rsidRPr="000332D1">
        <w:rPr>
          <w:color w:val="000000" w:themeColor="text1"/>
          <w:sz w:val="24"/>
          <w:szCs w:val="24"/>
        </w:rPr>
        <w:t>Zelazny</w:t>
      </w:r>
      <w:proofErr w:type="spellEnd"/>
      <w:r w:rsidRPr="000332D1">
        <w:rPr>
          <w:color w:val="000000" w:themeColor="text1"/>
          <w:sz w:val="24"/>
          <w:szCs w:val="24"/>
        </w:rPr>
        <w:t xml:space="preserve">, A., … </w:t>
      </w:r>
      <w:proofErr w:type="spellStart"/>
      <w:r w:rsidRPr="000332D1">
        <w:rPr>
          <w:color w:val="000000" w:themeColor="text1"/>
          <w:sz w:val="24"/>
          <w:szCs w:val="24"/>
        </w:rPr>
        <w:t>Prevots</w:t>
      </w:r>
      <w:proofErr w:type="spellEnd"/>
      <w:r w:rsidRPr="000332D1">
        <w:rPr>
          <w:color w:val="000000" w:themeColor="text1"/>
          <w:sz w:val="24"/>
          <w:szCs w:val="24"/>
        </w:rPr>
        <w:t xml:space="preserve">, D. R. (2017). Epidemiology of Nontuberculous Mycobacterial Lung Disease and Tuberculosis, Hawaii, USA. </w:t>
      </w:r>
      <w:r w:rsidRPr="000332D1">
        <w:rPr>
          <w:i/>
          <w:iCs/>
          <w:color w:val="000000" w:themeColor="text1"/>
          <w:sz w:val="24"/>
          <w:szCs w:val="24"/>
        </w:rPr>
        <w:t>Emerging Infectious Diseases</w:t>
      </w:r>
      <w:r w:rsidRPr="000332D1">
        <w:rPr>
          <w:color w:val="000000" w:themeColor="text1"/>
          <w:sz w:val="24"/>
          <w:szCs w:val="24"/>
        </w:rPr>
        <w:t xml:space="preserve">, </w:t>
      </w:r>
      <w:r w:rsidRPr="000332D1">
        <w:rPr>
          <w:i/>
          <w:iCs/>
          <w:color w:val="000000" w:themeColor="text1"/>
          <w:sz w:val="24"/>
          <w:szCs w:val="24"/>
        </w:rPr>
        <w:t>23</w:t>
      </w:r>
      <w:r w:rsidRPr="000332D1">
        <w:rPr>
          <w:color w:val="000000" w:themeColor="text1"/>
          <w:sz w:val="24"/>
          <w:szCs w:val="24"/>
        </w:rPr>
        <w:t xml:space="preserve">(3), 439–447. </w:t>
      </w:r>
      <w:hyperlink r:id="rId16" w:history="1">
        <w:r w:rsidRPr="000332D1">
          <w:rPr>
            <w:rStyle w:val="Hyperlink"/>
            <w:color w:val="000000" w:themeColor="text1"/>
            <w:sz w:val="24"/>
            <w:szCs w:val="24"/>
          </w:rPr>
          <w:t>http://doi.org/10.3201/eid2303.161827</w:t>
        </w:r>
      </w:hyperlink>
    </w:p>
    <w:p w:rsidR="00F652AD" w:rsidRPr="000332D1" w:rsidRDefault="00F652AD" w:rsidP="00F652AD">
      <w:pPr>
        <w:spacing w:line="480" w:lineRule="auto"/>
        <w:ind w:left="720" w:hanging="720"/>
        <w:rPr>
          <w:rFonts w:eastAsia="Times New Roman"/>
          <w:color w:val="000000" w:themeColor="text1"/>
          <w:sz w:val="24"/>
          <w:szCs w:val="24"/>
          <w:shd w:val="clear" w:color="auto" w:fill="FFFFFF"/>
        </w:rPr>
      </w:pPr>
      <w:r w:rsidRPr="000332D1">
        <w:rPr>
          <w:rFonts w:eastAsia="Times New Roman"/>
          <w:color w:val="000000" w:themeColor="text1"/>
          <w:sz w:val="24"/>
          <w:szCs w:val="24"/>
          <w:shd w:val="clear" w:color="auto" w:fill="FFFFFF"/>
        </w:rPr>
        <w:t xml:space="preserve">Baker, A.W., Lewis, S.S., Alexander, B.D., Chen, L.F., Wallace, R.J., Brown-Elliott, B.A., . . . Sexton, D.J. (2017). Two-phase hospital-associated outbreak of mycobacterium </w:t>
      </w:r>
      <w:proofErr w:type="spellStart"/>
      <w:r w:rsidRPr="000332D1">
        <w:rPr>
          <w:rFonts w:eastAsia="Times New Roman"/>
          <w:color w:val="000000" w:themeColor="text1"/>
          <w:sz w:val="24"/>
          <w:szCs w:val="24"/>
          <w:shd w:val="clear" w:color="auto" w:fill="FFFFFF"/>
        </w:rPr>
        <w:t>abscessus</w:t>
      </w:r>
      <w:proofErr w:type="spellEnd"/>
      <w:r w:rsidRPr="000332D1">
        <w:rPr>
          <w:rFonts w:eastAsia="Times New Roman"/>
          <w:color w:val="000000" w:themeColor="text1"/>
          <w:sz w:val="24"/>
          <w:szCs w:val="24"/>
          <w:shd w:val="clear" w:color="auto" w:fill="FFFFFF"/>
        </w:rPr>
        <w:t>: Investigation and mitigation. </w:t>
      </w:r>
      <w:r w:rsidRPr="000332D1">
        <w:rPr>
          <w:rFonts w:eastAsia="Times New Roman"/>
          <w:i/>
          <w:iCs/>
          <w:color w:val="000000" w:themeColor="text1"/>
          <w:sz w:val="24"/>
          <w:szCs w:val="24"/>
        </w:rPr>
        <w:t>Clinical Infectious Diseases,</w:t>
      </w:r>
      <w:r w:rsidRPr="000332D1">
        <w:rPr>
          <w:rFonts w:eastAsia="Times New Roman"/>
          <w:color w:val="000000" w:themeColor="text1"/>
          <w:sz w:val="24"/>
          <w:szCs w:val="24"/>
          <w:shd w:val="clear" w:color="auto" w:fill="FFFFFF"/>
        </w:rPr>
        <w:t> </w:t>
      </w:r>
      <w:r w:rsidRPr="000332D1">
        <w:rPr>
          <w:rFonts w:eastAsia="Times New Roman"/>
          <w:i/>
          <w:iCs/>
          <w:color w:val="000000" w:themeColor="text1"/>
          <w:sz w:val="24"/>
          <w:szCs w:val="24"/>
        </w:rPr>
        <w:t>64</w:t>
      </w:r>
      <w:r w:rsidRPr="000332D1">
        <w:rPr>
          <w:rFonts w:eastAsia="Times New Roman"/>
          <w:color w:val="000000" w:themeColor="text1"/>
          <w:sz w:val="24"/>
          <w:szCs w:val="24"/>
          <w:shd w:val="clear" w:color="auto" w:fill="FFFFFF"/>
        </w:rPr>
        <w:t>(7), 902-911.</w:t>
      </w:r>
    </w:p>
    <w:p w:rsidR="00F652AD" w:rsidRPr="000332D1" w:rsidRDefault="00F652AD" w:rsidP="00F652AD">
      <w:pPr>
        <w:spacing w:line="480" w:lineRule="auto"/>
        <w:ind w:left="720" w:hanging="720"/>
        <w:rPr>
          <w:color w:val="000000" w:themeColor="text1"/>
          <w:sz w:val="24"/>
          <w:szCs w:val="24"/>
        </w:rPr>
      </w:pPr>
      <w:r w:rsidRPr="000332D1">
        <w:rPr>
          <w:color w:val="000000" w:themeColor="text1"/>
          <w:sz w:val="24"/>
          <w:szCs w:val="24"/>
        </w:rPr>
        <w:t xml:space="preserve">Bancroft, B., Shih, D., Cassidy, M., </w:t>
      </w:r>
      <w:proofErr w:type="spellStart"/>
      <w:r w:rsidRPr="000332D1">
        <w:rPr>
          <w:color w:val="000000" w:themeColor="text1"/>
          <w:sz w:val="24"/>
          <w:szCs w:val="24"/>
        </w:rPr>
        <w:t>Cieslak</w:t>
      </w:r>
      <w:proofErr w:type="spellEnd"/>
      <w:r w:rsidRPr="000332D1">
        <w:rPr>
          <w:color w:val="000000" w:themeColor="text1"/>
          <w:sz w:val="24"/>
          <w:szCs w:val="24"/>
        </w:rPr>
        <w:t xml:space="preserve">, P., </w:t>
      </w:r>
      <w:proofErr w:type="spellStart"/>
      <w:r w:rsidRPr="000332D1">
        <w:rPr>
          <w:color w:val="000000" w:themeColor="text1"/>
          <w:sz w:val="24"/>
          <w:szCs w:val="24"/>
        </w:rPr>
        <w:t>Beldavs</w:t>
      </w:r>
      <w:proofErr w:type="spellEnd"/>
      <w:r w:rsidRPr="000332D1">
        <w:rPr>
          <w:color w:val="000000" w:themeColor="text1"/>
          <w:sz w:val="24"/>
          <w:szCs w:val="24"/>
        </w:rPr>
        <w:t>, Z., Zane, S., . . . Winthrop, K.  (2017). Standardized case definition for extrapulmonary nontuberculous mycobacteria infections (Council of State and Territorial Epidemiologists Position Statement 17 ID 07). Retrieved from http://c.ymcdn.com/sites/www.cste.org/resource/resmgr/2017PS/2017PSFinal/17-ID-07.pdf</w:t>
      </w:r>
    </w:p>
    <w:p w:rsidR="00F652AD" w:rsidRPr="000332D1" w:rsidRDefault="00F652AD" w:rsidP="00F652AD">
      <w:pPr>
        <w:spacing w:line="480" w:lineRule="auto"/>
        <w:ind w:left="720" w:hanging="720"/>
        <w:rPr>
          <w:rFonts w:eastAsia="Times New Roman"/>
          <w:color w:val="000000" w:themeColor="text1"/>
          <w:sz w:val="24"/>
          <w:szCs w:val="24"/>
        </w:rPr>
      </w:pPr>
      <w:proofErr w:type="spellStart"/>
      <w:r w:rsidRPr="000332D1">
        <w:rPr>
          <w:rFonts w:eastAsia="Times New Roman"/>
          <w:color w:val="000000" w:themeColor="text1"/>
          <w:sz w:val="24"/>
          <w:szCs w:val="24"/>
        </w:rPr>
        <w:t>Brode</w:t>
      </w:r>
      <w:proofErr w:type="spellEnd"/>
      <w:r w:rsidRPr="000332D1">
        <w:rPr>
          <w:rFonts w:eastAsia="Times New Roman"/>
          <w:color w:val="000000" w:themeColor="text1"/>
          <w:sz w:val="24"/>
          <w:szCs w:val="24"/>
        </w:rPr>
        <w:t xml:space="preserve">, S. K., Marchand-Austin, A., Jamieson, F. B., &amp; </w:t>
      </w:r>
      <w:proofErr w:type="spellStart"/>
      <w:r w:rsidRPr="000332D1">
        <w:rPr>
          <w:rFonts w:eastAsia="Times New Roman"/>
          <w:color w:val="000000" w:themeColor="text1"/>
          <w:sz w:val="24"/>
          <w:szCs w:val="24"/>
        </w:rPr>
        <w:t>Marras</w:t>
      </w:r>
      <w:proofErr w:type="spellEnd"/>
      <w:r w:rsidRPr="000332D1">
        <w:rPr>
          <w:rFonts w:eastAsia="Times New Roman"/>
          <w:color w:val="000000" w:themeColor="text1"/>
          <w:sz w:val="24"/>
          <w:szCs w:val="24"/>
        </w:rPr>
        <w:t xml:space="preserve">, T. K. (2017). Pulmonary versus </w:t>
      </w:r>
      <w:proofErr w:type="spellStart"/>
      <w:r w:rsidRPr="000332D1">
        <w:rPr>
          <w:rFonts w:eastAsia="Times New Roman"/>
          <w:color w:val="000000" w:themeColor="text1"/>
          <w:sz w:val="24"/>
          <w:szCs w:val="24"/>
        </w:rPr>
        <w:t>Nonpulmonary</w:t>
      </w:r>
      <w:proofErr w:type="spellEnd"/>
      <w:r w:rsidRPr="000332D1">
        <w:rPr>
          <w:rFonts w:eastAsia="Times New Roman"/>
          <w:color w:val="000000" w:themeColor="text1"/>
          <w:sz w:val="24"/>
          <w:szCs w:val="24"/>
        </w:rPr>
        <w:t xml:space="preserve"> Nontuberculous Mycobacteria, Ontario, Canada. </w:t>
      </w:r>
      <w:r w:rsidRPr="000332D1">
        <w:rPr>
          <w:rFonts w:eastAsia="Times New Roman"/>
          <w:i/>
          <w:color w:val="000000" w:themeColor="text1"/>
          <w:sz w:val="24"/>
          <w:szCs w:val="24"/>
        </w:rPr>
        <w:t>Emerging Infectious Diseases</w:t>
      </w:r>
      <w:r w:rsidRPr="000332D1">
        <w:rPr>
          <w:rFonts w:eastAsia="Times New Roman"/>
          <w:color w:val="000000" w:themeColor="text1"/>
          <w:sz w:val="24"/>
          <w:szCs w:val="24"/>
        </w:rPr>
        <w:t>, 23(11), 1898.</w:t>
      </w:r>
    </w:p>
    <w:p w:rsidR="00F652AD" w:rsidRPr="000332D1" w:rsidRDefault="00F652AD" w:rsidP="00F652AD">
      <w:pPr>
        <w:spacing w:line="480" w:lineRule="auto"/>
        <w:ind w:left="720" w:hanging="720"/>
        <w:rPr>
          <w:rFonts w:eastAsia="Times New Roman"/>
          <w:color w:val="000000" w:themeColor="text1"/>
          <w:sz w:val="24"/>
          <w:szCs w:val="24"/>
        </w:rPr>
      </w:pPr>
      <w:r w:rsidRPr="000332D1">
        <w:rPr>
          <w:rFonts w:eastAsia="Times New Roman" w:cs="Arial"/>
          <w:color w:val="000000" w:themeColor="text1"/>
          <w:sz w:val="24"/>
          <w:szCs w:val="24"/>
          <w:shd w:val="clear" w:color="auto" w:fill="FFFFFF"/>
        </w:rPr>
        <w:t xml:space="preserve">Cassidy, P. M., Hedberg, K., </w:t>
      </w:r>
      <w:proofErr w:type="spellStart"/>
      <w:r w:rsidRPr="000332D1">
        <w:rPr>
          <w:rFonts w:eastAsia="Times New Roman" w:cs="Arial"/>
          <w:color w:val="000000" w:themeColor="text1"/>
          <w:sz w:val="24"/>
          <w:szCs w:val="24"/>
          <w:shd w:val="clear" w:color="auto" w:fill="FFFFFF"/>
        </w:rPr>
        <w:t>Saulson</w:t>
      </w:r>
      <w:proofErr w:type="spellEnd"/>
      <w:r w:rsidRPr="000332D1">
        <w:rPr>
          <w:rFonts w:eastAsia="Times New Roman" w:cs="Arial"/>
          <w:color w:val="000000" w:themeColor="text1"/>
          <w:sz w:val="24"/>
          <w:szCs w:val="24"/>
          <w:shd w:val="clear" w:color="auto" w:fill="FFFFFF"/>
        </w:rPr>
        <w:t>, A., McNelly, E., &amp; Winthrop, K. L. (2009). Nontuberculous mycobacterial disease prevalence and risk factors: a changing epidemiology. </w:t>
      </w:r>
      <w:r w:rsidRPr="000332D1">
        <w:rPr>
          <w:rFonts w:eastAsia="Times New Roman" w:cs="Arial"/>
          <w:i/>
          <w:iCs/>
          <w:color w:val="000000" w:themeColor="text1"/>
          <w:sz w:val="24"/>
          <w:szCs w:val="24"/>
        </w:rPr>
        <w:t>Clinical Infectious Diseases</w:t>
      </w:r>
      <w:r w:rsidRPr="000332D1">
        <w:rPr>
          <w:rFonts w:eastAsia="Times New Roman" w:cs="Arial"/>
          <w:color w:val="000000" w:themeColor="text1"/>
          <w:sz w:val="24"/>
          <w:szCs w:val="24"/>
          <w:shd w:val="clear" w:color="auto" w:fill="FFFFFF"/>
        </w:rPr>
        <w:t>, </w:t>
      </w:r>
      <w:r w:rsidRPr="000332D1">
        <w:rPr>
          <w:rFonts w:eastAsia="Times New Roman" w:cs="Arial"/>
          <w:i/>
          <w:iCs/>
          <w:color w:val="000000" w:themeColor="text1"/>
          <w:sz w:val="24"/>
          <w:szCs w:val="24"/>
        </w:rPr>
        <w:t>49</w:t>
      </w:r>
      <w:r w:rsidRPr="000332D1">
        <w:rPr>
          <w:rFonts w:eastAsia="Times New Roman" w:cs="Arial"/>
          <w:color w:val="000000" w:themeColor="text1"/>
          <w:sz w:val="24"/>
          <w:szCs w:val="24"/>
          <w:shd w:val="clear" w:color="auto" w:fill="FFFFFF"/>
        </w:rPr>
        <w:t>(12), e124-e129.</w:t>
      </w:r>
    </w:p>
    <w:p w:rsidR="0015584C" w:rsidRPr="0015584C" w:rsidRDefault="0015584C" w:rsidP="00F652AD">
      <w:pPr>
        <w:spacing w:line="480" w:lineRule="auto"/>
        <w:ind w:left="720" w:hanging="720"/>
        <w:rPr>
          <w:rFonts w:eastAsia="Times New Roman"/>
          <w:color w:val="000000" w:themeColor="text1"/>
          <w:sz w:val="24"/>
          <w:szCs w:val="24"/>
          <w:shd w:val="clear" w:color="auto" w:fill="FFFFFF"/>
        </w:rPr>
      </w:pPr>
      <w:r>
        <w:rPr>
          <w:rFonts w:eastAsia="Times New Roman"/>
          <w:color w:val="000000" w:themeColor="text1"/>
          <w:sz w:val="24"/>
          <w:szCs w:val="24"/>
          <w:shd w:val="clear" w:color="auto" w:fill="FFFFFF"/>
        </w:rPr>
        <w:lastRenderedPageBreak/>
        <w:t>Centers for Disease Control and Prevention (CDC). (2017).</w:t>
      </w:r>
      <w:r w:rsidRPr="0015584C">
        <w:rPr>
          <w:rFonts w:eastAsia="Times New Roman"/>
          <w:i/>
          <w:color w:val="000000" w:themeColor="text1"/>
          <w:sz w:val="24"/>
          <w:szCs w:val="24"/>
          <w:shd w:val="clear" w:color="auto" w:fill="FFFFFF"/>
        </w:rPr>
        <w:t xml:space="preserve"> National Electronic Disease Surveillance System (NEDSS) Base System (NBS)</w:t>
      </w:r>
      <w:r>
        <w:rPr>
          <w:rFonts w:eastAsia="Times New Roman"/>
          <w:color w:val="000000" w:themeColor="text1"/>
          <w:sz w:val="24"/>
          <w:szCs w:val="24"/>
          <w:shd w:val="clear" w:color="auto" w:fill="FFFFFF"/>
        </w:rPr>
        <w:t>. Atlanta, GA. Retrieved from</w:t>
      </w:r>
      <w:r w:rsidRPr="0015584C">
        <w:t xml:space="preserve"> </w:t>
      </w:r>
      <w:r w:rsidRPr="0015584C">
        <w:rPr>
          <w:rFonts w:eastAsia="Times New Roman"/>
          <w:color w:val="000000" w:themeColor="text1"/>
          <w:sz w:val="24"/>
          <w:szCs w:val="24"/>
          <w:shd w:val="clear" w:color="auto" w:fill="FFFFFF"/>
        </w:rPr>
        <w:t>https://www.cdc.gov/nbs/</w:t>
      </w:r>
    </w:p>
    <w:p w:rsidR="00F652AD" w:rsidRPr="000332D1" w:rsidRDefault="00F652AD" w:rsidP="00F652AD">
      <w:pPr>
        <w:spacing w:line="480" w:lineRule="auto"/>
        <w:ind w:left="720" w:hanging="720"/>
        <w:rPr>
          <w:rFonts w:eastAsia="Times New Roman"/>
          <w:color w:val="000000" w:themeColor="text1"/>
          <w:sz w:val="24"/>
          <w:szCs w:val="24"/>
          <w:shd w:val="clear" w:color="auto" w:fill="FFFFFF"/>
        </w:rPr>
      </w:pPr>
      <w:proofErr w:type="spellStart"/>
      <w:r w:rsidRPr="000332D1">
        <w:rPr>
          <w:rFonts w:eastAsia="Times New Roman"/>
          <w:color w:val="000000" w:themeColor="text1"/>
          <w:sz w:val="24"/>
          <w:szCs w:val="24"/>
          <w:shd w:val="clear" w:color="auto" w:fill="FFFFFF"/>
        </w:rPr>
        <w:t>Falkinham</w:t>
      </w:r>
      <w:proofErr w:type="spellEnd"/>
      <w:r w:rsidRPr="000332D1">
        <w:rPr>
          <w:rFonts w:eastAsia="Times New Roman"/>
          <w:color w:val="000000" w:themeColor="text1"/>
          <w:sz w:val="24"/>
          <w:szCs w:val="24"/>
          <w:shd w:val="clear" w:color="auto" w:fill="FFFFFF"/>
        </w:rPr>
        <w:t>, J. O. (2016). Current Epidemiologic Trends of the Nontuberculous Mycobacteria (NTM). </w:t>
      </w:r>
      <w:r w:rsidRPr="000332D1">
        <w:rPr>
          <w:rFonts w:eastAsia="Times New Roman"/>
          <w:i/>
          <w:iCs/>
          <w:color w:val="000000" w:themeColor="text1"/>
          <w:sz w:val="24"/>
          <w:szCs w:val="24"/>
        </w:rPr>
        <w:t>Current Environmental Health Reports,</w:t>
      </w:r>
      <w:r w:rsidRPr="000332D1">
        <w:rPr>
          <w:rFonts w:eastAsia="Times New Roman"/>
          <w:color w:val="000000" w:themeColor="text1"/>
          <w:sz w:val="24"/>
          <w:szCs w:val="24"/>
          <w:shd w:val="clear" w:color="auto" w:fill="FFFFFF"/>
        </w:rPr>
        <w:t> </w:t>
      </w:r>
      <w:r w:rsidRPr="000332D1">
        <w:rPr>
          <w:rFonts w:eastAsia="Times New Roman"/>
          <w:i/>
          <w:iCs/>
          <w:color w:val="000000" w:themeColor="text1"/>
          <w:sz w:val="24"/>
          <w:szCs w:val="24"/>
        </w:rPr>
        <w:t>3</w:t>
      </w:r>
      <w:r w:rsidRPr="000332D1">
        <w:rPr>
          <w:rFonts w:eastAsia="Times New Roman"/>
          <w:color w:val="000000" w:themeColor="text1"/>
          <w:sz w:val="24"/>
          <w:szCs w:val="24"/>
          <w:shd w:val="clear" w:color="auto" w:fill="FFFFFF"/>
        </w:rPr>
        <w:t>(2), 161-167.</w:t>
      </w:r>
    </w:p>
    <w:p w:rsidR="00F652AD" w:rsidRPr="000332D1" w:rsidRDefault="00F652AD" w:rsidP="00F652AD">
      <w:pPr>
        <w:spacing w:line="480" w:lineRule="auto"/>
        <w:ind w:left="720" w:hanging="720"/>
        <w:rPr>
          <w:rFonts w:eastAsia="Times New Roman"/>
          <w:color w:val="000000" w:themeColor="text1"/>
          <w:sz w:val="24"/>
          <w:szCs w:val="24"/>
        </w:rPr>
      </w:pPr>
      <w:proofErr w:type="spellStart"/>
      <w:r w:rsidRPr="000332D1">
        <w:rPr>
          <w:rFonts w:eastAsia="Times New Roman"/>
          <w:color w:val="000000" w:themeColor="text1"/>
          <w:sz w:val="24"/>
          <w:szCs w:val="24"/>
        </w:rPr>
        <w:t>Florita</w:t>
      </w:r>
      <w:proofErr w:type="spellEnd"/>
      <w:r w:rsidRPr="000332D1">
        <w:rPr>
          <w:rFonts w:eastAsia="Times New Roman"/>
          <w:color w:val="000000" w:themeColor="text1"/>
          <w:sz w:val="24"/>
          <w:szCs w:val="24"/>
        </w:rPr>
        <w:t xml:space="preserve">, C., </w:t>
      </w:r>
      <w:proofErr w:type="spellStart"/>
      <w:r w:rsidRPr="000332D1">
        <w:rPr>
          <w:rFonts w:eastAsia="Times New Roman"/>
          <w:color w:val="000000" w:themeColor="text1"/>
          <w:sz w:val="24"/>
          <w:szCs w:val="24"/>
        </w:rPr>
        <w:t>Zangeneh</w:t>
      </w:r>
      <w:proofErr w:type="spellEnd"/>
      <w:r w:rsidRPr="000332D1">
        <w:rPr>
          <w:rFonts w:eastAsia="Times New Roman"/>
          <w:color w:val="000000" w:themeColor="text1"/>
          <w:sz w:val="24"/>
          <w:szCs w:val="24"/>
        </w:rPr>
        <w:t xml:space="preserve">, T., &amp; </w:t>
      </w:r>
      <w:proofErr w:type="spellStart"/>
      <w:r w:rsidRPr="000332D1">
        <w:rPr>
          <w:rFonts w:eastAsia="Times New Roman"/>
          <w:color w:val="000000" w:themeColor="text1"/>
          <w:sz w:val="24"/>
          <w:szCs w:val="24"/>
        </w:rPr>
        <w:t>Georgescu</w:t>
      </w:r>
      <w:proofErr w:type="spellEnd"/>
      <w:r w:rsidRPr="000332D1">
        <w:rPr>
          <w:rFonts w:eastAsia="Times New Roman"/>
          <w:color w:val="000000" w:themeColor="text1"/>
          <w:sz w:val="24"/>
          <w:szCs w:val="24"/>
        </w:rPr>
        <w:t xml:space="preserve">, A. (2017). Extrapulmonary Nontuberculous Mycobacterial Infections in Southern Arizona. In </w:t>
      </w:r>
      <w:r w:rsidRPr="000332D1">
        <w:rPr>
          <w:rFonts w:eastAsia="Times New Roman"/>
          <w:i/>
          <w:color w:val="000000" w:themeColor="text1"/>
          <w:sz w:val="24"/>
          <w:szCs w:val="24"/>
        </w:rPr>
        <w:t>Open Forum Infectious Diseases</w:t>
      </w:r>
      <w:r w:rsidRPr="000332D1">
        <w:rPr>
          <w:rFonts w:eastAsia="Times New Roman"/>
          <w:color w:val="000000" w:themeColor="text1"/>
          <w:sz w:val="24"/>
          <w:szCs w:val="24"/>
        </w:rPr>
        <w:t xml:space="preserve"> (Vol. 4, No. Suppl 1, p. S670). Oxford University Press.</w:t>
      </w:r>
    </w:p>
    <w:p w:rsidR="00F652AD" w:rsidRPr="000332D1" w:rsidRDefault="00F652AD" w:rsidP="00F652AD">
      <w:pPr>
        <w:spacing w:line="480" w:lineRule="auto"/>
        <w:ind w:left="720" w:hanging="720"/>
        <w:rPr>
          <w:color w:val="000000" w:themeColor="text1"/>
          <w:sz w:val="24"/>
          <w:szCs w:val="24"/>
        </w:rPr>
      </w:pPr>
      <w:r w:rsidRPr="000332D1">
        <w:rPr>
          <w:color w:val="000000" w:themeColor="text1"/>
          <w:sz w:val="24"/>
          <w:szCs w:val="24"/>
          <w:lang w:val="en"/>
        </w:rPr>
        <w:t xml:space="preserve">Genevieve L. </w:t>
      </w:r>
      <w:proofErr w:type="spellStart"/>
      <w:r w:rsidRPr="000332D1">
        <w:rPr>
          <w:color w:val="000000" w:themeColor="text1"/>
          <w:sz w:val="24"/>
          <w:szCs w:val="24"/>
          <w:lang w:val="en"/>
        </w:rPr>
        <w:t>Buser</w:t>
      </w:r>
      <w:proofErr w:type="spellEnd"/>
      <w:r w:rsidRPr="000332D1">
        <w:rPr>
          <w:color w:val="000000" w:themeColor="text1"/>
          <w:sz w:val="24"/>
          <w:szCs w:val="24"/>
          <w:lang w:val="en"/>
        </w:rPr>
        <w:t xml:space="preserve">, P. Maureen Cassidy, Matthew R. </w:t>
      </w:r>
      <w:proofErr w:type="spellStart"/>
      <w:r w:rsidRPr="000332D1">
        <w:rPr>
          <w:color w:val="000000" w:themeColor="text1"/>
          <w:sz w:val="24"/>
          <w:szCs w:val="24"/>
          <w:lang w:val="en"/>
        </w:rPr>
        <w:t>Laidler</w:t>
      </w:r>
      <w:proofErr w:type="spellEnd"/>
      <w:r w:rsidRPr="000332D1">
        <w:rPr>
          <w:color w:val="000000" w:themeColor="text1"/>
          <w:sz w:val="24"/>
          <w:szCs w:val="24"/>
          <w:lang w:val="en"/>
        </w:rPr>
        <w:t xml:space="preserve">, Paul R. </w:t>
      </w:r>
      <w:proofErr w:type="spellStart"/>
      <w:r w:rsidRPr="000332D1">
        <w:rPr>
          <w:color w:val="000000" w:themeColor="text1"/>
          <w:sz w:val="24"/>
          <w:szCs w:val="24"/>
          <w:lang w:val="en"/>
        </w:rPr>
        <w:t>Cieslak</w:t>
      </w:r>
      <w:proofErr w:type="spellEnd"/>
      <w:r w:rsidRPr="000332D1">
        <w:rPr>
          <w:color w:val="000000" w:themeColor="text1"/>
          <w:sz w:val="24"/>
          <w:szCs w:val="24"/>
          <w:lang w:val="en"/>
        </w:rPr>
        <w:t xml:space="preserve">, </w:t>
      </w:r>
      <w:proofErr w:type="spellStart"/>
      <w:r w:rsidRPr="000332D1">
        <w:rPr>
          <w:color w:val="000000" w:themeColor="text1"/>
          <w:sz w:val="24"/>
          <w:szCs w:val="24"/>
          <w:lang w:val="en"/>
        </w:rPr>
        <w:t>Zintars</w:t>
      </w:r>
      <w:proofErr w:type="spellEnd"/>
      <w:r w:rsidRPr="000332D1">
        <w:rPr>
          <w:color w:val="000000" w:themeColor="text1"/>
          <w:sz w:val="24"/>
          <w:szCs w:val="24"/>
          <w:lang w:val="en"/>
        </w:rPr>
        <w:t xml:space="preserve"> G. </w:t>
      </w:r>
      <w:proofErr w:type="spellStart"/>
      <w:r w:rsidRPr="000332D1">
        <w:rPr>
          <w:color w:val="000000" w:themeColor="text1"/>
          <w:sz w:val="24"/>
          <w:szCs w:val="24"/>
          <w:lang w:val="en"/>
        </w:rPr>
        <w:t>Beldavs</w:t>
      </w:r>
      <w:proofErr w:type="spellEnd"/>
      <w:r w:rsidRPr="000332D1">
        <w:rPr>
          <w:color w:val="000000" w:themeColor="text1"/>
          <w:sz w:val="24"/>
          <w:szCs w:val="24"/>
          <w:lang w:val="en"/>
        </w:rPr>
        <w:t xml:space="preserve">; Surveillance for Extrapulmonary Non-Tuberculous Mycobacteria—Seek and You Shall Find, Oregon 2014–2015, </w:t>
      </w:r>
      <w:r w:rsidRPr="000332D1">
        <w:rPr>
          <w:rStyle w:val="Emphasis"/>
          <w:color w:val="000000" w:themeColor="text1"/>
          <w:sz w:val="24"/>
          <w:szCs w:val="24"/>
          <w:lang w:val="en"/>
        </w:rPr>
        <w:t>Open Forum Infectious Diseases</w:t>
      </w:r>
      <w:r w:rsidRPr="000332D1">
        <w:rPr>
          <w:color w:val="000000" w:themeColor="text1"/>
          <w:sz w:val="24"/>
          <w:szCs w:val="24"/>
          <w:lang w:val="en"/>
        </w:rPr>
        <w:t xml:space="preserve">, Volume 2, Issue suppl_1, 1 December 2015, 312, </w:t>
      </w:r>
      <w:hyperlink r:id="rId17" w:history="1">
        <w:r w:rsidRPr="000332D1">
          <w:rPr>
            <w:rStyle w:val="Hyperlink"/>
            <w:color w:val="000000" w:themeColor="text1"/>
            <w:sz w:val="24"/>
            <w:szCs w:val="24"/>
            <w:lang w:val="en"/>
          </w:rPr>
          <w:t>https://doi.org/10.1093/ofid/ofv133.188</w:t>
        </w:r>
      </w:hyperlink>
    </w:p>
    <w:p w:rsidR="00F652AD" w:rsidRPr="000332D1" w:rsidRDefault="00F652AD" w:rsidP="00F652AD">
      <w:pPr>
        <w:spacing w:line="480" w:lineRule="auto"/>
        <w:ind w:left="720" w:hanging="720"/>
        <w:rPr>
          <w:rFonts w:eastAsia="Times New Roman" w:cs="Arial"/>
          <w:color w:val="000000" w:themeColor="text1"/>
          <w:sz w:val="24"/>
          <w:szCs w:val="24"/>
          <w:shd w:val="clear" w:color="auto" w:fill="FFFFFF"/>
        </w:rPr>
      </w:pPr>
      <w:r w:rsidRPr="000332D1">
        <w:rPr>
          <w:rFonts w:eastAsia="Times New Roman" w:cs="Arial"/>
          <w:color w:val="000000" w:themeColor="text1"/>
          <w:sz w:val="24"/>
          <w:szCs w:val="24"/>
          <w:shd w:val="clear" w:color="auto" w:fill="FFFFFF"/>
        </w:rPr>
        <w:t xml:space="preserve">Griffith, D.E. (2017). Epidemiology of nontuberculous mycobacterial infections. In T.W. Post, CF. von </w:t>
      </w:r>
      <w:proofErr w:type="spellStart"/>
      <w:r w:rsidRPr="000332D1">
        <w:rPr>
          <w:rFonts w:eastAsia="Times New Roman" w:cs="Arial"/>
          <w:color w:val="000000" w:themeColor="text1"/>
          <w:sz w:val="24"/>
          <w:szCs w:val="24"/>
          <w:shd w:val="clear" w:color="auto" w:fill="FFFFFF"/>
        </w:rPr>
        <w:t>Reyn</w:t>
      </w:r>
      <w:proofErr w:type="spellEnd"/>
      <w:r w:rsidRPr="000332D1">
        <w:rPr>
          <w:rFonts w:eastAsia="Times New Roman" w:cs="Arial"/>
          <w:color w:val="000000" w:themeColor="text1"/>
          <w:sz w:val="24"/>
          <w:szCs w:val="24"/>
          <w:shd w:val="clear" w:color="auto" w:fill="FFFFFF"/>
        </w:rPr>
        <w:t>, &amp; A. Bloom (Eds.), </w:t>
      </w:r>
      <w:proofErr w:type="spellStart"/>
      <w:r w:rsidRPr="000332D1">
        <w:rPr>
          <w:rFonts w:eastAsia="Times New Roman" w:cs="Arial"/>
          <w:i/>
          <w:iCs/>
          <w:color w:val="000000" w:themeColor="text1"/>
          <w:sz w:val="24"/>
          <w:szCs w:val="24"/>
          <w:shd w:val="clear" w:color="auto" w:fill="FFFFFF"/>
        </w:rPr>
        <w:t>UptoDate</w:t>
      </w:r>
      <w:proofErr w:type="spellEnd"/>
      <w:r w:rsidRPr="000332D1">
        <w:rPr>
          <w:rFonts w:eastAsia="Times New Roman" w:cs="Arial"/>
          <w:color w:val="000000" w:themeColor="text1"/>
          <w:sz w:val="24"/>
          <w:szCs w:val="24"/>
          <w:shd w:val="clear" w:color="auto" w:fill="FFFFFF"/>
        </w:rPr>
        <w:t>. Retrieved from http://www.uptodate.com/contents/epidemiology-of-nontuberculous-mycobacterial-infections?source=see_link</w:t>
      </w:r>
    </w:p>
    <w:p w:rsidR="00F652AD" w:rsidRPr="000332D1" w:rsidRDefault="00F652AD" w:rsidP="00F652AD">
      <w:pPr>
        <w:spacing w:line="480" w:lineRule="auto"/>
        <w:ind w:left="720" w:hanging="720"/>
        <w:rPr>
          <w:rFonts w:eastAsia="Times New Roman" w:cs="Arial"/>
          <w:color w:val="000000" w:themeColor="text1"/>
          <w:sz w:val="24"/>
          <w:szCs w:val="24"/>
          <w:shd w:val="clear" w:color="auto" w:fill="FFFFFF"/>
        </w:rPr>
      </w:pPr>
      <w:r w:rsidRPr="000332D1">
        <w:rPr>
          <w:rFonts w:eastAsia="Times New Roman" w:cs="Arial"/>
          <w:color w:val="000000" w:themeColor="text1"/>
          <w:sz w:val="24"/>
          <w:szCs w:val="24"/>
          <w:shd w:val="clear" w:color="auto" w:fill="FFFFFF"/>
        </w:rPr>
        <w:t xml:space="preserve">Griffith, D. E., </w:t>
      </w:r>
      <w:proofErr w:type="spellStart"/>
      <w:r w:rsidRPr="000332D1">
        <w:rPr>
          <w:rFonts w:eastAsia="Times New Roman" w:cs="Arial"/>
          <w:color w:val="000000" w:themeColor="text1"/>
          <w:sz w:val="24"/>
          <w:szCs w:val="24"/>
          <w:shd w:val="clear" w:color="auto" w:fill="FFFFFF"/>
        </w:rPr>
        <w:t>Aksamit</w:t>
      </w:r>
      <w:proofErr w:type="spellEnd"/>
      <w:r w:rsidRPr="000332D1">
        <w:rPr>
          <w:rFonts w:eastAsia="Times New Roman" w:cs="Arial"/>
          <w:color w:val="000000" w:themeColor="text1"/>
          <w:sz w:val="24"/>
          <w:szCs w:val="24"/>
          <w:shd w:val="clear" w:color="auto" w:fill="FFFFFF"/>
        </w:rPr>
        <w:t xml:space="preserve">, T., Brown-Elliott, B. A., Catanzaro, A., Daley, C., </w:t>
      </w:r>
      <w:proofErr w:type="spellStart"/>
      <w:r w:rsidRPr="000332D1">
        <w:rPr>
          <w:rFonts w:eastAsia="Times New Roman" w:cs="Arial"/>
          <w:color w:val="000000" w:themeColor="text1"/>
          <w:sz w:val="24"/>
          <w:szCs w:val="24"/>
          <w:shd w:val="clear" w:color="auto" w:fill="FFFFFF"/>
        </w:rPr>
        <w:t>Gordin</w:t>
      </w:r>
      <w:proofErr w:type="spellEnd"/>
      <w:r w:rsidRPr="000332D1">
        <w:rPr>
          <w:rFonts w:eastAsia="Times New Roman" w:cs="Arial"/>
          <w:color w:val="000000" w:themeColor="text1"/>
          <w:sz w:val="24"/>
          <w:szCs w:val="24"/>
          <w:shd w:val="clear" w:color="auto" w:fill="FFFFFF"/>
        </w:rPr>
        <w:t xml:space="preserve">, F., ... &amp; </w:t>
      </w:r>
      <w:proofErr w:type="spellStart"/>
      <w:r w:rsidRPr="000332D1">
        <w:rPr>
          <w:rFonts w:eastAsia="Times New Roman" w:cs="Arial"/>
          <w:color w:val="000000" w:themeColor="text1"/>
          <w:sz w:val="24"/>
          <w:szCs w:val="24"/>
          <w:shd w:val="clear" w:color="auto" w:fill="FFFFFF"/>
        </w:rPr>
        <w:t>Iseman</w:t>
      </w:r>
      <w:proofErr w:type="spellEnd"/>
      <w:r w:rsidRPr="000332D1">
        <w:rPr>
          <w:rFonts w:eastAsia="Times New Roman" w:cs="Arial"/>
          <w:color w:val="000000" w:themeColor="text1"/>
          <w:sz w:val="24"/>
          <w:szCs w:val="24"/>
          <w:shd w:val="clear" w:color="auto" w:fill="FFFFFF"/>
        </w:rPr>
        <w:t>, M. (2007). An official ATS/IDSA statement: diagnosis, treatment, and prevention of nontuberculous mycobacterial diseases. </w:t>
      </w:r>
      <w:r w:rsidRPr="000332D1">
        <w:rPr>
          <w:rFonts w:eastAsia="Times New Roman" w:cs="Arial"/>
          <w:i/>
          <w:iCs/>
          <w:color w:val="000000" w:themeColor="text1"/>
          <w:sz w:val="24"/>
          <w:szCs w:val="24"/>
        </w:rPr>
        <w:t>American Journal of Respiratory and Critical Care Medicine</w:t>
      </w:r>
      <w:r w:rsidRPr="000332D1">
        <w:rPr>
          <w:rFonts w:eastAsia="Times New Roman" w:cs="Arial"/>
          <w:color w:val="000000" w:themeColor="text1"/>
          <w:sz w:val="24"/>
          <w:szCs w:val="24"/>
          <w:shd w:val="clear" w:color="auto" w:fill="FFFFFF"/>
        </w:rPr>
        <w:t>, </w:t>
      </w:r>
      <w:r w:rsidRPr="000332D1">
        <w:rPr>
          <w:rFonts w:eastAsia="Times New Roman" w:cs="Arial"/>
          <w:i/>
          <w:iCs/>
          <w:color w:val="000000" w:themeColor="text1"/>
          <w:sz w:val="24"/>
          <w:szCs w:val="24"/>
        </w:rPr>
        <w:t>175</w:t>
      </w:r>
      <w:r w:rsidRPr="000332D1">
        <w:rPr>
          <w:rFonts w:eastAsia="Times New Roman" w:cs="Arial"/>
          <w:color w:val="000000" w:themeColor="text1"/>
          <w:sz w:val="24"/>
          <w:szCs w:val="24"/>
          <w:shd w:val="clear" w:color="auto" w:fill="FFFFFF"/>
        </w:rPr>
        <w:t>(4), 367-416.</w:t>
      </w:r>
    </w:p>
    <w:p w:rsidR="00F652AD" w:rsidRPr="000332D1" w:rsidRDefault="00F652AD" w:rsidP="00F652AD">
      <w:pPr>
        <w:spacing w:line="480" w:lineRule="auto"/>
        <w:ind w:left="720" w:hanging="720"/>
        <w:rPr>
          <w:rFonts w:eastAsia="Times New Roman"/>
          <w:color w:val="000000" w:themeColor="text1"/>
          <w:sz w:val="24"/>
          <w:szCs w:val="24"/>
        </w:rPr>
      </w:pPr>
      <w:proofErr w:type="spellStart"/>
      <w:r w:rsidRPr="000332D1">
        <w:rPr>
          <w:rFonts w:eastAsia="Times New Roman"/>
          <w:color w:val="000000" w:themeColor="text1"/>
          <w:sz w:val="24"/>
          <w:szCs w:val="24"/>
          <w:lang w:val="en"/>
        </w:rPr>
        <w:t>Hatzenbuehler</w:t>
      </w:r>
      <w:proofErr w:type="spellEnd"/>
      <w:r w:rsidRPr="000332D1">
        <w:rPr>
          <w:rFonts w:eastAsia="Times New Roman"/>
          <w:color w:val="000000" w:themeColor="text1"/>
          <w:sz w:val="24"/>
          <w:szCs w:val="24"/>
          <w:lang w:val="en"/>
        </w:rPr>
        <w:t xml:space="preserve">, L., Tobin-D’Angelo, M., </w:t>
      </w:r>
      <w:proofErr w:type="spellStart"/>
      <w:r w:rsidRPr="000332D1">
        <w:rPr>
          <w:rFonts w:eastAsia="Times New Roman"/>
          <w:color w:val="000000" w:themeColor="text1"/>
          <w:sz w:val="24"/>
          <w:szCs w:val="24"/>
          <w:lang w:val="en"/>
        </w:rPr>
        <w:t>Drenzek</w:t>
      </w:r>
      <w:proofErr w:type="spellEnd"/>
      <w:r w:rsidRPr="000332D1">
        <w:rPr>
          <w:rFonts w:eastAsia="Times New Roman"/>
          <w:color w:val="000000" w:themeColor="text1"/>
          <w:sz w:val="24"/>
          <w:szCs w:val="24"/>
          <w:lang w:val="en"/>
        </w:rPr>
        <w:t xml:space="preserve">, C., Peralta, G., Cranmer, L., Anderson, E., . . . Shane, A. (2017). Pediatric Dental Clinic–Associated Outbreak of Mycobacterium </w:t>
      </w:r>
      <w:proofErr w:type="spellStart"/>
      <w:r w:rsidRPr="000332D1">
        <w:rPr>
          <w:rFonts w:eastAsia="Times New Roman"/>
          <w:color w:val="000000" w:themeColor="text1"/>
          <w:sz w:val="24"/>
          <w:szCs w:val="24"/>
          <w:lang w:val="en"/>
        </w:rPr>
        <w:t>abscessus</w:t>
      </w:r>
      <w:proofErr w:type="spellEnd"/>
      <w:r w:rsidRPr="000332D1">
        <w:rPr>
          <w:rFonts w:eastAsia="Times New Roman"/>
          <w:color w:val="000000" w:themeColor="text1"/>
          <w:sz w:val="24"/>
          <w:szCs w:val="24"/>
          <w:lang w:val="en"/>
        </w:rPr>
        <w:t xml:space="preserve"> Infection. </w:t>
      </w:r>
      <w:r w:rsidRPr="000332D1">
        <w:rPr>
          <w:rFonts w:eastAsia="Times New Roman"/>
          <w:i/>
          <w:iCs/>
          <w:color w:val="000000" w:themeColor="text1"/>
          <w:sz w:val="24"/>
          <w:szCs w:val="24"/>
          <w:lang w:val="en"/>
        </w:rPr>
        <w:t>Journal of the Pediatric Infectious Diseases Society,</w:t>
      </w:r>
      <w:r w:rsidRPr="000332D1">
        <w:rPr>
          <w:rFonts w:eastAsia="Times New Roman"/>
          <w:color w:val="000000" w:themeColor="text1"/>
          <w:sz w:val="24"/>
          <w:szCs w:val="24"/>
          <w:lang w:val="en"/>
        </w:rPr>
        <w:t xml:space="preserve"> </w:t>
      </w:r>
      <w:r w:rsidRPr="000332D1">
        <w:rPr>
          <w:rFonts w:eastAsia="Times New Roman"/>
          <w:i/>
          <w:iCs/>
          <w:color w:val="000000" w:themeColor="text1"/>
          <w:sz w:val="24"/>
          <w:szCs w:val="24"/>
          <w:lang w:val="en"/>
        </w:rPr>
        <w:t>6</w:t>
      </w:r>
      <w:r w:rsidRPr="000332D1">
        <w:rPr>
          <w:rFonts w:eastAsia="Times New Roman"/>
          <w:color w:val="000000" w:themeColor="text1"/>
          <w:sz w:val="24"/>
          <w:szCs w:val="24"/>
          <w:lang w:val="en"/>
        </w:rPr>
        <w:t>(3), E116-E122.</w:t>
      </w:r>
    </w:p>
    <w:p w:rsidR="00F652AD" w:rsidRPr="000332D1" w:rsidRDefault="00F652AD" w:rsidP="00F652AD">
      <w:pPr>
        <w:spacing w:line="480" w:lineRule="auto"/>
        <w:ind w:left="720" w:hanging="720"/>
        <w:rPr>
          <w:rFonts w:eastAsia="Times New Roman"/>
          <w:color w:val="000000" w:themeColor="text1"/>
          <w:sz w:val="24"/>
          <w:szCs w:val="24"/>
        </w:rPr>
      </w:pPr>
      <w:r w:rsidRPr="000332D1">
        <w:rPr>
          <w:rFonts w:eastAsia="Times New Roman"/>
          <w:color w:val="000000" w:themeColor="text1"/>
          <w:sz w:val="24"/>
          <w:szCs w:val="24"/>
        </w:rPr>
        <w:lastRenderedPageBreak/>
        <w:t xml:space="preserve">Haworth, C., Banks, J., </w:t>
      </w:r>
      <w:proofErr w:type="spellStart"/>
      <w:r w:rsidRPr="000332D1">
        <w:rPr>
          <w:rFonts w:eastAsia="Times New Roman"/>
          <w:color w:val="000000" w:themeColor="text1"/>
          <w:sz w:val="24"/>
          <w:szCs w:val="24"/>
        </w:rPr>
        <w:t>Capstick</w:t>
      </w:r>
      <w:proofErr w:type="spellEnd"/>
      <w:r w:rsidRPr="000332D1">
        <w:rPr>
          <w:rFonts w:eastAsia="Times New Roman"/>
          <w:color w:val="000000" w:themeColor="text1"/>
          <w:sz w:val="24"/>
          <w:szCs w:val="24"/>
        </w:rPr>
        <w:t xml:space="preserve">, T., Fisher, A., Gorsuch, T., </w:t>
      </w:r>
      <w:proofErr w:type="spellStart"/>
      <w:r w:rsidRPr="000332D1">
        <w:rPr>
          <w:rFonts w:eastAsia="Times New Roman"/>
          <w:color w:val="000000" w:themeColor="text1"/>
          <w:sz w:val="24"/>
          <w:szCs w:val="24"/>
        </w:rPr>
        <w:t>Laurenson</w:t>
      </w:r>
      <w:proofErr w:type="spellEnd"/>
      <w:r w:rsidRPr="000332D1">
        <w:rPr>
          <w:rFonts w:eastAsia="Times New Roman"/>
          <w:color w:val="000000" w:themeColor="text1"/>
          <w:sz w:val="24"/>
          <w:szCs w:val="24"/>
        </w:rPr>
        <w:t xml:space="preserve">, I., . . . </w:t>
      </w:r>
      <w:proofErr w:type="spellStart"/>
      <w:r w:rsidRPr="000332D1">
        <w:rPr>
          <w:rFonts w:eastAsia="Times New Roman"/>
          <w:color w:val="000000" w:themeColor="text1"/>
          <w:sz w:val="24"/>
          <w:szCs w:val="24"/>
        </w:rPr>
        <w:t>Floto</w:t>
      </w:r>
      <w:proofErr w:type="spellEnd"/>
      <w:r w:rsidRPr="000332D1">
        <w:rPr>
          <w:rFonts w:eastAsia="Times New Roman"/>
          <w:color w:val="000000" w:themeColor="text1"/>
          <w:sz w:val="24"/>
          <w:szCs w:val="24"/>
        </w:rPr>
        <w:t xml:space="preserve">, R. (2017). British Thoracic Society Guideline for the management of non-tuberculous mycobacterial pulmonary disease (NTM-PD). </w:t>
      </w:r>
      <w:r w:rsidRPr="000332D1">
        <w:rPr>
          <w:rFonts w:eastAsia="Times New Roman"/>
          <w:i/>
          <w:color w:val="000000" w:themeColor="text1"/>
          <w:sz w:val="24"/>
          <w:szCs w:val="24"/>
        </w:rPr>
        <w:t>BMJ Open Respiratory Research</w:t>
      </w:r>
      <w:r w:rsidRPr="000332D1">
        <w:rPr>
          <w:rFonts w:eastAsia="Times New Roman"/>
          <w:color w:val="000000" w:themeColor="text1"/>
          <w:sz w:val="24"/>
          <w:szCs w:val="24"/>
        </w:rPr>
        <w:t xml:space="preserve">, </w:t>
      </w:r>
      <w:r w:rsidRPr="000332D1">
        <w:rPr>
          <w:rFonts w:eastAsia="Times New Roman"/>
          <w:i/>
          <w:color w:val="000000" w:themeColor="text1"/>
          <w:sz w:val="24"/>
          <w:szCs w:val="24"/>
        </w:rPr>
        <w:t>4</w:t>
      </w:r>
      <w:r w:rsidRPr="000332D1">
        <w:rPr>
          <w:rFonts w:eastAsia="Times New Roman"/>
          <w:color w:val="000000" w:themeColor="text1"/>
          <w:sz w:val="24"/>
          <w:szCs w:val="24"/>
        </w:rPr>
        <w:t>(1), BMJ Open Respiratory Research, 19 October 2017, Vol.4(1).</w:t>
      </w:r>
    </w:p>
    <w:p w:rsidR="00F652AD" w:rsidRPr="000332D1" w:rsidRDefault="00F652AD" w:rsidP="00F652AD">
      <w:pPr>
        <w:spacing w:line="480" w:lineRule="auto"/>
        <w:ind w:left="720" w:hanging="720"/>
        <w:rPr>
          <w:rFonts w:eastAsia="Times New Roman" w:cs="Arial"/>
          <w:color w:val="000000" w:themeColor="text1"/>
          <w:sz w:val="24"/>
          <w:szCs w:val="24"/>
          <w:shd w:val="clear" w:color="auto" w:fill="FFFFFF"/>
        </w:rPr>
      </w:pPr>
      <w:proofErr w:type="spellStart"/>
      <w:r w:rsidRPr="000332D1">
        <w:rPr>
          <w:rFonts w:eastAsia="Times New Roman" w:cs="Arial"/>
          <w:color w:val="000000" w:themeColor="text1"/>
          <w:sz w:val="24"/>
          <w:szCs w:val="24"/>
          <w:shd w:val="clear" w:color="auto" w:fill="FFFFFF"/>
        </w:rPr>
        <w:t>Henkle</w:t>
      </w:r>
      <w:proofErr w:type="spellEnd"/>
      <w:r w:rsidRPr="000332D1">
        <w:rPr>
          <w:rFonts w:eastAsia="Times New Roman" w:cs="Arial"/>
          <w:color w:val="000000" w:themeColor="text1"/>
          <w:sz w:val="24"/>
          <w:szCs w:val="24"/>
          <w:shd w:val="clear" w:color="auto" w:fill="FFFFFF"/>
        </w:rPr>
        <w:t xml:space="preserve">, E., Hedberg, K., Schafer, S., </w:t>
      </w:r>
      <w:proofErr w:type="spellStart"/>
      <w:r w:rsidRPr="000332D1">
        <w:rPr>
          <w:rFonts w:eastAsia="Times New Roman" w:cs="Arial"/>
          <w:color w:val="000000" w:themeColor="text1"/>
          <w:sz w:val="24"/>
          <w:szCs w:val="24"/>
          <w:shd w:val="clear" w:color="auto" w:fill="FFFFFF"/>
        </w:rPr>
        <w:t>Novosad</w:t>
      </w:r>
      <w:proofErr w:type="spellEnd"/>
      <w:r w:rsidRPr="000332D1">
        <w:rPr>
          <w:rFonts w:eastAsia="Times New Roman" w:cs="Arial"/>
          <w:color w:val="000000" w:themeColor="text1"/>
          <w:sz w:val="24"/>
          <w:szCs w:val="24"/>
          <w:shd w:val="clear" w:color="auto" w:fill="FFFFFF"/>
        </w:rPr>
        <w:t>, S., &amp; Winthrop, K. L. (2015). Population-based incidence of pulmonary nontuberculous mycobacterial disease in Oregon 2007 to 2012. </w:t>
      </w:r>
      <w:r w:rsidRPr="000332D1">
        <w:rPr>
          <w:rFonts w:eastAsia="Times New Roman" w:cs="Arial"/>
          <w:i/>
          <w:iCs/>
          <w:color w:val="000000" w:themeColor="text1"/>
          <w:sz w:val="24"/>
          <w:szCs w:val="24"/>
          <w:shd w:val="clear" w:color="auto" w:fill="FFFFFF"/>
        </w:rPr>
        <w:t>Annals of the American Thoracic Society</w:t>
      </w:r>
      <w:r w:rsidRPr="000332D1">
        <w:rPr>
          <w:rFonts w:eastAsia="Times New Roman" w:cs="Arial"/>
          <w:color w:val="000000" w:themeColor="text1"/>
          <w:sz w:val="24"/>
          <w:szCs w:val="24"/>
          <w:shd w:val="clear" w:color="auto" w:fill="FFFFFF"/>
        </w:rPr>
        <w:t>, </w:t>
      </w:r>
      <w:r w:rsidRPr="000332D1">
        <w:rPr>
          <w:rFonts w:eastAsia="Times New Roman" w:cs="Arial"/>
          <w:i/>
          <w:iCs/>
          <w:color w:val="000000" w:themeColor="text1"/>
          <w:sz w:val="24"/>
          <w:szCs w:val="24"/>
          <w:shd w:val="clear" w:color="auto" w:fill="FFFFFF"/>
        </w:rPr>
        <w:t>12</w:t>
      </w:r>
      <w:r w:rsidRPr="000332D1">
        <w:rPr>
          <w:rFonts w:eastAsia="Times New Roman" w:cs="Arial"/>
          <w:color w:val="000000" w:themeColor="text1"/>
          <w:sz w:val="24"/>
          <w:szCs w:val="24"/>
          <w:shd w:val="clear" w:color="auto" w:fill="FFFFFF"/>
        </w:rPr>
        <w:t>(5), 642-647.</w:t>
      </w:r>
    </w:p>
    <w:p w:rsidR="00F652AD" w:rsidRPr="000332D1" w:rsidRDefault="00F652AD" w:rsidP="00F652AD">
      <w:pPr>
        <w:spacing w:line="480" w:lineRule="auto"/>
        <w:ind w:left="720" w:hanging="720"/>
        <w:rPr>
          <w:rFonts w:eastAsia="Times New Roman" w:cs="Arial"/>
          <w:color w:val="000000" w:themeColor="text1"/>
          <w:sz w:val="24"/>
          <w:szCs w:val="24"/>
          <w:shd w:val="clear" w:color="auto" w:fill="FFFFFF"/>
        </w:rPr>
      </w:pPr>
      <w:proofErr w:type="spellStart"/>
      <w:r w:rsidRPr="000332D1">
        <w:rPr>
          <w:rFonts w:eastAsia="Times New Roman" w:cs="Arial"/>
          <w:color w:val="000000" w:themeColor="text1"/>
          <w:sz w:val="24"/>
          <w:szCs w:val="24"/>
          <w:shd w:val="clear" w:color="auto" w:fill="FFFFFF"/>
        </w:rPr>
        <w:t>Henkle</w:t>
      </w:r>
      <w:proofErr w:type="spellEnd"/>
      <w:r w:rsidRPr="000332D1">
        <w:rPr>
          <w:rFonts w:eastAsia="Times New Roman" w:cs="Arial"/>
          <w:color w:val="000000" w:themeColor="text1"/>
          <w:sz w:val="24"/>
          <w:szCs w:val="24"/>
          <w:shd w:val="clear" w:color="auto" w:fill="FFFFFF"/>
        </w:rPr>
        <w:t xml:space="preserve">, E., Hedberg, K., Schafer, S., &amp; Winthrop, K. (2017). Surveillance of extrapulmonary nontuberculous mycobacteria infections, Oregon, USA, 2007-2012. </w:t>
      </w:r>
      <w:r w:rsidRPr="000332D1">
        <w:rPr>
          <w:rFonts w:eastAsia="Times New Roman" w:cs="Arial"/>
          <w:i/>
          <w:color w:val="000000" w:themeColor="text1"/>
          <w:sz w:val="24"/>
          <w:szCs w:val="24"/>
          <w:shd w:val="clear" w:color="auto" w:fill="FFFFFF"/>
        </w:rPr>
        <w:t>Emerging Infectious Diseases</w:t>
      </w:r>
      <w:r w:rsidRPr="000332D1">
        <w:rPr>
          <w:rFonts w:eastAsia="Times New Roman" w:cs="Arial"/>
          <w:color w:val="000000" w:themeColor="text1"/>
          <w:sz w:val="24"/>
          <w:szCs w:val="24"/>
          <w:shd w:val="clear" w:color="auto" w:fill="FFFFFF"/>
        </w:rPr>
        <w:t xml:space="preserve">, </w:t>
      </w:r>
      <w:r w:rsidRPr="000332D1">
        <w:rPr>
          <w:rFonts w:eastAsia="Times New Roman" w:cs="Arial"/>
          <w:i/>
          <w:color w:val="000000" w:themeColor="text1"/>
          <w:sz w:val="24"/>
          <w:szCs w:val="24"/>
          <w:shd w:val="clear" w:color="auto" w:fill="FFFFFF"/>
        </w:rPr>
        <w:t>23</w:t>
      </w:r>
      <w:r w:rsidRPr="000332D1">
        <w:rPr>
          <w:rFonts w:eastAsia="Times New Roman" w:cs="Arial"/>
          <w:color w:val="000000" w:themeColor="text1"/>
          <w:sz w:val="24"/>
          <w:szCs w:val="24"/>
          <w:shd w:val="clear" w:color="auto" w:fill="FFFFFF"/>
        </w:rPr>
        <w:t>(10), 1627-1630.</w:t>
      </w:r>
    </w:p>
    <w:p w:rsidR="00F652AD" w:rsidRPr="000332D1" w:rsidRDefault="00F652AD" w:rsidP="00F652AD">
      <w:pPr>
        <w:spacing w:line="480" w:lineRule="auto"/>
        <w:ind w:left="720" w:hanging="720"/>
        <w:rPr>
          <w:rFonts w:eastAsia="Times New Roman"/>
          <w:color w:val="000000" w:themeColor="text1"/>
          <w:sz w:val="24"/>
          <w:szCs w:val="24"/>
        </w:rPr>
      </w:pPr>
      <w:r w:rsidRPr="000332D1">
        <w:rPr>
          <w:rFonts w:eastAsia="Times New Roman"/>
          <w:color w:val="000000" w:themeColor="text1"/>
          <w:sz w:val="24"/>
          <w:szCs w:val="24"/>
          <w:shd w:val="clear" w:color="auto" w:fill="FFFFFF"/>
        </w:rPr>
        <w:t>Li, T., Abebe, L.S., Cronk, R., &amp; Bartram, J. (2017). A systematic review of waterborne infections from nontuberculous mycobacteria in health care facility water systems.</w:t>
      </w:r>
      <w:r w:rsidRPr="000332D1">
        <w:rPr>
          <w:rStyle w:val="apple-converted-space"/>
          <w:rFonts w:eastAsia="Times New Roman"/>
          <w:color w:val="000000" w:themeColor="text1"/>
          <w:sz w:val="24"/>
          <w:szCs w:val="24"/>
          <w:shd w:val="clear" w:color="auto" w:fill="FFFFFF"/>
        </w:rPr>
        <w:t> </w:t>
      </w:r>
      <w:r w:rsidRPr="000332D1">
        <w:rPr>
          <w:rFonts w:eastAsia="Times New Roman"/>
          <w:i/>
          <w:iCs/>
          <w:color w:val="000000" w:themeColor="text1"/>
          <w:sz w:val="24"/>
          <w:szCs w:val="24"/>
        </w:rPr>
        <w:t>International Journal of Hygiene and Environmental Health, 220</w:t>
      </w:r>
      <w:r w:rsidRPr="000332D1">
        <w:rPr>
          <w:rFonts w:eastAsia="Times New Roman"/>
          <w:color w:val="000000" w:themeColor="text1"/>
          <w:sz w:val="24"/>
          <w:szCs w:val="24"/>
          <w:shd w:val="clear" w:color="auto" w:fill="FFFFFF"/>
        </w:rPr>
        <w:t>(3), 611-620.</w:t>
      </w:r>
    </w:p>
    <w:p w:rsidR="00F652AD" w:rsidRPr="000332D1" w:rsidRDefault="00F652AD" w:rsidP="00F652AD">
      <w:pPr>
        <w:spacing w:line="480" w:lineRule="auto"/>
        <w:ind w:left="720" w:hanging="720"/>
        <w:rPr>
          <w:rFonts w:eastAsia="Times New Roman"/>
          <w:color w:val="000000" w:themeColor="text1"/>
          <w:sz w:val="24"/>
          <w:szCs w:val="24"/>
        </w:rPr>
      </w:pPr>
      <w:proofErr w:type="spellStart"/>
      <w:r w:rsidRPr="000332D1">
        <w:rPr>
          <w:rFonts w:eastAsia="Times New Roman" w:cs="Arial"/>
          <w:color w:val="000000" w:themeColor="text1"/>
          <w:sz w:val="24"/>
          <w:szCs w:val="24"/>
          <w:shd w:val="clear" w:color="auto" w:fill="FFFFFF"/>
        </w:rPr>
        <w:t>Mirsaeidi</w:t>
      </w:r>
      <w:proofErr w:type="spellEnd"/>
      <w:r w:rsidRPr="000332D1">
        <w:rPr>
          <w:rFonts w:eastAsia="Times New Roman" w:cs="Arial"/>
          <w:color w:val="000000" w:themeColor="text1"/>
          <w:sz w:val="24"/>
          <w:szCs w:val="24"/>
          <w:shd w:val="clear" w:color="auto" w:fill="FFFFFF"/>
        </w:rPr>
        <w:t xml:space="preserve">, M., Machado, R. F., Garcia, J. G., &amp; </w:t>
      </w:r>
      <w:proofErr w:type="spellStart"/>
      <w:r w:rsidRPr="000332D1">
        <w:rPr>
          <w:rFonts w:eastAsia="Times New Roman" w:cs="Arial"/>
          <w:color w:val="000000" w:themeColor="text1"/>
          <w:sz w:val="24"/>
          <w:szCs w:val="24"/>
          <w:shd w:val="clear" w:color="auto" w:fill="FFFFFF"/>
        </w:rPr>
        <w:t>Schraufnagel</w:t>
      </w:r>
      <w:proofErr w:type="spellEnd"/>
      <w:r w:rsidRPr="000332D1">
        <w:rPr>
          <w:rFonts w:eastAsia="Times New Roman" w:cs="Arial"/>
          <w:color w:val="000000" w:themeColor="text1"/>
          <w:sz w:val="24"/>
          <w:szCs w:val="24"/>
          <w:shd w:val="clear" w:color="auto" w:fill="FFFFFF"/>
        </w:rPr>
        <w:t>, D. E. (2014). Nontuberculous mycobacterial disease mortality in the United States, 1999–2010: a population-based comparative study. </w:t>
      </w:r>
      <w:proofErr w:type="spellStart"/>
      <w:r w:rsidRPr="000332D1">
        <w:rPr>
          <w:rFonts w:eastAsia="Times New Roman" w:cs="Arial"/>
          <w:i/>
          <w:iCs/>
          <w:color w:val="000000" w:themeColor="text1"/>
          <w:sz w:val="24"/>
          <w:szCs w:val="24"/>
        </w:rPr>
        <w:t>PloS</w:t>
      </w:r>
      <w:proofErr w:type="spellEnd"/>
      <w:r w:rsidRPr="000332D1">
        <w:rPr>
          <w:rFonts w:eastAsia="Times New Roman" w:cs="Arial"/>
          <w:i/>
          <w:iCs/>
          <w:color w:val="000000" w:themeColor="text1"/>
          <w:sz w:val="24"/>
          <w:szCs w:val="24"/>
        </w:rPr>
        <w:t xml:space="preserve"> One</w:t>
      </w:r>
      <w:r w:rsidRPr="000332D1">
        <w:rPr>
          <w:rFonts w:eastAsia="Times New Roman" w:cs="Arial"/>
          <w:color w:val="000000" w:themeColor="text1"/>
          <w:sz w:val="24"/>
          <w:szCs w:val="24"/>
          <w:shd w:val="clear" w:color="auto" w:fill="FFFFFF"/>
        </w:rPr>
        <w:t>, </w:t>
      </w:r>
      <w:r w:rsidRPr="000332D1">
        <w:rPr>
          <w:rFonts w:eastAsia="Times New Roman" w:cs="Arial"/>
          <w:i/>
          <w:iCs/>
          <w:color w:val="000000" w:themeColor="text1"/>
          <w:sz w:val="24"/>
          <w:szCs w:val="24"/>
        </w:rPr>
        <w:t>9</w:t>
      </w:r>
      <w:r w:rsidRPr="000332D1">
        <w:rPr>
          <w:rFonts w:eastAsia="Times New Roman" w:cs="Arial"/>
          <w:color w:val="000000" w:themeColor="text1"/>
          <w:sz w:val="24"/>
          <w:szCs w:val="24"/>
          <w:shd w:val="clear" w:color="auto" w:fill="FFFFFF"/>
        </w:rPr>
        <w:t>(3), e91879.</w:t>
      </w:r>
    </w:p>
    <w:p w:rsidR="00F652AD" w:rsidRPr="000332D1" w:rsidRDefault="00F652AD" w:rsidP="00F652AD">
      <w:pPr>
        <w:spacing w:line="480" w:lineRule="auto"/>
        <w:ind w:left="720" w:hanging="720"/>
        <w:rPr>
          <w:rFonts w:eastAsia="Times New Roman"/>
          <w:color w:val="000000" w:themeColor="text1"/>
          <w:sz w:val="24"/>
          <w:szCs w:val="24"/>
          <w:shd w:val="clear" w:color="auto" w:fill="FFFFFF"/>
        </w:rPr>
      </w:pPr>
      <w:proofErr w:type="spellStart"/>
      <w:r w:rsidRPr="000332D1">
        <w:rPr>
          <w:rFonts w:eastAsia="Times New Roman"/>
          <w:color w:val="000000" w:themeColor="text1"/>
          <w:sz w:val="24"/>
          <w:szCs w:val="24"/>
          <w:shd w:val="clear" w:color="auto" w:fill="FFFFFF"/>
        </w:rPr>
        <w:t>Ninh</w:t>
      </w:r>
      <w:proofErr w:type="spellEnd"/>
      <w:r w:rsidRPr="000332D1">
        <w:rPr>
          <w:rFonts w:eastAsia="Times New Roman"/>
          <w:color w:val="000000" w:themeColor="text1"/>
          <w:sz w:val="24"/>
          <w:szCs w:val="24"/>
          <w:shd w:val="clear" w:color="auto" w:fill="FFFFFF"/>
        </w:rPr>
        <w:t>, A., Weiner, M., &amp; Goldberg, A. (2017). Healthcare-Associated Mycobacterium chimaera infection subsequent to heater-cooler device exposure during cardiac surgery.</w:t>
      </w:r>
      <w:r w:rsidRPr="000332D1">
        <w:rPr>
          <w:rStyle w:val="apple-converted-space"/>
          <w:rFonts w:eastAsia="Times New Roman"/>
          <w:color w:val="000000" w:themeColor="text1"/>
          <w:sz w:val="24"/>
          <w:szCs w:val="24"/>
          <w:shd w:val="clear" w:color="auto" w:fill="FFFFFF"/>
        </w:rPr>
        <w:t> </w:t>
      </w:r>
      <w:r w:rsidRPr="000332D1">
        <w:rPr>
          <w:rFonts w:eastAsia="Times New Roman"/>
          <w:i/>
          <w:iCs/>
          <w:color w:val="000000" w:themeColor="text1"/>
          <w:sz w:val="24"/>
          <w:szCs w:val="24"/>
        </w:rPr>
        <w:t>Journal of Cardiothoracic and Vascular Anesthesia</w:t>
      </w:r>
      <w:r w:rsidRPr="000332D1">
        <w:rPr>
          <w:rFonts w:eastAsia="Times New Roman"/>
          <w:color w:val="000000" w:themeColor="text1"/>
          <w:sz w:val="24"/>
          <w:szCs w:val="24"/>
          <w:shd w:val="clear" w:color="auto" w:fill="FFFFFF"/>
        </w:rPr>
        <w:t>, 31(5), 1831-1835.</w:t>
      </w:r>
    </w:p>
    <w:p w:rsidR="00F652AD" w:rsidRPr="000332D1" w:rsidRDefault="00F652AD" w:rsidP="00F652AD">
      <w:pPr>
        <w:spacing w:line="480" w:lineRule="auto"/>
        <w:ind w:left="720" w:hanging="720"/>
        <w:rPr>
          <w:color w:val="000000" w:themeColor="text1"/>
          <w:sz w:val="24"/>
          <w:szCs w:val="24"/>
        </w:rPr>
      </w:pPr>
      <w:r w:rsidRPr="000332D1">
        <w:rPr>
          <w:color w:val="000000" w:themeColor="text1"/>
          <w:sz w:val="24"/>
          <w:szCs w:val="24"/>
        </w:rPr>
        <w:t xml:space="preserve">Phillips, M. S., &amp; Von </w:t>
      </w:r>
      <w:proofErr w:type="spellStart"/>
      <w:r w:rsidRPr="000332D1">
        <w:rPr>
          <w:color w:val="000000" w:themeColor="text1"/>
          <w:sz w:val="24"/>
          <w:szCs w:val="24"/>
        </w:rPr>
        <w:t>Reyn</w:t>
      </w:r>
      <w:proofErr w:type="spellEnd"/>
      <w:r w:rsidRPr="000332D1">
        <w:rPr>
          <w:color w:val="000000" w:themeColor="text1"/>
          <w:sz w:val="24"/>
          <w:szCs w:val="24"/>
        </w:rPr>
        <w:t xml:space="preserve">, C. F. (2001). Nosocomial infections due to nontuberculous mycobacteria. </w:t>
      </w:r>
      <w:r w:rsidRPr="000332D1">
        <w:rPr>
          <w:i/>
          <w:iCs/>
          <w:color w:val="000000" w:themeColor="text1"/>
          <w:sz w:val="24"/>
          <w:szCs w:val="24"/>
        </w:rPr>
        <w:t>Clinical infectious diseases</w:t>
      </w:r>
      <w:r w:rsidRPr="000332D1">
        <w:rPr>
          <w:color w:val="000000" w:themeColor="text1"/>
          <w:sz w:val="24"/>
          <w:szCs w:val="24"/>
        </w:rPr>
        <w:t xml:space="preserve">, </w:t>
      </w:r>
      <w:r w:rsidRPr="000332D1">
        <w:rPr>
          <w:i/>
          <w:iCs/>
          <w:color w:val="000000" w:themeColor="text1"/>
          <w:sz w:val="24"/>
          <w:szCs w:val="24"/>
        </w:rPr>
        <w:t>33</w:t>
      </w:r>
      <w:r w:rsidRPr="000332D1">
        <w:rPr>
          <w:color w:val="000000" w:themeColor="text1"/>
          <w:sz w:val="24"/>
          <w:szCs w:val="24"/>
        </w:rPr>
        <w:t>(8), 1363-1374.</w:t>
      </w:r>
    </w:p>
    <w:p w:rsidR="00F652AD" w:rsidRPr="000332D1" w:rsidRDefault="00F652AD" w:rsidP="00F652AD">
      <w:pPr>
        <w:spacing w:line="480" w:lineRule="auto"/>
        <w:ind w:left="720" w:hanging="720"/>
        <w:rPr>
          <w:rFonts w:eastAsia="Times New Roman" w:cs="Arial"/>
          <w:color w:val="000000" w:themeColor="text1"/>
          <w:sz w:val="24"/>
          <w:szCs w:val="24"/>
          <w:shd w:val="clear" w:color="auto" w:fill="FFFFFF"/>
        </w:rPr>
      </w:pPr>
      <w:proofErr w:type="spellStart"/>
      <w:r w:rsidRPr="000332D1">
        <w:rPr>
          <w:color w:val="000000" w:themeColor="text1"/>
          <w:sz w:val="24"/>
          <w:szCs w:val="24"/>
        </w:rPr>
        <w:lastRenderedPageBreak/>
        <w:t>Piersimoni</w:t>
      </w:r>
      <w:proofErr w:type="spellEnd"/>
      <w:r w:rsidRPr="000332D1">
        <w:rPr>
          <w:color w:val="000000" w:themeColor="text1"/>
          <w:sz w:val="24"/>
          <w:szCs w:val="24"/>
        </w:rPr>
        <w:t xml:space="preserve">, C., &amp; </w:t>
      </w:r>
      <w:proofErr w:type="spellStart"/>
      <w:r w:rsidRPr="000332D1">
        <w:rPr>
          <w:color w:val="000000" w:themeColor="text1"/>
          <w:sz w:val="24"/>
          <w:szCs w:val="24"/>
        </w:rPr>
        <w:t>Scarparo</w:t>
      </w:r>
      <w:proofErr w:type="spellEnd"/>
      <w:r w:rsidRPr="000332D1">
        <w:rPr>
          <w:color w:val="000000" w:themeColor="text1"/>
          <w:sz w:val="24"/>
          <w:szCs w:val="24"/>
        </w:rPr>
        <w:t xml:space="preserve">, C. (2009). Extrapulmonary infections associated with nontuberculous mycobacteria in immunocompetent persons. </w:t>
      </w:r>
      <w:r w:rsidRPr="000332D1">
        <w:rPr>
          <w:i/>
          <w:iCs/>
          <w:color w:val="000000" w:themeColor="text1"/>
          <w:sz w:val="24"/>
          <w:szCs w:val="24"/>
        </w:rPr>
        <w:t>Emerging infectious diseases</w:t>
      </w:r>
      <w:r w:rsidRPr="000332D1">
        <w:rPr>
          <w:color w:val="000000" w:themeColor="text1"/>
          <w:sz w:val="24"/>
          <w:szCs w:val="24"/>
        </w:rPr>
        <w:t xml:space="preserve">, </w:t>
      </w:r>
      <w:r w:rsidRPr="000332D1">
        <w:rPr>
          <w:i/>
          <w:iCs/>
          <w:color w:val="000000" w:themeColor="text1"/>
          <w:sz w:val="24"/>
          <w:szCs w:val="24"/>
        </w:rPr>
        <w:t>15</w:t>
      </w:r>
      <w:r w:rsidRPr="000332D1">
        <w:rPr>
          <w:color w:val="000000" w:themeColor="text1"/>
          <w:sz w:val="24"/>
          <w:szCs w:val="24"/>
        </w:rPr>
        <w:t>(9), 1351.</w:t>
      </w:r>
    </w:p>
    <w:p w:rsidR="00F652AD" w:rsidRPr="000332D1" w:rsidRDefault="00F652AD" w:rsidP="00F652AD">
      <w:pPr>
        <w:spacing w:line="480" w:lineRule="auto"/>
        <w:ind w:left="720" w:hanging="720"/>
        <w:rPr>
          <w:rFonts w:eastAsia="Times New Roman" w:cs="Arial"/>
          <w:color w:val="000000" w:themeColor="text1"/>
          <w:sz w:val="24"/>
          <w:szCs w:val="24"/>
          <w:shd w:val="clear" w:color="auto" w:fill="FFFFFF"/>
        </w:rPr>
      </w:pPr>
      <w:proofErr w:type="spellStart"/>
      <w:r w:rsidRPr="000332D1">
        <w:rPr>
          <w:rFonts w:eastAsia="Times New Roman" w:cs="Arial"/>
          <w:color w:val="000000" w:themeColor="text1"/>
          <w:sz w:val="24"/>
          <w:szCs w:val="24"/>
          <w:shd w:val="clear" w:color="auto" w:fill="FFFFFF"/>
        </w:rPr>
        <w:t>Prevots</w:t>
      </w:r>
      <w:proofErr w:type="spellEnd"/>
      <w:r w:rsidRPr="000332D1">
        <w:rPr>
          <w:rFonts w:eastAsia="Times New Roman" w:cs="Arial"/>
          <w:color w:val="000000" w:themeColor="text1"/>
          <w:sz w:val="24"/>
          <w:szCs w:val="24"/>
          <w:shd w:val="clear" w:color="auto" w:fill="FFFFFF"/>
        </w:rPr>
        <w:t xml:space="preserve">, D. R., &amp; </w:t>
      </w:r>
      <w:proofErr w:type="spellStart"/>
      <w:r w:rsidRPr="000332D1">
        <w:rPr>
          <w:rFonts w:eastAsia="Times New Roman" w:cs="Arial"/>
          <w:color w:val="000000" w:themeColor="text1"/>
          <w:sz w:val="24"/>
          <w:szCs w:val="24"/>
          <w:shd w:val="clear" w:color="auto" w:fill="FFFFFF"/>
        </w:rPr>
        <w:t>Marras</w:t>
      </w:r>
      <w:proofErr w:type="spellEnd"/>
      <w:r w:rsidRPr="000332D1">
        <w:rPr>
          <w:rFonts w:eastAsia="Times New Roman" w:cs="Arial"/>
          <w:color w:val="000000" w:themeColor="text1"/>
          <w:sz w:val="24"/>
          <w:szCs w:val="24"/>
          <w:shd w:val="clear" w:color="auto" w:fill="FFFFFF"/>
        </w:rPr>
        <w:t>, T. K. (2015). Epidemiology of human pulmonary infection with non-tuberculous mycobacteria: a review.</w:t>
      </w:r>
      <w:r w:rsidRPr="000332D1">
        <w:rPr>
          <w:rStyle w:val="apple-converted-space"/>
          <w:rFonts w:eastAsia="Times New Roman" w:cs="Arial"/>
          <w:color w:val="000000" w:themeColor="text1"/>
          <w:sz w:val="24"/>
          <w:szCs w:val="24"/>
          <w:shd w:val="clear" w:color="auto" w:fill="FFFFFF"/>
        </w:rPr>
        <w:t> </w:t>
      </w:r>
      <w:r w:rsidRPr="000332D1">
        <w:rPr>
          <w:rFonts w:eastAsia="Times New Roman" w:cs="Arial"/>
          <w:i/>
          <w:iCs/>
          <w:color w:val="000000" w:themeColor="text1"/>
          <w:sz w:val="24"/>
          <w:szCs w:val="24"/>
        </w:rPr>
        <w:t>Clinics in Chest Medicine</w:t>
      </w:r>
      <w:r w:rsidRPr="000332D1">
        <w:rPr>
          <w:rFonts w:eastAsia="Times New Roman" w:cs="Arial"/>
          <w:color w:val="000000" w:themeColor="text1"/>
          <w:sz w:val="24"/>
          <w:szCs w:val="24"/>
          <w:shd w:val="clear" w:color="auto" w:fill="FFFFFF"/>
        </w:rPr>
        <w:t>,</w:t>
      </w:r>
      <w:r w:rsidRPr="000332D1">
        <w:rPr>
          <w:rStyle w:val="apple-converted-space"/>
          <w:rFonts w:eastAsia="Times New Roman" w:cs="Arial"/>
          <w:color w:val="000000" w:themeColor="text1"/>
          <w:sz w:val="24"/>
          <w:szCs w:val="24"/>
          <w:shd w:val="clear" w:color="auto" w:fill="FFFFFF"/>
        </w:rPr>
        <w:t> </w:t>
      </w:r>
      <w:r w:rsidRPr="000332D1">
        <w:rPr>
          <w:rFonts w:eastAsia="Times New Roman" w:cs="Arial"/>
          <w:i/>
          <w:iCs/>
          <w:color w:val="000000" w:themeColor="text1"/>
          <w:sz w:val="24"/>
          <w:szCs w:val="24"/>
        </w:rPr>
        <w:t>36</w:t>
      </w:r>
      <w:r w:rsidRPr="000332D1">
        <w:rPr>
          <w:rFonts w:eastAsia="Times New Roman" w:cs="Arial"/>
          <w:color w:val="000000" w:themeColor="text1"/>
          <w:sz w:val="24"/>
          <w:szCs w:val="24"/>
          <w:shd w:val="clear" w:color="auto" w:fill="FFFFFF"/>
        </w:rPr>
        <w:t>(1), 13.</w:t>
      </w:r>
    </w:p>
    <w:p w:rsidR="00F652AD" w:rsidRPr="000332D1" w:rsidRDefault="00F652AD" w:rsidP="00F652AD">
      <w:pPr>
        <w:spacing w:line="480" w:lineRule="auto"/>
        <w:ind w:left="720" w:hanging="720"/>
        <w:rPr>
          <w:rFonts w:eastAsia="Times New Roman" w:cs="Arial"/>
          <w:color w:val="000000" w:themeColor="text1"/>
          <w:sz w:val="24"/>
          <w:szCs w:val="24"/>
          <w:shd w:val="clear" w:color="auto" w:fill="FFFFFF"/>
        </w:rPr>
      </w:pPr>
      <w:proofErr w:type="spellStart"/>
      <w:r w:rsidRPr="000332D1">
        <w:rPr>
          <w:rFonts w:eastAsia="Times New Roman" w:cs="Arial"/>
          <w:color w:val="000000" w:themeColor="text1"/>
          <w:sz w:val="24"/>
          <w:szCs w:val="24"/>
          <w:shd w:val="clear" w:color="auto" w:fill="FFFFFF"/>
        </w:rPr>
        <w:t>Prevots</w:t>
      </w:r>
      <w:proofErr w:type="spellEnd"/>
      <w:r w:rsidRPr="000332D1">
        <w:rPr>
          <w:rFonts w:eastAsia="Times New Roman" w:cs="Arial"/>
          <w:color w:val="000000" w:themeColor="text1"/>
          <w:sz w:val="24"/>
          <w:szCs w:val="24"/>
          <w:shd w:val="clear" w:color="auto" w:fill="FFFFFF"/>
        </w:rPr>
        <w:t xml:space="preserve">, D. R., Shaw, P. A., Strickland, D., Jackson, L. A., </w:t>
      </w:r>
      <w:proofErr w:type="spellStart"/>
      <w:r w:rsidRPr="000332D1">
        <w:rPr>
          <w:rFonts w:eastAsia="Times New Roman" w:cs="Arial"/>
          <w:color w:val="000000" w:themeColor="text1"/>
          <w:sz w:val="24"/>
          <w:szCs w:val="24"/>
          <w:shd w:val="clear" w:color="auto" w:fill="FFFFFF"/>
        </w:rPr>
        <w:t>Raebel</w:t>
      </w:r>
      <w:proofErr w:type="spellEnd"/>
      <w:r w:rsidRPr="000332D1">
        <w:rPr>
          <w:rFonts w:eastAsia="Times New Roman" w:cs="Arial"/>
          <w:color w:val="000000" w:themeColor="text1"/>
          <w:sz w:val="24"/>
          <w:szCs w:val="24"/>
          <w:shd w:val="clear" w:color="auto" w:fill="FFFFFF"/>
        </w:rPr>
        <w:t xml:space="preserve">, M. A., </w:t>
      </w:r>
      <w:proofErr w:type="spellStart"/>
      <w:r w:rsidRPr="000332D1">
        <w:rPr>
          <w:rFonts w:eastAsia="Times New Roman" w:cs="Arial"/>
          <w:color w:val="000000" w:themeColor="text1"/>
          <w:sz w:val="24"/>
          <w:szCs w:val="24"/>
          <w:shd w:val="clear" w:color="auto" w:fill="FFFFFF"/>
        </w:rPr>
        <w:t>Blosky</w:t>
      </w:r>
      <w:proofErr w:type="spellEnd"/>
      <w:r w:rsidRPr="000332D1">
        <w:rPr>
          <w:rFonts w:eastAsia="Times New Roman" w:cs="Arial"/>
          <w:color w:val="000000" w:themeColor="text1"/>
          <w:sz w:val="24"/>
          <w:szCs w:val="24"/>
          <w:shd w:val="clear" w:color="auto" w:fill="FFFFFF"/>
        </w:rPr>
        <w:t>, M. A., ... &amp; Olivier, K. N. (2010). Nontuberculous mycobacterial lung disease prevalence at four integrated health care delivery systems. </w:t>
      </w:r>
      <w:r w:rsidRPr="000332D1">
        <w:rPr>
          <w:rFonts w:eastAsia="Times New Roman" w:cs="Arial"/>
          <w:i/>
          <w:iCs/>
          <w:color w:val="000000" w:themeColor="text1"/>
          <w:sz w:val="24"/>
          <w:szCs w:val="24"/>
        </w:rPr>
        <w:t>American Journal of Respiratory and Critical Care Medicine</w:t>
      </w:r>
      <w:r w:rsidRPr="000332D1">
        <w:rPr>
          <w:rFonts w:eastAsia="Times New Roman" w:cs="Arial"/>
          <w:color w:val="000000" w:themeColor="text1"/>
          <w:sz w:val="24"/>
          <w:szCs w:val="24"/>
          <w:shd w:val="clear" w:color="auto" w:fill="FFFFFF"/>
        </w:rPr>
        <w:t>, </w:t>
      </w:r>
      <w:r w:rsidRPr="000332D1">
        <w:rPr>
          <w:rFonts w:eastAsia="Times New Roman" w:cs="Arial"/>
          <w:i/>
          <w:iCs/>
          <w:color w:val="000000" w:themeColor="text1"/>
          <w:sz w:val="24"/>
          <w:szCs w:val="24"/>
        </w:rPr>
        <w:t>182</w:t>
      </w:r>
      <w:r w:rsidRPr="000332D1">
        <w:rPr>
          <w:rFonts w:eastAsia="Times New Roman" w:cs="Arial"/>
          <w:color w:val="000000" w:themeColor="text1"/>
          <w:sz w:val="24"/>
          <w:szCs w:val="24"/>
          <w:shd w:val="clear" w:color="auto" w:fill="FFFFFF"/>
        </w:rPr>
        <w:t>(7), 970-976.</w:t>
      </w:r>
    </w:p>
    <w:p w:rsidR="00F652AD" w:rsidRPr="000332D1" w:rsidRDefault="00F652AD" w:rsidP="00F652AD">
      <w:pPr>
        <w:spacing w:line="480" w:lineRule="auto"/>
        <w:ind w:left="720" w:hanging="720"/>
        <w:rPr>
          <w:rFonts w:eastAsia="Times New Roman" w:cs="Arial"/>
          <w:color w:val="000000" w:themeColor="text1"/>
          <w:sz w:val="24"/>
          <w:szCs w:val="24"/>
          <w:shd w:val="clear" w:color="auto" w:fill="FFFFFF"/>
        </w:rPr>
      </w:pPr>
      <w:r w:rsidRPr="000332D1">
        <w:rPr>
          <w:rFonts w:eastAsia="Times New Roman" w:cs="Arial"/>
          <w:color w:val="000000" w:themeColor="text1"/>
          <w:sz w:val="24"/>
          <w:szCs w:val="24"/>
          <w:shd w:val="clear" w:color="auto" w:fill="FFFFFF"/>
        </w:rPr>
        <w:t xml:space="preserve">Smith, G., </w:t>
      </w:r>
      <w:proofErr w:type="spellStart"/>
      <w:r w:rsidRPr="000332D1">
        <w:rPr>
          <w:rFonts w:eastAsia="Times New Roman" w:cs="Arial"/>
          <w:color w:val="000000" w:themeColor="text1"/>
          <w:sz w:val="24"/>
          <w:szCs w:val="24"/>
          <w:shd w:val="clear" w:color="auto" w:fill="FFFFFF"/>
        </w:rPr>
        <w:t>Ghio</w:t>
      </w:r>
      <w:proofErr w:type="spellEnd"/>
      <w:r w:rsidRPr="000332D1">
        <w:rPr>
          <w:rFonts w:eastAsia="Times New Roman" w:cs="Arial"/>
          <w:color w:val="000000" w:themeColor="text1"/>
          <w:sz w:val="24"/>
          <w:szCs w:val="24"/>
          <w:shd w:val="clear" w:color="auto" w:fill="FFFFFF"/>
        </w:rPr>
        <w:t xml:space="preserve">, A., Stout, J., Messier, K., Hudgens, E., Murphy, M., . . . </w:t>
      </w:r>
      <w:proofErr w:type="spellStart"/>
      <w:r w:rsidRPr="000332D1">
        <w:rPr>
          <w:rFonts w:eastAsia="Times New Roman" w:cs="Arial"/>
          <w:color w:val="000000" w:themeColor="text1"/>
          <w:sz w:val="24"/>
          <w:szCs w:val="24"/>
          <w:shd w:val="clear" w:color="auto" w:fill="FFFFFF"/>
        </w:rPr>
        <w:t>Hilborn</w:t>
      </w:r>
      <w:proofErr w:type="spellEnd"/>
      <w:r w:rsidRPr="000332D1">
        <w:rPr>
          <w:rFonts w:eastAsia="Times New Roman" w:cs="Arial"/>
          <w:color w:val="000000" w:themeColor="text1"/>
          <w:sz w:val="24"/>
          <w:szCs w:val="24"/>
          <w:shd w:val="clear" w:color="auto" w:fill="FFFFFF"/>
        </w:rPr>
        <w:t xml:space="preserve">, </w:t>
      </w:r>
      <w:proofErr w:type="gramStart"/>
      <w:r w:rsidRPr="000332D1">
        <w:rPr>
          <w:rFonts w:eastAsia="Times New Roman" w:cs="Arial"/>
          <w:color w:val="000000" w:themeColor="text1"/>
          <w:sz w:val="24"/>
          <w:szCs w:val="24"/>
          <w:shd w:val="clear" w:color="auto" w:fill="FFFFFF"/>
        </w:rPr>
        <w:t>E..</w:t>
      </w:r>
      <w:proofErr w:type="gramEnd"/>
      <w:r w:rsidRPr="000332D1">
        <w:rPr>
          <w:rFonts w:eastAsia="Times New Roman" w:cs="Arial"/>
          <w:color w:val="000000" w:themeColor="text1"/>
          <w:sz w:val="24"/>
          <w:szCs w:val="24"/>
          <w:shd w:val="clear" w:color="auto" w:fill="FFFFFF"/>
        </w:rPr>
        <w:t xml:space="preserve"> (2016). Epidemiology of nontuberculous mycobacteria isolations among central North Carolina residents, 2006–2010. </w:t>
      </w:r>
      <w:r w:rsidRPr="000332D1">
        <w:rPr>
          <w:rFonts w:eastAsia="Times New Roman" w:cs="Arial"/>
          <w:i/>
          <w:iCs/>
          <w:color w:val="000000" w:themeColor="text1"/>
          <w:sz w:val="24"/>
          <w:szCs w:val="24"/>
          <w:shd w:val="clear" w:color="auto" w:fill="FFFFFF"/>
        </w:rPr>
        <w:t>Journal of Infection,72</w:t>
      </w:r>
      <w:r w:rsidRPr="000332D1">
        <w:rPr>
          <w:rFonts w:eastAsia="Times New Roman" w:cs="Arial"/>
          <w:color w:val="000000" w:themeColor="text1"/>
          <w:sz w:val="24"/>
          <w:szCs w:val="24"/>
          <w:shd w:val="clear" w:color="auto" w:fill="FFFFFF"/>
        </w:rPr>
        <w:t>(6), 678-686.</w:t>
      </w:r>
    </w:p>
    <w:p w:rsidR="00F652AD" w:rsidRPr="000332D1" w:rsidRDefault="00F652AD" w:rsidP="00F652AD">
      <w:pPr>
        <w:spacing w:line="480" w:lineRule="auto"/>
        <w:ind w:left="720" w:hanging="720"/>
        <w:rPr>
          <w:rFonts w:eastAsia="Times New Roman"/>
          <w:color w:val="000000" w:themeColor="text1"/>
          <w:sz w:val="24"/>
          <w:szCs w:val="24"/>
        </w:rPr>
      </w:pPr>
      <w:proofErr w:type="spellStart"/>
      <w:r w:rsidRPr="000332D1">
        <w:rPr>
          <w:rFonts w:eastAsia="Times New Roman"/>
          <w:color w:val="000000" w:themeColor="text1"/>
          <w:sz w:val="24"/>
          <w:szCs w:val="24"/>
          <w:shd w:val="clear" w:color="auto" w:fill="FFFFFF"/>
        </w:rPr>
        <w:t>Sommerstein</w:t>
      </w:r>
      <w:proofErr w:type="spellEnd"/>
      <w:r w:rsidRPr="000332D1">
        <w:rPr>
          <w:rFonts w:eastAsia="Times New Roman"/>
          <w:color w:val="000000" w:themeColor="text1"/>
          <w:sz w:val="24"/>
          <w:szCs w:val="24"/>
          <w:shd w:val="clear" w:color="auto" w:fill="FFFFFF"/>
        </w:rPr>
        <w:t xml:space="preserve">, R., Schreiber, P., </w:t>
      </w:r>
      <w:proofErr w:type="spellStart"/>
      <w:r w:rsidRPr="000332D1">
        <w:rPr>
          <w:rFonts w:eastAsia="Times New Roman"/>
          <w:color w:val="000000" w:themeColor="text1"/>
          <w:sz w:val="24"/>
          <w:szCs w:val="24"/>
          <w:shd w:val="clear" w:color="auto" w:fill="FFFFFF"/>
        </w:rPr>
        <w:t>Diekema</w:t>
      </w:r>
      <w:proofErr w:type="spellEnd"/>
      <w:r w:rsidRPr="000332D1">
        <w:rPr>
          <w:rFonts w:eastAsia="Times New Roman"/>
          <w:color w:val="000000" w:themeColor="text1"/>
          <w:sz w:val="24"/>
          <w:szCs w:val="24"/>
          <w:shd w:val="clear" w:color="auto" w:fill="FFFFFF"/>
        </w:rPr>
        <w:t xml:space="preserve">, D., Edmond, M., </w:t>
      </w:r>
      <w:proofErr w:type="spellStart"/>
      <w:r w:rsidRPr="000332D1">
        <w:rPr>
          <w:rFonts w:eastAsia="Times New Roman"/>
          <w:color w:val="000000" w:themeColor="text1"/>
          <w:sz w:val="24"/>
          <w:szCs w:val="24"/>
          <w:shd w:val="clear" w:color="auto" w:fill="FFFFFF"/>
        </w:rPr>
        <w:t>Hasse</w:t>
      </w:r>
      <w:proofErr w:type="spellEnd"/>
      <w:r w:rsidRPr="000332D1">
        <w:rPr>
          <w:rFonts w:eastAsia="Times New Roman"/>
          <w:color w:val="000000" w:themeColor="text1"/>
          <w:sz w:val="24"/>
          <w:szCs w:val="24"/>
          <w:shd w:val="clear" w:color="auto" w:fill="FFFFFF"/>
        </w:rPr>
        <w:t xml:space="preserve">, B., </w:t>
      </w:r>
      <w:proofErr w:type="spellStart"/>
      <w:r w:rsidRPr="000332D1">
        <w:rPr>
          <w:rFonts w:eastAsia="Times New Roman"/>
          <w:color w:val="000000" w:themeColor="text1"/>
          <w:sz w:val="24"/>
          <w:szCs w:val="24"/>
          <w:shd w:val="clear" w:color="auto" w:fill="FFFFFF"/>
        </w:rPr>
        <w:t>Marschall</w:t>
      </w:r>
      <w:proofErr w:type="spellEnd"/>
      <w:r w:rsidRPr="000332D1">
        <w:rPr>
          <w:rFonts w:eastAsia="Times New Roman"/>
          <w:color w:val="000000" w:themeColor="text1"/>
          <w:sz w:val="24"/>
          <w:szCs w:val="24"/>
          <w:shd w:val="clear" w:color="auto" w:fill="FFFFFF"/>
        </w:rPr>
        <w:t>, J., &amp; Sax, H. (2016). Mycobacterium chimaera outbreak associated with heater-cooler devices: piecing the puzzle together.</w:t>
      </w:r>
      <w:r w:rsidRPr="000332D1">
        <w:rPr>
          <w:rStyle w:val="apple-converted-space"/>
          <w:rFonts w:eastAsia="Times New Roman"/>
          <w:color w:val="000000" w:themeColor="text1"/>
          <w:sz w:val="24"/>
          <w:szCs w:val="24"/>
          <w:shd w:val="clear" w:color="auto" w:fill="FFFFFF"/>
        </w:rPr>
        <w:t> </w:t>
      </w:r>
      <w:r w:rsidRPr="000332D1">
        <w:rPr>
          <w:rFonts w:eastAsia="Times New Roman"/>
          <w:i/>
          <w:iCs/>
          <w:color w:val="000000" w:themeColor="text1"/>
          <w:sz w:val="24"/>
          <w:szCs w:val="24"/>
        </w:rPr>
        <w:t>Infection Control &amp; Hospital Epidemiology,</w:t>
      </w:r>
      <w:r w:rsidRPr="000332D1">
        <w:rPr>
          <w:rStyle w:val="apple-converted-space"/>
          <w:rFonts w:eastAsia="Times New Roman"/>
          <w:color w:val="000000" w:themeColor="text1"/>
          <w:sz w:val="24"/>
          <w:szCs w:val="24"/>
          <w:shd w:val="clear" w:color="auto" w:fill="FFFFFF"/>
        </w:rPr>
        <w:t> </w:t>
      </w:r>
      <w:r w:rsidRPr="000332D1">
        <w:rPr>
          <w:rFonts w:eastAsia="Times New Roman"/>
          <w:i/>
          <w:iCs/>
          <w:color w:val="000000" w:themeColor="text1"/>
          <w:sz w:val="24"/>
          <w:szCs w:val="24"/>
        </w:rPr>
        <w:t>38</w:t>
      </w:r>
      <w:r w:rsidRPr="000332D1">
        <w:rPr>
          <w:rFonts w:eastAsia="Times New Roman"/>
          <w:color w:val="000000" w:themeColor="text1"/>
          <w:sz w:val="24"/>
          <w:szCs w:val="24"/>
          <w:shd w:val="clear" w:color="auto" w:fill="FFFFFF"/>
        </w:rPr>
        <w:t>(1), 103-108.</w:t>
      </w:r>
    </w:p>
    <w:p w:rsidR="00F652AD" w:rsidRPr="000332D1" w:rsidRDefault="00F652AD" w:rsidP="00F652AD">
      <w:pPr>
        <w:spacing w:line="480" w:lineRule="auto"/>
        <w:ind w:left="720" w:hanging="720"/>
        <w:rPr>
          <w:rFonts w:eastAsia="Times New Roman" w:cs="Arial"/>
          <w:color w:val="000000" w:themeColor="text1"/>
          <w:sz w:val="24"/>
          <w:szCs w:val="24"/>
          <w:shd w:val="clear" w:color="auto" w:fill="FFFFFF"/>
        </w:rPr>
      </w:pPr>
      <w:proofErr w:type="spellStart"/>
      <w:r w:rsidRPr="000332D1">
        <w:rPr>
          <w:rFonts w:eastAsia="Times New Roman" w:cs="Arial"/>
          <w:color w:val="000000" w:themeColor="text1"/>
          <w:sz w:val="24"/>
          <w:szCs w:val="24"/>
          <w:shd w:val="clear" w:color="auto" w:fill="FFFFFF"/>
        </w:rPr>
        <w:t>Strollo</w:t>
      </w:r>
      <w:proofErr w:type="spellEnd"/>
      <w:r w:rsidRPr="000332D1">
        <w:rPr>
          <w:rFonts w:eastAsia="Times New Roman" w:cs="Arial"/>
          <w:color w:val="000000" w:themeColor="text1"/>
          <w:sz w:val="24"/>
          <w:szCs w:val="24"/>
          <w:shd w:val="clear" w:color="auto" w:fill="FFFFFF"/>
        </w:rPr>
        <w:t xml:space="preserve">, S. E., </w:t>
      </w:r>
      <w:proofErr w:type="spellStart"/>
      <w:r w:rsidRPr="000332D1">
        <w:rPr>
          <w:rFonts w:eastAsia="Times New Roman" w:cs="Arial"/>
          <w:color w:val="000000" w:themeColor="text1"/>
          <w:sz w:val="24"/>
          <w:szCs w:val="24"/>
          <w:shd w:val="clear" w:color="auto" w:fill="FFFFFF"/>
        </w:rPr>
        <w:t>Adjemian</w:t>
      </w:r>
      <w:proofErr w:type="spellEnd"/>
      <w:r w:rsidRPr="000332D1">
        <w:rPr>
          <w:rFonts w:eastAsia="Times New Roman" w:cs="Arial"/>
          <w:color w:val="000000" w:themeColor="text1"/>
          <w:sz w:val="24"/>
          <w:szCs w:val="24"/>
          <w:shd w:val="clear" w:color="auto" w:fill="FFFFFF"/>
        </w:rPr>
        <w:t xml:space="preserve">, J., </w:t>
      </w:r>
      <w:proofErr w:type="spellStart"/>
      <w:r w:rsidRPr="000332D1">
        <w:rPr>
          <w:rFonts w:eastAsia="Times New Roman" w:cs="Arial"/>
          <w:color w:val="000000" w:themeColor="text1"/>
          <w:sz w:val="24"/>
          <w:szCs w:val="24"/>
          <w:shd w:val="clear" w:color="auto" w:fill="FFFFFF"/>
        </w:rPr>
        <w:t>Adjemian</w:t>
      </w:r>
      <w:proofErr w:type="spellEnd"/>
      <w:r w:rsidRPr="000332D1">
        <w:rPr>
          <w:rFonts w:eastAsia="Times New Roman" w:cs="Arial"/>
          <w:color w:val="000000" w:themeColor="text1"/>
          <w:sz w:val="24"/>
          <w:szCs w:val="24"/>
          <w:shd w:val="clear" w:color="auto" w:fill="FFFFFF"/>
        </w:rPr>
        <w:t xml:space="preserve">, M. K., &amp; </w:t>
      </w:r>
      <w:proofErr w:type="spellStart"/>
      <w:r w:rsidRPr="000332D1">
        <w:rPr>
          <w:rFonts w:eastAsia="Times New Roman" w:cs="Arial"/>
          <w:color w:val="000000" w:themeColor="text1"/>
          <w:sz w:val="24"/>
          <w:szCs w:val="24"/>
          <w:shd w:val="clear" w:color="auto" w:fill="FFFFFF"/>
        </w:rPr>
        <w:t>Prevots</w:t>
      </w:r>
      <w:proofErr w:type="spellEnd"/>
      <w:r w:rsidRPr="000332D1">
        <w:rPr>
          <w:rFonts w:eastAsia="Times New Roman" w:cs="Arial"/>
          <w:color w:val="000000" w:themeColor="text1"/>
          <w:sz w:val="24"/>
          <w:szCs w:val="24"/>
          <w:shd w:val="clear" w:color="auto" w:fill="FFFFFF"/>
        </w:rPr>
        <w:t>, D. R. (2015). The burden of pulmonary nontuberculous mycobacterial disease in the United States. </w:t>
      </w:r>
      <w:r w:rsidRPr="000332D1">
        <w:rPr>
          <w:rFonts w:eastAsia="Times New Roman" w:cs="Arial"/>
          <w:i/>
          <w:iCs/>
          <w:color w:val="000000" w:themeColor="text1"/>
          <w:sz w:val="24"/>
          <w:szCs w:val="24"/>
        </w:rPr>
        <w:t>Annals of the American Thoracic Society</w:t>
      </w:r>
      <w:r w:rsidRPr="000332D1">
        <w:rPr>
          <w:rFonts w:eastAsia="Times New Roman" w:cs="Arial"/>
          <w:color w:val="000000" w:themeColor="text1"/>
          <w:sz w:val="24"/>
          <w:szCs w:val="24"/>
          <w:shd w:val="clear" w:color="auto" w:fill="FFFFFF"/>
        </w:rPr>
        <w:t>, </w:t>
      </w:r>
      <w:r w:rsidRPr="000332D1">
        <w:rPr>
          <w:rFonts w:eastAsia="Times New Roman" w:cs="Arial"/>
          <w:i/>
          <w:iCs/>
          <w:color w:val="000000" w:themeColor="text1"/>
          <w:sz w:val="24"/>
          <w:szCs w:val="24"/>
        </w:rPr>
        <w:t>12</w:t>
      </w:r>
      <w:r w:rsidRPr="000332D1">
        <w:rPr>
          <w:rFonts w:eastAsia="Times New Roman" w:cs="Arial"/>
          <w:color w:val="000000" w:themeColor="text1"/>
          <w:sz w:val="24"/>
          <w:szCs w:val="24"/>
          <w:shd w:val="clear" w:color="auto" w:fill="FFFFFF"/>
        </w:rPr>
        <w:t>(10), 1458-1464.</w:t>
      </w:r>
    </w:p>
    <w:p w:rsidR="00F652AD" w:rsidRPr="000332D1" w:rsidRDefault="00F652AD" w:rsidP="00F652AD">
      <w:pPr>
        <w:spacing w:line="480" w:lineRule="auto"/>
        <w:ind w:left="720" w:hanging="720"/>
        <w:rPr>
          <w:rFonts w:eastAsia="Times New Roman" w:cs="Arial"/>
          <w:color w:val="000000" w:themeColor="text1"/>
          <w:sz w:val="24"/>
          <w:szCs w:val="24"/>
          <w:shd w:val="clear" w:color="auto" w:fill="FFFFFF"/>
        </w:rPr>
      </w:pPr>
      <w:r w:rsidRPr="000332D1">
        <w:rPr>
          <w:rFonts w:eastAsia="Times New Roman" w:cs="Arial"/>
          <w:color w:val="000000" w:themeColor="text1"/>
          <w:sz w:val="24"/>
          <w:szCs w:val="24"/>
          <w:shd w:val="clear" w:color="auto" w:fill="FFFFFF"/>
        </w:rPr>
        <w:t xml:space="preserve">U.S. Census Bureau Population Division (2017). </w:t>
      </w:r>
      <w:r w:rsidRPr="000332D1">
        <w:rPr>
          <w:rFonts w:eastAsia="Times New Roman" w:cs="Arial"/>
          <w:i/>
          <w:color w:val="000000" w:themeColor="text1"/>
          <w:sz w:val="24"/>
          <w:szCs w:val="24"/>
          <w:shd w:val="clear" w:color="auto" w:fill="FFFFFF"/>
        </w:rPr>
        <w:t xml:space="preserve">Annual Estimates of the Nebraska Resident Population: April 1, 2010 to July 1, 2017 </w:t>
      </w:r>
      <w:r w:rsidRPr="000332D1">
        <w:rPr>
          <w:rFonts w:eastAsia="Times New Roman" w:cs="Arial"/>
          <w:color w:val="000000" w:themeColor="text1"/>
          <w:sz w:val="24"/>
          <w:szCs w:val="24"/>
          <w:shd w:val="clear" w:color="auto" w:fill="FFFFFF"/>
        </w:rPr>
        <w:t>[Data file]. Available from https://www.census.gov/programs-surveys/popest/data/data-sets.html</w:t>
      </w:r>
    </w:p>
    <w:p w:rsidR="00F652AD" w:rsidRPr="000332D1" w:rsidRDefault="00F652AD" w:rsidP="00F652AD">
      <w:pPr>
        <w:spacing w:line="480" w:lineRule="auto"/>
        <w:ind w:left="720" w:hanging="720"/>
        <w:rPr>
          <w:rFonts w:eastAsia="Times New Roman" w:cs="Arial"/>
          <w:color w:val="000000" w:themeColor="text1"/>
          <w:sz w:val="24"/>
          <w:szCs w:val="24"/>
          <w:shd w:val="clear" w:color="auto" w:fill="FFFFFF"/>
        </w:rPr>
      </w:pPr>
      <w:r w:rsidRPr="000332D1">
        <w:rPr>
          <w:rFonts w:eastAsia="Times New Roman" w:cs="Arial"/>
          <w:color w:val="000000" w:themeColor="text1"/>
          <w:sz w:val="24"/>
          <w:szCs w:val="24"/>
          <w:shd w:val="clear" w:color="auto" w:fill="FFFFFF"/>
        </w:rPr>
        <w:t xml:space="preserve">Winthrop, K. L., </w:t>
      </w:r>
      <w:proofErr w:type="spellStart"/>
      <w:r w:rsidRPr="000332D1">
        <w:rPr>
          <w:rFonts w:eastAsia="Times New Roman" w:cs="Arial"/>
          <w:color w:val="000000" w:themeColor="text1"/>
          <w:sz w:val="24"/>
          <w:szCs w:val="24"/>
          <w:shd w:val="clear" w:color="auto" w:fill="FFFFFF"/>
        </w:rPr>
        <w:t>McNelley</w:t>
      </w:r>
      <w:proofErr w:type="spellEnd"/>
      <w:r w:rsidRPr="000332D1">
        <w:rPr>
          <w:rFonts w:eastAsia="Times New Roman" w:cs="Arial"/>
          <w:color w:val="000000" w:themeColor="text1"/>
          <w:sz w:val="24"/>
          <w:szCs w:val="24"/>
          <w:shd w:val="clear" w:color="auto" w:fill="FFFFFF"/>
        </w:rPr>
        <w:t xml:space="preserve">, E., Kendall, B., Marshall-Olson, A., Morris, C., Cassidy, M., ... &amp; Hedberg, K. (2010). Pulmonary nontuberculous mycobacterial disease prevalence and clinical </w:t>
      </w:r>
      <w:r w:rsidRPr="000332D1">
        <w:rPr>
          <w:rFonts w:eastAsia="Times New Roman" w:cs="Arial"/>
          <w:color w:val="000000" w:themeColor="text1"/>
          <w:sz w:val="24"/>
          <w:szCs w:val="24"/>
          <w:shd w:val="clear" w:color="auto" w:fill="FFFFFF"/>
        </w:rPr>
        <w:lastRenderedPageBreak/>
        <w:t>features: an emerging public health disease. </w:t>
      </w:r>
      <w:r w:rsidRPr="000332D1">
        <w:rPr>
          <w:rFonts w:eastAsia="Times New Roman" w:cs="Arial"/>
          <w:i/>
          <w:iCs/>
          <w:color w:val="000000" w:themeColor="text1"/>
          <w:sz w:val="24"/>
          <w:szCs w:val="24"/>
        </w:rPr>
        <w:t>American Journal of Respiratory and Critical Care Medicine</w:t>
      </w:r>
      <w:r w:rsidRPr="000332D1">
        <w:rPr>
          <w:rFonts w:eastAsia="Times New Roman" w:cs="Arial"/>
          <w:color w:val="000000" w:themeColor="text1"/>
          <w:sz w:val="24"/>
          <w:szCs w:val="24"/>
          <w:shd w:val="clear" w:color="auto" w:fill="FFFFFF"/>
        </w:rPr>
        <w:t>, </w:t>
      </w:r>
      <w:r w:rsidRPr="000332D1">
        <w:rPr>
          <w:rFonts w:eastAsia="Times New Roman" w:cs="Arial"/>
          <w:i/>
          <w:iCs/>
          <w:color w:val="000000" w:themeColor="text1"/>
          <w:sz w:val="24"/>
          <w:szCs w:val="24"/>
        </w:rPr>
        <w:t>182</w:t>
      </w:r>
      <w:r w:rsidRPr="000332D1">
        <w:rPr>
          <w:rFonts w:eastAsia="Times New Roman" w:cs="Arial"/>
          <w:color w:val="000000" w:themeColor="text1"/>
          <w:sz w:val="24"/>
          <w:szCs w:val="24"/>
          <w:shd w:val="clear" w:color="auto" w:fill="FFFFFF"/>
        </w:rPr>
        <w:t>(7), 977-982</w:t>
      </w:r>
    </w:p>
    <w:p w:rsidR="00F652AD" w:rsidRPr="00357876" w:rsidRDefault="00F652AD" w:rsidP="00357876">
      <w:pPr>
        <w:spacing w:line="480" w:lineRule="auto"/>
        <w:ind w:left="720" w:hanging="720"/>
        <w:rPr>
          <w:color w:val="000000" w:themeColor="text1"/>
          <w:sz w:val="24"/>
          <w:szCs w:val="24"/>
        </w:rPr>
      </w:pPr>
      <w:r w:rsidRPr="000332D1">
        <w:rPr>
          <w:color w:val="000000" w:themeColor="text1"/>
          <w:sz w:val="24"/>
          <w:szCs w:val="24"/>
        </w:rPr>
        <w:t xml:space="preserve">Wentworth, A. B., </w:t>
      </w:r>
      <w:proofErr w:type="spellStart"/>
      <w:r w:rsidRPr="000332D1">
        <w:rPr>
          <w:color w:val="000000" w:themeColor="text1"/>
          <w:sz w:val="24"/>
          <w:szCs w:val="24"/>
        </w:rPr>
        <w:t>Drage</w:t>
      </w:r>
      <w:proofErr w:type="spellEnd"/>
      <w:r w:rsidRPr="000332D1">
        <w:rPr>
          <w:color w:val="000000" w:themeColor="text1"/>
          <w:sz w:val="24"/>
          <w:szCs w:val="24"/>
        </w:rPr>
        <w:t xml:space="preserve">, L. A., </w:t>
      </w:r>
      <w:proofErr w:type="spellStart"/>
      <w:r w:rsidRPr="000332D1">
        <w:rPr>
          <w:color w:val="000000" w:themeColor="text1"/>
          <w:sz w:val="24"/>
          <w:szCs w:val="24"/>
        </w:rPr>
        <w:t>Wengenack</w:t>
      </w:r>
      <w:proofErr w:type="spellEnd"/>
      <w:r w:rsidRPr="000332D1">
        <w:rPr>
          <w:color w:val="000000" w:themeColor="text1"/>
          <w:sz w:val="24"/>
          <w:szCs w:val="24"/>
        </w:rPr>
        <w:t xml:space="preserve">, N. L., Wilson, J. W., &amp; Lohse, C. M. (2013, January). Increased incidence of cutaneous nontuberculous mycobacterial infection, 1980 to 2009: a population-based study. In </w:t>
      </w:r>
      <w:r w:rsidRPr="000332D1">
        <w:rPr>
          <w:i/>
          <w:iCs/>
          <w:color w:val="000000" w:themeColor="text1"/>
          <w:sz w:val="24"/>
          <w:szCs w:val="24"/>
        </w:rPr>
        <w:t>Mayo Clinic Proceedings</w:t>
      </w:r>
      <w:r w:rsidRPr="000332D1">
        <w:rPr>
          <w:color w:val="000000" w:themeColor="text1"/>
          <w:sz w:val="24"/>
          <w:szCs w:val="24"/>
        </w:rPr>
        <w:t xml:space="preserve"> (Vol. 88, No. 1, pp. 38-45). Elsevier.</w:t>
      </w:r>
    </w:p>
    <w:sectPr w:rsidR="00F652AD" w:rsidRPr="00357876" w:rsidSect="00703A5E">
      <w:footerReference w:type="even" r:id="rId18"/>
      <w:footerReference w:type="default" r:id="rId19"/>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0306" w:rsidRDefault="00610306" w:rsidP="00AD6174">
      <w:r>
        <w:separator/>
      </w:r>
    </w:p>
  </w:endnote>
  <w:endnote w:type="continuationSeparator" w:id="0">
    <w:p w:rsidR="00610306" w:rsidRDefault="00610306" w:rsidP="00AD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89972269"/>
      <w:docPartObj>
        <w:docPartGallery w:val="Page Numbers (Bottom of Page)"/>
        <w:docPartUnique/>
      </w:docPartObj>
    </w:sdtPr>
    <w:sdtEndPr>
      <w:rPr>
        <w:rStyle w:val="PageNumber"/>
      </w:rPr>
    </w:sdtEndPr>
    <w:sdtContent>
      <w:p w:rsidR="00DF23EB" w:rsidRDefault="00DF23EB" w:rsidP="008371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F23EB" w:rsidRDefault="00DF23EB" w:rsidP="00AD61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01068846"/>
      <w:docPartObj>
        <w:docPartGallery w:val="Page Numbers (Bottom of Page)"/>
        <w:docPartUnique/>
      </w:docPartObj>
    </w:sdtPr>
    <w:sdtEndPr>
      <w:rPr>
        <w:rStyle w:val="PageNumber"/>
      </w:rPr>
    </w:sdtEndPr>
    <w:sdtContent>
      <w:p w:rsidR="00DF23EB" w:rsidRDefault="00DF23EB" w:rsidP="008371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F23EB" w:rsidRDefault="00DF23EB" w:rsidP="00AD617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0306" w:rsidRDefault="00610306" w:rsidP="00AD6174">
      <w:r>
        <w:separator/>
      </w:r>
    </w:p>
  </w:footnote>
  <w:footnote w:type="continuationSeparator" w:id="0">
    <w:p w:rsidR="00610306" w:rsidRDefault="00610306" w:rsidP="00AD61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07EA5"/>
    <w:multiLevelType w:val="hybridMultilevel"/>
    <w:tmpl w:val="B8D0BD0C"/>
    <w:lvl w:ilvl="0" w:tplc="9FF61B88">
      <w:start w:val="2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487A6F"/>
    <w:multiLevelType w:val="hybridMultilevel"/>
    <w:tmpl w:val="EF36B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DB655A"/>
    <w:multiLevelType w:val="hybridMultilevel"/>
    <w:tmpl w:val="B1860BA0"/>
    <w:lvl w:ilvl="0" w:tplc="8F2AE924">
      <w:start w:val="10"/>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DD017A"/>
    <w:multiLevelType w:val="hybridMultilevel"/>
    <w:tmpl w:val="A0961984"/>
    <w:lvl w:ilvl="0" w:tplc="4F583B6A">
      <w:start w:val="2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FB35DE"/>
    <w:multiLevelType w:val="hybridMultilevel"/>
    <w:tmpl w:val="9ED26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193687"/>
    <w:multiLevelType w:val="hybridMultilevel"/>
    <w:tmpl w:val="948EB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A14"/>
    <w:rsid w:val="000121BE"/>
    <w:rsid w:val="00014943"/>
    <w:rsid w:val="00017E40"/>
    <w:rsid w:val="00020A45"/>
    <w:rsid w:val="00021EEF"/>
    <w:rsid w:val="0002350B"/>
    <w:rsid w:val="00025DE7"/>
    <w:rsid w:val="000260F2"/>
    <w:rsid w:val="000263FE"/>
    <w:rsid w:val="00032416"/>
    <w:rsid w:val="000332D1"/>
    <w:rsid w:val="00035045"/>
    <w:rsid w:val="0003675A"/>
    <w:rsid w:val="00053B0C"/>
    <w:rsid w:val="00056BF3"/>
    <w:rsid w:val="000643F0"/>
    <w:rsid w:val="00077FAE"/>
    <w:rsid w:val="00080752"/>
    <w:rsid w:val="00082031"/>
    <w:rsid w:val="00084A2D"/>
    <w:rsid w:val="00091489"/>
    <w:rsid w:val="0009352B"/>
    <w:rsid w:val="000A2A14"/>
    <w:rsid w:val="000B72C5"/>
    <w:rsid w:val="000F1C93"/>
    <w:rsid w:val="001000BE"/>
    <w:rsid w:val="00103A9B"/>
    <w:rsid w:val="00111C6F"/>
    <w:rsid w:val="001211B6"/>
    <w:rsid w:val="00121514"/>
    <w:rsid w:val="00140B82"/>
    <w:rsid w:val="00146668"/>
    <w:rsid w:val="00153134"/>
    <w:rsid w:val="0015584C"/>
    <w:rsid w:val="00160015"/>
    <w:rsid w:val="0016265D"/>
    <w:rsid w:val="00174C34"/>
    <w:rsid w:val="00191A19"/>
    <w:rsid w:val="0019373F"/>
    <w:rsid w:val="00197303"/>
    <w:rsid w:val="001A5375"/>
    <w:rsid w:val="001A63AC"/>
    <w:rsid w:val="001B787E"/>
    <w:rsid w:val="001E01E6"/>
    <w:rsid w:val="001E0A9E"/>
    <w:rsid w:val="001E58A9"/>
    <w:rsid w:val="00206848"/>
    <w:rsid w:val="00220629"/>
    <w:rsid w:val="00221F1E"/>
    <w:rsid w:val="00222A64"/>
    <w:rsid w:val="00222FFB"/>
    <w:rsid w:val="00224FF5"/>
    <w:rsid w:val="00251D10"/>
    <w:rsid w:val="00253CB6"/>
    <w:rsid w:val="00277846"/>
    <w:rsid w:val="002A79FB"/>
    <w:rsid w:val="002B5EF9"/>
    <w:rsid w:val="002C2558"/>
    <w:rsid w:val="002C3A97"/>
    <w:rsid w:val="002C6E56"/>
    <w:rsid w:val="002C799D"/>
    <w:rsid w:val="002D72B6"/>
    <w:rsid w:val="002D7766"/>
    <w:rsid w:val="002E2CD6"/>
    <w:rsid w:val="002E6657"/>
    <w:rsid w:val="00304AC4"/>
    <w:rsid w:val="003055CA"/>
    <w:rsid w:val="00313595"/>
    <w:rsid w:val="00314AC1"/>
    <w:rsid w:val="00315DAC"/>
    <w:rsid w:val="00321FCB"/>
    <w:rsid w:val="00331FBA"/>
    <w:rsid w:val="003372DB"/>
    <w:rsid w:val="0034224A"/>
    <w:rsid w:val="003453DF"/>
    <w:rsid w:val="003501AF"/>
    <w:rsid w:val="00357876"/>
    <w:rsid w:val="00360CD6"/>
    <w:rsid w:val="00367DDE"/>
    <w:rsid w:val="00387CAE"/>
    <w:rsid w:val="003972A1"/>
    <w:rsid w:val="003A1DCB"/>
    <w:rsid w:val="003A3FF9"/>
    <w:rsid w:val="003C4CB3"/>
    <w:rsid w:val="003C6CC2"/>
    <w:rsid w:val="003E391C"/>
    <w:rsid w:val="004019CF"/>
    <w:rsid w:val="00432B8C"/>
    <w:rsid w:val="00432FA6"/>
    <w:rsid w:val="00433E9B"/>
    <w:rsid w:val="00450182"/>
    <w:rsid w:val="004533F6"/>
    <w:rsid w:val="00473200"/>
    <w:rsid w:val="0049243D"/>
    <w:rsid w:val="004A1872"/>
    <w:rsid w:val="004A3BEF"/>
    <w:rsid w:val="004E4D0C"/>
    <w:rsid w:val="004F6C42"/>
    <w:rsid w:val="00506D76"/>
    <w:rsid w:val="00525ED3"/>
    <w:rsid w:val="00533743"/>
    <w:rsid w:val="0053711F"/>
    <w:rsid w:val="0054107C"/>
    <w:rsid w:val="00542225"/>
    <w:rsid w:val="00542C20"/>
    <w:rsid w:val="00547DEA"/>
    <w:rsid w:val="00576CD7"/>
    <w:rsid w:val="00577124"/>
    <w:rsid w:val="00582574"/>
    <w:rsid w:val="00583FEB"/>
    <w:rsid w:val="00587E00"/>
    <w:rsid w:val="00592E69"/>
    <w:rsid w:val="005935DC"/>
    <w:rsid w:val="00595AE2"/>
    <w:rsid w:val="005A1FEE"/>
    <w:rsid w:val="005A60F8"/>
    <w:rsid w:val="005C2B79"/>
    <w:rsid w:val="005D5A97"/>
    <w:rsid w:val="005E358F"/>
    <w:rsid w:val="00610306"/>
    <w:rsid w:val="00637F7B"/>
    <w:rsid w:val="006414A5"/>
    <w:rsid w:val="006474F7"/>
    <w:rsid w:val="0065446F"/>
    <w:rsid w:val="00655E59"/>
    <w:rsid w:val="00682496"/>
    <w:rsid w:val="00686732"/>
    <w:rsid w:val="006868FE"/>
    <w:rsid w:val="006A33B6"/>
    <w:rsid w:val="006A554B"/>
    <w:rsid w:val="006B1553"/>
    <w:rsid w:val="006D38E3"/>
    <w:rsid w:val="006E0E5A"/>
    <w:rsid w:val="006F49A6"/>
    <w:rsid w:val="006F6240"/>
    <w:rsid w:val="00703A5E"/>
    <w:rsid w:val="0071476E"/>
    <w:rsid w:val="00737CAC"/>
    <w:rsid w:val="00742BF7"/>
    <w:rsid w:val="00755415"/>
    <w:rsid w:val="007649EA"/>
    <w:rsid w:val="0076681D"/>
    <w:rsid w:val="0077035B"/>
    <w:rsid w:val="00774A45"/>
    <w:rsid w:val="007916DE"/>
    <w:rsid w:val="00797B80"/>
    <w:rsid w:val="007A018F"/>
    <w:rsid w:val="007A5FC8"/>
    <w:rsid w:val="007B21E3"/>
    <w:rsid w:val="007B3375"/>
    <w:rsid w:val="007B4C6F"/>
    <w:rsid w:val="007F5E72"/>
    <w:rsid w:val="0080751C"/>
    <w:rsid w:val="00824CD7"/>
    <w:rsid w:val="00826052"/>
    <w:rsid w:val="00834AC1"/>
    <w:rsid w:val="00837173"/>
    <w:rsid w:val="00844E8C"/>
    <w:rsid w:val="00845A66"/>
    <w:rsid w:val="008512EB"/>
    <w:rsid w:val="00864DCE"/>
    <w:rsid w:val="00871054"/>
    <w:rsid w:val="008A5DED"/>
    <w:rsid w:val="008B72F6"/>
    <w:rsid w:val="008C7535"/>
    <w:rsid w:val="008D10CE"/>
    <w:rsid w:val="008D4296"/>
    <w:rsid w:val="008D4893"/>
    <w:rsid w:val="008D4E1D"/>
    <w:rsid w:val="008D699E"/>
    <w:rsid w:val="008D7C78"/>
    <w:rsid w:val="008E33ED"/>
    <w:rsid w:val="008F4F52"/>
    <w:rsid w:val="0093708F"/>
    <w:rsid w:val="00953F66"/>
    <w:rsid w:val="009652B9"/>
    <w:rsid w:val="009671AF"/>
    <w:rsid w:val="009703A8"/>
    <w:rsid w:val="00981121"/>
    <w:rsid w:val="009A2451"/>
    <w:rsid w:val="009A5941"/>
    <w:rsid w:val="009B7B69"/>
    <w:rsid w:val="009C2751"/>
    <w:rsid w:val="009D0DEA"/>
    <w:rsid w:val="009D4462"/>
    <w:rsid w:val="009F1700"/>
    <w:rsid w:val="00A03E06"/>
    <w:rsid w:val="00A0518A"/>
    <w:rsid w:val="00A237FB"/>
    <w:rsid w:val="00A25211"/>
    <w:rsid w:val="00A376F2"/>
    <w:rsid w:val="00A43F21"/>
    <w:rsid w:val="00A54424"/>
    <w:rsid w:val="00A54905"/>
    <w:rsid w:val="00A74AF7"/>
    <w:rsid w:val="00A771B6"/>
    <w:rsid w:val="00A81AD1"/>
    <w:rsid w:val="00A84D70"/>
    <w:rsid w:val="00A86DAD"/>
    <w:rsid w:val="00AA6F49"/>
    <w:rsid w:val="00AB42A6"/>
    <w:rsid w:val="00AC412D"/>
    <w:rsid w:val="00AD2146"/>
    <w:rsid w:val="00AD348A"/>
    <w:rsid w:val="00AD3F2F"/>
    <w:rsid w:val="00AD6174"/>
    <w:rsid w:val="00B134C2"/>
    <w:rsid w:val="00B222F6"/>
    <w:rsid w:val="00B25D8B"/>
    <w:rsid w:val="00B40848"/>
    <w:rsid w:val="00B41432"/>
    <w:rsid w:val="00B4680A"/>
    <w:rsid w:val="00B554CB"/>
    <w:rsid w:val="00B56802"/>
    <w:rsid w:val="00B60CB0"/>
    <w:rsid w:val="00B66D9F"/>
    <w:rsid w:val="00B7135A"/>
    <w:rsid w:val="00B75972"/>
    <w:rsid w:val="00B86B50"/>
    <w:rsid w:val="00B9488F"/>
    <w:rsid w:val="00BA66BC"/>
    <w:rsid w:val="00BA715D"/>
    <w:rsid w:val="00BC5504"/>
    <w:rsid w:val="00BD3161"/>
    <w:rsid w:val="00BD6524"/>
    <w:rsid w:val="00BE08D9"/>
    <w:rsid w:val="00BE5E90"/>
    <w:rsid w:val="00BE7243"/>
    <w:rsid w:val="00BE7D25"/>
    <w:rsid w:val="00BF2F64"/>
    <w:rsid w:val="00BF5A0A"/>
    <w:rsid w:val="00BF5D2E"/>
    <w:rsid w:val="00BF7223"/>
    <w:rsid w:val="00C0184C"/>
    <w:rsid w:val="00C20912"/>
    <w:rsid w:val="00C379A0"/>
    <w:rsid w:val="00C70642"/>
    <w:rsid w:val="00C87D63"/>
    <w:rsid w:val="00C90388"/>
    <w:rsid w:val="00CB7284"/>
    <w:rsid w:val="00CC7B41"/>
    <w:rsid w:val="00CD702B"/>
    <w:rsid w:val="00CE54AF"/>
    <w:rsid w:val="00CF3C36"/>
    <w:rsid w:val="00D035CD"/>
    <w:rsid w:val="00D1357D"/>
    <w:rsid w:val="00D21561"/>
    <w:rsid w:val="00D22273"/>
    <w:rsid w:val="00D23910"/>
    <w:rsid w:val="00D24EFA"/>
    <w:rsid w:val="00D25042"/>
    <w:rsid w:val="00D31241"/>
    <w:rsid w:val="00D5362C"/>
    <w:rsid w:val="00D55149"/>
    <w:rsid w:val="00D633D6"/>
    <w:rsid w:val="00D71B8B"/>
    <w:rsid w:val="00D754B1"/>
    <w:rsid w:val="00D8668A"/>
    <w:rsid w:val="00DC0A31"/>
    <w:rsid w:val="00DC5124"/>
    <w:rsid w:val="00DD359F"/>
    <w:rsid w:val="00DE2808"/>
    <w:rsid w:val="00DE4881"/>
    <w:rsid w:val="00DE72EC"/>
    <w:rsid w:val="00DF23EB"/>
    <w:rsid w:val="00DF5A66"/>
    <w:rsid w:val="00E006B3"/>
    <w:rsid w:val="00E015A2"/>
    <w:rsid w:val="00E14FD2"/>
    <w:rsid w:val="00E315D4"/>
    <w:rsid w:val="00E33C45"/>
    <w:rsid w:val="00E41049"/>
    <w:rsid w:val="00E630A0"/>
    <w:rsid w:val="00E646E5"/>
    <w:rsid w:val="00E75BEF"/>
    <w:rsid w:val="00E8386C"/>
    <w:rsid w:val="00E84D07"/>
    <w:rsid w:val="00E84FF8"/>
    <w:rsid w:val="00E90E4E"/>
    <w:rsid w:val="00E9707F"/>
    <w:rsid w:val="00EB101F"/>
    <w:rsid w:val="00EC1E92"/>
    <w:rsid w:val="00EC776F"/>
    <w:rsid w:val="00ED5021"/>
    <w:rsid w:val="00ED6555"/>
    <w:rsid w:val="00EF0141"/>
    <w:rsid w:val="00EF17D9"/>
    <w:rsid w:val="00F12E1C"/>
    <w:rsid w:val="00F50AF4"/>
    <w:rsid w:val="00F50EA9"/>
    <w:rsid w:val="00F619E6"/>
    <w:rsid w:val="00F652AD"/>
    <w:rsid w:val="00F728EB"/>
    <w:rsid w:val="00F73F0F"/>
    <w:rsid w:val="00F93280"/>
    <w:rsid w:val="00FA1385"/>
    <w:rsid w:val="00FB05CB"/>
    <w:rsid w:val="00FB0F11"/>
    <w:rsid w:val="00FC1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274D5"/>
  <w15:chartTrackingRefBased/>
  <w15:docId w15:val="{5860BFD8-E1B0-4D80-8C81-BD33722DC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2A14"/>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09148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0684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wrap1">
    <w:name w:val="nowrap1"/>
    <w:basedOn w:val="DefaultParagraphFont"/>
    <w:rsid w:val="007B3375"/>
  </w:style>
  <w:style w:type="paragraph" w:styleId="ListParagraph">
    <w:name w:val="List Paragraph"/>
    <w:basedOn w:val="Normal"/>
    <w:uiPriority w:val="34"/>
    <w:qFormat/>
    <w:rsid w:val="00CC7B41"/>
    <w:pPr>
      <w:ind w:left="720"/>
      <w:contextualSpacing/>
    </w:pPr>
  </w:style>
  <w:style w:type="paragraph" w:styleId="NormalWeb">
    <w:name w:val="Normal (Web)"/>
    <w:basedOn w:val="Normal"/>
    <w:uiPriority w:val="99"/>
    <w:semiHidden/>
    <w:unhideWhenUsed/>
    <w:rsid w:val="002D7766"/>
    <w:pPr>
      <w:spacing w:before="100" w:beforeAutospacing="1" w:after="100" w:afterAutospacing="1"/>
    </w:pPr>
    <w:rPr>
      <w:rFonts w:ascii="Times New Roman" w:eastAsia="Times New Roman" w:hAnsi="Times New Roman"/>
      <w:sz w:val="24"/>
      <w:szCs w:val="24"/>
    </w:rPr>
  </w:style>
  <w:style w:type="character" w:styleId="Hyperlink">
    <w:name w:val="Hyperlink"/>
    <w:basedOn w:val="DefaultParagraphFont"/>
    <w:uiPriority w:val="99"/>
    <w:unhideWhenUsed/>
    <w:rsid w:val="00F652AD"/>
    <w:rPr>
      <w:color w:val="0563C1" w:themeColor="hyperlink"/>
      <w:u w:val="single"/>
    </w:rPr>
  </w:style>
  <w:style w:type="character" w:customStyle="1" w:styleId="apple-converted-space">
    <w:name w:val="apple-converted-space"/>
    <w:basedOn w:val="DefaultParagraphFont"/>
    <w:rsid w:val="00F652AD"/>
  </w:style>
  <w:style w:type="character" w:styleId="Emphasis">
    <w:name w:val="Emphasis"/>
    <w:basedOn w:val="DefaultParagraphFont"/>
    <w:uiPriority w:val="20"/>
    <w:qFormat/>
    <w:rsid w:val="00F652AD"/>
    <w:rPr>
      <w:i/>
      <w:iCs/>
    </w:rPr>
  </w:style>
  <w:style w:type="paragraph" w:styleId="NoSpacing">
    <w:name w:val="No Spacing"/>
    <w:link w:val="NoSpacingChar"/>
    <w:uiPriority w:val="1"/>
    <w:qFormat/>
    <w:rsid w:val="00C90388"/>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C90388"/>
    <w:rPr>
      <w:rFonts w:eastAsiaTheme="minorEastAsia"/>
      <w:lang w:eastAsia="zh-CN"/>
    </w:rPr>
  </w:style>
  <w:style w:type="character" w:customStyle="1" w:styleId="Heading1Char">
    <w:name w:val="Heading 1 Char"/>
    <w:basedOn w:val="DefaultParagraphFont"/>
    <w:link w:val="Heading1"/>
    <w:uiPriority w:val="9"/>
    <w:rsid w:val="0009148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91489"/>
    <w:pPr>
      <w:spacing w:before="480" w:line="276" w:lineRule="auto"/>
      <w:outlineLvl w:val="9"/>
    </w:pPr>
    <w:rPr>
      <w:b/>
      <w:bCs/>
      <w:sz w:val="28"/>
      <w:szCs w:val="28"/>
    </w:rPr>
  </w:style>
  <w:style w:type="paragraph" w:styleId="TOC1">
    <w:name w:val="toc 1"/>
    <w:basedOn w:val="Normal"/>
    <w:next w:val="Normal"/>
    <w:autoRedefine/>
    <w:uiPriority w:val="39"/>
    <w:unhideWhenUsed/>
    <w:rsid w:val="00091489"/>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091489"/>
    <w:pPr>
      <w:ind w:left="220"/>
    </w:pPr>
    <w:rPr>
      <w:rFonts w:asciiTheme="minorHAnsi" w:hAnsiTheme="minorHAnsi" w:cstheme="minorHAnsi"/>
      <w:smallCaps/>
      <w:sz w:val="20"/>
      <w:szCs w:val="20"/>
    </w:rPr>
  </w:style>
  <w:style w:type="paragraph" w:styleId="TOC3">
    <w:name w:val="toc 3"/>
    <w:basedOn w:val="Normal"/>
    <w:next w:val="Normal"/>
    <w:autoRedefine/>
    <w:uiPriority w:val="39"/>
    <w:semiHidden/>
    <w:unhideWhenUsed/>
    <w:rsid w:val="00091489"/>
    <w:pPr>
      <w:ind w:left="440"/>
    </w:pPr>
    <w:rPr>
      <w:rFonts w:asciiTheme="minorHAnsi" w:hAnsiTheme="minorHAnsi" w:cstheme="minorHAnsi"/>
      <w:i/>
      <w:iCs/>
      <w:sz w:val="20"/>
      <w:szCs w:val="20"/>
    </w:rPr>
  </w:style>
  <w:style w:type="paragraph" w:styleId="TOC4">
    <w:name w:val="toc 4"/>
    <w:basedOn w:val="Normal"/>
    <w:next w:val="Normal"/>
    <w:autoRedefine/>
    <w:uiPriority w:val="39"/>
    <w:semiHidden/>
    <w:unhideWhenUsed/>
    <w:rsid w:val="00091489"/>
    <w:pPr>
      <w:ind w:left="660"/>
    </w:pPr>
    <w:rPr>
      <w:rFonts w:asciiTheme="minorHAnsi" w:hAnsiTheme="minorHAnsi" w:cstheme="minorHAnsi"/>
      <w:sz w:val="18"/>
      <w:szCs w:val="18"/>
    </w:rPr>
  </w:style>
  <w:style w:type="paragraph" w:styleId="TOC5">
    <w:name w:val="toc 5"/>
    <w:basedOn w:val="Normal"/>
    <w:next w:val="Normal"/>
    <w:autoRedefine/>
    <w:uiPriority w:val="39"/>
    <w:semiHidden/>
    <w:unhideWhenUsed/>
    <w:rsid w:val="00091489"/>
    <w:pPr>
      <w:ind w:left="880"/>
    </w:pPr>
    <w:rPr>
      <w:rFonts w:asciiTheme="minorHAnsi" w:hAnsiTheme="minorHAnsi" w:cstheme="minorHAnsi"/>
      <w:sz w:val="18"/>
      <w:szCs w:val="18"/>
    </w:rPr>
  </w:style>
  <w:style w:type="paragraph" w:styleId="TOC6">
    <w:name w:val="toc 6"/>
    <w:basedOn w:val="Normal"/>
    <w:next w:val="Normal"/>
    <w:autoRedefine/>
    <w:uiPriority w:val="39"/>
    <w:semiHidden/>
    <w:unhideWhenUsed/>
    <w:rsid w:val="00091489"/>
    <w:pPr>
      <w:ind w:left="1100"/>
    </w:pPr>
    <w:rPr>
      <w:rFonts w:asciiTheme="minorHAnsi" w:hAnsiTheme="minorHAnsi" w:cstheme="minorHAnsi"/>
      <w:sz w:val="18"/>
      <w:szCs w:val="18"/>
    </w:rPr>
  </w:style>
  <w:style w:type="paragraph" w:styleId="TOC7">
    <w:name w:val="toc 7"/>
    <w:basedOn w:val="Normal"/>
    <w:next w:val="Normal"/>
    <w:autoRedefine/>
    <w:uiPriority w:val="39"/>
    <w:semiHidden/>
    <w:unhideWhenUsed/>
    <w:rsid w:val="00091489"/>
    <w:pPr>
      <w:ind w:left="1320"/>
    </w:pPr>
    <w:rPr>
      <w:rFonts w:asciiTheme="minorHAnsi" w:hAnsiTheme="minorHAnsi" w:cstheme="minorHAnsi"/>
      <w:sz w:val="18"/>
      <w:szCs w:val="18"/>
    </w:rPr>
  </w:style>
  <w:style w:type="paragraph" w:styleId="TOC8">
    <w:name w:val="toc 8"/>
    <w:basedOn w:val="Normal"/>
    <w:next w:val="Normal"/>
    <w:autoRedefine/>
    <w:uiPriority w:val="39"/>
    <w:semiHidden/>
    <w:unhideWhenUsed/>
    <w:rsid w:val="00091489"/>
    <w:pPr>
      <w:ind w:left="154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091489"/>
    <w:pPr>
      <w:ind w:left="1760"/>
    </w:pPr>
    <w:rPr>
      <w:rFonts w:asciiTheme="minorHAnsi" w:hAnsiTheme="minorHAnsi" w:cstheme="minorHAnsi"/>
      <w:sz w:val="18"/>
      <w:szCs w:val="18"/>
    </w:rPr>
  </w:style>
  <w:style w:type="character" w:customStyle="1" w:styleId="Heading2Char">
    <w:name w:val="Heading 2 Char"/>
    <w:basedOn w:val="DefaultParagraphFont"/>
    <w:link w:val="Heading2"/>
    <w:uiPriority w:val="9"/>
    <w:semiHidden/>
    <w:rsid w:val="00206848"/>
    <w:rPr>
      <w:rFonts w:asciiTheme="majorHAnsi" w:eastAsiaTheme="majorEastAsia" w:hAnsiTheme="majorHAnsi" w:cstheme="majorBidi"/>
      <w:color w:val="2E74B5" w:themeColor="accent1" w:themeShade="BF"/>
      <w:sz w:val="26"/>
      <w:szCs w:val="26"/>
    </w:rPr>
  </w:style>
  <w:style w:type="paragraph" w:styleId="Footer">
    <w:name w:val="footer"/>
    <w:basedOn w:val="Normal"/>
    <w:link w:val="FooterChar"/>
    <w:uiPriority w:val="99"/>
    <w:unhideWhenUsed/>
    <w:rsid w:val="00AD6174"/>
    <w:pPr>
      <w:tabs>
        <w:tab w:val="center" w:pos="4680"/>
        <w:tab w:val="right" w:pos="9360"/>
      </w:tabs>
    </w:pPr>
  </w:style>
  <w:style w:type="character" w:customStyle="1" w:styleId="FooterChar">
    <w:name w:val="Footer Char"/>
    <w:basedOn w:val="DefaultParagraphFont"/>
    <w:link w:val="Footer"/>
    <w:uiPriority w:val="99"/>
    <w:rsid w:val="00AD6174"/>
    <w:rPr>
      <w:rFonts w:ascii="Calibri" w:hAnsi="Calibri" w:cs="Times New Roman"/>
    </w:rPr>
  </w:style>
  <w:style w:type="character" w:styleId="PageNumber">
    <w:name w:val="page number"/>
    <w:basedOn w:val="DefaultParagraphFont"/>
    <w:uiPriority w:val="99"/>
    <w:semiHidden/>
    <w:unhideWhenUsed/>
    <w:rsid w:val="00AD6174"/>
  </w:style>
  <w:style w:type="character" w:styleId="CommentReference">
    <w:name w:val="annotation reference"/>
    <w:basedOn w:val="DefaultParagraphFont"/>
    <w:uiPriority w:val="99"/>
    <w:semiHidden/>
    <w:unhideWhenUsed/>
    <w:rsid w:val="00774A45"/>
    <w:rPr>
      <w:sz w:val="16"/>
      <w:szCs w:val="16"/>
    </w:rPr>
  </w:style>
  <w:style w:type="paragraph" w:styleId="CommentText">
    <w:name w:val="annotation text"/>
    <w:basedOn w:val="Normal"/>
    <w:link w:val="CommentTextChar"/>
    <w:uiPriority w:val="99"/>
    <w:semiHidden/>
    <w:unhideWhenUsed/>
    <w:rsid w:val="00774A45"/>
    <w:rPr>
      <w:sz w:val="20"/>
      <w:szCs w:val="20"/>
    </w:rPr>
  </w:style>
  <w:style w:type="character" w:customStyle="1" w:styleId="CommentTextChar">
    <w:name w:val="Comment Text Char"/>
    <w:basedOn w:val="DefaultParagraphFont"/>
    <w:link w:val="CommentText"/>
    <w:uiPriority w:val="99"/>
    <w:semiHidden/>
    <w:rsid w:val="00774A45"/>
    <w:rPr>
      <w:rFonts w:ascii="Calibri" w:hAnsi="Calibri" w:cs="Times New Roman"/>
      <w:sz w:val="20"/>
      <w:szCs w:val="20"/>
    </w:rPr>
  </w:style>
  <w:style w:type="paragraph" w:styleId="BalloonText">
    <w:name w:val="Balloon Text"/>
    <w:basedOn w:val="Normal"/>
    <w:link w:val="BalloonTextChar"/>
    <w:uiPriority w:val="99"/>
    <w:semiHidden/>
    <w:unhideWhenUsed/>
    <w:rsid w:val="00774A45"/>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774A4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47053">
      <w:bodyDiv w:val="1"/>
      <w:marLeft w:val="0"/>
      <w:marRight w:val="0"/>
      <w:marTop w:val="0"/>
      <w:marBottom w:val="0"/>
      <w:divBdr>
        <w:top w:val="none" w:sz="0" w:space="0" w:color="auto"/>
        <w:left w:val="none" w:sz="0" w:space="0" w:color="auto"/>
        <w:bottom w:val="none" w:sz="0" w:space="0" w:color="auto"/>
        <w:right w:val="none" w:sz="0" w:space="0" w:color="auto"/>
      </w:divBdr>
    </w:div>
    <w:div w:id="106584279">
      <w:bodyDiv w:val="1"/>
      <w:marLeft w:val="0"/>
      <w:marRight w:val="0"/>
      <w:marTop w:val="0"/>
      <w:marBottom w:val="0"/>
      <w:divBdr>
        <w:top w:val="none" w:sz="0" w:space="0" w:color="auto"/>
        <w:left w:val="none" w:sz="0" w:space="0" w:color="auto"/>
        <w:bottom w:val="none" w:sz="0" w:space="0" w:color="auto"/>
        <w:right w:val="none" w:sz="0" w:space="0" w:color="auto"/>
      </w:divBdr>
    </w:div>
    <w:div w:id="448085491">
      <w:bodyDiv w:val="1"/>
      <w:marLeft w:val="0"/>
      <w:marRight w:val="0"/>
      <w:marTop w:val="0"/>
      <w:marBottom w:val="0"/>
      <w:divBdr>
        <w:top w:val="none" w:sz="0" w:space="0" w:color="auto"/>
        <w:left w:val="none" w:sz="0" w:space="0" w:color="auto"/>
        <w:bottom w:val="none" w:sz="0" w:space="0" w:color="auto"/>
        <w:right w:val="none" w:sz="0" w:space="0" w:color="auto"/>
      </w:divBdr>
    </w:div>
    <w:div w:id="755788029">
      <w:bodyDiv w:val="1"/>
      <w:marLeft w:val="0"/>
      <w:marRight w:val="0"/>
      <w:marTop w:val="0"/>
      <w:marBottom w:val="0"/>
      <w:divBdr>
        <w:top w:val="none" w:sz="0" w:space="0" w:color="auto"/>
        <w:left w:val="none" w:sz="0" w:space="0" w:color="auto"/>
        <w:bottom w:val="none" w:sz="0" w:space="0" w:color="auto"/>
        <w:right w:val="none" w:sz="0" w:space="0" w:color="auto"/>
      </w:divBdr>
    </w:div>
    <w:div w:id="890656292">
      <w:bodyDiv w:val="1"/>
      <w:marLeft w:val="0"/>
      <w:marRight w:val="0"/>
      <w:marTop w:val="0"/>
      <w:marBottom w:val="0"/>
      <w:divBdr>
        <w:top w:val="none" w:sz="0" w:space="0" w:color="auto"/>
        <w:left w:val="none" w:sz="0" w:space="0" w:color="auto"/>
        <w:bottom w:val="none" w:sz="0" w:space="0" w:color="auto"/>
        <w:right w:val="none" w:sz="0" w:space="0" w:color="auto"/>
      </w:divBdr>
    </w:div>
    <w:div w:id="1108350742">
      <w:bodyDiv w:val="1"/>
      <w:marLeft w:val="0"/>
      <w:marRight w:val="0"/>
      <w:marTop w:val="0"/>
      <w:marBottom w:val="0"/>
      <w:divBdr>
        <w:top w:val="none" w:sz="0" w:space="0" w:color="auto"/>
        <w:left w:val="none" w:sz="0" w:space="0" w:color="auto"/>
        <w:bottom w:val="none" w:sz="0" w:space="0" w:color="auto"/>
        <w:right w:val="none" w:sz="0" w:space="0" w:color="auto"/>
      </w:divBdr>
    </w:div>
    <w:div w:id="1160542117">
      <w:bodyDiv w:val="1"/>
      <w:marLeft w:val="0"/>
      <w:marRight w:val="0"/>
      <w:marTop w:val="0"/>
      <w:marBottom w:val="0"/>
      <w:divBdr>
        <w:top w:val="none" w:sz="0" w:space="0" w:color="auto"/>
        <w:left w:val="none" w:sz="0" w:space="0" w:color="auto"/>
        <w:bottom w:val="none" w:sz="0" w:space="0" w:color="auto"/>
        <w:right w:val="none" w:sz="0" w:space="0" w:color="auto"/>
      </w:divBdr>
    </w:div>
    <w:div w:id="1216237822">
      <w:bodyDiv w:val="1"/>
      <w:marLeft w:val="0"/>
      <w:marRight w:val="0"/>
      <w:marTop w:val="0"/>
      <w:marBottom w:val="0"/>
      <w:divBdr>
        <w:top w:val="none" w:sz="0" w:space="0" w:color="auto"/>
        <w:left w:val="none" w:sz="0" w:space="0" w:color="auto"/>
        <w:bottom w:val="none" w:sz="0" w:space="0" w:color="auto"/>
        <w:right w:val="none" w:sz="0" w:space="0" w:color="auto"/>
      </w:divBdr>
    </w:div>
    <w:div w:id="1294213809">
      <w:bodyDiv w:val="1"/>
      <w:marLeft w:val="0"/>
      <w:marRight w:val="0"/>
      <w:marTop w:val="0"/>
      <w:marBottom w:val="0"/>
      <w:divBdr>
        <w:top w:val="none" w:sz="0" w:space="0" w:color="auto"/>
        <w:left w:val="none" w:sz="0" w:space="0" w:color="auto"/>
        <w:bottom w:val="none" w:sz="0" w:space="0" w:color="auto"/>
        <w:right w:val="none" w:sz="0" w:space="0" w:color="auto"/>
      </w:divBdr>
    </w:div>
    <w:div w:id="1989900052">
      <w:bodyDiv w:val="1"/>
      <w:marLeft w:val="0"/>
      <w:marRight w:val="0"/>
      <w:marTop w:val="0"/>
      <w:marBottom w:val="0"/>
      <w:divBdr>
        <w:top w:val="none" w:sz="0" w:space="0" w:color="auto"/>
        <w:left w:val="none" w:sz="0" w:space="0" w:color="auto"/>
        <w:bottom w:val="none" w:sz="0" w:space="0" w:color="auto"/>
        <w:right w:val="none" w:sz="0" w:space="0" w:color="auto"/>
      </w:divBdr>
    </w:div>
    <w:div w:id="2075161764">
      <w:bodyDiv w:val="1"/>
      <w:marLeft w:val="0"/>
      <w:marRight w:val="0"/>
      <w:marTop w:val="0"/>
      <w:marBottom w:val="0"/>
      <w:divBdr>
        <w:top w:val="none" w:sz="0" w:space="0" w:color="auto"/>
        <w:left w:val="none" w:sz="0" w:space="0" w:color="auto"/>
        <w:bottom w:val="none" w:sz="0" w:space="0" w:color="auto"/>
        <w:right w:val="none" w:sz="0" w:space="0" w:color="auto"/>
      </w:divBdr>
    </w:div>
    <w:div w:id="210915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chart" Target="charts/chart1.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s://doi.org/10.1093/ofid/ofv133.188" TargetMode="External"/><Relationship Id="rId2" Type="http://schemas.openxmlformats.org/officeDocument/2006/relationships/numbering" Target="numbering.xml"/><Relationship Id="rId16" Type="http://schemas.openxmlformats.org/officeDocument/2006/relationships/hyperlink" Target="http://doi.org/10.3201/eid2303.16182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diagramQuickStyle" Target="diagrams/quickStyle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Users\mollyhoffman\Desktop\NTM%20Graph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mollyhoffman\Desktop\Capstone\Final%20Paper\graphs\Pulmonary%20vs%20np%20isolation%20rat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mollyhoffman\Desktop\Capstone\Final%20Paper\graphs\Pulmonary%20vs%20np%20isolation%20rate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'IR without m.g'!$B$10</c:f>
              <c:strCache>
                <c:ptCount val="1"/>
                <c:pt idx="0">
                  <c:v>isolation rate per 100,000 pop</c:v>
                </c:pt>
              </c:strCache>
            </c:strRef>
          </c:tx>
          <c:spPr>
            <a:ln w="28575" cap="rnd">
              <a:solidFill>
                <a:schemeClr val="accent1"/>
              </a:solidFill>
              <a:round/>
            </a:ln>
            <a:effectLst/>
          </c:spPr>
          <c:marker>
            <c:symbol val="none"/>
          </c:marker>
          <c:dLbls>
            <c:dLbl>
              <c:idx val="0"/>
              <c:layout>
                <c:manualLayout>
                  <c:x val="-6.5266771653543332E-2"/>
                  <c:y val="-4.39351851851851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E0F-BE45-9315-44E19F244B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'IR without m.g'!$A$11:$A$16</c:f>
              <c:numCache>
                <c:formatCode>General</c:formatCode>
                <c:ptCount val="6"/>
                <c:pt idx="0">
                  <c:v>2012</c:v>
                </c:pt>
                <c:pt idx="1">
                  <c:v>2013</c:v>
                </c:pt>
                <c:pt idx="2">
                  <c:v>2014</c:v>
                </c:pt>
                <c:pt idx="3">
                  <c:v>2015</c:v>
                </c:pt>
                <c:pt idx="4">
                  <c:v>2016</c:v>
                </c:pt>
                <c:pt idx="5">
                  <c:v>2017</c:v>
                </c:pt>
              </c:numCache>
            </c:numRef>
          </c:cat>
          <c:val>
            <c:numRef>
              <c:f>'IR without m.g'!$B$11:$B$16</c:f>
              <c:numCache>
                <c:formatCode>General</c:formatCode>
                <c:ptCount val="6"/>
                <c:pt idx="0">
                  <c:v>9.33</c:v>
                </c:pt>
                <c:pt idx="1">
                  <c:v>8.4600000000000009</c:v>
                </c:pt>
                <c:pt idx="2">
                  <c:v>5.0999999999999996</c:v>
                </c:pt>
                <c:pt idx="3">
                  <c:v>6.39</c:v>
                </c:pt>
                <c:pt idx="4">
                  <c:v>4.09</c:v>
                </c:pt>
                <c:pt idx="5">
                  <c:v>3.75</c:v>
                </c:pt>
              </c:numCache>
            </c:numRef>
          </c:val>
          <c:smooth val="0"/>
          <c:extLst>
            <c:ext xmlns:c16="http://schemas.microsoft.com/office/drawing/2014/chart" uri="{C3380CC4-5D6E-409C-BE32-E72D297353CC}">
              <c16:uniqueId val="{00000001-AE0F-BE45-9315-44E19F244B48}"/>
            </c:ext>
          </c:extLst>
        </c:ser>
        <c:dLbls>
          <c:dLblPos val="t"/>
          <c:showLegendKey val="0"/>
          <c:showVal val="1"/>
          <c:showCatName val="0"/>
          <c:showSerName val="0"/>
          <c:showPercent val="0"/>
          <c:showBubbleSize val="0"/>
        </c:dLbls>
        <c:smooth val="0"/>
        <c:axId val="710780456"/>
        <c:axId val="710780064"/>
      </c:lineChart>
      <c:catAx>
        <c:axId val="710780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0780064"/>
        <c:crosses val="autoZero"/>
        <c:auto val="1"/>
        <c:lblAlgn val="ctr"/>
        <c:lblOffset val="100"/>
        <c:noMultiLvlLbl val="0"/>
      </c:catAx>
      <c:valAx>
        <c:axId val="710780064"/>
        <c:scaling>
          <c:orientation val="minMax"/>
          <c:max val="1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b="0" i="0" baseline="0">
                    <a:effectLst/>
                  </a:rPr>
                  <a:t>Isoaltes per 100,000 population</a:t>
                </a:r>
                <a:endParaRPr lang="en-US" sz="6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0780456"/>
        <c:crosses val="autoZero"/>
        <c:crossBetween val="between"/>
        <c:majorUnit val="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scatterChart>
        <c:scatterStyle val="lineMarker"/>
        <c:varyColors val="0"/>
        <c:ser>
          <c:idx val="0"/>
          <c:order val="0"/>
          <c:tx>
            <c:strRef>
              <c:f>'pulm vs np without M gord'!$H$1</c:f>
              <c:strCache>
                <c:ptCount val="1"/>
                <c:pt idx="0">
                  <c:v>per 100000 pop</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'pulm vs np without M gord'!$G$2:$G$7</c:f>
              <c:numCache>
                <c:formatCode>General</c:formatCode>
                <c:ptCount val="6"/>
                <c:pt idx="0">
                  <c:v>2012</c:v>
                </c:pt>
                <c:pt idx="1">
                  <c:v>2013</c:v>
                </c:pt>
                <c:pt idx="2">
                  <c:v>2014</c:v>
                </c:pt>
                <c:pt idx="3">
                  <c:v>2015</c:v>
                </c:pt>
                <c:pt idx="4">
                  <c:v>2016</c:v>
                </c:pt>
                <c:pt idx="5">
                  <c:v>2017</c:v>
                </c:pt>
              </c:numCache>
            </c:numRef>
          </c:xVal>
          <c:yVal>
            <c:numRef>
              <c:f>'pulm vs np without M gord'!$H$2:$H$7</c:f>
              <c:numCache>
                <c:formatCode>General</c:formatCode>
                <c:ptCount val="6"/>
                <c:pt idx="0">
                  <c:v>0.48</c:v>
                </c:pt>
                <c:pt idx="1">
                  <c:v>0.43</c:v>
                </c:pt>
                <c:pt idx="2">
                  <c:v>1.59</c:v>
                </c:pt>
                <c:pt idx="3">
                  <c:v>2.17</c:v>
                </c:pt>
                <c:pt idx="4">
                  <c:v>3.04</c:v>
                </c:pt>
                <c:pt idx="5">
                  <c:v>2.6</c:v>
                </c:pt>
              </c:numCache>
            </c:numRef>
          </c:yVal>
          <c:smooth val="0"/>
          <c:extLst>
            <c:ext xmlns:c16="http://schemas.microsoft.com/office/drawing/2014/chart" uri="{C3380CC4-5D6E-409C-BE32-E72D297353CC}">
              <c16:uniqueId val="{00000000-6D7C-2B4C-8E66-F40CC1B50484}"/>
            </c:ext>
          </c:extLst>
        </c:ser>
        <c:dLbls>
          <c:dLblPos val="t"/>
          <c:showLegendKey val="0"/>
          <c:showVal val="1"/>
          <c:showCatName val="0"/>
          <c:showSerName val="0"/>
          <c:showPercent val="0"/>
          <c:showBubbleSize val="0"/>
        </c:dLbls>
        <c:axId val="563263920"/>
        <c:axId val="563264312"/>
      </c:scatterChart>
      <c:valAx>
        <c:axId val="563263920"/>
        <c:scaling>
          <c:orientation val="minMax"/>
          <c:max val="2017"/>
          <c:min val="2012"/>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264312"/>
        <c:crosses val="autoZero"/>
        <c:crossBetween val="midCat"/>
        <c:majorUnit val="1"/>
      </c:valAx>
      <c:valAx>
        <c:axId val="563264312"/>
        <c:scaling>
          <c:orientation val="minMax"/>
          <c:max val="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Isolates per 100,000 population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2639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'pulm vs np without M gord'!$H$11</c:f>
              <c:strCache>
                <c:ptCount val="1"/>
                <c:pt idx="0">
                  <c:v>per pop</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5.7292578011081952E-3"/>
                  <c:y val="2.6779754382554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5CB-7A4A-AB47-D22E8DB7447A}"/>
                </c:ext>
              </c:extLst>
            </c:dLbl>
            <c:dLbl>
              <c:idx val="2"/>
              <c:layout>
                <c:manualLayout>
                  <c:x val="-2.6319553805774328E-2"/>
                  <c:y val="-5.78240740740739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600-2F42-852C-3F232DF0CAC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'pulm vs np without M gord'!$G$12:$G$17</c:f>
              <c:numCache>
                <c:formatCode>General</c:formatCode>
                <c:ptCount val="6"/>
                <c:pt idx="0">
                  <c:v>2012</c:v>
                </c:pt>
                <c:pt idx="1">
                  <c:v>2013</c:v>
                </c:pt>
                <c:pt idx="2">
                  <c:v>2014</c:v>
                </c:pt>
                <c:pt idx="3">
                  <c:v>2015</c:v>
                </c:pt>
                <c:pt idx="4">
                  <c:v>2016</c:v>
                </c:pt>
                <c:pt idx="5">
                  <c:v>2017</c:v>
                </c:pt>
              </c:numCache>
            </c:numRef>
          </c:xVal>
          <c:yVal>
            <c:numRef>
              <c:f>'pulm vs np without M gord'!$H$12:$H$17</c:f>
              <c:numCache>
                <c:formatCode>General</c:formatCode>
                <c:ptCount val="6"/>
                <c:pt idx="0">
                  <c:v>2.3199999999999998</c:v>
                </c:pt>
                <c:pt idx="1">
                  <c:v>3.27</c:v>
                </c:pt>
                <c:pt idx="2">
                  <c:v>0.37</c:v>
                </c:pt>
                <c:pt idx="3">
                  <c:v>1</c:v>
                </c:pt>
                <c:pt idx="4">
                  <c:v>0.37</c:v>
                </c:pt>
                <c:pt idx="5">
                  <c:v>0.56999999999999995</c:v>
                </c:pt>
              </c:numCache>
            </c:numRef>
          </c:yVal>
          <c:smooth val="0"/>
          <c:extLst>
            <c:ext xmlns:c16="http://schemas.microsoft.com/office/drawing/2014/chart" uri="{C3380CC4-5D6E-409C-BE32-E72D297353CC}">
              <c16:uniqueId val="{00000001-B600-2F42-852C-3F232DF0CACA}"/>
            </c:ext>
          </c:extLst>
        </c:ser>
        <c:dLbls>
          <c:dLblPos val="t"/>
          <c:showLegendKey val="0"/>
          <c:showVal val="1"/>
          <c:showCatName val="0"/>
          <c:showSerName val="0"/>
          <c:showPercent val="0"/>
          <c:showBubbleSize val="0"/>
        </c:dLbls>
        <c:axId val="563265096"/>
        <c:axId val="563265488"/>
      </c:scatterChart>
      <c:valAx>
        <c:axId val="563265096"/>
        <c:scaling>
          <c:orientation val="minMax"/>
          <c:max val="2017"/>
          <c:min val="2012"/>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265488"/>
        <c:crosses val="autoZero"/>
        <c:crossBetween val="midCat"/>
        <c:majorUnit val="1"/>
      </c:valAx>
      <c:valAx>
        <c:axId val="563265488"/>
        <c:scaling>
          <c:orientation val="minMax"/>
          <c:max val="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Isolates per 100,000 population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2650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5">
  <a:schemeClr val="accent2"/>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83A7D61-EEA3-AB4E-B057-FF3631B35741}" type="doc">
      <dgm:prSet loTypeId="urn:microsoft.com/office/officeart/2009/3/layout/HorizontalOrganizationChart" loCatId="" qsTypeId="urn:microsoft.com/office/officeart/2005/8/quickstyle/simple1" qsCatId="simple" csTypeId="urn:microsoft.com/office/officeart/2005/8/colors/accent1_2" csCatId="accent1" phldr="1"/>
      <dgm:spPr/>
    </dgm:pt>
    <dgm:pt modelId="{7A334565-2319-0D48-87E6-A8E2FC198A5B}">
      <dgm:prSet phldrT="[Text]" custT="1"/>
      <dgm:spPr/>
      <dgm:t>
        <a:bodyPr/>
        <a:lstStyle/>
        <a:p>
          <a:r>
            <a:rPr lang="en-US" sz="1300"/>
            <a:t>All lab reports in NTM datamart from 2012-2017</a:t>
          </a:r>
        </a:p>
        <a:p>
          <a:r>
            <a:rPr lang="en-US" sz="1300"/>
            <a:t>N=934</a:t>
          </a:r>
        </a:p>
      </dgm:t>
    </dgm:pt>
    <dgm:pt modelId="{C2C7F310-3AF0-6D4C-AE30-8462BF99617A}" type="parTrans" cxnId="{6F55724F-E65A-8344-B60C-7C2C69208B5B}">
      <dgm:prSet/>
      <dgm:spPr/>
      <dgm:t>
        <a:bodyPr/>
        <a:lstStyle/>
        <a:p>
          <a:endParaRPr lang="en-US"/>
        </a:p>
      </dgm:t>
    </dgm:pt>
    <dgm:pt modelId="{98F9D45C-08D2-E146-9433-8E57FD42F6AD}" type="sibTrans" cxnId="{6F55724F-E65A-8344-B60C-7C2C69208B5B}">
      <dgm:prSet/>
      <dgm:spPr/>
      <dgm:t>
        <a:bodyPr/>
        <a:lstStyle/>
        <a:p>
          <a:endParaRPr lang="en-US"/>
        </a:p>
      </dgm:t>
    </dgm:pt>
    <dgm:pt modelId="{9DE62AC9-78FA-DA45-AF18-64A7EC3CCA22}">
      <dgm:prSet phldrT="[Text]" custT="1"/>
      <dgm:spPr/>
      <dgm:t>
        <a:bodyPr/>
        <a:lstStyle/>
        <a:p>
          <a:r>
            <a:rPr lang="en-US" sz="1300"/>
            <a:t>NTM lab reports from Nebraska residents</a:t>
          </a:r>
        </a:p>
        <a:p>
          <a:r>
            <a:rPr lang="en-US" sz="1300"/>
            <a:t>N=823</a:t>
          </a:r>
        </a:p>
      </dgm:t>
    </dgm:pt>
    <dgm:pt modelId="{6379C315-ED8A-FC44-81DC-853AE19C52E9}" type="parTrans" cxnId="{E1B9E0C8-AF7F-5B46-B0FD-5A1DF0561150}">
      <dgm:prSet/>
      <dgm:spPr/>
      <dgm:t>
        <a:bodyPr/>
        <a:lstStyle/>
        <a:p>
          <a:endParaRPr lang="en-US"/>
        </a:p>
      </dgm:t>
    </dgm:pt>
    <dgm:pt modelId="{F1A2B851-5243-5C48-A6DB-9156B099B21E}" type="sibTrans" cxnId="{E1B9E0C8-AF7F-5B46-B0FD-5A1DF0561150}">
      <dgm:prSet/>
      <dgm:spPr/>
      <dgm:t>
        <a:bodyPr/>
        <a:lstStyle/>
        <a:p>
          <a:endParaRPr lang="en-US"/>
        </a:p>
      </dgm:t>
    </dgm:pt>
    <dgm:pt modelId="{617C697B-DA16-5A41-97C0-1CE517E4C16C}">
      <dgm:prSet phldrT="[Text]" custT="1"/>
      <dgm:spPr/>
      <dgm:t>
        <a:bodyPr/>
        <a:lstStyle/>
        <a:p>
          <a:r>
            <a:rPr lang="en-US" sz="1300"/>
            <a:t>NTM lab reports with a positive test result</a:t>
          </a:r>
        </a:p>
        <a:p>
          <a:r>
            <a:rPr lang="en-US" sz="1300"/>
            <a:t>N=766</a:t>
          </a:r>
        </a:p>
      </dgm:t>
    </dgm:pt>
    <dgm:pt modelId="{7CEDA444-A835-774A-AF49-0BE577F66030}" type="parTrans" cxnId="{B4F1628E-34DC-8841-9928-DBBA5EF71739}">
      <dgm:prSet/>
      <dgm:spPr/>
      <dgm:t>
        <a:bodyPr/>
        <a:lstStyle/>
        <a:p>
          <a:endParaRPr lang="en-US"/>
        </a:p>
      </dgm:t>
    </dgm:pt>
    <dgm:pt modelId="{DA025845-018A-6548-99AE-F3315B50F3E0}" type="sibTrans" cxnId="{B4F1628E-34DC-8841-9928-DBBA5EF71739}">
      <dgm:prSet/>
      <dgm:spPr/>
      <dgm:t>
        <a:bodyPr/>
        <a:lstStyle/>
        <a:p>
          <a:endParaRPr lang="en-US"/>
        </a:p>
      </dgm:t>
    </dgm:pt>
    <dgm:pt modelId="{2A8A36C2-134F-2746-B7AB-3837AF740B93}">
      <dgm:prSet custT="1"/>
      <dgm:spPr/>
      <dgm:t>
        <a:bodyPr/>
        <a:lstStyle/>
        <a:p>
          <a:r>
            <a:rPr lang="en-US" sz="1200"/>
            <a:t>111 excluded due to residency otuside of Nebraska, or missing location data</a:t>
          </a:r>
        </a:p>
      </dgm:t>
    </dgm:pt>
    <dgm:pt modelId="{64F0533C-595B-4E47-8ABA-4E08FF7FC0C9}" type="parTrans" cxnId="{0DDF2E52-7BE6-DE40-A1C9-91F1FC9E63B6}">
      <dgm:prSet/>
      <dgm:spPr/>
      <dgm:t>
        <a:bodyPr/>
        <a:lstStyle/>
        <a:p>
          <a:endParaRPr lang="en-US"/>
        </a:p>
      </dgm:t>
    </dgm:pt>
    <dgm:pt modelId="{4CDDE757-1F99-874C-9920-15E2CE31A922}" type="sibTrans" cxnId="{0DDF2E52-7BE6-DE40-A1C9-91F1FC9E63B6}">
      <dgm:prSet/>
      <dgm:spPr/>
      <dgm:t>
        <a:bodyPr/>
        <a:lstStyle/>
        <a:p>
          <a:endParaRPr lang="en-US"/>
        </a:p>
      </dgm:t>
    </dgm:pt>
    <dgm:pt modelId="{68E60DC1-B376-0242-AF5A-095E41546BC8}">
      <dgm:prSet custT="1"/>
      <dgm:spPr/>
      <dgm:t>
        <a:bodyPr/>
        <a:lstStyle/>
        <a:p>
          <a:r>
            <a:rPr lang="en-US" sz="1200"/>
            <a:t>57 excluded due to negative test results, identification as a test report, or due to result from other test besides NTM</a:t>
          </a:r>
        </a:p>
      </dgm:t>
    </dgm:pt>
    <dgm:pt modelId="{09E2EF7C-821F-C64A-BC5A-B6997C366206}" type="parTrans" cxnId="{0B023F71-9032-AB4C-9E71-1E1030BDBAA8}">
      <dgm:prSet/>
      <dgm:spPr>
        <a:ln>
          <a:miter lim="800000"/>
          <a:headEnd type="none"/>
          <a:tailEnd type="none"/>
        </a:ln>
      </dgm:spPr>
      <dgm:t>
        <a:bodyPr/>
        <a:lstStyle/>
        <a:p>
          <a:endParaRPr lang="en-US"/>
        </a:p>
      </dgm:t>
    </dgm:pt>
    <dgm:pt modelId="{7350E420-D585-4D4E-AA17-7D5F7BB4BBBE}" type="sibTrans" cxnId="{0B023F71-9032-AB4C-9E71-1E1030BDBAA8}">
      <dgm:prSet/>
      <dgm:spPr/>
      <dgm:t>
        <a:bodyPr/>
        <a:lstStyle/>
        <a:p>
          <a:endParaRPr lang="en-US"/>
        </a:p>
      </dgm:t>
    </dgm:pt>
    <dgm:pt modelId="{063B387E-D685-E445-89C0-67806D480DAF}">
      <dgm:prSet custT="1"/>
      <dgm:spPr/>
      <dgm:t>
        <a:bodyPr/>
        <a:lstStyle/>
        <a:p>
          <a:r>
            <a:rPr lang="en-US" sz="1200"/>
            <a:t>7 results from environmental sources excluded due to no identifiable patient</a:t>
          </a:r>
        </a:p>
      </dgm:t>
    </dgm:pt>
    <dgm:pt modelId="{7C8A349C-7394-CE45-B367-92959F4D8FF4}" type="parTrans" cxnId="{16EAF76C-7F70-BB43-A1C6-4E0A78650F62}">
      <dgm:prSet/>
      <dgm:spPr/>
      <dgm:t>
        <a:bodyPr/>
        <a:lstStyle/>
        <a:p>
          <a:endParaRPr lang="en-US"/>
        </a:p>
      </dgm:t>
    </dgm:pt>
    <dgm:pt modelId="{D0C483B4-26AF-494E-8C55-0C6573F8551C}" type="sibTrans" cxnId="{16EAF76C-7F70-BB43-A1C6-4E0A78650F62}">
      <dgm:prSet/>
      <dgm:spPr/>
      <dgm:t>
        <a:bodyPr/>
        <a:lstStyle/>
        <a:p>
          <a:endParaRPr lang="en-US"/>
        </a:p>
      </dgm:t>
    </dgm:pt>
    <dgm:pt modelId="{BC6D3CF0-0FB4-8749-BA3F-C70255DBD971}">
      <dgm:prSet custT="1"/>
      <dgm:spPr/>
      <dgm:t>
        <a:bodyPr/>
        <a:lstStyle/>
        <a:p>
          <a:r>
            <a:rPr lang="en-US" sz="1400"/>
            <a:t>Final Sample Size</a:t>
          </a:r>
        </a:p>
        <a:p>
          <a:r>
            <a:rPr lang="en-US" sz="1400"/>
            <a:t>N=759</a:t>
          </a:r>
        </a:p>
      </dgm:t>
    </dgm:pt>
    <dgm:pt modelId="{F97A5750-E6D9-764A-A5DE-C8A6C4A5311D}" type="parTrans" cxnId="{FB686C1B-967B-3C4B-9073-DA8AC9F94D06}">
      <dgm:prSet/>
      <dgm:spPr/>
      <dgm:t>
        <a:bodyPr/>
        <a:lstStyle/>
        <a:p>
          <a:endParaRPr lang="en-US"/>
        </a:p>
      </dgm:t>
    </dgm:pt>
    <dgm:pt modelId="{DD542496-7648-574B-808D-85A1EEC68E87}" type="sibTrans" cxnId="{FB686C1B-967B-3C4B-9073-DA8AC9F94D06}">
      <dgm:prSet/>
      <dgm:spPr/>
      <dgm:t>
        <a:bodyPr/>
        <a:lstStyle/>
        <a:p>
          <a:endParaRPr lang="en-US"/>
        </a:p>
      </dgm:t>
    </dgm:pt>
    <dgm:pt modelId="{050213EF-3956-5948-8B19-DC04AFFE5D1B}">
      <dgm:prSet custT="1"/>
      <dgm:spPr/>
      <dgm:t>
        <a:bodyPr/>
        <a:lstStyle/>
        <a:p>
          <a:r>
            <a:rPr lang="en-US" sz="1200"/>
            <a:t>Nonpulmonary Samples</a:t>
          </a:r>
        </a:p>
        <a:p>
          <a:r>
            <a:rPr lang="en-US" sz="1200"/>
            <a:t>N= 209</a:t>
          </a:r>
        </a:p>
      </dgm:t>
    </dgm:pt>
    <dgm:pt modelId="{ACF7742A-CF89-F14F-9315-8CBD21EAC102}" type="parTrans" cxnId="{9B35474A-F18B-F64E-AAEA-084F844C04F1}">
      <dgm:prSet/>
      <dgm:spPr/>
      <dgm:t>
        <a:bodyPr/>
        <a:lstStyle/>
        <a:p>
          <a:endParaRPr lang="en-US"/>
        </a:p>
      </dgm:t>
    </dgm:pt>
    <dgm:pt modelId="{054564BF-471A-4B40-AAAD-0799BE4AF26A}" type="sibTrans" cxnId="{9B35474A-F18B-F64E-AAEA-084F844C04F1}">
      <dgm:prSet/>
      <dgm:spPr/>
      <dgm:t>
        <a:bodyPr/>
        <a:lstStyle/>
        <a:p>
          <a:endParaRPr lang="en-US"/>
        </a:p>
      </dgm:t>
    </dgm:pt>
    <dgm:pt modelId="{E56F54BF-2416-C440-9C3F-E25677D15EB0}">
      <dgm:prSet custT="1"/>
      <dgm:spPr/>
      <dgm:t>
        <a:bodyPr/>
        <a:lstStyle/>
        <a:p>
          <a:r>
            <a:rPr lang="en-US" sz="1200"/>
            <a:t>Pulmonary Samples</a:t>
          </a:r>
        </a:p>
        <a:p>
          <a:r>
            <a:rPr lang="en-US" sz="1200"/>
            <a:t>N=180</a:t>
          </a:r>
        </a:p>
      </dgm:t>
    </dgm:pt>
    <dgm:pt modelId="{61B8A77A-33AF-6045-BA6D-42E3139F1628}" type="parTrans" cxnId="{E641C11B-7B89-1E47-8D6C-D9F30EF4766D}">
      <dgm:prSet/>
      <dgm:spPr/>
      <dgm:t>
        <a:bodyPr/>
        <a:lstStyle/>
        <a:p>
          <a:endParaRPr lang="en-US"/>
        </a:p>
      </dgm:t>
    </dgm:pt>
    <dgm:pt modelId="{0CAFFA46-898A-2D47-BB1B-13EDEB16B44C}" type="sibTrans" cxnId="{E641C11B-7B89-1E47-8D6C-D9F30EF4766D}">
      <dgm:prSet/>
      <dgm:spPr/>
      <dgm:t>
        <a:bodyPr/>
        <a:lstStyle/>
        <a:p>
          <a:endParaRPr lang="en-US"/>
        </a:p>
      </dgm:t>
    </dgm:pt>
    <dgm:pt modelId="{6F0CB460-9801-1C41-A461-94CD33381E52}">
      <dgm:prSet/>
      <dgm:spPr/>
      <dgm:t>
        <a:bodyPr/>
        <a:lstStyle/>
        <a:p>
          <a:r>
            <a:rPr lang="en-US"/>
            <a:t>Specimen Source Missing</a:t>
          </a:r>
        </a:p>
        <a:p>
          <a:r>
            <a:rPr lang="en-US"/>
            <a:t>N= 368</a:t>
          </a:r>
        </a:p>
        <a:p>
          <a:r>
            <a:rPr lang="en-US"/>
            <a:t>Specimen Source from Device (N=2)</a:t>
          </a:r>
        </a:p>
      </dgm:t>
    </dgm:pt>
    <dgm:pt modelId="{394A44FE-F016-BC4E-BF8B-46F370DE0AF9}" type="parTrans" cxnId="{F25E3F19-7B18-AC4B-A823-2316326EB9FF}">
      <dgm:prSet/>
      <dgm:spPr/>
      <dgm:t>
        <a:bodyPr/>
        <a:lstStyle/>
        <a:p>
          <a:endParaRPr lang="en-US"/>
        </a:p>
      </dgm:t>
    </dgm:pt>
    <dgm:pt modelId="{ED5ADD42-8A29-2B41-8576-41860657360D}" type="sibTrans" cxnId="{F25E3F19-7B18-AC4B-A823-2316326EB9FF}">
      <dgm:prSet/>
      <dgm:spPr/>
      <dgm:t>
        <a:bodyPr/>
        <a:lstStyle/>
        <a:p>
          <a:endParaRPr lang="en-US"/>
        </a:p>
      </dgm:t>
    </dgm:pt>
    <dgm:pt modelId="{62BB36B0-6A27-F547-977A-DD0D1EA3D09E}" type="pres">
      <dgm:prSet presAssocID="{E83A7D61-EEA3-AB4E-B057-FF3631B35741}" presName="hierChild1" presStyleCnt="0">
        <dgm:presLayoutVars>
          <dgm:orgChart val="1"/>
          <dgm:chPref val="1"/>
          <dgm:dir/>
          <dgm:animOne val="branch"/>
          <dgm:animLvl val="lvl"/>
          <dgm:resizeHandles/>
        </dgm:presLayoutVars>
      </dgm:prSet>
      <dgm:spPr/>
    </dgm:pt>
    <dgm:pt modelId="{D7EDAF40-ED2D-7747-B403-5ACD4ADA78B8}" type="pres">
      <dgm:prSet presAssocID="{7A334565-2319-0D48-87E6-A8E2FC198A5B}" presName="hierRoot1" presStyleCnt="0">
        <dgm:presLayoutVars>
          <dgm:hierBranch val="init"/>
        </dgm:presLayoutVars>
      </dgm:prSet>
      <dgm:spPr/>
    </dgm:pt>
    <dgm:pt modelId="{8CAF07E0-CF47-C242-A5EC-D9ED78B7ED29}" type="pres">
      <dgm:prSet presAssocID="{7A334565-2319-0D48-87E6-A8E2FC198A5B}" presName="rootComposite1" presStyleCnt="0"/>
      <dgm:spPr/>
    </dgm:pt>
    <dgm:pt modelId="{F680F221-0F1C-F948-A619-7A3289D92DFF}" type="pres">
      <dgm:prSet presAssocID="{7A334565-2319-0D48-87E6-A8E2FC198A5B}" presName="rootText1" presStyleLbl="node0" presStyleIdx="0" presStyleCnt="4" custLinFactNeighborX="-881" custLinFactNeighborY="-47658">
        <dgm:presLayoutVars>
          <dgm:chPref val="3"/>
        </dgm:presLayoutVars>
      </dgm:prSet>
      <dgm:spPr/>
    </dgm:pt>
    <dgm:pt modelId="{E534B869-6921-E443-8591-4FDFABBA0739}" type="pres">
      <dgm:prSet presAssocID="{7A334565-2319-0D48-87E6-A8E2FC198A5B}" presName="rootConnector1" presStyleLbl="node1" presStyleIdx="0" presStyleCnt="0"/>
      <dgm:spPr/>
    </dgm:pt>
    <dgm:pt modelId="{BF5F76BC-366C-FF46-B3DA-A8F53F371D9D}" type="pres">
      <dgm:prSet presAssocID="{7A334565-2319-0D48-87E6-A8E2FC198A5B}" presName="hierChild2" presStyleCnt="0"/>
      <dgm:spPr/>
    </dgm:pt>
    <dgm:pt modelId="{AE6178B5-3CB8-3C4D-90EF-6A335548FEEF}" type="pres">
      <dgm:prSet presAssocID="{64F0533C-595B-4E47-8ABA-4E08FF7FC0C9}" presName="Name64" presStyleLbl="parChTrans1D2" presStyleIdx="0" presStyleCnt="6"/>
      <dgm:spPr/>
    </dgm:pt>
    <dgm:pt modelId="{FEDD4F11-86ED-3746-A2DD-E58E0DB37945}" type="pres">
      <dgm:prSet presAssocID="{2A8A36C2-134F-2746-B7AB-3837AF740B93}" presName="hierRoot2" presStyleCnt="0">
        <dgm:presLayoutVars>
          <dgm:hierBranch val="init"/>
        </dgm:presLayoutVars>
      </dgm:prSet>
      <dgm:spPr/>
    </dgm:pt>
    <dgm:pt modelId="{ECE78DB5-6AE0-0742-B0F8-3A7B5F89DE8A}" type="pres">
      <dgm:prSet presAssocID="{2A8A36C2-134F-2746-B7AB-3837AF740B93}" presName="rootComposite" presStyleCnt="0"/>
      <dgm:spPr/>
    </dgm:pt>
    <dgm:pt modelId="{D393D7AD-5469-AA48-BA9A-6D2AD76C430C}" type="pres">
      <dgm:prSet presAssocID="{2A8A36C2-134F-2746-B7AB-3837AF740B93}" presName="rootText" presStyleLbl="node2" presStyleIdx="0" presStyleCnt="6" custLinFactNeighborX="881" custLinFactNeighborY="4332">
        <dgm:presLayoutVars>
          <dgm:chPref val="3"/>
        </dgm:presLayoutVars>
      </dgm:prSet>
      <dgm:spPr/>
    </dgm:pt>
    <dgm:pt modelId="{A6C5C7B3-5DD0-124C-9BE2-8EC8BB889F7C}" type="pres">
      <dgm:prSet presAssocID="{2A8A36C2-134F-2746-B7AB-3837AF740B93}" presName="rootConnector" presStyleLbl="node2" presStyleIdx="0" presStyleCnt="6"/>
      <dgm:spPr/>
    </dgm:pt>
    <dgm:pt modelId="{FF48151C-5152-7E48-A1F5-8116FFB7F097}" type="pres">
      <dgm:prSet presAssocID="{2A8A36C2-134F-2746-B7AB-3837AF740B93}" presName="hierChild4" presStyleCnt="0"/>
      <dgm:spPr/>
    </dgm:pt>
    <dgm:pt modelId="{52534B18-025F-8147-AB50-C1D3C46A9511}" type="pres">
      <dgm:prSet presAssocID="{2A8A36C2-134F-2746-B7AB-3837AF740B93}" presName="hierChild5" presStyleCnt="0"/>
      <dgm:spPr/>
    </dgm:pt>
    <dgm:pt modelId="{61A73B5B-DA7E-3544-AAEE-94776126C0EE}" type="pres">
      <dgm:prSet presAssocID="{7A334565-2319-0D48-87E6-A8E2FC198A5B}" presName="hierChild3" presStyleCnt="0"/>
      <dgm:spPr/>
    </dgm:pt>
    <dgm:pt modelId="{C86DE0E4-1DF7-9541-AA67-76AA7C729780}" type="pres">
      <dgm:prSet presAssocID="{9DE62AC9-78FA-DA45-AF18-64A7EC3CCA22}" presName="hierRoot1" presStyleCnt="0">
        <dgm:presLayoutVars>
          <dgm:hierBranch val="init"/>
        </dgm:presLayoutVars>
      </dgm:prSet>
      <dgm:spPr/>
    </dgm:pt>
    <dgm:pt modelId="{3F715E4F-9820-3942-83B5-DA3F5BE7EB1C}" type="pres">
      <dgm:prSet presAssocID="{9DE62AC9-78FA-DA45-AF18-64A7EC3CCA22}" presName="rootComposite1" presStyleCnt="0"/>
      <dgm:spPr/>
    </dgm:pt>
    <dgm:pt modelId="{62E5F457-F36B-4D42-9E0D-029A419D40B1}" type="pres">
      <dgm:prSet presAssocID="{9DE62AC9-78FA-DA45-AF18-64A7EC3CCA22}" presName="rootText1" presStyleLbl="node0" presStyleIdx="1" presStyleCnt="4" custLinFactNeighborX="-1929" custLinFactNeighborY="15522">
        <dgm:presLayoutVars>
          <dgm:chPref val="3"/>
        </dgm:presLayoutVars>
      </dgm:prSet>
      <dgm:spPr/>
    </dgm:pt>
    <dgm:pt modelId="{2A9DBA26-6602-9F46-ACB2-A6F6E49E93CC}" type="pres">
      <dgm:prSet presAssocID="{9DE62AC9-78FA-DA45-AF18-64A7EC3CCA22}" presName="rootConnector1" presStyleLbl="node1" presStyleIdx="0" presStyleCnt="0"/>
      <dgm:spPr/>
    </dgm:pt>
    <dgm:pt modelId="{53FCA46D-40CB-F645-BF05-C73494A6BD17}" type="pres">
      <dgm:prSet presAssocID="{9DE62AC9-78FA-DA45-AF18-64A7EC3CCA22}" presName="hierChild2" presStyleCnt="0"/>
      <dgm:spPr/>
    </dgm:pt>
    <dgm:pt modelId="{5447CC2D-4A49-C645-90E0-C7DBFB584DE8}" type="pres">
      <dgm:prSet presAssocID="{09E2EF7C-821F-C64A-BC5A-B6997C366206}" presName="Name64" presStyleLbl="parChTrans1D2" presStyleIdx="1" presStyleCnt="6"/>
      <dgm:spPr/>
    </dgm:pt>
    <dgm:pt modelId="{13E3C8FE-45C5-1048-A8BD-337242C5724A}" type="pres">
      <dgm:prSet presAssocID="{68E60DC1-B376-0242-AF5A-095E41546BC8}" presName="hierRoot2" presStyleCnt="0">
        <dgm:presLayoutVars>
          <dgm:hierBranch val="init"/>
        </dgm:presLayoutVars>
      </dgm:prSet>
      <dgm:spPr/>
    </dgm:pt>
    <dgm:pt modelId="{B95B8FA8-0332-6544-B876-92E3BD18F9C2}" type="pres">
      <dgm:prSet presAssocID="{68E60DC1-B376-0242-AF5A-095E41546BC8}" presName="rootComposite" presStyleCnt="0"/>
      <dgm:spPr/>
    </dgm:pt>
    <dgm:pt modelId="{504AA6AB-1FDC-EA4E-9E61-C7D0009D35B2}" type="pres">
      <dgm:prSet presAssocID="{68E60DC1-B376-0242-AF5A-095E41546BC8}" presName="rootText" presStyleLbl="node2" presStyleIdx="1" presStyleCnt="6" custLinFactNeighborX="108" custLinFactNeighborY="18774">
        <dgm:presLayoutVars>
          <dgm:chPref val="3"/>
        </dgm:presLayoutVars>
      </dgm:prSet>
      <dgm:spPr/>
    </dgm:pt>
    <dgm:pt modelId="{609BB3A3-23CC-D04E-BE76-D9C0E9979231}" type="pres">
      <dgm:prSet presAssocID="{68E60DC1-B376-0242-AF5A-095E41546BC8}" presName="rootConnector" presStyleLbl="node2" presStyleIdx="1" presStyleCnt="6"/>
      <dgm:spPr/>
    </dgm:pt>
    <dgm:pt modelId="{5D01AF06-71FC-E247-93B5-54819B2940EE}" type="pres">
      <dgm:prSet presAssocID="{68E60DC1-B376-0242-AF5A-095E41546BC8}" presName="hierChild4" presStyleCnt="0"/>
      <dgm:spPr/>
    </dgm:pt>
    <dgm:pt modelId="{B6003B5E-40CD-3541-9F7F-A6A874261889}" type="pres">
      <dgm:prSet presAssocID="{68E60DC1-B376-0242-AF5A-095E41546BC8}" presName="hierChild5" presStyleCnt="0"/>
      <dgm:spPr/>
    </dgm:pt>
    <dgm:pt modelId="{0704E8AE-1E8C-7D4F-AF99-E65EA507BB9F}" type="pres">
      <dgm:prSet presAssocID="{9DE62AC9-78FA-DA45-AF18-64A7EC3CCA22}" presName="hierChild3" presStyleCnt="0"/>
      <dgm:spPr/>
    </dgm:pt>
    <dgm:pt modelId="{D504400B-9A92-6449-A1C7-FB8B9895DE3D}" type="pres">
      <dgm:prSet presAssocID="{617C697B-DA16-5A41-97C0-1CE517E4C16C}" presName="hierRoot1" presStyleCnt="0">
        <dgm:presLayoutVars>
          <dgm:hierBranch val="init"/>
        </dgm:presLayoutVars>
      </dgm:prSet>
      <dgm:spPr/>
    </dgm:pt>
    <dgm:pt modelId="{AD7021DA-4CF5-3B4D-9E59-4325DB12844F}" type="pres">
      <dgm:prSet presAssocID="{617C697B-DA16-5A41-97C0-1CE517E4C16C}" presName="rootComposite1" presStyleCnt="0"/>
      <dgm:spPr/>
    </dgm:pt>
    <dgm:pt modelId="{77803F1B-D404-2F48-9051-166424B949BC}" type="pres">
      <dgm:prSet presAssocID="{617C697B-DA16-5A41-97C0-1CE517E4C16C}" presName="rootText1" presStyleLbl="node0" presStyleIdx="2" presStyleCnt="4" custLinFactNeighborX="-1821" custLinFactNeighborY="31805">
        <dgm:presLayoutVars>
          <dgm:chPref val="3"/>
        </dgm:presLayoutVars>
      </dgm:prSet>
      <dgm:spPr/>
    </dgm:pt>
    <dgm:pt modelId="{502C13DE-00A1-EF42-AB26-9E6032F85A71}" type="pres">
      <dgm:prSet presAssocID="{617C697B-DA16-5A41-97C0-1CE517E4C16C}" presName="rootConnector1" presStyleLbl="node1" presStyleIdx="0" presStyleCnt="0"/>
      <dgm:spPr/>
    </dgm:pt>
    <dgm:pt modelId="{22B83026-6062-5C4E-B66D-34C388F8D33B}" type="pres">
      <dgm:prSet presAssocID="{617C697B-DA16-5A41-97C0-1CE517E4C16C}" presName="hierChild2" presStyleCnt="0"/>
      <dgm:spPr/>
    </dgm:pt>
    <dgm:pt modelId="{6F9E939A-12D7-2D4D-AF12-BECD475C5C04}" type="pres">
      <dgm:prSet presAssocID="{7C8A349C-7394-CE45-B367-92959F4D8FF4}" presName="Name64" presStyleLbl="parChTrans1D2" presStyleIdx="2" presStyleCnt="6"/>
      <dgm:spPr/>
    </dgm:pt>
    <dgm:pt modelId="{7B21F93A-55AE-364F-9762-48BDB604A31D}" type="pres">
      <dgm:prSet presAssocID="{063B387E-D685-E445-89C0-67806D480DAF}" presName="hierRoot2" presStyleCnt="0">
        <dgm:presLayoutVars>
          <dgm:hierBranch val="init"/>
        </dgm:presLayoutVars>
      </dgm:prSet>
      <dgm:spPr/>
    </dgm:pt>
    <dgm:pt modelId="{BA0A06E1-9A62-6749-9B71-6AF1B73ADB08}" type="pres">
      <dgm:prSet presAssocID="{063B387E-D685-E445-89C0-67806D480DAF}" presName="rootComposite" presStyleCnt="0"/>
      <dgm:spPr/>
    </dgm:pt>
    <dgm:pt modelId="{70E1CDC1-5899-434B-BF51-173E56FEFD74}" type="pres">
      <dgm:prSet presAssocID="{063B387E-D685-E445-89C0-67806D480DAF}" presName="rootText" presStyleLbl="node2" presStyleIdx="2" presStyleCnt="6" custLinFactNeighborX="988" custLinFactNeighborY="31772">
        <dgm:presLayoutVars>
          <dgm:chPref val="3"/>
        </dgm:presLayoutVars>
      </dgm:prSet>
      <dgm:spPr/>
    </dgm:pt>
    <dgm:pt modelId="{40D71F40-02D9-B145-906A-21D2F5EEFCF4}" type="pres">
      <dgm:prSet presAssocID="{063B387E-D685-E445-89C0-67806D480DAF}" presName="rootConnector" presStyleLbl="node2" presStyleIdx="2" presStyleCnt="6"/>
      <dgm:spPr/>
    </dgm:pt>
    <dgm:pt modelId="{E4CB33CD-EFE7-4741-A97E-B63B7406F0E8}" type="pres">
      <dgm:prSet presAssocID="{063B387E-D685-E445-89C0-67806D480DAF}" presName="hierChild4" presStyleCnt="0"/>
      <dgm:spPr/>
    </dgm:pt>
    <dgm:pt modelId="{B340C1FA-71E9-1447-84A0-BACB4A5E91D6}" type="pres">
      <dgm:prSet presAssocID="{063B387E-D685-E445-89C0-67806D480DAF}" presName="hierChild5" presStyleCnt="0"/>
      <dgm:spPr/>
    </dgm:pt>
    <dgm:pt modelId="{172E9B72-CD58-EA4B-9565-DBED6061C957}" type="pres">
      <dgm:prSet presAssocID="{617C697B-DA16-5A41-97C0-1CE517E4C16C}" presName="hierChild3" presStyleCnt="0"/>
      <dgm:spPr/>
    </dgm:pt>
    <dgm:pt modelId="{E0AD6656-D963-7444-986C-2D0160480A89}" type="pres">
      <dgm:prSet presAssocID="{BC6D3CF0-0FB4-8749-BA3F-C70255DBD971}" presName="hierRoot1" presStyleCnt="0">
        <dgm:presLayoutVars>
          <dgm:hierBranch/>
        </dgm:presLayoutVars>
      </dgm:prSet>
      <dgm:spPr/>
    </dgm:pt>
    <dgm:pt modelId="{3334F22C-8CE4-7342-9D6E-6164D14B996B}" type="pres">
      <dgm:prSet presAssocID="{BC6D3CF0-0FB4-8749-BA3F-C70255DBD971}" presName="rootComposite1" presStyleCnt="0"/>
      <dgm:spPr/>
    </dgm:pt>
    <dgm:pt modelId="{40F64BEF-307E-9743-91A5-4B316EECAE3D}" type="pres">
      <dgm:prSet presAssocID="{BC6D3CF0-0FB4-8749-BA3F-C70255DBD971}" presName="rootText1" presStyleLbl="node0" presStyleIdx="3" presStyleCnt="4">
        <dgm:presLayoutVars>
          <dgm:chPref val="3"/>
        </dgm:presLayoutVars>
      </dgm:prSet>
      <dgm:spPr/>
    </dgm:pt>
    <dgm:pt modelId="{3188AE65-AB1A-EE4D-918A-B00B708D9FBA}" type="pres">
      <dgm:prSet presAssocID="{BC6D3CF0-0FB4-8749-BA3F-C70255DBD971}" presName="rootConnector1" presStyleLbl="node1" presStyleIdx="0" presStyleCnt="0"/>
      <dgm:spPr/>
    </dgm:pt>
    <dgm:pt modelId="{6F7D6492-8DB7-044A-8602-A8DA5EEC2BEC}" type="pres">
      <dgm:prSet presAssocID="{BC6D3CF0-0FB4-8749-BA3F-C70255DBD971}" presName="hierChild2" presStyleCnt="0"/>
      <dgm:spPr/>
    </dgm:pt>
    <dgm:pt modelId="{C4AE2819-7943-CC46-9AE8-7F59B11D08FD}" type="pres">
      <dgm:prSet presAssocID="{ACF7742A-CF89-F14F-9315-8CBD21EAC102}" presName="Name64" presStyleLbl="parChTrans1D2" presStyleIdx="3" presStyleCnt="6"/>
      <dgm:spPr/>
    </dgm:pt>
    <dgm:pt modelId="{93B2AEF1-E014-7147-A98A-93C941881C52}" type="pres">
      <dgm:prSet presAssocID="{050213EF-3956-5948-8B19-DC04AFFE5D1B}" presName="hierRoot2" presStyleCnt="0">
        <dgm:presLayoutVars>
          <dgm:hierBranch val="init"/>
        </dgm:presLayoutVars>
      </dgm:prSet>
      <dgm:spPr/>
    </dgm:pt>
    <dgm:pt modelId="{FCDFC662-DF6C-F349-B9CE-2214384C5E6D}" type="pres">
      <dgm:prSet presAssocID="{050213EF-3956-5948-8B19-DC04AFFE5D1B}" presName="rootComposite" presStyleCnt="0"/>
      <dgm:spPr/>
    </dgm:pt>
    <dgm:pt modelId="{A369F8B9-8D16-A24E-9F25-C6152B16B948}" type="pres">
      <dgm:prSet presAssocID="{050213EF-3956-5948-8B19-DC04AFFE5D1B}" presName="rootText" presStyleLbl="node2" presStyleIdx="3" presStyleCnt="6">
        <dgm:presLayoutVars>
          <dgm:chPref val="3"/>
        </dgm:presLayoutVars>
      </dgm:prSet>
      <dgm:spPr/>
    </dgm:pt>
    <dgm:pt modelId="{8E2348AA-638A-3443-8AE5-B91B1C62106C}" type="pres">
      <dgm:prSet presAssocID="{050213EF-3956-5948-8B19-DC04AFFE5D1B}" presName="rootConnector" presStyleLbl="node2" presStyleIdx="3" presStyleCnt="6"/>
      <dgm:spPr/>
    </dgm:pt>
    <dgm:pt modelId="{B75BE96A-E9C9-D54A-884B-73F4144DD07C}" type="pres">
      <dgm:prSet presAssocID="{050213EF-3956-5948-8B19-DC04AFFE5D1B}" presName="hierChild4" presStyleCnt="0"/>
      <dgm:spPr/>
    </dgm:pt>
    <dgm:pt modelId="{BBFC4C57-2568-F74A-BE7D-418F6144F6C9}" type="pres">
      <dgm:prSet presAssocID="{050213EF-3956-5948-8B19-DC04AFFE5D1B}" presName="hierChild5" presStyleCnt="0"/>
      <dgm:spPr/>
    </dgm:pt>
    <dgm:pt modelId="{8F3EE374-983B-8145-8949-B480124E8D8C}" type="pres">
      <dgm:prSet presAssocID="{61B8A77A-33AF-6045-BA6D-42E3139F1628}" presName="Name64" presStyleLbl="parChTrans1D2" presStyleIdx="4" presStyleCnt="6"/>
      <dgm:spPr/>
    </dgm:pt>
    <dgm:pt modelId="{BD1F0AE6-9AE0-8B4F-8D04-06E0EA581E66}" type="pres">
      <dgm:prSet presAssocID="{E56F54BF-2416-C440-9C3F-E25677D15EB0}" presName="hierRoot2" presStyleCnt="0">
        <dgm:presLayoutVars>
          <dgm:hierBranch val="init"/>
        </dgm:presLayoutVars>
      </dgm:prSet>
      <dgm:spPr/>
    </dgm:pt>
    <dgm:pt modelId="{D4FAEB79-4DCF-424E-BE44-A2D4282173E7}" type="pres">
      <dgm:prSet presAssocID="{E56F54BF-2416-C440-9C3F-E25677D15EB0}" presName="rootComposite" presStyleCnt="0"/>
      <dgm:spPr/>
    </dgm:pt>
    <dgm:pt modelId="{D1C333B3-488C-CE4C-8E37-655A225D561D}" type="pres">
      <dgm:prSet presAssocID="{E56F54BF-2416-C440-9C3F-E25677D15EB0}" presName="rootText" presStyleLbl="node2" presStyleIdx="4" presStyleCnt="6">
        <dgm:presLayoutVars>
          <dgm:chPref val="3"/>
        </dgm:presLayoutVars>
      </dgm:prSet>
      <dgm:spPr/>
    </dgm:pt>
    <dgm:pt modelId="{DE057A8D-B5B1-DE45-AB62-F7A2368E9591}" type="pres">
      <dgm:prSet presAssocID="{E56F54BF-2416-C440-9C3F-E25677D15EB0}" presName="rootConnector" presStyleLbl="node2" presStyleIdx="4" presStyleCnt="6"/>
      <dgm:spPr/>
    </dgm:pt>
    <dgm:pt modelId="{80E4F426-431F-8946-949F-120A0E920F94}" type="pres">
      <dgm:prSet presAssocID="{E56F54BF-2416-C440-9C3F-E25677D15EB0}" presName="hierChild4" presStyleCnt="0"/>
      <dgm:spPr/>
    </dgm:pt>
    <dgm:pt modelId="{6B203208-6B63-9448-A53F-490CD091022B}" type="pres">
      <dgm:prSet presAssocID="{E56F54BF-2416-C440-9C3F-E25677D15EB0}" presName="hierChild5" presStyleCnt="0"/>
      <dgm:spPr/>
    </dgm:pt>
    <dgm:pt modelId="{B412E826-FEE1-B44C-98F1-7446E0E52AEC}" type="pres">
      <dgm:prSet presAssocID="{394A44FE-F016-BC4E-BF8B-46F370DE0AF9}" presName="Name64" presStyleLbl="parChTrans1D2" presStyleIdx="5" presStyleCnt="6"/>
      <dgm:spPr/>
    </dgm:pt>
    <dgm:pt modelId="{D23D2477-F5DF-7940-B295-7B8B2D71A344}" type="pres">
      <dgm:prSet presAssocID="{6F0CB460-9801-1C41-A461-94CD33381E52}" presName="hierRoot2" presStyleCnt="0">
        <dgm:presLayoutVars>
          <dgm:hierBranch val="init"/>
        </dgm:presLayoutVars>
      </dgm:prSet>
      <dgm:spPr/>
    </dgm:pt>
    <dgm:pt modelId="{37B4BF45-89A8-FB47-AB6D-298518BD8FA5}" type="pres">
      <dgm:prSet presAssocID="{6F0CB460-9801-1C41-A461-94CD33381E52}" presName="rootComposite" presStyleCnt="0"/>
      <dgm:spPr/>
    </dgm:pt>
    <dgm:pt modelId="{E8645A4D-47D8-B54B-B996-C571E078BFAB}" type="pres">
      <dgm:prSet presAssocID="{6F0CB460-9801-1C41-A461-94CD33381E52}" presName="rootText" presStyleLbl="node2" presStyleIdx="5" presStyleCnt="6" custScaleX="99059" custScaleY="120024">
        <dgm:presLayoutVars>
          <dgm:chPref val="3"/>
        </dgm:presLayoutVars>
      </dgm:prSet>
      <dgm:spPr/>
    </dgm:pt>
    <dgm:pt modelId="{D8CE4BB8-4934-1E48-B3D6-C07CFA199B4F}" type="pres">
      <dgm:prSet presAssocID="{6F0CB460-9801-1C41-A461-94CD33381E52}" presName="rootConnector" presStyleLbl="node2" presStyleIdx="5" presStyleCnt="6"/>
      <dgm:spPr/>
    </dgm:pt>
    <dgm:pt modelId="{51F69E80-4CAF-4941-BD33-9D609F1A6433}" type="pres">
      <dgm:prSet presAssocID="{6F0CB460-9801-1C41-A461-94CD33381E52}" presName="hierChild4" presStyleCnt="0"/>
      <dgm:spPr/>
    </dgm:pt>
    <dgm:pt modelId="{1B149638-577F-7F47-9991-4846F1B8053D}" type="pres">
      <dgm:prSet presAssocID="{6F0CB460-9801-1C41-A461-94CD33381E52}" presName="hierChild5" presStyleCnt="0"/>
      <dgm:spPr/>
    </dgm:pt>
    <dgm:pt modelId="{A8851F5A-62DF-EC4E-8604-D8DA2C8F6DF0}" type="pres">
      <dgm:prSet presAssocID="{BC6D3CF0-0FB4-8749-BA3F-C70255DBD971}" presName="hierChild3" presStyleCnt="0"/>
      <dgm:spPr/>
    </dgm:pt>
  </dgm:ptLst>
  <dgm:cxnLst>
    <dgm:cxn modelId="{03A21F0B-D709-40C0-9B7A-362F915B38A0}" type="presOf" srcId="{6F0CB460-9801-1C41-A461-94CD33381E52}" destId="{E8645A4D-47D8-B54B-B996-C571E078BFAB}" srcOrd="0" destOrd="0" presId="urn:microsoft.com/office/officeart/2009/3/layout/HorizontalOrganizationChart"/>
    <dgm:cxn modelId="{93122F13-1FD0-42BB-9A71-876E023A5C1F}" type="presOf" srcId="{050213EF-3956-5948-8B19-DC04AFFE5D1B}" destId="{A369F8B9-8D16-A24E-9F25-C6152B16B948}" srcOrd="0" destOrd="0" presId="urn:microsoft.com/office/officeart/2009/3/layout/HorizontalOrganizationChart"/>
    <dgm:cxn modelId="{5287E116-C2E4-41E2-9215-2234257DC6A8}" type="presOf" srcId="{2A8A36C2-134F-2746-B7AB-3837AF740B93}" destId="{A6C5C7B3-5DD0-124C-9BE2-8EC8BB889F7C}" srcOrd="1" destOrd="0" presId="urn:microsoft.com/office/officeart/2009/3/layout/HorizontalOrganizationChart"/>
    <dgm:cxn modelId="{C2115718-FED7-41BB-925B-021C9ACDA6C9}" type="presOf" srcId="{050213EF-3956-5948-8B19-DC04AFFE5D1B}" destId="{8E2348AA-638A-3443-8AE5-B91B1C62106C}" srcOrd="1" destOrd="0" presId="urn:microsoft.com/office/officeart/2009/3/layout/HorizontalOrganizationChart"/>
    <dgm:cxn modelId="{F25E3F19-7B18-AC4B-A823-2316326EB9FF}" srcId="{BC6D3CF0-0FB4-8749-BA3F-C70255DBD971}" destId="{6F0CB460-9801-1C41-A461-94CD33381E52}" srcOrd="2" destOrd="0" parTransId="{394A44FE-F016-BC4E-BF8B-46F370DE0AF9}" sibTransId="{ED5ADD42-8A29-2B41-8576-41860657360D}"/>
    <dgm:cxn modelId="{FB686C1B-967B-3C4B-9073-DA8AC9F94D06}" srcId="{E83A7D61-EEA3-AB4E-B057-FF3631B35741}" destId="{BC6D3CF0-0FB4-8749-BA3F-C70255DBD971}" srcOrd="3" destOrd="0" parTransId="{F97A5750-E6D9-764A-A5DE-C8A6C4A5311D}" sibTransId="{DD542496-7648-574B-808D-85A1EEC68E87}"/>
    <dgm:cxn modelId="{E641C11B-7B89-1E47-8D6C-D9F30EF4766D}" srcId="{BC6D3CF0-0FB4-8749-BA3F-C70255DBD971}" destId="{E56F54BF-2416-C440-9C3F-E25677D15EB0}" srcOrd="1" destOrd="0" parTransId="{61B8A77A-33AF-6045-BA6D-42E3139F1628}" sibTransId="{0CAFFA46-898A-2D47-BB1B-13EDEB16B44C}"/>
    <dgm:cxn modelId="{7ACA1A33-4D45-41D1-9728-4F9DBFC542E9}" type="presOf" srcId="{394A44FE-F016-BC4E-BF8B-46F370DE0AF9}" destId="{B412E826-FEE1-B44C-98F1-7446E0E52AEC}" srcOrd="0" destOrd="0" presId="urn:microsoft.com/office/officeart/2009/3/layout/HorizontalOrganizationChart"/>
    <dgm:cxn modelId="{C349213D-D420-4847-A804-D3CF63843B63}" type="presOf" srcId="{9DE62AC9-78FA-DA45-AF18-64A7EC3CCA22}" destId="{2A9DBA26-6602-9F46-ACB2-A6F6E49E93CC}" srcOrd="1" destOrd="0" presId="urn:microsoft.com/office/officeart/2009/3/layout/HorizontalOrganizationChart"/>
    <dgm:cxn modelId="{6365385B-C606-4F6B-811F-ACFF3BA73339}" type="presOf" srcId="{68E60DC1-B376-0242-AF5A-095E41546BC8}" destId="{504AA6AB-1FDC-EA4E-9E61-C7D0009D35B2}" srcOrd="0" destOrd="0" presId="urn:microsoft.com/office/officeart/2009/3/layout/HorizontalOrganizationChart"/>
    <dgm:cxn modelId="{3EA3D55B-F2A4-4AE1-858D-A0EBC53E996D}" type="presOf" srcId="{9DE62AC9-78FA-DA45-AF18-64A7EC3CCA22}" destId="{62E5F457-F36B-4D42-9E0D-029A419D40B1}" srcOrd="0" destOrd="0" presId="urn:microsoft.com/office/officeart/2009/3/layout/HorizontalOrganizationChart"/>
    <dgm:cxn modelId="{81FBAC64-2552-4E0E-A73F-C5B6B666FA73}" type="presOf" srcId="{063B387E-D685-E445-89C0-67806D480DAF}" destId="{70E1CDC1-5899-434B-BF51-173E56FEFD74}" srcOrd="0" destOrd="0" presId="urn:microsoft.com/office/officeart/2009/3/layout/HorizontalOrganizationChart"/>
    <dgm:cxn modelId="{9B35474A-F18B-F64E-AAEA-084F844C04F1}" srcId="{BC6D3CF0-0FB4-8749-BA3F-C70255DBD971}" destId="{050213EF-3956-5948-8B19-DC04AFFE5D1B}" srcOrd="0" destOrd="0" parTransId="{ACF7742A-CF89-F14F-9315-8CBD21EAC102}" sibTransId="{054564BF-471A-4B40-AAAD-0799BE4AF26A}"/>
    <dgm:cxn modelId="{16EAF76C-7F70-BB43-A1C6-4E0A78650F62}" srcId="{617C697B-DA16-5A41-97C0-1CE517E4C16C}" destId="{063B387E-D685-E445-89C0-67806D480DAF}" srcOrd="0" destOrd="0" parTransId="{7C8A349C-7394-CE45-B367-92959F4D8FF4}" sibTransId="{D0C483B4-26AF-494E-8C55-0C6573F8551C}"/>
    <dgm:cxn modelId="{6F55724F-E65A-8344-B60C-7C2C69208B5B}" srcId="{E83A7D61-EEA3-AB4E-B057-FF3631B35741}" destId="{7A334565-2319-0D48-87E6-A8E2FC198A5B}" srcOrd="0" destOrd="0" parTransId="{C2C7F310-3AF0-6D4C-AE30-8462BF99617A}" sibTransId="{98F9D45C-08D2-E146-9433-8E57FD42F6AD}"/>
    <dgm:cxn modelId="{0B023F71-9032-AB4C-9E71-1E1030BDBAA8}" srcId="{9DE62AC9-78FA-DA45-AF18-64A7EC3CCA22}" destId="{68E60DC1-B376-0242-AF5A-095E41546BC8}" srcOrd="0" destOrd="0" parTransId="{09E2EF7C-821F-C64A-BC5A-B6997C366206}" sibTransId="{7350E420-D585-4D4E-AA17-7D5F7BB4BBBE}"/>
    <dgm:cxn modelId="{0DDF2E52-7BE6-DE40-A1C9-91F1FC9E63B6}" srcId="{7A334565-2319-0D48-87E6-A8E2FC198A5B}" destId="{2A8A36C2-134F-2746-B7AB-3837AF740B93}" srcOrd="0" destOrd="0" parTransId="{64F0533C-595B-4E47-8ABA-4E08FF7FC0C9}" sibTransId="{4CDDE757-1F99-874C-9920-15E2CE31A922}"/>
    <dgm:cxn modelId="{23F9FF72-402A-4CB9-87E2-53816CD3D72B}" type="presOf" srcId="{7C8A349C-7394-CE45-B367-92959F4D8FF4}" destId="{6F9E939A-12D7-2D4D-AF12-BECD475C5C04}" srcOrd="0" destOrd="0" presId="urn:microsoft.com/office/officeart/2009/3/layout/HorizontalOrganizationChart"/>
    <dgm:cxn modelId="{6FA13855-1C4C-4D08-8F5C-AD040BEA8CCC}" type="presOf" srcId="{617C697B-DA16-5A41-97C0-1CE517E4C16C}" destId="{77803F1B-D404-2F48-9051-166424B949BC}" srcOrd="0" destOrd="0" presId="urn:microsoft.com/office/officeart/2009/3/layout/HorizontalOrganizationChart"/>
    <dgm:cxn modelId="{E93C067A-6748-42BD-B426-FD8F81F48FC3}" type="presOf" srcId="{E83A7D61-EEA3-AB4E-B057-FF3631B35741}" destId="{62BB36B0-6A27-F547-977A-DD0D1EA3D09E}" srcOrd="0" destOrd="0" presId="urn:microsoft.com/office/officeart/2009/3/layout/HorizontalOrganizationChart"/>
    <dgm:cxn modelId="{07D19087-A260-41A8-B484-22AA0A822CCA}" type="presOf" srcId="{09E2EF7C-821F-C64A-BC5A-B6997C366206}" destId="{5447CC2D-4A49-C645-90E0-C7DBFB584DE8}" srcOrd="0" destOrd="0" presId="urn:microsoft.com/office/officeart/2009/3/layout/HorizontalOrganizationChart"/>
    <dgm:cxn modelId="{B4F1628E-34DC-8841-9928-DBBA5EF71739}" srcId="{E83A7D61-EEA3-AB4E-B057-FF3631B35741}" destId="{617C697B-DA16-5A41-97C0-1CE517E4C16C}" srcOrd="2" destOrd="0" parTransId="{7CEDA444-A835-774A-AF49-0BE577F66030}" sibTransId="{DA025845-018A-6548-99AE-F3315B50F3E0}"/>
    <dgm:cxn modelId="{0F7F6E91-EF0F-4145-B3ED-AAA6BE5708F0}" type="presOf" srcId="{2A8A36C2-134F-2746-B7AB-3837AF740B93}" destId="{D393D7AD-5469-AA48-BA9A-6D2AD76C430C}" srcOrd="0" destOrd="0" presId="urn:microsoft.com/office/officeart/2009/3/layout/HorizontalOrganizationChart"/>
    <dgm:cxn modelId="{9C98129C-BC2A-4BB4-8281-FB4D9E49F522}" type="presOf" srcId="{6F0CB460-9801-1C41-A461-94CD33381E52}" destId="{D8CE4BB8-4934-1E48-B3D6-C07CFA199B4F}" srcOrd="1" destOrd="0" presId="urn:microsoft.com/office/officeart/2009/3/layout/HorizontalOrganizationChart"/>
    <dgm:cxn modelId="{5ACF48AD-54E8-4FCA-AC08-CC1CCA53792E}" type="presOf" srcId="{68E60DC1-B376-0242-AF5A-095E41546BC8}" destId="{609BB3A3-23CC-D04E-BE76-D9C0E9979231}" srcOrd="1" destOrd="0" presId="urn:microsoft.com/office/officeart/2009/3/layout/HorizontalOrganizationChart"/>
    <dgm:cxn modelId="{108A17AE-6F96-4377-AFAD-A2758E393E38}" type="presOf" srcId="{61B8A77A-33AF-6045-BA6D-42E3139F1628}" destId="{8F3EE374-983B-8145-8949-B480124E8D8C}" srcOrd="0" destOrd="0" presId="urn:microsoft.com/office/officeart/2009/3/layout/HorizontalOrganizationChart"/>
    <dgm:cxn modelId="{B285B0C2-968C-4684-8F47-5B5D0647971D}" type="presOf" srcId="{64F0533C-595B-4E47-8ABA-4E08FF7FC0C9}" destId="{AE6178B5-3CB8-3C4D-90EF-6A335548FEEF}" srcOrd="0" destOrd="0" presId="urn:microsoft.com/office/officeart/2009/3/layout/HorizontalOrganizationChart"/>
    <dgm:cxn modelId="{73B8B3C2-8AE2-416B-B0EE-9DD76CE33ADE}" type="presOf" srcId="{BC6D3CF0-0FB4-8749-BA3F-C70255DBD971}" destId="{40F64BEF-307E-9743-91A5-4B316EECAE3D}" srcOrd="0" destOrd="0" presId="urn:microsoft.com/office/officeart/2009/3/layout/HorizontalOrganizationChart"/>
    <dgm:cxn modelId="{E1B9E0C8-AF7F-5B46-B0FD-5A1DF0561150}" srcId="{E83A7D61-EEA3-AB4E-B057-FF3631B35741}" destId="{9DE62AC9-78FA-DA45-AF18-64A7EC3CCA22}" srcOrd="1" destOrd="0" parTransId="{6379C315-ED8A-FC44-81DC-853AE19C52E9}" sibTransId="{F1A2B851-5243-5C48-A6DB-9156B099B21E}"/>
    <dgm:cxn modelId="{F1B8CDCD-2E6B-4541-A1A7-016CCDE5E9FA}" type="presOf" srcId="{BC6D3CF0-0FB4-8749-BA3F-C70255DBD971}" destId="{3188AE65-AB1A-EE4D-918A-B00B708D9FBA}" srcOrd="1" destOrd="0" presId="urn:microsoft.com/office/officeart/2009/3/layout/HorizontalOrganizationChart"/>
    <dgm:cxn modelId="{5BF116CE-BB9E-4B02-A909-5EDC254D43A4}" type="presOf" srcId="{7A334565-2319-0D48-87E6-A8E2FC198A5B}" destId="{F680F221-0F1C-F948-A619-7A3289D92DFF}" srcOrd="0" destOrd="0" presId="urn:microsoft.com/office/officeart/2009/3/layout/HorizontalOrganizationChart"/>
    <dgm:cxn modelId="{39BEE6CF-0ABC-482B-BAAE-30E8F10B8F19}" type="presOf" srcId="{7A334565-2319-0D48-87E6-A8E2FC198A5B}" destId="{E534B869-6921-E443-8591-4FDFABBA0739}" srcOrd="1" destOrd="0" presId="urn:microsoft.com/office/officeart/2009/3/layout/HorizontalOrganizationChart"/>
    <dgm:cxn modelId="{5EE578D3-D68C-48B7-8B80-6128302711E8}" type="presOf" srcId="{E56F54BF-2416-C440-9C3F-E25677D15EB0}" destId="{DE057A8D-B5B1-DE45-AB62-F7A2368E9591}" srcOrd="1" destOrd="0" presId="urn:microsoft.com/office/officeart/2009/3/layout/HorizontalOrganizationChart"/>
    <dgm:cxn modelId="{9CBD7BD3-E86F-49BB-9A5E-2E82304038D7}" type="presOf" srcId="{E56F54BF-2416-C440-9C3F-E25677D15EB0}" destId="{D1C333B3-488C-CE4C-8E37-655A225D561D}" srcOrd="0" destOrd="0" presId="urn:microsoft.com/office/officeart/2009/3/layout/HorizontalOrganizationChart"/>
    <dgm:cxn modelId="{564988D4-C1E5-40F7-BEC1-02C37D4B134A}" type="presOf" srcId="{617C697B-DA16-5A41-97C0-1CE517E4C16C}" destId="{502C13DE-00A1-EF42-AB26-9E6032F85A71}" srcOrd="1" destOrd="0" presId="urn:microsoft.com/office/officeart/2009/3/layout/HorizontalOrganizationChart"/>
    <dgm:cxn modelId="{9F598AEA-0CE1-424E-B90D-F87E7BE13132}" type="presOf" srcId="{ACF7742A-CF89-F14F-9315-8CBD21EAC102}" destId="{C4AE2819-7943-CC46-9AE8-7F59B11D08FD}" srcOrd="0" destOrd="0" presId="urn:microsoft.com/office/officeart/2009/3/layout/HorizontalOrganizationChart"/>
    <dgm:cxn modelId="{F51077FF-6A0B-4054-9D05-AD6C988CD5D7}" type="presOf" srcId="{063B387E-D685-E445-89C0-67806D480DAF}" destId="{40D71F40-02D9-B145-906A-21D2F5EEFCF4}" srcOrd="1" destOrd="0" presId="urn:microsoft.com/office/officeart/2009/3/layout/HorizontalOrganizationChart"/>
    <dgm:cxn modelId="{3AF787CD-ABDA-4B09-8333-47E87BEE4F27}" type="presParOf" srcId="{62BB36B0-6A27-F547-977A-DD0D1EA3D09E}" destId="{D7EDAF40-ED2D-7747-B403-5ACD4ADA78B8}" srcOrd="0" destOrd="0" presId="urn:microsoft.com/office/officeart/2009/3/layout/HorizontalOrganizationChart"/>
    <dgm:cxn modelId="{31303A45-9326-477E-8896-A425347D9DBF}" type="presParOf" srcId="{D7EDAF40-ED2D-7747-B403-5ACD4ADA78B8}" destId="{8CAF07E0-CF47-C242-A5EC-D9ED78B7ED29}" srcOrd="0" destOrd="0" presId="urn:microsoft.com/office/officeart/2009/3/layout/HorizontalOrganizationChart"/>
    <dgm:cxn modelId="{4B9D6425-F575-4BE2-AC56-DAA48165C6B3}" type="presParOf" srcId="{8CAF07E0-CF47-C242-A5EC-D9ED78B7ED29}" destId="{F680F221-0F1C-F948-A619-7A3289D92DFF}" srcOrd="0" destOrd="0" presId="urn:microsoft.com/office/officeart/2009/3/layout/HorizontalOrganizationChart"/>
    <dgm:cxn modelId="{5EDDE785-E5F7-42EE-9C0E-0513C19C6743}" type="presParOf" srcId="{8CAF07E0-CF47-C242-A5EC-D9ED78B7ED29}" destId="{E534B869-6921-E443-8591-4FDFABBA0739}" srcOrd="1" destOrd="0" presId="urn:microsoft.com/office/officeart/2009/3/layout/HorizontalOrganizationChart"/>
    <dgm:cxn modelId="{F622D017-3E67-4A5B-A44F-35AC545D21F0}" type="presParOf" srcId="{D7EDAF40-ED2D-7747-B403-5ACD4ADA78B8}" destId="{BF5F76BC-366C-FF46-B3DA-A8F53F371D9D}" srcOrd="1" destOrd="0" presId="urn:microsoft.com/office/officeart/2009/3/layout/HorizontalOrganizationChart"/>
    <dgm:cxn modelId="{90B4B075-102C-4D42-A7FF-58CAA50C8E6F}" type="presParOf" srcId="{BF5F76BC-366C-FF46-B3DA-A8F53F371D9D}" destId="{AE6178B5-3CB8-3C4D-90EF-6A335548FEEF}" srcOrd="0" destOrd="0" presId="urn:microsoft.com/office/officeart/2009/3/layout/HorizontalOrganizationChart"/>
    <dgm:cxn modelId="{F81EC5E5-1C6A-4AD0-B00E-C824ECA410B9}" type="presParOf" srcId="{BF5F76BC-366C-FF46-B3DA-A8F53F371D9D}" destId="{FEDD4F11-86ED-3746-A2DD-E58E0DB37945}" srcOrd="1" destOrd="0" presId="urn:microsoft.com/office/officeart/2009/3/layout/HorizontalOrganizationChart"/>
    <dgm:cxn modelId="{B1899C35-A6C6-48D1-A54D-0B0C8D239B32}" type="presParOf" srcId="{FEDD4F11-86ED-3746-A2DD-E58E0DB37945}" destId="{ECE78DB5-6AE0-0742-B0F8-3A7B5F89DE8A}" srcOrd="0" destOrd="0" presId="urn:microsoft.com/office/officeart/2009/3/layout/HorizontalOrganizationChart"/>
    <dgm:cxn modelId="{9A4A787A-615E-40AC-9D0F-586357E1677C}" type="presParOf" srcId="{ECE78DB5-6AE0-0742-B0F8-3A7B5F89DE8A}" destId="{D393D7AD-5469-AA48-BA9A-6D2AD76C430C}" srcOrd="0" destOrd="0" presId="urn:microsoft.com/office/officeart/2009/3/layout/HorizontalOrganizationChart"/>
    <dgm:cxn modelId="{D3A5B3E6-EC4F-41A2-9565-F518C9951D62}" type="presParOf" srcId="{ECE78DB5-6AE0-0742-B0F8-3A7B5F89DE8A}" destId="{A6C5C7B3-5DD0-124C-9BE2-8EC8BB889F7C}" srcOrd="1" destOrd="0" presId="urn:microsoft.com/office/officeart/2009/3/layout/HorizontalOrganizationChart"/>
    <dgm:cxn modelId="{ECF558F8-4A03-48AE-A99D-E4C4C5F42DB2}" type="presParOf" srcId="{FEDD4F11-86ED-3746-A2DD-E58E0DB37945}" destId="{FF48151C-5152-7E48-A1F5-8116FFB7F097}" srcOrd="1" destOrd="0" presId="urn:microsoft.com/office/officeart/2009/3/layout/HorizontalOrganizationChart"/>
    <dgm:cxn modelId="{4305091F-287F-4F68-A8D9-B574F34AC08C}" type="presParOf" srcId="{FEDD4F11-86ED-3746-A2DD-E58E0DB37945}" destId="{52534B18-025F-8147-AB50-C1D3C46A9511}" srcOrd="2" destOrd="0" presId="urn:microsoft.com/office/officeart/2009/3/layout/HorizontalOrganizationChart"/>
    <dgm:cxn modelId="{E0800C32-2069-426D-B314-E2F7BACC4289}" type="presParOf" srcId="{D7EDAF40-ED2D-7747-B403-5ACD4ADA78B8}" destId="{61A73B5B-DA7E-3544-AAEE-94776126C0EE}" srcOrd="2" destOrd="0" presId="urn:microsoft.com/office/officeart/2009/3/layout/HorizontalOrganizationChart"/>
    <dgm:cxn modelId="{D8823C08-6885-4EF1-B305-9836F483A3E1}" type="presParOf" srcId="{62BB36B0-6A27-F547-977A-DD0D1EA3D09E}" destId="{C86DE0E4-1DF7-9541-AA67-76AA7C729780}" srcOrd="1" destOrd="0" presId="urn:microsoft.com/office/officeart/2009/3/layout/HorizontalOrganizationChart"/>
    <dgm:cxn modelId="{F76E4ACB-E7B5-4E8A-B493-DE597A8184CF}" type="presParOf" srcId="{C86DE0E4-1DF7-9541-AA67-76AA7C729780}" destId="{3F715E4F-9820-3942-83B5-DA3F5BE7EB1C}" srcOrd="0" destOrd="0" presId="urn:microsoft.com/office/officeart/2009/3/layout/HorizontalOrganizationChart"/>
    <dgm:cxn modelId="{58B4263F-6F87-40AC-8840-AA3848C7ED45}" type="presParOf" srcId="{3F715E4F-9820-3942-83B5-DA3F5BE7EB1C}" destId="{62E5F457-F36B-4D42-9E0D-029A419D40B1}" srcOrd="0" destOrd="0" presId="urn:microsoft.com/office/officeart/2009/3/layout/HorizontalOrganizationChart"/>
    <dgm:cxn modelId="{22D28C02-FBCE-4CFB-AB8E-022AEB778AE3}" type="presParOf" srcId="{3F715E4F-9820-3942-83B5-DA3F5BE7EB1C}" destId="{2A9DBA26-6602-9F46-ACB2-A6F6E49E93CC}" srcOrd="1" destOrd="0" presId="urn:microsoft.com/office/officeart/2009/3/layout/HorizontalOrganizationChart"/>
    <dgm:cxn modelId="{5826F012-176E-425D-9110-C86526A99D11}" type="presParOf" srcId="{C86DE0E4-1DF7-9541-AA67-76AA7C729780}" destId="{53FCA46D-40CB-F645-BF05-C73494A6BD17}" srcOrd="1" destOrd="0" presId="urn:microsoft.com/office/officeart/2009/3/layout/HorizontalOrganizationChart"/>
    <dgm:cxn modelId="{7F14D780-9D9A-479B-A637-043F37D023DD}" type="presParOf" srcId="{53FCA46D-40CB-F645-BF05-C73494A6BD17}" destId="{5447CC2D-4A49-C645-90E0-C7DBFB584DE8}" srcOrd="0" destOrd="0" presId="urn:microsoft.com/office/officeart/2009/3/layout/HorizontalOrganizationChart"/>
    <dgm:cxn modelId="{58DD7135-9C9D-4D6F-8665-1D4C383B03D6}" type="presParOf" srcId="{53FCA46D-40CB-F645-BF05-C73494A6BD17}" destId="{13E3C8FE-45C5-1048-A8BD-337242C5724A}" srcOrd="1" destOrd="0" presId="urn:microsoft.com/office/officeart/2009/3/layout/HorizontalOrganizationChart"/>
    <dgm:cxn modelId="{9355EE6A-2788-4673-994C-01887EC4EFE3}" type="presParOf" srcId="{13E3C8FE-45C5-1048-A8BD-337242C5724A}" destId="{B95B8FA8-0332-6544-B876-92E3BD18F9C2}" srcOrd="0" destOrd="0" presId="urn:microsoft.com/office/officeart/2009/3/layout/HorizontalOrganizationChart"/>
    <dgm:cxn modelId="{42E39EEA-F23E-440E-9ADE-F88FEF036621}" type="presParOf" srcId="{B95B8FA8-0332-6544-B876-92E3BD18F9C2}" destId="{504AA6AB-1FDC-EA4E-9E61-C7D0009D35B2}" srcOrd="0" destOrd="0" presId="urn:microsoft.com/office/officeart/2009/3/layout/HorizontalOrganizationChart"/>
    <dgm:cxn modelId="{157732AB-8F23-4ED2-8A96-8ADE03D79F2A}" type="presParOf" srcId="{B95B8FA8-0332-6544-B876-92E3BD18F9C2}" destId="{609BB3A3-23CC-D04E-BE76-D9C0E9979231}" srcOrd="1" destOrd="0" presId="urn:microsoft.com/office/officeart/2009/3/layout/HorizontalOrganizationChart"/>
    <dgm:cxn modelId="{5207AA7B-373A-4B73-8E77-F1684FA7C543}" type="presParOf" srcId="{13E3C8FE-45C5-1048-A8BD-337242C5724A}" destId="{5D01AF06-71FC-E247-93B5-54819B2940EE}" srcOrd="1" destOrd="0" presId="urn:microsoft.com/office/officeart/2009/3/layout/HorizontalOrganizationChart"/>
    <dgm:cxn modelId="{1F0C729E-6B63-4534-8CDC-FBD4D2138CC7}" type="presParOf" srcId="{13E3C8FE-45C5-1048-A8BD-337242C5724A}" destId="{B6003B5E-40CD-3541-9F7F-A6A874261889}" srcOrd="2" destOrd="0" presId="urn:microsoft.com/office/officeart/2009/3/layout/HorizontalOrganizationChart"/>
    <dgm:cxn modelId="{E903E0E4-505F-4539-B607-BB1A503512A6}" type="presParOf" srcId="{C86DE0E4-1DF7-9541-AA67-76AA7C729780}" destId="{0704E8AE-1E8C-7D4F-AF99-E65EA507BB9F}" srcOrd="2" destOrd="0" presId="urn:microsoft.com/office/officeart/2009/3/layout/HorizontalOrganizationChart"/>
    <dgm:cxn modelId="{85B6A997-6155-4632-80EB-2361F2C1B405}" type="presParOf" srcId="{62BB36B0-6A27-F547-977A-DD0D1EA3D09E}" destId="{D504400B-9A92-6449-A1C7-FB8B9895DE3D}" srcOrd="2" destOrd="0" presId="urn:microsoft.com/office/officeart/2009/3/layout/HorizontalOrganizationChart"/>
    <dgm:cxn modelId="{4AA6775D-8E35-463F-9C07-45FFC8C7B441}" type="presParOf" srcId="{D504400B-9A92-6449-A1C7-FB8B9895DE3D}" destId="{AD7021DA-4CF5-3B4D-9E59-4325DB12844F}" srcOrd="0" destOrd="0" presId="urn:microsoft.com/office/officeart/2009/3/layout/HorizontalOrganizationChart"/>
    <dgm:cxn modelId="{E8D77CDC-BE94-485D-918E-1AB470CB5F48}" type="presParOf" srcId="{AD7021DA-4CF5-3B4D-9E59-4325DB12844F}" destId="{77803F1B-D404-2F48-9051-166424B949BC}" srcOrd="0" destOrd="0" presId="urn:microsoft.com/office/officeart/2009/3/layout/HorizontalOrganizationChart"/>
    <dgm:cxn modelId="{4FF3FAA0-7C18-4562-83BF-4A7F0AD7C395}" type="presParOf" srcId="{AD7021DA-4CF5-3B4D-9E59-4325DB12844F}" destId="{502C13DE-00A1-EF42-AB26-9E6032F85A71}" srcOrd="1" destOrd="0" presId="urn:microsoft.com/office/officeart/2009/3/layout/HorizontalOrganizationChart"/>
    <dgm:cxn modelId="{25731A16-423E-401A-B55A-8CAC086F6D8D}" type="presParOf" srcId="{D504400B-9A92-6449-A1C7-FB8B9895DE3D}" destId="{22B83026-6062-5C4E-B66D-34C388F8D33B}" srcOrd="1" destOrd="0" presId="urn:microsoft.com/office/officeart/2009/3/layout/HorizontalOrganizationChart"/>
    <dgm:cxn modelId="{0E4BED6C-200E-4FB8-8D05-C6C47CD5CD10}" type="presParOf" srcId="{22B83026-6062-5C4E-B66D-34C388F8D33B}" destId="{6F9E939A-12D7-2D4D-AF12-BECD475C5C04}" srcOrd="0" destOrd="0" presId="urn:microsoft.com/office/officeart/2009/3/layout/HorizontalOrganizationChart"/>
    <dgm:cxn modelId="{4CDDB90C-39B8-4CA5-B9C2-8281522F020B}" type="presParOf" srcId="{22B83026-6062-5C4E-B66D-34C388F8D33B}" destId="{7B21F93A-55AE-364F-9762-48BDB604A31D}" srcOrd="1" destOrd="0" presId="urn:microsoft.com/office/officeart/2009/3/layout/HorizontalOrganizationChart"/>
    <dgm:cxn modelId="{75D338E8-E955-4E95-ACFF-00255C752F42}" type="presParOf" srcId="{7B21F93A-55AE-364F-9762-48BDB604A31D}" destId="{BA0A06E1-9A62-6749-9B71-6AF1B73ADB08}" srcOrd="0" destOrd="0" presId="urn:microsoft.com/office/officeart/2009/3/layout/HorizontalOrganizationChart"/>
    <dgm:cxn modelId="{350ECDD0-675A-4470-91B3-0509203C3B90}" type="presParOf" srcId="{BA0A06E1-9A62-6749-9B71-6AF1B73ADB08}" destId="{70E1CDC1-5899-434B-BF51-173E56FEFD74}" srcOrd="0" destOrd="0" presId="urn:microsoft.com/office/officeart/2009/3/layout/HorizontalOrganizationChart"/>
    <dgm:cxn modelId="{03F518D6-84A0-4966-A0F3-F46904FA2309}" type="presParOf" srcId="{BA0A06E1-9A62-6749-9B71-6AF1B73ADB08}" destId="{40D71F40-02D9-B145-906A-21D2F5EEFCF4}" srcOrd="1" destOrd="0" presId="urn:microsoft.com/office/officeart/2009/3/layout/HorizontalOrganizationChart"/>
    <dgm:cxn modelId="{DBB9808D-7E27-47A8-B50C-C905574A8105}" type="presParOf" srcId="{7B21F93A-55AE-364F-9762-48BDB604A31D}" destId="{E4CB33CD-EFE7-4741-A97E-B63B7406F0E8}" srcOrd="1" destOrd="0" presId="urn:microsoft.com/office/officeart/2009/3/layout/HorizontalOrganizationChart"/>
    <dgm:cxn modelId="{802AB099-742D-4371-864D-8264F8AC4D96}" type="presParOf" srcId="{7B21F93A-55AE-364F-9762-48BDB604A31D}" destId="{B340C1FA-71E9-1447-84A0-BACB4A5E91D6}" srcOrd="2" destOrd="0" presId="urn:microsoft.com/office/officeart/2009/3/layout/HorizontalOrganizationChart"/>
    <dgm:cxn modelId="{B7E1BE14-CB57-4318-B518-1940FEC9B19A}" type="presParOf" srcId="{D504400B-9A92-6449-A1C7-FB8B9895DE3D}" destId="{172E9B72-CD58-EA4B-9565-DBED6061C957}" srcOrd="2" destOrd="0" presId="urn:microsoft.com/office/officeart/2009/3/layout/HorizontalOrganizationChart"/>
    <dgm:cxn modelId="{59C201B8-434E-4692-928D-D646343EFFEA}" type="presParOf" srcId="{62BB36B0-6A27-F547-977A-DD0D1EA3D09E}" destId="{E0AD6656-D963-7444-986C-2D0160480A89}" srcOrd="3" destOrd="0" presId="urn:microsoft.com/office/officeart/2009/3/layout/HorizontalOrganizationChart"/>
    <dgm:cxn modelId="{C2954CD3-F84E-4EA4-9D1E-9DD2D810499E}" type="presParOf" srcId="{E0AD6656-D963-7444-986C-2D0160480A89}" destId="{3334F22C-8CE4-7342-9D6E-6164D14B996B}" srcOrd="0" destOrd="0" presId="urn:microsoft.com/office/officeart/2009/3/layout/HorizontalOrganizationChart"/>
    <dgm:cxn modelId="{F5759BC1-3967-487A-B4D0-3D0AC2EEF5A5}" type="presParOf" srcId="{3334F22C-8CE4-7342-9D6E-6164D14B996B}" destId="{40F64BEF-307E-9743-91A5-4B316EECAE3D}" srcOrd="0" destOrd="0" presId="urn:microsoft.com/office/officeart/2009/3/layout/HorizontalOrganizationChart"/>
    <dgm:cxn modelId="{D12532F1-BDB2-41D0-92A2-EA586866C87B}" type="presParOf" srcId="{3334F22C-8CE4-7342-9D6E-6164D14B996B}" destId="{3188AE65-AB1A-EE4D-918A-B00B708D9FBA}" srcOrd="1" destOrd="0" presId="urn:microsoft.com/office/officeart/2009/3/layout/HorizontalOrganizationChart"/>
    <dgm:cxn modelId="{FA9EFE1D-3B18-48BA-AF52-7BA31479A078}" type="presParOf" srcId="{E0AD6656-D963-7444-986C-2D0160480A89}" destId="{6F7D6492-8DB7-044A-8602-A8DA5EEC2BEC}" srcOrd="1" destOrd="0" presId="urn:microsoft.com/office/officeart/2009/3/layout/HorizontalOrganizationChart"/>
    <dgm:cxn modelId="{F564F90C-8D1E-434A-A385-D0AD1794C1D7}" type="presParOf" srcId="{6F7D6492-8DB7-044A-8602-A8DA5EEC2BEC}" destId="{C4AE2819-7943-CC46-9AE8-7F59B11D08FD}" srcOrd="0" destOrd="0" presId="urn:microsoft.com/office/officeart/2009/3/layout/HorizontalOrganizationChart"/>
    <dgm:cxn modelId="{AE88F447-D98B-4FAB-A3AB-CC211F827E23}" type="presParOf" srcId="{6F7D6492-8DB7-044A-8602-A8DA5EEC2BEC}" destId="{93B2AEF1-E014-7147-A98A-93C941881C52}" srcOrd="1" destOrd="0" presId="urn:microsoft.com/office/officeart/2009/3/layout/HorizontalOrganizationChart"/>
    <dgm:cxn modelId="{2412DA9E-3F20-4557-B04C-B11D1213A979}" type="presParOf" srcId="{93B2AEF1-E014-7147-A98A-93C941881C52}" destId="{FCDFC662-DF6C-F349-B9CE-2214384C5E6D}" srcOrd="0" destOrd="0" presId="urn:microsoft.com/office/officeart/2009/3/layout/HorizontalOrganizationChart"/>
    <dgm:cxn modelId="{ADC86B50-2B4D-47F6-B9A5-5A117EB9CE35}" type="presParOf" srcId="{FCDFC662-DF6C-F349-B9CE-2214384C5E6D}" destId="{A369F8B9-8D16-A24E-9F25-C6152B16B948}" srcOrd="0" destOrd="0" presId="urn:microsoft.com/office/officeart/2009/3/layout/HorizontalOrganizationChart"/>
    <dgm:cxn modelId="{FEDBEE80-A343-4C65-8C11-352AAF3983FB}" type="presParOf" srcId="{FCDFC662-DF6C-F349-B9CE-2214384C5E6D}" destId="{8E2348AA-638A-3443-8AE5-B91B1C62106C}" srcOrd="1" destOrd="0" presId="urn:microsoft.com/office/officeart/2009/3/layout/HorizontalOrganizationChart"/>
    <dgm:cxn modelId="{CA5D2ED8-DBC7-4F72-A452-DF8BEF642E9C}" type="presParOf" srcId="{93B2AEF1-E014-7147-A98A-93C941881C52}" destId="{B75BE96A-E9C9-D54A-884B-73F4144DD07C}" srcOrd="1" destOrd="0" presId="urn:microsoft.com/office/officeart/2009/3/layout/HorizontalOrganizationChart"/>
    <dgm:cxn modelId="{6EBD885F-7DF7-4875-AB30-D41657100E3D}" type="presParOf" srcId="{93B2AEF1-E014-7147-A98A-93C941881C52}" destId="{BBFC4C57-2568-F74A-BE7D-418F6144F6C9}" srcOrd="2" destOrd="0" presId="urn:microsoft.com/office/officeart/2009/3/layout/HorizontalOrganizationChart"/>
    <dgm:cxn modelId="{50582782-BCC0-41B3-A713-5D019F3F4053}" type="presParOf" srcId="{6F7D6492-8DB7-044A-8602-A8DA5EEC2BEC}" destId="{8F3EE374-983B-8145-8949-B480124E8D8C}" srcOrd="2" destOrd="0" presId="urn:microsoft.com/office/officeart/2009/3/layout/HorizontalOrganizationChart"/>
    <dgm:cxn modelId="{83B6A344-EB5C-4B30-A253-0857D3A5E2B6}" type="presParOf" srcId="{6F7D6492-8DB7-044A-8602-A8DA5EEC2BEC}" destId="{BD1F0AE6-9AE0-8B4F-8D04-06E0EA581E66}" srcOrd="3" destOrd="0" presId="urn:microsoft.com/office/officeart/2009/3/layout/HorizontalOrganizationChart"/>
    <dgm:cxn modelId="{50EB8399-4BD8-4293-BCEC-E5B80A1D387D}" type="presParOf" srcId="{BD1F0AE6-9AE0-8B4F-8D04-06E0EA581E66}" destId="{D4FAEB79-4DCF-424E-BE44-A2D4282173E7}" srcOrd="0" destOrd="0" presId="urn:microsoft.com/office/officeart/2009/3/layout/HorizontalOrganizationChart"/>
    <dgm:cxn modelId="{60B72DA3-F448-46BB-860A-C6226FADDF65}" type="presParOf" srcId="{D4FAEB79-4DCF-424E-BE44-A2D4282173E7}" destId="{D1C333B3-488C-CE4C-8E37-655A225D561D}" srcOrd="0" destOrd="0" presId="urn:microsoft.com/office/officeart/2009/3/layout/HorizontalOrganizationChart"/>
    <dgm:cxn modelId="{1614A01D-4A2F-4740-8223-F6C7A9AF8E1A}" type="presParOf" srcId="{D4FAEB79-4DCF-424E-BE44-A2D4282173E7}" destId="{DE057A8D-B5B1-DE45-AB62-F7A2368E9591}" srcOrd="1" destOrd="0" presId="urn:microsoft.com/office/officeart/2009/3/layout/HorizontalOrganizationChart"/>
    <dgm:cxn modelId="{0126CAA2-E809-4935-B521-E3C1344A1CEA}" type="presParOf" srcId="{BD1F0AE6-9AE0-8B4F-8D04-06E0EA581E66}" destId="{80E4F426-431F-8946-949F-120A0E920F94}" srcOrd="1" destOrd="0" presId="urn:microsoft.com/office/officeart/2009/3/layout/HorizontalOrganizationChart"/>
    <dgm:cxn modelId="{253878B7-38DD-4D9D-9836-74E60E31B17B}" type="presParOf" srcId="{BD1F0AE6-9AE0-8B4F-8D04-06E0EA581E66}" destId="{6B203208-6B63-9448-A53F-490CD091022B}" srcOrd="2" destOrd="0" presId="urn:microsoft.com/office/officeart/2009/3/layout/HorizontalOrganizationChart"/>
    <dgm:cxn modelId="{62E972F5-4BCC-4CBB-9D53-BBA1AA359A3E}" type="presParOf" srcId="{6F7D6492-8DB7-044A-8602-A8DA5EEC2BEC}" destId="{B412E826-FEE1-B44C-98F1-7446E0E52AEC}" srcOrd="4" destOrd="0" presId="urn:microsoft.com/office/officeart/2009/3/layout/HorizontalOrganizationChart"/>
    <dgm:cxn modelId="{10ACD64C-8AB4-4D8A-92C8-6ECDCF37378F}" type="presParOf" srcId="{6F7D6492-8DB7-044A-8602-A8DA5EEC2BEC}" destId="{D23D2477-F5DF-7940-B295-7B8B2D71A344}" srcOrd="5" destOrd="0" presId="urn:microsoft.com/office/officeart/2009/3/layout/HorizontalOrganizationChart"/>
    <dgm:cxn modelId="{6A3786AB-3431-42B5-8685-891544D23863}" type="presParOf" srcId="{D23D2477-F5DF-7940-B295-7B8B2D71A344}" destId="{37B4BF45-89A8-FB47-AB6D-298518BD8FA5}" srcOrd="0" destOrd="0" presId="urn:microsoft.com/office/officeart/2009/3/layout/HorizontalOrganizationChart"/>
    <dgm:cxn modelId="{D1C8C9DB-C963-477D-83D1-1BD2C15CD0AE}" type="presParOf" srcId="{37B4BF45-89A8-FB47-AB6D-298518BD8FA5}" destId="{E8645A4D-47D8-B54B-B996-C571E078BFAB}" srcOrd="0" destOrd="0" presId="urn:microsoft.com/office/officeart/2009/3/layout/HorizontalOrganizationChart"/>
    <dgm:cxn modelId="{AAA71618-F076-4E62-87B2-E28BE19EA4F5}" type="presParOf" srcId="{37B4BF45-89A8-FB47-AB6D-298518BD8FA5}" destId="{D8CE4BB8-4934-1E48-B3D6-C07CFA199B4F}" srcOrd="1" destOrd="0" presId="urn:microsoft.com/office/officeart/2009/3/layout/HorizontalOrganizationChart"/>
    <dgm:cxn modelId="{493F9D40-BA1A-4E73-8585-CC484C5E38AC}" type="presParOf" srcId="{D23D2477-F5DF-7940-B295-7B8B2D71A344}" destId="{51F69E80-4CAF-4941-BD33-9D609F1A6433}" srcOrd="1" destOrd="0" presId="urn:microsoft.com/office/officeart/2009/3/layout/HorizontalOrganizationChart"/>
    <dgm:cxn modelId="{37125204-C260-46AE-80F0-54B5E2BB3A75}" type="presParOf" srcId="{D23D2477-F5DF-7940-B295-7B8B2D71A344}" destId="{1B149638-577F-7F47-9991-4846F1B8053D}" srcOrd="2" destOrd="0" presId="urn:microsoft.com/office/officeart/2009/3/layout/HorizontalOrganizationChart"/>
    <dgm:cxn modelId="{8754245C-5685-4596-B968-22DCD21B19D9}" type="presParOf" srcId="{E0AD6656-D963-7444-986C-2D0160480A89}" destId="{A8851F5A-62DF-EC4E-8604-D8DA2C8F6DF0}" srcOrd="2" destOrd="0" presId="urn:microsoft.com/office/officeart/2009/3/layout/HorizontalOrganizationChar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12E826-FEE1-B44C-98F1-7446E0E52AEC}">
      <dsp:nvSpPr>
        <dsp:cNvPr id="0" name=""/>
        <dsp:cNvSpPr/>
      </dsp:nvSpPr>
      <dsp:spPr>
        <a:xfrm>
          <a:off x="2442303" y="4398549"/>
          <a:ext cx="462092" cy="993499"/>
        </a:xfrm>
        <a:custGeom>
          <a:avLst/>
          <a:gdLst/>
          <a:ahLst/>
          <a:cxnLst/>
          <a:rect l="0" t="0" r="0" b="0"/>
          <a:pathLst>
            <a:path>
              <a:moveTo>
                <a:pt x="0" y="0"/>
              </a:moveTo>
              <a:lnTo>
                <a:pt x="231046" y="0"/>
              </a:lnTo>
              <a:lnTo>
                <a:pt x="231046" y="993499"/>
              </a:lnTo>
              <a:lnTo>
                <a:pt x="462092" y="99349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3EE374-983B-8145-8949-B480124E8D8C}">
      <dsp:nvSpPr>
        <dsp:cNvPr id="0" name=""/>
        <dsp:cNvSpPr/>
      </dsp:nvSpPr>
      <dsp:spPr>
        <a:xfrm>
          <a:off x="2442303" y="4282275"/>
          <a:ext cx="462092" cy="91440"/>
        </a:xfrm>
        <a:custGeom>
          <a:avLst/>
          <a:gdLst/>
          <a:ahLst/>
          <a:cxnLst/>
          <a:rect l="0" t="0" r="0" b="0"/>
          <a:pathLst>
            <a:path>
              <a:moveTo>
                <a:pt x="0" y="116273"/>
              </a:moveTo>
              <a:lnTo>
                <a:pt x="231046" y="116273"/>
              </a:lnTo>
              <a:lnTo>
                <a:pt x="231046" y="45720"/>
              </a:lnTo>
              <a:lnTo>
                <a:pt x="462092" y="457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AE2819-7943-CC46-9AE8-7F59B11D08FD}">
      <dsp:nvSpPr>
        <dsp:cNvPr id="0" name=""/>
        <dsp:cNvSpPr/>
      </dsp:nvSpPr>
      <dsp:spPr>
        <a:xfrm>
          <a:off x="2442303" y="3334495"/>
          <a:ext cx="462092" cy="1064053"/>
        </a:xfrm>
        <a:custGeom>
          <a:avLst/>
          <a:gdLst/>
          <a:ahLst/>
          <a:cxnLst/>
          <a:rect l="0" t="0" r="0" b="0"/>
          <a:pathLst>
            <a:path>
              <a:moveTo>
                <a:pt x="0" y="1064053"/>
              </a:moveTo>
              <a:lnTo>
                <a:pt x="231046" y="1064053"/>
              </a:lnTo>
              <a:lnTo>
                <a:pt x="231046" y="0"/>
              </a:lnTo>
              <a:lnTo>
                <a:pt x="462092"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9E939A-12D7-2D4D-AF12-BECD475C5C04}">
      <dsp:nvSpPr>
        <dsp:cNvPr id="0" name=""/>
        <dsp:cNvSpPr/>
      </dsp:nvSpPr>
      <dsp:spPr>
        <a:xfrm>
          <a:off x="2400230" y="2519171"/>
          <a:ext cx="526993" cy="91440"/>
        </a:xfrm>
        <a:custGeom>
          <a:avLst/>
          <a:gdLst/>
          <a:ahLst/>
          <a:cxnLst/>
          <a:rect l="0" t="0" r="0" b="0"/>
          <a:pathLst>
            <a:path>
              <a:moveTo>
                <a:pt x="0" y="45952"/>
              </a:moveTo>
              <a:lnTo>
                <a:pt x="295947" y="45952"/>
              </a:lnTo>
              <a:lnTo>
                <a:pt x="295947" y="45720"/>
              </a:lnTo>
              <a:lnTo>
                <a:pt x="526993" y="457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47CC2D-4A49-C645-90E0-C7DBFB584DE8}">
      <dsp:nvSpPr>
        <dsp:cNvPr id="0" name=""/>
        <dsp:cNvSpPr/>
      </dsp:nvSpPr>
      <dsp:spPr>
        <a:xfrm>
          <a:off x="2397734" y="1411159"/>
          <a:ext cx="509156" cy="91440"/>
        </a:xfrm>
        <a:custGeom>
          <a:avLst/>
          <a:gdLst/>
          <a:ahLst/>
          <a:cxnLst/>
          <a:rect l="0" t="0" r="0" b="0"/>
          <a:pathLst>
            <a:path>
              <a:moveTo>
                <a:pt x="0" y="45720"/>
              </a:moveTo>
              <a:lnTo>
                <a:pt x="278110" y="45720"/>
              </a:lnTo>
              <a:lnTo>
                <a:pt x="278110" y="68636"/>
              </a:lnTo>
              <a:lnTo>
                <a:pt x="509156" y="68636"/>
              </a:lnTo>
            </a:path>
          </a:pathLst>
        </a:custGeom>
        <a:noFill/>
        <a:ln w="12700" cap="flat" cmpd="sng" algn="ctr">
          <a:solidFill>
            <a:scrgbClr r="0" g="0" b="0"/>
          </a:solidFill>
          <a:prstDash val="solid"/>
          <a:miter lim="800000"/>
          <a:headEnd type="none"/>
          <a:tailEnd type="none"/>
        </a:ln>
        <a:effectLst/>
      </dsp:spPr>
      <dsp:style>
        <a:lnRef idx="2">
          <a:scrgbClr r="0" g="0" b="0"/>
        </a:lnRef>
        <a:fillRef idx="0">
          <a:scrgbClr r="0" g="0" b="0"/>
        </a:fillRef>
        <a:effectRef idx="0">
          <a:scrgbClr r="0" g="0" b="0"/>
        </a:effectRef>
        <a:fontRef idx="minor"/>
      </dsp:style>
    </dsp:sp>
    <dsp:sp modelId="{AE6178B5-3CB8-3C4D-90EF-6A335548FEEF}">
      <dsp:nvSpPr>
        <dsp:cNvPr id="0" name=""/>
        <dsp:cNvSpPr/>
      </dsp:nvSpPr>
      <dsp:spPr>
        <a:xfrm>
          <a:off x="2421948" y="306625"/>
          <a:ext cx="502803" cy="91440"/>
        </a:xfrm>
        <a:custGeom>
          <a:avLst/>
          <a:gdLst/>
          <a:ahLst/>
          <a:cxnLst/>
          <a:rect l="0" t="0" r="0" b="0"/>
          <a:pathLst>
            <a:path>
              <a:moveTo>
                <a:pt x="0" y="45720"/>
              </a:moveTo>
              <a:lnTo>
                <a:pt x="271756" y="45720"/>
              </a:lnTo>
              <a:lnTo>
                <a:pt x="271756" y="77899"/>
              </a:lnTo>
              <a:lnTo>
                <a:pt x="502803" y="7789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80F221-0F1C-F948-A619-7A3289D92DFF}">
      <dsp:nvSpPr>
        <dsp:cNvPr id="0" name=""/>
        <dsp:cNvSpPr/>
      </dsp:nvSpPr>
      <dsp:spPr>
        <a:xfrm>
          <a:off x="111484" y="0"/>
          <a:ext cx="2310463" cy="7046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t>All lab reports in NTM datamart from 2012-2017</a:t>
          </a:r>
        </a:p>
        <a:p>
          <a:pPr marL="0" lvl="0" indent="0" algn="ctr" defTabSz="577850">
            <a:lnSpc>
              <a:spcPct val="90000"/>
            </a:lnSpc>
            <a:spcBef>
              <a:spcPct val="0"/>
            </a:spcBef>
            <a:spcAft>
              <a:spcPct val="35000"/>
            </a:spcAft>
            <a:buNone/>
          </a:pPr>
          <a:r>
            <a:rPr lang="en-US" sz="1300" kern="1200"/>
            <a:t>N=934</a:t>
          </a:r>
        </a:p>
      </dsp:txBody>
      <dsp:txXfrm>
        <a:off x="111484" y="0"/>
        <a:ext cx="2310463" cy="704691"/>
      </dsp:txXfrm>
    </dsp:sp>
    <dsp:sp modelId="{D393D7AD-5469-AA48-BA9A-6D2AD76C430C}">
      <dsp:nvSpPr>
        <dsp:cNvPr id="0" name=""/>
        <dsp:cNvSpPr/>
      </dsp:nvSpPr>
      <dsp:spPr>
        <a:xfrm>
          <a:off x="2924751" y="32179"/>
          <a:ext cx="2310463" cy="7046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111 excluded due to residency otuside of Nebraska, or missing location data</a:t>
          </a:r>
        </a:p>
      </dsp:txBody>
      <dsp:txXfrm>
        <a:off x="2924751" y="32179"/>
        <a:ext cx="2310463" cy="704691"/>
      </dsp:txXfrm>
    </dsp:sp>
    <dsp:sp modelId="{62E5F457-F36B-4D42-9E0D-029A419D40B1}">
      <dsp:nvSpPr>
        <dsp:cNvPr id="0" name=""/>
        <dsp:cNvSpPr/>
      </dsp:nvSpPr>
      <dsp:spPr>
        <a:xfrm>
          <a:off x="87271" y="1104533"/>
          <a:ext cx="2310463" cy="7046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t>NTM lab reports from Nebraska residents</a:t>
          </a:r>
        </a:p>
        <a:p>
          <a:pPr marL="0" lvl="0" indent="0" algn="ctr" defTabSz="577850">
            <a:lnSpc>
              <a:spcPct val="90000"/>
            </a:lnSpc>
            <a:spcBef>
              <a:spcPct val="0"/>
            </a:spcBef>
            <a:spcAft>
              <a:spcPct val="35000"/>
            </a:spcAft>
            <a:buNone/>
          </a:pPr>
          <a:r>
            <a:rPr lang="en-US" sz="1300" kern="1200"/>
            <a:t>N=823</a:t>
          </a:r>
        </a:p>
      </dsp:txBody>
      <dsp:txXfrm>
        <a:off x="87271" y="1104533"/>
        <a:ext cx="2310463" cy="704691"/>
      </dsp:txXfrm>
    </dsp:sp>
    <dsp:sp modelId="{504AA6AB-1FDC-EA4E-9E61-C7D0009D35B2}">
      <dsp:nvSpPr>
        <dsp:cNvPr id="0" name=""/>
        <dsp:cNvSpPr/>
      </dsp:nvSpPr>
      <dsp:spPr>
        <a:xfrm>
          <a:off x="2906891" y="1127450"/>
          <a:ext cx="2310463" cy="7046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57 excluded due to negative test results, identification as a test report, or due to result from other test besides NTM</a:t>
          </a:r>
        </a:p>
      </dsp:txBody>
      <dsp:txXfrm>
        <a:off x="2906891" y="1127450"/>
        <a:ext cx="2310463" cy="704691"/>
      </dsp:txXfrm>
    </dsp:sp>
    <dsp:sp modelId="{77803F1B-D404-2F48-9051-166424B949BC}">
      <dsp:nvSpPr>
        <dsp:cNvPr id="0" name=""/>
        <dsp:cNvSpPr/>
      </dsp:nvSpPr>
      <dsp:spPr>
        <a:xfrm>
          <a:off x="89766" y="2212778"/>
          <a:ext cx="2310463" cy="7046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t>NTM lab reports with a positive test result</a:t>
          </a:r>
        </a:p>
        <a:p>
          <a:pPr marL="0" lvl="0" indent="0" algn="ctr" defTabSz="577850">
            <a:lnSpc>
              <a:spcPct val="90000"/>
            </a:lnSpc>
            <a:spcBef>
              <a:spcPct val="0"/>
            </a:spcBef>
            <a:spcAft>
              <a:spcPct val="35000"/>
            </a:spcAft>
            <a:buNone/>
          </a:pPr>
          <a:r>
            <a:rPr lang="en-US" sz="1300" kern="1200"/>
            <a:t>N=766</a:t>
          </a:r>
        </a:p>
      </dsp:txBody>
      <dsp:txXfrm>
        <a:off x="89766" y="2212778"/>
        <a:ext cx="2310463" cy="704691"/>
      </dsp:txXfrm>
    </dsp:sp>
    <dsp:sp modelId="{70E1CDC1-5899-434B-BF51-173E56FEFD74}">
      <dsp:nvSpPr>
        <dsp:cNvPr id="0" name=""/>
        <dsp:cNvSpPr/>
      </dsp:nvSpPr>
      <dsp:spPr>
        <a:xfrm>
          <a:off x="2927223" y="2212545"/>
          <a:ext cx="2310463" cy="7046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7 results from environmental sources excluded due to no identifiable patient</a:t>
          </a:r>
        </a:p>
      </dsp:txBody>
      <dsp:txXfrm>
        <a:off x="2927223" y="2212545"/>
        <a:ext cx="2310463" cy="704691"/>
      </dsp:txXfrm>
    </dsp:sp>
    <dsp:sp modelId="{40F64BEF-307E-9743-91A5-4B316EECAE3D}">
      <dsp:nvSpPr>
        <dsp:cNvPr id="0" name=""/>
        <dsp:cNvSpPr/>
      </dsp:nvSpPr>
      <dsp:spPr>
        <a:xfrm>
          <a:off x="131840" y="4046203"/>
          <a:ext cx="2310463" cy="7046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Final Sample Size</a:t>
          </a:r>
        </a:p>
        <a:p>
          <a:pPr marL="0" lvl="0" indent="0" algn="ctr" defTabSz="622300">
            <a:lnSpc>
              <a:spcPct val="90000"/>
            </a:lnSpc>
            <a:spcBef>
              <a:spcPct val="0"/>
            </a:spcBef>
            <a:spcAft>
              <a:spcPct val="35000"/>
            </a:spcAft>
            <a:buNone/>
          </a:pPr>
          <a:r>
            <a:rPr lang="en-US" sz="1400" kern="1200"/>
            <a:t>N=759</a:t>
          </a:r>
        </a:p>
      </dsp:txBody>
      <dsp:txXfrm>
        <a:off x="131840" y="4046203"/>
        <a:ext cx="2310463" cy="704691"/>
      </dsp:txXfrm>
    </dsp:sp>
    <dsp:sp modelId="{A369F8B9-8D16-A24E-9F25-C6152B16B948}">
      <dsp:nvSpPr>
        <dsp:cNvPr id="0" name=""/>
        <dsp:cNvSpPr/>
      </dsp:nvSpPr>
      <dsp:spPr>
        <a:xfrm>
          <a:off x="2904396" y="2982150"/>
          <a:ext cx="2310463" cy="7046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Nonpulmonary Samples</a:t>
          </a:r>
        </a:p>
        <a:p>
          <a:pPr marL="0" lvl="0" indent="0" algn="ctr" defTabSz="533400">
            <a:lnSpc>
              <a:spcPct val="90000"/>
            </a:lnSpc>
            <a:spcBef>
              <a:spcPct val="0"/>
            </a:spcBef>
            <a:spcAft>
              <a:spcPct val="35000"/>
            </a:spcAft>
            <a:buNone/>
          </a:pPr>
          <a:r>
            <a:rPr lang="en-US" sz="1200" kern="1200"/>
            <a:t>N= 209</a:t>
          </a:r>
        </a:p>
      </dsp:txBody>
      <dsp:txXfrm>
        <a:off x="2904396" y="2982150"/>
        <a:ext cx="2310463" cy="704691"/>
      </dsp:txXfrm>
    </dsp:sp>
    <dsp:sp modelId="{D1C333B3-488C-CE4C-8E37-655A225D561D}">
      <dsp:nvSpPr>
        <dsp:cNvPr id="0" name=""/>
        <dsp:cNvSpPr/>
      </dsp:nvSpPr>
      <dsp:spPr>
        <a:xfrm>
          <a:off x="2904396" y="3975649"/>
          <a:ext cx="2310463" cy="7046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Pulmonary Samples</a:t>
          </a:r>
        </a:p>
        <a:p>
          <a:pPr marL="0" lvl="0" indent="0" algn="ctr" defTabSz="533400">
            <a:lnSpc>
              <a:spcPct val="90000"/>
            </a:lnSpc>
            <a:spcBef>
              <a:spcPct val="0"/>
            </a:spcBef>
            <a:spcAft>
              <a:spcPct val="35000"/>
            </a:spcAft>
            <a:buNone/>
          </a:pPr>
          <a:r>
            <a:rPr lang="en-US" sz="1200" kern="1200"/>
            <a:t>N=180</a:t>
          </a:r>
        </a:p>
      </dsp:txBody>
      <dsp:txXfrm>
        <a:off x="2904396" y="3975649"/>
        <a:ext cx="2310463" cy="704691"/>
      </dsp:txXfrm>
    </dsp:sp>
    <dsp:sp modelId="{E8645A4D-47D8-B54B-B996-C571E078BFAB}">
      <dsp:nvSpPr>
        <dsp:cNvPr id="0" name=""/>
        <dsp:cNvSpPr/>
      </dsp:nvSpPr>
      <dsp:spPr>
        <a:xfrm>
          <a:off x="2904396" y="4969148"/>
          <a:ext cx="2288722" cy="8457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Specimen Source Missing</a:t>
          </a:r>
        </a:p>
        <a:p>
          <a:pPr marL="0" lvl="0" indent="0" algn="ctr" defTabSz="533400">
            <a:lnSpc>
              <a:spcPct val="90000"/>
            </a:lnSpc>
            <a:spcBef>
              <a:spcPct val="0"/>
            </a:spcBef>
            <a:spcAft>
              <a:spcPct val="35000"/>
            </a:spcAft>
            <a:buNone/>
          </a:pPr>
          <a:r>
            <a:rPr lang="en-US" sz="1200" kern="1200"/>
            <a:t>N= 368</a:t>
          </a:r>
        </a:p>
        <a:p>
          <a:pPr marL="0" lvl="0" indent="0" algn="ctr" defTabSz="533400">
            <a:lnSpc>
              <a:spcPct val="90000"/>
            </a:lnSpc>
            <a:spcBef>
              <a:spcPct val="0"/>
            </a:spcBef>
            <a:spcAft>
              <a:spcPct val="35000"/>
            </a:spcAft>
            <a:buNone/>
          </a:pPr>
          <a:r>
            <a:rPr lang="en-US" sz="1200" kern="1200"/>
            <a:t>Specimen Source from Device (N=2)</a:t>
          </a:r>
        </a:p>
      </dsp:txBody>
      <dsp:txXfrm>
        <a:off x="2904396" y="4969148"/>
        <a:ext cx="2288722" cy="845798"/>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14221-F4FA-407E-8128-7343432F8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4300</Words>
  <Characters>24516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An Assessment of Nontuberculous Mycobacteria in Nebraska</vt:lpstr>
    </vt:vector>
  </TitlesOfParts>
  <Company>State of Nebraska</Company>
  <LinksUpToDate>false</LinksUpToDate>
  <CharactersWithSpaces>28759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Assessment of Nontuberculous Mycobacteria in Nebraska</dc:title>
  <dc:subject>Epidemiology Masters Capstone Project          04/24/2018</dc:subject>
  <dc:creator>Molly Hoffman BS/BA</dc:creator>
  <cp:keywords/>
  <dc:description/>
  <cp:lastModifiedBy>USER</cp:lastModifiedBy>
  <cp:revision>3</cp:revision>
  <dcterms:created xsi:type="dcterms:W3CDTF">2018-05-22T15:00:00Z</dcterms:created>
  <dcterms:modified xsi:type="dcterms:W3CDTF">2018-05-22T15:01:00Z</dcterms:modified>
</cp:coreProperties>
</file>