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0699F" w14:textId="20873DDE" w:rsidR="002C7219" w:rsidRPr="00E24481" w:rsidRDefault="264D7CA1" w:rsidP="264D7CA1">
      <w:pPr>
        <w:pStyle w:val="paragraph"/>
        <w:numPr>
          <w:ilvl w:val="0"/>
          <w:numId w:val="2"/>
        </w:numPr>
        <w:spacing w:before="0" w:beforeAutospacing="0" w:after="0" w:afterAutospacing="0"/>
        <w:textAlignment w:val="baseline"/>
        <w:rPr>
          <w:rStyle w:val="normaltextrun"/>
          <w:rFonts w:asciiTheme="minorHAnsi" w:hAnsiTheme="minorHAnsi" w:cstheme="minorHAnsi"/>
          <w:sz w:val="22"/>
          <w:szCs w:val="22"/>
        </w:rPr>
      </w:pPr>
      <w:r w:rsidRPr="00E24481">
        <w:rPr>
          <w:rStyle w:val="normaltextrun"/>
          <w:rFonts w:asciiTheme="minorHAnsi" w:hAnsiTheme="minorHAnsi" w:cstheme="minorHAnsi"/>
          <w:b/>
          <w:bCs/>
          <w:sz w:val="22"/>
          <w:szCs w:val="22"/>
        </w:rPr>
        <w:t xml:space="preserve">Background </w:t>
      </w:r>
      <w:r w:rsidRPr="00E24481">
        <w:rPr>
          <w:rStyle w:val="normaltextrun"/>
          <w:rFonts w:asciiTheme="minorHAnsi" w:hAnsiTheme="minorHAnsi" w:cstheme="minorHAnsi"/>
          <w:sz w:val="22"/>
          <w:szCs w:val="22"/>
        </w:rPr>
        <w:t>[WG-A+B]</w:t>
      </w:r>
    </w:p>
    <w:p w14:paraId="549EC499" w14:textId="414FA5E9" w:rsidR="43F760B1" w:rsidRPr="00E24481" w:rsidRDefault="43F760B1" w:rsidP="43F760B1">
      <w:pPr>
        <w:pStyle w:val="paragraph"/>
        <w:spacing w:before="0" w:beforeAutospacing="0" w:after="0" w:afterAutospacing="0"/>
        <w:ind w:left="360"/>
        <w:rPr>
          <w:rFonts w:asciiTheme="minorHAnsi" w:eastAsia="Calibri" w:hAnsiTheme="minorHAnsi" w:cstheme="minorHAnsi"/>
          <w:i/>
          <w:iCs/>
          <w:sz w:val="22"/>
          <w:szCs w:val="22"/>
        </w:rPr>
      </w:pPr>
    </w:p>
    <w:p w14:paraId="6A583C3B" w14:textId="2B4295EC" w:rsidR="43F760B1" w:rsidRPr="00E24481" w:rsidRDefault="3038F58C" w:rsidP="3038F58C">
      <w:pPr>
        <w:pStyle w:val="paragraph"/>
        <w:spacing w:before="0" w:beforeAutospacing="0" w:after="0" w:afterAutospacing="0"/>
        <w:ind w:left="360"/>
        <w:rPr>
          <w:rStyle w:val="normaltextrun"/>
          <w:rFonts w:asciiTheme="minorHAnsi" w:hAnsiTheme="minorHAnsi" w:cstheme="minorBidi"/>
          <w:sz w:val="22"/>
          <w:szCs w:val="22"/>
        </w:rPr>
      </w:pPr>
      <w:r w:rsidRPr="3038F58C">
        <w:rPr>
          <w:rFonts w:asciiTheme="minorHAnsi" w:eastAsia="Calibri" w:hAnsiTheme="minorHAnsi" w:cstheme="minorBidi"/>
          <w:i/>
          <w:iCs/>
          <w:sz w:val="22"/>
          <w:szCs w:val="22"/>
        </w:rPr>
        <w:t>Clostridium difficile</w:t>
      </w:r>
      <w:r w:rsidRPr="3038F58C">
        <w:rPr>
          <w:rFonts w:asciiTheme="minorHAnsi" w:eastAsia="Calibri" w:hAnsiTheme="minorHAnsi" w:cstheme="minorBidi"/>
          <w:sz w:val="22"/>
          <w:szCs w:val="22"/>
        </w:rPr>
        <w:t xml:space="preserve"> is a spore-forming, gram-positive anaerobic bacillus. </w:t>
      </w:r>
      <w:r w:rsidRPr="3038F58C">
        <w:rPr>
          <w:rFonts w:asciiTheme="minorHAnsi" w:eastAsia="Calibri" w:hAnsiTheme="minorHAnsi" w:cstheme="minorBidi"/>
          <w:i/>
          <w:iCs/>
          <w:sz w:val="22"/>
          <w:szCs w:val="22"/>
        </w:rPr>
        <w:t>C. difficile</w:t>
      </w:r>
      <w:r w:rsidRPr="3038F58C">
        <w:rPr>
          <w:rFonts w:asciiTheme="minorHAnsi" w:eastAsia="Calibri" w:hAnsiTheme="minorHAnsi" w:cstheme="minorBidi"/>
          <w:sz w:val="22"/>
          <w:szCs w:val="22"/>
        </w:rPr>
        <w:t xml:space="preserve"> infection (CDI) is a frequent cause of healthcare-associated infections (HAI) and CDI accounts for 15-25% of all episodes of antibiotic-associated diarrhea. CDI is associated with increased length of hospital stay, costs, morbidity, and mortality in adult patients. CDI is related to antibiotic exposure and most commonly manifests as a gastrointestinal infection ranging from uncomplicated diarrhea to severe and life-threatening pseudomembranous colitis. CDI can be spread from patient to patient via environmental surfaces or on the hands of healthcare workers. </w:t>
      </w:r>
      <w:r w:rsidRPr="3038F58C">
        <w:rPr>
          <w:rFonts w:asciiTheme="minorHAnsi" w:eastAsia="Calibri" w:hAnsiTheme="minorHAnsi" w:cstheme="minorBidi"/>
          <w:i/>
          <w:iCs/>
          <w:sz w:val="22"/>
          <w:szCs w:val="22"/>
        </w:rPr>
        <w:t xml:space="preserve">C. difficile </w:t>
      </w:r>
      <w:r w:rsidRPr="3038F58C">
        <w:rPr>
          <w:rFonts w:asciiTheme="minorHAnsi" w:eastAsia="Calibri" w:hAnsiTheme="minorHAnsi" w:cstheme="minorBidi"/>
          <w:sz w:val="22"/>
          <w:szCs w:val="22"/>
        </w:rPr>
        <w:t xml:space="preserve">spores can persist on environmental surfaces for extended periods of time. Outbreaks of CDI occur in healthcare settings such as acute care hospitals and long-term care facilities where there is potential for </w:t>
      </w:r>
      <w:proofErr w:type="gramStart"/>
      <w:r w:rsidRPr="3038F58C">
        <w:rPr>
          <w:rFonts w:asciiTheme="minorHAnsi" w:eastAsia="Calibri" w:hAnsiTheme="minorHAnsi" w:cstheme="minorBidi"/>
          <w:sz w:val="22"/>
          <w:szCs w:val="22"/>
        </w:rPr>
        <w:t>a large number of</w:t>
      </w:r>
      <w:proofErr w:type="gramEnd"/>
      <w:r w:rsidRPr="3038F58C">
        <w:rPr>
          <w:rFonts w:asciiTheme="minorHAnsi" w:eastAsia="Calibri" w:hAnsiTheme="minorHAnsi" w:cstheme="minorBidi"/>
          <w:sz w:val="22"/>
          <w:szCs w:val="22"/>
        </w:rPr>
        <w:t xml:space="preserve"> susceptible hosts to be exposed to the infectious spores.</w:t>
      </w:r>
    </w:p>
    <w:p w14:paraId="3C2DFCB7" w14:textId="1B1B8320" w:rsidR="43F760B1" w:rsidRPr="00E24481" w:rsidRDefault="43F760B1" w:rsidP="264D7CA1">
      <w:pPr>
        <w:pStyle w:val="paragraph"/>
        <w:spacing w:before="0" w:beforeAutospacing="0" w:after="0" w:afterAutospacing="0"/>
        <w:ind w:left="360"/>
        <w:rPr>
          <w:rFonts w:asciiTheme="minorHAnsi" w:eastAsia="Calibri" w:hAnsiTheme="minorHAnsi" w:cstheme="minorHAnsi"/>
          <w:sz w:val="22"/>
          <w:szCs w:val="22"/>
        </w:rPr>
      </w:pPr>
    </w:p>
    <w:p w14:paraId="2B563462" w14:textId="24791E7A" w:rsidR="43F760B1" w:rsidRPr="00E24481" w:rsidRDefault="3038F58C" w:rsidP="3038F58C">
      <w:pPr>
        <w:pStyle w:val="paragraph"/>
        <w:spacing w:before="0" w:beforeAutospacing="0" w:after="0" w:afterAutospacing="0"/>
        <w:ind w:left="360"/>
        <w:rPr>
          <w:rStyle w:val="normaltextrun"/>
          <w:rFonts w:asciiTheme="minorHAnsi" w:hAnsiTheme="minorHAnsi" w:cstheme="minorBidi"/>
          <w:sz w:val="22"/>
          <w:szCs w:val="22"/>
        </w:rPr>
      </w:pPr>
      <w:r w:rsidRPr="3038F58C">
        <w:rPr>
          <w:rFonts w:asciiTheme="minorHAnsi" w:eastAsia="Calibri" w:hAnsiTheme="minorHAnsi" w:cstheme="minorBidi"/>
          <w:sz w:val="22"/>
          <w:szCs w:val="22"/>
        </w:rPr>
        <w:t xml:space="preserve">The epidemic strain of </w:t>
      </w:r>
      <w:r w:rsidRPr="3038F58C">
        <w:rPr>
          <w:rFonts w:asciiTheme="minorHAnsi" w:eastAsia="Calibri" w:hAnsiTheme="minorHAnsi" w:cstheme="minorBidi"/>
          <w:i/>
          <w:iCs/>
          <w:sz w:val="22"/>
          <w:szCs w:val="22"/>
        </w:rPr>
        <w:t>C. difficile</w:t>
      </w:r>
      <w:r w:rsidRPr="3038F58C">
        <w:rPr>
          <w:rFonts w:asciiTheme="minorHAnsi" w:eastAsia="Calibri" w:hAnsiTheme="minorHAnsi" w:cstheme="minorBidi"/>
          <w:sz w:val="22"/>
          <w:szCs w:val="22"/>
        </w:rPr>
        <w:t>, BI/NAP1/027 is associated with more severe disease and increased mortality. As CDI is strongly associated with previous antibiotic use, prudent use of antibiotics has a significant role in the prevention and control of CDI. Both the skin and the environment of colonized patients becomes contaminated, and healthcare personnel hands may become contaminated by touching the environment or the patient. The ongoing problem of CDI emphasizes the need for better diagnostics (appropriate test for the right patient), meticulous attention to infection prevention (including environmental disinfection), and improved antibiotic stewardship.</w:t>
      </w:r>
    </w:p>
    <w:p w14:paraId="2ECB876D" w14:textId="6DBEF0A5" w:rsidR="43F760B1" w:rsidRPr="00E24481" w:rsidRDefault="43F760B1" w:rsidP="43F760B1">
      <w:pPr>
        <w:pStyle w:val="paragraph"/>
        <w:spacing w:before="0" w:beforeAutospacing="0" w:after="0" w:afterAutospacing="0"/>
        <w:ind w:left="360"/>
        <w:rPr>
          <w:rStyle w:val="normaltextrun"/>
          <w:rFonts w:asciiTheme="minorHAnsi" w:hAnsiTheme="minorHAnsi" w:cstheme="minorHAnsi"/>
          <w:sz w:val="22"/>
          <w:szCs w:val="22"/>
        </w:rPr>
      </w:pPr>
    </w:p>
    <w:p w14:paraId="27A03AB5" w14:textId="7D81D62C" w:rsidR="002C7219" w:rsidRPr="00E24481" w:rsidRDefault="264D7CA1" w:rsidP="264D7CA1">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E24481">
        <w:rPr>
          <w:rStyle w:val="eop"/>
          <w:rFonts w:asciiTheme="minorHAnsi" w:hAnsiTheme="minorHAnsi" w:cstheme="minorHAnsi"/>
          <w:sz w:val="22"/>
          <w:szCs w:val="22"/>
        </w:rPr>
        <w:t> </w:t>
      </w:r>
      <w:r w:rsidRPr="00E24481">
        <w:rPr>
          <w:rStyle w:val="normaltextrun"/>
          <w:rFonts w:asciiTheme="minorHAnsi" w:hAnsiTheme="minorHAnsi" w:cstheme="minorHAnsi"/>
          <w:b/>
          <w:bCs/>
          <w:sz w:val="22"/>
          <w:szCs w:val="22"/>
        </w:rPr>
        <w:t xml:space="preserve">Improve Detection/Reporting </w:t>
      </w:r>
      <w:r w:rsidRPr="00E24481">
        <w:rPr>
          <w:rStyle w:val="normaltextrun"/>
          <w:rFonts w:asciiTheme="minorHAnsi" w:hAnsiTheme="minorHAnsi" w:cstheme="minorHAnsi"/>
          <w:sz w:val="22"/>
          <w:szCs w:val="22"/>
        </w:rPr>
        <w:t xml:space="preserve">[WG-A] -- </w:t>
      </w:r>
    </w:p>
    <w:p w14:paraId="77998923" w14:textId="08C10BAF" w:rsidR="002C7219" w:rsidRPr="00E24481" w:rsidRDefault="002C7219" w:rsidP="264D7CA1">
      <w:pPr>
        <w:pStyle w:val="paragraph"/>
        <w:spacing w:before="0" w:beforeAutospacing="0" w:after="0" w:afterAutospacing="0"/>
        <w:textAlignment w:val="baseline"/>
        <w:rPr>
          <w:rStyle w:val="eop"/>
          <w:rFonts w:asciiTheme="minorHAnsi" w:hAnsiTheme="minorHAnsi" w:cstheme="minorHAnsi"/>
          <w:sz w:val="22"/>
          <w:szCs w:val="22"/>
        </w:rPr>
      </w:pPr>
    </w:p>
    <w:p w14:paraId="679E4FA5" w14:textId="048E74FA" w:rsidR="002C7219" w:rsidRPr="00E24481" w:rsidRDefault="264D7CA1" w:rsidP="264D7CA1">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E24481">
        <w:rPr>
          <w:rStyle w:val="eop"/>
          <w:rFonts w:asciiTheme="minorHAnsi" w:hAnsiTheme="minorHAnsi" w:cstheme="minorHAnsi"/>
          <w:sz w:val="22"/>
          <w:szCs w:val="22"/>
        </w:rPr>
        <w:t>Thresholds</w:t>
      </w:r>
    </w:p>
    <w:p w14:paraId="627F4705" w14:textId="043D3544" w:rsidR="002C7219" w:rsidRPr="00E24481" w:rsidRDefault="002C7219" w:rsidP="264D7CA1">
      <w:pPr>
        <w:spacing w:after="0" w:line="240" w:lineRule="auto"/>
        <w:ind w:left="360"/>
        <w:textAlignment w:val="baseline"/>
        <w:rPr>
          <w:rFonts w:eastAsia="Arial" w:cstheme="minorHAnsi"/>
        </w:rPr>
      </w:pPr>
    </w:p>
    <w:p w14:paraId="47FE39B4" w14:textId="7C86B16C" w:rsidR="002C7219" w:rsidRDefault="264D7CA1" w:rsidP="264D7CA1">
      <w:pPr>
        <w:spacing w:after="0" w:line="240" w:lineRule="auto"/>
        <w:ind w:left="360"/>
        <w:textAlignment w:val="baseline"/>
        <w:rPr>
          <w:rFonts w:eastAsia="Arial" w:cstheme="minorHAnsi"/>
        </w:rPr>
      </w:pPr>
      <w:r w:rsidRPr="00E24481">
        <w:rPr>
          <w:rFonts w:eastAsia="Arial" w:cstheme="minorHAnsi"/>
        </w:rPr>
        <w:t xml:space="preserve">"The thresholds and definitions below are intended to be a </w:t>
      </w:r>
      <w:r w:rsidR="00021179" w:rsidRPr="00E24481">
        <w:rPr>
          <w:rFonts w:eastAsia="Arial" w:cstheme="minorHAnsi"/>
        </w:rPr>
        <w:t>guideline and</w:t>
      </w:r>
      <w:r w:rsidRPr="00E24481">
        <w:rPr>
          <w:rFonts w:eastAsia="Arial" w:cstheme="minorHAnsi"/>
        </w:rPr>
        <w:t xml:space="preserve"> are based on expert opinion except as noted otherwise. States and local jurisdictions may have their own outbreak definitions and requirements for reporting."</w:t>
      </w:r>
    </w:p>
    <w:p w14:paraId="3327D192" w14:textId="77777777" w:rsidR="004B0C69" w:rsidRDefault="004B0C69" w:rsidP="004B0C69">
      <w:pPr>
        <w:spacing w:after="0" w:line="240" w:lineRule="auto"/>
        <w:contextualSpacing/>
        <w:rPr>
          <w:rFonts w:ascii="Arial" w:hAnsi="Arial" w:cs="Arial"/>
          <w:b/>
          <w:bCs/>
        </w:rPr>
      </w:pPr>
    </w:p>
    <w:p w14:paraId="5CEAF8A8" w14:textId="77777777" w:rsidR="008C0CCA" w:rsidRDefault="008C0CCA" w:rsidP="004B0C69">
      <w:pPr>
        <w:spacing w:after="0" w:line="240" w:lineRule="auto"/>
        <w:contextualSpacing/>
        <w:rPr>
          <w:rFonts w:ascii="Arial" w:hAnsi="Arial" w:cs="Arial"/>
          <w:b/>
          <w:bCs/>
          <w:sz w:val="20"/>
        </w:rPr>
      </w:pPr>
    </w:p>
    <w:p w14:paraId="11CD95C8" w14:textId="77777777" w:rsidR="008C0CCA" w:rsidRDefault="008C0CCA" w:rsidP="004B0C69">
      <w:pPr>
        <w:spacing w:after="0" w:line="240" w:lineRule="auto"/>
        <w:contextualSpacing/>
        <w:rPr>
          <w:rFonts w:ascii="Arial" w:hAnsi="Arial" w:cs="Arial"/>
          <w:b/>
          <w:bCs/>
          <w:sz w:val="20"/>
        </w:rPr>
      </w:pPr>
    </w:p>
    <w:p w14:paraId="3C31DB44" w14:textId="77777777" w:rsidR="008C0CCA" w:rsidRDefault="008C0CCA" w:rsidP="004B0C69">
      <w:pPr>
        <w:spacing w:after="0" w:line="240" w:lineRule="auto"/>
        <w:contextualSpacing/>
        <w:rPr>
          <w:rFonts w:ascii="Arial" w:hAnsi="Arial" w:cs="Arial"/>
          <w:b/>
          <w:bCs/>
          <w:sz w:val="20"/>
        </w:rPr>
      </w:pPr>
    </w:p>
    <w:p w14:paraId="522F996E" w14:textId="77777777" w:rsidR="008C0CCA" w:rsidRDefault="008C0CCA" w:rsidP="004B0C69">
      <w:pPr>
        <w:spacing w:after="0" w:line="240" w:lineRule="auto"/>
        <w:contextualSpacing/>
        <w:rPr>
          <w:rFonts w:ascii="Arial" w:hAnsi="Arial" w:cs="Arial"/>
          <w:b/>
          <w:bCs/>
          <w:sz w:val="20"/>
        </w:rPr>
      </w:pPr>
    </w:p>
    <w:p w14:paraId="227D83DF" w14:textId="77777777" w:rsidR="008C0CCA" w:rsidRDefault="008C0CCA" w:rsidP="004B0C69">
      <w:pPr>
        <w:spacing w:after="0" w:line="240" w:lineRule="auto"/>
        <w:contextualSpacing/>
        <w:rPr>
          <w:rFonts w:ascii="Arial" w:hAnsi="Arial" w:cs="Arial"/>
          <w:b/>
          <w:bCs/>
          <w:sz w:val="20"/>
        </w:rPr>
      </w:pPr>
    </w:p>
    <w:p w14:paraId="4F3E0695" w14:textId="77777777" w:rsidR="008C0CCA" w:rsidRDefault="008C0CCA" w:rsidP="004B0C69">
      <w:pPr>
        <w:spacing w:after="0" w:line="240" w:lineRule="auto"/>
        <w:contextualSpacing/>
        <w:rPr>
          <w:rFonts w:ascii="Arial" w:hAnsi="Arial" w:cs="Arial"/>
          <w:b/>
          <w:bCs/>
          <w:sz w:val="20"/>
        </w:rPr>
      </w:pPr>
    </w:p>
    <w:p w14:paraId="2A639ACE" w14:textId="77777777" w:rsidR="008C0CCA" w:rsidRDefault="008C0CCA" w:rsidP="004B0C69">
      <w:pPr>
        <w:spacing w:after="0" w:line="240" w:lineRule="auto"/>
        <w:contextualSpacing/>
        <w:rPr>
          <w:rFonts w:ascii="Arial" w:hAnsi="Arial" w:cs="Arial"/>
          <w:b/>
          <w:bCs/>
          <w:sz w:val="20"/>
        </w:rPr>
      </w:pPr>
    </w:p>
    <w:p w14:paraId="2A44EE4D" w14:textId="77777777" w:rsidR="008C0CCA" w:rsidRDefault="008C0CCA" w:rsidP="004B0C69">
      <w:pPr>
        <w:spacing w:after="0" w:line="240" w:lineRule="auto"/>
        <w:contextualSpacing/>
        <w:rPr>
          <w:rFonts w:ascii="Arial" w:hAnsi="Arial" w:cs="Arial"/>
          <w:b/>
          <w:bCs/>
          <w:sz w:val="20"/>
        </w:rPr>
      </w:pPr>
    </w:p>
    <w:p w14:paraId="37A5D133" w14:textId="77777777" w:rsidR="008C0CCA" w:rsidRDefault="008C0CCA" w:rsidP="004B0C69">
      <w:pPr>
        <w:spacing w:after="0" w:line="240" w:lineRule="auto"/>
        <w:contextualSpacing/>
        <w:rPr>
          <w:rFonts w:ascii="Arial" w:hAnsi="Arial" w:cs="Arial"/>
          <w:b/>
          <w:bCs/>
          <w:sz w:val="20"/>
        </w:rPr>
      </w:pPr>
    </w:p>
    <w:p w14:paraId="087C7E4A" w14:textId="77777777" w:rsidR="008C0CCA" w:rsidRDefault="008C0CCA" w:rsidP="004B0C69">
      <w:pPr>
        <w:spacing w:after="0" w:line="240" w:lineRule="auto"/>
        <w:contextualSpacing/>
        <w:rPr>
          <w:rFonts w:ascii="Arial" w:hAnsi="Arial" w:cs="Arial"/>
          <w:b/>
          <w:bCs/>
          <w:sz w:val="20"/>
        </w:rPr>
      </w:pPr>
    </w:p>
    <w:p w14:paraId="0EEA71D2" w14:textId="77777777" w:rsidR="008C0CCA" w:rsidRDefault="008C0CCA" w:rsidP="004B0C69">
      <w:pPr>
        <w:spacing w:after="0" w:line="240" w:lineRule="auto"/>
        <w:contextualSpacing/>
        <w:rPr>
          <w:rFonts w:ascii="Arial" w:hAnsi="Arial" w:cs="Arial"/>
          <w:b/>
          <w:bCs/>
          <w:sz w:val="20"/>
        </w:rPr>
      </w:pPr>
    </w:p>
    <w:p w14:paraId="2664A2DB" w14:textId="77777777" w:rsidR="008C0CCA" w:rsidRDefault="008C0CCA" w:rsidP="004B0C69">
      <w:pPr>
        <w:spacing w:after="0" w:line="240" w:lineRule="auto"/>
        <w:contextualSpacing/>
        <w:rPr>
          <w:rFonts w:ascii="Arial" w:hAnsi="Arial" w:cs="Arial"/>
          <w:b/>
          <w:bCs/>
          <w:sz w:val="20"/>
        </w:rPr>
      </w:pPr>
    </w:p>
    <w:p w14:paraId="0D48930C" w14:textId="77777777" w:rsidR="008C0CCA" w:rsidRDefault="008C0CCA" w:rsidP="004B0C69">
      <w:pPr>
        <w:spacing w:after="0" w:line="240" w:lineRule="auto"/>
        <w:contextualSpacing/>
        <w:rPr>
          <w:rFonts w:ascii="Arial" w:hAnsi="Arial" w:cs="Arial"/>
          <w:b/>
          <w:bCs/>
          <w:sz w:val="20"/>
        </w:rPr>
      </w:pPr>
    </w:p>
    <w:p w14:paraId="0E1FD206" w14:textId="343DD959" w:rsidR="004B0C69" w:rsidRPr="008C0CCA" w:rsidRDefault="004B0C69" w:rsidP="004B0C69">
      <w:pPr>
        <w:spacing w:after="0" w:line="240" w:lineRule="auto"/>
        <w:contextualSpacing/>
        <w:rPr>
          <w:rFonts w:ascii="Arial" w:hAnsi="Arial" w:cs="Arial"/>
          <w:b/>
          <w:bCs/>
          <w:sz w:val="20"/>
        </w:rPr>
      </w:pPr>
      <w:r w:rsidRPr="008C0CCA">
        <w:rPr>
          <w:rFonts w:ascii="Arial" w:hAnsi="Arial" w:cs="Arial"/>
          <w:b/>
          <w:bCs/>
          <w:sz w:val="20"/>
        </w:rPr>
        <w:t>Proposed Investigation/Reporting Thresholds and Outbreak Definition for (</w:t>
      </w:r>
      <w:r w:rsidRPr="008C0CCA">
        <w:rPr>
          <w:rFonts w:ascii="Arial" w:hAnsi="Arial" w:cs="Arial"/>
          <w:b/>
          <w:bCs/>
          <w:i/>
          <w:iCs/>
          <w:sz w:val="20"/>
        </w:rPr>
        <w:t>Clostridium difficile</w:t>
      </w:r>
      <w:r w:rsidRPr="008C0CCA">
        <w:rPr>
          <w:rFonts w:ascii="Arial" w:hAnsi="Arial" w:cs="Arial"/>
          <w:b/>
          <w:bCs/>
          <w:sz w:val="20"/>
        </w:rPr>
        <w:t xml:space="preserve">) </w:t>
      </w:r>
    </w:p>
    <w:p w14:paraId="75C8E048" w14:textId="77777777" w:rsidR="004B0C69" w:rsidRPr="008C0CCA" w:rsidRDefault="004B0C69" w:rsidP="004B0C69">
      <w:pPr>
        <w:spacing w:after="0" w:line="240" w:lineRule="auto"/>
        <w:contextualSpacing/>
        <w:rPr>
          <w:rFonts w:ascii="Arial" w:hAnsi="Arial" w:cs="Arial"/>
          <w:b/>
          <w:bCs/>
          <w:sz w:val="20"/>
        </w:rPr>
      </w:pPr>
    </w:p>
    <w:p w14:paraId="36511B86" w14:textId="77777777" w:rsidR="004B0C69" w:rsidRPr="008C0CCA" w:rsidRDefault="004B0C69" w:rsidP="004B0C69">
      <w:pPr>
        <w:spacing w:after="0" w:line="240" w:lineRule="auto"/>
        <w:contextualSpacing/>
        <w:rPr>
          <w:rFonts w:ascii="Arial" w:hAnsi="Arial" w:cs="Arial"/>
          <w:b/>
          <w:bCs/>
          <w:sz w:val="20"/>
        </w:rPr>
      </w:pPr>
      <w:r w:rsidRPr="008C0CCA">
        <w:rPr>
          <w:rFonts w:ascii="Arial" w:hAnsi="Arial" w:cs="Arial"/>
          <w:b/>
          <w:bCs/>
          <w:sz w:val="20"/>
        </w:rPr>
        <w:t>V6, February 5th, 2018</w:t>
      </w:r>
    </w:p>
    <w:p w14:paraId="6099B6C6" w14:textId="77777777" w:rsidR="004B0C69" w:rsidRPr="008C0CCA" w:rsidRDefault="004B0C69" w:rsidP="004B0C69">
      <w:pPr>
        <w:spacing w:after="0" w:line="240" w:lineRule="auto"/>
        <w:contextualSpacing/>
        <w:rPr>
          <w:rFonts w:ascii="Arial" w:hAnsi="Arial" w:cs="Arial"/>
          <w:sz w:val="20"/>
        </w:rPr>
      </w:pPr>
      <w:r w:rsidRPr="008C0CCA">
        <w:rPr>
          <w:rFonts w:ascii="Arial" w:hAnsi="Arial" w:cs="Arial"/>
          <w:sz w:val="20"/>
        </w:rPr>
        <w:t>The thresholds and definitions below are intended to be a guideline and are based on expert opinion except as noted otherwise. States and local jurisdictions may have their own outbreak definitions and requirements for reporting.</w:t>
      </w:r>
    </w:p>
    <w:p w14:paraId="0405B4A2" w14:textId="77777777" w:rsidR="004B0C69" w:rsidRPr="008C0CCA" w:rsidRDefault="004B0C69" w:rsidP="004B0C69">
      <w:pPr>
        <w:spacing w:after="0" w:line="240" w:lineRule="auto"/>
        <w:contextualSpacing/>
        <w:rPr>
          <w:rFonts w:ascii="Arial" w:hAnsi="Arial" w:cs="Arial"/>
          <w:b/>
          <w:sz w:val="20"/>
        </w:rPr>
      </w:pPr>
    </w:p>
    <w:tbl>
      <w:tblPr>
        <w:tblW w:w="13041" w:type="dxa"/>
        <w:tblCellMar>
          <w:top w:w="15" w:type="dxa"/>
          <w:left w:w="15" w:type="dxa"/>
          <w:bottom w:w="15" w:type="dxa"/>
          <w:right w:w="15" w:type="dxa"/>
        </w:tblCellMar>
        <w:tblLook w:val="04A0" w:firstRow="1" w:lastRow="0" w:firstColumn="1" w:lastColumn="0" w:noHBand="0" w:noVBand="1"/>
      </w:tblPr>
      <w:tblGrid>
        <w:gridCol w:w="1717"/>
        <w:gridCol w:w="1352"/>
        <w:gridCol w:w="1357"/>
        <w:gridCol w:w="2482"/>
        <w:gridCol w:w="1918"/>
        <w:gridCol w:w="1515"/>
        <w:gridCol w:w="2700"/>
      </w:tblGrid>
      <w:tr w:rsidR="004B0C69" w:rsidRPr="008C0CCA" w14:paraId="6BE7F3D4" w14:textId="77777777" w:rsidTr="00B607B2">
        <w:trPr>
          <w:trHeight w:val="420"/>
        </w:trPr>
        <w:tc>
          <w:tcPr>
            <w:tcW w:w="1717"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69EF5123" w14:textId="77777777" w:rsidR="004B0C69" w:rsidRPr="008C0CCA" w:rsidRDefault="004B0C69" w:rsidP="00B607B2">
            <w:pPr>
              <w:spacing w:after="0" w:line="240" w:lineRule="auto"/>
              <w:rPr>
                <w:rFonts w:ascii="Arial" w:eastAsia="Times New Roman" w:hAnsi="Arial" w:cs="Arial"/>
                <w:color w:val="000000"/>
                <w:sz w:val="20"/>
              </w:rPr>
            </w:pPr>
          </w:p>
        </w:tc>
        <w:tc>
          <w:tcPr>
            <w:tcW w:w="1352" w:type="dxa"/>
            <w:tcBorders>
              <w:top w:val="single" w:sz="18" w:space="0" w:color="auto"/>
              <w:left w:val="single" w:sz="18" w:space="0" w:color="auto"/>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1D08A4F4"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hAnsi="Arial" w:cs="Arial"/>
                <w:sz w:val="20"/>
              </w:rPr>
              <w:t>Acute Care Hospitals</w:t>
            </w:r>
          </w:p>
        </w:tc>
        <w:tc>
          <w:tcPr>
            <w:tcW w:w="1357"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6FACD411"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hAnsi="Arial" w:cs="Arial"/>
                <w:sz w:val="20"/>
              </w:rPr>
              <w:t xml:space="preserve">Long-Term Acute Care Hospitals and Long-Term Care Facilities with Ventilated Patients </w:t>
            </w:r>
          </w:p>
        </w:tc>
        <w:tc>
          <w:tcPr>
            <w:tcW w:w="2482"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54508F8E"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hAnsi="Arial" w:cs="Arial"/>
                <w:sz w:val="20"/>
              </w:rPr>
              <w:t>Critical Access Hospitals</w:t>
            </w:r>
          </w:p>
        </w:tc>
        <w:tc>
          <w:tcPr>
            <w:tcW w:w="1918"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31A00C55"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hAnsi="Arial" w:cs="Arial"/>
                <w:sz w:val="20"/>
              </w:rPr>
              <w:t>Long-Term Care Facilities (LTCF)</w:t>
            </w:r>
          </w:p>
        </w:tc>
        <w:tc>
          <w:tcPr>
            <w:tcW w:w="1515" w:type="dxa"/>
            <w:tcBorders>
              <w:top w:val="single" w:sz="18" w:space="0" w:color="auto"/>
              <w:left w:val="single" w:sz="8" w:space="0" w:color="000000" w:themeColor="text1"/>
              <w:bottom w:val="single" w:sz="18" w:space="0" w:color="auto"/>
              <w:right w:val="single" w:sz="8" w:space="0" w:color="000000" w:themeColor="text1"/>
            </w:tcBorders>
            <w:shd w:val="clear" w:color="auto" w:fill="D9D9D9" w:themeFill="background1" w:themeFillShade="D9"/>
            <w:tcMar>
              <w:top w:w="100" w:type="dxa"/>
              <w:left w:w="100" w:type="dxa"/>
              <w:bottom w:w="100" w:type="dxa"/>
              <w:right w:w="100" w:type="dxa"/>
            </w:tcMar>
          </w:tcPr>
          <w:p w14:paraId="6405F93C"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hAnsi="Arial" w:cs="Arial"/>
                <w:sz w:val="20"/>
              </w:rPr>
              <w:t>Dialysis Facilities</w:t>
            </w:r>
          </w:p>
        </w:tc>
        <w:tc>
          <w:tcPr>
            <w:tcW w:w="2700" w:type="dxa"/>
            <w:tcBorders>
              <w:top w:val="single" w:sz="18" w:space="0" w:color="auto"/>
              <w:left w:val="single" w:sz="8" w:space="0" w:color="000000" w:themeColor="text1"/>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54376343" w14:textId="77777777" w:rsidR="004B0C69" w:rsidRPr="008C0CCA" w:rsidRDefault="004B0C69" w:rsidP="00B607B2">
            <w:pPr>
              <w:spacing w:after="0" w:line="240" w:lineRule="auto"/>
              <w:rPr>
                <w:rFonts w:ascii="Arial" w:hAnsi="Arial" w:cs="Arial"/>
                <w:sz w:val="20"/>
              </w:rPr>
            </w:pPr>
            <w:r w:rsidRPr="008C0CCA">
              <w:rPr>
                <w:rFonts w:ascii="Arial" w:hAnsi="Arial" w:cs="Arial"/>
                <w:sz w:val="20"/>
              </w:rPr>
              <w:t>Outpatient</w:t>
            </w:r>
          </w:p>
        </w:tc>
      </w:tr>
      <w:tr w:rsidR="004B0C69" w:rsidRPr="008C0CCA" w14:paraId="3DF3F303" w14:textId="77777777" w:rsidTr="00B607B2">
        <w:trPr>
          <w:trHeight w:val="1160"/>
        </w:trPr>
        <w:tc>
          <w:tcPr>
            <w:tcW w:w="1717" w:type="dxa"/>
            <w:tcBorders>
              <w:top w:val="single" w:sz="18" w:space="0" w:color="auto"/>
              <w:left w:val="single" w:sz="18" w:space="0" w:color="auto"/>
              <w:bottom w:val="single" w:sz="8" w:space="0" w:color="000000" w:themeColor="text1"/>
              <w:right w:val="single" w:sz="18" w:space="0" w:color="auto"/>
            </w:tcBorders>
            <w:tcMar>
              <w:top w:w="100" w:type="dxa"/>
              <w:left w:w="100" w:type="dxa"/>
              <w:bottom w:w="100" w:type="dxa"/>
              <w:right w:w="100" w:type="dxa"/>
            </w:tcMar>
          </w:tcPr>
          <w:p w14:paraId="3C81FAD6"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color w:val="000000"/>
                <w:sz w:val="20"/>
              </w:rPr>
              <w:t>Threshold for facility to do additional investigation</w:t>
            </w:r>
          </w:p>
        </w:tc>
        <w:tc>
          <w:tcPr>
            <w:tcW w:w="2709" w:type="dxa"/>
            <w:gridSpan w:val="2"/>
            <w:tcBorders>
              <w:top w:val="single" w:sz="18" w:space="0" w:color="auto"/>
              <w:left w:val="single" w:sz="18" w:space="0" w:color="auto"/>
              <w:bottom w:val="single" w:sz="8" w:space="0" w:color="000000" w:themeColor="text1"/>
              <w:right w:val="single" w:sz="4" w:space="0" w:color="auto"/>
            </w:tcBorders>
            <w:tcMar>
              <w:top w:w="100" w:type="dxa"/>
              <w:left w:w="100" w:type="dxa"/>
              <w:bottom w:w="100" w:type="dxa"/>
              <w:right w:w="100" w:type="dxa"/>
            </w:tcMar>
          </w:tcPr>
          <w:p w14:paraId="6180B018"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eastAsia="Times New Roman" w:hAnsi="Arial" w:cs="Arial"/>
                <w:color w:val="000000"/>
                <w:sz w:val="20"/>
              </w:rPr>
              <w:t>≥2 patients with facility-onset</w:t>
            </w:r>
            <w:r w:rsidRPr="008C0CCA">
              <w:rPr>
                <w:rFonts w:ascii="Arial" w:eastAsia="Times New Roman" w:hAnsi="Arial" w:cs="Arial"/>
                <w:color w:val="000000"/>
                <w:sz w:val="20"/>
                <w:vertAlign w:val="superscript"/>
              </w:rPr>
              <w:t>1</w:t>
            </w:r>
            <w:r w:rsidRPr="008C0CCA">
              <w:rPr>
                <w:rFonts w:ascii="Arial" w:eastAsia="Times New Roman" w:hAnsi="Arial" w:cs="Arial"/>
                <w:color w:val="000000"/>
                <w:sz w:val="20"/>
              </w:rPr>
              <w:t xml:space="preserve">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(determined by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xml:space="preserve">) on the same unit within a 4-week </w:t>
            </w:r>
            <w:proofErr w:type="gramStart"/>
            <w:r w:rsidRPr="008C0CCA">
              <w:rPr>
                <w:rFonts w:ascii="Arial" w:eastAsia="Times New Roman" w:hAnsi="Arial" w:cs="Arial"/>
                <w:color w:val="000000"/>
                <w:sz w:val="20"/>
              </w:rPr>
              <w:t>period of time</w:t>
            </w:r>
            <w:proofErr w:type="gramEnd"/>
          </w:p>
        </w:tc>
        <w:tc>
          <w:tcPr>
            <w:tcW w:w="5915" w:type="dxa"/>
            <w:gridSpan w:val="3"/>
            <w:tcBorders>
              <w:top w:val="single" w:sz="18" w:space="0" w:color="auto"/>
              <w:left w:val="single" w:sz="4" w:space="0" w:color="auto"/>
              <w:bottom w:val="single" w:sz="8" w:space="0" w:color="000000" w:themeColor="text1"/>
              <w:right w:val="single" w:sz="8" w:space="0" w:color="000000" w:themeColor="text1"/>
            </w:tcBorders>
          </w:tcPr>
          <w:p w14:paraId="20F06615"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color w:val="000000"/>
                <w:sz w:val="20"/>
              </w:rPr>
              <w:t>≥2 patients with facility-onset</w:t>
            </w:r>
            <w:r w:rsidRPr="008C0CCA">
              <w:rPr>
                <w:rFonts w:ascii="Arial" w:eastAsia="Times New Roman" w:hAnsi="Arial" w:cs="Arial"/>
                <w:color w:val="000000"/>
                <w:sz w:val="20"/>
                <w:vertAlign w:val="superscript"/>
              </w:rPr>
              <w:t>1</w:t>
            </w:r>
            <w:r w:rsidRPr="008C0CCA">
              <w:rPr>
                <w:rFonts w:ascii="Arial" w:eastAsia="Times New Roman" w:hAnsi="Arial" w:cs="Arial"/>
                <w:color w:val="000000"/>
                <w:sz w:val="20"/>
              </w:rPr>
              <w:t xml:space="preserve">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(determined by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xml:space="preserve">) within a 4-week </w:t>
            </w:r>
            <w:proofErr w:type="gramStart"/>
            <w:r w:rsidRPr="008C0CCA">
              <w:rPr>
                <w:rFonts w:ascii="Arial" w:eastAsia="Times New Roman" w:hAnsi="Arial" w:cs="Arial"/>
                <w:color w:val="000000"/>
                <w:sz w:val="20"/>
              </w:rPr>
              <w:t>period of time</w:t>
            </w:r>
            <w:proofErr w:type="gramEnd"/>
          </w:p>
        </w:tc>
        <w:tc>
          <w:tcPr>
            <w:tcW w:w="2700" w:type="dxa"/>
            <w:tcBorders>
              <w:top w:val="single" w:sz="18" w:space="0" w:color="auto"/>
              <w:left w:val="single" w:sz="8" w:space="0" w:color="000000" w:themeColor="text1"/>
              <w:bottom w:val="single" w:sz="8" w:space="0" w:color="000000" w:themeColor="text1"/>
              <w:right w:val="single" w:sz="18" w:space="0" w:color="auto"/>
            </w:tcBorders>
            <w:tcMar>
              <w:top w:w="100" w:type="dxa"/>
              <w:left w:w="100" w:type="dxa"/>
              <w:bottom w:w="100" w:type="dxa"/>
              <w:right w:w="100" w:type="dxa"/>
            </w:tcMar>
          </w:tcPr>
          <w:p w14:paraId="4188F38B"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sz w:val="20"/>
              </w:rPr>
              <w:t>N/A</w:t>
            </w:r>
          </w:p>
        </w:tc>
      </w:tr>
      <w:tr w:rsidR="004B0C69" w:rsidRPr="008C0CCA" w14:paraId="32760378" w14:textId="77777777" w:rsidTr="00B607B2">
        <w:trPr>
          <w:trHeight w:val="420"/>
        </w:trPr>
        <w:tc>
          <w:tcPr>
            <w:tcW w:w="1717" w:type="dxa"/>
            <w:tcBorders>
              <w:top w:val="single" w:sz="8" w:space="0" w:color="000000" w:themeColor="text1"/>
              <w:left w:val="single" w:sz="18" w:space="0" w:color="auto"/>
              <w:bottom w:val="single" w:sz="8" w:space="0" w:color="000000" w:themeColor="text1"/>
              <w:right w:val="single" w:sz="18" w:space="0" w:color="auto"/>
            </w:tcBorders>
            <w:tcMar>
              <w:top w:w="100" w:type="dxa"/>
              <w:left w:w="100" w:type="dxa"/>
              <w:bottom w:w="100" w:type="dxa"/>
              <w:right w:w="100" w:type="dxa"/>
            </w:tcMar>
          </w:tcPr>
          <w:p w14:paraId="52BE99EC"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eastAsia="Times New Roman" w:hAnsi="Arial" w:cs="Arial"/>
                <w:color w:val="000000"/>
                <w:sz w:val="20"/>
              </w:rPr>
              <w:t>Threshold for reporting to PH</w:t>
            </w:r>
          </w:p>
        </w:tc>
        <w:tc>
          <w:tcPr>
            <w:tcW w:w="8624" w:type="dxa"/>
            <w:gridSpan w:val="5"/>
            <w:tcBorders>
              <w:top w:val="single" w:sz="8" w:space="0" w:color="000000" w:themeColor="text1"/>
              <w:left w:val="single" w:sz="18" w:space="0" w:color="auto"/>
              <w:bottom w:val="single" w:sz="8" w:space="0" w:color="000000" w:themeColor="text1"/>
              <w:right w:val="single" w:sz="8" w:space="0" w:color="000000" w:themeColor="text1"/>
            </w:tcBorders>
            <w:tcMar>
              <w:top w:w="100" w:type="dxa"/>
              <w:left w:w="100" w:type="dxa"/>
              <w:bottom w:w="100" w:type="dxa"/>
              <w:right w:w="100" w:type="dxa"/>
            </w:tcMar>
          </w:tcPr>
          <w:p w14:paraId="7523D8C9"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color w:val="000000"/>
                <w:sz w:val="20"/>
              </w:rPr>
              <w:t>≥2 patients with facility-onset</w:t>
            </w:r>
            <w:r w:rsidRPr="008C0CCA">
              <w:rPr>
                <w:rFonts w:ascii="Arial" w:eastAsia="Times New Roman" w:hAnsi="Arial" w:cs="Arial"/>
                <w:color w:val="000000"/>
                <w:sz w:val="20"/>
                <w:vertAlign w:val="superscript"/>
              </w:rPr>
              <w:t>1</w:t>
            </w:r>
            <w:r w:rsidRPr="008C0CCA">
              <w:rPr>
                <w:rFonts w:ascii="Arial" w:eastAsia="Times New Roman" w:hAnsi="Arial" w:cs="Arial"/>
                <w:color w:val="000000"/>
                <w:sz w:val="20"/>
              </w:rPr>
              <w:t xml:space="preserve">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(determined by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that are on the same unit and are epidemiologically-linked</w:t>
            </w:r>
            <w:r w:rsidRPr="008C0CCA">
              <w:rPr>
                <w:rFonts w:ascii="Arial" w:eastAsia="Times New Roman" w:hAnsi="Arial" w:cs="Arial"/>
                <w:color w:val="000000"/>
                <w:sz w:val="20"/>
                <w:vertAlign w:val="superscript"/>
              </w:rPr>
              <w:t>3</w:t>
            </w:r>
            <w:r w:rsidRPr="008C0CCA">
              <w:rPr>
                <w:rFonts w:ascii="Arial" w:eastAsia="Times New Roman" w:hAnsi="Arial" w:cs="Arial"/>
                <w:color w:val="000000"/>
                <w:sz w:val="20"/>
              </w:rPr>
              <w:t xml:space="preserve"> within a 4-week </w:t>
            </w:r>
            <w:proofErr w:type="gramStart"/>
            <w:r w:rsidRPr="008C0CCA">
              <w:rPr>
                <w:rFonts w:ascii="Arial" w:eastAsia="Times New Roman" w:hAnsi="Arial" w:cs="Arial"/>
                <w:color w:val="000000"/>
                <w:sz w:val="20"/>
              </w:rPr>
              <w:t>period of time</w:t>
            </w:r>
            <w:proofErr w:type="gramEnd"/>
            <w:r w:rsidRPr="008C0CCA">
              <w:rPr>
                <w:rFonts w:ascii="Arial" w:eastAsia="Times New Roman" w:hAnsi="Arial" w:cs="Arial"/>
                <w:color w:val="000000"/>
                <w:sz w:val="20"/>
              </w:rPr>
              <w:t>;</w:t>
            </w:r>
          </w:p>
          <w:p w14:paraId="7B407FFE" w14:textId="77777777" w:rsidR="004B0C69" w:rsidRPr="008C0CCA" w:rsidRDefault="004B0C69" w:rsidP="00B607B2">
            <w:pPr>
              <w:spacing w:after="0" w:line="240" w:lineRule="auto"/>
              <w:rPr>
                <w:rFonts w:ascii="Arial" w:eastAsia="Times New Roman" w:hAnsi="Arial" w:cs="Arial"/>
                <w:color w:val="000000"/>
                <w:sz w:val="20"/>
                <w:vertAlign w:val="superscript"/>
              </w:rPr>
            </w:pPr>
            <w:r w:rsidRPr="008C0CCA">
              <w:rPr>
                <w:rFonts w:ascii="Arial" w:eastAsia="Times New Roman" w:hAnsi="Arial" w:cs="Arial"/>
                <w:color w:val="000000"/>
                <w:sz w:val="20"/>
              </w:rPr>
              <w:t>OR ≥2 patients with community-onset</w:t>
            </w:r>
            <w:r w:rsidRPr="008C0CCA">
              <w:rPr>
                <w:rFonts w:ascii="Arial" w:eastAsia="Times New Roman" w:hAnsi="Arial" w:cs="Arial"/>
                <w:color w:val="000000"/>
                <w:sz w:val="20"/>
                <w:vertAlign w:val="superscript"/>
              </w:rPr>
              <w:t>4</w:t>
            </w:r>
            <w:r w:rsidRPr="008C0CCA">
              <w:rPr>
                <w:rFonts w:ascii="Arial" w:eastAsia="Times New Roman" w:hAnsi="Arial" w:cs="Arial"/>
                <w:color w:val="000000"/>
                <w:sz w:val="20"/>
              </w:rPr>
              <w:t xml:space="preserve">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(determined by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that are epidemiologically-linked</w:t>
            </w:r>
            <w:r w:rsidRPr="008C0CCA">
              <w:rPr>
                <w:rFonts w:ascii="Arial" w:eastAsia="Times New Roman" w:hAnsi="Arial" w:cs="Arial"/>
                <w:color w:val="000000"/>
                <w:sz w:val="20"/>
                <w:vertAlign w:val="superscript"/>
              </w:rPr>
              <w:t>3</w:t>
            </w:r>
            <w:r w:rsidRPr="008C0CCA">
              <w:rPr>
                <w:rFonts w:ascii="Arial" w:eastAsia="Times New Roman" w:hAnsi="Arial" w:cs="Arial"/>
                <w:color w:val="000000"/>
                <w:sz w:val="20"/>
              </w:rPr>
              <w:t xml:space="preserve"> or have severe complicated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infection</w:t>
            </w:r>
            <w:r w:rsidRPr="008C0CCA">
              <w:rPr>
                <w:rFonts w:ascii="Arial" w:eastAsia="Times New Roman" w:hAnsi="Arial" w:cs="Arial"/>
                <w:color w:val="000000"/>
                <w:sz w:val="20"/>
                <w:vertAlign w:val="superscript"/>
              </w:rPr>
              <w:t>5</w:t>
            </w:r>
            <w:r w:rsidRPr="008C0CCA">
              <w:rPr>
                <w:rFonts w:ascii="Arial" w:eastAsia="Times New Roman" w:hAnsi="Arial" w:cs="Arial"/>
                <w:color w:val="000000"/>
                <w:sz w:val="20"/>
              </w:rPr>
              <w:t xml:space="preserve"> within a 4-week </w:t>
            </w:r>
            <w:proofErr w:type="gramStart"/>
            <w:r w:rsidRPr="008C0CCA">
              <w:rPr>
                <w:rFonts w:ascii="Arial" w:eastAsia="Times New Roman" w:hAnsi="Arial" w:cs="Arial"/>
                <w:color w:val="000000"/>
                <w:sz w:val="20"/>
              </w:rPr>
              <w:t>period of time</w:t>
            </w:r>
            <w:proofErr w:type="gramEnd"/>
          </w:p>
        </w:tc>
        <w:tc>
          <w:tcPr>
            <w:tcW w:w="2700" w:type="dxa"/>
            <w:tcBorders>
              <w:top w:val="single" w:sz="8" w:space="0" w:color="000000" w:themeColor="text1"/>
              <w:left w:val="single" w:sz="8" w:space="0" w:color="000000" w:themeColor="text1"/>
              <w:bottom w:val="single" w:sz="8" w:space="0" w:color="000000" w:themeColor="text1"/>
              <w:right w:val="single" w:sz="18" w:space="0" w:color="auto"/>
            </w:tcBorders>
            <w:tcMar>
              <w:top w:w="100" w:type="dxa"/>
              <w:left w:w="100" w:type="dxa"/>
              <w:bottom w:w="100" w:type="dxa"/>
              <w:right w:w="100" w:type="dxa"/>
            </w:tcMar>
          </w:tcPr>
          <w:p w14:paraId="747B1F8B" w14:textId="77777777" w:rsidR="004B0C69" w:rsidRPr="008C0CCA" w:rsidRDefault="004B0C69" w:rsidP="00B607B2">
            <w:pPr>
              <w:spacing w:after="0" w:line="240" w:lineRule="auto"/>
              <w:rPr>
                <w:rFonts w:ascii="Arial" w:eastAsia="Times New Roman" w:hAnsi="Arial" w:cs="Arial"/>
                <w:color w:val="000000"/>
                <w:sz w:val="20"/>
              </w:rPr>
            </w:pPr>
            <w:r w:rsidRPr="008C0CCA">
              <w:rPr>
                <w:rFonts w:ascii="Arial" w:eastAsia="Times New Roman" w:hAnsi="Arial" w:cs="Arial"/>
                <w:color w:val="000000"/>
                <w:sz w:val="20"/>
              </w:rPr>
              <w:t>≥2 patients with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xml:space="preserve"> that are either epidemiologically–linked</w:t>
            </w:r>
            <w:r w:rsidRPr="008C0CCA">
              <w:rPr>
                <w:rFonts w:ascii="Arial" w:eastAsia="Times New Roman" w:hAnsi="Arial" w:cs="Arial"/>
                <w:color w:val="000000"/>
                <w:sz w:val="20"/>
                <w:vertAlign w:val="superscript"/>
              </w:rPr>
              <w:t>3</w:t>
            </w:r>
            <w:r w:rsidRPr="008C0CCA">
              <w:rPr>
                <w:rFonts w:ascii="Arial" w:eastAsia="Times New Roman" w:hAnsi="Arial" w:cs="Arial"/>
                <w:color w:val="000000"/>
                <w:sz w:val="20"/>
              </w:rPr>
              <w:t xml:space="preserve"> or have severe complicated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infections</w:t>
            </w:r>
            <w:r w:rsidRPr="008C0CCA">
              <w:rPr>
                <w:rFonts w:ascii="Arial" w:eastAsia="Times New Roman" w:hAnsi="Arial" w:cs="Arial"/>
                <w:color w:val="000000"/>
                <w:sz w:val="20"/>
                <w:vertAlign w:val="superscript"/>
              </w:rPr>
              <w:t>4</w:t>
            </w:r>
          </w:p>
        </w:tc>
      </w:tr>
      <w:tr w:rsidR="004B0C69" w:rsidRPr="008C0CCA" w14:paraId="0787A081" w14:textId="77777777" w:rsidTr="00B607B2">
        <w:trPr>
          <w:trHeight w:val="420"/>
        </w:trPr>
        <w:tc>
          <w:tcPr>
            <w:tcW w:w="1717" w:type="dxa"/>
            <w:tcBorders>
              <w:top w:val="single" w:sz="8" w:space="0" w:color="000000" w:themeColor="text1"/>
              <w:left w:val="single" w:sz="18" w:space="0" w:color="auto"/>
              <w:bottom w:val="single" w:sz="18" w:space="0" w:color="auto"/>
              <w:right w:val="single" w:sz="18" w:space="0" w:color="auto"/>
            </w:tcBorders>
            <w:tcMar>
              <w:top w:w="100" w:type="dxa"/>
              <w:left w:w="100" w:type="dxa"/>
              <w:bottom w:w="100" w:type="dxa"/>
              <w:right w:w="100" w:type="dxa"/>
            </w:tcMar>
            <w:hideMark/>
          </w:tcPr>
          <w:p w14:paraId="746FE2B0"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color w:val="000000"/>
                <w:sz w:val="20"/>
              </w:rPr>
              <w:lastRenderedPageBreak/>
              <w:t>Outbreak definition</w:t>
            </w:r>
          </w:p>
        </w:tc>
        <w:tc>
          <w:tcPr>
            <w:tcW w:w="8624" w:type="dxa"/>
            <w:gridSpan w:val="5"/>
            <w:tcBorders>
              <w:top w:val="single" w:sz="8" w:space="0" w:color="000000" w:themeColor="text1"/>
              <w:left w:val="single" w:sz="18" w:space="0" w:color="auto"/>
              <w:bottom w:val="single" w:sz="18" w:space="0" w:color="auto"/>
              <w:right w:val="single" w:sz="8" w:space="0" w:color="000000" w:themeColor="text1"/>
            </w:tcBorders>
            <w:tcMar>
              <w:top w:w="100" w:type="dxa"/>
              <w:left w:w="100" w:type="dxa"/>
              <w:bottom w:w="100" w:type="dxa"/>
              <w:right w:w="100" w:type="dxa"/>
            </w:tcMar>
            <w:hideMark/>
          </w:tcPr>
          <w:p w14:paraId="035880D0"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color w:val="000000"/>
                <w:sz w:val="20"/>
              </w:rPr>
              <w:t>≥2 facility-onset</w:t>
            </w:r>
            <w:r w:rsidRPr="008C0CCA">
              <w:rPr>
                <w:rFonts w:ascii="Arial" w:eastAsia="Times New Roman" w:hAnsi="Arial" w:cs="Arial"/>
                <w:color w:val="000000"/>
                <w:sz w:val="20"/>
                <w:vertAlign w:val="superscript"/>
              </w:rPr>
              <w:t>1</w:t>
            </w:r>
            <w:r w:rsidRPr="008C0CCA">
              <w:rPr>
                <w:rFonts w:ascii="Arial" w:eastAsia="Times New Roman" w:hAnsi="Arial" w:cs="Arial"/>
                <w:color w:val="000000"/>
                <w:sz w:val="20"/>
              </w:rPr>
              <w:t xml:space="preserve"> cases of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infection</w:t>
            </w:r>
            <w:r w:rsidRPr="008C0CCA">
              <w:rPr>
                <w:rFonts w:ascii="Arial" w:eastAsia="Times New Roman" w:hAnsi="Arial" w:cs="Arial"/>
                <w:color w:val="000000"/>
                <w:sz w:val="20"/>
                <w:vertAlign w:val="superscript"/>
              </w:rPr>
              <w:t>6</w:t>
            </w:r>
            <w:r w:rsidRPr="008C0CCA">
              <w:rPr>
                <w:rFonts w:ascii="Arial" w:eastAsia="Times New Roman" w:hAnsi="Arial" w:cs="Arial"/>
                <w:color w:val="000000"/>
                <w:sz w:val="20"/>
              </w:rPr>
              <w:t xml:space="preserve"> with evidence of transmission or common source within a 4-week </w:t>
            </w:r>
            <w:proofErr w:type="gramStart"/>
            <w:r w:rsidRPr="008C0CCA">
              <w:rPr>
                <w:rFonts w:ascii="Arial" w:eastAsia="Times New Roman" w:hAnsi="Arial" w:cs="Arial"/>
                <w:color w:val="000000"/>
                <w:sz w:val="20"/>
              </w:rPr>
              <w:t>period of time</w:t>
            </w:r>
            <w:proofErr w:type="gramEnd"/>
            <w:r w:rsidRPr="008C0CCA">
              <w:rPr>
                <w:rFonts w:ascii="Arial" w:eastAsia="Times New Roman" w:hAnsi="Arial" w:cs="Arial"/>
                <w:color w:val="000000"/>
                <w:sz w:val="20"/>
              </w:rPr>
              <w:t>;</w:t>
            </w:r>
          </w:p>
          <w:p w14:paraId="75525D3D" w14:textId="77777777" w:rsidR="004B0C69" w:rsidRPr="008C0CCA" w:rsidRDefault="004B0C69" w:rsidP="00B607B2">
            <w:pPr>
              <w:spacing w:after="0" w:line="240" w:lineRule="auto"/>
              <w:rPr>
                <w:rFonts w:ascii="Arial" w:eastAsia="Times New Roman" w:hAnsi="Arial" w:cs="Arial"/>
                <w:sz w:val="20"/>
              </w:rPr>
            </w:pPr>
            <w:r w:rsidRPr="008C0CCA">
              <w:rPr>
                <w:rFonts w:ascii="Arial" w:eastAsia="Times New Roman" w:hAnsi="Arial" w:cs="Arial"/>
                <w:color w:val="000000"/>
                <w:sz w:val="20"/>
              </w:rPr>
              <w:t>OR ≥2 patients with community-onset</w:t>
            </w:r>
            <w:r w:rsidRPr="008C0CCA">
              <w:rPr>
                <w:rFonts w:ascii="Arial" w:eastAsia="Times New Roman" w:hAnsi="Arial" w:cs="Arial"/>
                <w:color w:val="000000"/>
                <w:sz w:val="20"/>
                <w:vertAlign w:val="superscript"/>
              </w:rPr>
              <w:t>4</w:t>
            </w:r>
            <w:r w:rsidRPr="008C0CCA">
              <w:rPr>
                <w:rFonts w:ascii="Arial" w:eastAsia="Times New Roman" w:hAnsi="Arial" w:cs="Arial"/>
                <w:color w:val="000000"/>
                <w:sz w:val="20"/>
              </w:rPr>
              <w:t xml:space="preserve">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(determined by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that are epidemiologically-linked</w:t>
            </w:r>
            <w:r w:rsidRPr="008C0CCA">
              <w:rPr>
                <w:rFonts w:ascii="Arial" w:eastAsia="Times New Roman" w:hAnsi="Arial" w:cs="Arial"/>
                <w:color w:val="000000"/>
                <w:sz w:val="20"/>
                <w:vertAlign w:val="superscript"/>
              </w:rPr>
              <w:t>3</w:t>
            </w:r>
            <w:r w:rsidRPr="008C0CCA">
              <w:rPr>
                <w:rFonts w:ascii="Arial" w:eastAsia="Times New Roman" w:hAnsi="Arial" w:cs="Arial"/>
                <w:color w:val="000000"/>
                <w:sz w:val="20"/>
              </w:rPr>
              <w:t xml:space="preserve"> </w:t>
            </w:r>
            <w:r w:rsidRPr="008C0CCA">
              <w:rPr>
                <w:rFonts w:ascii="Arial" w:eastAsia="Arial" w:hAnsi="Arial" w:cs="Arial"/>
                <w:sz w:val="20"/>
              </w:rPr>
              <w:t xml:space="preserve">or have severe complicated </w:t>
            </w:r>
            <w:r w:rsidRPr="008C0CCA">
              <w:rPr>
                <w:rFonts w:ascii="Arial" w:eastAsia="Arial" w:hAnsi="Arial" w:cs="Arial"/>
                <w:i/>
                <w:iCs/>
                <w:sz w:val="20"/>
              </w:rPr>
              <w:t>C. difficile</w:t>
            </w:r>
            <w:r w:rsidRPr="008C0CCA">
              <w:rPr>
                <w:rFonts w:ascii="Arial" w:eastAsia="Arial" w:hAnsi="Arial" w:cs="Arial"/>
                <w:sz w:val="20"/>
              </w:rPr>
              <w:t xml:space="preserve"> infection</w:t>
            </w:r>
            <w:r w:rsidRPr="008C0CCA">
              <w:rPr>
                <w:rFonts w:ascii="Arial" w:eastAsia="Arial" w:hAnsi="Arial" w:cs="Arial"/>
                <w:sz w:val="20"/>
                <w:vertAlign w:val="superscript"/>
              </w:rPr>
              <w:t xml:space="preserve">5 </w:t>
            </w:r>
            <w:r w:rsidRPr="008C0CCA">
              <w:rPr>
                <w:rFonts w:ascii="Arial" w:eastAsia="Arial" w:hAnsi="Arial" w:cs="Arial"/>
                <w:sz w:val="20"/>
              </w:rPr>
              <w:t xml:space="preserve">within a 4-week </w:t>
            </w:r>
            <w:proofErr w:type="gramStart"/>
            <w:r w:rsidRPr="008C0CCA">
              <w:rPr>
                <w:rFonts w:ascii="Arial" w:eastAsia="Arial" w:hAnsi="Arial" w:cs="Arial"/>
                <w:sz w:val="20"/>
              </w:rPr>
              <w:t>period of time</w:t>
            </w:r>
            <w:proofErr w:type="gramEnd"/>
          </w:p>
        </w:tc>
        <w:tc>
          <w:tcPr>
            <w:tcW w:w="2700" w:type="dxa"/>
            <w:tcBorders>
              <w:top w:val="single" w:sz="8" w:space="0" w:color="000000" w:themeColor="text1"/>
              <w:left w:val="single" w:sz="8" w:space="0" w:color="000000" w:themeColor="text1"/>
              <w:bottom w:val="single" w:sz="18" w:space="0" w:color="auto"/>
              <w:right w:val="single" w:sz="18" w:space="0" w:color="auto"/>
            </w:tcBorders>
            <w:tcMar>
              <w:top w:w="100" w:type="dxa"/>
              <w:left w:w="100" w:type="dxa"/>
              <w:bottom w:w="100" w:type="dxa"/>
              <w:right w:w="100" w:type="dxa"/>
            </w:tcMar>
            <w:hideMark/>
          </w:tcPr>
          <w:p w14:paraId="73CFD768" w14:textId="77777777" w:rsidR="004B0C69" w:rsidRPr="008C0CCA" w:rsidRDefault="004B0C69" w:rsidP="00B607B2">
            <w:pPr>
              <w:spacing w:after="0" w:line="240" w:lineRule="auto"/>
              <w:rPr>
                <w:rFonts w:ascii="Arial" w:eastAsia="Times New Roman" w:hAnsi="Arial" w:cs="Arial"/>
                <w:color w:val="000000" w:themeColor="text1"/>
                <w:sz w:val="20"/>
              </w:rPr>
            </w:pPr>
            <w:r w:rsidRPr="008C0CCA">
              <w:rPr>
                <w:rFonts w:ascii="Arial" w:eastAsia="Times New Roman" w:hAnsi="Arial" w:cs="Arial"/>
                <w:color w:val="000000"/>
                <w:sz w:val="20"/>
              </w:rPr>
              <w:t>≥2 patients with a positive laboratory test</w:t>
            </w: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xml:space="preserve"> that are either epidemiologically–linked</w:t>
            </w:r>
            <w:r w:rsidRPr="008C0CCA">
              <w:rPr>
                <w:rFonts w:ascii="Arial" w:eastAsia="Times New Roman" w:hAnsi="Arial" w:cs="Arial"/>
                <w:color w:val="000000"/>
                <w:sz w:val="20"/>
                <w:vertAlign w:val="superscript"/>
              </w:rPr>
              <w:t xml:space="preserve">3 </w:t>
            </w:r>
            <w:r w:rsidRPr="008C0CCA">
              <w:rPr>
                <w:rFonts w:ascii="Arial" w:eastAsia="Arial" w:hAnsi="Arial" w:cs="Arial"/>
                <w:sz w:val="20"/>
              </w:rPr>
              <w:t xml:space="preserve">or have severe complicated </w:t>
            </w:r>
            <w:r w:rsidRPr="008C0CCA">
              <w:rPr>
                <w:rFonts w:ascii="Arial" w:eastAsia="Arial" w:hAnsi="Arial" w:cs="Arial"/>
                <w:i/>
                <w:iCs/>
                <w:sz w:val="20"/>
              </w:rPr>
              <w:t>C. difficile</w:t>
            </w:r>
            <w:r w:rsidRPr="008C0CCA">
              <w:rPr>
                <w:rFonts w:ascii="Arial" w:eastAsia="Arial" w:hAnsi="Arial" w:cs="Arial"/>
                <w:sz w:val="20"/>
              </w:rPr>
              <w:t xml:space="preserve"> infections</w:t>
            </w:r>
            <w:r w:rsidRPr="008C0CCA">
              <w:rPr>
                <w:rFonts w:ascii="Arial" w:eastAsia="Arial" w:hAnsi="Arial" w:cs="Arial"/>
                <w:sz w:val="20"/>
                <w:vertAlign w:val="superscript"/>
              </w:rPr>
              <w:t>4</w:t>
            </w:r>
          </w:p>
        </w:tc>
      </w:tr>
    </w:tbl>
    <w:p w14:paraId="792521BE" w14:textId="77777777" w:rsidR="004B0C69" w:rsidRPr="008C0CCA" w:rsidRDefault="004B0C69" w:rsidP="004B0C69">
      <w:pPr>
        <w:spacing w:after="0" w:line="240" w:lineRule="auto"/>
        <w:contextualSpacing/>
        <w:rPr>
          <w:rFonts w:ascii="Arial" w:hAnsi="Arial" w:cs="Arial"/>
          <w:sz w:val="20"/>
        </w:rPr>
      </w:pPr>
    </w:p>
    <w:p w14:paraId="208C6EA9" w14:textId="77777777" w:rsidR="004B0C69" w:rsidRPr="008C0CCA" w:rsidRDefault="004B0C69" w:rsidP="004B0C69">
      <w:pPr>
        <w:spacing w:after="0" w:line="240" w:lineRule="auto"/>
        <w:rPr>
          <w:rFonts w:ascii="Arial" w:eastAsia="Times New Roman" w:hAnsi="Arial" w:cs="Arial"/>
          <w:sz w:val="20"/>
        </w:rPr>
      </w:pPr>
      <w:r w:rsidRPr="008C0CCA">
        <w:rPr>
          <w:rFonts w:ascii="Arial" w:eastAsia="Times New Roman" w:hAnsi="Arial" w:cs="Arial"/>
          <w:color w:val="000000"/>
          <w:sz w:val="20"/>
          <w:vertAlign w:val="superscript"/>
        </w:rPr>
        <w:t>1</w:t>
      </w:r>
      <w:r w:rsidRPr="008C0CCA">
        <w:rPr>
          <w:rFonts w:ascii="Arial" w:eastAsia="Times New Roman" w:hAnsi="Arial" w:cs="Arial"/>
          <w:color w:val="000000"/>
          <w:sz w:val="20"/>
        </w:rPr>
        <w:t>Facility-onset: Specimen obtained on facility day 4 or later (admission date = day 1)</w:t>
      </w:r>
    </w:p>
    <w:p w14:paraId="467E0DF4" w14:textId="77777777" w:rsidR="004B0C69" w:rsidRPr="008C0CCA" w:rsidRDefault="004B0C69" w:rsidP="004B0C69">
      <w:pPr>
        <w:spacing w:after="0" w:line="240" w:lineRule="auto"/>
        <w:rPr>
          <w:rFonts w:ascii="Arial" w:eastAsia="Times New Roman" w:hAnsi="Arial" w:cs="Arial"/>
          <w:sz w:val="20"/>
        </w:rPr>
      </w:pPr>
      <w:r w:rsidRPr="008C0CCA">
        <w:rPr>
          <w:rFonts w:ascii="Arial" w:eastAsia="Times New Roman" w:hAnsi="Arial" w:cs="Arial"/>
          <w:color w:val="000000"/>
          <w:sz w:val="20"/>
          <w:vertAlign w:val="superscript"/>
        </w:rPr>
        <w:t>2</w:t>
      </w:r>
      <w:r w:rsidRPr="008C0CCA">
        <w:rPr>
          <w:rFonts w:ascii="Arial" w:eastAsia="Times New Roman" w:hAnsi="Arial" w:cs="Arial"/>
          <w:color w:val="000000"/>
          <w:sz w:val="20"/>
        </w:rPr>
        <w:t xml:space="preserve">Positive laboratory test: Any molecular, antigen, culture, or other test for </w:t>
      </w:r>
      <w:r w:rsidRPr="008C0CCA">
        <w:rPr>
          <w:rFonts w:ascii="Arial" w:eastAsia="Times New Roman" w:hAnsi="Arial" w:cs="Arial"/>
          <w:i/>
          <w:iCs/>
          <w:color w:val="000000"/>
          <w:sz w:val="20"/>
        </w:rPr>
        <w:t>C. difficile</w:t>
      </w:r>
    </w:p>
    <w:p w14:paraId="6CEA2B32" w14:textId="77777777" w:rsidR="004B0C69" w:rsidRPr="008C0CCA" w:rsidRDefault="004B0C69" w:rsidP="004B0C69">
      <w:pPr>
        <w:spacing w:after="0" w:line="240" w:lineRule="auto"/>
        <w:rPr>
          <w:rFonts w:ascii="Arial" w:eastAsia="Times New Roman" w:hAnsi="Arial" w:cs="Arial"/>
          <w:color w:val="000000" w:themeColor="text1"/>
          <w:sz w:val="20"/>
        </w:rPr>
      </w:pPr>
      <w:r w:rsidRPr="008C0CCA">
        <w:rPr>
          <w:rFonts w:ascii="Arial" w:eastAsia="Arial" w:hAnsi="Arial" w:cs="Arial"/>
          <w:sz w:val="20"/>
          <w:vertAlign w:val="superscript"/>
        </w:rPr>
        <w:t>3</w:t>
      </w:r>
      <w:r w:rsidRPr="008C0CCA">
        <w:rPr>
          <w:rFonts w:ascii="Arial" w:eastAsia="Arial" w:hAnsi="Arial" w:cs="Arial"/>
          <w:sz w:val="20"/>
        </w:rPr>
        <w:t>Epidemiologically-linked: Including but not limited to the following examples: in same room, transferred from the same outside facility, assigned to the same primary or consultative service, facility staff in common, had same procedure, seen at same facility, etc., or there is other evidence that transmission might have occurre</w:t>
      </w:r>
      <w:r w:rsidRPr="008C0CCA">
        <w:rPr>
          <w:rFonts w:ascii="Arial" w:eastAsia="Times New Roman" w:hAnsi="Arial" w:cs="Arial"/>
          <w:color w:val="000000" w:themeColor="text1"/>
          <w:sz w:val="20"/>
        </w:rPr>
        <w:t>d</w:t>
      </w:r>
    </w:p>
    <w:p w14:paraId="6E880A08" w14:textId="77777777" w:rsidR="004B0C69" w:rsidRPr="008C0CCA" w:rsidRDefault="004B0C69" w:rsidP="004B0C69">
      <w:pPr>
        <w:spacing w:after="0" w:line="240" w:lineRule="auto"/>
        <w:rPr>
          <w:rFonts w:ascii="Arial" w:eastAsia="Times New Roman" w:hAnsi="Arial" w:cs="Arial"/>
          <w:color w:val="000000"/>
          <w:sz w:val="20"/>
        </w:rPr>
      </w:pPr>
      <w:r w:rsidRPr="008C0CCA">
        <w:rPr>
          <w:rFonts w:ascii="Arial" w:eastAsia="Times New Roman" w:hAnsi="Arial" w:cs="Arial"/>
          <w:color w:val="000000"/>
          <w:sz w:val="20"/>
          <w:vertAlign w:val="superscript"/>
        </w:rPr>
        <w:t>4</w:t>
      </w:r>
      <w:r w:rsidRPr="008C0CCA">
        <w:rPr>
          <w:rFonts w:ascii="Arial" w:eastAsia="Times New Roman" w:hAnsi="Arial" w:cs="Arial"/>
          <w:color w:val="000000"/>
          <w:sz w:val="20"/>
        </w:rPr>
        <w:t>Community-onset: Specimen obtained on facility day 1, 2, or 3 (admission date = day 1) or when the patient is not admitted to any facility</w:t>
      </w:r>
    </w:p>
    <w:p w14:paraId="73F5D242" w14:textId="77777777" w:rsidR="004B0C69" w:rsidRPr="008C0CCA" w:rsidRDefault="004B0C69" w:rsidP="004B0C69">
      <w:pPr>
        <w:spacing w:after="0" w:line="240" w:lineRule="auto"/>
        <w:rPr>
          <w:rFonts w:ascii="Arial" w:eastAsia="Times New Roman" w:hAnsi="Arial" w:cs="Arial"/>
          <w:sz w:val="20"/>
        </w:rPr>
      </w:pPr>
      <w:r w:rsidRPr="008C0CCA">
        <w:rPr>
          <w:rFonts w:ascii="Arial" w:eastAsia="Times New Roman" w:hAnsi="Arial" w:cs="Arial"/>
          <w:color w:val="000000"/>
          <w:sz w:val="20"/>
          <w:vertAlign w:val="superscript"/>
        </w:rPr>
        <w:t>5</w:t>
      </w:r>
      <w:r w:rsidRPr="008C0CCA">
        <w:rPr>
          <w:rFonts w:ascii="Arial" w:eastAsia="Times New Roman" w:hAnsi="Arial" w:cs="Arial"/>
          <w:color w:val="000000"/>
          <w:sz w:val="20"/>
        </w:rPr>
        <w:t xml:space="preserve">Severe complicated </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infection: Hypotension or shock, ileus, or megacolon (Cohen, </w:t>
      </w:r>
      <w:r w:rsidRPr="008C0CCA">
        <w:rPr>
          <w:rFonts w:ascii="Arial" w:eastAsia="Times New Roman" w:hAnsi="Arial" w:cs="Arial"/>
          <w:i/>
          <w:iCs/>
          <w:color w:val="000000"/>
          <w:sz w:val="20"/>
        </w:rPr>
        <w:t>et. al</w:t>
      </w:r>
      <w:r w:rsidRPr="008C0CCA">
        <w:rPr>
          <w:rFonts w:ascii="Arial" w:eastAsia="Times New Roman" w:hAnsi="Arial" w:cs="Arial"/>
          <w:color w:val="000000"/>
          <w:sz w:val="20"/>
        </w:rPr>
        <w:t>., 2010)</w:t>
      </w:r>
    </w:p>
    <w:p w14:paraId="389029D5" w14:textId="77777777" w:rsidR="004B0C69" w:rsidRPr="008C0CCA" w:rsidRDefault="004B0C69" w:rsidP="004B0C69">
      <w:pPr>
        <w:spacing w:after="0" w:line="240" w:lineRule="auto"/>
        <w:rPr>
          <w:rFonts w:ascii="Arial" w:eastAsia="Times New Roman" w:hAnsi="Arial" w:cs="Arial"/>
          <w:sz w:val="20"/>
        </w:rPr>
      </w:pPr>
      <w:r w:rsidRPr="008C0CCA">
        <w:rPr>
          <w:rFonts w:ascii="Arial" w:eastAsia="Times New Roman" w:hAnsi="Arial" w:cs="Arial"/>
          <w:color w:val="000000"/>
          <w:sz w:val="20"/>
          <w:vertAlign w:val="superscript"/>
        </w:rPr>
        <w:t>6</w:t>
      </w:r>
      <w:r w:rsidRPr="008C0CCA">
        <w:rPr>
          <w:rFonts w:ascii="Arial" w:eastAsia="Times New Roman" w:hAnsi="Arial" w:cs="Arial"/>
          <w:i/>
          <w:iCs/>
          <w:color w:val="000000"/>
          <w:sz w:val="20"/>
        </w:rPr>
        <w:t>C. difficile</w:t>
      </w:r>
      <w:r w:rsidRPr="008C0CCA">
        <w:rPr>
          <w:rFonts w:ascii="Arial" w:eastAsia="Times New Roman" w:hAnsi="Arial" w:cs="Arial"/>
          <w:color w:val="000000"/>
          <w:sz w:val="20"/>
        </w:rPr>
        <w:t xml:space="preserve"> infection: Positive laboratory test, AND symptoms (3 loose stools [conforming to container] over 24 hours), AND no laxative medications for at least 48 hours prior to specimen collection, AND no other known cause for diarrhea</w:t>
      </w:r>
    </w:p>
    <w:p w14:paraId="0DA1B3F6" w14:textId="77777777" w:rsidR="004B0C69" w:rsidRPr="005072D9" w:rsidRDefault="004B0C69" w:rsidP="004B0C69">
      <w:pPr>
        <w:spacing w:after="0" w:line="240" w:lineRule="auto"/>
        <w:rPr>
          <w:rFonts w:ascii="Arial" w:eastAsia="Times New Roman" w:hAnsi="Arial" w:cs="Arial"/>
          <w:color w:val="000000"/>
        </w:rPr>
      </w:pPr>
    </w:p>
    <w:p w14:paraId="0F81A735" w14:textId="77777777" w:rsidR="004B0C69" w:rsidRPr="004E5DC9" w:rsidRDefault="004B0C69" w:rsidP="004B0C69">
      <w:pPr>
        <w:spacing w:after="0" w:line="240" w:lineRule="auto"/>
        <w:rPr>
          <w:rFonts w:ascii="Arial" w:hAnsi="Arial" w:cs="Arial"/>
          <w:b/>
          <w:bCs/>
        </w:rPr>
      </w:pPr>
    </w:p>
    <w:p w14:paraId="7BF850A0" w14:textId="77777777" w:rsidR="004B0C69" w:rsidRDefault="004B0C69" w:rsidP="004B0C69">
      <w:pPr>
        <w:spacing w:after="0" w:line="240" w:lineRule="auto"/>
        <w:rPr>
          <w:rFonts w:ascii="Arial" w:hAnsi="Arial" w:cs="Arial"/>
          <w:b/>
          <w:bCs/>
        </w:rPr>
      </w:pPr>
      <w:r w:rsidRPr="004E5DC9">
        <w:rPr>
          <w:rFonts w:ascii="Arial" w:hAnsi="Arial" w:cs="Arial"/>
          <w:b/>
          <w:bCs/>
        </w:rPr>
        <w:t>Points for Consideration:</w:t>
      </w:r>
    </w:p>
    <w:p w14:paraId="003A090F" w14:textId="77777777" w:rsidR="004B0C69" w:rsidRPr="004E5DC9" w:rsidRDefault="004B0C69" w:rsidP="004B0C69">
      <w:pPr>
        <w:spacing w:after="0" w:line="240" w:lineRule="auto"/>
        <w:rPr>
          <w:rFonts w:ascii="Arial" w:hAnsi="Arial" w:cs="Arial"/>
          <w:b/>
          <w:bCs/>
        </w:rPr>
      </w:pPr>
    </w:p>
    <w:p w14:paraId="4D7A2C89" w14:textId="77777777" w:rsidR="004B0C69" w:rsidRDefault="004B0C69" w:rsidP="004B0C69">
      <w:pPr>
        <w:pStyle w:val="ListParagraph"/>
        <w:numPr>
          <w:ilvl w:val="0"/>
          <w:numId w:val="14"/>
        </w:numPr>
        <w:spacing w:after="0" w:line="240" w:lineRule="auto"/>
        <w:rPr>
          <w:rFonts w:ascii="Arial" w:eastAsia="Times New Roman" w:hAnsi="Arial" w:cs="Arial"/>
        </w:rPr>
      </w:pPr>
      <w:r>
        <w:rPr>
          <w:rFonts w:ascii="Arial" w:eastAsia="Times New Roman" w:hAnsi="Arial" w:cs="Arial"/>
        </w:rPr>
        <w:t>Facility-onset, community-onset, and incident/recurrent/duplicate definitions are based on NHSN Lab</w:t>
      </w:r>
      <w:r w:rsidRPr="004E5DC9">
        <w:rPr>
          <w:rFonts w:ascii="Arial" w:eastAsia="Times New Roman" w:hAnsi="Arial" w:cs="Arial"/>
        </w:rPr>
        <w:t xml:space="preserve"> ID </w:t>
      </w:r>
      <w:r>
        <w:rPr>
          <w:rFonts w:ascii="Arial" w:eastAsia="Times New Roman" w:hAnsi="Arial" w:cs="Arial"/>
        </w:rPr>
        <w:t>definitions.</w:t>
      </w:r>
    </w:p>
    <w:p w14:paraId="630B646D" w14:textId="77777777" w:rsidR="004B0C69" w:rsidRDefault="004B0C69" w:rsidP="004B0C69">
      <w:pPr>
        <w:pStyle w:val="ListParagraph"/>
        <w:numPr>
          <w:ilvl w:val="0"/>
          <w:numId w:val="14"/>
        </w:numPr>
        <w:spacing w:after="0" w:line="240" w:lineRule="auto"/>
      </w:pPr>
      <w:r w:rsidRPr="00F708F4">
        <w:rPr>
          <w:rFonts w:ascii="Arial" w:eastAsia="Times New Roman" w:hAnsi="Arial" w:cs="Arial"/>
        </w:rPr>
        <w:t xml:space="preserve">The 4-week </w:t>
      </w:r>
      <w:proofErr w:type="gramStart"/>
      <w:r w:rsidRPr="00F708F4">
        <w:rPr>
          <w:rFonts w:ascii="Arial" w:eastAsia="Times New Roman" w:hAnsi="Arial" w:cs="Arial"/>
        </w:rPr>
        <w:t>time period</w:t>
      </w:r>
      <w:proofErr w:type="gramEnd"/>
      <w:r w:rsidRPr="00F708F4">
        <w:rPr>
          <w:rFonts w:ascii="Arial" w:eastAsia="Times New Roman" w:hAnsi="Arial" w:cs="Arial"/>
        </w:rPr>
        <w:t xml:space="preserve"> is based on expert consensus</w:t>
      </w:r>
      <w:r>
        <w:rPr>
          <w:rFonts w:ascii="Arial" w:eastAsia="Times New Roman" w:hAnsi="Arial" w:cs="Arial"/>
        </w:rPr>
        <w:t>.</w:t>
      </w:r>
    </w:p>
    <w:p w14:paraId="47189DF6" w14:textId="77777777" w:rsidR="004B0C69" w:rsidRDefault="004B0C69" w:rsidP="004B0C69">
      <w:pPr>
        <w:pStyle w:val="ListParagraph"/>
        <w:numPr>
          <w:ilvl w:val="0"/>
          <w:numId w:val="14"/>
        </w:numPr>
        <w:spacing w:after="0" w:line="240" w:lineRule="auto"/>
      </w:pPr>
      <w:r>
        <w:rPr>
          <w:rFonts w:ascii="Arial" w:eastAsia="Times New Roman" w:hAnsi="Arial" w:cs="Arial"/>
        </w:rPr>
        <w:t xml:space="preserve">Threshold definitions are based on positive laboratory testing. </w:t>
      </w:r>
      <w:r w:rsidRPr="009620CA">
        <w:rPr>
          <w:rFonts w:ascii="Arial" w:eastAsia="Times New Roman" w:hAnsi="Arial" w:cs="Arial"/>
          <w:color w:val="000000"/>
        </w:rPr>
        <w:t>Consider the testing protocols of the facility, including use of screening methodology and other asymptomatic testing, as well as the increasing use of GI PCR panels, which might indicate colonization rather than infection</w:t>
      </w:r>
      <w:r>
        <w:rPr>
          <w:rFonts w:ascii="Arial" w:eastAsia="Times New Roman" w:hAnsi="Arial" w:cs="Arial"/>
          <w:color w:val="000000"/>
        </w:rPr>
        <w:t>.</w:t>
      </w:r>
      <w:r w:rsidRPr="00F708F4">
        <w:rPr>
          <w:rFonts w:ascii="Arial" w:eastAsia="Times New Roman" w:hAnsi="Arial" w:cs="Arial"/>
          <w:color w:val="000000" w:themeColor="text1"/>
        </w:rPr>
        <w:t xml:space="preserve"> </w:t>
      </w:r>
    </w:p>
    <w:p w14:paraId="1670C395" w14:textId="77777777" w:rsidR="004B0C69" w:rsidRDefault="004B0C69" w:rsidP="004B0C69">
      <w:pPr>
        <w:pStyle w:val="ListParagraph"/>
        <w:numPr>
          <w:ilvl w:val="0"/>
          <w:numId w:val="14"/>
        </w:numPr>
        <w:spacing w:after="0" w:line="240" w:lineRule="auto"/>
        <w:rPr>
          <w:rFonts w:ascii="Arial" w:eastAsia="Times New Roman" w:hAnsi="Arial" w:cs="Arial"/>
        </w:rPr>
      </w:pPr>
      <w:proofErr w:type="gramStart"/>
      <w:r>
        <w:rPr>
          <w:rFonts w:ascii="Arial" w:eastAsia="Times New Roman" w:hAnsi="Arial" w:cs="Arial"/>
        </w:rPr>
        <w:t>In order to</w:t>
      </w:r>
      <w:proofErr w:type="gramEnd"/>
      <w:r>
        <w:rPr>
          <w:rFonts w:ascii="Arial" w:eastAsia="Times New Roman" w:hAnsi="Arial" w:cs="Arial"/>
        </w:rPr>
        <w:t xml:space="preserve"> provide greater, specificity t</w:t>
      </w:r>
      <w:r w:rsidRPr="002F2D07">
        <w:rPr>
          <w:rFonts w:ascii="Arial" w:eastAsia="Times New Roman" w:hAnsi="Arial" w:cs="Arial"/>
        </w:rPr>
        <w:t xml:space="preserve">he outbreak definition is based on a positive laboratory test in addition to symptoms associated with </w:t>
      </w:r>
      <w:r w:rsidRPr="00F708F4">
        <w:rPr>
          <w:rFonts w:ascii="Arial" w:eastAsia="Times New Roman" w:hAnsi="Arial" w:cs="Arial"/>
          <w:i/>
          <w:iCs/>
        </w:rPr>
        <w:t>C. difficile</w:t>
      </w:r>
      <w:r w:rsidRPr="002F2D07">
        <w:rPr>
          <w:rFonts w:ascii="Arial" w:eastAsia="Times New Roman" w:hAnsi="Arial" w:cs="Arial"/>
        </w:rPr>
        <w:t xml:space="preserve"> infection</w:t>
      </w:r>
      <w:r>
        <w:rPr>
          <w:rFonts w:ascii="Arial" w:eastAsia="Times New Roman" w:hAnsi="Arial" w:cs="Arial"/>
        </w:rPr>
        <w:t xml:space="preserve"> </w:t>
      </w:r>
      <w:r w:rsidRPr="002F2D07">
        <w:rPr>
          <w:rFonts w:ascii="Arial" w:eastAsia="Times New Roman" w:hAnsi="Arial" w:cs="Arial"/>
        </w:rPr>
        <w:t xml:space="preserve">(sustained change in bowel movement frequency /and or consistency and /or abdominal cramping with no other recognized cause and lack of common causes such as laxative, other enteric pathogens etc.) </w:t>
      </w:r>
    </w:p>
    <w:p w14:paraId="7F0BDD1A" w14:textId="77777777" w:rsidR="004B0C69" w:rsidRDefault="004B0C69" w:rsidP="004B0C69">
      <w:pPr>
        <w:pStyle w:val="ListParagraph"/>
        <w:numPr>
          <w:ilvl w:val="0"/>
          <w:numId w:val="14"/>
        </w:numPr>
        <w:spacing w:after="0" w:line="240" w:lineRule="auto"/>
        <w:rPr>
          <w:rFonts w:ascii="Arial" w:eastAsia="Times New Roman" w:hAnsi="Arial" w:cs="Arial"/>
        </w:rPr>
      </w:pPr>
      <w:r>
        <w:rPr>
          <w:rFonts w:ascii="Arial" w:eastAsia="Times New Roman" w:hAnsi="Arial" w:cs="Arial"/>
        </w:rPr>
        <w:t xml:space="preserve">Severe complicated </w:t>
      </w:r>
      <w:r w:rsidRPr="40F589B8">
        <w:rPr>
          <w:rFonts w:ascii="Arial" w:eastAsia="Times New Roman" w:hAnsi="Arial" w:cs="Arial"/>
          <w:i/>
          <w:iCs/>
        </w:rPr>
        <w:t>C. difficile</w:t>
      </w:r>
      <w:r>
        <w:rPr>
          <w:rFonts w:ascii="Arial" w:eastAsia="Times New Roman" w:hAnsi="Arial" w:cs="Arial"/>
        </w:rPr>
        <w:t xml:space="preserve"> infection is based on clinical practice guidelines. </w:t>
      </w:r>
    </w:p>
    <w:p w14:paraId="052E3492" w14:textId="77777777" w:rsidR="004B0C69" w:rsidRPr="00F708F4" w:rsidRDefault="004B0C69" w:rsidP="004B0C69">
      <w:pPr>
        <w:pStyle w:val="ListParagraph"/>
        <w:numPr>
          <w:ilvl w:val="0"/>
          <w:numId w:val="14"/>
        </w:numPr>
        <w:spacing w:after="0" w:line="240" w:lineRule="auto"/>
        <w:rPr>
          <w:color w:val="000000" w:themeColor="text1"/>
        </w:rPr>
      </w:pPr>
      <w:r w:rsidRPr="00F708F4">
        <w:rPr>
          <w:rFonts w:ascii="Arial" w:eastAsia="Arial" w:hAnsi="Arial" w:cs="Arial"/>
        </w:rPr>
        <w:t>Consider the testing protocols of the facility, including use of screening methodology and other asymptomatic testing, as well as the increasing use of GI PCR panels, which might indicate colonization rather than infection.</w:t>
      </w:r>
    </w:p>
    <w:p w14:paraId="58A37DE9" w14:textId="77777777" w:rsidR="004B0C69" w:rsidRPr="002F2D07" w:rsidRDefault="004B0C69" w:rsidP="004B0C69">
      <w:pPr>
        <w:pStyle w:val="ListParagraph"/>
        <w:numPr>
          <w:ilvl w:val="0"/>
          <w:numId w:val="14"/>
        </w:numPr>
        <w:spacing w:after="0" w:line="240" w:lineRule="auto"/>
      </w:pPr>
      <w:r w:rsidRPr="002F2D07">
        <w:rPr>
          <w:rFonts w:ascii="Arial" w:eastAsia="Times New Roman" w:hAnsi="Arial" w:cs="Arial"/>
          <w:color w:val="000000"/>
        </w:rPr>
        <w:lastRenderedPageBreak/>
        <w:t xml:space="preserve">Consider that although some patients may have recurrent disease (and therefore might not have acquired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as part of transmission), patients with recurrent disease can transmit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and therefore be part of transmission or outbreaks.</w:t>
      </w:r>
      <w:r w:rsidRPr="00800107">
        <w:rPr>
          <w:rFonts w:ascii="Arial" w:eastAsia="Times New Roman" w:hAnsi="Arial" w:cs="Arial"/>
        </w:rPr>
        <w:t xml:space="preserve"> (</w:t>
      </w:r>
      <w:r w:rsidRPr="00800107">
        <w:rPr>
          <w:rFonts w:ascii="Arial" w:eastAsia="Times New Roman" w:hAnsi="Arial" w:cs="Arial"/>
          <w:color w:val="000000"/>
        </w:rPr>
        <w:t xml:space="preserve">Definitions as follows: incident </w:t>
      </w:r>
      <w:r w:rsidRPr="72B025D8">
        <w:rPr>
          <w:rFonts w:ascii="Arial" w:eastAsia="Times New Roman" w:hAnsi="Arial" w:cs="Arial"/>
          <w:i/>
          <w:iCs/>
          <w:color w:val="000000"/>
        </w:rPr>
        <w:t>C. difficile</w:t>
      </w:r>
      <w:r w:rsidRPr="00800107">
        <w:rPr>
          <w:rFonts w:ascii="Arial" w:eastAsia="Times New Roman" w:hAnsi="Arial" w:cs="Arial"/>
          <w:color w:val="000000"/>
        </w:rPr>
        <w:t xml:space="preserve"> = any </w:t>
      </w:r>
      <w:r w:rsidRPr="72B025D8">
        <w:rPr>
          <w:rFonts w:ascii="Arial" w:eastAsia="Times New Roman" w:hAnsi="Arial" w:cs="Arial"/>
          <w:i/>
          <w:iCs/>
          <w:color w:val="000000"/>
        </w:rPr>
        <w:t>C. difficile</w:t>
      </w:r>
      <w:r w:rsidRPr="00800107">
        <w:rPr>
          <w:rFonts w:ascii="Arial" w:eastAsia="Times New Roman" w:hAnsi="Arial" w:cs="Arial"/>
          <w:color w:val="000000"/>
        </w:rPr>
        <w:t xml:space="preserve">-positive laboratory test from a specimen obtained &gt;56 days after the most recent </w:t>
      </w:r>
      <w:r w:rsidRPr="72B025D8">
        <w:rPr>
          <w:rFonts w:ascii="Arial" w:eastAsia="Times New Roman" w:hAnsi="Arial" w:cs="Arial"/>
          <w:i/>
          <w:iCs/>
          <w:color w:val="000000"/>
        </w:rPr>
        <w:t>C. difficile</w:t>
      </w:r>
      <w:r w:rsidRPr="00800107">
        <w:rPr>
          <w:rFonts w:ascii="Arial" w:eastAsia="Times New Roman" w:hAnsi="Arial" w:cs="Arial"/>
          <w:color w:val="000000"/>
        </w:rPr>
        <w:t xml:space="preserve"> laboratory test [or with no previous </w:t>
      </w:r>
      <w:r w:rsidRPr="72B025D8">
        <w:rPr>
          <w:rFonts w:ascii="Arial" w:eastAsia="Times New Roman" w:hAnsi="Arial" w:cs="Arial"/>
          <w:i/>
          <w:iCs/>
          <w:color w:val="000000"/>
        </w:rPr>
        <w:t>C. difficile</w:t>
      </w:r>
      <w:r w:rsidRPr="00800107">
        <w:rPr>
          <w:rFonts w:ascii="Arial" w:eastAsia="Times New Roman" w:hAnsi="Arial" w:cs="Arial"/>
          <w:color w:val="000000"/>
        </w:rPr>
        <w:t xml:space="preserve">-positive laboratory test]; </w:t>
      </w:r>
      <w:r w:rsidRPr="002F2D07">
        <w:rPr>
          <w:rFonts w:ascii="Arial" w:eastAsia="Times New Roman" w:hAnsi="Arial" w:cs="Arial"/>
          <w:color w:val="000000"/>
        </w:rPr>
        <w:t xml:space="preserve">recurrent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 any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-positive laboratory test from a specimen obtained &gt;14 days and ≤56 days after the most recent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laboratory test;</w:t>
      </w:r>
      <w:r>
        <w:rPr>
          <w:rFonts w:ascii="Arial" w:eastAsia="Times New Roman" w:hAnsi="Arial" w:cs="Arial"/>
          <w:color w:val="000000"/>
        </w:rPr>
        <w:t xml:space="preserve"> </w:t>
      </w:r>
      <w:r w:rsidRPr="002F2D07">
        <w:rPr>
          <w:rFonts w:ascii="Arial" w:eastAsia="Times New Roman" w:hAnsi="Arial" w:cs="Arial"/>
          <w:color w:val="000000"/>
        </w:rPr>
        <w:t xml:space="preserve">duplicate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 any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-positive laboratory test from a specimen obtained ≤14 days after the most recent </w:t>
      </w:r>
      <w:r w:rsidRPr="72B025D8">
        <w:rPr>
          <w:rFonts w:ascii="Arial" w:eastAsia="Times New Roman" w:hAnsi="Arial" w:cs="Arial"/>
          <w:i/>
          <w:iCs/>
          <w:color w:val="000000"/>
        </w:rPr>
        <w:t>C. difficile</w:t>
      </w:r>
      <w:r w:rsidRPr="002F2D07">
        <w:rPr>
          <w:rFonts w:ascii="Arial" w:eastAsia="Times New Roman" w:hAnsi="Arial" w:cs="Arial"/>
          <w:color w:val="000000"/>
        </w:rPr>
        <w:t xml:space="preserve"> laboratory test.)</w:t>
      </w:r>
    </w:p>
    <w:p w14:paraId="13222851" w14:textId="77777777" w:rsidR="004B0C69" w:rsidRPr="002F2D07" w:rsidRDefault="004B0C69" w:rsidP="004B0C69">
      <w:pPr>
        <w:pStyle w:val="ListParagraph"/>
        <w:numPr>
          <w:ilvl w:val="0"/>
          <w:numId w:val="14"/>
        </w:numPr>
        <w:spacing w:after="0" w:line="240" w:lineRule="auto"/>
      </w:pPr>
      <w:r w:rsidRPr="00F708F4">
        <w:rPr>
          <w:rFonts w:ascii="Arial" w:eastAsia="Arial" w:hAnsi="Arial" w:cs="Arial"/>
        </w:rPr>
        <w:t xml:space="preserve">Consider that there may be transmission within a facility that does not meet the criteria of ≥2 patients with facility-onset </w:t>
      </w:r>
      <w:r w:rsidRPr="00F708F4">
        <w:rPr>
          <w:rFonts w:ascii="Arial" w:eastAsia="Arial" w:hAnsi="Arial" w:cs="Arial"/>
          <w:i/>
          <w:iCs/>
        </w:rPr>
        <w:t>C. difficile</w:t>
      </w:r>
      <w:r w:rsidRPr="00F708F4">
        <w:rPr>
          <w:rFonts w:ascii="Arial" w:eastAsia="Arial" w:hAnsi="Arial" w:cs="Arial"/>
        </w:rPr>
        <w:t xml:space="preserve">. For example, a patient with community-onset </w:t>
      </w:r>
      <w:r w:rsidRPr="00F708F4">
        <w:rPr>
          <w:rFonts w:ascii="Arial" w:eastAsia="Arial" w:hAnsi="Arial" w:cs="Arial"/>
          <w:i/>
          <w:iCs/>
        </w:rPr>
        <w:t>C. difficile</w:t>
      </w:r>
      <w:r w:rsidRPr="00F708F4">
        <w:rPr>
          <w:rFonts w:ascii="Arial" w:eastAsia="Arial" w:hAnsi="Arial" w:cs="Arial"/>
        </w:rPr>
        <w:t xml:space="preserve"> may be a source for transmission resulting in facility-onset </w:t>
      </w:r>
      <w:r w:rsidRPr="00F708F4">
        <w:rPr>
          <w:rFonts w:ascii="Arial" w:eastAsia="Arial" w:hAnsi="Arial" w:cs="Arial"/>
          <w:i/>
          <w:iCs/>
        </w:rPr>
        <w:t>C. difficile</w:t>
      </w:r>
      <w:r w:rsidRPr="00F708F4">
        <w:rPr>
          <w:rFonts w:ascii="Arial" w:eastAsia="Arial" w:hAnsi="Arial" w:cs="Arial"/>
        </w:rPr>
        <w:t xml:space="preserve"> in another patient. Additionally, cases that meet the definition of a community-onset healthcare-facility associated case (C. difficile-positive laboratory test collected from an inpatient or outpatient location from a patient who was discharged from the facility ≤28 days prior to the current date of stool specimen collection) may be part of an outbreak and should be factored in when determining if transmission within a facility occurred.</w:t>
      </w:r>
    </w:p>
    <w:p w14:paraId="207168A5" w14:textId="3711BC32" w:rsidR="004B0C69" w:rsidRDefault="004B0C69" w:rsidP="004B0C69">
      <w:pPr>
        <w:pStyle w:val="ListParagraph"/>
        <w:spacing w:after="0" w:line="240" w:lineRule="auto"/>
        <w:ind w:left="360"/>
        <w:rPr>
          <w:rFonts w:ascii="Arial" w:hAnsi="Arial" w:cs="Arial"/>
        </w:rPr>
      </w:pPr>
    </w:p>
    <w:p w14:paraId="3E6D88CE" w14:textId="77777777" w:rsidR="008C0CCA" w:rsidRPr="00F708F4" w:rsidRDefault="008C0CCA" w:rsidP="004B0C69">
      <w:pPr>
        <w:pStyle w:val="ListParagraph"/>
        <w:spacing w:after="0" w:line="240" w:lineRule="auto"/>
        <w:ind w:left="360"/>
        <w:rPr>
          <w:rFonts w:ascii="Arial" w:hAnsi="Arial" w:cs="Arial"/>
        </w:rPr>
      </w:pPr>
    </w:p>
    <w:p w14:paraId="39C844C7" w14:textId="77777777" w:rsidR="004B0C69" w:rsidRPr="00F708F4" w:rsidRDefault="004B0C69" w:rsidP="004B0C69">
      <w:pPr>
        <w:pStyle w:val="ListParagraph"/>
        <w:spacing w:after="0" w:line="240" w:lineRule="auto"/>
        <w:ind w:left="360"/>
        <w:rPr>
          <w:rFonts w:ascii="Arial" w:hAnsi="Arial" w:cs="Arial"/>
          <w:b/>
          <w:bCs/>
        </w:rPr>
      </w:pPr>
      <w:r w:rsidRPr="00F708F4">
        <w:rPr>
          <w:rFonts w:ascii="Arial" w:hAnsi="Arial" w:cs="Arial"/>
          <w:b/>
          <w:bCs/>
        </w:rPr>
        <w:t>References</w:t>
      </w:r>
    </w:p>
    <w:p w14:paraId="53036108" w14:textId="77777777" w:rsidR="004B0C69" w:rsidRPr="00FC18AC" w:rsidRDefault="004B0C69" w:rsidP="004B0C69">
      <w:pPr>
        <w:tabs>
          <w:tab w:val="left" w:pos="2400"/>
        </w:tabs>
        <w:spacing w:after="0" w:line="240" w:lineRule="auto"/>
        <w:rPr>
          <w:rFonts w:ascii="Arial" w:eastAsia="Times New Roman" w:hAnsi="Arial" w:cs="Arial"/>
        </w:rPr>
      </w:pPr>
      <w:r>
        <w:rPr>
          <w:rFonts w:ascii="Arial" w:eastAsia="Times New Roman" w:hAnsi="Arial" w:cs="Arial"/>
        </w:rPr>
        <w:tab/>
      </w:r>
    </w:p>
    <w:p w14:paraId="43AE4879" w14:textId="77777777" w:rsidR="004B0C69" w:rsidRDefault="004B0C69" w:rsidP="004B0C69">
      <w:pPr>
        <w:pStyle w:val="ListParagraph"/>
        <w:numPr>
          <w:ilvl w:val="0"/>
          <w:numId w:val="15"/>
        </w:numPr>
        <w:spacing w:after="0" w:line="240" w:lineRule="auto"/>
        <w:rPr>
          <w:rFonts w:ascii="Arial" w:hAnsi="Arial" w:cs="Arial"/>
        </w:rPr>
      </w:pPr>
      <w:r w:rsidRPr="005072D9">
        <w:rPr>
          <w:rFonts w:ascii="Arial" w:hAnsi="Arial" w:cs="Arial"/>
        </w:rPr>
        <w:t xml:space="preserve">National Healthcare Safety Network </w:t>
      </w:r>
      <w:r>
        <w:rPr>
          <w:rFonts w:ascii="Arial" w:hAnsi="Arial" w:cs="Arial"/>
        </w:rPr>
        <w:t xml:space="preserve">(NHSN) definitions for </w:t>
      </w:r>
      <w:r w:rsidRPr="00F708F4">
        <w:rPr>
          <w:rFonts w:ascii="Arial" w:hAnsi="Arial" w:cs="Arial"/>
          <w:i/>
          <w:iCs/>
        </w:rPr>
        <w:t>C. difficile</w:t>
      </w:r>
      <w:r>
        <w:rPr>
          <w:rFonts w:ascii="Arial" w:hAnsi="Arial" w:cs="Arial"/>
        </w:rPr>
        <w:t xml:space="preserve"> can be found at: </w:t>
      </w:r>
      <w:hyperlink r:id="rId7" w:history="1">
        <w:r w:rsidRPr="00E26BD8">
          <w:rPr>
            <w:rStyle w:val="Hyperlink"/>
            <w:rFonts w:ascii="Arial" w:hAnsi="Arial" w:cs="Arial"/>
          </w:rPr>
          <w:t>https://www.cdc.gov/nhsn/acute-care-hospital/cdiff-mrsa/index.html</w:t>
        </w:r>
      </w:hyperlink>
    </w:p>
    <w:p w14:paraId="101F1843" w14:textId="77777777" w:rsidR="004B0C69" w:rsidRPr="00F708F4" w:rsidRDefault="004B0C69" w:rsidP="004B0C69">
      <w:pPr>
        <w:pStyle w:val="ListParagraph"/>
        <w:numPr>
          <w:ilvl w:val="0"/>
          <w:numId w:val="14"/>
        </w:numPr>
        <w:spacing w:after="0" w:line="240" w:lineRule="auto"/>
        <w:rPr>
          <w:rFonts w:ascii="Arial" w:hAnsi="Arial" w:cs="Arial"/>
          <w:i/>
          <w:iCs/>
        </w:rPr>
      </w:pPr>
      <w:proofErr w:type="spellStart"/>
      <w:r w:rsidRPr="00330EE4">
        <w:rPr>
          <w:rFonts w:ascii="Arial" w:hAnsi="Arial" w:cs="Arial"/>
        </w:rPr>
        <w:t>Lessa</w:t>
      </w:r>
      <w:proofErr w:type="spellEnd"/>
      <w:r w:rsidRPr="00330EE4">
        <w:rPr>
          <w:rFonts w:ascii="Arial" w:hAnsi="Arial" w:cs="Arial"/>
        </w:rPr>
        <w:t xml:space="preserve"> F, MU Y Bamberg W,</w:t>
      </w:r>
      <w:r w:rsidRPr="6964CE10">
        <w:rPr>
          <w:rFonts w:ascii="Arial" w:hAnsi="Arial" w:cs="Arial"/>
          <w:i/>
          <w:iCs/>
        </w:rPr>
        <w:t xml:space="preserve"> et. al.</w:t>
      </w:r>
      <w:r w:rsidRPr="00330EE4">
        <w:rPr>
          <w:color w:val="1A1A1A"/>
          <w:lang w:val="en"/>
        </w:rPr>
        <w:t xml:space="preserve">  </w:t>
      </w:r>
      <w:r w:rsidRPr="00800107">
        <w:rPr>
          <w:rStyle w:val="titledefault"/>
          <w:rFonts w:ascii="Arial" w:hAnsi="Arial" w:cs="Arial"/>
          <w:color w:val="1A1A1A"/>
          <w:lang w:val="en"/>
        </w:rPr>
        <w:t xml:space="preserve">Burden of </w:t>
      </w:r>
      <w:r w:rsidRPr="6964CE10">
        <w:rPr>
          <w:rStyle w:val="titledefault"/>
          <w:rFonts w:ascii="Arial" w:hAnsi="Arial" w:cs="Arial"/>
          <w:i/>
          <w:iCs/>
          <w:color w:val="1A1A1A"/>
          <w:lang w:val="en"/>
        </w:rPr>
        <w:t>Clostridium difficile</w:t>
      </w:r>
      <w:r w:rsidRPr="00800107">
        <w:rPr>
          <w:rStyle w:val="titledefault"/>
          <w:rFonts w:ascii="Arial" w:hAnsi="Arial" w:cs="Arial"/>
          <w:color w:val="1A1A1A"/>
          <w:lang w:val="en"/>
        </w:rPr>
        <w:t xml:space="preserve"> Infection in the United States</w:t>
      </w:r>
      <w:r>
        <w:rPr>
          <w:rStyle w:val="titledefault"/>
          <w:rFonts w:ascii="Arial" w:hAnsi="Arial" w:cs="Arial"/>
          <w:color w:val="1A1A1A"/>
          <w:lang w:val="en"/>
        </w:rPr>
        <w:t xml:space="preserve"> </w:t>
      </w:r>
      <w:r w:rsidRPr="00F708F4">
        <w:rPr>
          <w:rStyle w:val="titledefault"/>
          <w:rFonts w:ascii="Arial" w:hAnsi="Arial" w:cs="Arial"/>
          <w:i/>
          <w:iCs/>
          <w:color w:val="1A1A1A"/>
          <w:lang w:val="en"/>
        </w:rPr>
        <w:t xml:space="preserve">NEJM </w:t>
      </w:r>
      <w:proofErr w:type="gramStart"/>
      <w:r w:rsidRPr="00F708F4">
        <w:rPr>
          <w:rFonts w:ascii="Arial" w:hAnsi="Arial" w:cs="Arial"/>
          <w:i/>
          <w:iCs/>
        </w:rPr>
        <w:t>2015;372:825</w:t>
      </w:r>
      <w:proofErr w:type="gramEnd"/>
      <w:r w:rsidRPr="00F708F4">
        <w:rPr>
          <w:rFonts w:ascii="Arial" w:hAnsi="Arial" w:cs="Arial"/>
          <w:i/>
          <w:iCs/>
        </w:rPr>
        <w:t>-834</w:t>
      </w:r>
    </w:p>
    <w:p w14:paraId="13F26EB3" w14:textId="77777777" w:rsidR="004B0C69" w:rsidRPr="00F708F4" w:rsidRDefault="004B0C69" w:rsidP="004B0C69">
      <w:pPr>
        <w:pStyle w:val="ListParagraph"/>
        <w:numPr>
          <w:ilvl w:val="0"/>
          <w:numId w:val="14"/>
        </w:numPr>
        <w:spacing w:after="0" w:line="240" w:lineRule="auto"/>
        <w:rPr>
          <w:rFonts w:ascii="Arial" w:hAnsi="Arial" w:cs="Arial"/>
          <w:i/>
          <w:iCs/>
        </w:rPr>
      </w:pPr>
      <w:proofErr w:type="spellStart"/>
      <w:r>
        <w:rPr>
          <w:rFonts w:ascii="Arial" w:hAnsi="Arial" w:cs="Arial"/>
        </w:rPr>
        <w:t>Dubberke</w:t>
      </w:r>
      <w:proofErr w:type="spellEnd"/>
      <w:r>
        <w:rPr>
          <w:rFonts w:ascii="Arial" w:hAnsi="Arial" w:cs="Arial"/>
        </w:rPr>
        <w:t xml:space="preserve"> E, Carling P, Carrico R; Strategies to Prevent Infections in Acute Care </w:t>
      </w:r>
      <w:proofErr w:type="gramStart"/>
      <w:r>
        <w:rPr>
          <w:rFonts w:ascii="Arial" w:hAnsi="Arial" w:cs="Arial"/>
        </w:rPr>
        <w:t xml:space="preserve">Hospital;  </w:t>
      </w:r>
      <w:r w:rsidRPr="005B2ACD">
        <w:rPr>
          <w:rFonts w:ascii="Arial" w:hAnsi="Arial" w:cs="Arial"/>
        </w:rPr>
        <w:t>IC</w:t>
      </w:r>
      <w:proofErr w:type="gramEnd"/>
      <w:r>
        <w:rPr>
          <w:rFonts w:ascii="Arial" w:hAnsi="Arial" w:cs="Arial"/>
        </w:rPr>
        <w:t xml:space="preserve"> </w:t>
      </w:r>
      <w:r w:rsidRPr="005B2ACD">
        <w:rPr>
          <w:rFonts w:ascii="Arial" w:hAnsi="Arial" w:cs="Arial"/>
        </w:rPr>
        <w:t>HE</w:t>
      </w:r>
      <w:r>
        <w:rPr>
          <w:rFonts w:ascii="Arial" w:hAnsi="Arial" w:cs="Arial"/>
        </w:rPr>
        <w:t>;35 ;6:628-645</w:t>
      </w:r>
    </w:p>
    <w:p w14:paraId="565175C4" w14:textId="77777777" w:rsidR="004B0C69" w:rsidRPr="00E24481" w:rsidRDefault="004B0C69" w:rsidP="264D7CA1">
      <w:pPr>
        <w:spacing w:after="0" w:line="240" w:lineRule="auto"/>
        <w:ind w:left="360"/>
        <w:textAlignment w:val="baseline"/>
        <w:rPr>
          <w:rFonts w:eastAsia="Arial" w:cstheme="minorHAnsi"/>
        </w:rPr>
      </w:pPr>
    </w:p>
    <w:p w14:paraId="063D0782" w14:textId="2BD78187" w:rsidR="002C7219" w:rsidRPr="00E24481" w:rsidRDefault="002C7219" w:rsidP="264D7CA1">
      <w:pPr>
        <w:spacing w:after="0" w:line="240" w:lineRule="auto"/>
        <w:ind w:left="360"/>
        <w:textAlignment w:val="baseline"/>
        <w:rPr>
          <w:rFonts w:eastAsia="Arial" w:cstheme="minorHAnsi"/>
        </w:rPr>
      </w:pPr>
    </w:p>
    <w:p w14:paraId="79093E1C" w14:textId="6BF5E6D2" w:rsidR="002C7219" w:rsidRPr="00E24481" w:rsidRDefault="264D7CA1" w:rsidP="264D7CA1">
      <w:pPr>
        <w:pStyle w:val="ListParagraph"/>
        <w:numPr>
          <w:ilvl w:val="0"/>
          <w:numId w:val="1"/>
        </w:numPr>
        <w:spacing w:after="0"/>
        <w:textAlignment w:val="baseline"/>
        <w:rPr>
          <w:rFonts w:cstheme="minorHAnsi"/>
        </w:rPr>
      </w:pPr>
      <w:r w:rsidRPr="00E24481">
        <w:rPr>
          <w:rFonts w:eastAsia="Times New Roman" w:cstheme="minorHAnsi"/>
        </w:rPr>
        <w:t>How can detection and reporting be improved?</w:t>
      </w:r>
    </w:p>
    <w:p w14:paraId="435D2A59" w14:textId="0F053A5D" w:rsidR="002C7219" w:rsidRPr="00E24481" w:rsidRDefault="002C7219" w:rsidP="264D7CA1">
      <w:pPr>
        <w:pStyle w:val="paragraph"/>
        <w:spacing w:before="0" w:beforeAutospacing="0" w:after="0" w:afterAutospacing="0"/>
        <w:ind w:left="360"/>
        <w:textAlignment w:val="baseline"/>
        <w:rPr>
          <w:rStyle w:val="eop"/>
          <w:rFonts w:asciiTheme="minorHAnsi" w:hAnsiTheme="minorHAnsi" w:cstheme="minorHAnsi"/>
          <w:sz w:val="22"/>
          <w:szCs w:val="22"/>
        </w:rPr>
      </w:pPr>
    </w:p>
    <w:p w14:paraId="54700595" w14:textId="6400BAD5" w:rsidR="002C7219" w:rsidRPr="00E24481" w:rsidRDefault="264D7CA1" w:rsidP="264D7CA1">
      <w:pPr>
        <w:pStyle w:val="paragraph"/>
        <w:spacing w:before="0" w:beforeAutospacing="0" w:after="0" w:afterAutospacing="0"/>
        <w:textAlignment w:val="baseline"/>
        <w:rPr>
          <w:rFonts w:asciiTheme="minorHAnsi" w:hAnsiTheme="minorHAnsi" w:cstheme="minorHAnsi"/>
          <w:sz w:val="22"/>
          <w:szCs w:val="22"/>
        </w:rPr>
      </w:pPr>
      <w:r w:rsidRPr="00E24481">
        <w:rPr>
          <w:rStyle w:val="eop"/>
          <w:rFonts w:asciiTheme="minorHAnsi" w:hAnsiTheme="minorHAnsi" w:cstheme="minorHAnsi"/>
          <w:sz w:val="22"/>
          <w:szCs w:val="22"/>
        </w:rPr>
        <w:t> </w:t>
      </w:r>
    </w:p>
    <w:p w14:paraId="68930FC0" w14:textId="150B14BA" w:rsidR="002C7219" w:rsidRPr="00E24481" w:rsidRDefault="264D7CA1" w:rsidP="264D7CA1">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E24481">
        <w:rPr>
          <w:rStyle w:val="normaltextrun"/>
          <w:rFonts w:asciiTheme="minorHAnsi" w:hAnsiTheme="minorHAnsi" w:cstheme="minorHAnsi"/>
          <w:b/>
          <w:bCs/>
          <w:sz w:val="22"/>
          <w:szCs w:val="22"/>
        </w:rPr>
        <w:t>Improve Investigation/Control</w:t>
      </w:r>
      <w:r w:rsidRPr="00E24481">
        <w:rPr>
          <w:rStyle w:val="normaltextrun"/>
          <w:rFonts w:asciiTheme="minorHAnsi" w:hAnsiTheme="minorHAnsi" w:cstheme="minorHAnsi"/>
          <w:sz w:val="22"/>
          <w:szCs w:val="22"/>
        </w:rPr>
        <w:t xml:space="preserve"> [WG-B] -- Materials to consider for developing this section and pointing to as references here or in section 5:</w:t>
      </w:r>
      <w:r w:rsidRPr="00E24481">
        <w:rPr>
          <w:rStyle w:val="eop"/>
          <w:rFonts w:asciiTheme="minorHAnsi" w:hAnsiTheme="minorHAnsi" w:cstheme="minorHAnsi"/>
          <w:sz w:val="22"/>
          <w:szCs w:val="22"/>
        </w:rPr>
        <w:t> </w:t>
      </w:r>
    </w:p>
    <w:p w14:paraId="2848F2F7" w14:textId="392F298E" w:rsidR="264D7CA1" w:rsidRPr="00E24481" w:rsidRDefault="264D7CA1" w:rsidP="264D7CA1">
      <w:pPr>
        <w:spacing w:after="0" w:line="240" w:lineRule="auto"/>
        <w:ind w:firstLine="360"/>
        <w:rPr>
          <w:rFonts w:eastAsia="Arial" w:cstheme="minorHAnsi"/>
          <w:b/>
          <w:bCs/>
        </w:rPr>
      </w:pPr>
    </w:p>
    <w:p w14:paraId="26A3A51E" w14:textId="6723A437" w:rsidR="264D7CA1" w:rsidRPr="00E24481" w:rsidRDefault="14D7E0A5" w:rsidP="14D7E0A5">
      <w:pPr>
        <w:spacing w:after="0" w:line="240" w:lineRule="auto"/>
        <w:ind w:firstLine="360"/>
        <w:rPr>
          <w:rFonts w:eastAsia="Arial" w:cstheme="minorHAnsi"/>
        </w:rPr>
      </w:pPr>
      <w:r w:rsidRPr="00E24481">
        <w:rPr>
          <w:rFonts w:eastAsia="Arial" w:cstheme="minorHAnsi"/>
        </w:rPr>
        <w:t xml:space="preserve">A. Key Points for Successful Investigation </w:t>
      </w:r>
    </w:p>
    <w:p w14:paraId="39D357A4" w14:textId="795A5CE1" w:rsidR="5D2CD5C8" w:rsidRPr="00E24481" w:rsidRDefault="5D2CD5C8" w:rsidP="5D2CD5C8">
      <w:pPr>
        <w:pStyle w:val="paragraph"/>
        <w:spacing w:before="0" w:beforeAutospacing="0" w:after="0" w:afterAutospacing="0"/>
        <w:ind w:left="360"/>
        <w:rPr>
          <w:rStyle w:val="eop"/>
          <w:rFonts w:asciiTheme="minorHAnsi" w:hAnsiTheme="minorHAnsi" w:cstheme="minorHAnsi"/>
          <w:sz w:val="22"/>
          <w:szCs w:val="22"/>
        </w:rPr>
      </w:pPr>
    </w:p>
    <w:p w14:paraId="1AAA0DC4" w14:textId="71D5D613" w:rsidR="005F3856" w:rsidRPr="00E24481" w:rsidRDefault="3038F58C" w:rsidP="3038F58C">
      <w:pPr>
        <w:pStyle w:val="paragraph"/>
        <w:spacing w:before="0" w:beforeAutospacing="0" w:after="0" w:afterAutospacing="0"/>
        <w:ind w:left="360"/>
        <w:rPr>
          <w:rStyle w:val="eop"/>
          <w:rFonts w:asciiTheme="minorHAnsi" w:hAnsiTheme="minorHAnsi" w:cstheme="minorBidi"/>
          <w:sz w:val="22"/>
          <w:szCs w:val="22"/>
          <w:u w:val="single"/>
        </w:rPr>
      </w:pPr>
      <w:r w:rsidRPr="3038F58C">
        <w:rPr>
          <w:rStyle w:val="eop"/>
          <w:rFonts w:asciiTheme="minorHAnsi" w:hAnsiTheme="minorHAnsi" w:cstheme="minorBidi"/>
          <w:sz w:val="22"/>
          <w:szCs w:val="22"/>
          <w:u w:val="single"/>
        </w:rPr>
        <w:lastRenderedPageBreak/>
        <w:t>Initial Investigation</w:t>
      </w:r>
    </w:p>
    <w:p w14:paraId="7B364201" w14:textId="141D7D68" w:rsidR="3038F58C" w:rsidRDefault="3038F58C" w:rsidP="3038F58C">
      <w:pPr>
        <w:pStyle w:val="ListParagraph"/>
        <w:numPr>
          <w:ilvl w:val="0"/>
          <w:numId w:val="7"/>
        </w:numPr>
        <w:rPr>
          <w:highlight w:val="yellow"/>
        </w:rPr>
      </w:pPr>
      <w:r>
        <w:t>If the threshold for investigation is reached, review should be conducted to ensure the appropriateness of testing. Testing stewardship prevents testing of solid stool samples and patients with other explanations for diarrhea (e.g. patients receiving laxatives or tube feeds). Nucleic acid amplification tests are very sensitive but do not distinguish CDI from asymptomatic carriage, so it is essential to avoid testing patients with low pre-test probability.</w:t>
      </w:r>
    </w:p>
    <w:p w14:paraId="27F692F5" w14:textId="1EA1FFAF" w:rsidR="00562851" w:rsidRPr="00097E81" w:rsidRDefault="3038F58C" w:rsidP="3038F58C">
      <w:pPr>
        <w:pStyle w:val="ListParagraph"/>
        <w:numPr>
          <w:ilvl w:val="0"/>
          <w:numId w:val="7"/>
        </w:numPr>
        <w:rPr>
          <w:highlight w:val="yellow"/>
        </w:rPr>
      </w:pPr>
      <w:r>
        <w:t>Public health should consider arranging a site visit to the facility based on the number of the cases, patient population, severity of illness, and level of assistance needed by facility.</w:t>
      </w:r>
    </w:p>
    <w:p w14:paraId="34E89AD1" w14:textId="62B1BD5F" w:rsidR="00F81E64" w:rsidRPr="00E24481" w:rsidRDefault="49957275" w:rsidP="49957275">
      <w:pPr>
        <w:pStyle w:val="ListParagraph"/>
        <w:numPr>
          <w:ilvl w:val="0"/>
          <w:numId w:val="7"/>
        </w:numPr>
      </w:pPr>
      <w:r w:rsidRPr="49957275">
        <w:t>If the threshold for additional investigation is reached, construct a line list that includes admission date, admission source, location in the facility, movement of the patient within the facility, infection control practices, environmental cleaning, symptom onset date, date of positive test, testing method, previous history of CDI, prior antibiotic exposure, discharge date, infection control practices, environmental cleaning, and other relevant information.</w:t>
      </w:r>
    </w:p>
    <w:p w14:paraId="4546CE3A" w14:textId="04C13613" w:rsidR="00541BB8" w:rsidRPr="00E24481" w:rsidRDefault="3038F58C" w:rsidP="00F81E64">
      <w:pPr>
        <w:pStyle w:val="ListParagraph"/>
        <w:numPr>
          <w:ilvl w:val="0"/>
          <w:numId w:val="7"/>
        </w:numPr>
      </w:pPr>
      <w:r>
        <w:t>Review the line list to look for commonalities among patients and determine if the cases are epidemiologically linked and there is evidence of transmission.</w:t>
      </w:r>
    </w:p>
    <w:p w14:paraId="37EEF444" w14:textId="401A2F9C" w:rsidR="007F50D8" w:rsidRPr="00562851" w:rsidRDefault="49957275" w:rsidP="49957275">
      <w:pPr>
        <w:pStyle w:val="ListParagraph"/>
        <w:numPr>
          <w:ilvl w:val="0"/>
          <w:numId w:val="7"/>
        </w:numPr>
      </w:pPr>
      <w:r w:rsidRPr="00562851">
        <w:t>If the outbreak threshold is met, establish a case definition including patient population, location, timeframe, as well as laboratory and clinical criteria.</w:t>
      </w:r>
    </w:p>
    <w:p w14:paraId="00F608C9" w14:textId="46085CFA" w:rsidR="00B579B1" w:rsidRPr="00E24481" w:rsidRDefault="49957275" w:rsidP="49957275">
      <w:pPr>
        <w:pStyle w:val="ListParagraph"/>
        <w:numPr>
          <w:ilvl w:val="0"/>
          <w:numId w:val="7"/>
        </w:numPr>
      </w:pPr>
      <w:r w:rsidRPr="49957275">
        <w:t xml:space="preserve">Continue enhanced surveillance for additional cases while implementing control measures and assessing infection control practices. </w:t>
      </w:r>
    </w:p>
    <w:p w14:paraId="32360330" w14:textId="72402A79" w:rsidR="005F3856" w:rsidRPr="00E24481" w:rsidRDefault="49957275" w:rsidP="49957275">
      <w:pPr>
        <w:pStyle w:val="paragraph"/>
        <w:spacing w:before="0" w:beforeAutospacing="0" w:after="0" w:afterAutospacing="0"/>
        <w:ind w:firstLine="360"/>
        <w:rPr>
          <w:rFonts w:asciiTheme="minorHAnsi" w:hAnsiTheme="minorHAnsi" w:cstheme="minorBidi"/>
          <w:sz w:val="22"/>
          <w:szCs w:val="22"/>
          <w:u w:val="single"/>
        </w:rPr>
      </w:pPr>
      <w:r w:rsidRPr="49957275">
        <w:rPr>
          <w:rStyle w:val="eop"/>
          <w:rFonts w:asciiTheme="minorHAnsi" w:hAnsiTheme="minorHAnsi" w:cstheme="minorBidi"/>
          <w:sz w:val="22"/>
          <w:szCs w:val="22"/>
          <w:u w:val="single"/>
        </w:rPr>
        <w:t>Infection Control and Assessment</w:t>
      </w:r>
    </w:p>
    <w:p w14:paraId="53F91D64" w14:textId="35BC43CD" w:rsidR="5D2CD5C8" w:rsidRPr="00E24481" w:rsidRDefault="264D7CA1" w:rsidP="0064634E">
      <w:pPr>
        <w:pStyle w:val="ListParagraph"/>
        <w:numPr>
          <w:ilvl w:val="0"/>
          <w:numId w:val="7"/>
        </w:numPr>
        <w:rPr>
          <w:rFonts w:cstheme="minorHAnsi"/>
        </w:rPr>
      </w:pPr>
      <w:r w:rsidRPr="00E24481">
        <w:rPr>
          <w:rFonts w:cstheme="minorHAnsi"/>
          <w:color w:val="000000" w:themeColor="text1"/>
        </w:rPr>
        <w:t>Pa</w:t>
      </w:r>
      <w:r w:rsidR="00942781" w:rsidRPr="00E24481">
        <w:rPr>
          <w:rFonts w:cstheme="minorHAnsi"/>
          <w:color w:val="000000" w:themeColor="text1"/>
        </w:rPr>
        <w:t>tients with CDI should be put</w:t>
      </w:r>
      <w:r w:rsidRPr="00E24481">
        <w:rPr>
          <w:rFonts w:cstheme="minorHAnsi"/>
          <w:color w:val="000000" w:themeColor="text1"/>
        </w:rPr>
        <w:t xml:space="preserve"> in a private room and placed on contact isolation.</w:t>
      </w:r>
      <w:r w:rsidR="00835F17" w:rsidRPr="00E24481">
        <w:rPr>
          <w:rFonts w:cstheme="minorHAnsi"/>
          <w:color w:val="000000" w:themeColor="text1"/>
        </w:rPr>
        <w:t xml:space="preserve"> </w:t>
      </w:r>
      <w:r w:rsidR="5D2CD5C8" w:rsidRPr="00E24481">
        <w:rPr>
          <w:rFonts w:eastAsia="Calibri" w:cstheme="minorHAnsi"/>
          <w:color w:val="000000" w:themeColor="text1"/>
        </w:rPr>
        <w:t>This should include patients suspected of having CDI while awaitin</w:t>
      </w:r>
      <w:r w:rsidR="00B579B1" w:rsidRPr="00E24481">
        <w:rPr>
          <w:rFonts w:eastAsia="Calibri" w:cstheme="minorHAnsi"/>
          <w:color w:val="000000" w:themeColor="text1"/>
        </w:rPr>
        <w:t>g testing</w:t>
      </w:r>
      <w:r w:rsidR="5D2CD5C8" w:rsidRPr="00E24481">
        <w:rPr>
          <w:rFonts w:eastAsia="Calibri" w:cstheme="minorHAnsi"/>
          <w:color w:val="000000" w:themeColor="text1"/>
        </w:rPr>
        <w:t>.</w:t>
      </w:r>
    </w:p>
    <w:p w14:paraId="5EED5C4A" w14:textId="5D2FBB5D" w:rsidR="008E65E7" w:rsidRPr="00562851" w:rsidRDefault="3B2141DE" w:rsidP="3B2141DE">
      <w:pPr>
        <w:pStyle w:val="ListParagraph"/>
        <w:numPr>
          <w:ilvl w:val="0"/>
          <w:numId w:val="7"/>
        </w:numPr>
        <w:rPr>
          <w:highlight w:val="yellow"/>
        </w:rPr>
      </w:pPr>
      <w:r w:rsidRPr="3B2141DE">
        <w:rPr>
          <w:rFonts w:eastAsia="Calibri"/>
          <w:color w:val="000000" w:themeColor="text1"/>
        </w:rPr>
        <w:t xml:space="preserve">When using an enzyme immunoassay for diagnosis, due to the lower sensitivity of the test, clinical suspicion of CDI should outweigh negative test results in patients with a high pretest probability of having CDI, and the patient should remain under contact </w:t>
      </w:r>
      <w:r w:rsidR="003C0A58" w:rsidRPr="3B2141DE">
        <w:rPr>
          <w:rFonts w:eastAsia="Calibri"/>
          <w:color w:val="000000" w:themeColor="text1"/>
        </w:rPr>
        <w:t>precautions. *</w:t>
      </w:r>
      <w:bookmarkStart w:id="0" w:name="_GoBack"/>
      <w:bookmarkEnd w:id="0"/>
    </w:p>
    <w:p w14:paraId="3149CBF7" w14:textId="7A98FE8A" w:rsidR="00835F17" w:rsidRPr="00562851" w:rsidRDefault="49957275" w:rsidP="49957275">
      <w:pPr>
        <w:pStyle w:val="ListParagraph"/>
        <w:numPr>
          <w:ilvl w:val="0"/>
          <w:numId w:val="7"/>
        </w:numPr>
      </w:pPr>
      <w:r w:rsidRPr="00562851">
        <w:rPr>
          <w:rFonts w:eastAsia="Calibri"/>
          <w:color w:val="000000" w:themeColor="text1"/>
        </w:rPr>
        <w:t xml:space="preserve">Strict hand hygiene should be performed with soap and water during an outbreak to physically remove spores. </w:t>
      </w:r>
    </w:p>
    <w:p w14:paraId="78E3DBC8" w14:textId="7EFCCD3D" w:rsidR="49957275" w:rsidRDefault="49957275" w:rsidP="49957275">
      <w:pPr>
        <w:pStyle w:val="ListParagraph"/>
        <w:numPr>
          <w:ilvl w:val="0"/>
          <w:numId w:val="7"/>
        </w:numPr>
      </w:pPr>
      <w:r w:rsidRPr="49957275">
        <w:t>Use bleach containing cleaning agents or other sporicidal agents to clean the rooms of patients with CDI (examples are provided in EPA List K) daily as well as on discharge. During a CDI outbreak consideration should be made to cleaning the whole unit with bleach.</w:t>
      </w:r>
    </w:p>
    <w:p w14:paraId="389BF1DD" w14:textId="46CBEBAC" w:rsidR="49957275" w:rsidRDefault="3038F58C" w:rsidP="49957275">
      <w:pPr>
        <w:pStyle w:val="ListParagraph"/>
        <w:numPr>
          <w:ilvl w:val="0"/>
          <w:numId w:val="7"/>
        </w:numPr>
      </w:pPr>
      <w:r>
        <w:t xml:space="preserve">Utilize CDC Target, Assess, </w:t>
      </w:r>
      <w:proofErr w:type="gramStart"/>
      <w:r>
        <w:t>Prevent</w:t>
      </w:r>
      <w:proofErr w:type="gramEnd"/>
      <w:r>
        <w:t xml:space="preserve"> (TAP) facility assessment tools (</w:t>
      </w:r>
      <w:hyperlink r:id="rId8">
        <w:r w:rsidRPr="3038F58C">
          <w:rPr>
            <w:rStyle w:val="Hyperlink"/>
          </w:rPr>
          <w:t>www.cdc.gov/hai/prevent/tap.html</w:t>
        </w:r>
      </w:hyperlink>
      <w:r>
        <w:t>) to help identify modifiable risk factors</w:t>
      </w:r>
    </w:p>
    <w:p w14:paraId="1E2880A6" w14:textId="430EFA9E" w:rsidR="00835F17" w:rsidRPr="00E24481" w:rsidRDefault="49957275" w:rsidP="49957275">
      <w:pPr>
        <w:pStyle w:val="ListParagraph"/>
        <w:numPr>
          <w:ilvl w:val="0"/>
          <w:numId w:val="7"/>
        </w:numPr>
      </w:pPr>
      <w:r w:rsidRPr="49957275">
        <w:rPr>
          <w:rFonts w:eastAsia="Calibri"/>
          <w:color w:val="000000" w:themeColor="text1"/>
        </w:rPr>
        <w:lastRenderedPageBreak/>
        <w:t>Education on hand hygiene and PPE should be conducted followed by observations of hand hygiene, and PPE donning and doffing practices with feedback provided to ensure adherence to best practices.</w:t>
      </w:r>
    </w:p>
    <w:p w14:paraId="02FF7BF9" w14:textId="588067BC" w:rsidR="00374FEF" w:rsidRPr="00E24481" w:rsidRDefault="49957275" w:rsidP="49957275">
      <w:pPr>
        <w:pStyle w:val="ListParagraph"/>
        <w:numPr>
          <w:ilvl w:val="0"/>
          <w:numId w:val="7"/>
        </w:numPr>
      </w:pPr>
      <w:r w:rsidRPr="49957275">
        <w:t>Assess the adequacy of cleaning procedures with a focus on areas of greatest risk for CDI transmission and provide feedback to environmental services staff.</w:t>
      </w:r>
    </w:p>
    <w:p w14:paraId="12DC28FD" w14:textId="653ABA48" w:rsidR="00835F17" w:rsidRPr="00E24481" w:rsidRDefault="00835F17" w:rsidP="00835F17">
      <w:pPr>
        <w:pStyle w:val="ListParagraph"/>
        <w:numPr>
          <w:ilvl w:val="0"/>
          <w:numId w:val="7"/>
        </w:numPr>
        <w:rPr>
          <w:rFonts w:cstheme="minorHAnsi"/>
        </w:rPr>
      </w:pPr>
      <w:r w:rsidRPr="00E24481">
        <w:rPr>
          <w:rFonts w:eastAsia="Calibri" w:cstheme="minorHAnsi"/>
          <w:color w:val="000000" w:themeColor="text1"/>
        </w:rPr>
        <w:t>Visitors should be ins</w:t>
      </w:r>
      <w:r w:rsidR="00C645AA" w:rsidRPr="00E24481">
        <w:rPr>
          <w:rFonts w:eastAsia="Calibri" w:cstheme="minorHAnsi"/>
          <w:color w:val="000000" w:themeColor="text1"/>
        </w:rPr>
        <w:t>tructed on the us</w:t>
      </w:r>
      <w:r w:rsidRPr="00E24481">
        <w:rPr>
          <w:rFonts w:eastAsia="Calibri" w:cstheme="minorHAnsi"/>
          <w:color w:val="000000" w:themeColor="text1"/>
        </w:rPr>
        <w:t>e of gowns and gloves as well as performing hand hygiene.</w:t>
      </w:r>
    </w:p>
    <w:p w14:paraId="47500135" w14:textId="0DFF65EB" w:rsidR="49957275" w:rsidRDefault="49957275" w:rsidP="49957275">
      <w:pPr>
        <w:pStyle w:val="ListParagraph"/>
        <w:numPr>
          <w:ilvl w:val="0"/>
          <w:numId w:val="7"/>
        </w:numPr>
      </w:pPr>
      <w:r w:rsidRPr="49957275">
        <w:t xml:space="preserve">Maintain contact precautions for </w:t>
      </w:r>
      <w:r w:rsidRPr="49957275">
        <w:rPr>
          <w:color w:val="000000" w:themeColor="text1"/>
        </w:rPr>
        <w:t xml:space="preserve">48 hours after diarrhea has ceased and considerations should be made during an outbreak to continue contact precautions for the duration of the hospitalization. </w:t>
      </w:r>
    </w:p>
    <w:p w14:paraId="07A8BB9A" w14:textId="7769865E" w:rsidR="00781E18" w:rsidRPr="00E24481" w:rsidRDefault="00781E18" w:rsidP="00C87FC4">
      <w:pPr>
        <w:pStyle w:val="ListParagraph"/>
        <w:numPr>
          <w:ilvl w:val="0"/>
          <w:numId w:val="7"/>
        </w:numPr>
        <w:rPr>
          <w:rFonts w:cstheme="minorHAnsi"/>
        </w:rPr>
      </w:pPr>
      <w:r w:rsidRPr="00E24481">
        <w:rPr>
          <w:rFonts w:cstheme="minorHAnsi"/>
        </w:rPr>
        <w:t>Testing for cure is not recommended</w:t>
      </w:r>
      <w:r w:rsidR="00F84287" w:rsidRPr="00E24481">
        <w:rPr>
          <w:rFonts w:cstheme="minorHAnsi"/>
        </w:rPr>
        <w:t>.</w:t>
      </w:r>
    </w:p>
    <w:p w14:paraId="1EAFA639" w14:textId="447D2466" w:rsidR="00377216" w:rsidRPr="00E24481" w:rsidRDefault="00377216" w:rsidP="00781E18">
      <w:pPr>
        <w:pStyle w:val="ListParagraph"/>
        <w:numPr>
          <w:ilvl w:val="0"/>
          <w:numId w:val="7"/>
        </w:numPr>
        <w:rPr>
          <w:rFonts w:cstheme="minorHAnsi"/>
        </w:rPr>
      </w:pPr>
      <w:r w:rsidRPr="00E24481">
        <w:rPr>
          <w:rFonts w:eastAsia="Calibri" w:cstheme="minorHAnsi"/>
          <w:color w:val="000000" w:themeColor="text1"/>
        </w:rPr>
        <w:t xml:space="preserve">Screening of asymptomatic patients is not recommended. </w:t>
      </w:r>
    </w:p>
    <w:p w14:paraId="0FEA45F5" w14:textId="47367BB4" w:rsidR="003351F6" w:rsidRPr="00E24481" w:rsidRDefault="49957275" w:rsidP="49957275">
      <w:pPr>
        <w:pStyle w:val="ListParagraph"/>
        <w:numPr>
          <w:ilvl w:val="0"/>
          <w:numId w:val="7"/>
        </w:numPr>
      </w:pPr>
      <w:r w:rsidRPr="49957275">
        <w:rPr>
          <w:rFonts w:eastAsia="Calibri"/>
          <w:color w:val="000000" w:themeColor="text1"/>
        </w:rPr>
        <w:t>Continue surveillance to identify additional cases and utilize surveillance data to determine if control measures have interrupted transmission.</w:t>
      </w:r>
    </w:p>
    <w:p w14:paraId="38C1BD7A" w14:textId="61FADC9B" w:rsidR="49957275" w:rsidRDefault="49957275" w:rsidP="49957275">
      <w:pPr>
        <w:pStyle w:val="ListParagraph"/>
        <w:numPr>
          <w:ilvl w:val="0"/>
          <w:numId w:val="7"/>
        </w:numPr>
        <w:rPr>
          <w:color w:val="000000" w:themeColor="text1"/>
        </w:rPr>
      </w:pPr>
      <w:r w:rsidRPr="49957275">
        <w:rPr>
          <w:rFonts w:eastAsia="Calibri"/>
          <w:color w:val="000000" w:themeColor="text1"/>
        </w:rPr>
        <w:t xml:space="preserve">Public health should follow up with facility </w:t>
      </w:r>
      <w:r w:rsidR="5C939B98" w:rsidRPr="5C939B98">
        <w:rPr>
          <w:rFonts w:eastAsia="Calibri"/>
          <w:color w:val="000000" w:themeColor="text1"/>
        </w:rPr>
        <w:t>on a</w:t>
      </w:r>
      <w:r w:rsidRPr="49957275">
        <w:rPr>
          <w:rFonts w:eastAsia="Calibri"/>
          <w:color w:val="000000" w:themeColor="text1"/>
        </w:rPr>
        <w:t xml:space="preserve"> weekly </w:t>
      </w:r>
      <w:r w:rsidR="5C939B98" w:rsidRPr="5C939B98">
        <w:rPr>
          <w:rFonts w:eastAsia="Calibri"/>
          <w:color w:val="000000" w:themeColor="text1"/>
        </w:rPr>
        <w:t xml:space="preserve">basis </w:t>
      </w:r>
      <w:r w:rsidR="3CC2BDBF" w:rsidRPr="3CC2BDBF">
        <w:rPr>
          <w:rFonts w:eastAsia="Calibri"/>
          <w:color w:val="000000" w:themeColor="text1"/>
        </w:rPr>
        <w:t xml:space="preserve">(e.g., </w:t>
      </w:r>
      <w:r w:rsidR="6A3AF3DD" w:rsidRPr="6A3AF3DD">
        <w:rPr>
          <w:rFonts w:eastAsia="Calibri"/>
          <w:color w:val="000000" w:themeColor="text1"/>
        </w:rPr>
        <w:t>telephone or email contact) to</w:t>
      </w:r>
      <w:r w:rsidRPr="49957275">
        <w:rPr>
          <w:rFonts w:eastAsia="Calibri"/>
          <w:color w:val="000000" w:themeColor="text1"/>
        </w:rPr>
        <w:t xml:space="preserve"> monitor </w:t>
      </w:r>
      <w:r w:rsidR="198809AD" w:rsidRPr="198809AD">
        <w:rPr>
          <w:rFonts w:eastAsia="Calibri"/>
          <w:color w:val="000000" w:themeColor="text1"/>
        </w:rPr>
        <w:t xml:space="preserve">for </w:t>
      </w:r>
      <w:r w:rsidR="5B130360" w:rsidRPr="5B130360">
        <w:rPr>
          <w:rFonts w:eastAsia="Calibri"/>
          <w:color w:val="000000" w:themeColor="text1"/>
        </w:rPr>
        <w:t>additional</w:t>
      </w:r>
      <w:r w:rsidR="198809AD" w:rsidRPr="198809AD">
        <w:rPr>
          <w:rFonts w:eastAsia="Calibri"/>
          <w:color w:val="000000" w:themeColor="text1"/>
        </w:rPr>
        <w:t xml:space="preserve"> cases </w:t>
      </w:r>
      <w:r w:rsidR="00763BE7" w:rsidRPr="198809AD">
        <w:rPr>
          <w:rFonts w:eastAsia="Calibri"/>
          <w:color w:val="000000" w:themeColor="text1"/>
        </w:rPr>
        <w:t xml:space="preserve">and </w:t>
      </w:r>
      <w:r w:rsidR="00763BE7" w:rsidRPr="5B130360">
        <w:rPr>
          <w:rFonts w:eastAsia="Calibri"/>
          <w:color w:val="000000" w:themeColor="text1"/>
        </w:rPr>
        <w:t>assess</w:t>
      </w:r>
      <w:r w:rsidR="64535D9A" w:rsidRPr="64535D9A">
        <w:rPr>
          <w:rFonts w:eastAsia="Calibri"/>
          <w:color w:val="000000" w:themeColor="text1"/>
        </w:rPr>
        <w:t xml:space="preserve"> </w:t>
      </w:r>
      <w:r w:rsidR="5B130360" w:rsidRPr="5B130360">
        <w:rPr>
          <w:rFonts w:eastAsia="Calibri"/>
          <w:color w:val="000000" w:themeColor="text1"/>
        </w:rPr>
        <w:t>implementation</w:t>
      </w:r>
      <w:r w:rsidRPr="49957275">
        <w:rPr>
          <w:rFonts w:eastAsia="Calibri"/>
          <w:color w:val="000000" w:themeColor="text1"/>
        </w:rPr>
        <w:t xml:space="preserve"> of mitigation measures.</w:t>
      </w:r>
    </w:p>
    <w:p w14:paraId="57C2F565" w14:textId="024B9DEE" w:rsidR="49957275" w:rsidRDefault="3038F58C" w:rsidP="49957275">
      <w:pPr>
        <w:pStyle w:val="ListParagraph"/>
        <w:numPr>
          <w:ilvl w:val="0"/>
          <w:numId w:val="7"/>
        </w:numPr>
      </w:pPr>
      <w:r w:rsidRPr="3038F58C">
        <w:rPr>
          <w:rFonts w:eastAsia="Calibri"/>
          <w:color w:val="000000" w:themeColor="text1"/>
        </w:rPr>
        <w:t>If after 4 weeks there are no further cases, consider concluding the investigation.</w:t>
      </w:r>
    </w:p>
    <w:p w14:paraId="6A96806E" w14:textId="3F61DBBB" w:rsidR="00810982" w:rsidRPr="00E24481" w:rsidRDefault="00810982" w:rsidP="00810982">
      <w:pPr>
        <w:pStyle w:val="paragraph"/>
        <w:spacing w:before="0" w:beforeAutospacing="0" w:after="0" w:afterAutospacing="0"/>
        <w:ind w:left="720"/>
        <w:rPr>
          <w:rFonts w:asciiTheme="minorHAnsi" w:hAnsiTheme="minorHAnsi" w:cstheme="minorHAnsi"/>
          <w:sz w:val="22"/>
          <w:szCs w:val="22"/>
          <w:u w:val="single"/>
        </w:rPr>
      </w:pPr>
      <w:r w:rsidRPr="00E24481">
        <w:rPr>
          <w:rStyle w:val="eop"/>
          <w:rFonts w:asciiTheme="minorHAnsi" w:hAnsiTheme="minorHAnsi" w:cstheme="minorHAnsi"/>
          <w:sz w:val="22"/>
          <w:szCs w:val="22"/>
          <w:u w:val="single"/>
        </w:rPr>
        <w:t>Antimicrobial Stewardship</w:t>
      </w:r>
    </w:p>
    <w:p w14:paraId="3E6D471A" w14:textId="77DBDF23" w:rsidR="008E65E7" w:rsidRPr="00E24481" w:rsidRDefault="14D7E0A5" w:rsidP="00A90A82">
      <w:pPr>
        <w:pStyle w:val="ListParagraph"/>
        <w:numPr>
          <w:ilvl w:val="0"/>
          <w:numId w:val="7"/>
        </w:numPr>
        <w:rPr>
          <w:rFonts w:cstheme="minorHAnsi"/>
        </w:rPr>
      </w:pPr>
      <w:r w:rsidRPr="00E24481">
        <w:rPr>
          <w:rFonts w:eastAsia="Calibri" w:cstheme="minorHAnsi"/>
          <w:color w:val="000000" w:themeColor="text1"/>
        </w:rPr>
        <w:t>A strong</w:t>
      </w:r>
      <w:r w:rsidR="004D15F2" w:rsidRPr="00E24481">
        <w:rPr>
          <w:rFonts w:eastAsia="Calibri" w:cstheme="minorHAnsi"/>
          <w:color w:val="000000" w:themeColor="text1"/>
        </w:rPr>
        <w:t xml:space="preserve"> antimicrobial stewardship </w:t>
      </w:r>
      <w:r w:rsidRPr="00E24481">
        <w:rPr>
          <w:rFonts w:eastAsia="Calibri" w:cstheme="minorHAnsi"/>
          <w:color w:val="000000" w:themeColor="text1"/>
        </w:rPr>
        <w:t xml:space="preserve">program is a key to preventing outbreaks of CDI. </w:t>
      </w:r>
    </w:p>
    <w:p w14:paraId="152ADC7B" w14:textId="6CBA4900" w:rsidR="00A90A82" w:rsidRPr="00E24481" w:rsidRDefault="49957275" w:rsidP="49957275">
      <w:pPr>
        <w:pStyle w:val="ListParagraph"/>
        <w:numPr>
          <w:ilvl w:val="0"/>
          <w:numId w:val="7"/>
        </w:numPr>
      </w:pPr>
      <w:r w:rsidRPr="49957275">
        <w:rPr>
          <w:rFonts w:eastAsia="Calibri"/>
          <w:color w:val="000000" w:themeColor="text1"/>
        </w:rPr>
        <w:t xml:space="preserve">If an outbreak does occur, conduct additional review </w:t>
      </w:r>
      <w:r w:rsidR="38056976" w:rsidRPr="38056976">
        <w:rPr>
          <w:rFonts w:eastAsia="Calibri"/>
          <w:color w:val="000000" w:themeColor="text1"/>
        </w:rPr>
        <w:t xml:space="preserve">of </w:t>
      </w:r>
      <w:r w:rsidRPr="49957275">
        <w:rPr>
          <w:rFonts w:eastAsia="Calibri"/>
          <w:color w:val="000000" w:themeColor="text1"/>
        </w:rPr>
        <w:t xml:space="preserve">antibiotic prescribing practices to identify opportunities to improve overall stewardship to optimize the frequency and duration of antimicrobial therapy and the number of antimicrobial agents prescribed. </w:t>
      </w:r>
    </w:p>
    <w:p w14:paraId="57E87143" w14:textId="08AE64B1" w:rsidR="00B569C2" w:rsidRPr="00E24481" w:rsidRDefault="00A90A82" w:rsidP="00A90A82">
      <w:pPr>
        <w:pStyle w:val="ListParagraph"/>
        <w:numPr>
          <w:ilvl w:val="0"/>
          <w:numId w:val="7"/>
        </w:numPr>
        <w:rPr>
          <w:rFonts w:cstheme="minorHAnsi"/>
        </w:rPr>
      </w:pPr>
      <w:r w:rsidRPr="00E24481">
        <w:rPr>
          <w:rFonts w:eastAsia="Calibri" w:cstheme="minorHAnsi"/>
          <w:color w:val="000000" w:themeColor="text1"/>
        </w:rPr>
        <w:t>W</w:t>
      </w:r>
      <w:r w:rsidR="14D7E0A5" w:rsidRPr="00E24481">
        <w:rPr>
          <w:rFonts w:eastAsia="Calibri" w:cstheme="minorHAnsi"/>
          <w:color w:val="000000" w:themeColor="text1"/>
        </w:rPr>
        <w:t xml:space="preserve">ork with staff from the AS program </w:t>
      </w:r>
      <w:r w:rsidR="007B74A0" w:rsidRPr="00E24481">
        <w:rPr>
          <w:rFonts w:eastAsia="Calibri" w:cstheme="minorHAnsi"/>
          <w:color w:val="000000" w:themeColor="text1"/>
        </w:rPr>
        <w:t xml:space="preserve">to review CDI cases </w:t>
      </w:r>
      <w:r w:rsidR="00E336B0" w:rsidRPr="00E24481">
        <w:rPr>
          <w:rFonts w:eastAsia="Calibri" w:cstheme="minorHAnsi"/>
          <w:color w:val="000000" w:themeColor="text1"/>
        </w:rPr>
        <w:t>to opt</w:t>
      </w:r>
      <w:r w:rsidR="009F037A" w:rsidRPr="00E24481">
        <w:rPr>
          <w:rFonts w:eastAsia="Calibri" w:cstheme="minorHAnsi"/>
          <w:color w:val="000000" w:themeColor="text1"/>
        </w:rPr>
        <w:t>imize management and discontinue</w:t>
      </w:r>
      <w:r w:rsidRPr="00E24481">
        <w:rPr>
          <w:rFonts w:eastAsia="Calibri" w:cstheme="minorHAnsi"/>
          <w:color w:val="000000" w:themeColor="text1"/>
        </w:rPr>
        <w:t xml:space="preserve"> inciting antibiotics.</w:t>
      </w:r>
    </w:p>
    <w:p w14:paraId="61554221" w14:textId="1DE39B4A" w:rsidR="264D7CA1" w:rsidRPr="00E24481" w:rsidRDefault="264D7CA1" w:rsidP="264D7CA1">
      <w:pPr>
        <w:spacing w:after="0" w:line="240" w:lineRule="auto"/>
        <w:ind w:firstLine="360"/>
        <w:rPr>
          <w:rFonts w:cstheme="minorHAnsi"/>
        </w:rPr>
      </w:pPr>
      <w:r w:rsidRPr="00E24481">
        <w:rPr>
          <w:rStyle w:val="eop"/>
          <w:rFonts w:cstheme="minorHAnsi"/>
        </w:rPr>
        <w:t> </w:t>
      </w:r>
    </w:p>
    <w:p w14:paraId="3AA972C6" w14:textId="3F5D78BD" w:rsidR="264D7CA1" w:rsidRPr="00E24481" w:rsidRDefault="264D7CA1" w:rsidP="264D7CA1">
      <w:pPr>
        <w:spacing w:after="0" w:line="240" w:lineRule="auto"/>
        <w:ind w:firstLine="360"/>
        <w:rPr>
          <w:rFonts w:eastAsia="Arial" w:cstheme="minorHAnsi"/>
        </w:rPr>
      </w:pPr>
      <w:r w:rsidRPr="00E24481">
        <w:rPr>
          <w:rFonts w:eastAsia="Arial" w:cstheme="minorHAnsi"/>
        </w:rPr>
        <w:t xml:space="preserve">B. Investigation and Control Resources </w:t>
      </w:r>
    </w:p>
    <w:p w14:paraId="3B352A58" w14:textId="586DCE49" w:rsidR="264D7CA1" w:rsidRPr="00E24481" w:rsidRDefault="264D7CA1" w:rsidP="264D7CA1">
      <w:pPr>
        <w:spacing w:after="0" w:line="240" w:lineRule="auto"/>
        <w:ind w:firstLine="360"/>
        <w:rPr>
          <w:rFonts w:eastAsia="Arial" w:cstheme="minorHAnsi"/>
        </w:rPr>
      </w:pPr>
    </w:p>
    <w:p w14:paraId="2516415F" w14:textId="1B6106DC" w:rsidR="264D7CA1" w:rsidRPr="00E24481" w:rsidRDefault="264D7CA1" w:rsidP="264D7CA1">
      <w:pPr>
        <w:spacing w:after="0" w:line="240" w:lineRule="auto"/>
        <w:ind w:firstLine="360"/>
        <w:rPr>
          <w:rFonts w:eastAsia="Arial" w:cstheme="minorHAnsi"/>
        </w:rPr>
      </w:pPr>
      <w:r w:rsidRPr="00E24481">
        <w:rPr>
          <w:rFonts w:eastAsia="Arial" w:cstheme="minorHAnsi"/>
        </w:rPr>
        <w:t>[see Scabies table for examples of specific investigation resources (e.g. line lists)]</w:t>
      </w:r>
    </w:p>
    <w:p w14:paraId="5979FF53" w14:textId="2D249C66" w:rsidR="264D7CA1" w:rsidRPr="00E24481" w:rsidRDefault="264D7CA1" w:rsidP="264D7CA1">
      <w:pPr>
        <w:pStyle w:val="paragraph"/>
        <w:spacing w:before="0" w:beforeAutospacing="0" w:after="0" w:afterAutospacing="0"/>
        <w:rPr>
          <w:rStyle w:val="eop"/>
          <w:rFonts w:asciiTheme="minorHAnsi" w:hAnsiTheme="minorHAnsi" w:cstheme="minorHAnsi"/>
          <w:sz w:val="22"/>
          <w:szCs w:val="22"/>
        </w:rPr>
      </w:pPr>
    </w:p>
    <w:p w14:paraId="2D011589" w14:textId="77777777" w:rsidR="002C7219" w:rsidRPr="00E24481" w:rsidRDefault="264D7CA1" w:rsidP="264D7CA1">
      <w:pPr>
        <w:pStyle w:val="paragraph"/>
        <w:spacing w:before="0" w:beforeAutospacing="0" w:after="0" w:afterAutospacing="0"/>
        <w:textAlignment w:val="baseline"/>
        <w:rPr>
          <w:rFonts w:asciiTheme="minorHAnsi" w:hAnsiTheme="minorHAnsi" w:cstheme="minorHAnsi"/>
          <w:sz w:val="22"/>
          <w:szCs w:val="22"/>
        </w:rPr>
      </w:pPr>
      <w:r w:rsidRPr="00E24481">
        <w:rPr>
          <w:rStyle w:val="normaltextrun"/>
          <w:rFonts w:asciiTheme="minorHAnsi" w:hAnsiTheme="minorHAnsi" w:cstheme="minorHAnsi"/>
          <w:sz w:val="22"/>
          <w:szCs w:val="22"/>
        </w:rPr>
        <w:t xml:space="preserve">5. </w:t>
      </w:r>
      <w:commentRangeStart w:id="1"/>
      <w:r w:rsidRPr="00E24481">
        <w:rPr>
          <w:rStyle w:val="normaltextrun"/>
          <w:rFonts w:asciiTheme="minorHAnsi" w:hAnsiTheme="minorHAnsi" w:cstheme="minorHAnsi"/>
          <w:b/>
          <w:bCs/>
          <w:sz w:val="22"/>
          <w:szCs w:val="22"/>
        </w:rPr>
        <w:t>Other recommended resources/key references</w:t>
      </w:r>
      <w:r w:rsidRPr="00E24481">
        <w:rPr>
          <w:rStyle w:val="normaltextrun"/>
          <w:rFonts w:asciiTheme="minorHAnsi" w:hAnsiTheme="minorHAnsi" w:cstheme="minorHAnsi"/>
          <w:sz w:val="22"/>
          <w:szCs w:val="22"/>
        </w:rPr>
        <w:t xml:space="preserve"> [WG-A+B]</w:t>
      </w:r>
      <w:r w:rsidRPr="00E24481">
        <w:rPr>
          <w:rStyle w:val="eop"/>
          <w:rFonts w:asciiTheme="minorHAnsi" w:hAnsiTheme="minorHAnsi" w:cstheme="minorHAnsi"/>
          <w:sz w:val="22"/>
          <w:szCs w:val="22"/>
        </w:rPr>
        <w:t> </w:t>
      </w:r>
    </w:p>
    <w:commentRangeEnd w:id="1"/>
    <w:p w14:paraId="5106C37C" w14:textId="07113A0B" w:rsidR="264D7CA1" w:rsidRPr="00E24481" w:rsidRDefault="00307767" w:rsidP="264D7CA1">
      <w:pPr>
        <w:pStyle w:val="paragraph"/>
        <w:spacing w:before="0" w:beforeAutospacing="0" w:after="0" w:afterAutospacing="0"/>
        <w:rPr>
          <w:rStyle w:val="eop"/>
          <w:rFonts w:asciiTheme="minorHAnsi" w:hAnsiTheme="minorHAnsi" w:cstheme="minorHAnsi"/>
          <w:sz w:val="22"/>
          <w:szCs w:val="22"/>
        </w:rPr>
      </w:pPr>
      <w:r w:rsidRPr="00E24481">
        <w:rPr>
          <w:rStyle w:val="CommentReference"/>
          <w:rFonts w:asciiTheme="minorHAnsi" w:eastAsiaTheme="minorHAnsi" w:hAnsiTheme="minorHAnsi" w:cstheme="minorHAnsi"/>
          <w:sz w:val="22"/>
          <w:szCs w:val="22"/>
        </w:rPr>
        <w:commentReference w:id="1"/>
      </w:r>
    </w:p>
    <w:p w14:paraId="5CD73793" w14:textId="4AA4F5AE" w:rsidR="5D2CD5C8" w:rsidRPr="00E24481" w:rsidRDefault="5D2CD5C8" w:rsidP="5D2CD5C8">
      <w:pPr>
        <w:pStyle w:val="ListParagraph"/>
        <w:numPr>
          <w:ilvl w:val="0"/>
          <w:numId w:val="6"/>
        </w:numPr>
        <w:rPr>
          <w:rFonts w:cstheme="minorHAnsi"/>
        </w:rPr>
      </w:pPr>
      <w:r w:rsidRPr="00E24481">
        <w:rPr>
          <w:rFonts w:cstheme="minorHAnsi"/>
        </w:rPr>
        <w:lastRenderedPageBreak/>
        <w:t xml:space="preserve">Cohen, Stuart H., et al. “Clinical Practice Guidelines for </w:t>
      </w:r>
      <w:r w:rsidRPr="00E24481">
        <w:rPr>
          <w:rFonts w:cstheme="minorHAnsi"/>
          <w:i/>
          <w:iCs/>
        </w:rPr>
        <w:t>Clostridium difficile</w:t>
      </w:r>
      <w:r w:rsidRPr="00E24481">
        <w:rPr>
          <w:rFonts w:cstheme="minorHAnsi"/>
        </w:rPr>
        <w:t xml:space="preserve"> Infection in Adults: 2010 Update by the Society for Healthcare Epidemiology of America (SHEA) and the Infectious Diseases Society of America (IDSA).” </w:t>
      </w:r>
      <w:r w:rsidRPr="00E24481">
        <w:rPr>
          <w:rFonts w:cstheme="minorHAnsi"/>
          <w:i/>
          <w:iCs/>
        </w:rPr>
        <w:t>Infection Control and Hospital Epidemiology</w:t>
      </w:r>
      <w:r w:rsidRPr="00E24481">
        <w:rPr>
          <w:rFonts w:cstheme="minorHAnsi"/>
        </w:rPr>
        <w:t xml:space="preserve">, vol. 31, no. 5, 2010, pp. 431–455. </w:t>
      </w:r>
      <w:r w:rsidRPr="00E24481">
        <w:rPr>
          <w:rFonts w:cstheme="minorHAnsi"/>
          <w:i/>
          <w:iCs/>
        </w:rPr>
        <w:t>JSTOR</w:t>
      </w:r>
      <w:r w:rsidRPr="00E24481">
        <w:rPr>
          <w:rFonts w:cstheme="minorHAnsi"/>
        </w:rPr>
        <w:t xml:space="preserve">, JSTOR, </w:t>
      </w:r>
      <w:hyperlink r:id="rId12">
        <w:r w:rsidRPr="00E24481">
          <w:rPr>
            <w:rStyle w:val="Hyperlink"/>
            <w:rFonts w:cstheme="minorHAnsi"/>
          </w:rPr>
          <w:t>www.jstor.org/stable/10.1086/651706</w:t>
        </w:r>
      </w:hyperlink>
      <w:r w:rsidRPr="00E24481">
        <w:rPr>
          <w:rFonts w:cstheme="minorHAnsi"/>
        </w:rPr>
        <w:t>.</w:t>
      </w:r>
    </w:p>
    <w:p w14:paraId="53819696" w14:textId="010FFF83" w:rsidR="5D2CD5C8" w:rsidRPr="00E24481" w:rsidRDefault="5D2CD5C8" w:rsidP="5D2CD5C8">
      <w:pPr>
        <w:pStyle w:val="ListParagraph"/>
        <w:numPr>
          <w:ilvl w:val="0"/>
          <w:numId w:val="6"/>
        </w:numPr>
        <w:rPr>
          <w:rFonts w:cstheme="minorHAnsi"/>
        </w:rPr>
      </w:pPr>
      <w:proofErr w:type="spellStart"/>
      <w:r w:rsidRPr="00E24481">
        <w:rPr>
          <w:rFonts w:cstheme="minorHAnsi"/>
        </w:rPr>
        <w:t>Dubberke</w:t>
      </w:r>
      <w:proofErr w:type="spellEnd"/>
      <w:r w:rsidRPr="00E24481">
        <w:rPr>
          <w:rFonts w:cstheme="minorHAnsi"/>
        </w:rPr>
        <w:t xml:space="preserve">, E., Carling, P., Carrico, R., </w:t>
      </w:r>
      <w:proofErr w:type="spellStart"/>
      <w:r w:rsidRPr="00E24481">
        <w:rPr>
          <w:rFonts w:cstheme="minorHAnsi"/>
        </w:rPr>
        <w:t>Donskey</w:t>
      </w:r>
      <w:proofErr w:type="spellEnd"/>
      <w:r w:rsidRPr="00E24481">
        <w:rPr>
          <w:rFonts w:cstheme="minorHAnsi"/>
        </w:rPr>
        <w:t xml:space="preserve">, </w:t>
      </w:r>
      <w:r w:rsidR="007F56F2" w:rsidRPr="00E24481">
        <w:rPr>
          <w:rFonts w:cstheme="minorHAnsi"/>
        </w:rPr>
        <w:t>C., Loo, V., McDonald, L.,</w:t>
      </w:r>
      <w:r w:rsidRPr="00E24481">
        <w:rPr>
          <w:rFonts w:cstheme="minorHAnsi"/>
        </w:rPr>
        <w:t xml:space="preserve"> </w:t>
      </w:r>
      <w:proofErr w:type="spellStart"/>
      <w:r w:rsidRPr="00E24481">
        <w:rPr>
          <w:rFonts w:cstheme="minorHAnsi"/>
        </w:rPr>
        <w:t>Gerding</w:t>
      </w:r>
      <w:proofErr w:type="spellEnd"/>
      <w:r w:rsidRPr="00E24481">
        <w:rPr>
          <w:rFonts w:cstheme="minorHAnsi"/>
        </w:rPr>
        <w:t>, D. (2014). Strategies to Prevent</w:t>
      </w:r>
      <w:r w:rsidRPr="00E24481">
        <w:rPr>
          <w:rFonts w:cstheme="minorHAnsi"/>
          <w:i/>
          <w:iCs/>
        </w:rPr>
        <w:t xml:space="preserve"> Clostridium difficile</w:t>
      </w:r>
      <w:r w:rsidRPr="00E24481">
        <w:rPr>
          <w:rFonts w:cstheme="minorHAnsi"/>
        </w:rPr>
        <w:t xml:space="preserve"> Infections in Acute Care Hospitals: 2014 Update. </w:t>
      </w:r>
      <w:r w:rsidRPr="00E24481">
        <w:rPr>
          <w:rFonts w:cstheme="minorHAnsi"/>
          <w:i/>
          <w:iCs/>
        </w:rPr>
        <w:t>Infection Control &amp; Hospital Epidemiology,</w:t>
      </w:r>
      <w:r w:rsidRPr="00E24481">
        <w:rPr>
          <w:rFonts w:cstheme="minorHAnsi"/>
        </w:rPr>
        <w:t xml:space="preserve"> </w:t>
      </w:r>
      <w:r w:rsidRPr="00E24481">
        <w:rPr>
          <w:rFonts w:cstheme="minorHAnsi"/>
          <w:i/>
          <w:iCs/>
        </w:rPr>
        <w:t>35</w:t>
      </w:r>
      <w:r w:rsidRPr="00E24481">
        <w:rPr>
          <w:rFonts w:cstheme="minorHAnsi"/>
        </w:rPr>
        <w:t>(S2), S48-S65. doi:10.1017/S0899823X00193857.</w:t>
      </w:r>
    </w:p>
    <w:p w14:paraId="45DBEE32" w14:textId="3CF787DD" w:rsidR="5D2CD5C8" w:rsidRPr="00E24481" w:rsidRDefault="5D2CD5C8" w:rsidP="5D2CD5C8">
      <w:pPr>
        <w:pStyle w:val="ListParagraph"/>
        <w:numPr>
          <w:ilvl w:val="0"/>
          <w:numId w:val="6"/>
        </w:numPr>
        <w:rPr>
          <w:rFonts w:cstheme="minorHAnsi"/>
        </w:rPr>
      </w:pPr>
      <w:r w:rsidRPr="00E24481">
        <w:rPr>
          <w:rFonts w:eastAsiaTheme="minorEastAsia" w:cstheme="minorHAnsi"/>
        </w:rPr>
        <w:t xml:space="preserve">Association of Practitioners in Infection Control. </w:t>
      </w:r>
      <w:r w:rsidRPr="00E24481">
        <w:rPr>
          <w:rFonts w:eastAsiaTheme="minorEastAsia" w:cstheme="minorHAnsi"/>
          <w:i/>
          <w:iCs/>
        </w:rPr>
        <w:t>Guide to Preventing C. difficile Infections</w:t>
      </w:r>
      <w:r w:rsidRPr="00E24481">
        <w:rPr>
          <w:rFonts w:eastAsiaTheme="minorEastAsia" w:cstheme="minorHAnsi"/>
        </w:rPr>
        <w:t xml:space="preserve">. </w:t>
      </w:r>
      <w:hyperlink r:id="rId13">
        <w:r w:rsidRPr="00E24481">
          <w:rPr>
            <w:rStyle w:val="Hyperlink"/>
            <w:rFonts w:eastAsiaTheme="minorEastAsia" w:cstheme="minorHAnsi"/>
            <w:color w:val="0000FF"/>
          </w:rPr>
          <w:t>http://apic.org/Resource_/EliminationGuideForm/59397fc6-3f90-43d1-9325-e8be75d86888/File/2013CDiffFinal.pdf</w:t>
        </w:r>
      </w:hyperlink>
      <w:r w:rsidRPr="00E24481">
        <w:rPr>
          <w:rFonts w:cstheme="minorHAnsi"/>
        </w:rPr>
        <w:t>.</w:t>
      </w:r>
    </w:p>
    <w:p w14:paraId="549E547D" w14:textId="67A5B67F" w:rsidR="5D2CD5C8" w:rsidRPr="00E24481" w:rsidRDefault="264D7CA1" w:rsidP="264D7CA1">
      <w:pPr>
        <w:pStyle w:val="ListParagraph"/>
        <w:numPr>
          <w:ilvl w:val="0"/>
          <w:numId w:val="6"/>
        </w:numPr>
        <w:rPr>
          <w:rFonts w:cstheme="minorHAnsi"/>
        </w:rPr>
      </w:pPr>
      <w:r w:rsidRPr="00E24481">
        <w:rPr>
          <w:rFonts w:eastAsiaTheme="minorEastAsia" w:cstheme="minorHAnsi"/>
        </w:rPr>
        <w:t xml:space="preserve">Gould C, McDonald C. </w:t>
      </w:r>
      <w:r w:rsidRPr="00E24481">
        <w:rPr>
          <w:rFonts w:eastAsiaTheme="minorEastAsia" w:cstheme="minorHAnsi"/>
          <w:i/>
          <w:iCs/>
        </w:rPr>
        <w:t xml:space="preserve">Clostridium difficile </w:t>
      </w:r>
      <w:r w:rsidRPr="00E24481">
        <w:rPr>
          <w:rFonts w:eastAsiaTheme="minorEastAsia" w:cstheme="minorHAnsi"/>
        </w:rPr>
        <w:t>(CDI) Infections Toolkit Activity C: ELC Prevention Collaboratives. Division of Healthcare Quality Promotion, Centers for Disease Control and Prevention.</w:t>
      </w:r>
    </w:p>
    <w:p w14:paraId="7EF42396" w14:textId="2D7B3404" w:rsidR="5D2CD5C8" w:rsidRPr="00E24481" w:rsidRDefault="264D7CA1" w:rsidP="264D7CA1">
      <w:pPr>
        <w:pStyle w:val="ListParagraph"/>
        <w:numPr>
          <w:ilvl w:val="0"/>
          <w:numId w:val="6"/>
        </w:numPr>
        <w:rPr>
          <w:rFonts w:cstheme="minorHAnsi"/>
        </w:rPr>
      </w:pPr>
      <w:r w:rsidRPr="00E24481">
        <w:rPr>
          <w:rFonts w:cstheme="minorHAnsi"/>
        </w:rPr>
        <w:t xml:space="preserve">Greater New York Hospital Association. Reducing </w:t>
      </w:r>
      <w:r w:rsidRPr="00E24481">
        <w:rPr>
          <w:rFonts w:cstheme="minorHAnsi"/>
          <w:i/>
          <w:iCs/>
        </w:rPr>
        <w:t>C. difficile</w:t>
      </w:r>
      <w:r w:rsidRPr="00E24481">
        <w:rPr>
          <w:rFonts w:cstheme="minorHAnsi"/>
        </w:rPr>
        <w:t xml:space="preserve"> infections toolkit.</w:t>
      </w:r>
    </w:p>
    <w:p w14:paraId="26765C1D" w14:textId="2DAEDD84" w:rsidR="5D2CD5C8" w:rsidRPr="00E24481" w:rsidRDefault="5D2CD5C8" w:rsidP="5D2CD5C8">
      <w:pPr>
        <w:pStyle w:val="ListParagraph"/>
        <w:numPr>
          <w:ilvl w:val="0"/>
          <w:numId w:val="6"/>
        </w:numPr>
        <w:rPr>
          <w:rFonts w:cstheme="minorHAnsi"/>
        </w:rPr>
      </w:pPr>
      <w:r w:rsidRPr="00E24481">
        <w:rPr>
          <w:rFonts w:cstheme="minorHAnsi"/>
        </w:rPr>
        <w:t xml:space="preserve">Massachusetts Department of Health. Infection Prevention in Long Term Care </w:t>
      </w:r>
      <w:r w:rsidRPr="00E24481">
        <w:rPr>
          <w:rFonts w:cstheme="minorHAnsi"/>
          <w:i/>
          <w:iCs/>
        </w:rPr>
        <w:t>Clostridium difficile</w:t>
      </w:r>
      <w:r w:rsidRPr="00E24481">
        <w:rPr>
          <w:rFonts w:cstheme="minorHAnsi"/>
        </w:rPr>
        <w:t xml:space="preserve"> (</w:t>
      </w:r>
      <w:r w:rsidRPr="00E24481">
        <w:rPr>
          <w:rFonts w:cstheme="minorHAnsi"/>
          <w:i/>
          <w:iCs/>
        </w:rPr>
        <w:t>C. difficile</w:t>
      </w:r>
      <w:r w:rsidRPr="00E24481">
        <w:rPr>
          <w:rFonts w:cstheme="minorHAnsi"/>
        </w:rPr>
        <w:t>).</w:t>
      </w:r>
    </w:p>
    <w:p w14:paraId="1940C80A" w14:textId="3500CD0E" w:rsidR="5D2CD5C8" w:rsidRPr="00E24481" w:rsidRDefault="5D2CD5C8" w:rsidP="5D2CD5C8">
      <w:pPr>
        <w:rPr>
          <w:rFonts w:cstheme="minorHAnsi"/>
        </w:rPr>
      </w:pPr>
    </w:p>
    <w:sectPr w:rsidR="5D2CD5C8" w:rsidRPr="00E24481" w:rsidSect="004B0C69">
      <w:headerReference w:type="default" r:id="rId14"/>
      <w:footerReference w:type="default" r:id="rId15"/>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ichael Anderson" w:date="2018-04-27T11:24:00Z" w:initials="MA">
    <w:p w14:paraId="0437D718" w14:textId="77777777" w:rsidR="00307767" w:rsidRDefault="00307767" w:rsidP="00307767">
      <w:pPr>
        <w:pStyle w:val="CommentText"/>
      </w:pPr>
      <w:r>
        <w:rPr>
          <w:rStyle w:val="CommentReference"/>
        </w:rPr>
        <w:annotationRef/>
      </w:r>
      <w:r>
        <w:t>Preeta: Consider adding</w:t>
      </w:r>
    </w:p>
    <w:p w14:paraId="6D43585B" w14:textId="77777777" w:rsidR="00307767" w:rsidRDefault="00307767" w:rsidP="00307767">
      <w:pPr>
        <w:pStyle w:val="CommentText"/>
        <w:numPr>
          <w:ilvl w:val="0"/>
          <w:numId w:val="13"/>
        </w:numPr>
      </w:pPr>
      <w:r>
        <w:t>IDSA 2017 Update CPG for adults and pediatrics</w:t>
      </w:r>
    </w:p>
    <w:p w14:paraId="4BA19471" w14:textId="77777777" w:rsidR="00307767" w:rsidRDefault="00307767" w:rsidP="00307767">
      <w:pPr>
        <w:pStyle w:val="CommentText"/>
        <w:numPr>
          <w:ilvl w:val="0"/>
          <w:numId w:val="13"/>
        </w:numPr>
      </w:pPr>
      <w:r>
        <w:t>SHEA Contact Precautions</w:t>
      </w:r>
    </w:p>
    <w:p w14:paraId="10C896C9" w14:textId="77777777" w:rsidR="00307767" w:rsidRDefault="00307767" w:rsidP="00307767">
      <w:pPr>
        <w:pStyle w:val="CommentText"/>
        <w:numPr>
          <w:ilvl w:val="0"/>
          <w:numId w:val="13"/>
        </w:numPr>
      </w:pPr>
      <w:r>
        <w:t>TAP on CDC</w:t>
      </w:r>
    </w:p>
    <w:p w14:paraId="7E0CF2DC" w14:textId="5BCAF531" w:rsidR="00307767" w:rsidRDefault="00307767" w:rsidP="00307767">
      <w:pPr>
        <w:pStyle w:val="CommentText"/>
      </w:pPr>
      <w:r>
        <w:t xml:space="preserve">     -AS for hospitals from CDC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0CF2D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0CF2DC" w16cid:durableId="1E8D86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7BADE" w14:textId="77777777" w:rsidR="00351078" w:rsidRDefault="00351078">
      <w:pPr>
        <w:spacing w:after="0" w:line="240" w:lineRule="auto"/>
      </w:pPr>
      <w:r>
        <w:separator/>
      </w:r>
    </w:p>
  </w:endnote>
  <w:endnote w:type="continuationSeparator" w:id="0">
    <w:p w14:paraId="22F121C2" w14:textId="77777777" w:rsidR="00351078" w:rsidRDefault="00351078">
      <w:pPr>
        <w:spacing w:after="0" w:line="240" w:lineRule="auto"/>
      </w:pPr>
      <w:r>
        <w:continuationSeparator/>
      </w:r>
    </w:p>
  </w:endnote>
  <w:endnote w:type="continuationNotice" w:id="1">
    <w:p w14:paraId="4076FA5F" w14:textId="77777777" w:rsidR="00351078" w:rsidRDefault="00351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1477B8" w14:paraId="0FD67B92" w14:textId="77777777" w:rsidTr="3B2141DE">
      <w:tc>
        <w:tcPr>
          <w:tcW w:w="3120" w:type="dxa"/>
        </w:tcPr>
        <w:p w14:paraId="09FFB1D5" w14:textId="69DCF94A" w:rsidR="001477B8" w:rsidRDefault="004604F4" w:rsidP="5CE1C65C">
          <w:pPr>
            <w:pStyle w:val="Header"/>
            <w:ind w:left="-115"/>
          </w:pPr>
          <w:r>
            <w:t>*I</w:t>
          </w:r>
          <w:r w:rsidRPr="3B2141DE">
            <w:rPr>
              <w:rFonts w:ascii="Calibri" w:eastAsia="Calibri" w:hAnsi="Calibri" w:cs="Calibri"/>
            </w:rPr>
            <w:t>n such instances,</w:t>
          </w:r>
          <w:r>
            <w:rPr>
              <w:rFonts w:ascii="Calibri" w:eastAsia="Calibri" w:hAnsi="Calibri" w:cs="Calibri"/>
            </w:rPr>
            <w:t xml:space="preserve"> </w:t>
          </w:r>
          <w:r w:rsidRPr="3B2141DE">
            <w:rPr>
              <w:rFonts w:ascii="Calibri" w:eastAsia="Calibri" w:hAnsi="Calibri" w:cs="Calibri"/>
            </w:rPr>
            <w:t>supplementary testing with NAAT or GDH will be helpful. If the test result from either NAAT or GDH is negative, this excludes the infection control risk.</w:t>
          </w:r>
        </w:p>
      </w:tc>
      <w:tc>
        <w:tcPr>
          <w:tcW w:w="3120" w:type="dxa"/>
        </w:tcPr>
        <w:p w14:paraId="790FA79B" w14:textId="6307186F" w:rsidR="001477B8" w:rsidRDefault="001477B8" w:rsidP="5CE1C65C">
          <w:pPr>
            <w:pStyle w:val="Header"/>
            <w:jc w:val="center"/>
          </w:pPr>
        </w:p>
      </w:tc>
      <w:tc>
        <w:tcPr>
          <w:tcW w:w="3120" w:type="dxa"/>
        </w:tcPr>
        <w:p w14:paraId="4AEEEF7E" w14:textId="1A1AB3FE" w:rsidR="001477B8" w:rsidRDefault="001477B8" w:rsidP="5CE1C65C">
          <w:pPr>
            <w:pStyle w:val="Header"/>
            <w:ind w:right="-115"/>
            <w:jc w:val="right"/>
          </w:pPr>
        </w:p>
      </w:tc>
    </w:tr>
  </w:tbl>
  <w:p w14:paraId="348BD74D" w14:textId="1829E73A" w:rsidR="001477B8" w:rsidRDefault="001477B8" w:rsidP="5CE1C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8AD39" w14:textId="77777777" w:rsidR="00351078" w:rsidRDefault="00351078">
      <w:pPr>
        <w:spacing w:after="0" w:line="240" w:lineRule="auto"/>
      </w:pPr>
      <w:r>
        <w:separator/>
      </w:r>
    </w:p>
  </w:footnote>
  <w:footnote w:type="continuationSeparator" w:id="0">
    <w:p w14:paraId="41EB6EA3" w14:textId="77777777" w:rsidR="00351078" w:rsidRDefault="00351078">
      <w:pPr>
        <w:spacing w:after="0" w:line="240" w:lineRule="auto"/>
      </w:pPr>
      <w:r>
        <w:continuationSeparator/>
      </w:r>
    </w:p>
  </w:footnote>
  <w:footnote w:type="continuationNotice" w:id="1">
    <w:p w14:paraId="2435F3A1" w14:textId="77777777" w:rsidR="00351078" w:rsidRDefault="003510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4A0" w:firstRow="1" w:lastRow="0" w:firstColumn="1" w:lastColumn="0" w:noHBand="0" w:noVBand="1"/>
    </w:tblPr>
    <w:tblGrid>
      <w:gridCol w:w="8888"/>
      <w:gridCol w:w="236"/>
      <w:gridCol w:w="236"/>
    </w:tblGrid>
    <w:tr w:rsidR="001477B8" w14:paraId="0843D3CA" w14:textId="77777777" w:rsidTr="3B2141DE">
      <w:tc>
        <w:tcPr>
          <w:tcW w:w="9060" w:type="dxa"/>
        </w:tcPr>
        <w:p w14:paraId="6273CE88" w14:textId="338B4E62" w:rsidR="001477B8" w:rsidRDefault="001477B8" w:rsidP="003B7175">
          <w:pPr>
            <w:pStyle w:val="Header"/>
            <w:ind w:left="-115"/>
            <w:jc w:val="center"/>
          </w:pPr>
        </w:p>
      </w:tc>
      <w:tc>
        <w:tcPr>
          <w:tcW w:w="135" w:type="dxa"/>
        </w:tcPr>
        <w:p w14:paraId="5B9DD738" w14:textId="1A36E831" w:rsidR="001477B8" w:rsidRDefault="001477B8" w:rsidP="5CE1C65C">
          <w:pPr>
            <w:pStyle w:val="Header"/>
            <w:jc w:val="center"/>
          </w:pPr>
        </w:p>
      </w:tc>
      <w:tc>
        <w:tcPr>
          <w:tcW w:w="165" w:type="dxa"/>
        </w:tcPr>
        <w:p w14:paraId="0B2E4368" w14:textId="15420CB3" w:rsidR="001477B8" w:rsidRDefault="001477B8" w:rsidP="5CE1C65C">
          <w:pPr>
            <w:pStyle w:val="Header"/>
            <w:ind w:right="-115"/>
            <w:jc w:val="right"/>
          </w:pPr>
        </w:p>
      </w:tc>
    </w:tr>
  </w:tbl>
  <w:p w14:paraId="36402A1B" w14:textId="024AD1CF" w:rsidR="001477B8" w:rsidRDefault="0063469E" w:rsidP="5CE1C65C">
    <w:pPr>
      <w:pStyle w:val="Header"/>
    </w:pPr>
    <w:r>
      <w:rPr>
        <w:noProof/>
      </w:rPr>
      <w:drawing>
        <wp:anchor distT="0" distB="0" distL="114300" distR="114300" simplePos="0" relativeHeight="251658240" behindDoc="0" locked="0" layoutInCell="1" allowOverlap="1" wp14:anchorId="4791DFE7" wp14:editId="7E15F2E5">
          <wp:simplePos x="0" y="0"/>
          <wp:positionH relativeFrom="margin">
            <wp:align>center</wp:align>
          </wp:positionH>
          <wp:positionV relativeFrom="paragraph">
            <wp:posOffset>-437515</wp:posOffset>
          </wp:positionV>
          <wp:extent cx="2590800" cy="647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590800" cy="647700"/>
                  </a:xfrm>
                  <a:prstGeom prst="rect">
                    <a:avLst/>
                  </a:prstGeom>
                </pic:spPr>
              </pic:pic>
            </a:graphicData>
          </a:graphic>
          <wp14:sizeRelH relativeFrom="margin">
            <wp14:pctWidth>0</wp14:pctWidth>
          </wp14:sizeRelH>
          <wp14:sizeRelV relativeFrom="margin">
            <wp14:pctHeight>0</wp14:pctHeight>
          </wp14:sizeRelV>
        </wp:anchor>
      </w:drawing>
    </w:r>
    <w:sdt>
      <w:sdtPr>
        <w:id w:val="2054572677"/>
        <w:docPartObj>
          <w:docPartGallery w:val="Watermarks"/>
          <w:docPartUnique/>
        </w:docPartObj>
      </w:sdtPr>
      <w:sdtEndPr/>
      <w:sdtContent>
        <w:r w:rsidR="00351078">
          <w:rPr>
            <w:noProof/>
          </w:rPr>
          <w:pict w14:anchorId="1C0A3D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2EC1"/>
    <w:multiLevelType w:val="hybridMultilevel"/>
    <w:tmpl w:val="BE5A0966"/>
    <w:lvl w:ilvl="0" w:tplc="022CD4BA">
      <w:start w:val="1"/>
      <w:numFmt w:val="decimal"/>
      <w:lvlText w:val="%1."/>
      <w:lvlJc w:val="left"/>
      <w:pPr>
        <w:ind w:left="720" w:hanging="360"/>
      </w:pPr>
    </w:lvl>
    <w:lvl w:ilvl="1" w:tplc="61A09BA6">
      <w:start w:val="1"/>
      <w:numFmt w:val="lowerLetter"/>
      <w:lvlText w:val="%2."/>
      <w:lvlJc w:val="left"/>
      <w:pPr>
        <w:ind w:left="1440" w:hanging="360"/>
      </w:pPr>
    </w:lvl>
    <w:lvl w:ilvl="2" w:tplc="AE022194">
      <w:start w:val="1"/>
      <w:numFmt w:val="lowerRoman"/>
      <w:lvlText w:val="%3."/>
      <w:lvlJc w:val="right"/>
      <w:pPr>
        <w:ind w:left="2160" w:hanging="180"/>
      </w:pPr>
    </w:lvl>
    <w:lvl w:ilvl="3" w:tplc="83EC5EEE">
      <w:start w:val="1"/>
      <w:numFmt w:val="decimal"/>
      <w:lvlText w:val="%4."/>
      <w:lvlJc w:val="left"/>
      <w:pPr>
        <w:ind w:left="2880" w:hanging="360"/>
      </w:pPr>
    </w:lvl>
    <w:lvl w:ilvl="4" w:tplc="2ED625BE">
      <w:start w:val="1"/>
      <w:numFmt w:val="lowerLetter"/>
      <w:lvlText w:val="%5."/>
      <w:lvlJc w:val="left"/>
      <w:pPr>
        <w:ind w:left="3600" w:hanging="360"/>
      </w:pPr>
    </w:lvl>
    <w:lvl w:ilvl="5" w:tplc="4CF6D1B0">
      <w:start w:val="1"/>
      <w:numFmt w:val="lowerRoman"/>
      <w:lvlText w:val="%6."/>
      <w:lvlJc w:val="right"/>
      <w:pPr>
        <w:ind w:left="4320" w:hanging="180"/>
      </w:pPr>
    </w:lvl>
    <w:lvl w:ilvl="6" w:tplc="F4A4DCBE">
      <w:start w:val="1"/>
      <w:numFmt w:val="decimal"/>
      <w:lvlText w:val="%7."/>
      <w:lvlJc w:val="left"/>
      <w:pPr>
        <w:ind w:left="5040" w:hanging="360"/>
      </w:pPr>
    </w:lvl>
    <w:lvl w:ilvl="7" w:tplc="FE3277B2">
      <w:start w:val="1"/>
      <w:numFmt w:val="lowerLetter"/>
      <w:lvlText w:val="%8."/>
      <w:lvlJc w:val="left"/>
      <w:pPr>
        <w:ind w:left="5760" w:hanging="360"/>
      </w:pPr>
    </w:lvl>
    <w:lvl w:ilvl="8" w:tplc="664031DE">
      <w:start w:val="1"/>
      <w:numFmt w:val="lowerRoman"/>
      <w:lvlText w:val="%9."/>
      <w:lvlJc w:val="right"/>
      <w:pPr>
        <w:ind w:left="6480" w:hanging="180"/>
      </w:pPr>
    </w:lvl>
  </w:abstractNum>
  <w:abstractNum w:abstractNumId="1" w15:restartNumberingAfterBreak="0">
    <w:nsid w:val="08071D06"/>
    <w:multiLevelType w:val="hybridMultilevel"/>
    <w:tmpl w:val="34F85A08"/>
    <w:lvl w:ilvl="0" w:tplc="54EEC698">
      <w:start w:val="3"/>
      <w:numFmt w:val="decimal"/>
      <w:lvlText w:val="%1."/>
      <w:lvlJc w:val="left"/>
      <w:pPr>
        <w:ind w:left="720" w:hanging="360"/>
      </w:pPr>
    </w:lvl>
    <w:lvl w:ilvl="1" w:tplc="41E09E20">
      <w:start w:val="1"/>
      <w:numFmt w:val="lowerLetter"/>
      <w:lvlText w:val="%2."/>
      <w:lvlJc w:val="left"/>
      <w:pPr>
        <w:ind w:left="1440" w:hanging="360"/>
      </w:pPr>
    </w:lvl>
    <w:lvl w:ilvl="2" w:tplc="B5808E9C">
      <w:start w:val="1"/>
      <w:numFmt w:val="lowerRoman"/>
      <w:lvlText w:val="%3."/>
      <w:lvlJc w:val="right"/>
      <w:pPr>
        <w:ind w:left="2160" w:hanging="180"/>
      </w:pPr>
    </w:lvl>
    <w:lvl w:ilvl="3" w:tplc="63CCF0D6">
      <w:start w:val="1"/>
      <w:numFmt w:val="decimal"/>
      <w:lvlText w:val="%4."/>
      <w:lvlJc w:val="left"/>
      <w:pPr>
        <w:ind w:left="2880" w:hanging="360"/>
      </w:pPr>
    </w:lvl>
    <w:lvl w:ilvl="4" w:tplc="02D02286">
      <w:start w:val="1"/>
      <w:numFmt w:val="lowerLetter"/>
      <w:lvlText w:val="%5."/>
      <w:lvlJc w:val="left"/>
      <w:pPr>
        <w:ind w:left="3600" w:hanging="360"/>
      </w:pPr>
    </w:lvl>
    <w:lvl w:ilvl="5" w:tplc="DACA31BE">
      <w:start w:val="1"/>
      <w:numFmt w:val="lowerRoman"/>
      <w:lvlText w:val="%6."/>
      <w:lvlJc w:val="right"/>
      <w:pPr>
        <w:ind w:left="4320" w:hanging="180"/>
      </w:pPr>
    </w:lvl>
    <w:lvl w:ilvl="6" w:tplc="8F74BA84">
      <w:start w:val="1"/>
      <w:numFmt w:val="decimal"/>
      <w:lvlText w:val="%7."/>
      <w:lvlJc w:val="left"/>
      <w:pPr>
        <w:ind w:left="5040" w:hanging="360"/>
      </w:pPr>
    </w:lvl>
    <w:lvl w:ilvl="7" w:tplc="D7EE51BC">
      <w:start w:val="1"/>
      <w:numFmt w:val="lowerLetter"/>
      <w:lvlText w:val="%8."/>
      <w:lvlJc w:val="left"/>
      <w:pPr>
        <w:ind w:left="5760" w:hanging="360"/>
      </w:pPr>
    </w:lvl>
    <w:lvl w:ilvl="8" w:tplc="0A4676E8">
      <w:start w:val="1"/>
      <w:numFmt w:val="lowerRoman"/>
      <w:lvlText w:val="%9."/>
      <w:lvlJc w:val="right"/>
      <w:pPr>
        <w:ind w:left="6480" w:hanging="180"/>
      </w:pPr>
    </w:lvl>
  </w:abstractNum>
  <w:abstractNum w:abstractNumId="2" w15:restartNumberingAfterBreak="0">
    <w:nsid w:val="096514D8"/>
    <w:multiLevelType w:val="hybridMultilevel"/>
    <w:tmpl w:val="C852739C"/>
    <w:lvl w:ilvl="0" w:tplc="A00A1AD2">
      <w:start w:val="1"/>
      <w:numFmt w:val="bullet"/>
      <w:lvlText w:val=""/>
      <w:lvlJc w:val="left"/>
      <w:pPr>
        <w:ind w:left="720" w:hanging="360"/>
      </w:pPr>
      <w:rPr>
        <w:rFonts w:ascii="Symbol" w:hAnsi="Symbol"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3"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1835C7"/>
    <w:multiLevelType w:val="hybridMultilevel"/>
    <w:tmpl w:val="9508B6CC"/>
    <w:lvl w:ilvl="0" w:tplc="5784FD60">
      <w:start w:val="1"/>
      <w:numFmt w:val="upperLetter"/>
      <w:lvlText w:val="%1."/>
      <w:lvlJc w:val="left"/>
      <w:pPr>
        <w:ind w:left="720" w:hanging="360"/>
      </w:pPr>
    </w:lvl>
    <w:lvl w:ilvl="1" w:tplc="07EC2FA0">
      <w:start w:val="1"/>
      <w:numFmt w:val="lowerLetter"/>
      <w:lvlText w:val="%2."/>
      <w:lvlJc w:val="left"/>
      <w:pPr>
        <w:ind w:left="1440" w:hanging="360"/>
      </w:pPr>
    </w:lvl>
    <w:lvl w:ilvl="2" w:tplc="59EAD0EC">
      <w:start w:val="1"/>
      <w:numFmt w:val="lowerRoman"/>
      <w:lvlText w:val="%3."/>
      <w:lvlJc w:val="right"/>
      <w:pPr>
        <w:ind w:left="2160" w:hanging="180"/>
      </w:pPr>
    </w:lvl>
    <w:lvl w:ilvl="3" w:tplc="97A0470C">
      <w:start w:val="1"/>
      <w:numFmt w:val="decimal"/>
      <w:lvlText w:val="%4."/>
      <w:lvlJc w:val="left"/>
      <w:pPr>
        <w:ind w:left="2880" w:hanging="360"/>
      </w:pPr>
    </w:lvl>
    <w:lvl w:ilvl="4" w:tplc="ED568E5E">
      <w:start w:val="1"/>
      <w:numFmt w:val="lowerLetter"/>
      <w:lvlText w:val="%5."/>
      <w:lvlJc w:val="left"/>
      <w:pPr>
        <w:ind w:left="3600" w:hanging="360"/>
      </w:pPr>
    </w:lvl>
    <w:lvl w:ilvl="5" w:tplc="4A5636A2">
      <w:start w:val="1"/>
      <w:numFmt w:val="lowerRoman"/>
      <w:lvlText w:val="%6."/>
      <w:lvlJc w:val="right"/>
      <w:pPr>
        <w:ind w:left="4320" w:hanging="180"/>
      </w:pPr>
    </w:lvl>
    <w:lvl w:ilvl="6" w:tplc="354E52E6">
      <w:start w:val="1"/>
      <w:numFmt w:val="decimal"/>
      <w:lvlText w:val="%7."/>
      <w:lvlJc w:val="left"/>
      <w:pPr>
        <w:ind w:left="5040" w:hanging="360"/>
      </w:pPr>
    </w:lvl>
    <w:lvl w:ilvl="7" w:tplc="CC44C5BC">
      <w:start w:val="1"/>
      <w:numFmt w:val="lowerLetter"/>
      <w:lvlText w:val="%8."/>
      <w:lvlJc w:val="left"/>
      <w:pPr>
        <w:ind w:left="5760" w:hanging="360"/>
      </w:pPr>
    </w:lvl>
    <w:lvl w:ilvl="8" w:tplc="6C72CD8C">
      <w:start w:val="1"/>
      <w:numFmt w:val="lowerRoman"/>
      <w:lvlText w:val="%9."/>
      <w:lvlJc w:val="right"/>
      <w:pPr>
        <w:ind w:left="6480" w:hanging="180"/>
      </w:pPr>
    </w:lvl>
  </w:abstractNum>
  <w:abstractNum w:abstractNumId="5"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88360A"/>
    <w:multiLevelType w:val="hybridMultilevel"/>
    <w:tmpl w:val="CF849A80"/>
    <w:lvl w:ilvl="0" w:tplc="B81EEF9A">
      <w:start w:val="1"/>
      <w:numFmt w:val="upperLetter"/>
      <w:lvlText w:val="%1."/>
      <w:lvlJc w:val="left"/>
      <w:pPr>
        <w:ind w:left="720" w:hanging="360"/>
      </w:pPr>
    </w:lvl>
    <w:lvl w:ilvl="1" w:tplc="7E90DDAE">
      <w:start w:val="1"/>
      <w:numFmt w:val="lowerLetter"/>
      <w:lvlText w:val="%2."/>
      <w:lvlJc w:val="left"/>
      <w:pPr>
        <w:ind w:left="1440" w:hanging="360"/>
      </w:pPr>
    </w:lvl>
    <w:lvl w:ilvl="2" w:tplc="057E3014">
      <w:start w:val="1"/>
      <w:numFmt w:val="lowerRoman"/>
      <w:lvlText w:val="%3."/>
      <w:lvlJc w:val="right"/>
      <w:pPr>
        <w:ind w:left="2160" w:hanging="180"/>
      </w:pPr>
    </w:lvl>
    <w:lvl w:ilvl="3" w:tplc="BB703274">
      <w:start w:val="1"/>
      <w:numFmt w:val="decimal"/>
      <w:lvlText w:val="%4."/>
      <w:lvlJc w:val="left"/>
      <w:pPr>
        <w:ind w:left="2880" w:hanging="360"/>
      </w:pPr>
    </w:lvl>
    <w:lvl w:ilvl="4" w:tplc="DCCE56A8">
      <w:start w:val="1"/>
      <w:numFmt w:val="lowerLetter"/>
      <w:lvlText w:val="%5."/>
      <w:lvlJc w:val="left"/>
      <w:pPr>
        <w:ind w:left="3600" w:hanging="360"/>
      </w:pPr>
    </w:lvl>
    <w:lvl w:ilvl="5" w:tplc="04E63E50">
      <w:start w:val="1"/>
      <w:numFmt w:val="lowerRoman"/>
      <w:lvlText w:val="%6."/>
      <w:lvlJc w:val="right"/>
      <w:pPr>
        <w:ind w:left="4320" w:hanging="180"/>
      </w:pPr>
    </w:lvl>
    <w:lvl w:ilvl="6" w:tplc="E022F44A">
      <w:start w:val="1"/>
      <w:numFmt w:val="decimal"/>
      <w:lvlText w:val="%7."/>
      <w:lvlJc w:val="left"/>
      <w:pPr>
        <w:ind w:left="5040" w:hanging="360"/>
      </w:pPr>
    </w:lvl>
    <w:lvl w:ilvl="7" w:tplc="46AEDEAE">
      <w:start w:val="1"/>
      <w:numFmt w:val="lowerLetter"/>
      <w:lvlText w:val="%8."/>
      <w:lvlJc w:val="left"/>
      <w:pPr>
        <w:ind w:left="5760" w:hanging="360"/>
      </w:pPr>
    </w:lvl>
    <w:lvl w:ilvl="8" w:tplc="51E2AF9E">
      <w:start w:val="1"/>
      <w:numFmt w:val="lowerRoman"/>
      <w:lvlText w:val="%9."/>
      <w:lvlJc w:val="right"/>
      <w:pPr>
        <w:ind w:left="6480" w:hanging="180"/>
      </w:pPr>
    </w:lvl>
  </w:abstractNum>
  <w:abstractNum w:abstractNumId="8" w15:restartNumberingAfterBreak="0">
    <w:nsid w:val="36F104CF"/>
    <w:multiLevelType w:val="hybridMultilevel"/>
    <w:tmpl w:val="6344A9EC"/>
    <w:lvl w:ilvl="0" w:tplc="FFFFFFFF">
      <w:start w:val="1"/>
      <w:numFmt w:val="bullet"/>
      <w:lvlText w:val=""/>
      <w:lvlJc w:val="left"/>
      <w:pPr>
        <w:ind w:left="720" w:hanging="360"/>
      </w:pPr>
      <w:rPr>
        <w:rFonts w:ascii="Symbol" w:hAnsi="Symbol" w:hint="default"/>
      </w:rPr>
    </w:lvl>
    <w:lvl w:ilvl="1" w:tplc="9F6CA33A">
      <w:start w:val="1"/>
      <w:numFmt w:val="bullet"/>
      <w:lvlText w:val="o"/>
      <w:lvlJc w:val="left"/>
      <w:pPr>
        <w:ind w:left="1440" w:hanging="360"/>
      </w:pPr>
      <w:rPr>
        <w:rFonts w:ascii="Courier New" w:hAnsi="Courier New" w:hint="default"/>
      </w:rPr>
    </w:lvl>
    <w:lvl w:ilvl="2" w:tplc="77D6F144">
      <w:start w:val="1"/>
      <w:numFmt w:val="bullet"/>
      <w:lvlText w:val=""/>
      <w:lvlJc w:val="left"/>
      <w:pPr>
        <w:ind w:left="2160" w:hanging="360"/>
      </w:pPr>
      <w:rPr>
        <w:rFonts w:ascii="Wingdings" w:hAnsi="Wingdings" w:hint="default"/>
      </w:rPr>
    </w:lvl>
    <w:lvl w:ilvl="3" w:tplc="5420BD96">
      <w:start w:val="1"/>
      <w:numFmt w:val="bullet"/>
      <w:lvlText w:val=""/>
      <w:lvlJc w:val="left"/>
      <w:pPr>
        <w:ind w:left="2880" w:hanging="360"/>
      </w:pPr>
      <w:rPr>
        <w:rFonts w:ascii="Symbol" w:hAnsi="Symbol" w:hint="default"/>
      </w:rPr>
    </w:lvl>
    <w:lvl w:ilvl="4" w:tplc="DAE41FE8">
      <w:start w:val="1"/>
      <w:numFmt w:val="bullet"/>
      <w:lvlText w:val="o"/>
      <w:lvlJc w:val="left"/>
      <w:pPr>
        <w:ind w:left="3600" w:hanging="360"/>
      </w:pPr>
      <w:rPr>
        <w:rFonts w:ascii="Courier New" w:hAnsi="Courier New" w:hint="default"/>
      </w:rPr>
    </w:lvl>
    <w:lvl w:ilvl="5" w:tplc="7E202D16">
      <w:start w:val="1"/>
      <w:numFmt w:val="bullet"/>
      <w:lvlText w:val=""/>
      <w:lvlJc w:val="left"/>
      <w:pPr>
        <w:ind w:left="4320" w:hanging="360"/>
      </w:pPr>
      <w:rPr>
        <w:rFonts w:ascii="Wingdings" w:hAnsi="Wingdings" w:hint="default"/>
      </w:rPr>
    </w:lvl>
    <w:lvl w:ilvl="6" w:tplc="EF005408">
      <w:start w:val="1"/>
      <w:numFmt w:val="bullet"/>
      <w:lvlText w:val=""/>
      <w:lvlJc w:val="left"/>
      <w:pPr>
        <w:ind w:left="5040" w:hanging="360"/>
      </w:pPr>
      <w:rPr>
        <w:rFonts w:ascii="Symbol" w:hAnsi="Symbol" w:hint="default"/>
      </w:rPr>
    </w:lvl>
    <w:lvl w:ilvl="7" w:tplc="40B82296">
      <w:start w:val="1"/>
      <w:numFmt w:val="bullet"/>
      <w:lvlText w:val="o"/>
      <w:lvlJc w:val="left"/>
      <w:pPr>
        <w:ind w:left="5760" w:hanging="360"/>
      </w:pPr>
      <w:rPr>
        <w:rFonts w:ascii="Courier New" w:hAnsi="Courier New" w:hint="default"/>
      </w:rPr>
    </w:lvl>
    <w:lvl w:ilvl="8" w:tplc="30A82C80">
      <w:start w:val="1"/>
      <w:numFmt w:val="bullet"/>
      <w:lvlText w:val=""/>
      <w:lvlJc w:val="left"/>
      <w:pPr>
        <w:ind w:left="6480" w:hanging="360"/>
      </w:pPr>
      <w:rPr>
        <w:rFonts w:ascii="Wingdings" w:hAnsi="Wingdings" w:hint="default"/>
      </w:rPr>
    </w:lvl>
  </w:abstractNum>
  <w:abstractNum w:abstractNumId="9" w15:restartNumberingAfterBreak="0">
    <w:nsid w:val="4F1C3781"/>
    <w:multiLevelType w:val="hybridMultilevel"/>
    <w:tmpl w:val="31EEF116"/>
    <w:lvl w:ilvl="0" w:tplc="6254CD40">
      <w:start w:val="1"/>
      <w:numFmt w:val="bullet"/>
      <w:lvlText w:val=""/>
      <w:lvlJc w:val="left"/>
      <w:pPr>
        <w:ind w:left="720" w:hanging="360"/>
      </w:pPr>
      <w:rPr>
        <w:rFonts w:ascii="Symbol" w:hAnsi="Symbol" w:hint="default"/>
      </w:rPr>
    </w:lvl>
    <w:lvl w:ilvl="1" w:tplc="96EA3084">
      <w:start w:val="1"/>
      <w:numFmt w:val="bullet"/>
      <w:lvlText w:val="o"/>
      <w:lvlJc w:val="left"/>
      <w:pPr>
        <w:ind w:left="1440" w:hanging="360"/>
      </w:pPr>
      <w:rPr>
        <w:rFonts w:ascii="Courier New" w:hAnsi="Courier New" w:hint="default"/>
      </w:rPr>
    </w:lvl>
    <w:lvl w:ilvl="2" w:tplc="8984FD76">
      <w:start w:val="1"/>
      <w:numFmt w:val="bullet"/>
      <w:lvlText w:val=""/>
      <w:lvlJc w:val="left"/>
      <w:pPr>
        <w:ind w:left="2160" w:hanging="360"/>
      </w:pPr>
      <w:rPr>
        <w:rFonts w:ascii="Wingdings" w:hAnsi="Wingdings" w:hint="default"/>
      </w:rPr>
    </w:lvl>
    <w:lvl w:ilvl="3" w:tplc="58169DC0">
      <w:start w:val="1"/>
      <w:numFmt w:val="bullet"/>
      <w:lvlText w:val=""/>
      <w:lvlJc w:val="left"/>
      <w:pPr>
        <w:ind w:left="2880" w:hanging="360"/>
      </w:pPr>
      <w:rPr>
        <w:rFonts w:ascii="Symbol" w:hAnsi="Symbol" w:hint="default"/>
      </w:rPr>
    </w:lvl>
    <w:lvl w:ilvl="4" w:tplc="568E21E4">
      <w:start w:val="1"/>
      <w:numFmt w:val="bullet"/>
      <w:lvlText w:val="o"/>
      <w:lvlJc w:val="left"/>
      <w:pPr>
        <w:ind w:left="3600" w:hanging="360"/>
      </w:pPr>
      <w:rPr>
        <w:rFonts w:ascii="Courier New" w:hAnsi="Courier New" w:hint="default"/>
      </w:rPr>
    </w:lvl>
    <w:lvl w:ilvl="5" w:tplc="82BAA152">
      <w:start w:val="1"/>
      <w:numFmt w:val="bullet"/>
      <w:lvlText w:val=""/>
      <w:lvlJc w:val="left"/>
      <w:pPr>
        <w:ind w:left="4320" w:hanging="360"/>
      </w:pPr>
      <w:rPr>
        <w:rFonts w:ascii="Wingdings" w:hAnsi="Wingdings" w:hint="default"/>
      </w:rPr>
    </w:lvl>
    <w:lvl w:ilvl="6" w:tplc="339AF7C8">
      <w:start w:val="1"/>
      <w:numFmt w:val="bullet"/>
      <w:lvlText w:val=""/>
      <w:lvlJc w:val="left"/>
      <w:pPr>
        <w:ind w:left="5040" w:hanging="360"/>
      </w:pPr>
      <w:rPr>
        <w:rFonts w:ascii="Symbol" w:hAnsi="Symbol" w:hint="default"/>
      </w:rPr>
    </w:lvl>
    <w:lvl w:ilvl="7" w:tplc="6DCCCD34">
      <w:start w:val="1"/>
      <w:numFmt w:val="bullet"/>
      <w:lvlText w:val="o"/>
      <w:lvlJc w:val="left"/>
      <w:pPr>
        <w:ind w:left="5760" w:hanging="360"/>
      </w:pPr>
      <w:rPr>
        <w:rFonts w:ascii="Courier New" w:hAnsi="Courier New" w:hint="default"/>
      </w:rPr>
    </w:lvl>
    <w:lvl w:ilvl="8" w:tplc="C798B650">
      <w:start w:val="1"/>
      <w:numFmt w:val="bullet"/>
      <w:lvlText w:val=""/>
      <w:lvlJc w:val="left"/>
      <w:pPr>
        <w:ind w:left="6480" w:hanging="360"/>
      </w:pPr>
      <w:rPr>
        <w:rFonts w:ascii="Wingdings" w:hAnsi="Wingdings" w:hint="default"/>
      </w:rPr>
    </w:lvl>
  </w:abstractNum>
  <w:abstractNum w:abstractNumId="10" w15:restartNumberingAfterBreak="0">
    <w:nsid w:val="503A0E54"/>
    <w:multiLevelType w:val="hybridMultilevel"/>
    <w:tmpl w:val="56F2D8AC"/>
    <w:lvl w:ilvl="0" w:tplc="287A5D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5F32C6"/>
    <w:multiLevelType w:val="hybridMultilevel"/>
    <w:tmpl w:val="4BC0730A"/>
    <w:lvl w:ilvl="0" w:tplc="CB14407A">
      <w:start w:val="1"/>
      <w:numFmt w:val="decimal"/>
      <w:lvlText w:val="%1."/>
      <w:lvlJc w:val="left"/>
      <w:pPr>
        <w:ind w:left="720" w:hanging="360"/>
      </w:pPr>
    </w:lvl>
    <w:lvl w:ilvl="1" w:tplc="F78A336A">
      <w:start w:val="1"/>
      <w:numFmt w:val="lowerLetter"/>
      <w:lvlText w:val="%2."/>
      <w:lvlJc w:val="left"/>
      <w:pPr>
        <w:ind w:left="1440" w:hanging="360"/>
      </w:pPr>
    </w:lvl>
    <w:lvl w:ilvl="2" w:tplc="BE80B4A2">
      <w:start w:val="1"/>
      <w:numFmt w:val="lowerRoman"/>
      <w:lvlText w:val="%3."/>
      <w:lvlJc w:val="right"/>
      <w:pPr>
        <w:ind w:left="2160" w:hanging="180"/>
      </w:pPr>
    </w:lvl>
    <w:lvl w:ilvl="3" w:tplc="23142380">
      <w:start w:val="1"/>
      <w:numFmt w:val="decimal"/>
      <w:lvlText w:val="%4."/>
      <w:lvlJc w:val="left"/>
      <w:pPr>
        <w:ind w:left="2880" w:hanging="360"/>
      </w:pPr>
    </w:lvl>
    <w:lvl w:ilvl="4" w:tplc="58D67A40">
      <w:start w:val="1"/>
      <w:numFmt w:val="lowerLetter"/>
      <w:lvlText w:val="%5."/>
      <w:lvlJc w:val="left"/>
      <w:pPr>
        <w:ind w:left="3600" w:hanging="360"/>
      </w:pPr>
    </w:lvl>
    <w:lvl w:ilvl="5" w:tplc="680C1BE6">
      <w:start w:val="1"/>
      <w:numFmt w:val="lowerRoman"/>
      <w:lvlText w:val="%6."/>
      <w:lvlJc w:val="right"/>
      <w:pPr>
        <w:ind w:left="4320" w:hanging="180"/>
      </w:pPr>
    </w:lvl>
    <w:lvl w:ilvl="6" w:tplc="87BCB74E">
      <w:start w:val="1"/>
      <w:numFmt w:val="decimal"/>
      <w:lvlText w:val="%7."/>
      <w:lvlJc w:val="left"/>
      <w:pPr>
        <w:ind w:left="5040" w:hanging="360"/>
      </w:pPr>
    </w:lvl>
    <w:lvl w:ilvl="7" w:tplc="AD4CC84A">
      <w:start w:val="1"/>
      <w:numFmt w:val="lowerLetter"/>
      <w:lvlText w:val="%8."/>
      <w:lvlJc w:val="left"/>
      <w:pPr>
        <w:ind w:left="5760" w:hanging="360"/>
      </w:pPr>
    </w:lvl>
    <w:lvl w:ilvl="8" w:tplc="69D4845A">
      <w:start w:val="1"/>
      <w:numFmt w:val="lowerRoman"/>
      <w:lvlText w:val="%9."/>
      <w:lvlJc w:val="right"/>
      <w:pPr>
        <w:ind w:left="6480" w:hanging="180"/>
      </w:pPr>
    </w:lvl>
  </w:abstractNum>
  <w:abstractNum w:abstractNumId="12"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871671"/>
    <w:multiLevelType w:val="hybridMultilevel"/>
    <w:tmpl w:val="9E44161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7"/>
  </w:num>
  <w:num w:numId="4">
    <w:abstractNumId w:val="11"/>
  </w:num>
  <w:num w:numId="5">
    <w:abstractNumId w:val="1"/>
  </w:num>
  <w:num w:numId="6">
    <w:abstractNumId w:val="2"/>
  </w:num>
  <w:num w:numId="7">
    <w:abstractNumId w:val="8"/>
  </w:num>
  <w:num w:numId="8">
    <w:abstractNumId w:val="9"/>
  </w:num>
  <w:num w:numId="9">
    <w:abstractNumId w:val="14"/>
  </w:num>
  <w:num w:numId="10">
    <w:abstractNumId w:val="12"/>
  </w:num>
  <w:num w:numId="11">
    <w:abstractNumId w:val="3"/>
  </w:num>
  <w:num w:numId="12">
    <w:abstractNumId w:val="6"/>
  </w:num>
  <w:num w:numId="13">
    <w:abstractNumId w:val="10"/>
  </w:num>
  <w:num w:numId="14">
    <w:abstractNumId w:val="13"/>
  </w:num>
  <w:num w:numId="1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19"/>
    <w:rsid w:val="00007DE7"/>
    <w:rsid w:val="00021179"/>
    <w:rsid w:val="0008716B"/>
    <w:rsid w:val="000928EF"/>
    <w:rsid w:val="00097E81"/>
    <w:rsid w:val="000B6D87"/>
    <w:rsid w:val="000C0D03"/>
    <w:rsid w:val="000C64ED"/>
    <w:rsid w:val="00125399"/>
    <w:rsid w:val="00132670"/>
    <w:rsid w:val="001477B8"/>
    <w:rsid w:val="00165434"/>
    <w:rsid w:val="001734A4"/>
    <w:rsid w:val="001D3BBD"/>
    <w:rsid w:val="001E0D23"/>
    <w:rsid w:val="002126A8"/>
    <w:rsid w:val="0028110A"/>
    <w:rsid w:val="00285BC7"/>
    <w:rsid w:val="002C7219"/>
    <w:rsid w:val="002D5DB6"/>
    <w:rsid w:val="002E012D"/>
    <w:rsid w:val="00307767"/>
    <w:rsid w:val="003130E9"/>
    <w:rsid w:val="003351F6"/>
    <w:rsid w:val="00351078"/>
    <w:rsid w:val="003529DD"/>
    <w:rsid w:val="00374FEF"/>
    <w:rsid w:val="00377216"/>
    <w:rsid w:val="003A2464"/>
    <w:rsid w:val="003B2B96"/>
    <w:rsid w:val="003B7175"/>
    <w:rsid w:val="003C0A58"/>
    <w:rsid w:val="003C588A"/>
    <w:rsid w:val="003D4C20"/>
    <w:rsid w:val="003F7D79"/>
    <w:rsid w:val="00414E43"/>
    <w:rsid w:val="00421282"/>
    <w:rsid w:val="004604F4"/>
    <w:rsid w:val="00473005"/>
    <w:rsid w:val="0049441C"/>
    <w:rsid w:val="004B0C69"/>
    <w:rsid w:val="004B4096"/>
    <w:rsid w:val="004D15F2"/>
    <w:rsid w:val="004E67A8"/>
    <w:rsid w:val="00513B00"/>
    <w:rsid w:val="00514C37"/>
    <w:rsid w:val="00516E81"/>
    <w:rsid w:val="005243FE"/>
    <w:rsid w:val="00541BB8"/>
    <w:rsid w:val="005576FC"/>
    <w:rsid w:val="00562851"/>
    <w:rsid w:val="00563796"/>
    <w:rsid w:val="00566F5B"/>
    <w:rsid w:val="005C5AD6"/>
    <w:rsid w:val="005E17D4"/>
    <w:rsid w:val="005F3856"/>
    <w:rsid w:val="00612580"/>
    <w:rsid w:val="0063469E"/>
    <w:rsid w:val="0064634E"/>
    <w:rsid w:val="00694A30"/>
    <w:rsid w:val="00717D7A"/>
    <w:rsid w:val="007578AC"/>
    <w:rsid w:val="00763BE7"/>
    <w:rsid w:val="00781E18"/>
    <w:rsid w:val="007960EA"/>
    <w:rsid w:val="007B74A0"/>
    <w:rsid w:val="007F50D8"/>
    <w:rsid w:val="007F56F2"/>
    <w:rsid w:val="00810982"/>
    <w:rsid w:val="00835F17"/>
    <w:rsid w:val="008956BB"/>
    <w:rsid w:val="008974D1"/>
    <w:rsid w:val="008C0CCA"/>
    <w:rsid w:val="008E24FD"/>
    <w:rsid w:val="008E65E7"/>
    <w:rsid w:val="00920611"/>
    <w:rsid w:val="00942781"/>
    <w:rsid w:val="00990615"/>
    <w:rsid w:val="009C4CCC"/>
    <w:rsid w:val="009E0104"/>
    <w:rsid w:val="009F037A"/>
    <w:rsid w:val="00A219DE"/>
    <w:rsid w:val="00A62431"/>
    <w:rsid w:val="00A72E1B"/>
    <w:rsid w:val="00A850B4"/>
    <w:rsid w:val="00A90A82"/>
    <w:rsid w:val="00A92FF4"/>
    <w:rsid w:val="00A95E46"/>
    <w:rsid w:val="00A95EE7"/>
    <w:rsid w:val="00AD4F55"/>
    <w:rsid w:val="00B010CA"/>
    <w:rsid w:val="00B2401D"/>
    <w:rsid w:val="00B569C2"/>
    <w:rsid w:val="00B579B1"/>
    <w:rsid w:val="00BB5157"/>
    <w:rsid w:val="00BD3091"/>
    <w:rsid w:val="00C039F0"/>
    <w:rsid w:val="00C645AA"/>
    <w:rsid w:val="00C676DD"/>
    <w:rsid w:val="00C81454"/>
    <w:rsid w:val="00C87FC4"/>
    <w:rsid w:val="00CB29B9"/>
    <w:rsid w:val="00CC3CAE"/>
    <w:rsid w:val="00CD1AC5"/>
    <w:rsid w:val="00CD3DCD"/>
    <w:rsid w:val="00D16FEF"/>
    <w:rsid w:val="00D41A4E"/>
    <w:rsid w:val="00D43C16"/>
    <w:rsid w:val="00DE2D01"/>
    <w:rsid w:val="00DF0F43"/>
    <w:rsid w:val="00E24481"/>
    <w:rsid w:val="00E336B0"/>
    <w:rsid w:val="00E5060F"/>
    <w:rsid w:val="00E61E0D"/>
    <w:rsid w:val="00E918A3"/>
    <w:rsid w:val="00EC0EAA"/>
    <w:rsid w:val="00EC3910"/>
    <w:rsid w:val="00F42ACA"/>
    <w:rsid w:val="00F4586F"/>
    <w:rsid w:val="00F6427A"/>
    <w:rsid w:val="00F81E64"/>
    <w:rsid w:val="00F84287"/>
    <w:rsid w:val="00FA3B04"/>
    <w:rsid w:val="00FE4041"/>
    <w:rsid w:val="00FF0663"/>
    <w:rsid w:val="14D7E0A5"/>
    <w:rsid w:val="198809AD"/>
    <w:rsid w:val="1F861318"/>
    <w:rsid w:val="264D7CA1"/>
    <w:rsid w:val="3038F58C"/>
    <w:rsid w:val="38056976"/>
    <w:rsid w:val="3B2141DE"/>
    <w:rsid w:val="3CC2BDBF"/>
    <w:rsid w:val="43F760B1"/>
    <w:rsid w:val="45B8A495"/>
    <w:rsid w:val="49957275"/>
    <w:rsid w:val="5184F12A"/>
    <w:rsid w:val="55BC311F"/>
    <w:rsid w:val="5B130360"/>
    <w:rsid w:val="5BFA9DF2"/>
    <w:rsid w:val="5C939B98"/>
    <w:rsid w:val="5CE1C65C"/>
    <w:rsid w:val="5D2CD5C8"/>
    <w:rsid w:val="64535D9A"/>
    <w:rsid w:val="686BBCA6"/>
    <w:rsid w:val="6A3AF3DD"/>
    <w:rsid w:val="6D64374A"/>
    <w:rsid w:val="75AB8AF5"/>
    <w:rsid w:val="76B3D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8EFB6F"/>
  <w15:chartTrackingRefBased/>
  <w15:docId w15:val="{F618F431-5252-4D87-8480-CE907920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72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7219"/>
  </w:style>
  <w:style w:type="character" w:customStyle="1" w:styleId="eop">
    <w:name w:val="eop"/>
    <w:basedOn w:val="DefaultParagraphFont"/>
    <w:rsid w:val="002C7219"/>
  </w:style>
  <w:style w:type="character" w:customStyle="1" w:styleId="spellingerror">
    <w:name w:val="spellingerror"/>
    <w:basedOn w:val="DefaultParagraphFont"/>
    <w:rsid w:val="002C721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1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3B00"/>
    <w:rPr>
      <w:b/>
      <w:bCs/>
    </w:rPr>
  </w:style>
  <w:style w:type="character" w:customStyle="1" w:styleId="CommentSubjectChar">
    <w:name w:val="Comment Subject Char"/>
    <w:basedOn w:val="CommentTextChar"/>
    <w:link w:val="CommentSubject"/>
    <w:uiPriority w:val="99"/>
    <w:semiHidden/>
    <w:rsid w:val="00513B00"/>
    <w:rPr>
      <w:b/>
      <w:bCs/>
      <w:sz w:val="20"/>
      <w:szCs w:val="20"/>
    </w:rPr>
  </w:style>
  <w:style w:type="character" w:customStyle="1" w:styleId="titledefault">
    <w:name w:val="title_default"/>
    <w:basedOn w:val="DefaultParagraphFont"/>
    <w:rsid w:val="004B0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hai/prevent/tap.html" TargetMode="External"/><Relationship Id="rId13" Type="http://schemas.openxmlformats.org/officeDocument/2006/relationships/hyperlink" Target="http://apic.org/Resource_/EliminationGuideForm/59397fc6-3f90-43d1-9325-e8be75d86888/File/2013CDiffFinal.pdf"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cdc.gov/nhsn/acute-care-hospital/cdiff-mrsa/index.html" TargetMode="External"/><Relationship Id="rId12" Type="http://schemas.openxmlformats.org/officeDocument/2006/relationships/hyperlink" Target="http://www.jstor.org/stable/10.1086/651706"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05F36"/>
    <w:rsid w:val="005B7377"/>
    <w:rsid w:val="00D0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be1883-68f2-4e02-b019-f9e988ec05e9">
  <we:reference id="WA104124372"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12</TotalTime>
  <Pages>7</Pages>
  <Words>2003</Words>
  <Characters>12162</Characters>
  <Application>Microsoft Office Word</Application>
  <DocSecurity>0</DocSecurity>
  <Lines>184</Lines>
  <Paragraphs>84</Paragraphs>
  <ScaleCrop>false</ScaleCrop>
  <Company/>
  <LinksUpToDate>false</LinksUpToDate>
  <CharactersWithSpaces>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54</cp:revision>
  <dcterms:created xsi:type="dcterms:W3CDTF">2018-03-19T12:55:00Z</dcterms:created>
  <dcterms:modified xsi:type="dcterms:W3CDTF">2018-05-18T19:37:00Z</dcterms:modified>
</cp:coreProperties>
</file>