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1404B0" w14:textId="347B73D1" w:rsidR="003674B3" w:rsidRDefault="003674B3" w:rsidP="00785330">
      <w:pPr>
        <w:spacing w:after="0" w:line="240" w:lineRule="auto"/>
        <w:rPr>
          <w:b/>
          <w:bCs/>
          <w:sz w:val="28"/>
          <w:szCs w:val="28"/>
          <w:u w:val="single"/>
        </w:rPr>
      </w:pPr>
      <w:bookmarkStart w:id="0" w:name="_Hlk513646393"/>
    </w:p>
    <w:p w14:paraId="35DDA64D" w14:textId="273D4326" w:rsidR="00754F86" w:rsidRDefault="00785330" w:rsidP="00754F86">
      <w:pPr>
        <w:spacing w:after="0" w:line="240" w:lineRule="auto"/>
        <w:jc w:val="center"/>
        <w:rPr>
          <w:b/>
          <w:bCs/>
          <w:i/>
          <w:sz w:val="28"/>
          <w:szCs w:val="28"/>
          <w:u w:val="single"/>
        </w:rPr>
      </w:pPr>
      <w:r w:rsidRPr="003674B3">
        <w:rPr>
          <w:b/>
          <w:bCs/>
          <w:sz w:val="28"/>
          <w:szCs w:val="28"/>
          <w:u w:val="single"/>
        </w:rPr>
        <w:t>CORHA Policy Workgroup Charge</w:t>
      </w:r>
    </w:p>
    <w:p w14:paraId="67499506" w14:textId="1181C745" w:rsidR="00785330" w:rsidRPr="00754F86" w:rsidRDefault="00754F86" w:rsidP="00754F86">
      <w:pPr>
        <w:spacing w:after="0" w:line="240" w:lineRule="auto"/>
        <w:jc w:val="center"/>
        <w:rPr>
          <w:bCs/>
          <w:i/>
          <w:sz w:val="28"/>
          <w:szCs w:val="28"/>
        </w:rPr>
      </w:pPr>
      <w:r w:rsidRPr="00754F86">
        <w:rPr>
          <w:bCs/>
          <w:i/>
        </w:rPr>
        <w:t xml:space="preserve">Approved by the CORHA Governance Committee </w:t>
      </w:r>
      <w:r w:rsidR="007B64AF">
        <w:rPr>
          <w:bCs/>
          <w:i/>
        </w:rPr>
        <w:t xml:space="preserve">on </w:t>
      </w:r>
      <w:r w:rsidRPr="00754F86">
        <w:rPr>
          <w:bCs/>
          <w:i/>
        </w:rPr>
        <w:t>July 12, 2018</w:t>
      </w:r>
    </w:p>
    <w:p w14:paraId="0CE70463" w14:textId="77777777" w:rsidR="00785330" w:rsidRPr="009B5827" w:rsidRDefault="00785330" w:rsidP="00785330">
      <w:pPr>
        <w:spacing w:after="0" w:line="240" w:lineRule="auto"/>
        <w:rPr>
          <w:b/>
          <w:bCs/>
        </w:rPr>
      </w:pPr>
    </w:p>
    <w:p w14:paraId="15A01173" w14:textId="77777777" w:rsidR="00785330" w:rsidRPr="001836D8" w:rsidRDefault="00785330" w:rsidP="00785330">
      <w:pPr>
        <w:pStyle w:val="PlainText"/>
        <w:rPr>
          <w:rFonts w:asciiTheme="minorHAnsi" w:hAnsiTheme="minorHAnsi"/>
          <w:b/>
          <w:bCs/>
        </w:rPr>
      </w:pPr>
      <w:r w:rsidRPr="4719064F">
        <w:rPr>
          <w:rFonts w:asciiTheme="minorHAnsi" w:hAnsiTheme="minorHAnsi"/>
          <w:b/>
          <w:bCs/>
        </w:rPr>
        <w:t>Workgroup purpose:</w:t>
      </w:r>
    </w:p>
    <w:p w14:paraId="38CA2732" w14:textId="77777777" w:rsidR="00785330" w:rsidRPr="009B5827" w:rsidRDefault="00785330" w:rsidP="0078533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3E4E6867" w14:textId="77777777" w:rsidR="00785330" w:rsidRPr="009B5827" w:rsidRDefault="00785330" w:rsidP="00785330">
      <w:pPr>
        <w:spacing w:after="0" w:line="240" w:lineRule="auto"/>
        <w:rPr>
          <w:rFonts w:cstheme="minorHAnsi"/>
          <w:b/>
        </w:rPr>
      </w:pPr>
    </w:p>
    <w:p w14:paraId="61081CF2" w14:textId="77777777" w:rsidR="00785330" w:rsidRPr="009B5827" w:rsidRDefault="00785330" w:rsidP="00785330">
      <w:pPr>
        <w:spacing w:after="0" w:line="240" w:lineRule="auto"/>
        <w:rPr>
          <w:b/>
          <w:bCs/>
        </w:rPr>
      </w:pPr>
      <w:r w:rsidRPr="4719064F">
        <w:rPr>
          <w:b/>
          <w:bCs/>
        </w:rPr>
        <w:t>To address these priorities, the Workgroup will work in sequence to address the following focus areas:</w:t>
      </w:r>
    </w:p>
    <w:p w14:paraId="0F4B4E7A" w14:textId="77777777" w:rsidR="00785330" w:rsidRDefault="00785330" w:rsidP="00785330">
      <w:pPr>
        <w:spacing w:after="0" w:line="240" w:lineRule="auto"/>
        <w:rPr>
          <w:rFonts w:cstheme="minorHAnsi"/>
          <w:b/>
        </w:rPr>
      </w:pPr>
      <w:bookmarkStart w:id="1" w:name="_Hlk501530249"/>
    </w:p>
    <w:p w14:paraId="570E5AA3" w14:textId="18043C30" w:rsidR="00785330" w:rsidRPr="001836D8" w:rsidRDefault="00785330" w:rsidP="00785330">
      <w:pPr>
        <w:pStyle w:val="ListParagraph"/>
        <w:numPr>
          <w:ilvl w:val="0"/>
          <w:numId w:val="34"/>
        </w:numPr>
        <w:spacing w:after="0" w:line="240" w:lineRule="auto"/>
        <w:rPr>
          <w:b/>
          <w:bCs/>
        </w:rPr>
      </w:pPr>
      <w:r w:rsidRPr="001836D8">
        <w:rPr>
          <w:b/>
          <w:bCs/>
        </w:rPr>
        <w:t xml:space="preserve">Improve </w:t>
      </w:r>
      <w:r w:rsidRPr="00942E8B">
        <w:rPr>
          <w:b/>
          <w:bCs/>
          <w:highlight w:val="yellow"/>
        </w:rPr>
        <w:t>reporting</w:t>
      </w:r>
      <w:r w:rsidR="00942E8B" w:rsidRPr="00942E8B">
        <w:rPr>
          <w:b/>
          <w:bCs/>
          <w:highlight w:val="yellow"/>
        </w:rPr>
        <w:t>, notification and disclosure</w:t>
      </w:r>
      <w:r w:rsidRPr="001836D8">
        <w:rPr>
          <w:b/>
          <w:bCs/>
        </w:rPr>
        <w:t xml:space="preserve"> of HAI/AR outbreaks and exposure events</w:t>
      </w:r>
    </w:p>
    <w:p w14:paraId="5CB80185" w14:textId="77777777" w:rsidR="00785330" w:rsidRPr="0099420C" w:rsidRDefault="00785330" w:rsidP="00785330">
      <w:pPr>
        <w:spacing w:after="0" w:line="240" w:lineRule="auto"/>
        <w:ind w:firstLine="720"/>
        <w:rPr>
          <w:b/>
          <w:bCs/>
          <w:i/>
          <w:iCs/>
        </w:rPr>
      </w:pPr>
      <w:r w:rsidRPr="0099420C">
        <w:rPr>
          <w:b/>
          <w:bCs/>
          <w:i/>
          <w:iCs/>
        </w:rPr>
        <w:t>Outbreak Reporting, Notification, and Disclosure.</w:t>
      </w:r>
    </w:p>
    <w:p w14:paraId="1A1F3126" w14:textId="77777777" w:rsidR="00785330" w:rsidRDefault="00785330" w:rsidP="00785330">
      <w:pPr>
        <w:spacing w:after="0" w:line="240" w:lineRule="auto"/>
        <w:ind w:left="720"/>
      </w:pPr>
      <w:r w:rsidRPr="0099420C">
        <w:t>For the purposes of this workgroup,</w:t>
      </w:r>
      <w:r>
        <w:t xml:space="preserve"> the following definitions are important:</w:t>
      </w:r>
    </w:p>
    <w:p w14:paraId="39AD2C83" w14:textId="77777777" w:rsidR="00785330" w:rsidRDefault="00785330" w:rsidP="00785330">
      <w:pPr>
        <w:pStyle w:val="ListParagraph"/>
        <w:numPr>
          <w:ilvl w:val="0"/>
          <w:numId w:val="35"/>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43916FC9" w14:textId="77777777" w:rsidR="00785330" w:rsidRDefault="00785330" w:rsidP="00785330">
      <w:pPr>
        <w:pStyle w:val="ListParagraph"/>
        <w:numPr>
          <w:ilvl w:val="0"/>
          <w:numId w:val="35"/>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3D7A55D3" w14:textId="77777777" w:rsidR="00785330" w:rsidRPr="00BF5FF3" w:rsidRDefault="00785330" w:rsidP="00785330">
      <w:pPr>
        <w:pStyle w:val="ListParagraph"/>
        <w:numPr>
          <w:ilvl w:val="0"/>
          <w:numId w:val="35"/>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193B5765" w14:textId="77777777" w:rsidR="00785330" w:rsidRPr="00BF5FF3" w:rsidRDefault="00785330" w:rsidP="00785330">
      <w:pPr>
        <w:pStyle w:val="ListParagraph"/>
        <w:spacing w:after="0" w:line="240" w:lineRule="auto"/>
        <w:rPr>
          <w:rFonts w:cstheme="minorHAnsi"/>
          <w:b/>
        </w:rPr>
      </w:pPr>
    </w:p>
    <w:p w14:paraId="14948C12" w14:textId="77777777" w:rsidR="00785330" w:rsidRPr="009B5827" w:rsidRDefault="00785330" w:rsidP="00785330">
      <w:pPr>
        <w:spacing w:after="0" w:line="240" w:lineRule="auto"/>
        <w:ind w:left="720"/>
      </w:pPr>
      <w:r w:rsidRPr="4719064F">
        <w:t>To address outbreak reporting, notification, and disclosure, Policy Workgroup members will conduct the following activities in Phase I:</w:t>
      </w:r>
    </w:p>
    <w:p w14:paraId="21CE41DE" w14:textId="77777777" w:rsidR="00785330" w:rsidRDefault="00785330" w:rsidP="00785330">
      <w:pPr>
        <w:pStyle w:val="ListParagraph"/>
        <w:numPr>
          <w:ilvl w:val="1"/>
          <w:numId w:val="34"/>
        </w:numPr>
        <w:spacing w:after="0" w:line="240" w:lineRule="auto"/>
      </w:pPr>
      <w:r w:rsidRPr="4719064F">
        <w:t>Assess current state law</w:t>
      </w:r>
      <w:r>
        <w:t>s</w:t>
      </w:r>
      <w:r w:rsidRPr="4719064F">
        <w:t xml:space="preserve"> relating to HAI outbreak reporting, notification, and disclosure practices;</w:t>
      </w:r>
    </w:p>
    <w:p w14:paraId="00C1A563" w14:textId="77777777" w:rsidR="00785330" w:rsidRDefault="00785330" w:rsidP="00785330">
      <w:pPr>
        <w:pStyle w:val="ListParagraph"/>
        <w:numPr>
          <w:ilvl w:val="1"/>
          <w:numId w:val="34"/>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4F831201" w14:textId="165FC283" w:rsidR="00942E8B" w:rsidRPr="00942E8B" w:rsidRDefault="00942E8B" w:rsidP="00785330">
      <w:pPr>
        <w:pStyle w:val="ListParagraph"/>
        <w:numPr>
          <w:ilvl w:val="1"/>
          <w:numId w:val="34"/>
        </w:numPr>
        <w:spacing w:after="0" w:line="240" w:lineRule="auto"/>
        <w:rPr>
          <w:highlight w:val="yellow"/>
        </w:rPr>
      </w:pPr>
      <w:r w:rsidRPr="00942E8B">
        <w:rPr>
          <w:highlight w:val="yellow"/>
        </w:rPr>
        <w:t xml:space="preserve">Assess current best practices </w:t>
      </w:r>
      <w:r w:rsidR="00AC0119" w:rsidRPr="00942E8B">
        <w:rPr>
          <w:highlight w:val="yellow"/>
        </w:rPr>
        <w:t>relating</w:t>
      </w:r>
      <w:r w:rsidRPr="00942E8B">
        <w:rPr>
          <w:highlight w:val="yellow"/>
        </w:rPr>
        <w:t xml:space="preserve"> to outbreak reporting notification and disclosure in several </w:t>
      </w:r>
      <w:r w:rsidR="00AC0119" w:rsidRPr="00942E8B">
        <w:rPr>
          <w:highlight w:val="yellow"/>
        </w:rPr>
        <w:t>states, territories</w:t>
      </w:r>
      <w:r w:rsidRPr="00942E8B">
        <w:rPr>
          <w:highlight w:val="yellow"/>
        </w:rPr>
        <w:t xml:space="preserve"> or local health jurisdictions;</w:t>
      </w:r>
    </w:p>
    <w:p w14:paraId="1FF2823C" w14:textId="17D7E74F" w:rsidR="00785330" w:rsidRDefault="00785330" w:rsidP="00785330">
      <w:pPr>
        <w:pStyle w:val="ListParagraph"/>
        <w:numPr>
          <w:ilvl w:val="1"/>
          <w:numId w:val="34"/>
        </w:numPr>
        <w:spacing w:after="0" w:line="240" w:lineRule="auto"/>
      </w:pPr>
      <w:r w:rsidRPr="4719064F">
        <w:t xml:space="preserve">Explore and describe common HAI outbreak reporting, </w:t>
      </w:r>
      <w:r>
        <w:t>notification, and disclosure</w:t>
      </w:r>
      <w:r w:rsidR="00942E8B">
        <w:t xml:space="preserve"> </w:t>
      </w:r>
      <w:r w:rsidR="00942E8B" w:rsidRPr="00942E8B">
        <w:rPr>
          <w:highlight w:val="yellow"/>
        </w:rPr>
        <w:t>barriers</w:t>
      </w:r>
      <w:r w:rsidRPr="00942E8B">
        <w:rPr>
          <w:highlight w:val="yellow"/>
        </w:rPr>
        <w:t>;</w:t>
      </w:r>
    </w:p>
    <w:p w14:paraId="357B0546" w14:textId="77777777" w:rsidR="00785330" w:rsidRDefault="00785330" w:rsidP="00785330">
      <w:pPr>
        <w:pStyle w:val="ListParagraph"/>
        <w:numPr>
          <w:ilvl w:val="1"/>
          <w:numId w:val="34"/>
        </w:numPr>
        <w:spacing w:after="0" w:line="240" w:lineRule="auto"/>
      </w:pPr>
      <w:r w:rsidRPr="4719064F">
        <w:t>Define and describe levels of HAI outbreak public disclosure;</w:t>
      </w:r>
    </w:p>
    <w:p w14:paraId="4B862CBA" w14:textId="50D18223" w:rsidR="00785330" w:rsidRDefault="00785330" w:rsidP="00785330">
      <w:pPr>
        <w:pStyle w:val="ListParagraph"/>
        <w:numPr>
          <w:ilvl w:val="1"/>
          <w:numId w:val="34"/>
        </w:numPr>
        <w:spacing w:after="0" w:line="240" w:lineRule="auto"/>
      </w:pPr>
      <w:r w:rsidRPr="4719064F">
        <w:t xml:space="preserve">Describe ethical and legal issues related to HAI outbreak </w:t>
      </w:r>
      <w:r w:rsidRPr="00942E8B">
        <w:rPr>
          <w:highlight w:val="yellow"/>
        </w:rPr>
        <w:t xml:space="preserve">reporting, </w:t>
      </w:r>
      <w:r w:rsidR="00942E8B" w:rsidRPr="00942E8B">
        <w:rPr>
          <w:highlight w:val="yellow"/>
        </w:rPr>
        <w:t>notification and disclosure</w:t>
      </w:r>
      <w:r w:rsidR="00942E8B">
        <w:t xml:space="preserve"> </w:t>
      </w:r>
      <w:r w:rsidRPr="4719064F">
        <w:t xml:space="preserve">including but not limited to </w:t>
      </w:r>
      <w:r>
        <w:t xml:space="preserve">timeliness of reporting, notification and </w:t>
      </w:r>
      <w:r w:rsidRPr="4719064F">
        <w:t xml:space="preserve">disclosure; </w:t>
      </w:r>
    </w:p>
    <w:p w14:paraId="756EB914" w14:textId="77777777" w:rsidR="00785330" w:rsidRDefault="00785330" w:rsidP="00785330">
      <w:pPr>
        <w:pStyle w:val="ListParagraph"/>
        <w:numPr>
          <w:ilvl w:val="1"/>
          <w:numId w:val="34"/>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33BF287B" w14:textId="77777777" w:rsidR="00785330" w:rsidRPr="009B5827" w:rsidRDefault="00785330" w:rsidP="00785330">
      <w:pPr>
        <w:pStyle w:val="ListParagraph"/>
        <w:numPr>
          <w:ilvl w:val="1"/>
          <w:numId w:val="34"/>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4780C608" w14:textId="77777777" w:rsidR="00785330" w:rsidRDefault="00785330" w:rsidP="00785330">
      <w:pPr>
        <w:spacing w:after="0" w:line="240" w:lineRule="auto"/>
        <w:rPr>
          <w:rFonts w:cstheme="minorHAnsi"/>
          <w:b/>
        </w:rPr>
      </w:pPr>
    </w:p>
    <w:p w14:paraId="323A0875" w14:textId="77777777" w:rsidR="00785330" w:rsidRDefault="00785330" w:rsidP="00785330">
      <w:pPr>
        <w:pStyle w:val="ListParagraph"/>
        <w:numPr>
          <w:ilvl w:val="0"/>
          <w:numId w:val="34"/>
        </w:numPr>
        <w:spacing w:after="0" w:line="240" w:lineRule="auto"/>
      </w:pPr>
      <w:r w:rsidRPr="001836D8">
        <w:rPr>
          <w:b/>
          <w:bCs/>
        </w:rPr>
        <w:t>Explore options to enhance legal authority and policy options to support best practices</w:t>
      </w:r>
    </w:p>
    <w:p w14:paraId="77634B64" w14:textId="77777777" w:rsidR="00785330" w:rsidRPr="003456F9" w:rsidRDefault="00785330" w:rsidP="0078533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375021D5" w14:textId="40F4554A" w:rsidR="00785330" w:rsidRDefault="00942E8B" w:rsidP="00785330">
      <w:pPr>
        <w:pStyle w:val="ListParagraph"/>
        <w:numPr>
          <w:ilvl w:val="1"/>
          <w:numId w:val="34"/>
        </w:numPr>
        <w:spacing w:after="0" w:line="240" w:lineRule="auto"/>
      </w:pPr>
      <w:r w:rsidRPr="00942E8B">
        <w:rPr>
          <w:highlight w:val="yellow"/>
        </w:rPr>
        <w:lastRenderedPageBreak/>
        <w:t>Summarize and highlight</w:t>
      </w:r>
      <w:r>
        <w:t xml:space="preserve"> </w:t>
      </w:r>
      <w:r w:rsidR="00785330" w:rsidRPr="4719064F">
        <w:t>best practice</w:t>
      </w:r>
      <w:r w:rsidR="00785330">
        <w:t>s</w:t>
      </w:r>
      <w:r w:rsidR="00785330" w:rsidRPr="4719064F">
        <w:t xml:space="preserve"> </w:t>
      </w:r>
      <w:r w:rsidR="00785330">
        <w:t xml:space="preserve">and considerations </w:t>
      </w:r>
      <w:r w:rsidR="00785330" w:rsidRPr="4719064F">
        <w:t xml:space="preserve">for HAI outbreak reporting, notification, and disclosure options, as identified </w:t>
      </w:r>
      <w:r w:rsidR="00785330">
        <w:t>through</w:t>
      </w:r>
      <w:r w:rsidR="00785330" w:rsidRPr="4719064F">
        <w:t xml:space="preserve"> the Phase I activities described above;</w:t>
      </w:r>
    </w:p>
    <w:p w14:paraId="182EAE71" w14:textId="230FC693" w:rsidR="00785330" w:rsidRDefault="00942E8B" w:rsidP="00785330">
      <w:pPr>
        <w:pStyle w:val="ListParagraph"/>
        <w:numPr>
          <w:ilvl w:val="1"/>
          <w:numId w:val="34"/>
        </w:numPr>
        <w:spacing w:after="0" w:line="240" w:lineRule="auto"/>
      </w:pPr>
      <w:r>
        <w:t>Summarize</w:t>
      </w:r>
      <w:r w:rsidR="00785330" w:rsidRPr="4719064F">
        <w:t xml:space="preserve"> legal issues </w:t>
      </w:r>
      <w:r w:rsidR="00785330">
        <w:t>or barriers</w:t>
      </w:r>
      <w:r>
        <w:t xml:space="preserve"> discovered in Phase 1</w:t>
      </w:r>
      <w:r w:rsidR="00785330">
        <w:t xml:space="preserve"> that impact</w:t>
      </w:r>
      <w:r w:rsidR="00785330" w:rsidRPr="4719064F">
        <w:t xml:space="preserve"> HAI outbreak </w:t>
      </w:r>
      <w:r w:rsidR="00785330">
        <w:t xml:space="preserve">reporting, notification and </w:t>
      </w:r>
      <w:r w:rsidR="00785330" w:rsidRPr="4719064F">
        <w:t>disclosure;</w:t>
      </w:r>
    </w:p>
    <w:p w14:paraId="51E6D228" w14:textId="77777777" w:rsidR="00785330" w:rsidRDefault="00785330" w:rsidP="00785330">
      <w:pPr>
        <w:pStyle w:val="ListParagraph"/>
        <w:numPr>
          <w:ilvl w:val="1"/>
          <w:numId w:val="34"/>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1F192FB6" w14:textId="77777777" w:rsidR="00785330" w:rsidRPr="009B5827" w:rsidRDefault="00785330" w:rsidP="00785330">
      <w:pPr>
        <w:pStyle w:val="ListParagraph"/>
        <w:numPr>
          <w:ilvl w:val="1"/>
          <w:numId w:val="34"/>
        </w:numPr>
        <w:spacing w:after="0" w:line="240" w:lineRule="auto"/>
      </w:pPr>
      <w:r>
        <w:t xml:space="preserve">Develop or promote state and local policy options for consideration or policy language to support best practices for HAI outbreak reporting, notification, and disclosure. </w:t>
      </w:r>
    </w:p>
    <w:p w14:paraId="2448112A" w14:textId="77777777" w:rsidR="00785330" w:rsidRPr="009B5827" w:rsidRDefault="00785330" w:rsidP="00785330">
      <w:pPr>
        <w:pStyle w:val="ListParagraph"/>
        <w:spacing w:after="0" w:line="240" w:lineRule="auto"/>
        <w:ind w:left="1440"/>
        <w:rPr>
          <w:rFonts w:cstheme="minorHAnsi"/>
        </w:rPr>
      </w:pPr>
    </w:p>
    <w:bookmarkEnd w:id="1"/>
    <w:p w14:paraId="7BC74D00" w14:textId="77777777" w:rsidR="00785330" w:rsidRPr="003456F9" w:rsidRDefault="00785330" w:rsidP="0078533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218A02CD" w14:textId="77777777" w:rsidR="00785330" w:rsidRDefault="00785330" w:rsidP="00785330">
      <w:pPr>
        <w:spacing w:after="0" w:line="240" w:lineRule="auto"/>
        <w:rPr>
          <w:rFonts w:cstheme="minorHAnsi"/>
        </w:rPr>
      </w:pPr>
    </w:p>
    <w:p w14:paraId="469A2CFE" w14:textId="77777777" w:rsidR="00785330" w:rsidRPr="009B5827" w:rsidRDefault="00785330" w:rsidP="00785330">
      <w:pPr>
        <w:spacing w:after="0" w:line="240" w:lineRule="auto"/>
      </w:pPr>
      <w:r w:rsidRPr="4719064F">
        <w:rPr>
          <w:b/>
          <w:bCs/>
        </w:rPr>
        <w:t>Policy Workgroup Members should consider representation from the following perspectives</w:t>
      </w:r>
      <w:r w:rsidRPr="4719064F">
        <w:t>:</w:t>
      </w:r>
    </w:p>
    <w:p w14:paraId="23BCE0CB" w14:textId="77777777" w:rsidR="00785330" w:rsidRPr="009B5827" w:rsidRDefault="00785330" w:rsidP="0078533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2008A164" w14:textId="77777777" w:rsidR="00785330" w:rsidRDefault="00785330" w:rsidP="00785330">
      <w:pPr>
        <w:spacing w:after="0" w:line="240" w:lineRule="auto"/>
        <w:rPr>
          <w:rFonts w:cstheme="minorHAnsi"/>
        </w:rPr>
      </w:pPr>
    </w:p>
    <w:p w14:paraId="73358559" w14:textId="1EEA95DB" w:rsidR="00785330" w:rsidRDefault="00754F86" w:rsidP="00985B78">
      <w:pPr>
        <w:spacing w:after="0" w:line="240" w:lineRule="auto"/>
        <w:rPr>
          <w:rFonts w:cstheme="minorHAnsi"/>
          <w:b/>
          <w:color w:val="000000" w:themeColor="text1"/>
        </w:rPr>
      </w:pPr>
      <w:r>
        <w:rPr>
          <w:rFonts w:cstheme="minorHAnsi"/>
          <w:b/>
          <w:color w:val="000000" w:themeColor="text1"/>
        </w:rPr>
        <w:t>A</w:t>
      </w:r>
      <w:r w:rsidR="00785330" w:rsidRPr="00D02579">
        <w:rPr>
          <w:rFonts w:cstheme="minorHAnsi"/>
          <w:b/>
          <w:color w:val="000000" w:themeColor="text1"/>
        </w:rPr>
        <w:t xml:space="preserve"> future phase may focus more specifically on legal </w:t>
      </w:r>
      <w:r w:rsidR="00785330" w:rsidRPr="00651B80">
        <w:rPr>
          <w:rFonts w:cstheme="minorHAnsi"/>
          <w:b/>
          <w:color w:val="000000" w:themeColor="text1"/>
        </w:rPr>
        <w:t>authorities related to investigation activities.</w:t>
      </w:r>
      <w:bookmarkEnd w:id="0"/>
    </w:p>
    <w:p w14:paraId="2F41CA09" w14:textId="77777777" w:rsidR="00942E8B" w:rsidRDefault="00942E8B" w:rsidP="00985B78">
      <w:pPr>
        <w:spacing w:after="0" w:line="240" w:lineRule="auto"/>
        <w:rPr>
          <w:rFonts w:cstheme="minorHAnsi"/>
          <w:b/>
          <w:color w:val="000000" w:themeColor="text1"/>
        </w:rPr>
      </w:pPr>
    </w:p>
    <w:p w14:paraId="09F08830" w14:textId="16D835E7" w:rsidR="00942E8B" w:rsidRDefault="00942E8B" w:rsidP="00985B78">
      <w:pPr>
        <w:spacing w:after="0" w:line="240" w:lineRule="auto"/>
        <w:rPr>
          <w:rFonts w:cstheme="minorHAnsi"/>
          <w:b/>
          <w:color w:val="000000" w:themeColor="text1"/>
        </w:rPr>
      </w:pPr>
      <w:r w:rsidRPr="00AC0119">
        <w:rPr>
          <w:rFonts w:cstheme="minorHAnsi"/>
          <w:b/>
          <w:color w:val="000000" w:themeColor="text1"/>
          <w:highlight w:val="yellow"/>
        </w:rPr>
        <w:t xml:space="preserve">This is Matt’s </w:t>
      </w:r>
      <w:r w:rsidR="00AC0119" w:rsidRPr="00AC0119">
        <w:rPr>
          <w:rFonts w:cstheme="minorHAnsi"/>
          <w:b/>
          <w:color w:val="000000" w:themeColor="text1"/>
          <w:highlight w:val="yellow"/>
        </w:rPr>
        <w:t>comment here</w:t>
      </w:r>
      <w:r w:rsidRPr="00AC0119">
        <w:rPr>
          <w:rFonts w:cstheme="minorHAnsi"/>
          <w:b/>
          <w:color w:val="000000" w:themeColor="text1"/>
          <w:highlight w:val="yellow"/>
        </w:rPr>
        <w:t>.</w:t>
      </w:r>
    </w:p>
    <w:p w14:paraId="02CDA79E" w14:textId="77777777" w:rsidR="00AC0119" w:rsidRDefault="00AC0119" w:rsidP="00985B78">
      <w:pPr>
        <w:spacing w:after="0" w:line="240" w:lineRule="auto"/>
        <w:rPr>
          <w:rFonts w:cstheme="minorHAnsi"/>
          <w:b/>
          <w:color w:val="000000" w:themeColor="text1"/>
        </w:rPr>
      </w:pPr>
    </w:p>
    <w:p w14:paraId="3BE75243" w14:textId="77777777" w:rsidR="00AC0119" w:rsidRDefault="00AC0119" w:rsidP="00AC0119">
      <w:pPr>
        <w:pStyle w:val="CommentText"/>
      </w:pPr>
      <w:r>
        <w:t>Notification and disclosure are response activities that will not occur until some level of investigation is conducted.  In all other reporting and surveillance systems, the reporting and investigations go hand in hand.  For the HAI outbreak scenario, I think the general sequence would be as follows:</w:t>
      </w:r>
    </w:p>
    <w:p w14:paraId="344BA3EA" w14:textId="77777777" w:rsidR="00AC0119" w:rsidRDefault="00AC0119" w:rsidP="00AC0119">
      <w:pPr>
        <w:pStyle w:val="CommentText"/>
        <w:numPr>
          <w:ilvl w:val="0"/>
          <w:numId w:val="44"/>
        </w:numPr>
      </w:pPr>
      <w:r>
        <w:t>Report</w:t>
      </w:r>
    </w:p>
    <w:p w14:paraId="54DC1E19" w14:textId="77777777" w:rsidR="00AC0119" w:rsidRDefault="00AC0119" w:rsidP="00AC0119">
      <w:pPr>
        <w:pStyle w:val="CommentText"/>
        <w:numPr>
          <w:ilvl w:val="0"/>
          <w:numId w:val="44"/>
        </w:numPr>
      </w:pPr>
      <w:r>
        <w:t>Investigation</w:t>
      </w:r>
    </w:p>
    <w:p w14:paraId="1B7B99F9" w14:textId="77777777" w:rsidR="00AC0119" w:rsidRDefault="00AC0119" w:rsidP="00AC0119">
      <w:pPr>
        <w:pStyle w:val="CommentText"/>
        <w:numPr>
          <w:ilvl w:val="0"/>
          <w:numId w:val="44"/>
        </w:numPr>
      </w:pPr>
      <w:r>
        <w:t>Notification</w:t>
      </w:r>
    </w:p>
    <w:p w14:paraId="6FCEA6B8" w14:textId="77777777" w:rsidR="00AC0119" w:rsidRDefault="00AC0119" w:rsidP="00AC0119">
      <w:pPr>
        <w:pStyle w:val="CommentText"/>
        <w:numPr>
          <w:ilvl w:val="0"/>
          <w:numId w:val="44"/>
        </w:numPr>
      </w:pPr>
      <w:r>
        <w:t>Disclosure</w:t>
      </w:r>
    </w:p>
    <w:p w14:paraId="26A40CED" w14:textId="65DEC2B3" w:rsidR="00AC0119" w:rsidRDefault="00AC0119" w:rsidP="00AC0119">
      <w:pPr>
        <w:spacing w:after="0" w:line="240" w:lineRule="auto"/>
        <w:rPr>
          <w:rFonts w:cstheme="minorHAnsi"/>
          <w:b/>
          <w:color w:val="000000" w:themeColor="text1"/>
        </w:rPr>
      </w:pPr>
      <w:r>
        <w:t>In fact with some reports and investigations, you may not get to notification or disclosure.  With that scheme in mind, I don’t think the workgroup can adequately discuss and address notification and disclosure without also covering investigation</w:t>
      </w:r>
    </w:p>
    <w:p w14:paraId="50EBB03B" w14:textId="77777777" w:rsidR="00942E8B" w:rsidRDefault="00942E8B" w:rsidP="00985B78">
      <w:pPr>
        <w:spacing w:after="0" w:line="240" w:lineRule="auto"/>
        <w:rPr>
          <w:rFonts w:cstheme="minorHAnsi"/>
          <w:b/>
          <w:color w:val="000000" w:themeColor="text1"/>
        </w:rPr>
      </w:pPr>
    </w:p>
    <w:p w14:paraId="4979C575" w14:textId="496C3AB2" w:rsidR="00AC0119" w:rsidRDefault="00AC0119" w:rsidP="00985B78">
      <w:pPr>
        <w:spacing w:after="0" w:line="240" w:lineRule="auto"/>
        <w:rPr>
          <w:rFonts w:cstheme="minorHAnsi"/>
          <w:b/>
          <w:color w:val="000000" w:themeColor="text1"/>
          <w:highlight w:val="yellow"/>
        </w:rPr>
      </w:pPr>
      <w:r>
        <w:rPr>
          <w:rFonts w:cstheme="minorHAnsi"/>
          <w:b/>
          <w:color w:val="000000" w:themeColor="text1"/>
          <w:highlight w:val="yellow"/>
        </w:rPr>
        <w:t xml:space="preserve">MT Comment </w:t>
      </w:r>
    </w:p>
    <w:p w14:paraId="09A549AE" w14:textId="77777777" w:rsidR="00AC0119" w:rsidRDefault="00AC0119" w:rsidP="00985B78">
      <w:pPr>
        <w:spacing w:after="0" w:line="240" w:lineRule="auto"/>
        <w:rPr>
          <w:rFonts w:cstheme="minorHAnsi"/>
          <w:b/>
          <w:color w:val="000000" w:themeColor="text1"/>
          <w:highlight w:val="yellow"/>
        </w:rPr>
      </w:pPr>
    </w:p>
    <w:p w14:paraId="03C5F168" w14:textId="3D2DA879" w:rsidR="00942E8B" w:rsidRPr="003674B3" w:rsidRDefault="00AC0119" w:rsidP="00985B78">
      <w:pPr>
        <w:spacing w:after="0" w:line="240" w:lineRule="auto"/>
        <w:rPr>
          <w:rFonts w:cstheme="minorHAnsi"/>
          <w:b/>
          <w:color w:val="000000" w:themeColor="text1"/>
        </w:rPr>
      </w:pPr>
      <w:r>
        <w:rPr>
          <w:rFonts w:cstheme="minorHAnsi"/>
          <w:b/>
          <w:color w:val="000000" w:themeColor="text1"/>
          <w:highlight w:val="yellow"/>
        </w:rPr>
        <w:t>I think</w:t>
      </w:r>
      <w:r w:rsidR="00942E8B" w:rsidRPr="00AC0119">
        <w:rPr>
          <w:rFonts w:cstheme="minorHAnsi"/>
          <w:b/>
          <w:color w:val="000000" w:themeColor="text1"/>
          <w:highlight w:val="yellow"/>
        </w:rPr>
        <w:t xml:space="preserve"> the reasons investigation </w:t>
      </w:r>
      <w:r>
        <w:rPr>
          <w:rFonts w:cstheme="minorHAnsi"/>
          <w:b/>
          <w:color w:val="000000" w:themeColor="text1"/>
          <w:highlight w:val="yellow"/>
        </w:rPr>
        <w:t xml:space="preserve">was not included is </w:t>
      </w:r>
      <w:r w:rsidR="00942E8B" w:rsidRPr="00AC0119">
        <w:rPr>
          <w:rFonts w:cstheme="minorHAnsi"/>
          <w:b/>
          <w:color w:val="000000" w:themeColor="text1"/>
          <w:highlight w:val="yellow"/>
        </w:rPr>
        <w:t xml:space="preserve">because to us as PH </w:t>
      </w:r>
      <w:r w:rsidRPr="00AC0119">
        <w:rPr>
          <w:rFonts w:cstheme="minorHAnsi"/>
          <w:b/>
          <w:color w:val="000000" w:themeColor="text1"/>
          <w:highlight w:val="yellow"/>
        </w:rPr>
        <w:t>professionals</w:t>
      </w:r>
      <w:r w:rsidR="00942E8B" w:rsidRPr="00AC0119">
        <w:rPr>
          <w:rFonts w:cstheme="minorHAnsi"/>
          <w:b/>
          <w:color w:val="000000" w:themeColor="text1"/>
          <w:highlight w:val="yellow"/>
        </w:rPr>
        <w:t xml:space="preserve"> on</w:t>
      </w:r>
      <w:r>
        <w:rPr>
          <w:rFonts w:cstheme="minorHAnsi"/>
          <w:b/>
          <w:color w:val="000000" w:themeColor="text1"/>
          <w:highlight w:val="yellow"/>
        </w:rPr>
        <w:t>c</w:t>
      </w:r>
      <w:r w:rsidR="00942E8B" w:rsidRPr="00AC0119">
        <w:rPr>
          <w:rFonts w:cstheme="minorHAnsi"/>
          <w:b/>
          <w:color w:val="000000" w:themeColor="text1"/>
          <w:highlight w:val="yellow"/>
        </w:rPr>
        <w:t xml:space="preserve">e </w:t>
      </w:r>
      <w:r>
        <w:rPr>
          <w:rFonts w:cstheme="minorHAnsi"/>
          <w:b/>
          <w:color w:val="000000" w:themeColor="text1"/>
          <w:highlight w:val="yellow"/>
        </w:rPr>
        <w:t>an outbreak or exposure reported</w:t>
      </w:r>
      <w:r w:rsidR="00942E8B" w:rsidRPr="00AC0119">
        <w:rPr>
          <w:rFonts w:cstheme="minorHAnsi"/>
          <w:b/>
          <w:color w:val="000000" w:themeColor="text1"/>
          <w:highlight w:val="yellow"/>
        </w:rPr>
        <w:t xml:space="preserve"> the </w:t>
      </w:r>
      <w:r w:rsidRPr="00AC0119">
        <w:rPr>
          <w:rFonts w:cstheme="minorHAnsi"/>
          <w:b/>
          <w:color w:val="000000" w:themeColor="text1"/>
          <w:highlight w:val="yellow"/>
        </w:rPr>
        <w:t>investigation</w:t>
      </w:r>
      <w:r w:rsidR="00942E8B" w:rsidRPr="00AC0119">
        <w:rPr>
          <w:rFonts w:cstheme="minorHAnsi"/>
          <w:b/>
          <w:color w:val="000000" w:themeColor="text1"/>
          <w:highlight w:val="yellow"/>
        </w:rPr>
        <w:t xml:space="preserve"> </w:t>
      </w:r>
      <w:r w:rsidRPr="00AC0119">
        <w:rPr>
          <w:rFonts w:cstheme="minorHAnsi"/>
          <w:b/>
          <w:color w:val="000000" w:themeColor="text1"/>
          <w:highlight w:val="yellow"/>
        </w:rPr>
        <w:t>follows</w:t>
      </w:r>
      <w:r w:rsidR="00942E8B" w:rsidRPr="00AC0119">
        <w:rPr>
          <w:rFonts w:cstheme="minorHAnsi"/>
          <w:b/>
          <w:color w:val="000000" w:themeColor="text1"/>
          <w:highlight w:val="yellow"/>
        </w:rPr>
        <w:t xml:space="preserve"> </w:t>
      </w:r>
      <w:r w:rsidRPr="00AC0119">
        <w:rPr>
          <w:rFonts w:cstheme="minorHAnsi"/>
          <w:b/>
          <w:color w:val="000000" w:themeColor="text1"/>
          <w:highlight w:val="yellow"/>
        </w:rPr>
        <w:t>fairly</w:t>
      </w:r>
      <w:r w:rsidR="00942E8B" w:rsidRPr="00AC0119">
        <w:rPr>
          <w:rFonts w:cstheme="minorHAnsi"/>
          <w:b/>
          <w:color w:val="000000" w:themeColor="text1"/>
          <w:highlight w:val="yellow"/>
        </w:rPr>
        <w:t xml:space="preserve"> standard guidelines and is usually not </w:t>
      </w:r>
      <w:r w:rsidRPr="00AC0119">
        <w:rPr>
          <w:rFonts w:cstheme="minorHAnsi"/>
          <w:b/>
          <w:color w:val="000000" w:themeColor="text1"/>
          <w:highlight w:val="yellow"/>
        </w:rPr>
        <w:t>limited</w:t>
      </w:r>
      <w:r w:rsidR="00942E8B" w:rsidRPr="00AC0119">
        <w:rPr>
          <w:rFonts w:cstheme="minorHAnsi"/>
          <w:b/>
          <w:color w:val="000000" w:themeColor="text1"/>
          <w:highlight w:val="yellow"/>
        </w:rPr>
        <w:t xml:space="preserve"> by policy or legal concerns. The areas where there are legal or ethical </w:t>
      </w:r>
      <w:r w:rsidRPr="00AC0119">
        <w:rPr>
          <w:rFonts w:cstheme="minorHAnsi"/>
          <w:b/>
          <w:color w:val="000000" w:themeColor="text1"/>
          <w:highlight w:val="yellow"/>
        </w:rPr>
        <w:t>potential</w:t>
      </w:r>
      <w:r w:rsidR="00942E8B" w:rsidRPr="00AC0119">
        <w:rPr>
          <w:rFonts w:cstheme="minorHAnsi"/>
          <w:b/>
          <w:color w:val="000000" w:themeColor="text1"/>
          <w:highlight w:val="yellow"/>
        </w:rPr>
        <w:t xml:space="preserve"> </w:t>
      </w:r>
      <w:r w:rsidRPr="00AC0119">
        <w:rPr>
          <w:rFonts w:cstheme="minorHAnsi"/>
          <w:b/>
          <w:color w:val="000000" w:themeColor="text1"/>
          <w:highlight w:val="yellow"/>
        </w:rPr>
        <w:t>roadblocks</w:t>
      </w:r>
      <w:r w:rsidR="00942E8B" w:rsidRPr="00AC0119">
        <w:rPr>
          <w:rFonts w:cstheme="minorHAnsi"/>
          <w:b/>
          <w:color w:val="000000" w:themeColor="text1"/>
          <w:highlight w:val="yellow"/>
        </w:rPr>
        <w:t xml:space="preserve"> </w:t>
      </w:r>
      <w:r w:rsidRPr="00AC0119">
        <w:rPr>
          <w:rFonts w:cstheme="minorHAnsi"/>
          <w:b/>
          <w:color w:val="000000" w:themeColor="text1"/>
          <w:highlight w:val="yellow"/>
        </w:rPr>
        <w:t>are</w:t>
      </w:r>
      <w:r w:rsidR="00942E8B" w:rsidRPr="00AC0119">
        <w:rPr>
          <w:rFonts w:cstheme="minorHAnsi"/>
          <w:b/>
          <w:color w:val="000000" w:themeColor="text1"/>
          <w:highlight w:val="yellow"/>
        </w:rPr>
        <w:t xml:space="preserve"> reporting, </w:t>
      </w:r>
      <w:r w:rsidRPr="00AC0119">
        <w:rPr>
          <w:rFonts w:cstheme="minorHAnsi"/>
          <w:b/>
          <w:color w:val="000000" w:themeColor="text1"/>
          <w:highlight w:val="yellow"/>
        </w:rPr>
        <w:t>notification</w:t>
      </w:r>
      <w:r w:rsidR="00942E8B" w:rsidRPr="00AC0119">
        <w:rPr>
          <w:rFonts w:cstheme="minorHAnsi"/>
          <w:b/>
          <w:color w:val="000000" w:themeColor="text1"/>
          <w:highlight w:val="yellow"/>
        </w:rPr>
        <w:t xml:space="preserve"> and disclosure. That being said I am </w:t>
      </w:r>
      <w:r w:rsidRPr="00AC0119">
        <w:rPr>
          <w:rFonts w:cstheme="minorHAnsi"/>
          <w:b/>
          <w:color w:val="000000" w:themeColor="text1"/>
          <w:highlight w:val="yellow"/>
        </w:rPr>
        <w:t>very</w:t>
      </w:r>
      <w:r w:rsidR="00942E8B" w:rsidRPr="00AC0119">
        <w:rPr>
          <w:rFonts w:cstheme="minorHAnsi"/>
          <w:b/>
          <w:color w:val="000000" w:themeColor="text1"/>
          <w:highlight w:val="yellow"/>
        </w:rPr>
        <w:t xml:space="preserve"> </w:t>
      </w:r>
      <w:r w:rsidRPr="00AC0119">
        <w:rPr>
          <w:rFonts w:cstheme="minorHAnsi"/>
          <w:b/>
          <w:color w:val="000000" w:themeColor="text1"/>
          <w:highlight w:val="yellow"/>
        </w:rPr>
        <w:t>interested</w:t>
      </w:r>
      <w:r w:rsidR="00942E8B" w:rsidRPr="00AC0119">
        <w:rPr>
          <w:rFonts w:cstheme="minorHAnsi"/>
          <w:b/>
          <w:color w:val="000000" w:themeColor="text1"/>
          <w:highlight w:val="yellow"/>
        </w:rPr>
        <w:t xml:space="preserve"> in others’ take on wheth</w:t>
      </w:r>
      <w:r w:rsidRPr="00AC0119">
        <w:rPr>
          <w:rFonts w:cstheme="minorHAnsi"/>
          <w:b/>
          <w:color w:val="000000" w:themeColor="text1"/>
          <w:highlight w:val="yellow"/>
        </w:rPr>
        <w:t xml:space="preserve">er </w:t>
      </w:r>
      <w:r w:rsidRPr="00AC0119">
        <w:rPr>
          <w:rFonts w:cstheme="minorHAnsi"/>
          <w:b/>
          <w:color w:val="000000" w:themeColor="text1"/>
          <w:highlight w:val="yellow"/>
        </w:rPr>
        <w:lastRenderedPageBreak/>
        <w:t>we should include investigation</w:t>
      </w:r>
      <w:r w:rsidR="00942E8B" w:rsidRPr="00AC0119">
        <w:rPr>
          <w:rFonts w:cstheme="minorHAnsi"/>
          <w:b/>
          <w:color w:val="000000" w:themeColor="text1"/>
          <w:highlight w:val="yellow"/>
        </w:rPr>
        <w:t xml:space="preserve"> or not. </w:t>
      </w:r>
      <w:r w:rsidRPr="00AC0119">
        <w:rPr>
          <w:rFonts w:cstheme="minorHAnsi"/>
          <w:b/>
          <w:color w:val="000000" w:themeColor="text1"/>
          <w:highlight w:val="yellow"/>
        </w:rPr>
        <w:t xml:space="preserve">I lean </w:t>
      </w:r>
      <w:r>
        <w:rPr>
          <w:rFonts w:cstheme="minorHAnsi"/>
          <w:b/>
          <w:color w:val="000000" w:themeColor="text1"/>
          <w:highlight w:val="yellow"/>
        </w:rPr>
        <w:t>towards</w:t>
      </w:r>
      <w:bookmarkStart w:id="2" w:name="_GoBack"/>
      <w:bookmarkEnd w:id="2"/>
      <w:r w:rsidRPr="00AC0119">
        <w:rPr>
          <w:rFonts w:cstheme="minorHAnsi"/>
          <w:b/>
          <w:color w:val="000000" w:themeColor="text1"/>
          <w:highlight w:val="yellow"/>
        </w:rPr>
        <w:t xml:space="preserve"> not as I think it would impede the process and is not controversial.</w:t>
      </w:r>
      <w:r>
        <w:rPr>
          <w:rFonts w:cstheme="minorHAnsi"/>
          <w:b/>
          <w:color w:val="000000" w:themeColor="text1"/>
        </w:rPr>
        <w:t xml:space="preserve"> </w:t>
      </w:r>
    </w:p>
    <w:p w14:paraId="1D6F7A08" w14:textId="77777777" w:rsidR="00886D20" w:rsidRDefault="00886D20" w:rsidP="00985B78">
      <w:pPr>
        <w:spacing w:after="0" w:line="240" w:lineRule="auto"/>
        <w:rPr>
          <w:rFonts w:cs="Times New Roman"/>
          <w:b/>
        </w:rPr>
      </w:pPr>
    </w:p>
    <w:p w14:paraId="5CD4DF10" w14:textId="67FC091C" w:rsidR="00180BD5" w:rsidRPr="00060CE3" w:rsidRDefault="00180BD5" w:rsidP="00060CE3">
      <w:pPr>
        <w:spacing w:after="0" w:line="240" w:lineRule="auto"/>
        <w:rPr>
          <w:color w:val="0082B0"/>
          <w:sz w:val="20"/>
          <w:szCs w:val="20"/>
        </w:rPr>
      </w:pPr>
    </w:p>
    <w:sectPr w:rsidR="00180BD5" w:rsidRPr="00060CE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6EFFF" w14:textId="77777777" w:rsidR="00D0649C" w:rsidRDefault="00D0649C" w:rsidP="00271C81">
      <w:pPr>
        <w:spacing w:after="0" w:line="240" w:lineRule="auto"/>
      </w:pPr>
      <w:r>
        <w:separator/>
      </w:r>
    </w:p>
  </w:endnote>
  <w:endnote w:type="continuationSeparator" w:id="0">
    <w:p w14:paraId="7FC3096F" w14:textId="77777777" w:rsidR="00D0649C" w:rsidRDefault="00D0649C"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4413766"/>
      <w:docPartObj>
        <w:docPartGallery w:val="Page Numbers (Bottom of Page)"/>
        <w:docPartUnique/>
      </w:docPartObj>
    </w:sdtPr>
    <w:sdtEndPr>
      <w:rPr>
        <w:noProof/>
      </w:rPr>
    </w:sdtEndPr>
    <w:sdtContent>
      <w:p w14:paraId="164AA4CB" w14:textId="3D00900C" w:rsidR="0042340F" w:rsidRDefault="0042340F">
        <w:pPr>
          <w:pStyle w:val="Footer"/>
          <w:jc w:val="right"/>
        </w:pPr>
        <w:r>
          <w:fldChar w:fldCharType="begin"/>
        </w:r>
        <w:r>
          <w:instrText xml:space="preserve"> PAGE   \* MERGEFORMAT </w:instrText>
        </w:r>
        <w:r>
          <w:fldChar w:fldCharType="separate"/>
        </w:r>
        <w:r w:rsidR="00AC0119">
          <w:rPr>
            <w:noProof/>
          </w:rPr>
          <w:t>3</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8FAAF" w14:textId="77777777" w:rsidR="00D0649C" w:rsidRDefault="00D0649C" w:rsidP="00271C81">
      <w:pPr>
        <w:spacing w:after="0" w:line="240" w:lineRule="auto"/>
      </w:pPr>
      <w:r>
        <w:separator/>
      </w:r>
    </w:p>
  </w:footnote>
  <w:footnote w:type="continuationSeparator" w:id="0">
    <w:p w14:paraId="7836C818" w14:textId="77777777" w:rsidR="00D0649C" w:rsidRDefault="00D0649C" w:rsidP="00271C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CCA5D" w14:textId="34D80758" w:rsidR="00271C81" w:rsidRDefault="00316865" w:rsidP="0033738E">
    <w:pPr>
      <w:pStyle w:val="Header"/>
      <w:jc w:val="center"/>
    </w:pPr>
    <w:r>
      <w:rPr>
        <w:noProof/>
      </w:rPr>
      <w:drawing>
        <wp:inline distT="0" distB="0" distL="0" distR="0" wp14:anchorId="5E9E86DF" wp14:editId="658AB550">
          <wp:extent cx="2505075" cy="62626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551887" cy="6379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F45C89"/>
    <w:multiLevelType w:val="hybridMultilevel"/>
    <w:tmpl w:val="CD3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2E3E6A"/>
    <w:multiLevelType w:val="hybridMultilevel"/>
    <w:tmpl w:val="66C4EC08"/>
    <w:lvl w:ilvl="0" w:tplc="6DF610AE">
      <w:start w:val="1"/>
      <w:numFmt w:val="bullet"/>
      <w:lvlText w:val=""/>
      <w:lvlJc w:val="left"/>
      <w:pPr>
        <w:ind w:left="720" w:hanging="360"/>
      </w:pPr>
      <w:rPr>
        <w:rFonts w:ascii="Symbol" w:hAnsi="Symbo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7F243B"/>
    <w:multiLevelType w:val="hybridMultilevel"/>
    <w:tmpl w:val="5DC0F66E"/>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5"/>
  </w:num>
  <w:num w:numId="3">
    <w:abstractNumId w:val="11"/>
  </w:num>
  <w:num w:numId="4">
    <w:abstractNumId w:val="1"/>
  </w:num>
  <w:num w:numId="5">
    <w:abstractNumId w:val="39"/>
  </w:num>
  <w:num w:numId="6">
    <w:abstractNumId w:val="32"/>
  </w:num>
  <w:num w:numId="7">
    <w:abstractNumId w:val="20"/>
  </w:num>
  <w:num w:numId="8">
    <w:abstractNumId w:val="33"/>
  </w:num>
  <w:num w:numId="9">
    <w:abstractNumId w:val="35"/>
  </w:num>
  <w:num w:numId="10">
    <w:abstractNumId w:val="3"/>
  </w:num>
  <w:num w:numId="11">
    <w:abstractNumId w:val="43"/>
  </w:num>
  <w:num w:numId="12">
    <w:abstractNumId w:val="10"/>
  </w:num>
  <w:num w:numId="13">
    <w:abstractNumId w:val="26"/>
  </w:num>
  <w:num w:numId="14">
    <w:abstractNumId w:val="16"/>
  </w:num>
  <w:num w:numId="15">
    <w:abstractNumId w:val="40"/>
  </w:num>
  <w:num w:numId="16">
    <w:abstractNumId w:val="30"/>
  </w:num>
  <w:num w:numId="17">
    <w:abstractNumId w:val="15"/>
  </w:num>
  <w:num w:numId="18">
    <w:abstractNumId w:val="12"/>
  </w:num>
  <w:num w:numId="19">
    <w:abstractNumId w:val="27"/>
  </w:num>
  <w:num w:numId="20">
    <w:abstractNumId w:val="4"/>
  </w:num>
  <w:num w:numId="21">
    <w:abstractNumId w:val="31"/>
  </w:num>
  <w:num w:numId="22">
    <w:abstractNumId w:val="13"/>
  </w:num>
  <w:num w:numId="23">
    <w:abstractNumId w:val="0"/>
  </w:num>
  <w:num w:numId="24">
    <w:abstractNumId w:val="6"/>
  </w:num>
  <w:num w:numId="25">
    <w:abstractNumId w:val="41"/>
  </w:num>
  <w:num w:numId="26">
    <w:abstractNumId w:val="36"/>
  </w:num>
  <w:num w:numId="27">
    <w:abstractNumId w:val="38"/>
  </w:num>
  <w:num w:numId="28">
    <w:abstractNumId w:val="28"/>
  </w:num>
  <w:num w:numId="29">
    <w:abstractNumId w:val="21"/>
  </w:num>
  <w:num w:numId="30">
    <w:abstractNumId w:val="9"/>
  </w:num>
  <w:num w:numId="31">
    <w:abstractNumId w:val="23"/>
  </w:num>
  <w:num w:numId="32">
    <w:abstractNumId w:val="8"/>
  </w:num>
  <w:num w:numId="33">
    <w:abstractNumId w:val="24"/>
  </w:num>
  <w:num w:numId="34">
    <w:abstractNumId w:val="17"/>
  </w:num>
  <w:num w:numId="35">
    <w:abstractNumId w:val="5"/>
  </w:num>
  <w:num w:numId="36">
    <w:abstractNumId w:val="18"/>
  </w:num>
  <w:num w:numId="37">
    <w:abstractNumId w:val="22"/>
  </w:num>
  <w:num w:numId="38">
    <w:abstractNumId w:val="29"/>
  </w:num>
  <w:num w:numId="39">
    <w:abstractNumId w:val="7"/>
  </w:num>
  <w:num w:numId="40">
    <w:abstractNumId w:val="14"/>
  </w:num>
  <w:num w:numId="41">
    <w:abstractNumId w:val="42"/>
  </w:num>
  <w:num w:numId="42">
    <w:abstractNumId w:val="37"/>
  </w:num>
  <w:num w:numId="43">
    <w:abstractNumId w:val="34"/>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04F2"/>
    <w:rsid w:val="00085754"/>
    <w:rsid w:val="00095711"/>
    <w:rsid w:val="000A28BF"/>
    <w:rsid w:val="000A4BE4"/>
    <w:rsid w:val="000C2AD7"/>
    <w:rsid w:val="000D51E6"/>
    <w:rsid w:val="000D7B5E"/>
    <w:rsid w:val="000F3AF1"/>
    <w:rsid w:val="00106EB8"/>
    <w:rsid w:val="001171AE"/>
    <w:rsid w:val="00133B7B"/>
    <w:rsid w:val="00145F65"/>
    <w:rsid w:val="00152B83"/>
    <w:rsid w:val="00162BE3"/>
    <w:rsid w:val="0017339E"/>
    <w:rsid w:val="00180BD5"/>
    <w:rsid w:val="001B303E"/>
    <w:rsid w:val="001B3D37"/>
    <w:rsid w:val="001C0C60"/>
    <w:rsid w:val="001C3C44"/>
    <w:rsid w:val="001D19C3"/>
    <w:rsid w:val="001F5E1A"/>
    <w:rsid w:val="002001E4"/>
    <w:rsid w:val="00202199"/>
    <w:rsid w:val="0021508B"/>
    <w:rsid w:val="00220520"/>
    <w:rsid w:val="00243D54"/>
    <w:rsid w:val="002553EF"/>
    <w:rsid w:val="002661EE"/>
    <w:rsid w:val="00271C81"/>
    <w:rsid w:val="0027777B"/>
    <w:rsid w:val="002823C4"/>
    <w:rsid w:val="002A369C"/>
    <w:rsid w:val="002A6D01"/>
    <w:rsid w:val="002B7599"/>
    <w:rsid w:val="002D5D75"/>
    <w:rsid w:val="002F39B6"/>
    <w:rsid w:val="002F5F78"/>
    <w:rsid w:val="002F6F50"/>
    <w:rsid w:val="00316865"/>
    <w:rsid w:val="0032657A"/>
    <w:rsid w:val="00333322"/>
    <w:rsid w:val="0033738E"/>
    <w:rsid w:val="003674B3"/>
    <w:rsid w:val="00370FC9"/>
    <w:rsid w:val="003734F0"/>
    <w:rsid w:val="00381D5C"/>
    <w:rsid w:val="00384CFB"/>
    <w:rsid w:val="003B0F29"/>
    <w:rsid w:val="003B442A"/>
    <w:rsid w:val="003C0798"/>
    <w:rsid w:val="003D5D8A"/>
    <w:rsid w:val="003E45BD"/>
    <w:rsid w:val="003E6250"/>
    <w:rsid w:val="00400353"/>
    <w:rsid w:val="004043EB"/>
    <w:rsid w:val="00407BF5"/>
    <w:rsid w:val="00422FBC"/>
    <w:rsid w:val="0042340F"/>
    <w:rsid w:val="00425828"/>
    <w:rsid w:val="004266CE"/>
    <w:rsid w:val="00432520"/>
    <w:rsid w:val="004369CF"/>
    <w:rsid w:val="0046578B"/>
    <w:rsid w:val="004C71A8"/>
    <w:rsid w:val="004D1BA1"/>
    <w:rsid w:val="004D7256"/>
    <w:rsid w:val="004E64AC"/>
    <w:rsid w:val="004F4741"/>
    <w:rsid w:val="00503909"/>
    <w:rsid w:val="0050484F"/>
    <w:rsid w:val="00505BA2"/>
    <w:rsid w:val="00515F18"/>
    <w:rsid w:val="00551713"/>
    <w:rsid w:val="0055406F"/>
    <w:rsid w:val="00566E78"/>
    <w:rsid w:val="00571B9C"/>
    <w:rsid w:val="00576C2B"/>
    <w:rsid w:val="00581CA3"/>
    <w:rsid w:val="0059195F"/>
    <w:rsid w:val="005B1759"/>
    <w:rsid w:val="005B41EC"/>
    <w:rsid w:val="005C08CB"/>
    <w:rsid w:val="005C200D"/>
    <w:rsid w:val="005D730E"/>
    <w:rsid w:val="005F503E"/>
    <w:rsid w:val="00612324"/>
    <w:rsid w:val="0061287E"/>
    <w:rsid w:val="0062196D"/>
    <w:rsid w:val="00625176"/>
    <w:rsid w:val="006254DF"/>
    <w:rsid w:val="00630C76"/>
    <w:rsid w:val="006360B9"/>
    <w:rsid w:val="00643151"/>
    <w:rsid w:val="0065009D"/>
    <w:rsid w:val="00683054"/>
    <w:rsid w:val="006A3E50"/>
    <w:rsid w:val="006A7560"/>
    <w:rsid w:val="006E10AD"/>
    <w:rsid w:val="00713456"/>
    <w:rsid w:val="00714D4B"/>
    <w:rsid w:val="00715BC7"/>
    <w:rsid w:val="00745A3B"/>
    <w:rsid w:val="0075263F"/>
    <w:rsid w:val="00754F86"/>
    <w:rsid w:val="00780391"/>
    <w:rsid w:val="00785330"/>
    <w:rsid w:val="007929AD"/>
    <w:rsid w:val="00795970"/>
    <w:rsid w:val="007A348E"/>
    <w:rsid w:val="007B03F2"/>
    <w:rsid w:val="007B64AF"/>
    <w:rsid w:val="007B66BF"/>
    <w:rsid w:val="007C3FB1"/>
    <w:rsid w:val="007E468E"/>
    <w:rsid w:val="007F0F38"/>
    <w:rsid w:val="007F3927"/>
    <w:rsid w:val="00844762"/>
    <w:rsid w:val="008653C4"/>
    <w:rsid w:val="00867751"/>
    <w:rsid w:val="00876B6C"/>
    <w:rsid w:val="00886D20"/>
    <w:rsid w:val="00896717"/>
    <w:rsid w:val="008E5903"/>
    <w:rsid w:val="008F2CDB"/>
    <w:rsid w:val="00905467"/>
    <w:rsid w:val="009215C8"/>
    <w:rsid w:val="009244E1"/>
    <w:rsid w:val="009263F5"/>
    <w:rsid w:val="00942E8B"/>
    <w:rsid w:val="00950405"/>
    <w:rsid w:val="00966386"/>
    <w:rsid w:val="00975E09"/>
    <w:rsid w:val="00985B78"/>
    <w:rsid w:val="00987446"/>
    <w:rsid w:val="009A542A"/>
    <w:rsid w:val="009B7B31"/>
    <w:rsid w:val="009D1638"/>
    <w:rsid w:val="009E276C"/>
    <w:rsid w:val="009E49D1"/>
    <w:rsid w:val="009F7D41"/>
    <w:rsid w:val="00A00B9D"/>
    <w:rsid w:val="00A070E8"/>
    <w:rsid w:val="00A25669"/>
    <w:rsid w:val="00A26E71"/>
    <w:rsid w:val="00A2752C"/>
    <w:rsid w:val="00A31CB4"/>
    <w:rsid w:val="00A44590"/>
    <w:rsid w:val="00A62DBB"/>
    <w:rsid w:val="00A63E28"/>
    <w:rsid w:val="00A6655F"/>
    <w:rsid w:val="00A75AB3"/>
    <w:rsid w:val="00A843EB"/>
    <w:rsid w:val="00AA46FA"/>
    <w:rsid w:val="00AC0119"/>
    <w:rsid w:val="00AE36D3"/>
    <w:rsid w:val="00B0548F"/>
    <w:rsid w:val="00B17FED"/>
    <w:rsid w:val="00B24010"/>
    <w:rsid w:val="00B33D8F"/>
    <w:rsid w:val="00B411EE"/>
    <w:rsid w:val="00B5156F"/>
    <w:rsid w:val="00B72A41"/>
    <w:rsid w:val="00BF3E8E"/>
    <w:rsid w:val="00BF54A8"/>
    <w:rsid w:val="00C15ABF"/>
    <w:rsid w:val="00C47360"/>
    <w:rsid w:val="00C50377"/>
    <w:rsid w:val="00C64CEC"/>
    <w:rsid w:val="00C662D7"/>
    <w:rsid w:val="00C80723"/>
    <w:rsid w:val="00C86FBF"/>
    <w:rsid w:val="00C9483B"/>
    <w:rsid w:val="00CB0E1F"/>
    <w:rsid w:val="00CB2052"/>
    <w:rsid w:val="00CE2C31"/>
    <w:rsid w:val="00CF132E"/>
    <w:rsid w:val="00CF21FC"/>
    <w:rsid w:val="00D06299"/>
    <w:rsid w:val="00D0649C"/>
    <w:rsid w:val="00D127AB"/>
    <w:rsid w:val="00D20CE9"/>
    <w:rsid w:val="00D22AB3"/>
    <w:rsid w:val="00D2487D"/>
    <w:rsid w:val="00D27FE6"/>
    <w:rsid w:val="00D3109C"/>
    <w:rsid w:val="00D40AE2"/>
    <w:rsid w:val="00D56A57"/>
    <w:rsid w:val="00D57F86"/>
    <w:rsid w:val="00D66374"/>
    <w:rsid w:val="00D93322"/>
    <w:rsid w:val="00D942F3"/>
    <w:rsid w:val="00DA1187"/>
    <w:rsid w:val="00DA5F6B"/>
    <w:rsid w:val="00DC7068"/>
    <w:rsid w:val="00DD3FFF"/>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B305C"/>
    <w:rsid w:val="00EC15EA"/>
    <w:rsid w:val="00ED0E98"/>
    <w:rsid w:val="00ED726F"/>
    <w:rsid w:val="00EE4107"/>
    <w:rsid w:val="00F013A0"/>
    <w:rsid w:val="00F26B57"/>
    <w:rsid w:val="00F65562"/>
    <w:rsid w:val="00F70CFE"/>
    <w:rsid w:val="00F85B4C"/>
    <w:rsid w:val="00F922E9"/>
    <w:rsid w:val="00FA0F8D"/>
    <w:rsid w:val="00FA4DE3"/>
    <w:rsid w:val="00FB61F5"/>
    <w:rsid w:val="00FC521F"/>
    <w:rsid w:val="00FD4BF4"/>
    <w:rsid w:val="00FE1A0C"/>
    <w:rsid w:val="00FE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customStyle="1" w:styleId="UnresolvedMention1">
    <w:name w:val="Unresolved Mention1"/>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98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533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5330"/>
    <w:rPr>
      <w:rFonts w:ascii="Calibri" w:hAnsi="Calibri"/>
      <w:szCs w:val="21"/>
    </w:rPr>
  </w:style>
  <w:style w:type="character" w:customStyle="1" w:styleId="apple-tab-span">
    <w:name w:val="apple-tab-span"/>
    <w:basedOn w:val="DefaultParagraphFont"/>
    <w:rsid w:val="00A6655F"/>
  </w:style>
  <w:style w:type="character" w:styleId="FollowedHyperlink">
    <w:name w:val="FollowedHyperlink"/>
    <w:basedOn w:val="DefaultParagraphFont"/>
    <w:uiPriority w:val="99"/>
    <w:semiHidden/>
    <w:unhideWhenUsed/>
    <w:rsid w:val="00133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18788">
      <w:bodyDiv w:val="1"/>
      <w:marLeft w:val="0"/>
      <w:marRight w:val="0"/>
      <w:marTop w:val="0"/>
      <w:marBottom w:val="0"/>
      <w:divBdr>
        <w:top w:val="none" w:sz="0" w:space="0" w:color="auto"/>
        <w:left w:val="none" w:sz="0" w:space="0" w:color="auto"/>
        <w:bottom w:val="none" w:sz="0" w:space="0" w:color="auto"/>
        <w:right w:val="none" w:sz="0" w:space="0" w:color="auto"/>
      </w:divBdr>
    </w:div>
    <w:div w:id="376660787">
      <w:bodyDiv w:val="1"/>
      <w:marLeft w:val="0"/>
      <w:marRight w:val="0"/>
      <w:marTop w:val="0"/>
      <w:marBottom w:val="0"/>
      <w:divBdr>
        <w:top w:val="none" w:sz="0" w:space="0" w:color="auto"/>
        <w:left w:val="none" w:sz="0" w:space="0" w:color="auto"/>
        <w:bottom w:val="none" w:sz="0" w:space="0" w:color="auto"/>
        <w:right w:val="none" w:sz="0" w:space="0" w:color="auto"/>
      </w:divBdr>
      <w:divsChild>
        <w:div w:id="1142891763">
          <w:marLeft w:val="547"/>
          <w:marRight w:val="0"/>
          <w:marTop w:val="0"/>
          <w:marBottom w:val="0"/>
          <w:divBdr>
            <w:top w:val="none" w:sz="0" w:space="0" w:color="auto"/>
            <w:left w:val="none" w:sz="0" w:space="0" w:color="auto"/>
            <w:bottom w:val="none" w:sz="0" w:space="0" w:color="auto"/>
            <w:right w:val="none" w:sz="0" w:space="0" w:color="auto"/>
          </w:divBdr>
        </w:div>
      </w:divsChild>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6578">
      <w:bodyDiv w:val="1"/>
      <w:marLeft w:val="0"/>
      <w:marRight w:val="0"/>
      <w:marTop w:val="0"/>
      <w:marBottom w:val="0"/>
      <w:divBdr>
        <w:top w:val="none" w:sz="0" w:space="0" w:color="auto"/>
        <w:left w:val="none" w:sz="0" w:space="0" w:color="auto"/>
        <w:bottom w:val="none" w:sz="0" w:space="0" w:color="auto"/>
        <w:right w:val="none" w:sz="0" w:space="0" w:color="auto"/>
      </w:divBdr>
    </w:div>
    <w:div w:id="1568145879">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F43D7-4058-4B8B-9930-DA768ABB8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6A1D9A0</Template>
  <TotalTime>0</TotalTime>
  <Pages>3</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5618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Maureen Tierney</cp:lastModifiedBy>
  <cp:revision>2</cp:revision>
  <dcterms:created xsi:type="dcterms:W3CDTF">2018-09-24T17:53:00Z</dcterms:created>
  <dcterms:modified xsi:type="dcterms:W3CDTF">2018-09-24T17:53:00Z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-1053558966</vt:i4>
  </property>
  <property fmtid="{D5CDD505-2E9C-101B-9397-08002B2CF9AE}" pid="3" name="_NewReviewCycle">
    <vt:lpwstr/>
  </property>
  <property fmtid="{D5CDD505-2E9C-101B-9397-08002B2CF9AE}" pid="4" name="_EmailSubject">
    <vt:lpwstr>CORHA Policy Workgroup Call Notes</vt:lpwstr>
  </property>
  <property fmtid="{D5CDD505-2E9C-101B-9397-08002B2CF9AE}" pid="5" name="_AuthorEmail">
    <vt:lpwstr>Maureen.Tierney@nebraska.gov</vt:lpwstr>
  </property>
  <property fmtid="{D5CDD505-2E9C-101B-9397-08002B2CF9AE}" pid="6" name="_AuthorEmailDisplayName">
    <vt:lpwstr>Tierney, Maureen</vt:lpwstr>
  </property>
</Properties>
</file>