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0699F" w14:textId="20873DDE" w:rsidR="002C7219" w:rsidRPr="00E24481" w:rsidRDefault="27533BA9" w:rsidP="27533BA9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</w:rPr>
      </w:pPr>
      <w:bookmarkStart w:id="0" w:name="_GoBack"/>
      <w:bookmarkEnd w:id="0"/>
      <w:r w:rsidRPr="27533BA9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Background </w:t>
      </w:r>
      <w:r w:rsidRPr="27533BA9">
        <w:rPr>
          <w:rStyle w:val="normaltextrun"/>
          <w:rFonts w:asciiTheme="minorHAnsi" w:hAnsiTheme="minorHAnsi" w:cstheme="minorBidi"/>
          <w:sz w:val="22"/>
          <w:szCs w:val="22"/>
        </w:rPr>
        <w:t>[WG-A+B]</w:t>
      </w:r>
    </w:p>
    <w:p w14:paraId="549EC499" w14:textId="414FA5E9" w:rsidR="43F760B1" w:rsidRPr="00E24481" w:rsidRDefault="43F760B1" w:rsidP="43F760B1">
      <w:pPr>
        <w:pStyle w:val="paragraph"/>
        <w:spacing w:before="0" w:beforeAutospacing="0" w:after="0" w:afterAutospacing="0"/>
        <w:ind w:left="360"/>
        <w:rPr>
          <w:rFonts w:asciiTheme="minorHAnsi" w:eastAsia="Calibri" w:hAnsiTheme="minorHAnsi" w:cstheme="minorHAnsi"/>
          <w:i/>
          <w:iCs/>
          <w:sz w:val="22"/>
          <w:szCs w:val="22"/>
        </w:rPr>
      </w:pPr>
    </w:p>
    <w:p w14:paraId="29A61D10" w14:textId="77777777" w:rsidR="00886A2C" w:rsidRDefault="27533BA9" w:rsidP="27533BA9">
      <w:pPr>
        <w:pStyle w:val="paragraph"/>
        <w:spacing w:before="0" w:beforeAutospacing="0" w:after="0" w:afterAutospacing="0"/>
        <w:ind w:left="360"/>
        <w:rPr>
          <w:rFonts w:asciiTheme="minorHAnsi" w:eastAsia="Calibri" w:hAnsiTheme="minorHAnsi" w:cstheme="minorBidi"/>
          <w:sz w:val="22"/>
          <w:szCs w:val="22"/>
        </w:rPr>
      </w:pPr>
      <w:r w:rsidRPr="27533BA9">
        <w:rPr>
          <w:rFonts w:asciiTheme="minorHAnsi" w:eastAsia="Calibri" w:hAnsiTheme="minorHAnsi" w:cstheme="minorBidi"/>
          <w:i/>
          <w:iCs/>
          <w:sz w:val="22"/>
          <w:szCs w:val="22"/>
        </w:rPr>
        <w:t>Clostridium difficile</w:t>
      </w:r>
      <w:r w:rsidRPr="27533BA9">
        <w:rPr>
          <w:rFonts w:asciiTheme="minorHAnsi" w:eastAsia="Calibri" w:hAnsiTheme="minorHAnsi" w:cstheme="minorBidi"/>
          <w:sz w:val="22"/>
          <w:szCs w:val="22"/>
        </w:rPr>
        <w:t xml:space="preserve"> is a spore-forming, gram-positive anaerobic bacillus. </w:t>
      </w:r>
      <w:r w:rsidRPr="27533BA9">
        <w:rPr>
          <w:rFonts w:asciiTheme="minorHAnsi" w:eastAsia="Calibri" w:hAnsiTheme="minorHAnsi" w:cstheme="minorBidi"/>
          <w:i/>
          <w:iCs/>
          <w:sz w:val="22"/>
          <w:szCs w:val="22"/>
        </w:rPr>
        <w:t>C. difficile</w:t>
      </w:r>
      <w:r w:rsidRPr="27533BA9">
        <w:rPr>
          <w:rFonts w:asciiTheme="minorHAnsi" w:eastAsia="Calibri" w:hAnsiTheme="minorHAnsi" w:cstheme="minorBidi"/>
          <w:sz w:val="22"/>
          <w:szCs w:val="22"/>
        </w:rPr>
        <w:t xml:space="preserve"> infection (CDI) is a frequent cause of healthcare-associated infections (HAI) and CDI accounts for 15-25% of all episodes of antibiotic-associated diarrhea. CDI is associated with increased length of hospital stay, costs, morbidity, and mortality in adult patients. CDI is related to antibiotic exposure and most commonly manifests as a gastrointestinal infection ranging from uncomplicated diarrhea to severe and life-threatening pseudomembranous colitis. </w:t>
      </w:r>
    </w:p>
    <w:p w14:paraId="2D18FDC1" w14:textId="77777777" w:rsidR="00886A2C" w:rsidRDefault="00886A2C" w:rsidP="27533BA9">
      <w:pPr>
        <w:pStyle w:val="paragraph"/>
        <w:spacing w:before="0" w:beforeAutospacing="0" w:after="0" w:afterAutospacing="0"/>
        <w:ind w:left="360"/>
        <w:rPr>
          <w:rFonts w:asciiTheme="minorHAnsi" w:eastAsia="Calibri" w:hAnsiTheme="minorHAnsi" w:cstheme="minorBidi"/>
          <w:sz w:val="22"/>
          <w:szCs w:val="22"/>
        </w:rPr>
      </w:pPr>
    </w:p>
    <w:p w14:paraId="6A583C3B" w14:textId="491C8A1A" w:rsidR="43F760B1" w:rsidRPr="00E24481" w:rsidRDefault="27533BA9" w:rsidP="27533BA9">
      <w:pPr>
        <w:pStyle w:val="paragraph"/>
        <w:spacing w:before="0" w:beforeAutospacing="0" w:after="0" w:afterAutospacing="0"/>
        <w:ind w:left="360"/>
        <w:rPr>
          <w:rStyle w:val="normaltextrun"/>
          <w:rFonts w:asciiTheme="minorHAnsi" w:hAnsiTheme="minorHAnsi" w:cstheme="minorBidi"/>
          <w:sz w:val="22"/>
          <w:szCs w:val="22"/>
        </w:rPr>
      </w:pPr>
      <w:r w:rsidRPr="27533BA9">
        <w:rPr>
          <w:rFonts w:asciiTheme="minorHAnsi" w:eastAsia="Calibri" w:hAnsiTheme="minorHAnsi" w:cstheme="minorBidi"/>
          <w:sz w:val="22"/>
          <w:szCs w:val="22"/>
        </w:rPr>
        <w:t xml:space="preserve">CDI can be spread from patient to patient via environmental surfaces or on the hands of healthcare workers. </w:t>
      </w:r>
      <w:r w:rsidRPr="27533BA9">
        <w:rPr>
          <w:rFonts w:asciiTheme="minorHAnsi" w:eastAsia="Calibri" w:hAnsiTheme="minorHAnsi" w:cstheme="minorBidi"/>
          <w:i/>
          <w:iCs/>
          <w:sz w:val="22"/>
          <w:szCs w:val="22"/>
        </w:rPr>
        <w:t xml:space="preserve">C. difficile </w:t>
      </w:r>
      <w:r w:rsidRPr="27533BA9">
        <w:rPr>
          <w:rFonts w:asciiTheme="minorHAnsi" w:eastAsia="Calibri" w:hAnsiTheme="minorHAnsi" w:cstheme="minorBidi"/>
          <w:sz w:val="22"/>
          <w:szCs w:val="22"/>
        </w:rPr>
        <w:t>spores can persist on environmental surfaces for extended periods of time. Outbreaks of CDI occur in healthcare settings such as acute care hospitals and long-term care facilities where there is potential for a large number of susceptible hosts to be exposed to infectious spores.</w:t>
      </w:r>
    </w:p>
    <w:p w14:paraId="3C2DFCB7" w14:textId="1B1B8320" w:rsidR="43F760B1" w:rsidRPr="00E24481" w:rsidRDefault="43F760B1" w:rsidP="264D7CA1">
      <w:pPr>
        <w:pStyle w:val="paragraph"/>
        <w:spacing w:before="0" w:beforeAutospacing="0" w:after="0" w:afterAutospacing="0"/>
        <w:ind w:left="360"/>
        <w:rPr>
          <w:rFonts w:asciiTheme="minorHAnsi" w:eastAsia="Calibri" w:hAnsiTheme="minorHAnsi" w:cstheme="minorHAnsi"/>
          <w:sz w:val="22"/>
          <w:szCs w:val="22"/>
        </w:rPr>
      </w:pPr>
    </w:p>
    <w:p w14:paraId="2B563462" w14:textId="66EAEA46" w:rsidR="43F760B1" w:rsidRPr="00E24481" w:rsidRDefault="27533BA9" w:rsidP="27533BA9">
      <w:pPr>
        <w:pStyle w:val="paragraph"/>
        <w:spacing w:before="0" w:beforeAutospacing="0" w:after="0" w:afterAutospacing="0"/>
        <w:ind w:left="360"/>
        <w:rPr>
          <w:rStyle w:val="normaltextrun"/>
          <w:rFonts w:asciiTheme="minorHAnsi" w:hAnsiTheme="minorHAnsi" w:cstheme="minorBidi"/>
          <w:sz w:val="22"/>
          <w:szCs w:val="22"/>
        </w:rPr>
      </w:pPr>
      <w:r w:rsidRPr="27533BA9">
        <w:rPr>
          <w:rFonts w:asciiTheme="minorHAnsi" w:eastAsia="Calibri" w:hAnsiTheme="minorHAnsi" w:cstheme="minorBidi"/>
          <w:sz w:val="22"/>
          <w:szCs w:val="22"/>
        </w:rPr>
        <w:t xml:space="preserve">The epidemic strain of </w:t>
      </w:r>
      <w:r w:rsidRPr="27533BA9">
        <w:rPr>
          <w:rFonts w:asciiTheme="minorHAnsi" w:eastAsia="Calibri" w:hAnsiTheme="minorHAnsi" w:cstheme="minorBidi"/>
          <w:i/>
          <w:iCs/>
          <w:sz w:val="22"/>
          <w:szCs w:val="22"/>
        </w:rPr>
        <w:t>C. difficile</w:t>
      </w:r>
      <w:r w:rsidRPr="27533BA9">
        <w:rPr>
          <w:rFonts w:asciiTheme="minorHAnsi" w:eastAsia="Calibri" w:hAnsiTheme="minorHAnsi" w:cstheme="minorBidi"/>
          <w:sz w:val="22"/>
          <w:szCs w:val="22"/>
        </w:rPr>
        <w:t>, BI/NAP1/027 is associated with more severe disease and increased mortality. As CDI is strongly associated with previous antibiotic use, prudent use of antibiotics has a significant role in the prevention and control of CDI. Both the skin and the environment of colonized patients become contaminated</w:t>
      </w:r>
      <w:r w:rsidR="00886A2C">
        <w:rPr>
          <w:rFonts w:asciiTheme="minorHAnsi" w:eastAsia="Calibri" w:hAnsiTheme="minorHAnsi" w:cstheme="minorBidi"/>
          <w:sz w:val="22"/>
          <w:szCs w:val="22"/>
        </w:rPr>
        <w:t xml:space="preserve">; </w:t>
      </w:r>
      <w:r w:rsidRPr="27533BA9">
        <w:rPr>
          <w:rFonts w:asciiTheme="minorHAnsi" w:eastAsia="Calibri" w:hAnsiTheme="minorHAnsi" w:cstheme="minorBidi"/>
          <w:sz w:val="22"/>
          <w:szCs w:val="22"/>
        </w:rPr>
        <w:t xml:space="preserve">healthcare personnel hands may become contaminated by touching the environment or the patient. The ongoing </w:t>
      </w:r>
      <w:r w:rsidR="00886A2C">
        <w:rPr>
          <w:rFonts w:asciiTheme="minorHAnsi" w:eastAsia="Calibri" w:hAnsiTheme="minorHAnsi" w:cstheme="minorBidi"/>
          <w:sz w:val="22"/>
          <w:szCs w:val="22"/>
        </w:rPr>
        <w:t>challenge</w:t>
      </w:r>
      <w:r w:rsidR="00886A2C" w:rsidRPr="27533BA9">
        <w:rPr>
          <w:rFonts w:asciiTheme="minorHAnsi" w:eastAsia="Calibri" w:hAnsiTheme="minorHAnsi" w:cstheme="minorBidi"/>
          <w:sz w:val="22"/>
          <w:szCs w:val="22"/>
        </w:rPr>
        <w:t xml:space="preserve"> </w:t>
      </w:r>
      <w:r w:rsidRPr="27533BA9">
        <w:rPr>
          <w:rFonts w:asciiTheme="minorHAnsi" w:eastAsia="Calibri" w:hAnsiTheme="minorHAnsi" w:cstheme="minorBidi"/>
          <w:sz w:val="22"/>
          <w:szCs w:val="22"/>
        </w:rPr>
        <w:t xml:space="preserve">of CDI </w:t>
      </w:r>
      <w:r w:rsidR="00886A2C">
        <w:rPr>
          <w:rFonts w:asciiTheme="minorHAnsi" w:eastAsia="Calibri" w:hAnsiTheme="minorHAnsi" w:cstheme="minorBidi"/>
          <w:sz w:val="22"/>
          <w:szCs w:val="22"/>
        </w:rPr>
        <w:t>highlight</w:t>
      </w:r>
      <w:r w:rsidR="00886A2C" w:rsidRPr="27533BA9">
        <w:rPr>
          <w:rFonts w:asciiTheme="minorHAnsi" w:eastAsia="Calibri" w:hAnsiTheme="minorHAnsi" w:cstheme="minorBidi"/>
          <w:sz w:val="22"/>
          <w:szCs w:val="22"/>
        </w:rPr>
        <w:t xml:space="preserve">s </w:t>
      </w:r>
      <w:r w:rsidRPr="27533BA9">
        <w:rPr>
          <w:rFonts w:asciiTheme="minorHAnsi" w:eastAsia="Calibri" w:hAnsiTheme="minorHAnsi" w:cstheme="minorBidi"/>
          <w:sz w:val="22"/>
          <w:szCs w:val="22"/>
        </w:rPr>
        <w:t xml:space="preserve">the need for better </w:t>
      </w:r>
      <w:r w:rsidR="00886A2C">
        <w:rPr>
          <w:rFonts w:asciiTheme="minorHAnsi" w:eastAsia="Calibri" w:hAnsiTheme="minorHAnsi" w:cstheme="minorBidi"/>
          <w:sz w:val="22"/>
          <w:szCs w:val="22"/>
        </w:rPr>
        <w:t xml:space="preserve">use of </w:t>
      </w:r>
      <w:r w:rsidRPr="27533BA9">
        <w:rPr>
          <w:rFonts w:asciiTheme="minorHAnsi" w:eastAsia="Calibri" w:hAnsiTheme="minorHAnsi" w:cstheme="minorBidi"/>
          <w:sz w:val="22"/>
          <w:szCs w:val="22"/>
        </w:rPr>
        <w:t>diagnostics (appropriate test for the right patient), meticulous attention to infection prevention (including environmental disinfection), and improved antibiotic stewardship.</w:t>
      </w:r>
    </w:p>
    <w:p w14:paraId="2ECB876D" w14:textId="6DBEF0A5" w:rsidR="43F760B1" w:rsidRPr="00E24481" w:rsidRDefault="43F760B1" w:rsidP="43F760B1">
      <w:pPr>
        <w:pStyle w:val="paragraph"/>
        <w:spacing w:before="0" w:beforeAutospacing="0" w:after="0" w:afterAutospacing="0"/>
        <w:ind w:left="360"/>
        <w:rPr>
          <w:rStyle w:val="normaltextrun"/>
          <w:rFonts w:asciiTheme="minorHAnsi" w:hAnsiTheme="minorHAnsi" w:cstheme="minorHAnsi"/>
          <w:sz w:val="22"/>
          <w:szCs w:val="22"/>
        </w:rPr>
      </w:pPr>
    </w:p>
    <w:p w14:paraId="2848F2F7" w14:textId="392F298E" w:rsidR="264D7CA1" w:rsidRPr="00E24481" w:rsidRDefault="264D7CA1" w:rsidP="264D7CA1">
      <w:pPr>
        <w:spacing w:after="0" w:line="240" w:lineRule="auto"/>
        <w:ind w:firstLine="360"/>
        <w:rPr>
          <w:rFonts w:eastAsia="Arial" w:cstheme="minorHAnsi"/>
          <w:b/>
          <w:bCs/>
        </w:rPr>
      </w:pPr>
    </w:p>
    <w:p w14:paraId="26A3A51E" w14:textId="6723A437" w:rsidR="264D7CA1" w:rsidRPr="00E24481" w:rsidRDefault="27533BA9" w:rsidP="27533BA9">
      <w:pPr>
        <w:spacing w:after="0" w:line="240" w:lineRule="auto"/>
        <w:ind w:firstLine="360"/>
        <w:rPr>
          <w:rFonts w:eastAsia="Arial"/>
        </w:rPr>
      </w:pPr>
      <w:r w:rsidRPr="27533BA9">
        <w:rPr>
          <w:rFonts w:eastAsia="Arial"/>
        </w:rPr>
        <w:t xml:space="preserve">A. Key Points for Successful Investigation </w:t>
      </w:r>
    </w:p>
    <w:p w14:paraId="39D357A4" w14:textId="40863B5F" w:rsidR="5D2CD5C8" w:rsidRDefault="5D2CD5C8" w:rsidP="5D2CD5C8">
      <w:pPr>
        <w:pStyle w:val="paragraph"/>
        <w:spacing w:before="0" w:beforeAutospacing="0" w:after="0" w:afterAutospacing="0"/>
        <w:ind w:left="360"/>
        <w:rPr>
          <w:rStyle w:val="eop"/>
          <w:rFonts w:asciiTheme="minorHAnsi" w:hAnsiTheme="minorHAnsi" w:cstheme="minorHAnsi"/>
          <w:sz w:val="22"/>
          <w:szCs w:val="22"/>
        </w:rPr>
      </w:pPr>
    </w:p>
    <w:p w14:paraId="78A07EAE" w14:textId="44DB7F8E" w:rsidR="00EB0AEA" w:rsidRPr="00CA635F" w:rsidRDefault="00EB0AEA" w:rsidP="00CA635F">
      <w:pPr>
        <w:ind w:left="360"/>
        <w:rPr>
          <w:rStyle w:val="eop"/>
          <w:rFonts w:eastAsiaTheme="minorEastAsia"/>
          <w:highlight w:val="yellow"/>
        </w:rPr>
      </w:pPr>
      <w:r>
        <w:t xml:space="preserve">The following </w:t>
      </w:r>
      <w:r w:rsidR="00886A2C">
        <w:t>sections outline</w:t>
      </w:r>
      <w:r>
        <w:t xml:space="preserve"> important actions and considerations in conducting an investigation of a potential outbreak of CDI in a healthcare facility. Some of these actions c</w:t>
      </w:r>
      <w:r w:rsidR="00645CA0">
        <w:t>an</w:t>
      </w:r>
      <w:r>
        <w:t xml:space="preserve"> be conducted by the facility</w:t>
      </w:r>
      <w:r w:rsidR="00645CA0">
        <w:t xml:space="preserve">, while others </w:t>
      </w:r>
      <w:r w:rsidR="00D77F89">
        <w:t xml:space="preserve">may </w:t>
      </w:r>
      <w:r w:rsidR="00085819">
        <w:t>require assistance from</w:t>
      </w:r>
      <w:r w:rsidR="00645CA0">
        <w:t xml:space="preserve"> the health department.</w:t>
      </w:r>
      <w:r w:rsidR="00D77F89" w:rsidRPr="00D77F89">
        <w:t xml:space="preserve"> </w:t>
      </w:r>
      <w:r w:rsidR="00886A2C">
        <w:t>C</w:t>
      </w:r>
      <w:r w:rsidR="00D77F89">
        <w:t xml:space="preserve">ollaboration between the facility and public health </w:t>
      </w:r>
      <w:r w:rsidR="00085819">
        <w:t>helps</w:t>
      </w:r>
      <w:r w:rsidR="00D77F89">
        <w:t xml:space="preserve"> ensure a</w:t>
      </w:r>
      <w:r w:rsidR="00085819">
        <w:t xml:space="preserve"> successful</w:t>
      </w:r>
      <w:r w:rsidR="00D77F89">
        <w:t xml:space="preserve"> investigation. </w:t>
      </w:r>
      <w:r w:rsidR="00085819">
        <w:t xml:space="preserve">Public health should support the facility by providing guidance and resources. The health department may </w:t>
      </w:r>
      <w:r w:rsidR="00FA6D6C">
        <w:t xml:space="preserve">be able to </w:t>
      </w:r>
      <w:r w:rsidR="00085819">
        <w:t xml:space="preserve">provide </w:t>
      </w:r>
      <w:r w:rsidR="00FA6D6C">
        <w:t xml:space="preserve">assistance with </w:t>
      </w:r>
      <w:r w:rsidR="00085819">
        <w:t>infection control assessment</w:t>
      </w:r>
      <w:r w:rsidR="004757D5">
        <w:t>,</w:t>
      </w:r>
      <w:r w:rsidR="00085819">
        <w:t xml:space="preserve"> medical record review, </w:t>
      </w:r>
      <w:r w:rsidR="004757D5">
        <w:t xml:space="preserve">laboratory testing, </w:t>
      </w:r>
      <w:r w:rsidR="00085819">
        <w:t>data analysis, and other activities as appropriate for the investigation.</w:t>
      </w:r>
      <w:r w:rsidR="00645CA0">
        <w:t xml:space="preserve"> Th</w:t>
      </w:r>
      <w:r w:rsidR="00DC1B37">
        <w:t>is</w:t>
      </w:r>
      <w:r w:rsidR="00645CA0">
        <w:t xml:space="preserve"> will depend on the circumstances of the potential outbreak as well as the </w:t>
      </w:r>
      <w:r w:rsidR="00645CA0">
        <w:lastRenderedPageBreak/>
        <w:t xml:space="preserve">resources of the facility and the health department. </w:t>
      </w:r>
      <w:r w:rsidR="00D77F89">
        <w:t>The need for</w:t>
      </w:r>
      <w:r w:rsidR="00294397">
        <w:t xml:space="preserve"> an on-</w:t>
      </w:r>
      <w:r>
        <w:t xml:space="preserve">site visit to the facility </w:t>
      </w:r>
      <w:r w:rsidR="00294397">
        <w:t xml:space="preserve">should be </w:t>
      </w:r>
      <w:r w:rsidR="00D77F89">
        <w:t xml:space="preserve">determined </w:t>
      </w:r>
      <w:r>
        <w:t xml:space="preserve">based on the number of the cases, patient population, severity of illness, and level of assistance </w:t>
      </w:r>
      <w:r w:rsidR="00085819">
        <w:t>required</w:t>
      </w:r>
      <w:r>
        <w:t>.</w:t>
      </w:r>
      <w:r w:rsidR="00294397">
        <w:t xml:space="preserve"> </w:t>
      </w:r>
    </w:p>
    <w:p w14:paraId="362B91D4" w14:textId="77777777" w:rsidR="00EB0AEA" w:rsidRPr="00E24481" w:rsidRDefault="00EB0AEA" w:rsidP="5D2CD5C8">
      <w:pPr>
        <w:pStyle w:val="paragraph"/>
        <w:spacing w:before="0" w:beforeAutospacing="0" w:after="0" w:afterAutospacing="0"/>
        <w:ind w:left="360"/>
        <w:rPr>
          <w:rStyle w:val="eop"/>
          <w:rFonts w:asciiTheme="minorHAnsi" w:hAnsiTheme="minorHAnsi" w:cstheme="minorHAnsi"/>
          <w:sz w:val="22"/>
          <w:szCs w:val="22"/>
        </w:rPr>
      </w:pPr>
    </w:p>
    <w:p w14:paraId="1AAA0DC4" w14:textId="71D5D613" w:rsidR="005F3856" w:rsidRPr="00E24481" w:rsidRDefault="27533BA9" w:rsidP="27533BA9">
      <w:pPr>
        <w:pStyle w:val="paragraph"/>
        <w:spacing w:before="0" w:beforeAutospacing="0" w:after="0" w:afterAutospacing="0"/>
        <w:ind w:left="360"/>
        <w:rPr>
          <w:rStyle w:val="eop"/>
          <w:rFonts w:asciiTheme="minorHAnsi" w:hAnsiTheme="minorHAnsi" w:cstheme="minorBidi"/>
          <w:sz w:val="22"/>
          <w:szCs w:val="22"/>
          <w:u w:val="single"/>
        </w:rPr>
      </w:pPr>
      <w:r w:rsidRPr="27533BA9">
        <w:rPr>
          <w:rStyle w:val="eop"/>
          <w:rFonts w:asciiTheme="minorHAnsi" w:hAnsiTheme="minorHAnsi" w:cstheme="minorBidi"/>
          <w:sz w:val="22"/>
          <w:szCs w:val="22"/>
          <w:u w:val="single"/>
        </w:rPr>
        <w:t>Initial Investigation</w:t>
      </w:r>
    </w:p>
    <w:p w14:paraId="7B364201" w14:textId="41037E58" w:rsidR="3038F58C" w:rsidRPr="00EB0AEA" w:rsidRDefault="27533BA9" w:rsidP="27533BA9">
      <w:pPr>
        <w:pStyle w:val="ListParagraph"/>
        <w:numPr>
          <w:ilvl w:val="0"/>
          <w:numId w:val="7"/>
        </w:numPr>
      </w:pPr>
      <w:r w:rsidRPr="00EB0AEA">
        <w:t xml:space="preserve">Ensure the </w:t>
      </w:r>
      <w:r w:rsidR="00D77F89">
        <w:t xml:space="preserve">timeliness and </w:t>
      </w:r>
      <w:r w:rsidRPr="00EB0AEA">
        <w:t xml:space="preserve">appropriateness of testing practices. </w:t>
      </w:r>
      <w:r w:rsidR="00D77F89">
        <w:t xml:space="preserve">Patients should have </w:t>
      </w:r>
      <w:r w:rsidR="00D77F89">
        <w:rPr>
          <w:rFonts w:cstheme="minorHAnsi"/>
        </w:rPr>
        <w:t>≥</w:t>
      </w:r>
      <w:r w:rsidR="00576F71">
        <w:t>3 loose stools within 24</w:t>
      </w:r>
      <w:r w:rsidR="00D77F89">
        <w:t xml:space="preserve"> h</w:t>
      </w:r>
      <w:r w:rsidR="00576F71">
        <w:t>ours</w:t>
      </w:r>
      <w:r w:rsidR="006B7611">
        <w:t>; t</w:t>
      </w:r>
      <w:r w:rsidRPr="00EB0AEA">
        <w:t xml:space="preserve">esting stewardship prevents testing of patients with </w:t>
      </w:r>
      <w:r w:rsidR="006B7611" w:rsidRPr="00EB0AEA">
        <w:t xml:space="preserve">solid stool samples </w:t>
      </w:r>
      <w:r w:rsidR="006B7611">
        <w:t>or</w:t>
      </w:r>
      <w:r w:rsidR="006B7611" w:rsidRPr="00EB0AEA">
        <w:t xml:space="preserve"> </w:t>
      </w:r>
      <w:r w:rsidRPr="00EB0AEA">
        <w:t>other explanations for diarrhea (e.g. patients receiving laxatives or tube feeds). N</w:t>
      </w:r>
      <w:r w:rsidR="00DC1B37">
        <w:t>ote that n</w:t>
      </w:r>
      <w:r w:rsidRPr="00EB0AEA">
        <w:t xml:space="preserve">ucleic acid amplification tests </w:t>
      </w:r>
      <w:r w:rsidR="00014DF6">
        <w:t xml:space="preserve">(NAAT) </w:t>
      </w:r>
      <w:r w:rsidRPr="00EB0AEA">
        <w:t xml:space="preserve">are very sensitive but do not distinguish CDI from asymptomatic carriage. If </w:t>
      </w:r>
      <w:r w:rsidR="00DC1B37">
        <w:t xml:space="preserve">the cluster of cases </w:t>
      </w:r>
      <w:r w:rsidR="004757D5">
        <w:t>is</w:t>
      </w:r>
      <w:r w:rsidR="00DC1B37">
        <w:t xml:space="preserve"> due to </w:t>
      </w:r>
      <w:r w:rsidRPr="00EB0AEA">
        <w:t>inappropriate testing</w:t>
      </w:r>
      <w:r w:rsidR="00DC1B37">
        <w:t xml:space="preserve">, </w:t>
      </w:r>
      <w:r w:rsidRPr="00EB0AEA">
        <w:t xml:space="preserve">consider halting the investigation and </w:t>
      </w:r>
      <w:r w:rsidR="00DC1B37">
        <w:t xml:space="preserve">taking steps to improve CDI </w:t>
      </w:r>
      <w:r w:rsidRPr="00EB0AEA">
        <w:t>testing practices.</w:t>
      </w:r>
    </w:p>
    <w:p w14:paraId="34E89AD1" w14:textId="57707B4E" w:rsidR="00F81E64" w:rsidRPr="00EB0AEA" w:rsidRDefault="27533BA9" w:rsidP="49957275">
      <w:pPr>
        <w:pStyle w:val="ListParagraph"/>
        <w:numPr>
          <w:ilvl w:val="0"/>
          <w:numId w:val="7"/>
        </w:numPr>
      </w:pPr>
      <w:r w:rsidRPr="00EB0AEA">
        <w:t xml:space="preserve">Construct a </w:t>
      </w:r>
      <w:r w:rsidRPr="001E2D06">
        <w:rPr>
          <w:highlight w:val="yellow"/>
        </w:rPr>
        <w:t>line list</w:t>
      </w:r>
      <w:r w:rsidRPr="00EB0AEA">
        <w:t xml:space="preserve"> that includes admission date, admission source, location in the facility, movement of the patient within the facility, , environmental cleaning, symptom onset date, date of positive test, testing method, previous history of CDI, prior antibiotic exposure, discharge date, infection control practices, environmental cleaning, and other relevant information.</w:t>
      </w:r>
      <w:r w:rsidR="00576F71">
        <w:t xml:space="preserve"> </w:t>
      </w:r>
      <w:r w:rsidR="00576F71" w:rsidRPr="00576F71">
        <w:rPr>
          <w:highlight w:val="yellow"/>
        </w:rPr>
        <w:t>[Link to sample line list]</w:t>
      </w:r>
    </w:p>
    <w:p w14:paraId="64DE1D80" w14:textId="6709F749" w:rsidR="10353522" w:rsidRPr="00EB0AEA" w:rsidRDefault="27533BA9" w:rsidP="10353522">
      <w:pPr>
        <w:pStyle w:val="ListParagraph"/>
        <w:numPr>
          <w:ilvl w:val="0"/>
          <w:numId w:val="7"/>
        </w:numPr>
      </w:pPr>
      <w:r w:rsidRPr="00EB0AEA">
        <w:t>Perform additional case finding through review of laboratory records and if indicated, medical chart review of epidemiologically linked patients.</w:t>
      </w:r>
    </w:p>
    <w:p w14:paraId="4546CE3A" w14:textId="72412B06" w:rsidR="00541BB8" w:rsidRPr="00EB0AEA" w:rsidRDefault="27533BA9" w:rsidP="00F81E64">
      <w:pPr>
        <w:pStyle w:val="ListParagraph"/>
        <w:numPr>
          <w:ilvl w:val="0"/>
          <w:numId w:val="7"/>
        </w:numPr>
      </w:pPr>
      <w:r w:rsidRPr="00EB0AEA">
        <w:t>Utilize the list to identify commonalities among patients and determine if cases are epidemiologically linked and whether there is evidence of transmission.</w:t>
      </w:r>
    </w:p>
    <w:p w14:paraId="37EEF444" w14:textId="7536D713" w:rsidR="007F50D8" w:rsidRPr="00EB0AEA" w:rsidRDefault="001B4876" w:rsidP="49957275">
      <w:pPr>
        <w:pStyle w:val="ListParagraph"/>
        <w:numPr>
          <w:ilvl w:val="0"/>
          <w:numId w:val="7"/>
        </w:numPr>
      </w:pPr>
      <w:r>
        <w:t>E</w:t>
      </w:r>
      <w:r w:rsidR="27533BA9" w:rsidRPr="00EB0AEA">
        <w:t>stablish a case definition including patient population, location, timeframe, as well as laboratory and clinical criteria.</w:t>
      </w:r>
      <w:r>
        <w:t xml:space="preserve"> Consider using case classifications such as Suspect, Probable, and Confirmed.</w:t>
      </w:r>
    </w:p>
    <w:p w14:paraId="32360330" w14:textId="3E40EB22" w:rsidR="005F3856" w:rsidRDefault="001E7C41" w:rsidP="27533BA9">
      <w:pPr>
        <w:pStyle w:val="paragraph"/>
        <w:spacing w:before="0" w:beforeAutospacing="0" w:after="0" w:afterAutospacing="0"/>
        <w:ind w:firstLine="360"/>
        <w:rPr>
          <w:rStyle w:val="eop"/>
          <w:rFonts w:asciiTheme="minorHAnsi" w:hAnsiTheme="minorHAnsi" w:cstheme="minorBidi"/>
          <w:sz w:val="22"/>
          <w:szCs w:val="22"/>
          <w:u w:val="single"/>
        </w:rPr>
      </w:pPr>
      <w:r>
        <w:rPr>
          <w:rStyle w:val="eop"/>
          <w:rFonts w:asciiTheme="minorHAnsi" w:hAnsiTheme="minorHAnsi" w:cstheme="minorBidi"/>
          <w:sz w:val="22"/>
          <w:szCs w:val="22"/>
          <w:u w:val="single"/>
        </w:rPr>
        <w:t>Infection Control</w:t>
      </w:r>
      <w:r w:rsidR="27533BA9" w:rsidRPr="27533BA9">
        <w:rPr>
          <w:rStyle w:val="eop"/>
          <w:rFonts w:asciiTheme="minorHAnsi" w:hAnsiTheme="minorHAnsi" w:cstheme="minorBidi"/>
          <w:sz w:val="22"/>
          <w:szCs w:val="22"/>
          <w:u w:val="single"/>
        </w:rPr>
        <w:t xml:space="preserve"> Assessment</w:t>
      </w:r>
      <w:r w:rsidR="00576F71">
        <w:rPr>
          <w:rStyle w:val="eop"/>
          <w:rFonts w:asciiTheme="minorHAnsi" w:hAnsiTheme="minorHAnsi" w:cstheme="minorBidi"/>
          <w:sz w:val="22"/>
          <w:szCs w:val="22"/>
          <w:u w:val="single"/>
        </w:rPr>
        <w:t xml:space="preserve"> and Enhanced Precautions</w:t>
      </w:r>
    </w:p>
    <w:p w14:paraId="2950E9D1" w14:textId="05BB84C5" w:rsidR="005A4B60" w:rsidRPr="00576F71" w:rsidRDefault="00576F71" w:rsidP="00895201">
      <w:pPr>
        <w:pStyle w:val="ListParagraph"/>
        <w:numPr>
          <w:ilvl w:val="0"/>
          <w:numId w:val="7"/>
        </w:numPr>
      </w:pPr>
      <w:r w:rsidRPr="00576F71">
        <w:t>Perform an assessment of</w:t>
      </w:r>
      <w:r w:rsidR="001E7C41" w:rsidRPr="00576F71">
        <w:t xml:space="preserve"> infection control practices such as hand hygiene, donning and doffing of PPE, and environmental cleaning on units affected by the outbreak</w:t>
      </w:r>
      <w:r w:rsidR="00DC1B37">
        <w:t xml:space="preserve"> (refer to the </w:t>
      </w:r>
      <w:r w:rsidR="00895201">
        <w:t xml:space="preserve">Hand Hygiene and Environmental Cleaning </w:t>
      </w:r>
      <w:r w:rsidR="00DC1B37">
        <w:t>sections below)</w:t>
      </w:r>
      <w:r w:rsidR="005A4B60" w:rsidRPr="00576F71">
        <w:t>.</w:t>
      </w:r>
    </w:p>
    <w:p w14:paraId="78DD7142" w14:textId="52A0DA68" w:rsidR="00CA635F" w:rsidRPr="00576F71" w:rsidRDefault="001B4876" w:rsidP="00DC1B37">
      <w:pPr>
        <w:pStyle w:val="ListParagraph"/>
        <w:numPr>
          <w:ilvl w:val="0"/>
          <w:numId w:val="7"/>
        </w:numPr>
        <w:rPr>
          <w:rStyle w:val="eop"/>
        </w:rPr>
      </w:pPr>
      <w:r>
        <w:t>Whe</w:t>
      </w:r>
      <w:r w:rsidRPr="00576F71">
        <w:t xml:space="preserve">n </w:t>
      </w:r>
      <w:r w:rsidR="00576F71" w:rsidRPr="00576F71">
        <w:t>investigating larger outbreaks consider utilizing the CDC Target, Assess, Prevent (</w:t>
      </w:r>
      <w:hyperlink r:id="rId8" w:history="1">
        <w:r w:rsidR="00576F71" w:rsidRPr="00576F71">
          <w:rPr>
            <w:rStyle w:val="Hyperlink"/>
          </w:rPr>
          <w:t>www.cdc.gov/hai/prevent/tap.html</w:t>
        </w:r>
      </w:hyperlink>
      <w:r w:rsidR="00576F71" w:rsidRPr="00576F71">
        <w:t xml:space="preserve">) strategy to review </w:t>
      </w:r>
      <w:r w:rsidR="00DC1B37" w:rsidRPr="00DC1B37">
        <w:t xml:space="preserve">awareness and perceptions of policies and practices related to CDI prevention </w:t>
      </w:r>
      <w:r w:rsidR="00DC1B37">
        <w:t>in</w:t>
      </w:r>
      <w:r w:rsidR="00DC1B37" w:rsidRPr="00DC1B37">
        <w:t xml:space="preserve"> the </w:t>
      </w:r>
      <w:r w:rsidR="00DC1B37">
        <w:t xml:space="preserve">affected </w:t>
      </w:r>
      <w:r w:rsidR="00DC1B37" w:rsidRPr="00DC1B37">
        <w:t>facility or unit</w:t>
      </w:r>
      <w:r w:rsidR="00576F71" w:rsidRPr="00576F71">
        <w:t>.</w:t>
      </w:r>
    </w:p>
    <w:p w14:paraId="6908EBE6" w14:textId="10E0E331" w:rsidR="00191E64" w:rsidRDefault="00191E64" w:rsidP="00506D83">
      <w:pPr>
        <w:pStyle w:val="ListParagraph"/>
        <w:numPr>
          <w:ilvl w:val="0"/>
          <w:numId w:val="7"/>
        </w:numPr>
        <w:rPr>
          <w:rFonts w:eastAsia="Calibri"/>
          <w:color w:val="000000" w:themeColor="text1"/>
        </w:rPr>
      </w:pPr>
      <w:r>
        <w:rPr>
          <w:color w:val="000000" w:themeColor="text1"/>
        </w:rPr>
        <w:lastRenderedPageBreak/>
        <w:t>Patients with CDI</w:t>
      </w:r>
      <w:r w:rsidRPr="27533BA9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>
        <w:rPr>
          <w:rFonts w:eastAsia="Calibri"/>
          <w:color w:val="000000" w:themeColor="text1"/>
        </w:rPr>
        <w:t>including</w:t>
      </w:r>
      <w:r w:rsidRPr="27533BA9">
        <w:rPr>
          <w:rFonts w:eastAsia="Calibri"/>
          <w:color w:val="000000" w:themeColor="text1"/>
        </w:rPr>
        <w:t xml:space="preserve"> patients suspected of having CDI while awaiting testing</w:t>
      </w:r>
      <w:r>
        <w:rPr>
          <w:rFonts w:eastAsia="Calibri"/>
          <w:color w:val="000000" w:themeColor="text1"/>
        </w:rPr>
        <w:t>)</w:t>
      </w:r>
      <w:r w:rsidRPr="27533BA9">
        <w:rPr>
          <w:color w:val="000000" w:themeColor="text1"/>
        </w:rPr>
        <w:t xml:space="preserve"> </w:t>
      </w:r>
      <w:r w:rsidR="27533BA9" w:rsidRPr="27533BA9">
        <w:rPr>
          <w:color w:val="000000" w:themeColor="text1"/>
        </w:rPr>
        <w:t xml:space="preserve">should be put in a private room and placed on contact </w:t>
      </w:r>
      <w:r>
        <w:rPr>
          <w:color w:val="000000" w:themeColor="text1"/>
        </w:rPr>
        <w:t>precautions (Duberke)</w:t>
      </w:r>
      <w:r w:rsidR="00506D83">
        <w:rPr>
          <w:rFonts w:eastAsia="Calibri"/>
          <w:color w:val="000000" w:themeColor="text1"/>
        </w:rPr>
        <w:t xml:space="preserve">. </w:t>
      </w:r>
    </w:p>
    <w:p w14:paraId="53F91D64" w14:textId="1E787BE9" w:rsidR="5D2CD5C8" w:rsidRDefault="00506D83" w:rsidP="00191E64">
      <w:pPr>
        <w:pStyle w:val="ListParagraph"/>
        <w:numPr>
          <w:ilvl w:val="1"/>
          <w:numId w:val="7"/>
        </w:numPr>
        <w:rPr>
          <w:rFonts w:eastAsia="Calibri"/>
          <w:color w:val="000000" w:themeColor="text1"/>
        </w:rPr>
      </w:pPr>
      <w:r w:rsidRPr="00506D83">
        <w:rPr>
          <w:rFonts w:eastAsia="Calibri"/>
          <w:color w:val="000000" w:themeColor="text1"/>
        </w:rPr>
        <w:t>If single rooms are not</w:t>
      </w:r>
      <w:r>
        <w:rPr>
          <w:rFonts w:eastAsia="Calibri"/>
          <w:color w:val="000000" w:themeColor="text1"/>
        </w:rPr>
        <w:t xml:space="preserve"> </w:t>
      </w:r>
      <w:r w:rsidRPr="00506D83">
        <w:rPr>
          <w:rFonts w:eastAsia="Calibri"/>
          <w:color w:val="000000" w:themeColor="text1"/>
        </w:rPr>
        <w:t>available, cohort patients, providing a dedicated commode</w:t>
      </w:r>
      <w:r>
        <w:rPr>
          <w:rFonts w:eastAsia="Calibri"/>
          <w:color w:val="000000" w:themeColor="text1"/>
        </w:rPr>
        <w:t xml:space="preserve"> </w:t>
      </w:r>
      <w:r w:rsidRPr="00506D83">
        <w:rPr>
          <w:rFonts w:eastAsia="Calibri"/>
          <w:color w:val="000000" w:themeColor="text1"/>
        </w:rPr>
        <w:t>for each patient (</w:t>
      </w:r>
      <w:r w:rsidR="00B05B12">
        <w:rPr>
          <w:rFonts w:eastAsia="Calibri"/>
          <w:color w:val="000000" w:themeColor="text1"/>
        </w:rPr>
        <w:t>Dubberke</w:t>
      </w:r>
      <w:r w:rsidRPr="00506D83">
        <w:rPr>
          <w:rFonts w:eastAsia="Calibri"/>
          <w:color w:val="000000" w:themeColor="text1"/>
        </w:rPr>
        <w:t>)</w:t>
      </w:r>
      <w:r w:rsidR="27533BA9" w:rsidRPr="00506D83">
        <w:rPr>
          <w:rFonts w:eastAsia="Calibri"/>
          <w:color w:val="000000" w:themeColor="text1"/>
        </w:rPr>
        <w:t>.</w:t>
      </w:r>
    </w:p>
    <w:p w14:paraId="0F365A76" w14:textId="3210D121" w:rsidR="00191E64" w:rsidRPr="00506D83" w:rsidRDefault="00191E64" w:rsidP="00191E64">
      <w:pPr>
        <w:pStyle w:val="ListParagraph"/>
        <w:numPr>
          <w:ilvl w:val="1"/>
          <w:numId w:val="7"/>
        </w:numPr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 xml:space="preserve">If there is a limited number of private single rooms, CDI patients with stool incontinence should be prioritized for </w:t>
      </w:r>
      <w:r w:rsidR="00DC1B37">
        <w:rPr>
          <w:rFonts w:eastAsia="Calibri"/>
          <w:color w:val="000000" w:themeColor="text1"/>
        </w:rPr>
        <w:t xml:space="preserve">private room </w:t>
      </w:r>
      <w:r>
        <w:rPr>
          <w:rFonts w:eastAsia="Calibri"/>
          <w:color w:val="000000" w:themeColor="text1"/>
        </w:rPr>
        <w:t>placement (McDonald).</w:t>
      </w:r>
    </w:p>
    <w:p w14:paraId="2974E402" w14:textId="77B0C0DE" w:rsidR="00191E64" w:rsidRDefault="00171FE9" w:rsidP="00171FE9">
      <w:pPr>
        <w:pStyle w:val="ListParagraph"/>
        <w:numPr>
          <w:ilvl w:val="0"/>
          <w:numId w:val="7"/>
        </w:numPr>
      </w:pPr>
      <w:r w:rsidRPr="00171FE9">
        <w:t>Maintain contact precautions for 48 hours</w:t>
      </w:r>
      <w:r w:rsidR="00191E64">
        <w:t xml:space="preserve"> after diarrhea has ceased</w:t>
      </w:r>
      <w:r w:rsidR="00C0134C">
        <w:t xml:space="preserve"> (McDonald)</w:t>
      </w:r>
      <w:r w:rsidR="00191E64">
        <w:t xml:space="preserve">: </w:t>
      </w:r>
    </w:p>
    <w:p w14:paraId="6F940CDE" w14:textId="4DF2908A" w:rsidR="00171FE9" w:rsidRDefault="00191E64" w:rsidP="00191E64">
      <w:pPr>
        <w:pStyle w:val="ListParagraph"/>
        <w:numPr>
          <w:ilvl w:val="1"/>
          <w:numId w:val="7"/>
        </w:numPr>
      </w:pPr>
      <w:r>
        <w:t>C</w:t>
      </w:r>
      <w:r w:rsidR="00171FE9" w:rsidRPr="00171FE9">
        <w:t xml:space="preserve">onsiderations should be made during an outbreak </w:t>
      </w:r>
      <w:r w:rsidR="007F3478">
        <w:t xml:space="preserve">in a hospital </w:t>
      </w:r>
      <w:r w:rsidR="00171FE9" w:rsidRPr="00171FE9">
        <w:t>to continue contact precautions for the duration of the hospitalization</w:t>
      </w:r>
      <w:r w:rsidR="001F408F">
        <w:t xml:space="preserve"> (</w:t>
      </w:r>
      <w:r>
        <w:t>McDonald</w:t>
      </w:r>
      <w:r w:rsidR="001F408F">
        <w:t>)</w:t>
      </w:r>
      <w:r w:rsidR="00171FE9" w:rsidRPr="00171FE9">
        <w:t xml:space="preserve">. </w:t>
      </w:r>
    </w:p>
    <w:p w14:paraId="598BD935" w14:textId="208A29B0" w:rsidR="00191E64" w:rsidRDefault="00191E64" w:rsidP="00191E64">
      <w:pPr>
        <w:pStyle w:val="ListParagraph"/>
        <w:numPr>
          <w:ilvl w:val="1"/>
          <w:numId w:val="7"/>
        </w:numPr>
      </w:pPr>
      <w:r w:rsidRPr="27533BA9">
        <w:rPr>
          <w:color w:val="000000" w:themeColor="text1"/>
        </w:rPr>
        <w:t xml:space="preserve">Clinical suspicion of CDI should outweigh negative enzyme immunoassay test results in patients with a high </w:t>
      </w:r>
      <w:r>
        <w:rPr>
          <w:color w:val="000000" w:themeColor="text1"/>
        </w:rPr>
        <w:t>suspicion</w:t>
      </w:r>
      <w:r w:rsidRPr="27533BA9">
        <w:rPr>
          <w:color w:val="000000" w:themeColor="text1"/>
        </w:rPr>
        <w:t xml:space="preserve"> of having CDI, and the patient should remain </w:t>
      </w:r>
      <w:r>
        <w:rPr>
          <w:color w:val="000000" w:themeColor="text1"/>
        </w:rPr>
        <w:t>on contact precautions (</w:t>
      </w:r>
      <w:r>
        <w:rPr>
          <w:rFonts w:eastAsia="Calibri"/>
          <w:color w:val="000000" w:themeColor="text1"/>
        </w:rPr>
        <w:t>Dubberke</w:t>
      </w:r>
      <w:r>
        <w:rPr>
          <w:color w:val="000000" w:themeColor="text1"/>
        </w:rPr>
        <w:t>)</w:t>
      </w:r>
      <w:r w:rsidRPr="27533BA9">
        <w:rPr>
          <w:color w:val="000000" w:themeColor="text1"/>
        </w:rPr>
        <w:t xml:space="preserve">. </w:t>
      </w:r>
      <w:r>
        <w:t xml:space="preserve">In such instances, supplementary testing with NAAT or </w:t>
      </w:r>
      <w:r w:rsidR="00772EF5">
        <w:t xml:space="preserve">a </w:t>
      </w:r>
      <w:r w:rsidR="00014DF6">
        <w:t>glutamate dehydrogenase (</w:t>
      </w:r>
      <w:r>
        <w:t>GDH</w:t>
      </w:r>
      <w:r w:rsidR="00014DF6">
        <w:t>)</w:t>
      </w:r>
      <w:r>
        <w:t xml:space="preserve"> </w:t>
      </w:r>
      <w:r w:rsidR="00772EF5">
        <w:t xml:space="preserve">test </w:t>
      </w:r>
      <w:r>
        <w:t>will be helpful if available. If the test result from either NAAT or GDH is negative, this excludes the infection control risk.</w:t>
      </w:r>
    </w:p>
    <w:p w14:paraId="1550D1A4" w14:textId="01F58AB4" w:rsidR="00CA635F" w:rsidRPr="00CA635F" w:rsidRDefault="00CA635F" w:rsidP="00CA635F">
      <w:pPr>
        <w:pStyle w:val="ListParagraph"/>
        <w:numPr>
          <w:ilvl w:val="0"/>
          <w:numId w:val="7"/>
        </w:numPr>
      </w:pPr>
      <w:r w:rsidRPr="27533BA9">
        <w:rPr>
          <w:rFonts w:eastAsia="Calibri"/>
          <w:color w:val="000000" w:themeColor="text1"/>
        </w:rPr>
        <w:t>Provide training on PPE donning and doffing practices with follow up audit and feedback provided to ensure adherence to best practices.</w:t>
      </w:r>
    </w:p>
    <w:p w14:paraId="43D6D8FB" w14:textId="16E5DCDA" w:rsidR="00CA635F" w:rsidRDefault="00CA635F" w:rsidP="00171FE9">
      <w:pPr>
        <w:pStyle w:val="ListParagraph"/>
        <w:numPr>
          <w:ilvl w:val="0"/>
          <w:numId w:val="7"/>
        </w:numPr>
      </w:pPr>
      <w:r w:rsidRPr="27533BA9">
        <w:rPr>
          <w:rFonts w:eastAsia="Calibri"/>
          <w:color w:val="000000" w:themeColor="text1"/>
        </w:rPr>
        <w:t>Visitors should be instructed on the use of gowns</w:t>
      </w:r>
      <w:r>
        <w:rPr>
          <w:rFonts w:eastAsia="Calibri"/>
          <w:color w:val="000000" w:themeColor="text1"/>
        </w:rPr>
        <w:t xml:space="preserve"> and gloves</w:t>
      </w:r>
      <w:r w:rsidR="00506D83">
        <w:rPr>
          <w:rFonts w:eastAsia="Calibri"/>
          <w:color w:val="000000" w:themeColor="text1"/>
        </w:rPr>
        <w:t xml:space="preserve"> (Cohen)</w:t>
      </w:r>
      <w:r w:rsidRPr="27533BA9">
        <w:rPr>
          <w:rFonts w:eastAsia="Calibri"/>
          <w:color w:val="000000" w:themeColor="text1"/>
        </w:rPr>
        <w:t>.</w:t>
      </w:r>
    </w:p>
    <w:p w14:paraId="09300381" w14:textId="6F9ED062" w:rsidR="00CA635F" w:rsidRPr="001E7C41" w:rsidRDefault="00CA635F" w:rsidP="00CA635F">
      <w:pPr>
        <w:spacing w:after="0"/>
        <w:ind w:left="360"/>
        <w:rPr>
          <w:u w:val="single"/>
        </w:rPr>
      </w:pPr>
      <w:r w:rsidRPr="001E7C41">
        <w:rPr>
          <w:u w:val="single"/>
        </w:rPr>
        <w:t>H</w:t>
      </w:r>
      <w:r w:rsidR="001E7C41" w:rsidRPr="001E7C41">
        <w:rPr>
          <w:u w:val="single"/>
        </w:rPr>
        <w:t>and Hygiene</w:t>
      </w:r>
    </w:p>
    <w:p w14:paraId="2D7A09DC" w14:textId="027CFFF0" w:rsidR="10353522" w:rsidRPr="00CA635F" w:rsidRDefault="27533BA9" w:rsidP="10353522">
      <w:pPr>
        <w:pStyle w:val="ListParagraph"/>
        <w:numPr>
          <w:ilvl w:val="0"/>
          <w:numId w:val="7"/>
        </w:numPr>
      </w:pPr>
      <w:r w:rsidRPr="27533BA9">
        <w:rPr>
          <w:rFonts w:eastAsia="Calibri"/>
          <w:color w:val="000000" w:themeColor="text1"/>
        </w:rPr>
        <w:t>Perform hand hygiene audit on affected unit</w:t>
      </w:r>
      <w:r w:rsidR="00506D83">
        <w:rPr>
          <w:rFonts w:eastAsia="Calibri"/>
          <w:color w:val="000000" w:themeColor="text1"/>
        </w:rPr>
        <w:t xml:space="preserve"> (Cohen)</w:t>
      </w:r>
      <w:r w:rsidRPr="27533BA9">
        <w:rPr>
          <w:rFonts w:eastAsia="Calibri"/>
          <w:color w:val="000000" w:themeColor="text1"/>
        </w:rPr>
        <w:t>.</w:t>
      </w:r>
    </w:p>
    <w:p w14:paraId="4A38EBA9" w14:textId="5B6B48C3" w:rsidR="00CA635F" w:rsidRPr="00CA635F" w:rsidRDefault="00CA635F" w:rsidP="00CA635F">
      <w:pPr>
        <w:pStyle w:val="ListParagraph"/>
        <w:numPr>
          <w:ilvl w:val="0"/>
          <w:numId w:val="7"/>
        </w:numPr>
      </w:pPr>
      <w:r w:rsidRPr="27533BA9">
        <w:rPr>
          <w:rFonts w:eastAsia="Calibri"/>
          <w:color w:val="000000" w:themeColor="text1"/>
        </w:rPr>
        <w:t>Education on hand hygiene should be conducted followed by further observations of hand hygiene.</w:t>
      </w:r>
    </w:p>
    <w:p w14:paraId="3DD340F9" w14:textId="6C762624" w:rsidR="00CA635F" w:rsidRPr="00E5724F" w:rsidRDefault="00CA635F" w:rsidP="00CA635F">
      <w:pPr>
        <w:pStyle w:val="ListParagraph"/>
        <w:numPr>
          <w:ilvl w:val="0"/>
          <w:numId w:val="7"/>
        </w:numPr>
      </w:pPr>
      <w:r>
        <w:rPr>
          <w:rFonts w:eastAsia="Calibri"/>
          <w:color w:val="000000" w:themeColor="text1"/>
        </w:rPr>
        <w:t xml:space="preserve">Visitors should be instructed on </w:t>
      </w:r>
      <w:r w:rsidRPr="27533BA9">
        <w:rPr>
          <w:rFonts w:eastAsia="Calibri"/>
          <w:color w:val="000000" w:themeColor="text1"/>
        </w:rPr>
        <w:t>performing hand hygiene</w:t>
      </w:r>
      <w:r w:rsidR="00506D83">
        <w:rPr>
          <w:rFonts w:eastAsia="Calibri"/>
          <w:color w:val="000000" w:themeColor="text1"/>
        </w:rPr>
        <w:t xml:space="preserve"> (Cohen).</w:t>
      </w:r>
    </w:p>
    <w:p w14:paraId="0BA2353B" w14:textId="60C101E2" w:rsidR="00E5724F" w:rsidRPr="00E5724F" w:rsidRDefault="00E5724F" w:rsidP="00E5724F">
      <w:pPr>
        <w:pStyle w:val="ListParagraph"/>
        <w:numPr>
          <w:ilvl w:val="0"/>
          <w:numId w:val="7"/>
        </w:numPr>
        <w:rPr>
          <w:rFonts w:eastAsia="Calibri"/>
          <w:color w:val="000000" w:themeColor="text1"/>
        </w:rPr>
      </w:pPr>
      <w:r w:rsidRPr="008323A5">
        <w:rPr>
          <w:rFonts w:eastAsia="Calibri"/>
          <w:color w:val="000000" w:themeColor="text1"/>
        </w:rPr>
        <w:t xml:space="preserve">Strict hand hygiene should be performed with soap and water during an outbreak to physically remove spores </w:t>
      </w:r>
      <w:r>
        <w:rPr>
          <w:rFonts w:eastAsia="Calibri"/>
          <w:color w:val="000000" w:themeColor="text1"/>
        </w:rPr>
        <w:t>(</w:t>
      </w:r>
      <w:r w:rsidR="001E2D06">
        <w:rPr>
          <w:rFonts w:eastAsia="Calibri"/>
          <w:color w:val="000000" w:themeColor="text1"/>
        </w:rPr>
        <w:t>McDonald</w:t>
      </w:r>
      <w:r>
        <w:rPr>
          <w:rFonts w:eastAsia="Calibri"/>
          <w:color w:val="000000" w:themeColor="text1"/>
        </w:rPr>
        <w:t>).</w:t>
      </w:r>
    </w:p>
    <w:p w14:paraId="640F2A99" w14:textId="61C5B282" w:rsidR="00CA635F" w:rsidRPr="001E7C41" w:rsidRDefault="00E5724F" w:rsidP="00CA635F">
      <w:pPr>
        <w:spacing w:after="0"/>
        <w:ind w:firstLine="360"/>
        <w:rPr>
          <w:u w:val="single"/>
        </w:rPr>
      </w:pPr>
      <w:r>
        <w:rPr>
          <w:u w:val="single"/>
        </w:rPr>
        <w:t xml:space="preserve">Environmental </w:t>
      </w:r>
      <w:r w:rsidR="00CA635F" w:rsidRPr="001E7C41">
        <w:rPr>
          <w:u w:val="single"/>
        </w:rPr>
        <w:t>C</w:t>
      </w:r>
      <w:r w:rsidR="001E7C41" w:rsidRPr="001E7C41">
        <w:rPr>
          <w:u w:val="single"/>
        </w:rPr>
        <w:t>leaning</w:t>
      </w:r>
    </w:p>
    <w:p w14:paraId="5BB3790F" w14:textId="3DDA2058" w:rsidR="00E5724F" w:rsidRDefault="00F83051" w:rsidP="00E5724F">
      <w:pPr>
        <w:pStyle w:val="ListParagraph"/>
        <w:numPr>
          <w:ilvl w:val="0"/>
          <w:numId w:val="7"/>
        </w:numPr>
      </w:pPr>
      <w:r>
        <w:t>Audit</w:t>
      </w:r>
      <w:r w:rsidR="00E5724F">
        <w:t xml:space="preserve"> cleaning procedures</w:t>
      </w:r>
      <w:r w:rsidR="007F3478">
        <w:t xml:space="preserve"> on affected units</w:t>
      </w:r>
      <w:r>
        <w:t>;</w:t>
      </w:r>
      <w:r w:rsidR="00E5724F">
        <w:t xml:space="preserve"> provide feedback to environmental services staff.</w:t>
      </w:r>
    </w:p>
    <w:p w14:paraId="559132A6" w14:textId="4D7A8086" w:rsidR="00E5724F" w:rsidRDefault="00E5724F" w:rsidP="00E5724F">
      <w:pPr>
        <w:pStyle w:val="ListParagraph"/>
        <w:numPr>
          <w:ilvl w:val="0"/>
          <w:numId w:val="7"/>
        </w:numPr>
      </w:pPr>
      <w:r w:rsidRPr="00E5724F">
        <w:t>Perform terminal cleaning after CDI patient transfer/discharge with a C. difficile sporicidal agent (</w:t>
      </w:r>
      <w:r w:rsidRPr="00E5724F">
        <w:rPr>
          <w:highlight w:val="yellow"/>
        </w:rPr>
        <w:t>EPA List K agent).</w:t>
      </w:r>
      <w:r w:rsidRPr="00E5724F">
        <w:t xml:space="preserve"> Additional disinfection with no-touch technologies </w:t>
      </w:r>
      <w:r w:rsidR="00F83051">
        <w:t>can</w:t>
      </w:r>
      <w:r w:rsidR="00F83051" w:rsidRPr="00E5724F">
        <w:t xml:space="preserve"> </w:t>
      </w:r>
      <w:r w:rsidRPr="00E5724F">
        <w:t>be considered (e.g. UV light)</w:t>
      </w:r>
      <w:r>
        <w:t xml:space="preserve"> (McDonald)</w:t>
      </w:r>
      <w:r w:rsidRPr="00E5724F">
        <w:t xml:space="preserve">.  </w:t>
      </w:r>
      <w:r w:rsidRPr="00E5724F">
        <w:rPr>
          <w:highlight w:val="yellow"/>
        </w:rPr>
        <w:t>[Link to List K]</w:t>
      </w:r>
    </w:p>
    <w:p w14:paraId="0D95E75A" w14:textId="2CE852A1" w:rsidR="00171FE9" w:rsidRPr="001E7C41" w:rsidRDefault="00171FE9" w:rsidP="001E7C41">
      <w:pPr>
        <w:pStyle w:val="paragraph"/>
        <w:spacing w:before="0" w:beforeAutospacing="0" w:after="0" w:afterAutospacing="0"/>
        <w:ind w:left="360"/>
        <w:rPr>
          <w:rFonts w:asciiTheme="minorHAnsi" w:hAnsiTheme="minorHAnsi" w:cstheme="minorBidi"/>
          <w:sz w:val="22"/>
          <w:szCs w:val="22"/>
          <w:u w:val="single"/>
        </w:rPr>
      </w:pPr>
      <w:r w:rsidRPr="001E7C41">
        <w:rPr>
          <w:rStyle w:val="eop"/>
          <w:rFonts w:asciiTheme="minorHAnsi" w:hAnsiTheme="minorHAnsi" w:cstheme="minorBidi"/>
          <w:sz w:val="22"/>
          <w:szCs w:val="22"/>
          <w:u w:val="single"/>
        </w:rPr>
        <w:lastRenderedPageBreak/>
        <w:t>Antimicrobial Stewardship</w:t>
      </w:r>
    </w:p>
    <w:p w14:paraId="506B2D55" w14:textId="50ACD111" w:rsidR="001E2D06" w:rsidRPr="001E2D06" w:rsidRDefault="001E2D06" w:rsidP="001E2D06">
      <w:pPr>
        <w:pStyle w:val="ListParagraph"/>
        <w:numPr>
          <w:ilvl w:val="0"/>
          <w:numId w:val="7"/>
        </w:numPr>
      </w:pPr>
      <w:r>
        <w:rPr>
          <w:rFonts w:eastAsia="Calibri"/>
          <w:color w:val="000000" w:themeColor="text1"/>
        </w:rPr>
        <w:t>R</w:t>
      </w:r>
      <w:r w:rsidRPr="27533BA9">
        <w:rPr>
          <w:rFonts w:eastAsia="Calibri"/>
          <w:color w:val="000000" w:themeColor="text1"/>
        </w:rPr>
        <w:t>eview CDI cases to optimize man</w:t>
      </w:r>
      <w:r>
        <w:rPr>
          <w:rFonts w:eastAsia="Calibri"/>
          <w:color w:val="000000" w:themeColor="text1"/>
        </w:rPr>
        <w:t>agement by discontinuing unnecessary</w:t>
      </w:r>
      <w:r w:rsidRPr="27533BA9">
        <w:rPr>
          <w:rFonts w:eastAsia="Calibri"/>
          <w:color w:val="000000" w:themeColor="text1"/>
        </w:rPr>
        <w:t xml:space="preserve"> antibiotics</w:t>
      </w:r>
      <w:r>
        <w:rPr>
          <w:rFonts w:eastAsia="Calibri"/>
          <w:color w:val="000000" w:themeColor="text1"/>
        </w:rPr>
        <w:t xml:space="preserve"> and modifying antibiotic regimens to avoid antibiotics that create the greatest risk for CDI such as clindamycin, fluoroquinolones, and cephalosporins if possible</w:t>
      </w:r>
      <w:r w:rsidRPr="27533BA9">
        <w:rPr>
          <w:rFonts w:eastAsia="Calibri"/>
          <w:color w:val="000000" w:themeColor="text1"/>
        </w:rPr>
        <w:t>.</w:t>
      </w:r>
    </w:p>
    <w:p w14:paraId="10DD47A1" w14:textId="045B7C07" w:rsidR="001E2D06" w:rsidRPr="001E2D06" w:rsidRDefault="001E2D06" w:rsidP="001E2D06">
      <w:pPr>
        <w:pStyle w:val="ListParagraph"/>
        <w:numPr>
          <w:ilvl w:val="0"/>
          <w:numId w:val="7"/>
        </w:numPr>
      </w:pPr>
      <w:r w:rsidRPr="27533BA9">
        <w:rPr>
          <w:rFonts w:eastAsia="Calibri"/>
          <w:color w:val="000000" w:themeColor="text1"/>
        </w:rPr>
        <w:t xml:space="preserve">If an outbreak </w:t>
      </w:r>
      <w:r w:rsidR="00F83051">
        <w:rPr>
          <w:rFonts w:eastAsia="Calibri"/>
          <w:color w:val="000000" w:themeColor="text1"/>
        </w:rPr>
        <w:t>is confirmed</w:t>
      </w:r>
      <w:r w:rsidRPr="27533BA9">
        <w:rPr>
          <w:rFonts w:eastAsia="Calibri"/>
          <w:color w:val="000000" w:themeColor="text1"/>
        </w:rPr>
        <w:t xml:space="preserve">, conduct additional review of antibiotic prescribing practices to identify opportunities to improve overall stewardship to optimize the frequency and duration of antimicrobial therapy and the number </w:t>
      </w:r>
      <w:r w:rsidR="00772EF5">
        <w:rPr>
          <w:rFonts w:eastAsia="Calibri"/>
          <w:color w:val="000000" w:themeColor="text1"/>
        </w:rPr>
        <w:t xml:space="preserve">and types </w:t>
      </w:r>
      <w:r w:rsidRPr="27533BA9">
        <w:rPr>
          <w:rFonts w:eastAsia="Calibri"/>
          <w:color w:val="000000" w:themeColor="text1"/>
        </w:rPr>
        <w:t>of antimicrobial agents prescribed</w:t>
      </w:r>
      <w:r>
        <w:rPr>
          <w:rFonts w:eastAsia="Calibri"/>
          <w:color w:val="000000" w:themeColor="text1"/>
        </w:rPr>
        <w:t xml:space="preserve"> (McDonald)</w:t>
      </w:r>
      <w:r w:rsidRPr="27533BA9">
        <w:rPr>
          <w:rFonts w:eastAsia="Calibri"/>
          <w:color w:val="000000" w:themeColor="text1"/>
        </w:rPr>
        <w:t xml:space="preserve">. </w:t>
      </w:r>
    </w:p>
    <w:p w14:paraId="4AD915DA" w14:textId="2D2DC855" w:rsidR="00171FE9" w:rsidRPr="00E24481" w:rsidRDefault="00171FE9" w:rsidP="00171FE9">
      <w:pPr>
        <w:pStyle w:val="ListParagraph"/>
        <w:numPr>
          <w:ilvl w:val="0"/>
          <w:numId w:val="7"/>
        </w:numPr>
      </w:pPr>
      <w:r w:rsidRPr="27533BA9">
        <w:rPr>
          <w:rFonts w:eastAsia="Calibri"/>
          <w:color w:val="000000" w:themeColor="text1"/>
        </w:rPr>
        <w:t>A strong antimicrobial stewardship program is a key to preventing outbreaks of CDI</w:t>
      </w:r>
      <w:r w:rsidR="00506D83">
        <w:rPr>
          <w:rFonts w:eastAsia="Calibri"/>
          <w:color w:val="000000" w:themeColor="text1"/>
        </w:rPr>
        <w:t xml:space="preserve"> (Dub</w:t>
      </w:r>
      <w:r w:rsidR="00B05B12">
        <w:rPr>
          <w:rFonts w:eastAsia="Calibri"/>
          <w:color w:val="000000" w:themeColor="text1"/>
        </w:rPr>
        <w:t>b</w:t>
      </w:r>
      <w:r w:rsidR="00506D83">
        <w:rPr>
          <w:rFonts w:eastAsia="Calibri"/>
          <w:color w:val="000000" w:themeColor="text1"/>
        </w:rPr>
        <w:t>erke)</w:t>
      </w:r>
      <w:r w:rsidRPr="27533BA9">
        <w:rPr>
          <w:rFonts w:eastAsia="Calibri"/>
          <w:color w:val="000000" w:themeColor="text1"/>
        </w:rPr>
        <w:t xml:space="preserve">. </w:t>
      </w:r>
    </w:p>
    <w:p w14:paraId="2C2D616B" w14:textId="652A0F24" w:rsidR="00171FE9" w:rsidRPr="001E7C41" w:rsidRDefault="001E7C41" w:rsidP="001E7C41">
      <w:pPr>
        <w:spacing w:after="0"/>
        <w:ind w:left="360"/>
        <w:rPr>
          <w:u w:val="single"/>
        </w:rPr>
      </w:pPr>
      <w:r w:rsidRPr="001E7C41">
        <w:rPr>
          <w:u w:val="single"/>
        </w:rPr>
        <w:t>Additional Surveillance</w:t>
      </w:r>
    </w:p>
    <w:p w14:paraId="27ECEAE6" w14:textId="3874B447" w:rsidR="00171FE9" w:rsidRDefault="00171FE9" w:rsidP="00171FE9">
      <w:pPr>
        <w:pStyle w:val="ListParagraph"/>
        <w:numPr>
          <w:ilvl w:val="0"/>
          <w:numId w:val="7"/>
        </w:numPr>
      </w:pPr>
      <w:r w:rsidRPr="00EB0AEA">
        <w:t xml:space="preserve">Continue enhanced surveillance for additional cases while implementing control measures and assessing infection control practices. </w:t>
      </w:r>
    </w:p>
    <w:p w14:paraId="7034E108" w14:textId="1E56E370" w:rsidR="00171FE9" w:rsidRPr="00EB0AEA" w:rsidRDefault="00171FE9" w:rsidP="00171FE9">
      <w:pPr>
        <w:pStyle w:val="ListParagraph"/>
        <w:numPr>
          <w:ilvl w:val="0"/>
          <w:numId w:val="7"/>
        </w:numPr>
      </w:pPr>
      <w:r>
        <w:rPr>
          <w:rFonts w:eastAsia="Calibri"/>
          <w:color w:val="000000" w:themeColor="text1"/>
        </w:rPr>
        <w:t>U</w:t>
      </w:r>
      <w:r w:rsidRPr="27533BA9">
        <w:rPr>
          <w:rFonts w:eastAsia="Calibri"/>
          <w:color w:val="000000" w:themeColor="text1"/>
        </w:rPr>
        <w:t>tilize surveillance data to determine if control measures have interrupted transmission.</w:t>
      </w:r>
    </w:p>
    <w:p w14:paraId="07A8BB9A" w14:textId="7769865E" w:rsidR="00781E18" w:rsidRPr="00E24481" w:rsidRDefault="27533BA9" w:rsidP="27533BA9">
      <w:pPr>
        <w:pStyle w:val="ListParagraph"/>
        <w:numPr>
          <w:ilvl w:val="0"/>
          <w:numId w:val="7"/>
        </w:numPr>
      </w:pPr>
      <w:r w:rsidRPr="27533BA9">
        <w:t>Testing for cure is not recommended.</w:t>
      </w:r>
    </w:p>
    <w:p w14:paraId="1EAFA639" w14:textId="24E45F77" w:rsidR="00377216" w:rsidRPr="00E24481" w:rsidRDefault="27533BA9" w:rsidP="001F408F">
      <w:pPr>
        <w:pStyle w:val="ListParagraph"/>
        <w:numPr>
          <w:ilvl w:val="0"/>
          <w:numId w:val="7"/>
        </w:numPr>
        <w:spacing w:before="240"/>
      </w:pPr>
      <w:r w:rsidRPr="27533BA9">
        <w:rPr>
          <w:rFonts w:eastAsia="Calibri"/>
          <w:color w:val="000000" w:themeColor="text1"/>
        </w:rPr>
        <w:t>Screening of asymptomatic patients is not recommended</w:t>
      </w:r>
      <w:r w:rsidR="001F408F">
        <w:rPr>
          <w:rFonts w:eastAsia="Calibri"/>
          <w:color w:val="000000" w:themeColor="text1"/>
        </w:rPr>
        <w:t xml:space="preserve"> (Dubberke)</w:t>
      </w:r>
      <w:r w:rsidRPr="27533BA9">
        <w:rPr>
          <w:rFonts w:eastAsia="Calibri"/>
          <w:color w:val="000000" w:themeColor="text1"/>
        </w:rPr>
        <w:t xml:space="preserve">. </w:t>
      </w:r>
    </w:p>
    <w:p w14:paraId="38C1BD7A" w14:textId="13C1F2DA" w:rsidR="49957275" w:rsidRDefault="27533BA9" w:rsidP="27533BA9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27533BA9">
        <w:rPr>
          <w:rFonts w:eastAsia="Calibri"/>
          <w:color w:val="000000" w:themeColor="text1"/>
        </w:rPr>
        <w:t>Public health should follow up with the facility on a weekly basis (e.g., telephone or email contact) to monitor for additional cases and assess implementation of mitigation measures.</w:t>
      </w:r>
    </w:p>
    <w:p w14:paraId="57C2F565" w14:textId="024B9DEE" w:rsidR="00C211BC" w:rsidRDefault="27533BA9" w:rsidP="00C211BC">
      <w:pPr>
        <w:pStyle w:val="ListParagraph"/>
        <w:numPr>
          <w:ilvl w:val="0"/>
          <w:numId w:val="7"/>
        </w:numPr>
      </w:pPr>
      <w:r w:rsidRPr="27533BA9">
        <w:rPr>
          <w:rFonts w:eastAsia="Calibri"/>
          <w:color w:val="000000" w:themeColor="text1"/>
        </w:rPr>
        <w:t>If after 4 weeks there are no further cases, consider concluding the investigation.</w:t>
      </w:r>
    </w:p>
    <w:p w14:paraId="61554221" w14:textId="1DE39B4A" w:rsidR="264D7CA1" w:rsidRPr="00E24481" w:rsidRDefault="27533BA9" w:rsidP="27533BA9">
      <w:pPr>
        <w:spacing w:after="0" w:line="240" w:lineRule="auto"/>
        <w:ind w:firstLine="360"/>
      </w:pPr>
      <w:r w:rsidRPr="27533BA9">
        <w:rPr>
          <w:rStyle w:val="eop"/>
        </w:rPr>
        <w:t> </w:t>
      </w:r>
    </w:p>
    <w:p w14:paraId="3AA972C6" w14:textId="3F5D78BD" w:rsidR="264D7CA1" w:rsidRPr="00E24481" w:rsidRDefault="27533BA9" w:rsidP="27533BA9">
      <w:pPr>
        <w:spacing w:after="0" w:line="240" w:lineRule="auto"/>
        <w:ind w:firstLine="360"/>
        <w:rPr>
          <w:rFonts w:eastAsia="Arial"/>
        </w:rPr>
      </w:pPr>
      <w:r w:rsidRPr="27533BA9">
        <w:rPr>
          <w:rFonts w:eastAsia="Arial"/>
        </w:rPr>
        <w:t xml:space="preserve">B. Investigation and Control Resources </w:t>
      </w:r>
    </w:p>
    <w:p w14:paraId="3B352A58" w14:textId="586DCE49" w:rsidR="264D7CA1" w:rsidRPr="00E24481" w:rsidRDefault="264D7CA1" w:rsidP="264D7CA1">
      <w:pPr>
        <w:spacing w:after="0" w:line="240" w:lineRule="auto"/>
        <w:ind w:firstLine="360"/>
        <w:rPr>
          <w:rFonts w:eastAsia="Arial" w:cstheme="minorHAnsi"/>
        </w:rPr>
      </w:pPr>
    </w:p>
    <w:p w14:paraId="2516415F" w14:textId="1B6106DC" w:rsidR="264D7CA1" w:rsidRPr="00E24481" w:rsidRDefault="27533BA9" w:rsidP="27533BA9">
      <w:pPr>
        <w:spacing w:after="0" w:line="240" w:lineRule="auto"/>
        <w:ind w:firstLine="360"/>
        <w:rPr>
          <w:rFonts w:eastAsia="Arial"/>
        </w:rPr>
      </w:pPr>
      <w:r w:rsidRPr="27533BA9">
        <w:rPr>
          <w:rFonts w:eastAsia="Arial"/>
        </w:rPr>
        <w:t>[see Scabies table for examples of specific investigation resources (e.g. line lists)]</w:t>
      </w:r>
    </w:p>
    <w:p w14:paraId="5979FF53" w14:textId="2D249C66" w:rsidR="264D7CA1" w:rsidRPr="00E24481" w:rsidRDefault="264D7CA1" w:rsidP="264D7CA1">
      <w:pPr>
        <w:pStyle w:val="paragraph"/>
        <w:spacing w:before="0" w:beforeAutospacing="0" w:after="0" w:afterAutospacing="0"/>
        <w:rPr>
          <w:rStyle w:val="eop"/>
          <w:rFonts w:asciiTheme="minorHAnsi" w:hAnsiTheme="minorHAnsi" w:cstheme="minorHAnsi"/>
          <w:sz w:val="22"/>
          <w:szCs w:val="22"/>
        </w:rPr>
      </w:pPr>
    </w:p>
    <w:p w14:paraId="2D011589" w14:textId="36DF2B1F" w:rsidR="002C7219" w:rsidRPr="00E24481" w:rsidRDefault="27533BA9" w:rsidP="27533BA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27533BA9">
        <w:rPr>
          <w:rStyle w:val="normaltextrun"/>
          <w:rFonts w:asciiTheme="minorHAnsi" w:hAnsiTheme="minorHAnsi" w:cstheme="minorBidi"/>
          <w:sz w:val="22"/>
          <w:szCs w:val="22"/>
        </w:rPr>
        <w:t xml:space="preserve">5. </w:t>
      </w:r>
      <w:r w:rsidR="001B4876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R</w:t>
      </w:r>
      <w:r w:rsidRPr="27533BA9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ecommended resources/key references</w:t>
      </w:r>
      <w:r w:rsidRPr="27533BA9">
        <w:rPr>
          <w:rStyle w:val="normaltextrun"/>
          <w:rFonts w:asciiTheme="minorHAnsi" w:hAnsiTheme="minorHAnsi" w:cstheme="minorBidi"/>
          <w:sz w:val="22"/>
          <w:szCs w:val="22"/>
        </w:rPr>
        <w:t xml:space="preserve"> [WG-A+B]</w:t>
      </w:r>
      <w:r w:rsidRPr="27533BA9">
        <w:rPr>
          <w:rStyle w:val="eop"/>
          <w:rFonts w:asciiTheme="minorHAnsi" w:hAnsiTheme="minorHAnsi" w:cstheme="minorBidi"/>
          <w:sz w:val="22"/>
          <w:szCs w:val="22"/>
        </w:rPr>
        <w:t> </w:t>
      </w:r>
    </w:p>
    <w:p w14:paraId="5106C37C" w14:textId="07113A0B" w:rsidR="264D7CA1" w:rsidRPr="00E24481" w:rsidRDefault="264D7CA1" w:rsidP="264D7CA1">
      <w:pPr>
        <w:pStyle w:val="paragraph"/>
        <w:spacing w:before="0" w:beforeAutospacing="0" w:after="0" w:afterAutospacing="0"/>
        <w:rPr>
          <w:rStyle w:val="eop"/>
          <w:rFonts w:asciiTheme="minorHAnsi" w:hAnsiTheme="minorHAnsi" w:cstheme="minorHAnsi"/>
          <w:sz w:val="22"/>
          <w:szCs w:val="22"/>
        </w:rPr>
      </w:pPr>
    </w:p>
    <w:p w14:paraId="61FF66CA" w14:textId="16275473" w:rsidR="00304645" w:rsidRDefault="00304645" w:rsidP="00304645">
      <w:pPr>
        <w:pStyle w:val="ListParagraph"/>
        <w:numPr>
          <w:ilvl w:val="0"/>
          <w:numId w:val="6"/>
        </w:numPr>
      </w:pPr>
      <w:r w:rsidRPr="27533BA9">
        <w:rPr>
          <w:rFonts w:eastAsiaTheme="minorEastAsia"/>
        </w:rPr>
        <w:t xml:space="preserve">Association of Practitioners in Infection Control. </w:t>
      </w:r>
      <w:r w:rsidRPr="27533BA9">
        <w:rPr>
          <w:rFonts w:eastAsiaTheme="minorEastAsia"/>
          <w:i/>
          <w:iCs/>
        </w:rPr>
        <w:t>Guide to Preventing C. difficile Infections</w:t>
      </w:r>
      <w:r w:rsidRPr="27533BA9">
        <w:rPr>
          <w:rFonts w:eastAsiaTheme="minorEastAsia"/>
        </w:rPr>
        <w:t xml:space="preserve">. </w:t>
      </w:r>
      <w:hyperlink r:id="rId9">
        <w:r w:rsidRPr="27533BA9">
          <w:rPr>
            <w:rStyle w:val="Hyperlink"/>
            <w:rFonts w:eastAsiaTheme="minorEastAsia"/>
            <w:color w:val="0000FF"/>
          </w:rPr>
          <w:t>http://apic.org/Resource_/EliminationGuideForm/59397fc6-3f90-43d1-9325-e8be75d86888/File/2013CDiffFinal.pdf</w:t>
        </w:r>
      </w:hyperlink>
      <w:r w:rsidRPr="27533BA9">
        <w:t>.</w:t>
      </w:r>
    </w:p>
    <w:p w14:paraId="7DDF85D5" w14:textId="763EDF1A" w:rsidR="00DF7292" w:rsidRDefault="00DF7292" w:rsidP="00DF7292">
      <w:pPr>
        <w:pStyle w:val="ListParagraph"/>
        <w:numPr>
          <w:ilvl w:val="0"/>
          <w:numId w:val="6"/>
        </w:numPr>
      </w:pPr>
      <w:r>
        <w:lastRenderedPageBreak/>
        <w:t>Banach D, Bearman G, et al</w:t>
      </w:r>
      <w:r w:rsidRPr="00DF7292">
        <w:t xml:space="preserve">. (2018). Duration of Contact Precautions for Acute-Care Settings. Infection Control &amp; Hospital Epidemiology, 39(2), 127-144. </w:t>
      </w:r>
      <w:hyperlink r:id="rId10" w:history="1">
        <w:r w:rsidR="00C76CA8" w:rsidRPr="001463FE">
          <w:rPr>
            <w:rStyle w:val="Hyperlink"/>
          </w:rPr>
          <w:t>https://doi:10.1017/ice.2017.245</w:t>
        </w:r>
      </w:hyperlink>
      <w:r w:rsidR="00C76CA8">
        <w:t xml:space="preserve">. </w:t>
      </w:r>
    </w:p>
    <w:p w14:paraId="5CD73793" w14:textId="2A860381" w:rsidR="5D2CD5C8" w:rsidRPr="00E24481" w:rsidRDefault="27533BA9" w:rsidP="27533BA9">
      <w:pPr>
        <w:pStyle w:val="ListParagraph"/>
        <w:numPr>
          <w:ilvl w:val="0"/>
          <w:numId w:val="6"/>
        </w:numPr>
      </w:pPr>
      <w:r w:rsidRPr="27533BA9">
        <w:t xml:space="preserve">Cohen, Stuart H., et al. “Clinical Practice Guidelines for </w:t>
      </w:r>
      <w:r w:rsidRPr="27533BA9">
        <w:rPr>
          <w:i/>
          <w:iCs/>
        </w:rPr>
        <w:t>Clostridium difficile</w:t>
      </w:r>
      <w:r w:rsidRPr="27533BA9">
        <w:t xml:space="preserve"> Infection in Adults: 2010 Update by the Society for Healthcare Epidemiology of America (SHEA) and the Infectious Diseases Society of America (IDSA).” </w:t>
      </w:r>
      <w:r w:rsidRPr="27533BA9">
        <w:rPr>
          <w:i/>
          <w:iCs/>
        </w:rPr>
        <w:t>Infection Control and Hospital Epidemiology</w:t>
      </w:r>
      <w:r w:rsidRPr="27533BA9">
        <w:t xml:space="preserve">, vol. 31, no. 5, 2010, pp. 431–455. </w:t>
      </w:r>
      <w:r w:rsidRPr="27533BA9">
        <w:rPr>
          <w:i/>
          <w:iCs/>
        </w:rPr>
        <w:t>JSTOR</w:t>
      </w:r>
      <w:r w:rsidRPr="27533BA9">
        <w:t>, JSTOR</w:t>
      </w:r>
      <w:r w:rsidR="00A53AB6">
        <w:t>.</w:t>
      </w:r>
      <w:r w:rsidRPr="27533BA9">
        <w:t xml:space="preserve"> </w:t>
      </w:r>
      <w:hyperlink r:id="rId11">
        <w:r w:rsidRPr="27533BA9">
          <w:rPr>
            <w:rStyle w:val="Hyperlink"/>
          </w:rPr>
          <w:t>www.jstor.org/stable/10.1086/651706</w:t>
        </w:r>
      </w:hyperlink>
      <w:r w:rsidRPr="27533BA9">
        <w:t>.</w:t>
      </w:r>
    </w:p>
    <w:p w14:paraId="53819696" w14:textId="6A6A09B1" w:rsidR="5D2CD5C8" w:rsidRPr="00E24481" w:rsidRDefault="00DF7292" w:rsidP="27533BA9">
      <w:pPr>
        <w:pStyle w:val="ListParagraph"/>
        <w:numPr>
          <w:ilvl w:val="0"/>
          <w:numId w:val="6"/>
        </w:numPr>
      </w:pPr>
      <w:r>
        <w:t>Dubberke E, Carling P</w:t>
      </w:r>
      <w:r w:rsidR="27533BA9" w:rsidRPr="27533BA9">
        <w:t xml:space="preserve">, </w:t>
      </w:r>
      <w:r>
        <w:t>et. al</w:t>
      </w:r>
      <w:r w:rsidR="27533BA9" w:rsidRPr="27533BA9">
        <w:t>. (2014). Strategies to Prevent</w:t>
      </w:r>
      <w:r w:rsidR="27533BA9" w:rsidRPr="27533BA9">
        <w:rPr>
          <w:i/>
          <w:iCs/>
        </w:rPr>
        <w:t xml:space="preserve"> Clostridium difficile</w:t>
      </w:r>
      <w:r w:rsidR="27533BA9" w:rsidRPr="27533BA9">
        <w:t xml:space="preserve"> Infections in Acute Care Hospitals: 2014 Update. </w:t>
      </w:r>
      <w:r w:rsidR="27533BA9" w:rsidRPr="27533BA9">
        <w:rPr>
          <w:i/>
          <w:iCs/>
        </w:rPr>
        <w:t>Infection Control &amp; Hospital Epidemiology,</w:t>
      </w:r>
      <w:r w:rsidR="27533BA9" w:rsidRPr="27533BA9">
        <w:t xml:space="preserve"> </w:t>
      </w:r>
      <w:r w:rsidR="27533BA9" w:rsidRPr="27533BA9">
        <w:rPr>
          <w:i/>
          <w:iCs/>
        </w:rPr>
        <w:t>35</w:t>
      </w:r>
      <w:r w:rsidR="27533BA9" w:rsidRPr="27533BA9">
        <w:t xml:space="preserve">(S2), S48-S65. </w:t>
      </w:r>
      <w:hyperlink r:id="rId12" w:history="1">
        <w:r w:rsidR="00C76CA8" w:rsidRPr="001463FE">
          <w:rPr>
            <w:rStyle w:val="Hyperlink"/>
          </w:rPr>
          <w:t>https://doi:10.1017/S0899823X00193857</w:t>
        </w:r>
      </w:hyperlink>
      <w:r w:rsidR="27533BA9" w:rsidRPr="27533BA9">
        <w:t>.</w:t>
      </w:r>
      <w:r w:rsidR="00C76CA8">
        <w:t xml:space="preserve">  </w:t>
      </w:r>
    </w:p>
    <w:p w14:paraId="549E547D" w14:textId="44C6F18D" w:rsidR="5D2CD5C8" w:rsidRPr="00DF7292" w:rsidRDefault="27533BA9" w:rsidP="00A53AB6">
      <w:pPr>
        <w:pStyle w:val="ListParagraph"/>
        <w:numPr>
          <w:ilvl w:val="0"/>
          <w:numId w:val="6"/>
        </w:numPr>
      </w:pPr>
      <w:r w:rsidRPr="27533BA9">
        <w:rPr>
          <w:rFonts w:eastAsiaTheme="minorEastAsia"/>
        </w:rPr>
        <w:t xml:space="preserve">Gould C, McDonald C. </w:t>
      </w:r>
      <w:r w:rsidRPr="27533BA9">
        <w:rPr>
          <w:rFonts w:eastAsiaTheme="minorEastAsia"/>
          <w:i/>
          <w:iCs/>
        </w:rPr>
        <w:t xml:space="preserve">Clostridium difficile </w:t>
      </w:r>
      <w:r w:rsidRPr="27533BA9">
        <w:rPr>
          <w:rFonts w:eastAsiaTheme="minorEastAsia"/>
        </w:rPr>
        <w:t>(CDI) Infections Toolkit Activity C: ELC Prevention Collaboratives. Division of Healthcare Quality Promotion, Centers for Disease Control and Prevention.</w:t>
      </w:r>
      <w:r w:rsidR="00A53AB6">
        <w:rPr>
          <w:rFonts w:eastAsiaTheme="minorEastAsia"/>
        </w:rPr>
        <w:t xml:space="preserve"> </w:t>
      </w:r>
      <w:hyperlink r:id="rId13" w:history="1">
        <w:r w:rsidR="00A53AB6" w:rsidRPr="0089680E">
          <w:rPr>
            <w:rStyle w:val="Hyperlink"/>
            <w:rFonts w:eastAsiaTheme="minorEastAsia"/>
          </w:rPr>
          <w:t>https://www.cdc.gov/hai/pdfs/toolkits/cditoolkitwhite_clearance_edits.pdf</w:t>
        </w:r>
      </w:hyperlink>
      <w:r w:rsidR="00A53AB6">
        <w:rPr>
          <w:rFonts w:eastAsiaTheme="minorEastAsia"/>
        </w:rPr>
        <w:t xml:space="preserve">. </w:t>
      </w:r>
    </w:p>
    <w:p w14:paraId="064C3B6E" w14:textId="329800FA" w:rsidR="00DF7292" w:rsidRPr="00E24481" w:rsidRDefault="00DF7292" w:rsidP="00DF7292">
      <w:pPr>
        <w:pStyle w:val="ListParagraph"/>
        <w:numPr>
          <w:ilvl w:val="0"/>
          <w:numId w:val="6"/>
        </w:numPr>
      </w:pPr>
      <w:r w:rsidRPr="00DF7292">
        <w:t>McDonald</w:t>
      </w:r>
      <w:r>
        <w:t xml:space="preserve"> C</w:t>
      </w:r>
      <w:r w:rsidRPr="00DF7292">
        <w:t>, Gerding</w:t>
      </w:r>
      <w:r>
        <w:t xml:space="preserve"> D</w:t>
      </w:r>
      <w:r w:rsidRPr="00DF7292">
        <w:t xml:space="preserve">, </w:t>
      </w:r>
      <w:r>
        <w:t>et. al.</w:t>
      </w:r>
      <w:r w:rsidRPr="00DF7292">
        <w:t xml:space="preserve"> Clinical Practice Guidelines for Clostridium difficile Infection in Adults and Children: 2017 Update by the Infectious Diseases Society of America (IDSA) and Society for Healthcare Epidemiology of America (SHEA), Clinical Infectious Diseases, Volume 66, Issue 7, 19 March 2018, Pages e1–e48, </w:t>
      </w:r>
      <w:hyperlink r:id="rId14" w:history="1">
        <w:r w:rsidR="00C76CA8" w:rsidRPr="001463FE">
          <w:rPr>
            <w:rStyle w:val="Hyperlink"/>
          </w:rPr>
          <w:t>https://doi.org/10.1093/cid/cix1085</w:t>
        </w:r>
      </w:hyperlink>
      <w:r w:rsidR="00C76CA8">
        <w:t xml:space="preserve">. </w:t>
      </w:r>
    </w:p>
    <w:p w14:paraId="7EF42396" w14:textId="419A5021" w:rsidR="5D2CD5C8" w:rsidRPr="00E24481" w:rsidRDefault="27533BA9" w:rsidP="00A53AB6">
      <w:pPr>
        <w:pStyle w:val="ListParagraph"/>
        <w:numPr>
          <w:ilvl w:val="0"/>
          <w:numId w:val="6"/>
        </w:numPr>
      </w:pPr>
      <w:r w:rsidRPr="27533BA9">
        <w:t xml:space="preserve">Greater New York Hospital Association. Reducing </w:t>
      </w:r>
      <w:r w:rsidRPr="27533BA9">
        <w:rPr>
          <w:i/>
          <w:iCs/>
        </w:rPr>
        <w:t>C. difficile</w:t>
      </w:r>
      <w:r w:rsidRPr="27533BA9">
        <w:t xml:space="preserve"> infections toolkit.</w:t>
      </w:r>
      <w:r w:rsidR="00A53AB6">
        <w:t xml:space="preserve"> </w:t>
      </w:r>
      <w:hyperlink r:id="rId15" w:history="1">
        <w:r w:rsidR="00A53AB6" w:rsidRPr="0089680E">
          <w:rPr>
            <w:rStyle w:val="Hyperlink"/>
          </w:rPr>
          <w:t>https://apic.org/Resource_/TinyMceFileManager/Practice_Guidance/cdiff/C.Diff_Digital_Toolkit_GNYHA.pdf</w:t>
        </w:r>
      </w:hyperlink>
      <w:r w:rsidR="00A53AB6">
        <w:t xml:space="preserve">. </w:t>
      </w:r>
    </w:p>
    <w:p w14:paraId="4C0F8FBD" w14:textId="4274E1C8" w:rsidR="00304645" w:rsidRDefault="00CF12E9" w:rsidP="00304645">
      <w:pPr>
        <w:pStyle w:val="ListParagraph"/>
        <w:numPr>
          <w:ilvl w:val="0"/>
          <w:numId w:val="6"/>
        </w:numPr>
      </w:pPr>
      <w:hyperlink r:id="rId16" w:history="1">
        <w:r w:rsidR="00304645" w:rsidRPr="001463FE">
          <w:rPr>
            <w:rStyle w:val="Hyperlink"/>
          </w:rPr>
          <w:t>www.cdc.gov/hai/prevent/tap.html</w:t>
        </w:r>
      </w:hyperlink>
      <w:r w:rsidR="00304645">
        <w:t xml:space="preserve"> (CDC Target, Assess, and Prevent Strategy)</w:t>
      </w:r>
    </w:p>
    <w:p w14:paraId="190699FD" w14:textId="462377C4" w:rsidR="00304645" w:rsidRPr="00E24481" w:rsidRDefault="00CF12E9" w:rsidP="00304645">
      <w:pPr>
        <w:pStyle w:val="ListParagraph"/>
        <w:numPr>
          <w:ilvl w:val="0"/>
          <w:numId w:val="6"/>
        </w:numPr>
      </w:pPr>
      <w:hyperlink r:id="rId17" w:history="1">
        <w:r w:rsidR="00304645" w:rsidRPr="001463FE">
          <w:rPr>
            <w:rStyle w:val="Hyperlink"/>
          </w:rPr>
          <w:t>www.cdc.gov/antibiotic-use/healthcare/index.html</w:t>
        </w:r>
      </w:hyperlink>
      <w:r w:rsidR="00304645">
        <w:t xml:space="preserve"> (</w:t>
      </w:r>
      <w:r w:rsidR="00304645" w:rsidRPr="00304645">
        <w:t>Antibiotic Prescribing and Use in Hospitals and Long-Term care</w:t>
      </w:r>
      <w:r w:rsidR="00304645">
        <w:t>)</w:t>
      </w:r>
    </w:p>
    <w:p w14:paraId="1940C80A" w14:textId="14AE1316" w:rsidR="5D2CD5C8" w:rsidRPr="00E24481" w:rsidRDefault="4F0C1D32" w:rsidP="4F0C1D32">
      <w:pPr>
        <w:rPr>
          <w:rFonts w:eastAsiaTheme="minorEastAsia"/>
        </w:rPr>
      </w:pPr>
      <w:r w:rsidRPr="4F0C1D32">
        <w:rPr>
          <w:rFonts w:eastAsiaTheme="minorEastAsia"/>
        </w:rPr>
        <w:t xml:space="preserve">           </w:t>
      </w:r>
    </w:p>
    <w:sectPr w:rsidR="5D2CD5C8" w:rsidRPr="00E24481" w:rsidSect="00903C53">
      <w:headerReference w:type="default" r:id="rId18"/>
      <w:footerReference w:type="default" r:id="rId1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0CF2DC" w16cid:durableId="1E8D86E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B948A" w14:textId="77777777" w:rsidR="00351078" w:rsidRDefault="00351078">
      <w:pPr>
        <w:spacing w:after="0" w:line="240" w:lineRule="auto"/>
      </w:pPr>
      <w:r>
        <w:separator/>
      </w:r>
    </w:p>
  </w:endnote>
  <w:endnote w:type="continuationSeparator" w:id="0">
    <w:p w14:paraId="1B1EAEC9" w14:textId="77777777" w:rsidR="00351078" w:rsidRDefault="00351078">
      <w:pPr>
        <w:spacing w:after="0" w:line="240" w:lineRule="auto"/>
      </w:pPr>
      <w:r>
        <w:continuationSeparator/>
      </w:r>
    </w:p>
  </w:endnote>
  <w:endnote w:type="continuationNotice" w:id="1">
    <w:p w14:paraId="17DFA7E4" w14:textId="77777777" w:rsidR="00351078" w:rsidRDefault="003510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1477B8" w14:paraId="0FD67B92" w14:textId="77777777" w:rsidTr="3B2141DE">
      <w:tc>
        <w:tcPr>
          <w:tcW w:w="3120" w:type="dxa"/>
        </w:tcPr>
        <w:p w14:paraId="09FFB1D5" w14:textId="117F3520" w:rsidR="001477B8" w:rsidRPr="0047761E" w:rsidRDefault="001477B8" w:rsidP="5CE1C65C">
          <w:pPr>
            <w:pStyle w:val="Header"/>
            <w:ind w:left="-115"/>
            <w:rPr>
              <w:rFonts w:ascii="Calibri" w:eastAsia="Calibri" w:hAnsi="Calibri" w:cs="Calibri"/>
              <w:color w:val="000000" w:themeColor="text1"/>
            </w:rPr>
          </w:pPr>
        </w:p>
      </w:tc>
      <w:tc>
        <w:tcPr>
          <w:tcW w:w="3120" w:type="dxa"/>
        </w:tcPr>
        <w:p w14:paraId="790FA79B" w14:textId="6307186F" w:rsidR="001477B8" w:rsidRPr="0047761E" w:rsidRDefault="001477B8" w:rsidP="5CE1C65C">
          <w:pPr>
            <w:pStyle w:val="Header"/>
            <w:jc w:val="center"/>
            <w:rPr>
              <w:color w:val="000000" w:themeColor="text1"/>
            </w:rPr>
          </w:pPr>
        </w:p>
      </w:tc>
      <w:tc>
        <w:tcPr>
          <w:tcW w:w="3120" w:type="dxa"/>
        </w:tcPr>
        <w:p w14:paraId="4AEEEF7E" w14:textId="1A1AB3FE" w:rsidR="001477B8" w:rsidRDefault="001477B8" w:rsidP="5CE1C65C">
          <w:pPr>
            <w:pStyle w:val="Header"/>
            <w:ind w:right="-115"/>
            <w:jc w:val="right"/>
          </w:pPr>
        </w:p>
      </w:tc>
    </w:tr>
  </w:tbl>
  <w:p w14:paraId="348BD74D" w14:textId="1829E73A" w:rsidR="001477B8" w:rsidRDefault="001477B8" w:rsidP="5CE1C6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4C5D0" w14:textId="77777777" w:rsidR="00351078" w:rsidRDefault="00351078">
      <w:pPr>
        <w:spacing w:after="0" w:line="240" w:lineRule="auto"/>
      </w:pPr>
      <w:r>
        <w:separator/>
      </w:r>
    </w:p>
  </w:footnote>
  <w:footnote w:type="continuationSeparator" w:id="0">
    <w:p w14:paraId="49510CBE" w14:textId="77777777" w:rsidR="00351078" w:rsidRDefault="00351078">
      <w:pPr>
        <w:spacing w:after="0" w:line="240" w:lineRule="auto"/>
      </w:pPr>
      <w:r>
        <w:continuationSeparator/>
      </w:r>
    </w:p>
  </w:footnote>
  <w:footnote w:type="continuationNotice" w:id="1">
    <w:p w14:paraId="75540C08" w14:textId="77777777" w:rsidR="00351078" w:rsidRDefault="003510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60" w:type="dxa"/>
      <w:tblLayout w:type="fixed"/>
      <w:tblLook w:val="04A0" w:firstRow="1" w:lastRow="0" w:firstColumn="1" w:lastColumn="0" w:noHBand="0" w:noVBand="1"/>
    </w:tblPr>
    <w:tblGrid>
      <w:gridCol w:w="8888"/>
      <w:gridCol w:w="236"/>
      <w:gridCol w:w="236"/>
    </w:tblGrid>
    <w:tr w:rsidR="001477B8" w14:paraId="0843D3CA" w14:textId="77777777" w:rsidTr="3B2141DE">
      <w:tc>
        <w:tcPr>
          <w:tcW w:w="9060" w:type="dxa"/>
        </w:tcPr>
        <w:p w14:paraId="6273CE88" w14:textId="338B4E62" w:rsidR="001477B8" w:rsidRDefault="001477B8" w:rsidP="003B7175">
          <w:pPr>
            <w:pStyle w:val="Header"/>
            <w:ind w:left="-115"/>
            <w:jc w:val="center"/>
          </w:pPr>
        </w:p>
      </w:tc>
      <w:tc>
        <w:tcPr>
          <w:tcW w:w="135" w:type="dxa"/>
        </w:tcPr>
        <w:p w14:paraId="5B9DD738" w14:textId="1A36E831" w:rsidR="001477B8" w:rsidRDefault="001477B8" w:rsidP="5CE1C65C">
          <w:pPr>
            <w:pStyle w:val="Header"/>
            <w:jc w:val="center"/>
          </w:pPr>
        </w:p>
      </w:tc>
      <w:tc>
        <w:tcPr>
          <w:tcW w:w="165" w:type="dxa"/>
        </w:tcPr>
        <w:p w14:paraId="0B2E4368" w14:textId="15420CB3" w:rsidR="001477B8" w:rsidRDefault="001477B8" w:rsidP="5CE1C65C">
          <w:pPr>
            <w:pStyle w:val="Header"/>
            <w:ind w:right="-115"/>
            <w:jc w:val="right"/>
          </w:pPr>
        </w:p>
      </w:tc>
    </w:tr>
  </w:tbl>
  <w:p w14:paraId="36402A1B" w14:textId="024AD1CF" w:rsidR="001477B8" w:rsidRDefault="0063469E" w:rsidP="5CE1C65C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91DFE7" wp14:editId="7E15F2E5">
          <wp:simplePos x="0" y="0"/>
          <wp:positionH relativeFrom="margin">
            <wp:align>center</wp:align>
          </wp:positionH>
          <wp:positionV relativeFrom="paragraph">
            <wp:posOffset>-437515</wp:posOffset>
          </wp:positionV>
          <wp:extent cx="2590800" cy="6477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-next 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08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2054572677"/>
        <w:docPartObj>
          <w:docPartGallery w:val="Watermarks"/>
          <w:docPartUnique/>
        </w:docPartObj>
      </w:sdtPr>
      <w:sdtEndPr/>
      <w:sdtContent>
        <w:r w:rsidR="00CF12E9">
          <w:rPr>
            <w:noProof/>
          </w:rPr>
          <w:pict w14:anchorId="1C0A3D1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2EC1"/>
    <w:multiLevelType w:val="hybridMultilevel"/>
    <w:tmpl w:val="BE5A0966"/>
    <w:lvl w:ilvl="0" w:tplc="022CD4BA">
      <w:start w:val="1"/>
      <w:numFmt w:val="decimal"/>
      <w:lvlText w:val="%1."/>
      <w:lvlJc w:val="left"/>
      <w:pPr>
        <w:ind w:left="720" w:hanging="360"/>
      </w:pPr>
    </w:lvl>
    <w:lvl w:ilvl="1" w:tplc="61A09BA6">
      <w:start w:val="1"/>
      <w:numFmt w:val="lowerLetter"/>
      <w:lvlText w:val="%2."/>
      <w:lvlJc w:val="left"/>
      <w:pPr>
        <w:ind w:left="1440" w:hanging="360"/>
      </w:pPr>
    </w:lvl>
    <w:lvl w:ilvl="2" w:tplc="AE022194">
      <w:start w:val="1"/>
      <w:numFmt w:val="lowerRoman"/>
      <w:lvlText w:val="%3."/>
      <w:lvlJc w:val="right"/>
      <w:pPr>
        <w:ind w:left="2160" w:hanging="180"/>
      </w:pPr>
    </w:lvl>
    <w:lvl w:ilvl="3" w:tplc="83EC5EEE">
      <w:start w:val="1"/>
      <w:numFmt w:val="decimal"/>
      <w:lvlText w:val="%4."/>
      <w:lvlJc w:val="left"/>
      <w:pPr>
        <w:ind w:left="2880" w:hanging="360"/>
      </w:pPr>
    </w:lvl>
    <w:lvl w:ilvl="4" w:tplc="2ED625BE">
      <w:start w:val="1"/>
      <w:numFmt w:val="lowerLetter"/>
      <w:lvlText w:val="%5."/>
      <w:lvlJc w:val="left"/>
      <w:pPr>
        <w:ind w:left="3600" w:hanging="360"/>
      </w:pPr>
    </w:lvl>
    <w:lvl w:ilvl="5" w:tplc="4CF6D1B0">
      <w:start w:val="1"/>
      <w:numFmt w:val="lowerRoman"/>
      <w:lvlText w:val="%6."/>
      <w:lvlJc w:val="right"/>
      <w:pPr>
        <w:ind w:left="4320" w:hanging="180"/>
      </w:pPr>
    </w:lvl>
    <w:lvl w:ilvl="6" w:tplc="F4A4DCBE">
      <w:start w:val="1"/>
      <w:numFmt w:val="decimal"/>
      <w:lvlText w:val="%7."/>
      <w:lvlJc w:val="left"/>
      <w:pPr>
        <w:ind w:left="5040" w:hanging="360"/>
      </w:pPr>
    </w:lvl>
    <w:lvl w:ilvl="7" w:tplc="FE3277B2">
      <w:start w:val="1"/>
      <w:numFmt w:val="lowerLetter"/>
      <w:lvlText w:val="%8."/>
      <w:lvlJc w:val="left"/>
      <w:pPr>
        <w:ind w:left="5760" w:hanging="360"/>
      </w:pPr>
    </w:lvl>
    <w:lvl w:ilvl="8" w:tplc="664031D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D06"/>
    <w:multiLevelType w:val="hybridMultilevel"/>
    <w:tmpl w:val="34F85A08"/>
    <w:lvl w:ilvl="0" w:tplc="54EEC698">
      <w:start w:val="3"/>
      <w:numFmt w:val="decimal"/>
      <w:lvlText w:val="%1."/>
      <w:lvlJc w:val="left"/>
      <w:pPr>
        <w:ind w:left="720" w:hanging="360"/>
      </w:pPr>
    </w:lvl>
    <w:lvl w:ilvl="1" w:tplc="41E09E20">
      <w:start w:val="1"/>
      <w:numFmt w:val="lowerLetter"/>
      <w:lvlText w:val="%2."/>
      <w:lvlJc w:val="left"/>
      <w:pPr>
        <w:ind w:left="1440" w:hanging="360"/>
      </w:pPr>
    </w:lvl>
    <w:lvl w:ilvl="2" w:tplc="B5808E9C">
      <w:start w:val="1"/>
      <w:numFmt w:val="lowerRoman"/>
      <w:lvlText w:val="%3."/>
      <w:lvlJc w:val="right"/>
      <w:pPr>
        <w:ind w:left="2160" w:hanging="180"/>
      </w:pPr>
    </w:lvl>
    <w:lvl w:ilvl="3" w:tplc="63CCF0D6">
      <w:start w:val="1"/>
      <w:numFmt w:val="decimal"/>
      <w:lvlText w:val="%4."/>
      <w:lvlJc w:val="left"/>
      <w:pPr>
        <w:ind w:left="2880" w:hanging="360"/>
      </w:pPr>
    </w:lvl>
    <w:lvl w:ilvl="4" w:tplc="02D02286">
      <w:start w:val="1"/>
      <w:numFmt w:val="lowerLetter"/>
      <w:lvlText w:val="%5."/>
      <w:lvlJc w:val="left"/>
      <w:pPr>
        <w:ind w:left="3600" w:hanging="360"/>
      </w:pPr>
    </w:lvl>
    <w:lvl w:ilvl="5" w:tplc="DACA31BE">
      <w:start w:val="1"/>
      <w:numFmt w:val="lowerRoman"/>
      <w:lvlText w:val="%6."/>
      <w:lvlJc w:val="right"/>
      <w:pPr>
        <w:ind w:left="4320" w:hanging="180"/>
      </w:pPr>
    </w:lvl>
    <w:lvl w:ilvl="6" w:tplc="8F74BA84">
      <w:start w:val="1"/>
      <w:numFmt w:val="decimal"/>
      <w:lvlText w:val="%7."/>
      <w:lvlJc w:val="left"/>
      <w:pPr>
        <w:ind w:left="5040" w:hanging="360"/>
      </w:pPr>
    </w:lvl>
    <w:lvl w:ilvl="7" w:tplc="D7EE51BC">
      <w:start w:val="1"/>
      <w:numFmt w:val="lowerLetter"/>
      <w:lvlText w:val="%8."/>
      <w:lvlJc w:val="left"/>
      <w:pPr>
        <w:ind w:left="5760" w:hanging="360"/>
      </w:pPr>
    </w:lvl>
    <w:lvl w:ilvl="8" w:tplc="0A4676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514D8"/>
    <w:multiLevelType w:val="hybridMultilevel"/>
    <w:tmpl w:val="C852739C"/>
    <w:lvl w:ilvl="0" w:tplc="A00A1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5696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C83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C6E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C209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A8AA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C03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E6E8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1AC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A7D7D"/>
    <w:multiLevelType w:val="multilevel"/>
    <w:tmpl w:val="F6E0AE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835C7"/>
    <w:multiLevelType w:val="hybridMultilevel"/>
    <w:tmpl w:val="9508B6CC"/>
    <w:lvl w:ilvl="0" w:tplc="5784FD60">
      <w:start w:val="1"/>
      <w:numFmt w:val="upperLetter"/>
      <w:lvlText w:val="%1."/>
      <w:lvlJc w:val="left"/>
      <w:pPr>
        <w:ind w:left="720" w:hanging="360"/>
      </w:pPr>
    </w:lvl>
    <w:lvl w:ilvl="1" w:tplc="07EC2FA0">
      <w:start w:val="1"/>
      <w:numFmt w:val="lowerLetter"/>
      <w:lvlText w:val="%2."/>
      <w:lvlJc w:val="left"/>
      <w:pPr>
        <w:ind w:left="1440" w:hanging="360"/>
      </w:pPr>
    </w:lvl>
    <w:lvl w:ilvl="2" w:tplc="59EAD0EC">
      <w:start w:val="1"/>
      <w:numFmt w:val="lowerRoman"/>
      <w:lvlText w:val="%3."/>
      <w:lvlJc w:val="right"/>
      <w:pPr>
        <w:ind w:left="2160" w:hanging="180"/>
      </w:pPr>
    </w:lvl>
    <w:lvl w:ilvl="3" w:tplc="97A0470C">
      <w:start w:val="1"/>
      <w:numFmt w:val="decimal"/>
      <w:lvlText w:val="%4."/>
      <w:lvlJc w:val="left"/>
      <w:pPr>
        <w:ind w:left="2880" w:hanging="360"/>
      </w:pPr>
    </w:lvl>
    <w:lvl w:ilvl="4" w:tplc="ED568E5E">
      <w:start w:val="1"/>
      <w:numFmt w:val="lowerLetter"/>
      <w:lvlText w:val="%5."/>
      <w:lvlJc w:val="left"/>
      <w:pPr>
        <w:ind w:left="3600" w:hanging="360"/>
      </w:pPr>
    </w:lvl>
    <w:lvl w:ilvl="5" w:tplc="4A5636A2">
      <w:start w:val="1"/>
      <w:numFmt w:val="lowerRoman"/>
      <w:lvlText w:val="%6."/>
      <w:lvlJc w:val="right"/>
      <w:pPr>
        <w:ind w:left="4320" w:hanging="180"/>
      </w:pPr>
    </w:lvl>
    <w:lvl w:ilvl="6" w:tplc="354E52E6">
      <w:start w:val="1"/>
      <w:numFmt w:val="decimal"/>
      <w:lvlText w:val="%7."/>
      <w:lvlJc w:val="left"/>
      <w:pPr>
        <w:ind w:left="5040" w:hanging="360"/>
      </w:pPr>
    </w:lvl>
    <w:lvl w:ilvl="7" w:tplc="CC44C5BC">
      <w:start w:val="1"/>
      <w:numFmt w:val="lowerLetter"/>
      <w:lvlText w:val="%8."/>
      <w:lvlJc w:val="left"/>
      <w:pPr>
        <w:ind w:left="5760" w:hanging="360"/>
      </w:pPr>
    </w:lvl>
    <w:lvl w:ilvl="8" w:tplc="6C72CD8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83BA8"/>
    <w:multiLevelType w:val="hybridMultilevel"/>
    <w:tmpl w:val="9724E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EF508A"/>
    <w:multiLevelType w:val="multilevel"/>
    <w:tmpl w:val="23501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88360A"/>
    <w:multiLevelType w:val="hybridMultilevel"/>
    <w:tmpl w:val="CF849A80"/>
    <w:lvl w:ilvl="0" w:tplc="B81EEF9A">
      <w:start w:val="1"/>
      <w:numFmt w:val="upperLetter"/>
      <w:lvlText w:val="%1."/>
      <w:lvlJc w:val="left"/>
      <w:pPr>
        <w:ind w:left="720" w:hanging="360"/>
      </w:pPr>
    </w:lvl>
    <w:lvl w:ilvl="1" w:tplc="7E90DDAE">
      <w:start w:val="1"/>
      <w:numFmt w:val="lowerLetter"/>
      <w:lvlText w:val="%2."/>
      <w:lvlJc w:val="left"/>
      <w:pPr>
        <w:ind w:left="1440" w:hanging="360"/>
      </w:pPr>
    </w:lvl>
    <w:lvl w:ilvl="2" w:tplc="057E3014">
      <w:start w:val="1"/>
      <w:numFmt w:val="lowerRoman"/>
      <w:lvlText w:val="%3."/>
      <w:lvlJc w:val="right"/>
      <w:pPr>
        <w:ind w:left="2160" w:hanging="180"/>
      </w:pPr>
    </w:lvl>
    <w:lvl w:ilvl="3" w:tplc="BB703274">
      <w:start w:val="1"/>
      <w:numFmt w:val="decimal"/>
      <w:lvlText w:val="%4."/>
      <w:lvlJc w:val="left"/>
      <w:pPr>
        <w:ind w:left="2880" w:hanging="360"/>
      </w:pPr>
    </w:lvl>
    <w:lvl w:ilvl="4" w:tplc="DCCE56A8">
      <w:start w:val="1"/>
      <w:numFmt w:val="lowerLetter"/>
      <w:lvlText w:val="%5."/>
      <w:lvlJc w:val="left"/>
      <w:pPr>
        <w:ind w:left="3600" w:hanging="360"/>
      </w:pPr>
    </w:lvl>
    <w:lvl w:ilvl="5" w:tplc="04E63E50">
      <w:start w:val="1"/>
      <w:numFmt w:val="lowerRoman"/>
      <w:lvlText w:val="%6."/>
      <w:lvlJc w:val="right"/>
      <w:pPr>
        <w:ind w:left="4320" w:hanging="180"/>
      </w:pPr>
    </w:lvl>
    <w:lvl w:ilvl="6" w:tplc="E022F44A">
      <w:start w:val="1"/>
      <w:numFmt w:val="decimal"/>
      <w:lvlText w:val="%7."/>
      <w:lvlJc w:val="left"/>
      <w:pPr>
        <w:ind w:left="5040" w:hanging="360"/>
      </w:pPr>
    </w:lvl>
    <w:lvl w:ilvl="7" w:tplc="46AEDEAE">
      <w:start w:val="1"/>
      <w:numFmt w:val="lowerLetter"/>
      <w:lvlText w:val="%8."/>
      <w:lvlJc w:val="left"/>
      <w:pPr>
        <w:ind w:left="5760" w:hanging="360"/>
      </w:pPr>
    </w:lvl>
    <w:lvl w:ilvl="8" w:tplc="51E2AF9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104CF"/>
    <w:multiLevelType w:val="hybridMultilevel"/>
    <w:tmpl w:val="6344A9E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6CA3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D6F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20B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E41F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202D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005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B822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A82C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C3781"/>
    <w:multiLevelType w:val="hybridMultilevel"/>
    <w:tmpl w:val="31EEF116"/>
    <w:lvl w:ilvl="0" w:tplc="6254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EA3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84F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169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8E2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BAA1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AF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CCD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98B6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A0E54"/>
    <w:multiLevelType w:val="hybridMultilevel"/>
    <w:tmpl w:val="56F2D8AC"/>
    <w:lvl w:ilvl="0" w:tplc="287A5D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F32C6"/>
    <w:multiLevelType w:val="hybridMultilevel"/>
    <w:tmpl w:val="4BC0730A"/>
    <w:lvl w:ilvl="0" w:tplc="CB14407A">
      <w:start w:val="1"/>
      <w:numFmt w:val="decimal"/>
      <w:lvlText w:val="%1."/>
      <w:lvlJc w:val="left"/>
      <w:pPr>
        <w:ind w:left="720" w:hanging="360"/>
      </w:pPr>
    </w:lvl>
    <w:lvl w:ilvl="1" w:tplc="F78A336A">
      <w:start w:val="1"/>
      <w:numFmt w:val="lowerLetter"/>
      <w:lvlText w:val="%2."/>
      <w:lvlJc w:val="left"/>
      <w:pPr>
        <w:ind w:left="1440" w:hanging="360"/>
      </w:pPr>
    </w:lvl>
    <w:lvl w:ilvl="2" w:tplc="BE80B4A2">
      <w:start w:val="1"/>
      <w:numFmt w:val="lowerRoman"/>
      <w:lvlText w:val="%3."/>
      <w:lvlJc w:val="right"/>
      <w:pPr>
        <w:ind w:left="2160" w:hanging="180"/>
      </w:pPr>
    </w:lvl>
    <w:lvl w:ilvl="3" w:tplc="23142380">
      <w:start w:val="1"/>
      <w:numFmt w:val="decimal"/>
      <w:lvlText w:val="%4."/>
      <w:lvlJc w:val="left"/>
      <w:pPr>
        <w:ind w:left="2880" w:hanging="360"/>
      </w:pPr>
    </w:lvl>
    <w:lvl w:ilvl="4" w:tplc="58D67A40">
      <w:start w:val="1"/>
      <w:numFmt w:val="lowerLetter"/>
      <w:lvlText w:val="%5."/>
      <w:lvlJc w:val="left"/>
      <w:pPr>
        <w:ind w:left="3600" w:hanging="360"/>
      </w:pPr>
    </w:lvl>
    <w:lvl w:ilvl="5" w:tplc="680C1BE6">
      <w:start w:val="1"/>
      <w:numFmt w:val="lowerRoman"/>
      <w:lvlText w:val="%6."/>
      <w:lvlJc w:val="right"/>
      <w:pPr>
        <w:ind w:left="4320" w:hanging="180"/>
      </w:pPr>
    </w:lvl>
    <w:lvl w:ilvl="6" w:tplc="87BCB74E">
      <w:start w:val="1"/>
      <w:numFmt w:val="decimal"/>
      <w:lvlText w:val="%7."/>
      <w:lvlJc w:val="left"/>
      <w:pPr>
        <w:ind w:left="5040" w:hanging="360"/>
      </w:pPr>
    </w:lvl>
    <w:lvl w:ilvl="7" w:tplc="AD4CC84A">
      <w:start w:val="1"/>
      <w:numFmt w:val="lowerLetter"/>
      <w:lvlText w:val="%8."/>
      <w:lvlJc w:val="left"/>
      <w:pPr>
        <w:ind w:left="5760" w:hanging="360"/>
      </w:pPr>
    </w:lvl>
    <w:lvl w:ilvl="8" w:tplc="69D4845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76DCF"/>
    <w:multiLevelType w:val="multilevel"/>
    <w:tmpl w:val="E40C48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871671"/>
    <w:multiLevelType w:val="hybridMultilevel"/>
    <w:tmpl w:val="9E44161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AF2CBB"/>
    <w:multiLevelType w:val="multilevel"/>
    <w:tmpl w:val="7FBCC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1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14"/>
  </w:num>
  <w:num w:numId="10">
    <w:abstractNumId w:val="12"/>
  </w:num>
  <w:num w:numId="11">
    <w:abstractNumId w:val="3"/>
  </w:num>
  <w:num w:numId="12">
    <w:abstractNumId w:val="6"/>
  </w:num>
  <w:num w:numId="13">
    <w:abstractNumId w:val="10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219"/>
    <w:rsid w:val="00007DE7"/>
    <w:rsid w:val="00014DF6"/>
    <w:rsid w:val="00021179"/>
    <w:rsid w:val="0002469A"/>
    <w:rsid w:val="00085819"/>
    <w:rsid w:val="0008716B"/>
    <w:rsid w:val="000928EF"/>
    <w:rsid w:val="00097E81"/>
    <w:rsid w:val="000B6D87"/>
    <w:rsid w:val="000C0D03"/>
    <w:rsid w:val="000C64ED"/>
    <w:rsid w:val="00125399"/>
    <w:rsid w:val="00132670"/>
    <w:rsid w:val="00145335"/>
    <w:rsid w:val="001477B8"/>
    <w:rsid w:val="00165434"/>
    <w:rsid w:val="00171FE9"/>
    <w:rsid w:val="001734A4"/>
    <w:rsid w:val="00191E64"/>
    <w:rsid w:val="001B4876"/>
    <w:rsid w:val="001D3BBD"/>
    <w:rsid w:val="001E0D23"/>
    <w:rsid w:val="001E2D06"/>
    <w:rsid w:val="001E7C41"/>
    <w:rsid w:val="001F408F"/>
    <w:rsid w:val="002126A8"/>
    <w:rsid w:val="0021469C"/>
    <w:rsid w:val="0028110A"/>
    <w:rsid w:val="00285BC7"/>
    <w:rsid w:val="00294397"/>
    <w:rsid w:val="002B11AF"/>
    <w:rsid w:val="002C0C37"/>
    <w:rsid w:val="002C7219"/>
    <w:rsid w:val="002D5DB6"/>
    <w:rsid w:val="002E012D"/>
    <w:rsid w:val="00304645"/>
    <w:rsid w:val="00307767"/>
    <w:rsid w:val="003130E9"/>
    <w:rsid w:val="003351F6"/>
    <w:rsid w:val="00351078"/>
    <w:rsid w:val="003529DD"/>
    <w:rsid w:val="003539EE"/>
    <w:rsid w:val="003602D0"/>
    <w:rsid w:val="00374FEF"/>
    <w:rsid w:val="00377216"/>
    <w:rsid w:val="003A2464"/>
    <w:rsid w:val="003B2B96"/>
    <w:rsid w:val="003B7175"/>
    <w:rsid w:val="003C0A58"/>
    <w:rsid w:val="003C588A"/>
    <w:rsid w:val="003D4C20"/>
    <w:rsid w:val="003F7D79"/>
    <w:rsid w:val="004108F5"/>
    <w:rsid w:val="00414E43"/>
    <w:rsid w:val="00421282"/>
    <w:rsid w:val="004604F4"/>
    <w:rsid w:val="00473005"/>
    <w:rsid w:val="004757D5"/>
    <w:rsid w:val="0047761E"/>
    <w:rsid w:val="0049441C"/>
    <w:rsid w:val="004B0C69"/>
    <w:rsid w:val="004B4096"/>
    <w:rsid w:val="004D15F2"/>
    <w:rsid w:val="004E67A8"/>
    <w:rsid w:val="00506D83"/>
    <w:rsid w:val="00513B00"/>
    <w:rsid w:val="00514C37"/>
    <w:rsid w:val="00516E81"/>
    <w:rsid w:val="005243FE"/>
    <w:rsid w:val="00541BB8"/>
    <w:rsid w:val="005576FC"/>
    <w:rsid w:val="00562851"/>
    <w:rsid w:val="00563796"/>
    <w:rsid w:val="00566F5B"/>
    <w:rsid w:val="00576F71"/>
    <w:rsid w:val="005A4B60"/>
    <w:rsid w:val="005C5AD6"/>
    <w:rsid w:val="005E17D4"/>
    <w:rsid w:val="005F3856"/>
    <w:rsid w:val="00612580"/>
    <w:rsid w:val="0063469E"/>
    <w:rsid w:val="00645CA0"/>
    <w:rsid w:val="0064634E"/>
    <w:rsid w:val="00694A30"/>
    <w:rsid w:val="006B7611"/>
    <w:rsid w:val="00713630"/>
    <w:rsid w:val="00717D7A"/>
    <w:rsid w:val="00754C3B"/>
    <w:rsid w:val="007578AC"/>
    <w:rsid w:val="00763BE7"/>
    <w:rsid w:val="00772EF5"/>
    <w:rsid w:val="00781E18"/>
    <w:rsid w:val="007960EA"/>
    <w:rsid w:val="007A2184"/>
    <w:rsid w:val="007B74A0"/>
    <w:rsid w:val="007C4116"/>
    <w:rsid w:val="007F3478"/>
    <w:rsid w:val="007F50D8"/>
    <w:rsid w:val="007F56F2"/>
    <w:rsid w:val="00810982"/>
    <w:rsid w:val="008323A5"/>
    <w:rsid w:val="00835F17"/>
    <w:rsid w:val="008434C2"/>
    <w:rsid w:val="00886A2C"/>
    <w:rsid w:val="00895201"/>
    <w:rsid w:val="008956BB"/>
    <w:rsid w:val="008974D1"/>
    <w:rsid w:val="008C0CCA"/>
    <w:rsid w:val="008E24FD"/>
    <w:rsid w:val="008E65E7"/>
    <w:rsid w:val="008F0AAD"/>
    <w:rsid w:val="00903C53"/>
    <w:rsid w:val="0091721E"/>
    <w:rsid w:val="00920611"/>
    <w:rsid w:val="00942781"/>
    <w:rsid w:val="00942E43"/>
    <w:rsid w:val="00990615"/>
    <w:rsid w:val="009C4CCC"/>
    <w:rsid w:val="009E0104"/>
    <w:rsid w:val="009F037A"/>
    <w:rsid w:val="00A219DE"/>
    <w:rsid w:val="00A53AB6"/>
    <w:rsid w:val="00A62431"/>
    <w:rsid w:val="00A72E1B"/>
    <w:rsid w:val="00A850B4"/>
    <w:rsid w:val="00A90A82"/>
    <w:rsid w:val="00A92FF4"/>
    <w:rsid w:val="00A95E46"/>
    <w:rsid w:val="00A95EE7"/>
    <w:rsid w:val="00AD4F55"/>
    <w:rsid w:val="00AF374D"/>
    <w:rsid w:val="00B010CA"/>
    <w:rsid w:val="00B05B12"/>
    <w:rsid w:val="00B2401D"/>
    <w:rsid w:val="00B569C2"/>
    <w:rsid w:val="00B579B1"/>
    <w:rsid w:val="00BB5157"/>
    <w:rsid w:val="00BD061A"/>
    <w:rsid w:val="00BD3091"/>
    <w:rsid w:val="00C0134C"/>
    <w:rsid w:val="00C039F0"/>
    <w:rsid w:val="00C211BC"/>
    <w:rsid w:val="00C359A3"/>
    <w:rsid w:val="00C41C04"/>
    <w:rsid w:val="00C645AA"/>
    <w:rsid w:val="00C676DD"/>
    <w:rsid w:val="00C76CA8"/>
    <w:rsid w:val="00C81454"/>
    <w:rsid w:val="00C87FC4"/>
    <w:rsid w:val="00CA635F"/>
    <w:rsid w:val="00CB29B9"/>
    <w:rsid w:val="00CC3CAE"/>
    <w:rsid w:val="00CD1AC5"/>
    <w:rsid w:val="00CD3DCD"/>
    <w:rsid w:val="00D16FEF"/>
    <w:rsid w:val="00D41A4E"/>
    <w:rsid w:val="00D43C16"/>
    <w:rsid w:val="00D77F89"/>
    <w:rsid w:val="00DC1B37"/>
    <w:rsid w:val="00DE2D01"/>
    <w:rsid w:val="00DF0F43"/>
    <w:rsid w:val="00DF7292"/>
    <w:rsid w:val="00E24481"/>
    <w:rsid w:val="00E336B0"/>
    <w:rsid w:val="00E5060F"/>
    <w:rsid w:val="00E5724F"/>
    <w:rsid w:val="00E61E0D"/>
    <w:rsid w:val="00E918A3"/>
    <w:rsid w:val="00EB0AEA"/>
    <w:rsid w:val="00EC0EAA"/>
    <w:rsid w:val="00EC3910"/>
    <w:rsid w:val="00F13AEE"/>
    <w:rsid w:val="00F42ACA"/>
    <w:rsid w:val="00F4586F"/>
    <w:rsid w:val="00F6427A"/>
    <w:rsid w:val="00F81E64"/>
    <w:rsid w:val="00F83051"/>
    <w:rsid w:val="00F84287"/>
    <w:rsid w:val="00FA3B04"/>
    <w:rsid w:val="00FA6D6C"/>
    <w:rsid w:val="00FE4041"/>
    <w:rsid w:val="00FF0663"/>
    <w:rsid w:val="10353522"/>
    <w:rsid w:val="14D7E0A5"/>
    <w:rsid w:val="198809AD"/>
    <w:rsid w:val="1F861318"/>
    <w:rsid w:val="264D7CA1"/>
    <w:rsid w:val="27533BA9"/>
    <w:rsid w:val="2B471AB5"/>
    <w:rsid w:val="3038F58C"/>
    <w:rsid w:val="38056976"/>
    <w:rsid w:val="3A535C54"/>
    <w:rsid w:val="3B2141DE"/>
    <w:rsid w:val="3CC2BDBF"/>
    <w:rsid w:val="43F760B1"/>
    <w:rsid w:val="45B8A495"/>
    <w:rsid w:val="463E67C3"/>
    <w:rsid w:val="49957275"/>
    <w:rsid w:val="4F0C1D32"/>
    <w:rsid w:val="5184F12A"/>
    <w:rsid w:val="5409537D"/>
    <w:rsid w:val="55BC311F"/>
    <w:rsid w:val="5B130360"/>
    <w:rsid w:val="5BFA9DF2"/>
    <w:rsid w:val="5C939B98"/>
    <w:rsid w:val="5CE1C65C"/>
    <w:rsid w:val="5D2CD5C8"/>
    <w:rsid w:val="64535D9A"/>
    <w:rsid w:val="686BBCA6"/>
    <w:rsid w:val="6A3AF3DD"/>
    <w:rsid w:val="6D64374A"/>
    <w:rsid w:val="75AB8AF5"/>
    <w:rsid w:val="76B3D0B0"/>
    <w:rsid w:val="79FE30B6"/>
    <w:rsid w:val="7FD719C2"/>
    <w:rsid w:val="7FEEA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F8EFB6F"/>
  <w15:chartTrackingRefBased/>
  <w15:docId w15:val="{F618F431-5252-4D87-8480-CE907920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C7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C7219"/>
  </w:style>
  <w:style w:type="character" w:customStyle="1" w:styleId="eop">
    <w:name w:val="eop"/>
    <w:basedOn w:val="DefaultParagraphFont"/>
    <w:rsid w:val="002C7219"/>
  </w:style>
  <w:style w:type="character" w:customStyle="1" w:styleId="spellingerror">
    <w:name w:val="spellingerror"/>
    <w:basedOn w:val="DefaultParagraphFont"/>
    <w:rsid w:val="002C721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7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3B00"/>
    <w:rPr>
      <w:b/>
      <w:bCs/>
      <w:sz w:val="20"/>
      <w:szCs w:val="20"/>
    </w:rPr>
  </w:style>
  <w:style w:type="character" w:customStyle="1" w:styleId="titledefault">
    <w:name w:val="title_default"/>
    <w:basedOn w:val="DefaultParagraphFont"/>
    <w:rsid w:val="004B0C69"/>
  </w:style>
  <w:style w:type="character" w:styleId="FollowedHyperlink">
    <w:name w:val="FollowedHyperlink"/>
    <w:basedOn w:val="DefaultParagraphFont"/>
    <w:uiPriority w:val="99"/>
    <w:semiHidden/>
    <w:unhideWhenUsed/>
    <w:rsid w:val="008323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46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5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5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hai/prevent/tap.html" TargetMode="External"/><Relationship Id="rId13" Type="http://schemas.openxmlformats.org/officeDocument/2006/relationships/hyperlink" Target="https://www.cdc.gov/hai/pdfs/toolkits/cditoolkitwhite_clearance_edits.pd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i:10.1017/S0899823X00193857" TargetMode="External"/><Relationship Id="rId17" Type="http://schemas.openxmlformats.org/officeDocument/2006/relationships/hyperlink" Target="http://www.cdc.gov/antibiotic-use/healthcare/index.html" TargetMode="External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hyperlink" Target="http://www.cdc.gov/hai/prevent/tap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stor.org/stable/10.1086/65170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ic.org/Resource_/TinyMceFileManager/Practice_Guidance/cdiff/C.Diff_Digital_Toolkit_GNYHA.pdf" TargetMode="External"/><Relationship Id="rId10" Type="http://schemas.openxmlformats.org/officeDocument/2006/relationships/hyperlink" Target="https://doi:10.1017/ice.2017.245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pic.org/Resource_/EliminationGuideForm/59397fc6-3f90-43d1-9325-e8be75d86888/File/2013CDiffFinal.pdf" TargetMode="External"/><Relationship Id="rId14" Type="http://schemas.openxmlformats.org/officeDocument/2006/relationships/hyperlink" Target="https://doi.org/10.1093/cid/cix108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3cbe1883-68f2-4e02-b019-f9e988ec05e9">
  <we:reference id="WA104124372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1CD03-5C64-4F65-B61B-F409CC49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Perz, Joseph (CDC/OID/NCEZID)</cp:lastModifiedBy>
  <cp:revision>2</cp:revision>
  <dcterms:created xsi:type="dcterms:W3CDTF">2018-10-02T19:32:00Z</dcterms:created>
  <dcterms:modified xsi:type="dcterms:W3CDTF">2018-10-02T19:32:00Z</dcterms:modified>
</cp:coreProperties>
</file>