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F0208" w14:textId="1BC8B925" w:rsidR="0D5B97FC" w:rsidRDefault="0D5B97FC">
      <w:bookmarkStart w:id="0" w:name="_GoBack"/>
      <w:bookmarkEnd w:id="0"/>
      <w:r w:rsidRPr="0009374B">
        <w:rPr>
          <w:rFonts w:ascii="Arial" w:eastAsia="Arial" w:hAnsi="Arial" w:cs="Arial"/>
          <w:b/>
          <w:bCs/>
        </w:rPr>
        <w:t>CORHA Workgroup Proposed Investigation / Reporting Thresholds and Outbreak Definition (</w:t>
      </w:r>
      <w:r w:rsidR="00196ECB">
        <w:rPr>
          <w:rFonts w:ascii="Arial" w:eastAsia="Arial" w:hAnsi="Arial" w:cs="Arial"/>
          <w:b/>
          <w:bCs/>
        </w:rPr>
        <w:t xml:space="preserve">Extrapulmonary </w:t>
      </w:r>
      <w:r w:rsidRPr="0009374B">
        <w:rPr>
          <w:rFonts w:ascii="Arial" w:eastAsia="Arial" w:hAnsi="Arial" w:cs="Arial"/>
          <w:b/>
          <w:bCs/>
          <w:i/>
          <w:iCs/>
        </w:rPr>
        <w:t xml:space="preserve">Nontuberculous mycobacteria, </w:t>
      </w:r>
      <w:r w:rsidRPr="0009374B">
        <w:rPr>
          <w:rFonts w:ascii="Arial" w:eastAsia="Arial" w:hAnsi="Arial" w:cs="Arial"/>
          <w:b/>
          <w:bCs/>
        </w:rPr>
        <w:t>NTM)</w:t>
      </w:r>
    </w:p>
    <w:p w14:paraId="1C0BD09E" w14:textId="15E4CFE4" w:rsidR="0D5B97FC" w:rsidRDefault="5F4E7573" w:rsidP="5F4E7573">
      <w:pPr>
        <w:rPr>
          <w:rFonts w:ascii="Arial" w:eastAsia="Arial" w:hAnsi="Arial" w:cs="Arial"/>
          <w:b/>
          <w:bCs/>
        </w:rPr>
      </w:pPr>
      <w:r w:rsidRPr="5F4E7573">
        <w:rPr>
          <w:rFonts w:ascii="Arial" w:eastAsia="Arial" w:hAnsi="Arial" w:cs="Arial"/>
          <w:b/>
          <w:bCs/>
        </w:rPr>
        <w:t>Version X, March 6, 2019</w:t>
      </w:r>
    </w:p>
    <w:p w14:paraId="54F85EE9" w14:textId="724E0B0C" w:rsidR="0D5B97FC" w:rsidRDefault="0D5B97FC">
      <w:r w:rsidRPr="0009374B">
        <w:rPr>
          <w:rFonts w:ascii="Arial" w:eastAsia="Arial" w:hAnsi="Arial" w:cs="Arial"/>
        </w:rPr>
        <w:t xml:space="preserve"> </w:t>
      </w:r>
    </w:p>
    <w:p w14:paraId="18C89835" w14:textId="063D9B58" w:rsidR="0D5B97FC" w:rsidRDefault="0D5B97FC">
      <w:r w:rsidRPr="0009374B">
        <w:rPr>
          <w:rFonts w:ascii="Arial" w:eastAsia="Arial" w:hAnsi="Arial" w:cs="Arial"/>
        </w:rPr>
        <w:t>The thresholds and definitions below are intended as general guidance and were based on available resources and expert opinion. States and local jurisdictions may have their own outbreak definitions and requirements for reporting. Thresholds and definitions should be applied regardless of location of onset (healthcare facility-onset or community-onset).</w:t>
      </w:r>
    </w:p>
    <w:p w14:paraId="5118905E" w14:textId="78441C71" w:rsidR="00196ECB" w:rsidRDefault="48F020CB" w:rsidP="48F020CB">
      <w:pPr>
        <w:rPr>
          <w:rFonts w:ascii="Arial" w:eastAsia="Arial" w:hAnsi="Arial" w:cs="Arial"/>
        </w:rPr>
      </w:pPr>
      <w:r w:rsidRPr="48F020CB">
        <w:rPr>
          <w:rFonts w:ascii="Arial" w:eastAsia="Arial" w:hAnsi="Arial" w:cs="Arial"/>
        </w:rPr>
        <w:t>Nontuberculous mycobacteria (NTM) are opportunistic pathogens that can be difficult to diagnose and treat. Pulmonary disease, the most common clinical manifestation of NTM infection, often affects individuals with underlying lung disease. Extrapulmonary NTM infections are less common than pulmonary infections but are often associated with severe disease and poor outcomes, even among immunocompetent individuals.</w:t>
      </w:r>
      <w:r w:rsidRPr="48F020CB">
        <w:rPr>
          <w:rFonts w:ascii="Arial" w:eastAsia="Arial" w:hAnsi="Arial" w:cs="Arial"/>
          <w:vertAlign w:val="superscript"/>
        </w:rPr>
        <w:t>1</w:t>
      </w:r>
      <w:r w:rsidRPr="48F020CB">
        <w:rPr>
          <w:rFonts w:ascii="Arial" w:eastAsia="Arial" w:hAnsi="Arial" w:cs="Arial"/>
        </w:rPr>
        <w:t xml:space="preserve"> Outbreaks of extrapulmonary NTM infections in the United States have been increasingly linked with healthcare exposure and healthcare-associated outbreaks have been associated with medical devices, cosmetic procedures,</w:t>
      </w:r>
      <w:r w:rsidRPr="48F020CB">
        <w:rPr>
          <w:rFonts w:ascii="Arial" w:eastAsia="Arial" w:hAnsi="Arial" w:cs="Arial"/>
          <w:vertAlign w:val="superscript"/>
        </w:rPr>
        <w:t>2</w:t>
      </w:r>
      <w:r w:rsidRPr="48F020CB">
        <w:rPr>
          <w:rFonts w:ascii="Arial" w:eastAsia="Arial" w:hAnsi="Arial" w:cs="Arial"/>
        </w:rPr>
        <w:t xml:space="preserve"> dental procedures,</w:t>
      </w:r>
      <w:r w:rsidRPr="48F020CB">
        <w:rPr>
          <w:rFonts w:ascii="Arial" w:eastAsia="Arial" w:hAnsi="Arial" w:cs="Arial"/>
          <w:vertAlign w:val="superscript"/>
        </w:rPr>
        <w:t>3</w:t>
      </w:r>
      <w:r w:rsidRPr="48F020CB">
        <w:rPr>
          <w:rFonts w:ascii="Arial" w:eastAsia="Arial" w:hAnsi="Arial" w:cs="Arial"/>
        </w:rPr>
        <w:t xml:space="preserve"> and contaminated parenteral medications, among others. Non-healthcare settings associated with extrapulmonary NTM outbreaks include tattoo parlors, nail salons, and spas. Given the nonspecific symptomatology and prolonged time between exposure and symptom onset, outbreaks of extrapulmonary NTM infections can be difficult to detect. Utilizing thresholds for investigation and reporting and establishing outbreak definitions for extrapulmonary NTM can assist in early outbreak detection and implementation of interventions to prevent additional infections.</w:t>
      </w:r>
      <w:r w:rsidRPr="48F020CB">
        <w:rPr>
          <w:rFonts w:ascii="Arial" w:eastAsia="Arial" w:hAnsi="Arial" w:cs="Arial"/>
          <w:vertAlign w:val="superscript"/>
        </w:rPr>
        <w:t>4,5</w:t>
      </w:r>
    </w:p>
    <w:p w14:paraId="4B0102ED" w14:textId="79305CA4" w:rsidR="0D5B97FC" w:rsidRPr="0009374B" w:rsidRDefault="5CA7F484" w:rsidP="5CA7F484">
      <w:pPr>
        <w:rPr>
          <w:rFonts w:ascii="Arial" w:eastAsia="Arial" w:hAnsi="Arial" w:cs="Arial"/>
        </w:rPr>
      </w:pPr>
      <w:r w:rsidRPr="5CA7F484">
        <w:rPr>
          <w:rFonts w:ascii="Arial" w:eastAsia="Arial" w:hAnsi="Arial" w:cs="Arial"/>
        </w:rPr>
        <w:t xml:space="preserve">NTM are mycobacterial species other than </w:t>
      </w:r>
      <w:r w:rsidRPr="5CA7F484">
        <w:rPr>
          <w:rFonts w:ascii="Arial" w:eastAsia="Arial" w:hAnsi="Arial" w:cs="Arial"/>
          <w:i/>
          <w:iCs/>
        </w:rPr>
        <w:t>M. tuberculosis</w:t>
      </w:r>
      <w:r w:rsidRPr="5CA7F484">
        <w:rPr>
          <w:rFonts w:ascii="Arial" w:eastAsia="Arial" w:hAnsi="Arial" w:cs="Arial"/>
        </w:rPr>
        <w:t xml:space="preserve"> complex species and </w:t>
      </w:r>
      <w:r w:rsidRPr="5CA7F484">
        <w:rPr>
          <w:rFonts w:ascii="Arial" w:eastAsia="Arial" w:hAnsi="Arial" w:cs="Arial"/>
          <w:i/>
          <w:iCs/>
        </w:rPr>
        <w:t>M. leprae</w:t>
      </w:r>
      <w:r w:rsidRPr="5CA7F484">
        <w:rPr>
          <w:rFonts w:ascii="Arial" w:eastAsia="Arial" w:hAnsi="Arial" w:cs="Arial"/>
        </w:rPr>
        <w:t>. An extrapulmonary NTM infection is a positive culture or molecular evidence, such as polymerase chain reaction (PCR) or 16S ribosomal RNA gene sequencing (16S), of NTM from at least one of the following extrapulmonary sites:</w:t>
      </w:r>
    </w:p>
    <w:p w14:paraId="4BA60636" w14:textId="552B7F8A" w:rsidR="0D5B97FC" w:rsidRDefault="0D5B97FC" w:rsidP="0009374B">
      <w:pPr>
        <w:pStyle w:val="ListParagraph"/>
        <w:numPr>
          <w:ilvl w:val="0"/>
          <w:numId w:val="3"/>
        </w:numPr>
      </w:pPr>
      <w:r w:rsidRPr="0009374B">
        <w:rPr>
          <w:rFonts w:ascii="Arial" w:eastAsia="Arial" w:hAnsi="Arial" w:cs="Arial"/>
          <w:color w:val="000000" w:themeColor="text1"/>
        </w:rPr>
        <w:t>Skin or soft tissue</w:t>
      </w:r>
    </w:p>
    <w:p w14:paraId="119E1CCC" w14:textId="23E8F281" w:rsidR="0D5B97FC" w:rsidRDefault="0D5B97FC" w:rsidP="0009374B">
      <w:pPr>
        <w:pStyle w:val="ListParagraph"/>
        <w:numPr>
          <w:ilvl w:val="0"/>
          <w:numId w:val="3"/>
        </w:numPr>
      </w:pPr>
      <w:r w:rsidRPr="0009374B">
        <w:rPr>
          <w:rFonts w:ascii="Arial" w:eastAsia="Arial" w:hAnsi="Arial" w:cs="Arial"/>
          <w:color w:val="000000" w:themeColor="text1"/>
        </w:rPr>
        <w:t>Lymph node</w:t>
      </w:r>
    </w:p>
    <w:p w14:paraId="61BE645F" w14:textId="21A57ADA" w:rsidR="0D5B97FC" w:rsidRDefault="0D5B97FC" w:rsidP="0009374B">
      <w:pPr>
        <w:pStyle w:val="ListParagraph"/>
        <w:numPr>
          <w:ilvl w:val="0"/>
          <w:numId w:val="3"/>
        </w:numPr>
      </w:pPr>
      <w:r w:rsidRPr="0009374B">
        <w:rPr>
          <w:rFonts w:ascii="Arial" w:eastAsia="Arial" w:hAnsi="Arial" w:cs="Arial"/>
          <w:color w:val="000000" w:themeColor="text1"/>
        </w:rPr>
        <w:t>Urine</w:t>
      </w:r>
    </w:p>
    <w:p w14:paraId="5E6D3F43" w14:textId="6A96A177" w:rsidR="0D5B97FC" w:rsidRDefault="5CA7F484" w:rsidP="0009374B">
      <w:pPr>
        <w:pStyle w:val="ListParagraph"/>
        <w:numPr>
          <w:ilvl w:val="0"/>
          <w:numId w:val="3"/>
        </w:numPr>
      </w:pPr>
      <w:r w:rsidRPr="5CA7F484">
        <w:rPr>
          <w:rFonts w:ascii="Arial" w:eastAsia="Arial" w:hAnsi="Arial" w:cs="Arial"/>
          <w:color w:val="000000" w:themeColor="text1"/>
        </w:rPr>
        <w:t>A normally sterile body site such as blood, spinal fluid, bone marrow, abdominal fluid, pleural fluid, or bone.</w:t>
      </w:r>
    </w:p>
    <w:p w14:paraId="3316D96F" w14:textId="6A388BEF" w:rsidR="0D5B97FC" w:rsidRDefault="0D5B97FC">
      <w:r w:rsidRPr="0009374B">
        <w:rPr>
          <w:rFonts w:ascii="Arial" w:eastAsia="Arial" w:hAnsi="Arial" w:cs="Arial"/>
        </w:rPr>
        <w:t xml:space="preserve">and </w:t>
      </w:r>
      <w:r w:rsidRPr="0009374B">
        <w:rPr>
          <w:rFonts w:ascii="Arial" w:eastAsia="Arial" w:hAnsi="Arial" w:cs="Arial"/>
          <w:u w:val="single"/>
        </w:rPr>
        <w:t>excludes</w:t>
      </w:r>
      <w:r w:rsidRPr="0009374B">
        <w:rPr>
          <w:rFonts w:ascii="Arial" w:eastAsia="Arial" w:hAnsi="Arial" w:cs="Arial"/>
        </w:rPr>
        <w:t>:</w:t>
      </w:r>
    </w:p>
    <w:p w14:paraId="6CE1CCC4" w14:textId="02CA7CD6" w:rsidR="0D5B97FC" w:rsidRPr="0009374B" w:rsidRDefault="0D5B97FC" w:rsidP="0009374B">
      <w:pPr>
        <w:pStyle w:val="ListParagraph"/>
        <w:numPr>
          <w:ilvl w:val="0"/>
          <w:numId w:val="3"/>
        </w:numPr>
        <w:rPr>
          <w:u w:val="single"/>
        </w:rPr>
      </w:pPr>
      <w:r w:rsidRPr="0009374B">
        <w:rPr>
          <w:rFonts w:ascii="Arial" w:eastAsia="Arial" w:hAnsi="Arial" w:cs="Arial"/>
          <w:color w:val="000000" w:themeColor="text1"/>
        </w:rPr>
        <w:t xml:space="preserve">Cultures or molecular evidence positive for </w:t>
      </w:r>
      <w:r w:rsidRPr="0009374B">
        <w:rPr>
          <w:rFonts w:ascii="Arial" w:eastAsia="Arial" w:hAnsi="Arial" w:cs="Arial"/>
          <w:i/>
          <w:iCs/>
          <w:color w:val="000000" w:themeColor="text1"/>
        </w:rPr>
        <w:t xml:space="preserve">M. tuberculosis </w:t>
      </w:r>
      <w:r w:rsidRPr="0009374B">
        <w:rPr>
          <w:rFonts w:ascii="Arial" w:eastAsia="Arial" w:hAnsi="Arial" w:cs="Arial"/>
          <w:color w:val="000000" w:themeColor="text1"/>
        </w:rPr>
        <w:t>complex</w:t>
      </w:r>
      <w:r w:rsidR="5A9820ED" w:rsidRPr="0009374B">
        <w:rPr>
          <w:rFonts w:ascii="Arial" w:eastAsia="Arial" w:hAnsi="Arial" w:cs="Arial"/>
          <w:color w:val="000000" w:themeColor="text1"/>
        </w:rPr>
        <w:t xml:space="preserve"> or </w:t>
      </w:r>
      <w:r w:rsidRPr="0009374B">
        <w:rPr>
          <w:rFonts w:ascii="Arial" w:eastAsia="Arial" w:hAnsi="Arial" w:cs="Arial"/>
          <w:i/>
          <w:iCs/>
          <w:color w:val="000000" w:themeColor="text1"/>
        </w:rPr>
        <w:t>M. leprae</w:t>
      </w:r>
    </w:p>
    <w:p w14:paraId="1107D983" w14:textId="55EA1C90" w:rsidR="0D5B97FC" w:rsidRDefault="0D5B97FC" w:rsidP="0009374B">
      <w:pPr>
        <w:pStyle w:val="ListParagraph"/>
        <w:numPr>
          <w:ilvl w:val="0"/>
          <w:numId w:val="3"/>
        </w:numPr>
      </w:pPr>
      <w:r w:rsidRPr="0009374B">
        <w:rPr>
          <w:rFonts w:ascii="Arial" w:eastAsia="Arial" w:hAnsi="Arial" w:cs="Arial"/>
          <w:color w:val="000000" w:themeColor="text1"/>
        </w:rPr>
        <w:t>Cultures or molecular evidence from lower respiratory samples, including sputum, bronchial alveolar lavage, tracheal aspirate culture, or lung tissues</w:t>
      </w:r>
    </w:p>
    <w:p w14:paraId="3C7B171E" w14:textId="3F14AA45" w:rsidR="00F94F57" w:rsidRPr="00F94F57" w:rsidRDefault="5F4E7573" w:rsidP="5F4E7573">
      <w:pPr>
        <w:pStyle w:val="ListParagraph"/>
        <w:numPr>
          <w:ilvl w:val="0"/>
          <w:numId w:val="3"/>
        </w:numPr>
      </w:pPr>
      <w:r w:rsidRPr="5F4E7573">
        <w:rPr>
          <w:rFonts w:ascii="Arial" w:eastAsia="Arial" w:hAnsi="Arial" w:cs="Arial"/>
          <w:color w:val="000000" w:themeColor="text1"/>
        </w:rPr>
        <w:t>Stool specimens</w:t>
      </w:r>
    </w:p>
    <w:p w14:paraId="2F3A70E4" w14:textId="7470261D" w:rsidR="5F4E7573" w:rsidRDefault="5F4E7573" w:rsidP="5F4E7573">
      <w:pPr>
        <w:ind w:left="360"/>
        <w:rPr>
          <w:rFonts w:ascii="Arial" w:eastAsia="Arial" w:hAnsi="Arial" w:cs="Arial"/>
          <w:color w:val="000000" w:themeColor="text1"/>
        </w:rPr>
      </w:pPr>
    </w:p>
    <w:tbl>
      <w:tblPr>
        <w:tblStyle w:val="TableGrid"/>
        <w:tblW w:w="12515" w:type="dxa"/>
        <w:tblLayout w:type="fixed"/>
        <w:tblLook w:val="04A0" w:firstRow="1" w:lastRow="0" w:firstColumn="1" w:lastColumn="0" w:noHBand="0" w:noVBand="1"/>
      </w:tblPr>
      <w:tblGrid>
        <w:gridCol w:w="1715"/>
        <w:gridCol w:w="1800"/>
        <w:gridCol w:w="1800"/>
        <w:gridCol w:w="1800"/>
        <w:gridCol w:w="1800"/>
        <w:gridCol w:w="1800"/>
        <w:gridCol w:w="1800"/>
      </w:tblGrid>
      <w:tr w:rsidR="0D5B97FC" w14:paraId="723FDB01" w14:textId="77777777" w:rsidTr="5F4E7573">
        <w:tc>
          <w:tcPr>
            <w:tcW w:w="1715" w:type="dxa"/>
          </w:tcPr>
          <w:p w14:paraId="5C2E778E" w14:textId="164F216A" w:rsidR="0D5B97FC" w:rsidRDefault="0D5B97FC" w:rsidP="0009374B">
            <w:pPr>
              <w:jc w:val="center"/>
            </w:pPr>
            <w:r w:rsidRPr="0009374B">
              <w:rPr>
                <w:rFonts w:ascii="Arial" w:eastAsia="Arial" w:hAnsi="Arial" w:cs="Arial"/>
              </w:rPr>
              <w:lastRenderedPageBreak/>
              <w:t xml:space="preserve"> </w:t>
            </w:r>
          </w:p>
        </w:tc>
        <w:tc>
          <w:tcPr>
            <w:tcW w:w="1800" w:type="dxa"/>
          </w:tcPr>
          <w:p w14:paraId="1BF2695B" w14:textId="4581295F" w:rsidR="0D5B97FC" w:rsidRDefault="0D5B97FC" w:rsidP="0009374B">
            <w:pPr>
              <w:jc w:val="center"/>
            </w:pPr>
            <w:r w:rsidRPr="0009374B">
              <w:rPr>
                <w:rFonts w:ascii="Arial" w:eastAsia="Arial" w:hAnsi="Arial" w:cs="Arial"/>
              </w:rPr>
              <w:t>Acute Care Hospitals</w:t>
            </w:r>
          </w:p>
        </w:tc>
        <w:tc>
          <w:tcPr>
            <w:tcW w:w="1800" w:type="dxa"/>
          </w:tcPr>
          <w:p w14:paraId="5A26BCD7" w14:textId="43A0874F" w:rsidR="0D5B97FC" w:rsidRDefault="0D5B97FC" w:rsidP="0009374B">
            <w:pPr>
              <w:jc w:val="center"/>
            </w:pPr>
            <w:r w:rsidRPr="0009374B">
              <w:rPr>
                <w:rFonts w:ascii="Arial" w:eastAsia="Arial" w:hAnsi="Arial" w:cs="Arial"/>
              </w:rPr>
              <w:t>Critical Access Hospitals</w:t>
            </w:r>
          </w:p>
        </w:tc>
        <w:tc>
          <w:tcPr>
            <w:tcW w:w="1800" w:type="dxa"/>
          </w:tcPr>
          <w:p w14:paraId="44F4198A" w14:textId="4BFD9AFC" w:rsidR="0D5B97FC" w:rsidRDefault="0D5B97FC" w:rsidP="0009374B">
            <w:pPr>
              <w:jc w:val="center"/>
            </w:pPr>
            <w:r w:rsidRPr="0009374B">
              <w:rPr>
                <w:rFonts w:ascii="Arial" w:eastAsia="Arial" w:hAnsi="Arial" w:cs="Arial"/>
              </w:rPr>
              <w:t>Long-Term Acute Care Hospitals and Long-Term Care Facilities with Vented Patients</w:t>
            </w:r>
          </w:p>
        </w:tc>
        <w:tc>
          <w:tcPr>
            <w:tcW w:w="1800" w:type="dxa"/>
          </w:tcPr>
          <w:p w14:paraId="31BE1375" w14:textId="57465D05" w:rsidR="0D5B97FC" w:rsidRDefault="0D5B97FC" w:rsidP="0009374B">
            <w:pPr>
              <w:jc w:val="center"/>
            </w:pPr>
            <w:r w:rsidRPr="0009374B">
              <w:rPr>
                <w:rFonts w:ascii="Arial" w:eastAsia="Arial" w:hAnsi="Arial" w:cs="Arial"/>
              </w:rPr>
              <w:t>Long-Term Care Facilities</w:t>
            </w:r>
          </w:p>
        </w:tc>
        <w:tc>
          <w:tcPr>
            <w:tcW w:w="1800" w:type="dxa"/>
          </w:tcPr>
          <w:p w14:paraId="1102805D" w14:textId="0F9D09B7" w:rsidR="0D5B97FC" w:rsidRDefault="0D5B97FC" w:rsidP="0009374B">
            <w:pPr>
              <w:jc w:val="center"/>
            </w:pPr>
            <w:r w:rsidRPr="0009374B">
              <w:rPr>
                <w:rFonts w:ascii="Arial" w:eastAsia="Arial" w:hAnsi="Arial" w:cs="Arial"/>
              </w:rPr>
              <w:t>Dialysis Facilities</w:t>
            </w:r>
          </w:p>
        </w:tc>
        <w:tc>
          <w:tcPr>
            <w:tcW w:w="1800" w:type="dxa"/>
          </w:tcPr>
          <w:p w14:paraId="265634D1" w14:textId="5C20F4C6" w:rsidR="0D5B97FC" w:rsidRDefault="0D5B97FC" w:rsidP="0009374B">
            <w:pPr>
              <w:jc w:val="center"/>
            </w:pPr>
            <w:r w:rsidRPr="0009374B">
              <w:rPr>
                <w:rFonts w:ascii="Arial" w:eastAsia="Arial" w:hAnsi="Arial" w:cs="Arial"/>
              </w:rPr>
              <w:t>Outpatient and Emergency Department</w:t>
            </w:r>
          </w:p>
        </w:tc>
      </w:tr>
      <w:tr w:rsidR="00F94F57" w14:paraId="335A0572" w14:textId="77777777" w:rsidTr="5F4E7573">
        <w:tc>
          <w:tcPr>
            <w:tcW w:w="1715" w:type="dxa"/>
          </w:tcPr>
          <w:p w14:paraId="0B7409E9" w14:textId="121D2619" w:rsidR="00F94F57" w:rsidRDefault="00F94F57">
            <w:r w:rsidRPr="0009374B">
              <w:rPr>
                <w:rFonts w:ascii="Arial" w:eastAsia="Arial" w:hAnsi="Arial" w:cs="Arial"/>
                <w:color w:val="000000" w:themeColor="text1"/>
              </w:rPr>
              <w:t xml:space="preserve">Threshold for additional investigation by facility        </w:t>
            </w:r>
          </w:p>
        </w:tc>
        <w:tc>
          <w:tcPr>
            <w:tcW w:w="10800" w:type="dxa"/>
            <w:gridSpan w:val="6"/>
          </w:tcPr>
          <w:p w14:paraId="60C718C2" w14:textId="419A2DCF" w:rsidR="00F94F57" w:rsidRDefault="00F94F57">
            <w:r w:rsidRPr="0009374B">
              <w:rPr>
                <w:rFonts w:ascii="Arial" w:eastAsia="Arial" w:hAnsi="Arial" w:cs="Arial"/>
              </w:rPr>
              <w:t>1 case of extrapulmonary NTM</w:t>
            </w:r>
          </w:p>
        </w:tc>
      </w:tr>
      <w:tr w:rsidR="00F94F57" w14:paraId="32644938" w14:textId="77777777" w:rsidTr="5F4E7573">
        <w:tc>
          <w:tcPr>
            <w:tcW w:w="1715" w:type="dxa"/>
          </w:tcPr>
          <w:p w14:paraId="7D2151CA" w14:textId="7E26643A" w:rsidR="00F94F57" w:rsidRDefault="00F94F57">
            <w:r w:rsidRPr="0009374B">
              <w:rPr>
                <w:rFonts w:ascii="Arial" w:eastAsia="Arial" w:hAnsi="Arial" w:cs="Arial"/>
                <w:color w:val="000000" w:themeColor="text1"/>
              </w:rPr>
              <w:t>Threshold for reporting to public health</w:t>
            </w:r>
          </w:p>
          <w:p w14:paraId="4F23D7FA" w14:textId="084D3B66" w:rsidR="00F94F57" w:rsidRDefault="00F94F57">
            <w:r w:rsidRPr="0009374B">
              <w:rPr>
                <w:rFonts w:ascii="Arial" w:eastAsia="Arial" w:hAnsi="Arial" w:cs="Arial"/>
                <w:color w:val="000000" w:themeColor="text1"/>
              </w:rPr>
              <w:t xml:space="preserve"> </w:t>
            </w:r>
          </w:p>
        </w:tc>
        <w:tc>
          <w:tcPr>
            <w:tcW w:w="10800" w:type="dxa"/>
            <w:gridSpan w:val="6"/>
          </w:tcPr>
          <w:p w14:paraId="64E05D28" w14:textId="57E865E2" w:rsidR="00F94F57" w:rsidRDefault="5F4E7573" w:rsidP="5F4E7573">
            <w:pPr>
              <w:rPr>
                <w:rFonts w:ascii="Arial" w:eastAsia="Arial" w:hAnsi="Arial" w:cs="Arial"/>
                <w:vertAlign w:val="superscript"/>
              </w:rPr>
            </w:pPr>
            <w:r w:rsidRPr="5F4E7573">
              <w:rPr>
                <w:rFonts w:ascii="Arial" w:eastAsia="Arial" w:hAnsi="Arial" w:cs="Arial"/>
              </w:rPr>
              <w:t>1 case of extrapulmonary NTM*</w:t>
            </w:r>
          </w:p>
        </w:tc>
      </w:tr>
      <w:tr w:rsidR="00F94F57" w14:paraId="4C629B8E" w14:textId="77777777" w:rsidTr="5F4E7573">
        <w:tc>
          <w:tcPr>
            <w:tcW w:w="1715" w:type="dxa"/>
          </w:tcPr>
          <w:p w14:paraId="09B67EB6" w14:textId="55454D5E" w:rsidR="00F94F57" w:rsidRDefault="00F94F57">
            <w:r w:rsidRPr="0009374B">
              <w:rPr>
                <w:rFonts w:ascii="Arial" w:eastAsia="Arial" w:hAnsi="Arial" w:cs="Arial"/>
                <w:color w:val="000000" w:themeColor="text1"/>
              </w:rPr>
              <w:t>Outbreak definition</w:t>
            </w:r>
          </w:p>
        </w:tc>
        <w:tc>
          <w:tcPr>
            <w:tcW w:w="10800" w:type="dxa"/>
            <w:gridSpan w:val="6"/>
          </w:tcPr>
          <w:p w14:paraId="5EEEE2BD" w14:textId="4E31344B" w:rsidR="00F94F57" w:rsidRDefault="5F4E7573" w:rsidP="5F4E7573">
            <w:pPr>
              <w:rPr>
                <w:rFonts w:ascii="Arial" w:eastAsia="Arial" w:hAnsi="Arial" w:cs="Arial"/>
                <w:color w:val="000000" w:themeColor="text1"/>
              </w:rPr>
            </w:pPr>
            <w:r w:rsidRPr="5F4E7573">
              <w:rPr>
                <w:rFonts w:ascii="Arial" w:eastAsia="Arial" w:hAnsi="Arial" w:cs="Arial"/>
              </w:rPr>
              <w:t>≥2 cases of extrapulmonary NTM*</w:t>
            </w:r>
            <w:r w:rsidRPr="5F4E7573">
              <w:rPr>
                <w:rFonts w:ascii="Times New Roman" w:eastAsia="Times New Roman" w:hAnsi="Times New Roman" w:cs="Times New Roman"/>
                <w:sz w:val="16"/>
                <w:szCs w:val="16"/>
              </w:rPr>
              <w:t xml:space="preserve"> </w:t>
            </w:r>
            <w:r w:rsidRPr="5F4E7573">
              <w:rPr>
                <w:rFonts w:ascii="Arial" w:eastAsia="Arial" w:hAnsi="Arial" w:cs="Arial"/>
              </w:rPr>
              <w:t xml:space="preserve">within a one-year </w:t>
            </w:r>
            <w:proofErr w:type="gramStart"/>
            <w:r w:rsidRPr="5F4E7573">
              <w:rPr>
                <w:rFonts w:ascii="Arial" w:eastAsia="Arial" w:hAnsi="Arial" w:cs="Arial"/>
              </w:rPr>
              <w:t>period of time</w:t>
            </w:r>
            <w:proofErr w:type="gramEnd"/>
            <w:r w:rsidRPr="5F4E7573">
              <w:rPr>
                <w:rFonts w:ascii="Arial" w:eastAsia="Arial" w:hAnsi="Arial" w:cs="Arial"/>
              </w:rPr>
              <w:t xml:space="preserve"> that are epidemiologically-linked</w:t>
            </w:r>
            <w:r w:rsidRPr="5F4E7573">
              <w:rPr>
                <w:rFonts w:ascii="Arial" w:eastAsia="Arial" w:hAnsi="Arial" w:cs="Arial"/>
                <w:vertAlign w:val="superscript"/>
              </w:rPr>
              <w:t xml:space="preserve"># </w:t>
            </w:r>
          </w:p>
          <w:p w14:paraId="028051CF" w14:textId="6A966640" w:rsidR="00F94F57" w:rsidRDefault="5F4E7573" w:rsidP="5F4E7573">
            <w:pPr>
              <w:rPr>
                <w:rFonts w:ascii="Arial" w:eastAsia="Arial" w:hAnsi="Arial" w:cs="Arial"/>
              </w:rPr>
            </w:pPr>
            <w:r w:rsidRPr="5F4E7573">
              <w:rPr>
                <w:rFonts w:ascii="Arial" w:eastAsia="Arial" w:hAnsi="Arial" w:cs="Arial"/>
                <w:color w:val="000000" w:themeColor="text1"/>
              </w:rPr>
              <w:t xml:space="preserve">Multiple species of </w:t>
            </w:r>
            <w:r w:rsidRPr="5F4E7573">
              <w:rPr>
                <w:rFonts w:ascii="Arial" w:eastAsia="Arial" w:hAnsi="Arial" w:cs="Arial"/>
                <w:i/>
                <w:iCs/>
                <w:color w:val="000000" w:themeColor="text1"/>
              </w:rPr>
              <w:t>Mycobacteria</w:t>
            </w:r>
            <w:r w:rsidRPr="5F4E7573">
              <w:rPr>
                <w:rFonts w:ascii="Arial" w:eastAsia="Arial" w:hAnsi="Arial" w:cs="Arial"/>
                <w:color w:val="000000" w:themeColor="text1"/>
              </w:rPr>
              <w:t xml:space="preserve"> may be involved in the same outbreak</w:t>
            </w:r>
          </w:p>
        </w:tc>
      </w:tr>
    </w:tbl>
    <w:p w14:paraId="1F1A2CE3" w14:textId="17E124B4" w:rsidR="0D5B97FC" w:rsidRDefault="7A0E6060">
      <w:r w:rsidRPr="0009374B">
        <w:rPr>
          <w:rFonts w:ascii="Arial" w:eastAsia="Arial" w:hAnsi="Arial" w:cs="Arial"/>
        </w:rPr>
        <w:t>*</w:t>
      </w:r>
      <w:r w:rsidR="0D5B97FC" w:rsidRPr="0009374B">
        <w:rPr>
          <w:rFonts w:ascii="Arial" w:eastAsia="Arial" w:hAnsi="Arial" w:cs="Arial"/>
        </w:rPr>
        <w:t>Exclude advanced HIV with disseminated MAC.</w:t>
      </w:r>
    </w:p>
    <w:p w14:paraId="3BD281E6" w14:textId="48C84E39" w:rsidR="5F4E7573" w:rsidRDefault="5F4E7573" w:rsidP="5F4E7573">
      <w:pPr>
        <w:rPr>
          <w:rFonts w:ascii="Arial" w:eastAsia="Arial" w:hAnsi="Arial" w:cs="Arial"/>
          <w:color w:val="000000" w:themeColor="text1"/>
        </w:rPr>
      </w:pPr>
      <w:r w:rsidRPr="5F4E7573">
        <w:rPr>
          <w:rFonts w:ascii="Arial" w:eastAsia="Arial" w:hAnsi="Arial" w:cs="Arial"/>
          <w:color w:val="000000" w:themeColor="text1"/>
          <w:vertAlign w:val="superscript"/>
        </w:rPr>
        <w:t>#</w:t>
      </w:r>
      <w:r w:rsidRPr="5F4E7573">
        <w:rPr>
          <w:rFonts w:ascii="Arial" w:eastAsia="Arial" w:hAnsi="Arial" w:cs="Arial"/>
          <w:color w:val="000000" w:themeColor="text1"/>
        </w:rPr>
        <w:t xml:space="preserve">Epidemiologically-linked = Including but not limited to the following examples: shared water sources, similar surgical procedures, common medical devices or equipment, similar medications, etc. </w:t>
      </w:r>
    </w:p>
    <w:p w14:paraId="0F2CD141" w14:textId="4D0B6BC9" w:rsidR="0D5B97FC" w:rsidRDefault="0D5B97FC">
      <w:r w:rsidRPr="0009374B">
        <w:rPr>
          <w:rFonts w:ascii="Arial" w:eastAsia="Arial" w:hAnsi="Arial" w:cs="Arial"/>
          <w:b/>
          <w:bCs/>
          <w:color w:val="000000" w:themeColor="text1"/>
        </w:rPr>
        <w:t>Points for consideration:</w:t>
      </w:r>
    </w:p>
    <w:p w14:paraId="7FD65505" w14:textId="26E9B11B" w:rsidR="0D5B97FC" w:rsidRDefault="0D5B97FC" w:rsidP="0009374B">
      <w:pPr>
        <w:pStyle w:val="ListParagraph"/>
        <w:numPr>
          <w:ilvl w:val="0"/>
          <w:numId w:val="2"/>
        </w:numPr>
      </w:pPr>
      <w:r w:rsidRPr="0009374B">
        <w:rPr>
          <w:rFonts w:ascii="Arial" w:eastAsia="Arial" w:hAnsi="Arial" w:cs="Arial"/>
          <w:color w:val="000000" w:themeColor="text1"/>
        </w:rPr>
        <w:t>When a case is identified related to a facility exposure</w:t>
      </w:r>
      <w:r w:rsidR="007232F2">
        <w:rPr>
          <w:rFonts w:ascii="Arial" w:eastAsia="Arial" w:hAnsi="Arial" w:cs="Arial"/>
          <w:color w:val="000000" w:themeColor="text1"/>
        </w:rPr>
        <w:t>,</w:t>
      </w:r>
      <w:r w:rsidRPr="0009374B">
        <w:rPr>
          <w:rFonts w:ascii="Arial" w:eastAsia="Arial" w:hAnsi="Arial" w:cs="Arial"/>
          <w:color w:val="000000" w:themeColor="text1"/>
        </w:rPr>
        <w:t xml:space="preserve"> the facility should prepare </w:t>
      </w:r>
      <w:r w:rsidR="007232F2">
        <w:rPr>
          <w:rFonts w:ascii="Arial" w:eastAsia="Arial" w:hAnsi="Arial" w:cs="Arial"/>
          <w:color w:val="000000" w:themeColor="text1"/>
        </w:rPr>
        <w:t xml:space="preserve">a </w:t>
      </w:r>
      <w:r w:rsidRPr="0009374B">
        <w:rPr>
          <w:rFonts w:ascii="Arial" w:eastAsia="Arial" w:hAnsi="Arial" w:cs="Arial"/>
          <w:color w:val="000000" w:themeColor="text1"/>
        </w:rPr>
        <w:t>line list of exposures.</w:t>
      </w:r>
    </w:p>
    <w:p w14:paraId="4691EE61" w14:textId="4D94D6C0" w:rsidR="0D5B97FC" w:rsidRDefault="5F4E7573" w:rsidP="0009374B">
      <w:pPr>
        <w:pStyle w:val="ListParagraph"/>
        <w:numPr>
          <w:ilvl w:val="0"/>
          <w:numId w:val="2"/>
        </w:numPr>
      </w:pPr>
      <w:r w:rsidRPr="5F4E7573">
        <w:rPr>
          <w:rFonts w:ascii="Arial" w:eastAsia="Arial" w:hAnsi="Arial" w:cs="Arial"/>
          <w:color w:val="000000" w:themeColor="text1"/>
        </w:rPr>
        <w:t>Medical tourism should be considered as a possible source of extrapulmonary NTM and will require additional investigation and collaboration with state and/or local partners.</w:t>
      </w:r>
      <w:r w:rsidRPr="5F4E7573">
        <w:rPr>
          <w:rFonts w:ascii="Arial" w:eastAsia="Arial" w:hAnsi="Arial" w:cs="Arial"/>
          <w:color w:val="000000" w:themeColor="text1"/>
          <w:vertAlign w:val="superscript"/>
        </w:rPr>
        <w:t>6</w:t>
      </w:r>
    </w:p>
    <w:p w14:paraId="553D0C32" w14:textId="1DA90732" w:rsidR="0D5B97FC" w:rsidRDefault="5CA7F484" w:rsidP="5CA7F484">
      <w:pPr>
        <w:pStyle w:val="ListParagraph"/>
        <w:numPr>
          <w:ilvl w:val="0"/>
          <w:numId w:val="2"/>
        </w:numPr>
      </w:pPr>
      <w:r w:rsidRPr="5CA7F484">
        <w:rPr>
          <w:rFonts w:ascii="Arial" w:eastAsia="Arial" w:hAnsi="Arial" w:cs="Arial"/>
          <w:color w:val="000000" w:themeColor="text1"/>
        </w:rPr>
        <w:t>Extrapulmonary NTM infections are a cause of both sporadic and healthcare-associated infections in the United States. Outbreaks have been associated with medical devices, cosmetic procedures, contaminated parenteral medications, and medical tourism, as well as with community exposures such as tattoo parlors, nail salons, and spas</w:t>
      </w:r>
    </w:p>
    <w:p w14:paraId="17AAF330" w14:textId="2BC7EDAB" w:rsidR="0D5B97FC" w:rsidRDefault="2B6615BA" w:rsidP="0009374B">
      <w:pPr>
        <w:pStyle w:val="ListParagraph"/>
        <w:numPr>
          <w:ilvl w:val="0"/>
          <w:numId w:val="2"/>
        </w:numPr>
      </w:pPr>
      <w:r w:rsidRPr="2B6615BA">
        <w:rPr>
          <w:rFonts w:ascii="Arial" w:eastAsia="Arial" w:hAnsi="Arial" w:cs="Arial"/>
        </w:rPr>
        <w:t>Although the Council of State and Territorial Epidemiologists standardized case definition for extrapulmonary NTM includes clinical evidence of infection, the thresholds and definitions used in this document do not necessarily include clinical evidence to allow detection of potential pseudo-outbreaks.</w:t>
      </w:r>
      <w:r w:rsidRPr="2B6615BA">
        <w:rPr>
          <w:rFonts w:ascii="Arial" w:eastAsia="Arial" w:hAnsi="Arial" w:cs="Arial"/>
          <w:vertAlign w:val="superscript"/>
        </w:rPr>
        <w:t>4</w:t>
      </w:r>
      <w:r w:rsidRPr="2B6615BA">
        <w:rPr>
          <w:rFonts w:ascii="Arial" w:eastAsia="Arial" w:hAnsi="Arial" w:cs="Arial"/>
        </w:rPr>
        <w:t xml:space="preserve"> Initial thresholds for identifying extrapulmonary NTM includes lab identification only, since clinical evidence may not be known until additional facility investigation is initiated. </w:t>
      </w:r>
    </w:p>
    <w:p w14:paraId="52F26993" w14:textId="3A9401A4" w:rsidR="575B824B" w:rsidRDefault="5F4E7573" w:rsidP="5F4E7573">
      <w:pPr>
        <w:pStyle w:val="ListParagraph"/>
        <w:numPr>
          <w:ilvl w:val="0"/>
          <w:numId w:val="2"/>
        </w:numPr>
      </w:pPr>
      <w:commentRangeStart w:id="1"/>
      <w:r w:rsidRPr="5F4E7573">
        <w:rPr>
          <w:rFonts w:ascii="Arial" w:eastAsia="Arial" w:hAnsi="Arial" w:cs="Arial"/>
        </w:rPr>
        <w:t>Pediatric lymph node infections with NTM are common and typically do not require further investigation unless related to a dental surgery or invasive procedure.</w:t>
      </w:r>
      <w:r w:rsidRPr="5F4E7573">
        <w:rPr>
          <w:rFonts w:ascii="Arial" w:eastAsia="Arial" w:hAnsi="Arial" w:cs="Arial"/>
          <w:vertAlign w:val="superscript"/>
        </w:rPr>
        <w:t>3</w:t>
      </w:r>
      <w:commentRangeEnd w:id="1"/>
      <w:r w:rsidR="298BE4FC">
        <w:rPr>
          <w:rStyle w:val="CommentReference"/>
        </w:rPr>
        <w:commentReference w:id="1"/>
      </w:r>
    </w:p>
    <w:p w14:paraId="508091B8" w14:textId="0AA6533E" w:rsidR="7467266B" w:rsidRDefault="7467266B" w:rsidP="0009374B">
      <w:pPr>
        <w:pStyle w:val="ListParagraph"/>
        <w:numPr>
          <w:ilvl w:val="0"/>
          <w:numId w:val="2"/>
        </w:numPr>
      </w:pP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i/>
          <w:iCs/>
        </w:rPr>
        <w:t xml:space="preserve"> </w:t>
      </w:r>
      <w:r w:rsidRPr="0009374B">
        <w:rPr>
          <w:rFonts w:ascii="Arial" w:eastAsia="Arial" w:hAnsi="Arial" w:cs="Arial"/>
        </w:rPr>
        <w:t xml:space="preserve">is known to be a contaminant in pulmonary specimens. However, less is known about whether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is more often a pathogen versus a contaminant in extrapulmonary specimens. Rare case reports of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causing extrapulmonary disease exist.</w:t>
      </w:r>
      <w:r w:rsidR="00CC3A13">
        <w:rPr>
          <w:rFonts w:ascii="Arial" w:eastAsia="Arial" w:hAnsi="Arial" w:cs="Arial"/>
        </w:rPr>
        <w:t xml:space="preserve"> </w:t>
      </w:r>
      <w:r w:rsidRPr="0009374B">
        <w:rPr>
          <w:rFonts w:ascii="Arial" w:eastAsia="Arial" w:hAnsi="Arial" w:cs="Arial"/>
        </w:rPr>
        <w:t xml:space="preserve">Health jurisdictions may consider including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isolates from extrapulmonary sites as clinical cases </w:t>
      </w:r>
      <w:proofErr w:type="gramStart"/>
      <w:r w:rsidRPr="0009374B">
        <w:rPr>
          <w:rFonts w:ascii="Arial" w:eastAsia="Arial" w:hAnsi="Arial" w:cs="Arial"/>
        </w:rPr>
        <w:t>in order to</w:t>
      </w:r>
      <w:proofErr w:type="gramEnd"/>
      <w:r w:rsidRPr="0009374B">
        <w:rPr>
          <w:rFonts w:ascii="Arial" w:eastAsia="Arial" w:hAnsi="Arial" w:cs="Arial"/>
        </w:rPr>
        <w:t xml:space="preserve"> better understand </w:t>
      </w:r>
      <w:r w:rsidRPr="0009374B">
        <w:rPr>
          <w:rFonts w:ascii="Arial" w:eastAsia="Arial" w:hAnsi="Arial" w:cs="Arial"/>
        </w:rPr>
        <w:lastRenderedPageBreak/>
        <w:t xml:space="preserve">the clinical significance and epidemiology of these isolates. However, the benefit of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reporting in identifying outbreaks compared to the resources required to investigate these cases is unclear</w:t>
      </w:r>
      <w:r w:rsidR="7A0E6060" w:rsidRPr="0009374B">
        <w:rPr>
          <w:rFonts w:ascii="Arial" w:eastAsia="Arial" w:hAnsi="Arial" w:cs="Arial"/>
        </w:rPr>
        <w:t>.</w:t>
      </w:r>
      <w:r w:rsidR="0098003A">
        <w:rPr>
          <w:rFonts w:ascii="Arial" w:eastAsia="Arial" w:hAnsi="Arial" w:cs="Arial"/>
          <w:vertAlign w:val="superscript"/>
        </w:rPr>
        <w:t>4</w:t>
      </w:r>
    </w:p>
    <w:p w14:paraId="1E296289" w14:textId="5754359E" w:rsidR="4103A151" w:rsidRPr="0009374B" w:rsidRDefault="4103A151">
      <w:pPr>
        <w:rPr>
          <w:rFonts w:ascii="Arial" w:eastAsia="Arial" w:hAnsi="Arial" w:cs="Arial"/>
          <w:b/>
          <w:bCs/>
          <w:color w:val="000000" w:themeColor="text1"/>
        </w:rPr>
      </w:pPr>
    </w:p>
    <w:p w14:paraId="2C8D18DE" w14:textId="73B453A4" w:rsidR="0D5B97FC" w:rsidRDefault="0D5B97FC">
      <w:r w:rsidRPr="0009374B">
        <w:rPr>
          <w:rFonts w:ascii="Arial" w:eastAsia="Arial" w:hAnsi="Arial" w:cs="Arial"/>
          <w:b/>
          <w:bCs/>
        </w:rPr>
        <w:t>References:</w:t>
      </w:r>
    </w:p>
    <w:p w14:paraId="6E17FA27" w14:textId="5B9A2061" w:rsidR="0007218D" w:rsidRPr="0007218D" w:rsidRDefault="0007218D" w:rsidP="0007218D">
      <w:pPr>
        <w:pStyle w:val="ListParagraph"/>
        <w:numPr>
          <w:ilvl w:val="0"/>
          <w:numId w:val="32"/>
        </w:numPr>
      </w:pPr>
      <w:proofErr w:type="spellStart"/>
      <w:r w:rsidRPr="0007218D">
        <w:rPr>
          <w:rFonts w:ascii="Arial" w:eastAsia="Arial" w:hAnsi="Arial" w:cs="Arial"/>
          <w:color w:val="000000" w:themeColor="text1"/>
        </w:rPr>
        <w:t>Piersimon</w:t>
      </w:r>
      <w:proofErr w:type="spellEnd"/>
      <w:r w:rsidRPr="0007218D">
        <w:rPr>
          <w:rFonts w:ascii="Arial" w:eastAsia="Arial" w:hAnsi="Arial" w:cs="Arial"/>
          <w:color w:val="000000" w:themeColor="text1"/>
        </w:rPr>
        <w:t xml:space="preserve"> C, </w:t>
      </w:r>
      <w:proofErr w:type="spellStart"/>
      <w:r w:rsidRPr="0007218D">
        <w:rPr>
          <w:rFonts w:ascii="Arial" w:eastAsia="Arial" w:hAnsi="Arial" w:cs="Arial"/>
          <w:color w:val="000000" w:themeColor="text1"/>
        </w:rPr>
        <w:t>Scarparo</w:t>
      </w:r>
      <w:proofErr w:type="spellEnd"/>
      <w:r w:rsidRPr="0007218D">
        <w:rPr>
          <w:rFonts w:ascii="Arial" w:eastAsia="Arial" w:hAnsi="Arial" w:cs="Arial"/>
          <w:color w:val="000000" w:themeColor="text1"/>
        </w:rPr>
        <w:t xml:space="preserve"> C. </w:t>
      </w:r>
      <w:r w:rsidRPr="0007218D">
        <w:rPr>
          <w:rFonts w:ascii="Arial" w:eastAsia="Arial" w:hAnsi="Arial" w:cs="Arial"/>
          <w:color w:val="000000" w:themeColor="text1"/>
          <w:lang w:val="en"/>
        </w:rPr>
        <w:t xml:space="preserve">Extrapulmonary Infections Associated with Nontuberculous Mycobacteria in Immunocompetent Persons. </w:t>
      </w:r>
      <w:proofErr w:type="spellStart"/>
      <w:r w:rsidRPr="0007218D">
        <w:rPr>
          <w:rFonts w:ascii="Arial" w:eastAsia="Arial" w:hAnsi="Arial" w:cs="Arial"/>
          <w:i/>
          <w:iCs/>
          <w:color w:val="000000" w:themeColor="text1"/>
          <w:lang w:val="en"/>
        </w:rPr>
        <w:t>Emerg</w:t>
      </w:r>
      <w:proofErr w:type="spellEnd"/>
      <w:r w:rsidRPr="0007218D">
        <w:rPr>
          <w:rFonts w:ascii="Arial" w:eastAsia="Arial" w:hAnsi="Arial" w:cs="Arial"/>
          <w:i/>
          <w:iCs/>
          <w:color w:val="000000" w:themeColor="text1"/>
          <w:lang w:val="en"/>
        </w:rPr>
        <w:t xml:space="preserve"> Infect Dis </w:t>
      </w:r>
      <w:r w:rsidR="00D34C2E">
        <w:rPr>
          <w:rFonts w:ascii="Arial" w:eastAsia="Arial" w:hAnsi="Arial" w:cs="Arial"/>
          <w:color w:val="000000" w:themeColor="text1"/>
          <w:lang w:val="en"/>
        </w:rPr>
        <w:t>2009; 15:1351-</w:t>
      </w:r>
      <w:r w:rsidRPr="0007218D">
        <w:rPr>
          <w:rFonts w:ascii="Arial" w:eastAsia="Arial" w:hAnsi="Arial" w:cs="Arial"/>
          <w:color w:val="000000" w:themeColor="text1"/>
          <w:lang w:val="en"/>
        </w:rPr>
        <w:t>8.</w:t>
      </w:r>
    </w:p>
    <w:p w14:paraId="00230827" w14:textId="4E2D3FB4" w:rsidR="0D5B97FC" w:rsidRPr="0007218D" w:rsidRDefault="0D5B97FC" w:rsidP="0007218D">
      <w:pPr>
        <w:pStyle w:val="ListParagraph"/>
        <w:numPr>
          <w:ilvl w:val="0"/>
          <w:numId w:val="32"/>
        </w:numPr>
      </w:pPr>
      <w:proofErr w:type="spellStart"/>
      <w:r w:rsidRPr="0007218D">
        <w:rPr>
          <w:rFonts w:ascii="Arial" w:eastAsia="Arial" w:hAnsi="Arial" w:cs="Arial"/>
          <w:color w:val="000000" w:themeColor="text1"/>
        </w:rPr>
        <w:t>Ruegg</w:t>
      </w:r>
      <w:proofErr w:type="spellEnd"/>
      <w:r w:rsidRPr="0007218D">
        <w:rPr>
          <w:rFonts w:ascii="Arial" w:eastAsia="Arial" w:hAnsi="Arial" w:cs="Arial"/>
          <w:color w:val="000000" w:themeColor="text1"/>
        </w:rPr>
        <w:t xml:space="preserve"> E, </w:t>
      </w:r>
      <w:proofErr w:type="spellStart"/>
      <w:r w:rsidRPr="0007218D">
        <w:rPr>
          <w:rFonts w:ascii="Arial" w:eastAsia="Arial" w:hAnsi="Arial" w:cs="Arial"/>
          <w:color w:val="000000" w:themeColor="text1"/>
        </w:rPr>
        <w:t>Cheretakis</w:t>
      </w:r>
      <w:proofErr w:type="spellEnd"/>
      <w:r w:rsidRPr="0007218D">
        <w:rPr>
          <w:rFonts w:ascii="Arial" w:eastAsia="Arial" w:hAnsi="Arial" w:cs="Arial"/>
          <w:color w:val="000000" w:themeColor="text1"/>
        </w:rPr>
        <w:t xml:space="preserve"> A, </w:t>
      </w:r>
      <w:proofErr w:type="spellStart"/>
      <w:r w:rsidRPr="0007218D">
        <w:rPr>
          <w:rFonts w:ascii="Arial" w:eastAsia="Arial" w:hAnsi="Arial" w:cs="Arial"/>
          <w:color w:val="000000" w:themeColor="text1"/>
        </w:rPr>
        <w:t>Modarress</w:t>
      </w:r>
      <w:proofErr w:type="spellEnd"/>
      <w:r w:rsidRPr="0007218D">
        <w:rPr>
          <w:rFonts w:ascii="Arial" w:eastAsia="Arial" w:hAnsi="Arial" w:cs="Arial"/>
          <w:color w:val="000000" w:themeColor="text1"/>
        </w:rPr>
        <w:t xml:space="preserve"> A, </w:t>
      </w:r>
      <w:proofErr w:type="spellStart"/>
      <w:r w:rsidRPr="0007218D">
        <w:rPr>
          <w:rFonts w:ascii="Arial" w:eastAsia="Arial" w:hAnsi="Arial" w:cs="Arial"/>
          <w:color w:val="000000" w:themeColor="text1"/>
        </w:rPr>
        <w:t>Harbarth</w:t>
      </w:r>
      <w:proofErr w:type="spellEnd"/>
      <w:r w:rsidRPr="0007218D">
        <w:rPr>
          <w:rFonts w:ascii="Arial" w:eastAsia="Arial" w:hAnsi="Arial" w:cs="Arial"/>
          <w:color w:val="000000" w:themeColor="text1"/>
        </w:rPr>
        <w:t xml:space="preserve"> S, </w:t>
      </w:r>
      <w:proofErr w:type="spellStart"/>
      <w:r w:rsidRPr="0007218D">
        <w:rPr>
          <w:rFonts w:ascii="Arial" w:eastAsia="Arial" w:hAnsi="Arial" w:cs="Arial"/>
          <w:color w:val="000000" w:themeColor="text1"/>
        </w:rPr>
        <w:t>Pittet-Cuenod</w:t>
      </w:r>
      <w:proofErr w:type="spellEnd"/>
      <w:r w:rsidRPr="0007218D">
        <w:rPr>
          <w:rFonts w:ascii="Arial" w:eastAsia="Arial" w:hAnsi="Arial" w:cs="Arial"/>
          <w:color w:val="000000" w:themeColor="text1"/>
        </w:rPr>
        <w:t xml:space="preserve"> B. Multistate infection with </w:t>
      </w:r>
      <w:r w:rsidRPr="0007218D">
        <w:rPr>
          <w:rFonts w:ascii="Arial" w:eastAsia="Arial" w:hAnsi="Arial" w:cs="Arial"/>
          <w:i/>
          <w:iCs/>
          <w:color w:val="000000" w:themeColor="text1"/>
        </w:rPr>
        <w:t xml:space="preserve">Mycobacterium </w:t>
      </w:r>
      <w:proofErr w:type="spellStart"/>
      <w:r w:rsidRPr="0007218D">
        <w:rPr>
          <w:rFonts w:ascii="Arial" w:eastAsia="Arial" w:hAnsi="Arial" w:cs="Arial"/>
          <w:i/>
          <w:iCs/>
          <w:color w:val="000000" w:themeColor="text1"/>
        </w:rPr>
        <w:t>abscessus</w:t>
      </w:r>
      <w:proofErr w:type="spellEnd"/>
      <w:r w:rsidRPr="0007218D">
        <w:rPr>
          <w:rFonts w:ascii="Arial" w:eastAsia="Arial" w:hAnsi="Arial" w:cs="Arial"/>
          <w:i/>
          <w:iCs/>
        </w:rPr>
        <w:t xml:space="preserve"> </w:t>
      </w:r>
      <w:r w:rsidRPr="0007218D">
        <w:rPr>
          <w:rFonts w:ascii="Arial" w:eastAsia="Arial" w:hAnsi="Arial" w:cs="Arial"/>
        </w:rPr>
        <w:t xml:space="preserve">after replacement of breast implants and gluteal lipofilling. </w:t>
      </w:r>
      <w:r w:rsidRPr="0007218D">
        <w:rPr>
          <w:rFonts w:ascii="Arial" w:eastAsia="Arial" w:hAnsi="Arial" w:cs="Arial"/>
          <w:i/>
          <w:iCs/>
        </w:rPr>
        <w:t>Case Rep Infect Dis</w:t>
      </w:r>
      <w:r w:rsidRPr="0007218D">
        <w:rPr>
          <w:rFonts w:ascii="Arial" w:eastAsia="Arial" w:hAnsi="Arial" w:cs="Arial"/>
        </w:rPr>
        <w:t xml:space="preserve"> 2015; 361: </w:t>
      </w:r>
      <w:proofErr w:type="spellStart"/>
      <w:r w:rsidRPr="0007218D">
        <w:rPr>
          <w:rFonts w:ascii="Arial" w:eastAsia="Arial" w:hAnsi="Arial" w:cs="Arial"/>
        </w:rPr>
        <w:t>Epub</w:t>
      </w:r>
      <w:proofErr w:type="spellEnd"/>
      <w:r w:rsidRPr="0007218D">
        <w:rPr>
          <w:rFonts w:ascii="Arial" w:eastAsia="Arial" w:hAnsi="Arial" w:cs="Arial"/>
        </w:rPr>
        <w:t xml:space="preserve"> 2015 Mar 29.</w:t>
      </w:r>
    </w:p>
    <w:p w14:paraId="4A8D3227" w14:textId="77777777" w:rsidR="0007218D" w:rsidRPr="0007218D" w:rsidRDefault="0007218D" w:rsidP="0007218D">
      <w:pPr>
        <w:pStyle w:val="ListParagraph"/>
        <w:numPr>
          <w:ilvl w:val="0"/>
          <w:numId w:val="32"/>
        </w:numPr>
        <w:rPr>
          <w:rFonts w:ascii="Arial" w:eastAsia="Arial" w:hAnsi="Arial" w:cs="Arial"/>
          <w:color w:val="000000" w:themeColor="text1"/>
        </w:rPr>
      </w:pPr>
      <w:r w:rsidRPr="0007218D">
        <w:rPr>
          <w:rFonts w:ascii="Arial" w:eastAsia="Arial" w:hAnsi="Arial" w:cs="Arial"/>
          <w:color w:val="000000" w:themeColor="text1"/>
        </w:rPr>
        <w:t xml:space="preserve">Peralta G, Tobin-D’Angelo M, Parham A, et al. Notes from the Field: </w:t>
      </w:r>
      <w:r w:rsidRPr="001048CC">
        <w:rPr>
          <w:rFonts w:ascii="Arial" w:eastAsia="Arial" w:hAnsi="Arial" w:cs="Arial"/>
          <w:i/>
          <w:color w:val="000000" w:themeColor="text1"/>
        </w:rPr>
        <w:t xml:space="preserve">Mycobacterium </w:t>
      </w:r>
      <w:proofErr w:type="spellStart"/>
      <w:r w:rsidRPr="001048CC">
        <w:rPr>
          <w:rFonts w:ascii="Arial" w:eastAsia="Arial" w:hAnsi="Arial" w:cs="Arial"/>
          <w:i/>
          <w:color w:val="000000" w:themeColor="text1"/>
        </w:rPr>
        <w:t>abscessus</w:t>
      </w:r>
      <w:proofErr w:type="spellEnd"/>
      <w:r w:rsidRPr="0007218D">
        <w:rPr>
          <w:rFonts w:ascii="Arial" w:eastAsia="Arial" w:hAnsi="Arial" w:cs="Arial"/>
          <w:color w:val="000000" w:themeColor="text1"/>
        </w:rPr>
        <w:t xml:space="preserve"> infections among patients of a pediatric dentistry practice – Georgia, 2015. </w:t>
      </w:r>
      <w:proofErr w:type="spellStart"/>
      <w:r w:rsidRPr="0007218D">
        <w:rPr>
          <w:rFonts w:ascii="Arial" w:eastAsia="Arial" w:hAnsi="Arial" w:cs="Arial"/>
          <w:i/>
          <w:color w:val="000000" w:themeColor="text1"/>
        </w:rPr>
        <w:t>Morb</w:t>
      </w:r>
      <w:proofErr w:type="spellEnd"/>
      <w:r w:rsidRPr="0007218D">
        <w:rPr>
          <w:rFonts w:ascii="Arial" w:eastAsia="Arial" w:hAnsi="Arial" w:cs="Arial"/>
          <w:i/>
          <w:color w:val="000000" w:themeColor="text1"/>
        </w:rPr>
        <w:t xml:space="preserve"> Mortal </w:t>
      </w:r>
      <w:proofErr w:type="spellStart"/>
      <w:r w:rsidRPr="0007218D">
        <w:rPr>
          <w:rFonts w:ascii="Arial" w:eastAsia="Arial" w:hAnsi="Arial" w:cs="Arial"/>
          <w:i/>
          <w:color w:val="000000" w:themeColor="text1"/>
        </w:rPr>
        <w:t>Wkly</w:t>
      </w:r>
      <w:proofErr w:type="spellEnd"/>
      <w:r w:rsidRPr="0007218D">
        <w:rPr>
          <w:rFonts w:ascii="Arial" w:eastAsia="Arial" w:hAnsi="Arial" w:cs="Arial"/>
          <w:i/>
          <w:color w:val="000000" w:themeColor="text1"/>
        </w:rPr>
        <w:t xml:space="preserve"> Rep</w:t>
      </w:r>
      <w:r w:rsidRPr="0007218D">
        <w:rPr>
          <w:rFonts w:ascii="Arial" w:eastAsia="Arial" w:hAnsi="Arial" w:cs="Arial"/>
          <w:color w:val="000000" w:themeColor="text1"/>
        </w:rPr>
        <w:t xml:space="preserve"> 2016; 65:355-6. </w:t>
      </w:r>
    </w:p>
    <w:p w14:paraId="42C81F1A" w14:textId="71BCD172" w:rsidR="005D4785" w:rsidRDefault="0D5B97FC" w:rsidP="0007218D">
      <w:pPr>
        <w:pStyle w:val="ListParagraph"/>
        <w:numPr>
          <w:ilvl w:val="0"/>
          <w:numId w:val="32"/>
        </w:numPr>
        <w:rPr>
          <w:rFonts w:ascii="Arial" w:eastAsia="Arial" w:hAnsi="Arial" w:cs="Arial"/>
          <w:bCs/>
          <w:color w:val="000000" w:themeColor="text1"/>
        </w:rPr>
      </w:pPr>
      <w:r w:rsidRPr="0007218D">
        <w:rPr>
          <w:rFonts w:ascii="Arial" w:eastAsia="Arial" w:hAnsi="Arial" w:cs="Arial"/>
          <w:color w:val="000000" w:themeColor="text1"/>
        </w:rPr>
        <w:t xml:space="preserve">Bancroft J, Shih DS, Cassidy MP, </w:t>
      </w:r>
      <w:proofErr w:type="spellStart"/>
      <w:r w:rsidRPr="0007218D">
        <w:rPr>
          <w:rFonts w:ascii="Arial" w:eastAsia="Arial" w:hAnsi="Arial" w:cs="Arial"/>
          <w:color w:val="000000" w:themeColor="text1"/>
        </w:rPr>
        <w:t>Cieslak</w:t>
      </w:r>
      <w:proofErr w:type="spellEnd"/>
      <w:r w:rsidRPr="0007218D">
        <w:rPr>
          <w:rFonts w:ascii="Arial" w:eastAsia="Arial" w:hAnsi="Arial" w:cs="Arial"/>
          <w:color w:val="000000" w:themeColor="text1"/>
        </w:rPr>
        <w:t xml:space="preserve"> P, </w:t>
      </w:r>
      <w:proofErr w:type="spellStart"/>
      <w:r w:rsidRPr="0007218D">
        <w:rPr>
          <w:rFonts w:ascii="Arial" w:eastAsia="Arial" w:hAnsi="Arial" w:cs="Arial"/>
          <w:color w:val="000000" w:themeColor="text1"/>
        </w:rPr>
        <w:t>Beldavs</w:t>
      </w:r>
      <w:proofErr w:type="spellEnd"/>
      <w:r w:rsidRPr="0007218D">
        <w:rPr>
          <w:rFonts w:ascii="Arial" w:eastAsia="Arial" w:hAnsi="Arial" w:cs="Arial"/>
          <w:color w:val="000000" w:themeColor="text1"/>
        </w:rPr>
        <w:t xml:space="preserve"> Z, Zane S, et al. Council of State and Territorial Epidemiologists Position statement 17-ID-07: Standardized case definition of extrapulmonary nontuberculous </w:t>
      </w:r>
      <w:r w:rsidR="001048CC">
        <w:rPr>
          <w:rFonts w:ascii="Arial" w:eastAsia="Arial" w:hAnsi="Arial" w:cs="Arial"/>
          <w:iCs/>
          <w:color w:val="000000" w:themeColor="text1"/>
        </w:rPr>
        <w:t xml:space="preserve">mycobacteria </w:t>
      </w:r>
      <w:r w:rsidRPr="0007218D">
        <w:rPr>
          <w:rFonts w:ascii="Arial" w:eastAsia="Arial" w:hAnsi="Arial" w:cs="Arial"/>
          <w:color w:val="000000" w:themeColor="text1"/>
        </w:rPr>
        <w:t>infections. Atlanta, GA: Council of State and Territorial Epidemiologists; 2017.</w:t>
      </w:r>
      <w:r w:rsidRPr="0007218D">
        <w:rPr>
          <w:rFonts w:ascii="Arial" w:eastAsia="Arial" w:hAnsi="Arial" w:cs="Arial"/>
          <w:bCs/>
          <w:color w:val="000000" w:themeColor="text1"/>
        </w:rPr>
        <w:t xml:space="preserve"> </w:t>
      </w:r>
    </w:p>
    <w:p w14:paraId="553E7CCE" w14:textId="5FB7314D" w:rsidR="00D34C2E" w:rsidRDefault="00D34C2E" w:rsidP="0007218D">
      <w:pPr>
        <w:pStyle w:val="ListParagraph"/>
        <w:numPr>
          <w:ilvl w:val="0"/>
          <w:numId w:val="32"/>
        </w:numPr>
        <w:rPr>
          <w:rFonts w:ascii="Arial" w:eastAsia="Arial" w:hAnsi="Arial" w:cs="Arial"/>
          <w:bCs/>
          <w:color w:val="000000" w:themeColor="text1"/>
        </w:rPr>
      </w:pPr>
      <w:r>
        <w:rPr>
          <w:rFonts w:ascii="Arial" w:eastAsia="Arial" w:hAnsi="Arial" w:cs="Arial"/>
          <w:bCs/>
          <w:color w:val="000000" w:themeColor="text1"/>
        </w:rPr>
        <w:t xml:space="preserve">Shih DC, Cassidy PM, Perkins KM, Crist MB, </w:t>
      </w:r>
      <w:proofErr w:type="spellStart"/>
      <w:r>
        <w:rPr>
          <w:rFonts w:ascii="Arial" w:eastAsia="Arial" w:hAnsi="Arial" w:cs="Arial"/>
          <w:bCs/>
          <w:color w:val="000000" w:themeColor="text1"/>
        </w:rPr>
        <w:t>Cieslak</w:t>
      </w:r>
      <w:proofErr w:type="spellEnd"/>
      <w:r>
        <w:rPr>
          <w:rFonts w:ascii="Arial" w:eastAsia="Arial" w:hAnsi="Arial" w:cs="Arial"/>
          <w:bCs/>
          <w:color w:val="000000" w:themeColor="text1"/>
        </w:rPr>
        <w:t xml:space="preserve"> PR, Leman RL. Extrapulmonary nontuberculous mycobacterial disease surveillance – Oregon, 2014-2016. </w:t>
      </w:r>
      <w:proofErr w:type="spellStart"/>
      <w:r>
        <w:rPr>
          <w:rFonts w:ascii="Arial" w:eastAsia="Arial" w:hAnsi="Arial" w:cs="Arial"/>
          <w:bCs/>
          <w:i/>
          <w:color w:val="000000" w:themeColor="text1"/>
        </w:rPr>
        <w:t>Morb</w:t>
      </w:r>
      <w:proofErr w:type="spellEnd"/>
      <w:r>
        <w:rPr>
          <w:rFonts w:ascii="Arial" w:eastAsia="Arial" w:hAnsi="Arial" w:cs="Arial"/>
          <w:bCs/>
          <w:i/>
          <w:color w:val="000000" w:themeColor="text1"/>
        </w:rPr>
        <w:t xml:space="preserve"> Mortal </w:t>
      </w:r>
      <w:proofErr w:type="spellStart"/>
      <w:r>
        <w:rPr>
          <w:rFonts w:ascii="Arial" w:eastAsia="Arial" w:hAnsi="Arial" w:cs="Arial"/>
          <w:bCs/>
          <w:i/>
          <w:color w:val="000000" w:themeColor="text1"/>
        </w:rPr>
        <w:t>Wkly</w:t>
      </w:r>
      <w:proofErr w:type="spellEnd"/>
      <w:r>
        <w:rPr>
          <w:rFonts w:ascii="Arial" w:eastAsia="Arial" w:hAnsi="Arial" w:cs="Arial"/>
          <w:bCs/>
          <w:i/>
          <w:color w:val="000000" w:themeColor="text1"/>
        </w:rPr>
        <w:t xml:space="preserve"> Rep</w:t>
      </w:r>
      <w:r>
        <w:rPr>
          <w:rFonts w:ascii="Arial" w:eastAsia="Arial" w:hAnsi="Arial" w:cs="Arial"/>
          <w:bCs/>
          <w:color w:val="000000" w:themeColor="text1"/>
        </w:rPr>
        <w:t xml:space="preserve"> 2018; 67:854-7.</w:t>
      </w:r>
    </w:p>
    <w:p w14:paraId="361F0F56" w14:textId="298E5ACF" w:rsidR="00C94B17" w:rsidRPr="0007218D" w:rsidRDefault="00C94B17" w:rsidP="0007218D">
      <w:pPr>
        <w:pStyle w:val="ListParagraph"/>
        <w:numPr>
          <w:ilvl w:val="0"/>
          <w:numId w:val="32"/>
        </w:numPr>
        <w:rPr>
          <w:rFonts w:ascii="Arial" w:eastAsia="Arial" w:hAnsi="Arial" w:cs="Arial"/>
          <w:bCs/>
          <w:color w:val="000000" w:themeColor="text1"/>
        </w:rPr>
      </w:pPr>
      <w:r>
        <w:rPr>
          <w:rFonts w:ascii="Arial" w:eastAsia="Arial" w:hAnsi="Arial" w:cs="Arial"/>
          <w:bCs/>
          <w:color w:val="000000" w:themeColor="text1"/>
        </w:rPr>
        <w:t xml:space="preserve">Gaines J, </w:t>
      </w:r>
      <w:proofErr w:type="spellStart"/>
      <w:r>
        <w:rPr>
          <w:rFonts w:ascii="Arial" w:eastAsia="Arial" w:hAnsi="Arial" w:cs="Arial"/>
          <w:bCs/>
          <w:color w:val="000000" w:themeColor="text1"/>
        </w:rPr>
        <w:t>Poy</w:t>
      </w:r>
      <w:proofErr w:type="spellEnd"/>
      <w:r>
        <w:rPr>
          <w:rFonts w:ascii="Arial" w:eastAsia="Arial" w:hAnsi="Arial" w:cs="Arial"/>
          <w:bCs/>
          <w:color w:val="000000" w:themeColor="text1"/>
        </w:rPr>
        <w:t xml:space="preserve"> J, Musser KA, et al. Notes from the Field: Nontuberculous mycobacteria infections in U.S. medical tourists associated with plastic surgery – Dominican Republic, 2017. </w:t>
      </w:r>
      <w:proofErr w:type="spellStart"/>
      <w:r>
        <w:rPr>
          <w:rFonts w:ascii="Arial" w:eastAsia="Arial" w:hAnsi="Arial" w:cs="Arial"/>
          <w:bCs/>
          <w:i/>
          <w:color w:val="000000" w:themeColor="text1"/>
        </w:rPr>
        <w:t>Morb</w:t>
      </w:r>
      <w:proofErr w:type="spellEnd"/>
      <w:r>
        <w:rPr>
          <w:rFonts w:ascii="Arial" w:eastAsia="Arial" w:hAnsi="Arial" w:cs="Arial"/>
          <w:bCs/>
          <w:i/>
          <w:color w:val="000000" w:themeColor="text1"/>
        </w:rPr>
        <w:t xml:space="preserve"> Mortal </w:t>
      </w:r>
      <w:proofErr w:type="spellStart"/>
      <w:r>
        <w:rPr>
          <w:rFonts w:ascii="Arial" w:eastAsia="Arial" w:hAnsi="Arial" w:cs="Arial"/>
          <w:bCs/>
          <w:i/>
          <w:color w:val="000000" w:themeColor="text1"/>
        </w:rPr>
        <w:t>Wkly</w:t>
      </w:r>
      <w:proofErr w:type="spellEnd"/>
      <w:r>
        <w:rPr>
          <w:rFonts w:ascii="Arial" w:eastAsia="Arial" w:hAnsi="Arial" w:cs="Arial"/>
          <w:bCs/>
          <w:i/>
          <w:color w:val="000000" w:themeColor="text1"/>
        </w:rPr>
        <w:t xml:space="preserve"> Rep</w:t>
      </w:r>
      <w:r>
        <w:rPr>
          <w:rFonts w:ascii="Arial" w:eastAsia="Arial" w:hAnsi="Arial" w:cs="Arial"/>
          <w:bCs/>
          <w:color w:val="000000" w:themeColor="text1"/>
        </w:rPr>
        <w:t xml:space="preserve"> 2018; 67:369-70.</w:t>
      </w:r>
    </w:p>
    <w:p w14:paraId="14067AC9" w14:textId="71AF73DB" w:rsidR="004C4D79" w:rsidRDefault="009E0A06" w:rsidP="0009374B">
      <w:pPr>
        <w:rPr>
          <w:rFonts w:ascii="Arial" w:eastAsia="Arial" w:hAnsi="Arial" w:cs="Arial"/>
          <w:color w:val="000000" w:themeColor="text1"/>
          <w:lang w:val="en"/>
        </w:rPr>
      </w:pPr>
      <w:r>
        <w:rPr>
          <w:rFonts w:ascii="Arial" w:eastAsia="Arial" w:hAnsi="Arial" w:cs="Arial"/>
          <w:b/>
          <w:color w:val="000000" w:themeColor="text1"/>
          <w:lang w:val="en"/>
        </w:rPr>
        <w:t>Other Resources:</w:t>
      </w:r>
    </w:p>
    <w:p w14:paraId="72FC86ED" w14:textId="18F4A6FE" w:rsidR="009E0A06" w:rsidRPr="009E0A06" w:rsidRDefault="00ED63C8" w:rsidP="0009374B">
      <w:pPr>
        <w:rPr>
          <w:rFonts w:ascii="Arial" w:eastAsia="Arial" w:hAnsi="Arial" w:cs="Arial"/>
          <w:color w:val="000000" w:themeColor="text1"/>
          <w:lang w:val="en"/>
        </w:rPr>
      </w:pPr>
      <w:r>
        <w:rPr>
          <w:rFonts w:ascii="Arial" w:eastAsia="Arial" w:hAnsi="Arial" w:cs="Arial"/>
          <w:color w:val="000000" w:themeColor="text1"/>
          <w:lang w:val="en"/>
        </w:rPr>
        <w:t xml:space="preserve">Oregon Health Authority. Extrapulmonary nontuberculous mycobacterium (NTM) Investigative Guidelines. December 2017. </w:t>
      </w:r>
      <w:hyperlink r:id="rId11" w:history="1">
        <w:r w:rsidRPr="00F15C95">
          <w:rPr>
            <w:rStyle w:val="Hyperlink"/>
            <w:rFonts w:ascii="Arial" w:eastAsia="Arial" w:hAnsi="Arial" w:cs="Arial"/>
            <w:lang w:val="en"/>
          </w:rPr>
          <w:t>https://www.oregon.gov/oha/PH/DISEASESCONDITIONS/COMMUNICABLEDISEASE/REPORTINGCOMMUNICABLEDISEASE/REPORTINGGUIDELINES/Documents/ntm.pdf</w:t>
        </w:r>
      </w:hyperlink>
      <w:r>
        <w:rPr>
          <w:rFonts w:ascii="Arial" w:eastAsia="Arial" w:hAnsi="Arial" w:cs="Arial"/>
          <w:color w:val="000000" w:themeColor="text1"/>
          <w:lang w:val="en"/>
        </w:rPr>
        <w:t xml:space="preserve">. </w:t>
      </w:r>
    </w:p>
    <w:sectPr w:rsidR="009E0A06" w:rsidRPr="009E0A06" w:rsidSect="00536B1D">
      <w:headerReference w:type="even" r:id="rId12"/>
      <w:headerReference w:type="default" r:id="rId13"/>
      <w:footerReference w:type="even" r:id="rId14"/>
      <w:footerReference w:type="default" r:id="rId15"/>
      <w:headerReference w:type="first" r:id="rId16"/>
      <w:footerReference w:type="first" r:id="rId17"/>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Guest User" w:date="2019-03-06T13:51:00Z" w:initials="GU">
    <w:p w14:paraId="6B6787A4" w14:textId="4E418139" w:rsidR="5F4E7573" w:rsidRDefault="5F4E7573">
      <w:pPr>
        <w:pStyle w:val="CommentText"/>
      </w:pPr>
      <w:r>
        <w:t>This is something workgroup B should address, and we might consider removing this from workgroup A product once combined. - Wendy</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6787A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6787A4" w16cid:durableId="394D00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94976" w14:textId="77777777" w:rsidR="000903CA" w:rsidRDefault="000903CA" w:rsidP="00A1502B">
      <w:pPr>
        <w:spacing w:after="0" w:line="240" w:lineRule="auto"/>
      </w:pPr>
      <w:r>
        <w:separator/>
      </w:r>
    </w:p>
  </w:endnote>
  <w:endnote w:type="continuationSeparator" w:id="0">
    <w:p w14:paraId="1AD8EAB0" w14:textId="77777777" w:rsidR="000903CA" w:rsidRDefault="000903CA" w:rsidP="00A1502B">
      <w:pPr>
        <w:spacing w:after="0" w:line="240" w:lineRule="auto"/>
      </w:pPr>
      <w:r>
        <w:continuationSeparator/>
      </w:r>
    </w:p>
  </w:endnote>
  <w:endnote w:type="continuationNotice" w:id="1">
    <w:p w14:paraId="155D47BC" w14:textId="77777777" w:rsidR="000903CA" w:rsidRDefault="000903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A42AE" w14:textId="77777777" w:rsidR="00D34C2E" w:rsidRDefault="00D34C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70459" w14:textId="77777777" w:rsidR="00D34C2E" w:rsidRDefault="00D34C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B1133" w14:textId="77777777" w:rsidR="00D34C2E" w:rsidRDefault="00D34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23228" w14:textId="77777777" w:rsidR="000903CA" w:rsidRDefault="000903CA" w:rsidP="00A1502B">
      <w:pPr>
        <w:spacing w:after="0" w:line="240" w:lineRule="auto"/>
      </w:pPr>
      <w:r>
        <w:separator/>
      </w:r>
    </w:p>
  </w:footnote>
  <w:footnote w:type="continuationSeparator" w:id="0">
    <w:p w14:paraId="5BF2BF4C" w14:textId="77777777" w:rsidR="000903CA" w:rsidRDefault="000903CA" w:rsidP="00A1502B">
      <w:pPr>
        <w:spacing w:after="0" w:line="240" w:lineRule="auto"/>
      </w:pPr>
      <w:r>
        <w:continuationSeparator/>
      </w:r>
    </w:p>
  </w:footnote>
  <w:footnote w:type="continuationNotice" w:id="1">
    <w:p w14:paraId="7A35782A" w14:textId="77777777" w:rsidR="000903CA" w:rsidRDefault="000903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2C430" w14:textId="77777777" w:rsidR="00D34C2E" w:rsidRDefault="00D34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1364796"/>
      <w:docPartObj>
        <w:docPartGallery w:val="Watermarks"/>
        <w:docPartUnique/>
      </w:docPartObj>
    </w:sdtPr>
    <w:sdtEndPr/>
    <w:sdtContent>
      <w:p w14:paraId="4E8FF822" w14:textId="77777777" w:rsidR="00D34C2E" w:rsidRDefault="000903CA">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2601" w14:textId="77777777" w:rsidR="00D34C2E" w:rsidRDefault="00D34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6048FB"/>
    <w:multiLevelType w:val="hybridMultilevel"/>
    <w:tmpl w:val="3C54EC2E"/>
    <w:lvl w:ilvl="0" w:tplc="5D3A0196">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2" w15:restartNumberingAfterBreak="0">
    <w:nsid w:val="105F4E6D"/>
    <w:multiLevelType w:val="hybridMultilevel"/>
    <w:tmpl w:val="DE4E0830"/>
    <w:lvl w:ilvl="0" w:tplc="6B0C195A">
      <w:start w:val="1"/>
      <w:numFmt w:val="bullet"/>
      <w:lvlText w:val=""/>
      <w:lvlJc w:val="left"/>
      <w:pPr>
        <w:ind w:left="720" w:hanging="360"/>
      </w:pPr>
      <w:rPr>
        <w:rFonts w:ascii="Symbol" w:hAnsi="Symbol" w:hint="default"/>
      </w:rPr>
    </w:lvl>
    <w:lvl w:ilvl="1" w:tplc="D17631DA">
      <w:start w:val="1"/>
      <w:numFmt w:val="bullet"/>
      <w:lvlText w:val="o"/>
      <w:lvlJc w:val="left"/>
      <w:pPr>
        <w:ind w:left="1440" w:hanging="360"/>
      </w:pPr>
      <w:rPr>
        <w:rFonts w:ascii="Courier New" w:hAnsi="Courier New" w:hint="default"/>
      </w:rPr>
    </w:lvl>
    <w:lvl w:ilvl="2" w:tplc="067E881A">
      <w:start w:val="1"/>
      <w:numFmt w:val="bullet"/>
      <w:lvlText w:val=""/>
      <w:lvlJc w:val="left"/>
      <w:pPr>
        <w:ind w:left="2160" w:hanging="360"/>
      </w:pPr>
      <w:rPr>
        <w:rFonts w:ascii="Wingdings" w:hAnsi="Wingdings" w:hint="default"/>
      </w:rPr>
    </w:lvl>
    <w:lvl w:ilvl="3" w:tplc="C5AA8CAA">
      <w:start w:val="1"/>
      <w:numFmt w:val="bullet"/>
      <w:lvlText w:val=""/>
      <w:lvlJc w:val="left"/>
      <w:pPr>
        <w:ind w:left="2880" w:hanging="360"/>
      </w:pPr>
      <w:rPr>
        <w:rFonts w:ascii="Symbol" w:hAnsi="Symbol" w:hint="default"/>
      </w:rPr>
    </w:lvl>
    <w:lvl w:ilvl="4" w:tplc="E40093FE">
      <w:start w:val="1"/>
      <w:numFmt w:val="bullet"/>
      <w:lvlText w:val="o"/>
      <w:lvlJc w:val="left"/>
      <w:pPr>
        <w:ind w:left="3600" w:hanging="360"/>
      </w:pPr>
      <w:rPr>
        <w:rFonts w:ascii="Courier New" w:hAnsi="Courier New" w:hint="default"/>
      </w:rPr>
    </w:lvl>
    <w:lvl w:ilvl="5" w:tplc="F6C45E4E">
      <w:start w:val="1"/>
      <w:numFmt w:val="bullet"/>
      <w:lvlText w:val=""/>
      <w:lvlJc w:val="left"/>
      <w:pPr>
        <w:ind w:left="4320" w:hanging="360"/>
      </w:pPr>
      <w:rPr>
        <w:rFonts w:ascii="Wingdings" w:hAnsi="Wingdings" w:hint="default"/>
      </w:rPr>
    </w:lvl>
    <w:lvl w:ilvl="6" w:tplc="55C27E78">
      <w:start w:val="1"/>
      <w:numFmt w:val="bullet"/>
      <w:lvlText w:val=""/>
      <w:lvlJc w:val="left"/>
      <w:pPr>
        <w:ind w:left="5040" w:hanging="360"/>
      </w:pPr>
      <w:rPr>
        <w:rFonts w:ascii="Symbol" w:hAnsi="Symbol" w:hint="default"/>
      </w:rPr>
    </w:lvl>
    <w:lvl w:ilvl="7" w:tplc="303E2E0C">
      <w:start w:val="1"/>
      <w:numFmt w:val="bullet"/>
      <w:lvlText w:val="o"/>
      <w:lvlJc w:val="left"/>
      <w:pPr>
        <w:ind w:left="5760" w:hanging="360"/>
      </w:pPr>
      <w:rPr>
        <w:rFonts w:ascii="Courier New" w:hAnsi="Courier New" w:hint="default"/>
      </w:rPr>
    </w:lvl>
    <w:lvl w:ilvl="8" w:tplc="F03A8708">
      <w:start w:val="1"/>
      <w:numFmt w:val="bullet"/>
      <w:lvlText w:val=""/>
      <w:lvlJc w:val="left"/>
      <w:pPr>
        <w:ind w:left="6480" w:hanging="360"/>
      </w:pPr>
      <w:rPr>
        <w:rFonts w:ascii="Wingdings" w:hAnsi="Wingdings" w:hint="default"/>
      </w:rPr>
    </w:lvl>
  </w:abstractNum>
  <w:abstractNum w:abstractNumId="3" w15:restartNumberingAfterBreak="0">
    <w:nsid w:val="19434D99"/>
    <w:multiLevelType w:val="hybridMultilevel"/>
    <w:tmpl w:val="D7AEB5F6"/>
    <w:lvl w:ilvl="0" w:tplc="952AD35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A77C7"/>
    <w:multiLevelType w:val="hybridMultilevel"/>
    <w:tmpl w:val="8D907036"/>
    <w:lvl w:ilvl="0" w:tplc="16E23E2C">
      <w:start w:val="3"/>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5" w15:restartNumberingAfterBreak="0">
    <w:nsid w:val="28DD5894"/>
    <w:multiLevelType w:val="hybridMultilevel"/>
    <w:tmpl w:val="C1EE669A"/>
    <w:lvl w:ilvl="0" w:tplc="BC6CFBF6">
      <w:start w:val="1"/>
      <w:numFmt w:val="decimal"/>
      <w:lvlText w:val="%1."/>
      <w:lvlJc w:val="left"/>
      <w:pPr>
        <w:ind w:left="720" w:hanging="360"/>
      </w:pPr>
    </w:lvl>
    <w:lvl w:ilvl="1" w:tplc="9690B2F4">
      <w:start w:val="1"/>
      <w:numFmt w:val="lowerLetter"/>
      <w:lvlText w:val="%2."/>
      <w:lvlJc w:val="left"/>
      <w:pPr>
        <w:ind w:left="1440" w:hanging="360"/>
      </w:pPr>
    </w:lvl>
    <w:lvl w:ilvl="2" w:tplc="C5585BAE">
      <w:start w:val="1"/>
      <w:numFmt w:val="lowerRoman"/>
      <w:lvlText w:val="%3."/>
      <w:lvlJc w:val="right"/>
      <w:pPr>
        <w:ind w:left="2160" w:hanging="180"/>
      </w:pPr>
    </w:lvl>
    <w:lvl w:ilvl="3" w:tplc="B22A7612">
      <w:start w:val="1"/>
      <w:numFmt w:val="decimal"/>
      <w:lvlText w:val="%4."/>
      <w:lvlJc w:val="left"/>
      <w:pPr>
        <w:ind w:left="2880" w:hanging="360"/>
      </w:pPr>
    </w:lvl>
    <w:lvl w:ilvl="4" w:tplc="F75AD35A">
      <w:start w:val="1"/>
      <w:numFmt w:val="lowerLetter"/>
      <w:lvlText w:val="%5."/>
      <w:lvlJc w:val="left"/>
      <w:pPr>
        <w:ind w:left="3600" w:hanging="360"/>
      </w:pPr>
    </w:lvl>
    <w:lvl w:ilvl="5" w:tplc="9CBA1976">
      <w:start w:val="1"/>
      <w:numFmt w:val="lowerRoman"/>
      <w:lvlText w:val="%6."/>
      <w:lvlJc w:val="right"/>
      <w:pPr>
        <w:ind w:left="4320" w:hanging="180"/>
      </w:pPr>
    </w:lvl>
    <w:lvl w:ilvl="6" w:tplc="3646813C">
      <w:start w:val="1"/>
      <w:numFmt w:val="decimal"/>
      <w:lvlText w:val="%7."/>
      <w:lvlJc w:val="left"/>
      <w:pPr>
        <w:ind w:left="5040" w:hanging="360"/>
      </w:pPr>
    </w:lvl>
    <w:lvl w:ilvl="7" w:tplc="63E4A04E">
      <w:start w:val="1"/>
      <w:numFmt w:val="lowerLetter"/>
      <w:lvlText w:val="%8."/>
      <w:lvlJc w:val="left"/>
      <w:pPr>
        <w:ind w:left="5760" w:hanging="360"/>
      </w:pPr>
    </w:lvl>
    <w:lvl w:ilvl="8" w:tplc="521C8BA4">
      <w:start w:val="1"/>
      <w:numFmt w:val="lowerRoman"/>
      <w:lvlText w:val="%9."/>
      <w:lvlJc w:val="right"/>
      <w:pPr>
        <w:ind w:left="6480" w:hanging="180"/>
      </w:pPr>
    </w:lvl>
  </w:abstractNum>
  <w:abstractNum w:abstractNumId="6" w15:restartNumberingAfterBreak="0">
    <w:nsid w:val="28ED5080"/>
    <w:multiLevelType w:val="hybridMultilevel"/>
    <w:tmpl w:val="2EEA0BC8"/>
    <w:lvl w:ilvl="0" w:tplc="34340F14">
      <w:start w:val="1"/>
      <w:numFmt w:val="decimal"/>
      <w:lvlText w:val="%1."/>
      <w:lvlJc w:val="left"/>
      <w:pPr>
        <w:ind w:left="720" w:hanging="360"/>
      </w:pPr>
    </w:lvl>
    <w:lvl w:ilvl="1" w:tplc="E92E306E">
      <w:start w:val="1"/>
      <w:numFmt w:val="lowerLetter"/>
      <w:lvlText w:val="%2."/>
      <w:lvlJc w:val="left"/>
      <w:pPr>
        <w:ind w:left="1440" w:hanging="360"/>
      </w:pPr>
    </w:lvl>
    <w:lvl w:ilvl="2" w:tplc="763E84C0">
      <w:start w:val="1"/>
      <w:numFmt w:val="lowerRoman"/>
      <w:lvlText w:val="%3."/>
      <w:lvlJc w:val="right"/>
      <w:pPr>
        <w:ind w:left="2160" w:hanging="180"/>
      </w:pPr>
    </w:lvl>
    <w:lvl w:ilvl="3" w:tplc="22267B62">
      <w:start w:val="1"/>
      <w:numFmt w:val="decimal"/>
      <w:lvlText w:val="%4."/>
      <w:lvlJc w:val="left"/>
      <w:pPr>
        <w:ind w:left="2880" w:hanging="360"/>
      </w:pPr>
    </w:lvl>
    <w:lvl w:ilvl="4" w:tplc="C3A64FEC">
      <w:start w:val="1"/>
      <w:numFmt w:val="lowerLetter"/>
      <w:lvlText w:val="%5."/>
      <w:lvlJc w:val="left"/>
      <w:pPr>
        <w:ind w:left="3600" w:hanging="360"/>
      </w:pPr>
    </w:lvl>
    <w:lvl w:ilvl="5" w:tplc="8B2C9218">
      <w:start w:val="1"/>
      <w:numFmt w:val="lowerRoman"/>
      <w:lvlText w:val="%6."/>
      <w:lvlJc w:val="right"/>
      <w:pPr>
        <w:ind w:left="4320" w:hanging="180"/>
      </w:pPr>
    </w:lvl>
    <w:lvl w:ilvl="6" w:tplc="4E266E60">
      <w:start w:val="1"/>
      <w:numFmt w:val="decimal"/>
      <w:lvlText w:val="%7."/>
      <w:lvlJc w:val="left"/>
      <w:pPr>
        <w:ind w:left="5040" w:hanging="360"/>
      </w:pPr>
    </w:lvl>
    <w:lvl w:ilvl="7" w:tplc="DD988AEE">
      <w:start w:val="1"/>
      <w:numFmt w:val="lowerLetter"/>
      <w:lvlText w:val="%8."/>
      <w:lvlJc w:val="left"/>
      <w:pPr>
        <w:ind w:left="5760" w:hanging="360"/>
      </w:pPr>
    </w:lvl>
    <w:lvl w:ilvl="8" w:tplc="32C88F64">
      <w:start w:val="1"/>
      <w:numFmt w:val="lowerRoman"/>
      <w:lvlText w:val="%9."/>
      <w:lvlJc w:val="right"/>
      <w:pPr>
        <w:ind w:left="6480" w:hanging="180"/>
      </w:pPr>
    </w:lvl>
  </w:abstractNum>
  <w:abstractNum w:abstractNumId="7"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E974C7"/>
    <w:multiLevelType w:val="hybridMultilevel"/>
    <w:tmpl w:val="FFFFFFFF"/>
    <w:lvl w:ilvl="0" w:tplc="94A613C4">
      <w:start w:val="1"/>
      <w:numFmt w:val="decimal"/>
      <w:lvlText w:val="%1."/>
      <w:lvlJc w:val="left"/>
      <w:pPr>
        <w:ind w:left="720" w:hanging="360"/>
      </w:pPr>
    </w:lvl>
    <w:lvl w:ilvl="1" w:tplc="AAA0309C">
      <w:start w:val="1"/>
      <w:numFmt w:val="lowerLetter"/>
      <w:lvlText w:val="%2."/>
      <w:lvlJc w:val="left"/>
      <w:pPr>
        <w:ind w:left="1440" w:hanging="360"/>
      </w:pPr>
    </w:lvl>
    <w:lvl w:ilvl="2" w:tplc="4C724554">
      <w:start w:val="1"/>
      <w:numFmt w:val="lowerRoman"/>
      <w:lvlText w:val="%3."/>
      <w:lvlJc w:val="right"/>
      <w:pPr>
        <w:ind w:left="2160" w:hanging="180"/>
      </w:pPr>
    </w:lvl>
    <w:lvl w:ilvl="3" w:tplc="2698DC26">
      <w:start w:val="1"/>
      <w:numFmt w:val="decimal"/>
      <w:lvlText w:val="%4."/>
      <w:lvlJc w:val="left"/>
      <w:pPr>
        <w:ind w:left="2880" w:hanging="360"/>
      </w:pPr>
    </w:lvl>
    <w:lvl w:ilvl="4" w:tplc="3A7AA47C">
      <w:start w:val="1"/>
      <w:numFmt w:val="lowerLetter"/>
      <w:lvlText w:val="%5."/>
      <w:lvlJc w:val="left"/>
      <w:pPr>
        <w:ind w:left="3600" w:hanging="360"/>
      </w:pPr>
    </w:lvl>
    <w:lvl w:ilvl="5" w:tplc="A790CBEE">
      <w:start w:val="1"/>
      <w:numFmt w:val="lowerRoman"/>
      <w:lvlText w:val="%6."/>
      <w:lvlJc w:val="right"/>
      <w:pPr>
        <w:ind w:left="4320" w:hanging="180"/>
      </w:pPr>
    </w:lvl>
    <w:lvl w:ilvl="6" w:tplc="15C8F882">
      <w:start w:val="1"/>
      <w:numFmt w:val="decimal"/>
      <w:lvlText w:val="%7."/>
      <w:lvlJc w:val="left"/>
      <w:pPr>
        <w:ind w:left="5040" w:hanging="360"/>
      </w:pPr>
    </w:lvl>
    <w:lvl w:ilvl="7" w:tplc="542ED456">
      <w:start w:val="1"/>
      <w:numFmt w:val="lowerLetter"/>
      <w:lvlText w:val="%8."/>
      <w:lvlJc w:val="left"/>
      <w:pPr>
        <w:ind w:left="5760" w:hanging="360"/>
      </w:pPr>
    </w:lvl>
    <w:lvl w:ilvl="8" w:tplc="63E49014">
      <w:start w:val="1"/>
      <w:numFmt w:val="lowerRoman"/>
      <w:lvlText w:val="%9."/>
      <w:lvlJc w:val="right"/>
      <w:pPr>
        <w:ind w:left="6480" w:hanging="180"/>
      </w:pPr>
    </w:lvl>
  </w:abstractNum>
  <w:abstractNum w:abstractNumId="10" w15:restartNumberingAfterBreak="0">
    <w:nsid w:val="3443292B"/>
    <w:multiLevelType w:val="hybridMultilevel"/>
    <w:tmpl w:val="2FBC9F66"/>
    <w:lvl w:ilvl="0" w:tplc="72EE92A8">
      <w:start w:val="1"/>
      <w:numFmt w:val="decimal"/>
      <w:lvlText w:val="%1."/>
      <w:lvlJc w:val="left"/>
      <w:pPr>
        <w:ind w:left="720" w:hanging="360"/>
      </w:pPr>
    </w:lvl>
    <w:lvl w:ilvl="1" w:tplc="C1B01AAC">
      <w:start w:val="1"/>
      <w:numFmt w:val="lowerLetter"/>
      <w:lvlText w:val="%2."/>
      <w:lvlJc w:val="left"/>
      <w:pPr>
        <w:ind w:left="1440" w:hanging="360"/>
      </w:pPr>
    </w:lvl>
    <w:lvl w:ilvl="2" w:tplc="C1C2C874">
      <w:start w:val="1"/>
      <w:numFmt w:val="lowerRoman"/>
      <w:lvlText w:val="%3."/>
      <w:lvlJc w:val="right"/>
      <w:pPr>
        <w:ind w:left="2160" w:hanging="180"/>
      </w:pPr>
    </w:lvl>
    <w:lvl w:ilvl="3" w:tplc="AEE40DFE">
      <w:start w:val="1"/>
      <w:numFmt w:val="decimal"/>
      <w:lvlText w:val="%4."/>
      <w:lvlJc w:val="left"/>
      <w:pPr>
        <w:ind w:left="2880" w:hanging="360"/>
      </w:pPr>
    </w:lvl>
    <w:lvl w:ilvl="4" w:tplc="1F0A4DA6">
      <w:start w:val="1"/>
      <w:numFmt w:val="lowerLetter"/>
      <w:lvlText w:val="%5."/>
      <w:lvlJc w:val="left"/>
      <w:pPr>
        <w:ind w:left="3600" w:hanging="360"/>
      </w:pPr>
    </w:lvl>
    <w:lvl w:ilvl="5" w:tplc="4874EF24">
      <w:start w:val="1"/>
      <w:numFmt w:val="lowerRoman"/>
      <w:lvlText w:val="%6."/>
      <w:lvlJc w:val="right"/>
      <w:pPr>
        <w:ind w:left="4320" w:hanging="180"/>
      </w:pPr>
    </w:lvl>
    <w:lvl w:ilvl="6" w:tplc="E826AA32">
      <w:start w:val="1"/>
      <w:numFmt w:val="decimal"/>
      <w:lvlText w:val="%7."/>
      <w:lvlJc w:val="left"/>
      <w:pPr>
        <w:ind w:left="5040" w:hanging="360"/>
      </w:pPr>
    </w:lvl>
    <w:lvl w:ilvl="7" w:tplc="F2CAC9C2">
      <w:start w:val="1"/>
      <w:numFmt w:val="lowerLetter"/>
      <w:lvlText w:val="%8."/>
      <w:lvlJc w:val="left"/>
      <w:pPr>
        <w:ind w:left="5760" w:hanging="360"/>
      </w:pPr>
    </w:lvl>
    <w:lvl w:ilvl="8" w:tplc="D15AF608">
      <w:start w:val="1"/>
      <w:numFmt w:val="lowerRoman"/>
      <w:lvlText w:val="%9."/>
      <w:lvlJc w:val="right"/>
      <w:pPr>
        <w:ind w:left="6480" w:hanging="180"/>
      </w:pPr>
    </w:lvl>
  </w:abstractNum>
  <w:abstractNum w:abstractNumId="11" w15:restartNumberingAfterBreak="0">
    <w:nsid w:val="36AE6B5A"/>
    <w:multiLevelType w:val="hybridMultilevel"/>
    <w:tmpl w:val="FFFFFFFF"/>
    <w:lvl w:ilvl="0" w:tplc="3FF044F2">
      <w:start w:val="1"/>
      <w:numFmt w:val="decimal"/>
      <w:lvlText w:val="%1."/>
      <w:lvlJc w:val="left"/>
      <w:pPr>
        <w:ind w:left="720" w:hanging="360"/>
      </w:pPr>
    </w:lvl>
    <w:lvl w:ilvl="1" w:tplc="8DE87FE2">
      <w:start w:val="1"/>
      <w:numFmt w:val="lowerLetter"/>
      <w:lvlText w:val="%2."/>
      <w:lvlJc w:val="left"/>
      <w:pPr>
        <w:ind w:left="1440" w:hanging="360"/>
      </w:pPr>
    </w:lvl>
    <w:lvl w:ilvl="2" w:tplc="A2A2907C">
      <w:start w:val="1"/>
      <w:numFmt w:val="lowerRoman"/>
      <w:lvlText w:val="%3."/>
      <w:lvlJc w:val="right"/>
      <w:pPr>
        <w:ind w:left="2160" w:hanging="180"/>
      </w:pPr>
    </w:lvl>
    <w:lvl w:ilvl="3" w:tplc="7D7EEDE2">
      <w:start w:val="1"/>
      <w:numFmt w:val="decimal"/>
      <w:lvlText w:val="%4."/>
      <w:lvlJc w:val="left"/>
      <w:pPr>
        <w:ind w:left="2880" w:hanging="360"/>
      </w:pPr>
    </w:lvl>
    <w:lvl w:ilvl="4" w:tplc="89C49160">
      <w:start w:val="1"/>
      <w:numFmt w:val="lowerLetter"/>
      <w:lvlText w:val="%5."/>
      <w:lvlJc w:val="left"/>
      <w:pPr>
        <w:ind w:left="3600" w:hanging="360"/>
      </w:pPr>
    </w:lvl>
    <w:lvl w:ilvl="5" w:tplc="B1EAEBD8">
      <w:start w:val="1"/>
      <w:numFmt w:val="lowerRoman"/>
      <w:lvlText w:val="%6."/>
      <w:lvlJc w:val="right"/>
      <w:pPr>
        <w:ind w:left="4320" w:hanging="180"/>
      </w:pPr>
    </w:lvl>
    <w:lvl w:ilvl="6" w:tplc="5FF6BC9A">
      <w:start w:val="1"/>
      <w:numFmt w:val="decimal"/>
      <w:lvlText w:val="%7."/>
      <w:lvlJc w:val="left"/>
      <w:pPr>
        <w:ind w:left="5040" w:hanging="360"/>
      </w:pPr>
    </w:lvl>
    <w:lvl w:ilvl="7" w:tplc="EFE0E7E0">
      <w:start w:val="1"/>
      <w:numFmt w:val="lowerLetter"/>
      <w:lvlText w:val="%8."/>
      <w:lvlJc w:val="left"/>
      <w:pPr>
        <w:ind w:left="5760" w:hanging="360"/>
      </w:pPr>
    </w:lvl>
    <w:lvl w:ilvl="8" w:tplc="FF62E490">
      <w:start w:val="1"/>
      <w:numFmt w:val="lowerRoman"/>
      <w:lvlText w:val="%9."/>
      <w:lvlJc w:val="right"/>
      <w:pPr>
        <w:ind w:left="6480" w:hanging="180"/>
      </w:pPr>
    </w:lvl>
  </w:abstractNum>
  <w:abstractNum w:abstractNumId="12" w15:restartNumberingAfterBreak="0">
    <w:nsid w:val="3BCF2341"/>
    <w:multiLevelType w:val="hybridMultilevel"/>
    <w:tmpl w:val="53B83BAE"/>
    <w:lvl w:ilvl="0" w:tplc="FC2A79BE">
      <w:start w:val="1"/>
      <w:numFmt w:val="decimal"/>
      <w:lvlText w:val="%1."/>
      <w:lvlJc w:val="left"/>
      <w:pPr>
        <w:ind w:left="720" w:hanging="360"/>
      </w:pPr>
    </w:lvl>
    <w:lvl w:ilvl="1" w:tplc="FCC00EF4">
      <w:start w:val="1"/>
      <w:numFmt w:val="lowerLetter"/>
      <w:lvlText w:val="%2."/>
      <w:lvlJc w:val="left"/>
      <w:pPr>
        <w:ind w:left="1440" w:hanging="360"/>
      </w:pPr>
    </w:lvl>
    <w:lvl w:ilvl="2" w:tplc="2076D7AA">
      <w:start w:val="1"/>
      <w:numFmt w:val="lowerRoman"/>
      <w:lvlText w:val="%3."/>
      <w:lvlJc w:val="right"/>
      <w:pPr>
        <w:ind w:left="2160" w:hanging="180"/>
      </w:pPr>
    </w:lvl>
    <w:lvl w:ilvl="3" w:tplc="3084AAB4">
      <w:start w:val="1"/>
      <w:numFmt w:val="decimal"/>
      <w:lvlText w:val="%4."/>
      <w:lvlJc w:val="left"/>
      <w:pPr>
        <w:ind w:left="2880" w:hanging="360"/>
      </w:pPr>
    </w:lvl>
    <w:lvl w:ilvl="4" w:tplc="3286C15C">
      <w:start w:val="1"/>
      <w:numFmt w:val="lowerLetter"/>
      <w:lvlText w:val="%5."/>
      <w:lvlJc w:val="left"/>
      <w:pPr>
        <w:ind w:left="3600" w:hanging="360"/>
      </w:pPr>
    </w:lvl>
    <w:lvl w:ilvl="5" w:tplc="6F6288B2">
      <w:start w:val="1"/>
      <w:numFmt w:val="lowerRoman"/>
      <w:lvlText w:val="%6."/>
      <w:lvlJc w:val="right"/>
      <w:pPr>
        <w:ind w:left="4320" w:hanging="180"/>
      </w:pPr>
    </w:lvl>
    <w:lvl w:ilvl="6" w:tplc="99F0F186">
      <w:start w:val="1"/>
      <w:numFmt w:val="decimal"/>
      <w:lvlText w:val="%7."/>
      <w:lvlJc w:val="left"/>
      <w:pPr>
        <w:ind w:left="5040" w:hanging="360"/>
      </w:pPr>
    </w:lvl>
    <w:lvl w:ilvl="7" w:tplc="32F8E5C6">
      <w:start w:val="1"/>
      <w:numFmt w:val="lowerLetter"/>
      <w:lvlText w:val="%8."/>
      <w:lvlJc w:val="left"/>
      <w:pPr>
        <w:ind w:left="5760" w:hanging="360"/>
      </w:pPr>
    </w:lvl>
    <w:lvl w:ilvl="8" w:tplc="7B70DF6C">
      <w:start w:val="1"/>
      <w:numFmt w:val="lowerRoman"/>
      <w:lvlText w:val="%9."/>
      <w:lvlJc w:val="right"/>
      <w:pPr>
        <w:ind w:left="6480" w:hanging="180"/>
      </w:pPr>
    </w:lvl>
  </w:abstractNum>
  <w:abstractNum w:abstractNumId="13" w15:restartNumberingAfterBreak="0">
    <w:nsid w:val="3D7B615E"/>
    <w:multiLevelType w:val="hybridMultilevel"/>
    <w:tmpl w:val="19507CB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FE7B6B"/>
    <w:multiLevelType w:val="hybridMultilevel"/>
    <w:tmpl w:val="FFFFFFFF"/>
    <w:lvl w:ilvl="0" w:tplc="1BE0CB52">
      <w:start w:val="1"/>
      <w:numFmt w:val="decimal"/>
      <w:lvlText w:val="%1."/>
      <w:lvlJc w:val="left"/>
      <w:pPr>
        <w:ind w:left="720" w:hanging="360"/>
      </w:pPr>
    </w:lvl>
    <w:lvl w:ilvl="1" w:tplc="AF08457C">
      <w:start w:val="1"/>
      <w:numFmt w:val="lowerLetter"/>
      <w:lvlText w:val="%2."/>
      <w:lvlJc w:val="left"/>
      <w:pPr>
        <w:ind w:left="1440" w:hanging="360"/>
      </w:pPr>
    </w:lvl>
    <w:lvl w:ilvl="2" w:tplc="343A0FE0">
      <w:start w:val="1"/>
      <w:numFmt w:val="lowerRoman"/>
      <w:lvlText w:val="%3."/>
      <w:lvlJc w:val="right"/>
      <w:pPr>
        <w:ind w:left="2160" w:hanging="180"/>
      </w:pPr>
    </w:lvl>
    <w:lvl w:ilvl="3" w:tplc="3FEE16FA">
      <w:start w:val="1"/>
      <w:numFmt w:val="decimal"/>
      <w:lvlText w:val="%4."/>
      <w:lvlJc w:val="left"/>
      <w:pPr>
        <w:ind w:left="2880" w:hanging="360"/>
      </w:pPr>
    </w:lvl>
    <w:lvl w:ilvl="4" w:tplc="DA385A20">
      <w:start w:val="1"/>
      <w:numFmt w:val="lowerLetter"/>
      <w:lvlText w:val="%5."/>
      <w:lvlJc w:val="left"/>
      <w:pPr>
        <w:ind w:left="3600" w:hanging="360"/>
      </w:pPr>
    </w:lvl>
    <w:lvl w:ilvl="5" w:tplc="E3ACC8B2">
      <w:start w:val="1"/>
      <w:numFmt w:val="lowerRoman"/>
      <w:lvlText w:val="%6."/>
      <w:lvlJc w:val="right"/>
      <w:pPr>
        <w:ind w:left="4320" w:hanging="180"/>
      </w:pPr>
    </w:lvl>
    <w:lvl w:ilvl="6" w:tplc="EBCEC570">
      <w:start w:val="1"/>
      <w:numFmt w:val="decimal"/>
      <w:lvlText w:val="%7."/>
      <w:lvlJc w:val="left"/>
      <w:pPr>
        <w:ind w:left="5040" w:hanging="360"/>
      </w:pPr>
    </w:lvl>
    <w:lvl w:ilvl="7" w:tplc="11900984">
      <w:start w:val="1"/>
      <w:numFmt w:val="lowerLetter"/>
      <w:lvlText w:val="%8."/>
      <w:lvlJc w:val="left"/>
      <w:pPr>
        <w:ind w:left="5760" w:hanging="360"/>
      </w:pPr>
    </w:lvl>
    <w:lvl w:ilvl="8" w:tplc="788E5AF8">
      <w:start w:val="1"/>
      <w:numFmt w:val="lowerRoman"/>
      <w:lvlText w:val="%9."/>
      <w:lvlJc w:val="right"/>
      <w:pPr>
        <w:ind w:left="6480" w:hanging="180"/>
      </w:pPr>
    </w:lvl>
  </w:abstractNum>
  <w:abstractNum w:abstractNumId="15"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B51E55"/>
    <w:multiLevelType w:val="hybridMultilevel"/>
    <w:tmpl w:val="C1A44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5E50D23"/>
    <w:multiLevelType w:val="hybridMultilevel"/>
    <w:tmpl w:val="2E62DC1A"/>
    <w:lvl w:ilvl="0" w:tplc="0DBE6C96">
      <w:start w:val="1"/>
      <w:numFmt w:val="decimal"/>
      <w:lvlText w:val="%1."/>
      <w:lvlJc w:val="left"/>
      <w:pPr>
        <w:ind w:left="720" w:hanging="360"/>
      </w:pPr>
      <w:rPr>
        <w:rFonts w:ascii="Arial" w:eastAsia="Arial" w:hAnsi="Arial" w:cs="Aria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22788C"/>
    <w:multiLevelType w:val="hybridMultilevel"/>
    <w:tmpl w:val="A712C824"/>
    <w:lvl w:ilvl="0" w:tplc="87DA42F2">
      <w:start w:val="1"/>
      <w:numFmt w:val="bullet"/>
      <w:lvlText w:val=""/>
      <w:lvlJc w:val="left"/>
      <w:pPr>
        <w:ind w:left="720" w:hanging="360"/>
      </w:pPr>
      <w:rPr>
        <w:rFonts w:ascii="Symbol" w:hAnsi="Symbol" w:hint="default"/>
      </w:rPr>
    </w:lvl>
    <w:lvl w:ilvl="1" w:tplc="9D6CC7E2">
      <w:start w:val="1"/>
      <w:numFmt w:val="bullet"/>
      <w:lvlText w:val="o"/>
      <w:lvlJc w:val="left"/>
      <w:pPr>
        <w:ind w:left="1440" w:hanging="360"/>
      </w:pPr>
      <w:rPr>
        <w:rFonts w:ascii="Courier New" w:hAnsi="Courier New" w:hint="default"/>
      </w:rPr>
    </w:lvl>
    <w:lvl w:ilvl="2" w:tplc="A7F2679C">
      <w:start w:val="1"/>
      <w:numFmt w:val="bullet"/>
      <w:lvlText w:val=""/>
      <w:lvlJc w:val="left"/>
      <w:pPr>
        <w:ind w:left="2160" w:hanging="360"/>
      </w:pPr>
      <w:rPr>
        <w:rFonts w:ascii="Wingdings" w:hAnsi="Wingdings" w:hint="default"/>
      </w:rPr>
    </w:lvl>
    <w:lvl w:ilvl="3" w:tplc="61767486">
      <w:start w:val="1"/>
      <w:numFmt w:val="bullet"/>
      <w:lvlText w:val=""/>
      <w:lvlJc w:val="left"/>
      <w:pPr>
        <w:ind w:left="2880" w:hanging="360"/>
      </w:pPr>
      <w:rPr>
        <w:rFonts w:ascii="Symbol" w:hAnsi="Symbol" w:hint="default"/>
      </w:rPr>
    </w:lvl>
    <w:lvl w:ilvl="4" w:tplc="D96A56D4">
      <w:start w:val="1"/>
      <w:numFmt w:val="bullet"/>
      <w:lvlText w:val="o"/>
      <w:lvlJc w:val="left"/>
      <w:pPr>
        <w:ind w:left="3600" w:hanging="360"/>
      </w:pPr>
      <w:rPr>
        <w:rFonts w:ascii="Courier New" w:hAnsi="Courier New" w:hint="default"/>
      </w:rPr>
    </w:lvl>
    <w:lvl w:ilvl="5" w:tplc="604EEED6">
      <w:start w:val="1"/>
      <w:numFmt w:val="bullet"/>
      <w:lvlText w:val=""/>
      <w:lvlJc w:val="left"/>
      <w:pPr>
        <w:ind w:left="4320" w:hanging="360"/>
      </w:pPr>
      <w:rPr>
        <w:rFonts w:ascii="Wingdings" w:hAnsi="Wingdings" w:hint="default"/>
      </w:rPr>
    </w:lvl>
    <w:lvl w:ilvl="6" w:tplc="131EAB2C">
      <w:start w:val="1"/>
      <w:numFmt w:val="bullet"/>
      <w:lvlText w:val=""/>
      <w:lvlJc w:val="left"/>
      <w:pPr>
        <w:ind w:left="5040" w:hanging="360"/>
      </w:pPr>
      <w:rPr>
        <w:rFonts w:ascii="Symbol" w:hAnsi="Symbol" w:hint="default"/>
      </w:rPr>
    </w:lvl>
    <w:lvl w:ilvl="7" w:tplc="2926FD22">
      <w:start w:val="1"/>
      <w:numFmt w:val="bullet"/>
      <w:lvlText w:val="o"/>
      <w:lvlJc w:val="left"/>
      <w:pPr>
        <w:ind w:left="5760" w:hanging="360"/>
      </w:pPr>
      <w:rPr>
        <w:rFonts w:ascii="Courier New" w:hAnsi="Courier New" w:hint="default"/>
      </w:rPr>
    </w:lvl>
    <w:lvl w:ilvl="8" w:tplc="CD1C61EE">
      <w:start w:val="1"/>
      <w:numFmt w:val="bullet"/>
      <w:lvlText w:val=""/>
      <w:lvlJc w:val="left"/>
      <w:pPr>
        <w:ind w:left="6480" w:hanging="360"/>
      </w:pPr>
      <w:rPr>
        <w:rFonts w:ascii="Wingdings" w:hAnsi="Wingdings" w:hint="default"/>
      </w:rPr>
    </w:lvl>
  </w:abstractNum>
  <w:abstractNum w:abstractNumId="20" w15:restartNumberingAfterBreak="0">
    <w:nsid w:val="5EF472C7"/>
    <w:multiLevelType w:val="hybridMultilevel"/>
    <w:tmpl w:val="FFFFFFFF"/>
    <w:lvl w:ilvl="0" w:tplc="F92E1694">
      <w:start w:val="1"/>
      <w:numFmt w:val="decimal"/>
      <w:lvlText w:val="%1."/>
      <w:lvlJc w:val="left"/>
      <w:pPr>
        <w:ind w:left="720" w:hanging="360"/>
      </w:pPr>
    </w:lvl>
    <w:lvl w:ilvl="1" w:tplc="A26A51E0">
      <w:start w:val="1"/>
      <w:numFmt w:val="lowerLetter"/>
      <w:lvlText w:val="%2."/>
      <w:lvlJc w:val="left"/>
      <w:pPr>
        <w:ind w:left="1440" w:hanging="360"/>
      </w:pPr>
    </w:lvl>
    <w:lvl w:ilvl="2" w:tplc="97EE18AC">
      <w:start w:val="1"/>
      <w:numFmt w:val="lowerRoman"/>
      <w:lvlText w:val="%3."/>
      <w:lvlJc w:val="right"/>
      <w:pPr>
        <w:ind w:left="2160" w:hanging="180"/>
      </w:pPr>
    </w:lvl>
    <w:lvl w:ilvl="3" w:tplc="CF46315A">
      <w:start w:val="1"/>
      <w:numFmt w:val="decimal"/>
      <w:lvlText w:val="%4."/>
      <w:lvlJc w:val="left"/>
      <w:pPr>
        <w:ind w:left="2880" w:hanging="360"/>
      </w:pPr>
    </w:lvl>
    <w:lvl w:ilvl="4" w:tplc="A0C2BFF8">
      <w:start w:val="1"/>
      <w:numFmt w:val="lowerLetter"/>
      <w:lvlText w:val="%5."/>
      <w:lvlJc w:val="left"/>
      <w:pPr>
        <w:ind w:left="3600" w:hanging="360"/>
      </w:pPr>
    </w:lvl>
    <w:lvl w:ilvl="5" w:tplc="09FA37E2">
      <w:start w:val="1"/>
      <w:numFmt w:val="lowerRoman"/>
      <w:lvlText w:val="%6."/>
      <w:lvlJc w:val="right"/>
      <w:pPr>
        <w:ind w:left="4320" w:hanging="180"/>
      </w:pPr>
    </w:lvl>
    <w:lvl w:ilvl="6" w:tplc="37344C8A">
      <w:start w:val="1"/>
      <w:numFmt w:val="decimal"/>
      <w:lvlText w:val="%7."/>
      <w:lvlJc w:val="left"/>
      <w:pPr>
        <w:ind w:left="5040" w:hanging="360"/>
      </w:pPr>
    </w:lvl>
    <w:lvl w:ilvl="7" w:tplc="A320941C">
      <w:start w:val="1"/>
      <w:numFmt w:val="lowerLetter"/>
      <w:lvlText w:val="%8."/>
      <w:lvlJc w:val="left"/>
      <w:pPr>
        <w:ind w:left="5760" w:hanging="360"/>
      </w:pPr>
    </w:lvl>
    <w:lvl w:ilvl="8" w:tplc="66BC9356">
      <w:start w:val="1"/>
      <w:numFmt w:val="lowerRoman"/>
      <w:lvlText w:val="%9."/>
      <w:lvlJc w:val="right"/>
      <w:pPr>
        <w:ind w:left="6480" w:hanging="180"/>
      </w:pPr>
    </w:lvl>
  </w:abstractNum>
  <w:abstractNum w:abstractNumId="21"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A746BF"/>
    <w:multiLevelType w:val="hybridMultilevel"/>
    <w:tmpl w:val="C264240C"/>
    <w:lvl w:ilvl="0" w:tplc="302A1D1C">
      <w:start w:val="1"/>
      <w:numFmt w:val="decimal"/>
      <w:lvlText w:val="%1."/>
      <w:lvlJc w:val="left"/>
      <w:pPr>
        <w:ind w:left="720" w:hanging="360"/>
      </w:pPr>
    </w:lvl>
    <w:lvl w:ilvl="1" w:tplc="3C62CC82">
      <w:start w:val="1"/>
      <w:numFmt w:val="lowerLetter"/>
      <w:lvlText w:val="%2."/>
      <w:lvlJc w:val="left"/>
      <w:pPr>
        <w:ind w:left="1440" w:hanging="360"/>
      </w:pPr>
    </w:lvl>
    <w:lvl w:ilvl="2" w:tplc="1396DC0C">
      <w:start w:val="1"/>
      <w:numFmt w:val="lowerRoman"/>
      <w:lvlText w:val="%3."/>
      <w:lvlJc w:val="right"/>
      <w:pPr>
        <w:ind w:left="2160" w:hanging="180"/>
      </w:pPr>
    </w:lvl>
    <w:lvl w:ilvl="3" w:tplc="670E187A">
      <w:start w:val="1"/>
      <w:numFmt w:val="decimal"/>
      <w:lvlText w:val="%4."/>
      <w:lvlJc w:val="left"/>
      <w:pPr>
        <w:ind w:left="2880" w:hanging="360"/>
      </w:pPr>
    </w:lvl>
    <w:lvl w:ilvl="4" w:tplc="42365F82">
      <w:start w:val="1"/>
      <w:numFmt w:val="lowerLetter"/>
      <w:lvlText w:val="%5."/>
      <w:lvlJc w:val="left"/>
      <w:pPr>
        <w:ind w:left="3600" w:hanging="360"/>
      </w:pPr>
    </w:lvl>
    <w:lvl w:ilvl="5" w:tplc="8E8614CE">
      <w:start w:val="1"/>
      <w:numFmt w:val="lowerRoman"/>
      <w:lvlText w:val="%6."/>
      <w:lvlJc w:val="right"/>
      <w:pPr>
        <w:ind w:left="4320" w:hanging="180"/>
      </w:pPr>
    </w:lvl>
    <w:lvl w:ilvl="6" w:tplc="6866AFA6">
      <w:start w:val="1"/>
      <w:numFmt w:val="decimal"/>
      <w:lvlText w:val="%7."/>
      <w:lvlJc w:val="left"/>
      <w:pPr>
        <w:ind w:left="5040" w:hanging="360"/>
      </w:pPr>
    </w:lvl>
    <w:lvl w:ilvl="7" w:tplc="27683766">
      <w:start w:val="1"/>
      <w:numFmt w:val="lowerLetter"/>
      <w:lvlText w:val="%8."/>
      <w:lvlJc w:val="left"/>
      <w:pPr>
        <w:ind w:left="5760" w:hanging="360"/>
      </w:pPr>
    </w:lvl>
    <w:lvl w:ilvl="8" w:tplc="D4FC6166">
      <w:start w:val="1"/>
      <w:numFmt w:val="lowerRoman"/>
      <w:lvlText w:val="%9."/>
      <w:lvlJc w:val="right"/>
      <w:pPr>
        <w:ind w:left="6480" w:hanging="180"/>
      </w:pPr>
    </w:lvl>
  </w:abstractNum>
  <w:abstractNum w:abstractNumId="23" w15:restartNumberingAfterBreak="0">
    <w:nsid w:val="6DCE4C60"/>
    <w:multiLevelType w:val="hybridMultilevel"/>
    <w:tmpl w:val="A3B6F63E"/>
    <w:lvl w:ilvl="0" w:tplc="2F7E6C74">
      <w:start w:val="1"/>
      <w:numFmt w:val="decimal"/>
      <w:lvlText w:val="%1."/>
      <w:lvlJc w:val="left"/>
      <w:pPr>
        <w:ind w:left="720" w:hanging="360"/>
      </w:pPr>
    </w:lvl>
    <w:lvl w:ilvl="1" w:tplc="1640D4CE">
      <w:start w:val="1"/>
      <w:numFmt w:val="lowerLetter"/>
      <w:lvlText w:val="%2."/>
      <w:lvlJc w:val="left"/>
      <w:pPr>
        <w:ind w:left="1440" w:hanging="360"/>
      </w:pPr>
    </w:lvl>
    <w:lvl w:ilvl="2" w:tplc="6C9C2180">
      <w:start w:val="1"/>
      <w:numFmt w:val="lowerRoman"/>
      <w:lvlText w:val="%3."/>
      <w:lvlJc w:val="right"/>
      <w:pPr>
        <w:ind w:left="2160" w:hanging="180"/>
      </w:pPr>
    </w:lvl>
    <w:lvl w:ilvl="3" w:tplc="9F82B6B6">
      <w:start w:val="1"/>
      <w:numFmt w:val="decimal"/>
      <w:lvlText w:val="%4."/>
      <w:lvlJc w:val="left"/>
      <w:pPr>
        <w:ind w:left="2880" w:hanging="360"/>
      </w:pPr>
    </w:lvl>
    <w:lvl w:ilvl="4" w:tplc="0A0A8316">
      <w:start w:val="1"/>
      <w:numFmt w:val="lowerLetter"/>
      <w:lvlText w:val="%5."/>
      <w:lvlJc w:val="left"/>
      <w:pPr>
        <w:ind w:left="3600" w:hanging="360"/>
      </w:pPr>
    </w:lvl>
    <w:lvl w:ilvl="5" w:tplc="8004890E">
      <w:start w:val="1"/>
      <w:numFmt w:val="lowerRoman"/>
      <w:lvlText w:val="%6."/>
      <w:lvlJc w:val="right"/>
      <w:pPr>
        <w:ind w:left="4320" w:hanging="180"/>
      </w:pPr>
    </w:lvl>
    <w:lvl w:ilvl="6" w:tplc="48821B54">
      <w:start w:val="1"/>
      <w:numFmt w:val="decimal"/>
      <w:lvlText w:val="%7."/>
      <w:lvlJc w:val="left"/>
      <w:pPr>
        <w:ind w:left="5040" w:hanging="360"/>
      </w:pPr>
    </w:lvl>
    <w:lvl w:ilvl="7" w:tplc="C2EEA8D0">
      <w:start w:val="1"/>
      <w:numFmt w:val="lowerLetter"/>
      <w:lvlText w:val="%8."/>
      <w:lvlJc w:val="left"/>
      <w:pPr>
        <w:ind w:left="5760" w:hanging="360"/>
      </w:pPr>
    </w:lvl>
    <w:lvl w:ilvl="8" w:tplc="A4AA8E00">
      <w:start w:val="1"/>
      <w:numFmt w:val="lowerRoman"/>
      <w:lvlText w:val="%9."/>
      <w:lvlJc w:val="right"/>
      <w:pPr>
        <w:ind w:left="6480" w:hanging="180"/>
      </w:pPr>
    </w:lvl>
  </w:abstractNum>
  <w:abstractNum w:abstractNumId="24" w15:restartNumberingAfterBreak="0">
    <w:nsid w:val="6E0F7B49"/>
    <w:multiLevelType w:val="hybridMultilevel"/>
    <w:tmpl w:val="1BCEF72E"/>
    <w:lvl w:ilvl="0" w:tplc="CEA402A6">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071336"/>
    <w:multiLevelType w:val="hybridMultilevel"/>
    <w:tmpl w:val="51DE36A0"/>
    <w:lvl w:ilvl="0" w:tplc="00005A1C">
      <w:start w:val="1"/>
      <w:numFmt w:val="decimal"/>
      <w:lvlText w:val="%1."/>
      <w:lvlJc w:val="left"/>
      <w:pPr>
        <w:ind w:left="720" w:hanging="360"/>
      </w:pPr>
    </w:lvl>
    <w:lvl w:ilvl="1" w:tplc="7924C90C">
      <w:start w:val="1"/>
      <w:numFmt w:val="lowerLetter"/>
      <w:lvlText w:val="%2."/>
      <w:lvlJc w:val="left"/>
      <w:pPr>
        <w:ind w:left="1440" w:hanging="360"/>
      </w:pPr>
    </w:lvl>
    <w:lvl w:ilvl="2" w:tplc="5DDC58C8">
      <w:start w:val="1"/>
      <w:numFmt w:val="lowerRoman"/>
      <w:lvlText w:val="%3."/>
      <w:lvlJc w:val="right"/>
      <w:pPr>
        <w:ind w:left="2160" w:hanging="180"/>
      </w:pPr>
    </w:lvl>
    <w:lvl w:ilvl="3" w:tplc="6A6294BE">
      <w:start w:val="1"/>
      <w:numFmt w:val="decimal"/>
      <w:lvlText w:val="%4."/>
      <w:lvlJc w:val="left"/>
      <w:pPr>
        <w:ind w:left="2880" w:hanging="360"/>
      </w:pPr>
    </w:lvl>
    <w:lvl w:ilvl="4" w:tplc="DD4EA174">
      <w:start w:val="1"/>
      <w:numFmt w:val="lowerLetter"/>
      <w:lvlText w:val="%5."/>
      <w:lvlJc w:val="left"/>
      <w:pPr>
        <w:ind w:left="3600" w:hanging="360"/>
      </w:pPr>
    </w:lvl>
    <w:lvl w:ilvl="5" w:tplc="5248EBF0">
      <w:start w:val="1"/>
      <w:numFmt w:val="lowerRoman"/>
      <w:lvlText w:val="%6."/>
      <w:lvlJc w:val="right"/>
      <w:pPr>
        <w:ind w:left="4320" w:hanging="180"/>
      </w:pPr>
    </w:lvl>
    <w:lvl w:ilvl="6" w:tplc="E4CCE776">
      <w:start w:val="1"/>
      <w:numFmt w:val="decimal"/>
      <w:lvlText w:val="%7."/>
      <w:lvlJc w:val="left"/>
      <w:pPr>
        <w:ind w:left="5040" w:hanging="360"/>
      </w:pPr>
    </w:lvl>
    <w:lvl w:ilvl="7" w:tplc="3904E19E">
      <w:start w:val="1"/>
      <w:numFmt w:val="lowerLetter"/>
      <w:lvlText w:val="%8."/>
      <w:lvlJc w:val="left"/>
      <w:pPr>
        <w:ind w:left="5760" w:hanging="360"/>
      </w:pPr>
    </w:lvl>
    <w:lvl w:ilvl="8" w:tplc="F00473FE">
      <w:start w:val="1"/>
      <w:numFmt w:val="lowerRoman"/>
      <w:lvlText w:val="%9."/>
      <w:lvlJc w:val="right"/>
      <w:pPr>
        <w:ind w:left="6480" w:hanging="180"/>
      </w:pPr>
    </w:lvl>
  </w:abstractNum>
  <w:abstractNum w:abstractNumId="26"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F0002C"/>
    <w:multiLevelType w:val="hybridMultilevel"/>
    <w:tmpl w:val="FFFFFFFF"/>
    <w:lvl w:ilvl="0" w:tplc="FFFFFFFF">
      <w:start w:val="1"/>
      <w:numFmt w:val="decimal"/>
      <w:lvlText w:val="%1."/>
      <w:lvlJc w:val="left"/>
      <w:pPr>
        <w:ind w:left="720" w:hanging="360"/>
      </w:pPr>
    </w:lvl>
    <w:lvl w:ilvl="1" w:tplc="7EBEC75C">
      <w:start w:val="1"/>
      <w:numFmt w:val="lowerLetter"/>
      <w:lvlText w:val="%2."/>
      <w:lvlJc w:val="left"/>
      <w:pPr>
        <w:ind w:left="1440" w:hanging="360"/>
      </w:pPr>
    </w:lvl>
    <w:lvl w:ilvl="2" w:tplc="A306C9D2">
      <w:start w:val="1"/>
      <w:numFmt w:val="lowerRoman"/>
      <w:lvlText w:val="%3."/>
      <w:lvlJc w:val="right"/>
      <w:pPr>
        <w:ind w:left="2160" w:hanging="180"/>
      </w:pPr>
    </w:lvl>
    <w:lvl w:ilvl="3" w:tplc="13003E7C">
      <w:start w:val="1"/>
      <w:numFmt w:val="decimal"/>
      <w:lvlText w:val="%4."/>
      <w:lvlJc w:val="left"/>
      <w:pPr>
        <w:ind w:left="2880" w:hanging="360"/>
      </w:pPr>
    </w:lvl>
    <w:lvl w:ilvl="4" w:tplc="64CC7B8C">
      <w:start w:val="1"/>
      <w:numFmt w:val="lowerLetter"/>
      <w:lvlText w:val="%5."/>
      <w:lvlJc w:val="left"/>
      <w:pPr>
        <w:ind w:left="3600" w:hanging="360"/>
      </w:pPr>
    </w:lvl>
    <w:lvl w:ilvl="5" w:tplc="5058B0AA">
      <w:start w:val="1"/>
      <w:numFmt w:val="lowerRoman"/>
      <w:lvlText w:val="%6."/>
      <w:lvlJc w:val="right"/>
      <w:pPr>
        <w:ind w:left="4320" w:hanging="180"/>
      </w:pPr>
    </w:lvl>
    <w:lvl w:ilvl="6" w:tplc="112C3C36">
      <w:start w:val="1"/>
      <w:numFmt w:val="decimal"/>
      <w:lvlText w:val="%7."/>
      <w:lvlJc w:val="left"/>
      <w:pPr>
        <w:ind w:left="5040" w:hanging="360"/>
      </w:pPr>
    </w:lvl>
    <w:lvl w:ilvl="7" w:tplc="4E66243C">
      <w:start w:val="1"/>
      <w:numFmt w:val="lowerLetter"/>
      <w:lvlText w:val="%8."/>
      <w:lvlJc w:val="left"/>
      <w:pPr>
        <w:ind w:left="5760" w:hanging="360"/>
      </w:pPr>
    </w:lvl>
    <w:lvl w:ilvl="8" w:tplc="73D09040">
      <w:start w:val="1"/>
      <w:numFmt w:val="lowerRoman"/>
      <w:lvlText w:val="%9."/>
      <w:lvlJc w:val="right"/>
      <w:pPr>
        <w:ind w:left="6480" w:hanging="180"/>
      </w:pPr>
    </w:lvl>
  </w:abstractNum>
  <w:abstractNum w:abstractNumId="28"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7C0F4C"/>
    <w:multiLevelType w:val="hybridMultilevel"/>
    <w:tmpl w:val="09A8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5A3B50"/>
    <w:multiLevelType w:val="hybridMultilevel"/>
    <w:tmpl w:val="FFFFFFFF"/>
    <w:lvl w:ilvl="0" w:tplc="5B4AABB8">
      <w:start w:val="1"/>
      <w:numFmt w:val="decimal"/>
      <w:lvlText w:val="%1."/>
      <w:lvlJc w:val="left"/>
      <w:pPr>
        <w:ind w:left="720" w:hanging="360"/>
      </w:pPr>
    </w:lvl>
    <w:lvl w:ilvl="1" w:tplc="2942263C">
      <w:start w:val="1"/>
      <w:numFmt w:val="lowerLetter"/>
      <w:lvlText w:val="%2."/>
      <w:lvlJc w:val="left"/>
      <w:pPr>
        <w:ind w:left="1440" w:hanging="360"/>
      </w:pPr>
    </w:lvl>
    <w:lvl w:ilvl="2" w:tplc="21703C36">
      <w:start w:val="1"/>
      <w:numFmt w:val="lowerRoman"/>
      <w:lvlText w:val="%3."/>
      <w:lvlJc w:val="right"/>
      <w:pPr>
        <w:ind w:left="2160" w:hanging="180"/>
      </w:pPr>
    </w:lvl>
    <w:lvl w:ilvl="3" w:tplc="6BD8A04A">
      <w:start w:val="1"/>
      <w:numFmt w:val="decimal"/>
      <w:lvlText w:val="%4."/>
      <w:lvlJc w:val="left"/>
      <w:pPr>
        <w:ind w:left="2880" w:hanging="360"/>
      </w:pPr>
    </w:lvl>
    <w:lvl w:ilvl="4" w:tplc="DBC2560E">
      <w:start w:val="1"/>
      <w:numFmt w:val="lowerLetter"/>
      <w:lvlText w:val="%5."/>
      <w:lvlJc w:val="left"/>
      <w:pPr>
        <w:ind w:left="3600" w:hanging="360"/>
      </w:pPr>
    </w:lvl>
    <w:lvl w:ilvl="5" w:tplc="E3E0A9D6">
      <w:start w:val="1"/>
      <w:numFmt w:val="lowerRoman"/>
      <w:lvlText w:val="%6."/>
      <w:lvlJc w:val="right"/>
      <w:pPr>
        <w:ind w:left="4320" w:hanging="180"/>
      </w:pPr>
    </w:lvl>
    <w:lvl w:ilvl="6" w:tplc="2408C450">
      <w:start w:val="1"/>
      <w:numFmt w:val="decimal"/>
      <w:lvlText w:val="%7."/>
      <w:lvlJc w:val="left"/>
      <w:pPr>
        <w:ind w:left="5040" w:hanging="360"/>
      </w:pPr>
    </w:lvl>
    <w:lvl w:ilvl="7" w:tplc="EB6E8C0C">
      <w:start w:val="1"/>
      <w:numFmt w:val="lowerLetter"/>
      <w:lvlText w:val="%8."/>
      <w:lvlJc w:val="left"/>
      <w:pPr>
        <w:ind w:left="5760" w:hanging="360"/>
      </w:pPr>
    </w:lvl>
    <w:lvl w:ilvl="8" w:tplc="2AD49576">
      <w:start w:val="1"/>
      <w:numFmt w:val="lowerRoman"/>
      <w:lvlText w:val="%9."/>
      <w:lvlJc w:val="right"/>
      <w:pPr>
        <w:ind w:left="6480" w:hanging="180"/>
      </w:pPr>
    </w:lvl>
  </w:abstractNum>
  <w:num w:numId="1">
    <w:abstractNumId w:val="23"/>
  </w:num>
  <w:num w:numId="2">
    <w:abstractNumId w:val="2"/>
  </w:num>
  <w:num w:numId="3">
    <w:abstractNumId w:val="19"/>
  </w:num>
  <w:num w:numId="4">
    <w:abstractNumId w:val="5"/>
  </w:num>
  <w:num w:numId="5">
    <w:abstractNumId w:val="12"/>
  </w:num>
  <w:num w:numId="6">
    <w:abstractNumId w:val="22"/>
  </w:num>
  <w:num w:numId="7">
    <w:abstractNumId w:val="25"/>
  </w:num>
  <w:num w:numId="8">
    <w:abstractNumId w:val="10"/>
  </w:num>
  <w:num w:numId="9">
    <w:abstractNumId w:val="6"/>
  </w:num>
  <w:num w:numId="10">
    <w:abstractNumId w:val="26"/>
  </w:num>
  <w:num w:numId="11">
    <w:abstractNumId w:val="28"/>
  </w:num>
  <w:num w:numId="12">
    <w:abstractNumId w:val="21"/>
  </w:num>
  <w:num w:numId="13">
    <w:abstractNumId w:val="0"/>
  </w:num>
  <w:num w:numId="14">
    <w:abstractNumId w:val="7"/>
  </w:num>
  <w:num w:numId="15">
    <w:abstractNumId w:val="8"/>
  </w:num>
  <w:num w:numId="16">
    <w:abstractNumId w:val="15"/>
  </w:num>
  <w:num w:numId="17">
    <w:abstractNumId w:val="30"/>
  </w:num>
  <w:num w:numId="18">
    <w:abstractNumId w:val="17"/>
  </w:num>
  <w:num w:numId="19">
    <w:abstractNumId w:val="13"/>
  </w:num>
  <w:num w:numId="20">
    <w:abstractNumId w:val="3"/>
  </w:num>
  <w:num w:numId="21">
    <w:abstractNumId w:val="24"/>
  </w:num>
  <w:num w:numId="22">
    <w:abstractNumId w:val="16"/>
  </w:num>
  <w:num w:numId="23">
    <w:abstractNumId w:val="1"/>
  </w:num>
  <w:num w:numId="24">
    <w:abstractNumId w:val="4"/>
  </w:num>
  <w:num w:numId="25">
    <w:abstractNumId w:val="9"/>
  </w:num>
  <w:num w:numId="26">
    <w:abstractNumId w:val="20"/>
  </w:num>
  <w:num w:numId="27">
    <w:abstractNumId w:val="27"/>
  </w:num>
  <w:num w:numId="28">
    <w:abstractNumId w:val="14"/>
  </w:num>
  <w:num w:numId="29">
    <w:abstractNumId w:val="11"/>
  </w:num>
  <w:num w:numId="30">
    <w:abstractNumId w:val="31"/>
  </w:num>
  <w:num w:numId="31">
    <w:abstractNumId w:val="29"/>
  </w:num>
  <w:num w:numId="3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est User">
    <w15:presenceInfo w15:providerId="AD" w15:userId="S::urn:spo:anon#b63da0e0a456f7e2f6718ab7a7fc7d515176cd33a2930797eb5890adf0ade4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15461"/>
    <w:rsid w:val="0005336E"/>
    <w:rsid w:val="000552B0"/>
    <w:rsid w:val="00066A8B"/>
    <w:rsid w:val="0007218D"/>
    <w:rsid w:val="000903CA"/>
    <w:rsid w:val="0009374B"/>
    <w:rsid w:val="000A55A2"/>
    <w:rsid w:val="000D48CD"/>
    <w:rsid w:val="001048CC"/>
    <w:rsid w:val="001818CC"/>
    <w:rsid w:val="00187699"/>
    <w:rsid w:val="00196895"/>
    <w:rsid w:val="00196ECB"/>
    <w:rsid w:val="001A4302"/>
    <w:rsid w:val="001C7922"/>
    <w:rsid w:val="001D78B1"/>
    <w:rsid w:val="00201DAF"/>
    <w:rsid w:val="00280D13"/>
    <w:rsid w:val="00294B67"/>
    <w:rsid w:val="002C25B4"/>
    <w:rsid w:val="00310685"/>
    <w:rsid w:val="0031780F"/>
    <w:rsid w:val="00356B46"/>
    <w:rsid w:val="00365927"/>
    <w:rsid w:val="00382FAF"/>
    <w:rsid w:val="00391A69"/>
    <w:rsid w:val="003B1EA6"/>
    <w:rsid w:val="003D5DD0"/>
    <w:rsid w:val="003D7E1F"/>
    <w:rsid w:val="003F05E3"/>
    <w:rsid w:val="003F4811"/>
    <w:rsid w:val="003F5D3C"/>
    <w:rsid w:val="00403A12"/>
    <w:rsid w:val="00486B88"/>
    <w:rsid w:val="00491D8F"/>
    <w:rsid w:val="004A1B04"/>
    <w:rsid w:val="004C4D79"/>
    <w:rsid w:val="004F320A"/>
    <w:rsid w:val="00536B1D"/>
    <w:rsid w:val="0053775A"/>
    <w:rsid w:val="00554A9E"/>
    <w:rsid w:val="005763D9"/>
    <w:rsid w:val="005D4785"/>
    <w:rsid w:val="005E3FCA"/>
    <w:rsid w:val="00604028"/>
    <w:rsid w:val="0061716A"/>
    <w:rsid w:val="00617F2C"/>
    <w:rsid w:val="00620BF7"/>
    <w:rsid w:val="00625DDE"/>
    <w:rsid w:val="006328AB"/>
    <w:rsid w:val="006439C8"/>
    <w:rsid w:val="0069611B"/>
    <w:rsid w:val="006C44C9"/>
    <w:rsid w:val="006E7794"/>
    <w:rsid w:val="006F19A5"/>
    <w:rsid w:val="00703B49"/>
    <w:rsid w:val="00710ACA"/>
    <w:rsid w:val="0071295D"/>
    <w:rsid w:val="00716EE4"/>
    <w:rsid w:val="007232F2"/>
    <w:rsid w:val="00750D39"/>
    <w:rsid w:val="007517E0"/>
    <w:rsid w:val="00786181"/>
    <w:rsid w:val="007A08D9"/>
    <w:rsid w:val="007A406E"/>
    <w:rsid w:val="007F32B1"/>
    <w:rsid w:val="008223D5"/>
    <w:rsid w:val="00873DCC"/>
    <w:rsid w:val="008A093F"/>
    <w:rsid w:val="008E55A5"/>
    <w:rsid w:val="00907771"/>
    <w:rsid w:val="00920412"/>
    <w:rsid w:val="00920588"/>
    <w:rsid w:val="00930122"/>
    <w:rsid w:val="0098003A"/>
    <w:rsid w:val="00987521"/>
    <w:rsid w:val="00992506"/>
    <w:rsid w:val="009A6A15"/>
    <w:rsid w:val="009C5076"/>
    <w:rsid w:val="009C7BCE"/>
    <w:rsid w:val="009D1CD5"/>
    <w:rsid w:val="009E0A06"/>
    <w:rsid w:val="009F02E1"/>
    <w:rsid w:val="00A05F51"/>
    <w:rsid w:val="00A067E5"/>
    <w:rsid w:val="00A06D7D"/>
    <w:rsid w:val="00A1502B"/>
    <w:rsid w:val="00A201C3"/>
    <w:rsid w:val="00A23844"/>
    <w:rsid w:val="00A7294B"/>
    <w:rsid w:val="00A95CC9"/>
    <w:rsid w:val="00A9734F"/>
    <w:rsid w:val="00AA7107"/>
    <w:rsid w:val="00AB3563"/>
    <w:rsid w:val="00B339E6"/>
    <w:rsid w:val="00B54124"/>
    <w:rsid w:val="00B6159A"/>
    <w:rsid w:val="00B97862"/>
    <w:rsid w:val="00BA35E3"/>
    <w:rsid w:val="00BF70FD"/>
    <w:rsid w:val="00C43815"/>
    <w:rsid w:val="00C50F2E"/>
    <w:rsid w:val="00C570D4"/>
    <w:rsid w:val="00C85F92"/>
    <w:rsid w:val="00C94B17"/>
    <w:rsid w:val="00CA7872"/>
    <w:rsid w:val="00CC3A13"/>
    <w:rsid w:val="00CE4E02"/>
    <w:rsid w:val="00CF5A05"/>
    <w:rsid w:val="00D23814"/>
    <w:rsid w:val="00D34C2E"/>
    <w:rsid w:val="00D37B11"/>
    <w:rsid w:val="00D47F3C"/>
    <w:rsid w:val="00D91A10"/>
    <w:rsid w:val="00DA36EC"/>
    <w:rsid w:val="00DD3EAA"/>
    <w:rsid w:val="00DD78A3"/>
    <w:rsid w:val="00DF60A0"/>
    <w:rsid w:val="00E52F69"/>
    <w:rsid w:val="00E547D6"/>
    <w:rsid w:val="00E57236"/>
    <w:rsid w:val="00E63AB5"/>
    <w:rsid w:val="00E65994"/>
    <w:rsid w:val="00E94A11"/>
    <w:rsid w:val="00ED63C8"/>
    <w:rsid w:val="00F0576C"/>
    <w:rsid w:val="00F16542"/>
    <w:rsid w:val="00F403B8"/>
    <w:rsid w:val="00F61FFB"/>
    <w:rsid w:val="00F62019"/>
    <w:rsid w:val="00F937C9"/>
    <w:rsid w:val="00F94F57"/>
    <w:rsid w:val="00FB7020"/>
    <w:rsid w:val="00FD434A"/>
    <w:rsid w:val="00FF23D4"/>
    <w:rsid w:val="04039078"/>
    <w:rsid w:val="04B6B6B7"/>
    <w:rsid w:val="0661BDB1"/>
    <w:rsid w:val="08B3D28A"/>
    <w:rsid w:val="0D34531D"/>
    <w:rsid w:val="0D5B97FC"/>
    <w:rsid w:val="0F0F287E"/>
    <w:rsid w:val="0F5C0DB7"/>
    <w:rsid w:val="0F73A9A8"/>
    <w:rsid w:val="0FD8D4FA"/>
    <w:rsid w:val="12D3D1C3"/>
    <w:rsid w:val="132B154A"/>
    <w:rsid w:val="16B7A2D3"/>
    <w:rsid w:val="17FF6BDE"/>
    <w:rsid w:val="18396094"/>
    <w:rsid w:val="19AB38CF"/>
    <w:rsid w:val="1FCA08EC"/>
    <w:rsid w:val="1FE5E622"/>
    <w:rsid w:val="2119E3AA"/>
    <w:rsid w:val="21A87A3F"/>
    <w:rsid w:val="220A03BB"/>
    <w:rsid w:val="22150A65"/>
    <w:rsid w:val="227F9D10"/>
    <w:rsid w:val="2343D4B1"/>
    <w:rsid w:val="23634142"/>
    <w:rsid w:val="272CA443"/>
    <w:rsid w:val="28EF9BE2"/>
    <w:rsid w:val="298BE4FC"/>
    <w:rsid w:val="2B6615BA"/>
    <w:rsid w:val="2BA0FCC6"/>
    <w:rsid w:val="2BFA73B2"/>
    <w:rsid w:val="309925DD"/>
    <w:rsid w:val="334A77B3"/>
    <w:rsid w:val="3360549C"/>
    <w:rsid w:val="3395E43C"/>
    <w:rsid w:val="340DE5DF"/>
    <w:rsid w:val="3869F36B"/>
    <w:rsid w:val="3A803C83"/>
    <w:rsid w:val="3CFFB186"/>
    <w:rsid w:val="3D7EC131"/>
    <w:rsid w:val="3EBCA262"/>
    <w:rsid w:val="4103A151"/>
    <w:rsid w:val="435BAFAB"/>
    <w:rsid w:val="4707DDF6"/>
    <w:rsid w:val="47262FB8"/>
    <w:rsid w:val="48C05FCF"/>
    <w:rsid w:val="48F020CB"/>
    <w:rsid w:val="49D5E35C"/>
    <w:rsid w:val="4AFD54B9"/>
    <w:rsid w:val="4E633BC5"/>
    <w:rsid w:val="4ECB91AA"/>
    <w:rsid w:val="5159FAB4"/>
    <w:rsid w:val="521001F2"/>
    <w:rsid w:val="55DAB05A"/>
    <w:rsid w:val="562C7C57"/>
    <w:rsid w:val="575B824B"/>
    <w:rsid w:val="5A9820ED"/>
    <w:rsid w:val="5CA7F484"/>
    <w:rsid w:val="5CAF7DD0"/>
    <w:rsid w:val="5E832D3A"/>
    <w:rsid w:val="5F4E7573"/>
    <w:rsid w:val="6644B922"/>
    <w:rsid w:val="68EF10E7"/>
    <w:rsid w:val="6E5823AF"/>
    <w:rsid w:val="6F4B5347"/>
    <w:rsid w:val="6FBED0B7"/>
    <w:rsid w:val="7049F913"/>
    <w:rsid w:val="72E7CDC9"/>
    <w:rsid w:val="73EF38F1"/>
    <w:rsid w:val="7467266B"/>
    <w:rsid w:val="74D53132"/>
    <w:rsid w:val="7921CD8F"/>
    <w:rsid w:val="7A0E6060"/>
    <w:rsid w:val="7B2C4356"/>
    <w:rsid w:val="7FD402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docId w15:val="{EBC12849-1112-47B1-A0FB-107F0D28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 w:type="character" w:customStyle="1" w:styleId="normaltextrun">
    <w:name w:val="normaltextrun"/>
    <w:basedOn w:val="DefaultParagraphFont"/>
    <w:rsid w:val="001A4302"/>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39949246">
      <w:bodyDiv w:val="1"/>
      <w:marLeft w:val="0"/>
      <w:marRight w:val="0"/>
      <w:marTop w:val="0"/>
      <w:marBottom w:val="0"/>
      <w:divBdr>
        <w:top w:val="none" w:sz="0" w:space="0" w:color="auto"/>
        <w:left w:val="none" w:sz="0" w:space="0" w:color="auto"/>
        <w:bottom w:val="none" w:sz="0" w:space="0" w:color="auto"/>
        <w:right w:val="none" w:sz="0" w:space="0" w:color="auto"/>
      </w:divBdr>
      <w:divsChild>
        <w:div w:id="1428774972">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 w:id="1442608360">
      <w:bodyDiv w:val="1"/>
      <w:marLeft w:val="0"/>
      <w:marRight w:val="0"/>
      <w:marTop w:val="0"/>
      <w:marBottom w:val="0"/>
      <w:divBdr>
        <w:top w:val="none" w:sz="0" w:space="0" w:color="auto"/>
        <w:left w:val="none" w:sz="0" w:space="0" w:color="auto"/>
        <w:bottom w:val="none" w:sz="0" w:space="0" w:color="auto"/>
        <w:right w:val="none" w:sz="0" w:space="0" w:color="auto"/>
      </w:divBdr>
    </w:div>
    <w:div w:id="186470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egon.gov/oha/PH/DISEASESCONDITIONS/COMMUNICABLEDISEASE/REPORTINGCOMMUNICABLEDISEASE/REPORTINGGUIDELINES/Documents/ntm.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F81F7-1E74-4D11-A186-B292C5CE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cp:lastModifiedBy>Puja Shah</cp:lastModifiedBy>
  <cp:revision>2</cp:revision>
  <dcterms:created xsi:type="dcterms:W3CDTF">2019-03-07T19:57:00Z</dcterms:created>
  <dcterms:modified xsi:type="dcterms:W3CDTF">2019-03-07T19:57:00Z</dcterms:modified>
</cp:coreProperties>
</file>