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17ED2" w14:textId="77777777" w:rsidR="00792F01" w:rsidRPr="00792F01" w:rsidRDefault="00792F01" w:rsidP="00792F01">
      <w:pPr>
        <w:pStyle w:val="Heading2"/>
        <w:spacing w:before="0" w:line="240" w:lineRule="auto"/>
        <w:rPr>
          <w:rFonts w:asciiTheme="minorHAnsi" w:eastAsia="Times New Roman" w:hAnsiTheme="minorHAnsi" w:cstheme="minorHAnsi"/>
          <w:b/>
          <w:i/>
          <w:color w:val="3296D2"/>
          <w:sz w:val="24"/>
          <w:szCs w:val="24"/>
        </w:rPr>
      </w:pPr>
      <w:r w:rsidRPr="00792F01">
        <w:rPr>
          <w:rFonts w:asciiTheme="minorHAnsi" w:eastAsia="Times New Roman" w:hAnsiTheme="minorHAnsi" w:cstheme="minorHAnsi"/>
          <w:b/>
          <w:color w:val="3296D2"/>
          <w:sz w:val="24"/>
          <w:szCs w:val="24"/>
        </w:rPr>
        <w:t xml:space="preserve">CORHA High-Level Guidance Chapter on Investigation of HAI/AR Outbreaks </w:t>
      </w:r>
      <w:r w:rsidRPr="00792F01">
        <w:rPr>
          <w:rFonts w:asciiTheme="minorHAnsi" w:eastAsia="Times New Roman" w:hAnsiTheme="minorHAnsi" w:cstheme="minorHAnsi"/>
          <w:i/>
          <w:color w:val="3296D2"/>
          <w:sz w:val="24"/>
          <w:szCs w:val="24"/>
        </w:rPr>
        <w:t>(</w:t>
      </w:r>
      <w:r>
        <w:rPr>
          <w:b/>
          <w:i/>
          <w:color w:val="3296D2"/>
          <w:sz w:val="24"/>
          <w:szCs w:val="24"/>
        </w:rPr>
        <w:t>Draft)</w:t>
      </w:r>
    </w:p>
    <w:p w14:paraId="079B24A5" w14:textId="77777777" w:rsidR="00792F01" w:rsidRPr="00792F01" w:rsidRDefault="00792F01" w:rsidP="00792F01">
      <w:pPr>
        <w:spacing w:after="0" w:line="240" w:lineRule="auto"/>
        <w:rPr>
          <w:b/>
          <w:color w:val="3296D2"/>
          <w:sz w:val="24"/>
          <w:szCs w:val="24"/>
        </w:rPr>
      </w:pPr>
    </w:p>
    <w:p w14:paraId="65D98636" w14:textId="77777777" w:rsidR="00792F01" w:rsidRPr="00792F01" w:rsidRDefault="00792F01" w:rsidP="00792F01">
      <w:pPr>
        <w:pBdr>
          <w:bottom w:val="single" w:sz="6" w:space="1" w:color="auto"/>
        </w:pBdr>
        <w:spacing w:after="0" w:line="240" w:lineRule="auto"/>
        <w:rPr>
          <w:rFonts w:ascii="Calibri" w:eastAsia="Calibri" w:hAnsi="Calibri" w:cs="Avenir 55 Roman"/>
          <w:b/>
          <w:sz w:val="24"/>
          <w:szCs w:val="24"/>
        </w:rPr>
      </w:pPr>
      <w:r w:rsidRPr="00792F01">
        <w:rPr>
          <w:rFonts w:ascii="Calibri" w:eastAsia="Calibri" w:hAnsi="Calibri" w:cs="Avenir 55 Roman"/>
          <w:b/>
          <w:sz w:val="24"/>
          <w:szCs w:val="24"/>
          <w:highlight w:val="yellow"/>
        </w:rPr>
        <w:t>NOTE: This is a “living document” so, as CORHA materials are developed, links will be inserted where appropriate.</w:t>
      </w:r>
    </w:p>
    <w:p w14:paraId="64FEAF44" w14:textId="77777777" w:rsidR="00792F01" w:rsidRPr="00792F01" w:rsidRDefault="00792F01" w:rsidP="00792F01">
      <w:pPr>
        <w:spacing w:after="0" w:line="240" w:lineRule="auto"/>
        <w:rPr>
          <w:rFonts w:ascii="Calibri" w:eastAsia="Calibri" w:hAnsi="Calibri" w:cs="Avenir 55 Roman"/>
          <w:b/>
          <w:sz w:val="24"/>
          <w:szCs w:val="24"/>
        </w:rPr>
      </w:pPr>
      <w:commentRangeStart w:id="0"/>
    </w:p>
    <w:p w14:paraId="1996A1E4" w14:textId="77777777" w:rsidR="00792F01" w:rsidRDefault="00792F01" w:rsidP="00792F01">
      <w:pPr>
        <w:spacing w:after="0" w:line="240" w:lineRule="auto"/>
        <w:jc w:val="center"/>
        <w:rPr>
          <w:rFonts w:ascii="Calibri" w:eastAsia="Calibri" w:hAnsi="Calibri" w:cs="Avenir 55 Roman"/>
          <w:b/>
          <w:sz w:val="24"/>
          <w:szCs w:val="24"/>
        </w:rPr>
      </w:pPr>
      <w:r w:rsidRPr="00792F01">
        <w:rPr>
          <w:rFonts w:ascii="Calibri" w:eastAsia="Calibri" w:hAnsi="Calibri" w:cs="Avenir 55 Roman"/>
          <w:b/>
          <w:sz w:val="24"/>
          <w:szCs w:val="24"/>
        </w:rPr>
        <w:t>Responding to Possible Healthcare-Associated Infection or Antibiotic-Resistant Organism (HAI-AR) Outbreaks</w:t>
      </w:r>
      <w:commentRangeEnd w:id="0"/>
      <w:r w:rsidRPr="00792F01">
        <w:rPr>
          <w:rStyle w:val="CommentReference"/>
          <w:sz w:val="24"/>
          <w:szCs w:val="24"/>
        </w:rPr>
        <w:commentReference w:id="0"/>
      </w:r>
    </w:p>
    <w:p w14:paraId="42CD67AB" w14:textId="77777777" w:rsidR="00792F01" w:rsidRPr="00792F01" w:rsidRDefault="00792F01" w:rsidP="00792F01">
      <w:pPr>
        <w:spacing w:after="0" w:line="240" w:lineRule="auto"/>
        <w:jc w:val="center"/>
        <w:rPr>
          <w:rFonts w:ascii="Calibri" w:eastAsia="Calibri" w:hAnsi="Calibri" w:cs="Avenir 55 Roman"/>
          <w:b/>
          <w:sz w:val="24"/>
          <w:szCs w:val="24"/>
        </w:rPr>
      </w:pPr>
      <w:bookmarkStart w:id="1" w:name="_GoBack"/>
      <w:bookmarkEnd w:id="1"/>
    </w:p>
    <w:p w14:paraId="5D0EDBAB" w14:textId="77777777" w:rsidR="00792F01" w:rsidRPr="007E58C5" w:rsidRDefault="00792F01" w:rsidP="00792F01">
      <w:pPr>
        <w:spacing w:line="240" w:lineRule="auto"/>
        <w:rPr>
          <w:rFonts w:ascii="Calibri" w:eastAsia="Calibri" w:hAnsi="Calibri" w:cs="Avenir 55 Roman"/>
          <w:b/>
        </w:rPr>
      </w:pPr>
      <w:commentRangeStart w:id="2"/>
      <w:r w:rsidRPr="007E58C5">
        <w:rPr>
          <w:rFonts w:ascii="Calibri" w:eastAsia="Calibri" w:hAnsi="Calibri" w:cs="Avenir 55 Roman"/>
          <w:b/>
          <w:sz w:val="28"/>
        </w:rPr>
        <w:t>Introduction</w:t>
      </w:r>
      <w:commentRangeEnd w:id="2"/>
      <w:r>
        <w:rPr>
          <w:rStyle w:val="CommentReference"/>
        </w:rPr>
        <w:commentReference w:id="2"/>
      </w:r>
    </w:p>
    <w:p w14:paraId="1E0E1314"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This guidance was developed to inform the investigation and control of possible HAI-AR outbreaks by public health and healthcare system partners. We use the term </w:t>
      </w:r>
      <w:r w:rsidRPr="007E58C5">
        <w:rPr>
          <w:rFonts w:ascii="Calibri" w:eastAsia="Calibri" w:hAnsi="Calibri" w:cs="Times New Roman"/>
          <w:i/>
        </w:rPr>
        <w:t>response</w:t>
      </w:r>
      <w:r w:rsidRPr="007E58C5">
        <w:rPr>
          <w:rFonts w:ascii="Calibri" w:eastAsia="Calibri" w:hAnsi="Calibri" w:cs="Times New Roman"/>
        </w:rPr>
        <w:t xml:space="preserve"> to describe efforts to assess and investigate specific, acute HAI-AR risks, which may take the form of (1) a serious breach in infection control practice, (2) a sentinel case of public health significance (e.g., an unusual HAI or emerging AR threat of public health significance), or (3) a possible or confirmed outbreak.</w:t>
      </w:r>
    </w:p>
    <w:p w14:paraId="1CFEA595"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The type of investigation and appropriate level of response will vary depending on several factors, including the nature of the initial report. Possible HAI outbreaks can be identified by routine, laboratory-based surveillance; routine infection surveillance; or reports from individual healthcare personnel who detect unusual events. </w:t>
      </w:r>
    </w:p>
    <w:p w14:paraId="70230B42"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A systematic approach is necessary to examine the nature and scope of the problem, identify the etiologic agent, define the population at risk, establish the existence of an outbreak, determine risk factors and routes of transmission</w:t>
      </w:r>
      <w:commentRangeStart w:id="3"/>
      <w:r w:rsidRPr="007E58C5">
        <w:rPr>
          <w:rFonts w:ascii="Calibri" w:eastAsia="Calibri" w:hAnsi="Calibri" w:cs="Times New Roman"/>
        </w:rPr>
        <w:t xml:space="preserve">, implement appropriate control measures </w:t>
      </w:r>
      <w:commentRangeEnd w:id="3"/>
      <w:r>
        <w:rPr>
          <w:rStyle w:val="CommentReference"/>
        </w:rPr>
        <w:commentReference w:id="3"/>
      </w:r>
      <w:r w:rsidRPr="007E58C5">
        <w:rPr>
          <w:rFonts w:ascii="Calibri" w:eastAsia="Calibri" w:hAnsi="Calibri" w:cs="Times New Roman"/>
        </w:rPr>
        <w:t xml:space="preserve">and develop strategies to prevent future occurrences. </w:t>
      </w:r>
    </w:p>
    <w:p w14:paraId="0B73E3C8"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While hospitals and other healthcare facilities are responsible for prevention and control practices on their premises, public health officials are responsible for ensuring the health and safety of the population within their jurisdiction, including residents and visitors alike. In this capacity, public health authorities may provide healthcare facilities assistance with epidemiological analyses, laboratory testing, environmental assessments, and other tasks necessary for disease control. Public health partners for HAI-AR response often include state or local health departments, as well as federal agencies such as the Centers for Disease Control and Prevention (CDC) or the Food and Drug Administration (FDA).</w:t>
      </w:r>
    </w:p>
    <w:p w14:paraId="77F62C6C" w14:textId="77777777" w:rsidR="00792F01"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This chapter reviews the key elements and steps involved in an HAI-AR response. The content is geared toward situations involving unexplained clusters of infections (i.e., a potential outbreak). For guidance pertaining to the investigation of serious infection control breaches or sentinel cases of emerging pathogens and AR threats, please refer to the </w:t>
      </w:r>
      <w:hyperlink r:id="rId10" w:history="1">
        <w:r w:rsidRPr="007E58C5">
          <w:rPr>
            <w:rFonts w:ascii="Calibri" w:eastAsia="Calibri" w:hAnsi="Calibri" w:cs="Times New Roman"/>
            <w:color w:val="0563C1"/>
            <w:u w:val="single"/>
          </w:rPr>
          <w:t>www.CDC.gov</w:t>
        </w:r>
      </w:hyperlink>
      <w:r w:rsidRPr="007E58C5">
        <w:rPr>
          <w:rFonts w:ascii="Calibri" w:eastAsia="Calibri" w:hAnsi="Calibri" w:cs="Times New Roman"/>
        </w:rPr>
        <w:t xml:space="preserve"> and www.CORHA.org websites.</w:t>
      </w:r>
    </w:p>
    <w:p w14:paraId="3A1310FD" w14:textId="77777777" w:rsidR="00792F01" w:rsidRDefault="00792F01" w:rsidP="00792F01">
      <w:pPr>
        <w:spacing w:line="240" w:lineRule="auto"/>
        <w:rPr>
          <w:rFonts w:ascii="Calibri" w:eastAsia="Calibri" w:hAnsi="Calibri" w:cs="Times New Roman"/>
        </w:rPr>
      </w:pPr>
    </w:p>
    <w:p w14:paraId="087F872A" w14:textId="77777777" w:rsidR="00792F01" w:rsidRDefault="00792F01" w:rsidP="00792F01">
      <w:pPr>
        <w:spacing w:line="240" w:lineRule="auto"/>
        <w:rPr>
          <w:rFonts w:ascii="Calibri" w:eastAsia="Calibri" w:hAnsi="Calibri" w:cs="Times New Roman"/>
        </w:rPr>
      </w:pPr>
    </w:p>
    <w:p w14:paraId="1F711427" w14:textId="77777777" w:rsidR="00792F01" w:rsidRPr="007E58C5" w:rsidRDefault="00792F01" w:rsidP="00792F01">
      <w:pPr>
        <w:spacing w:line="240" w:lineRule="auto"/>
        <w:rPr>
          <w:rFonts w:ascii="Calibri" w:eastAsia="Calibri" w:hAnsi="Calibri" w:cs="Times New Roman"/>
        </w:rPr>
      </w:pPr>
    </w:p>
    <w:p w14:paraId="501ED0FE" w14:textId="77777777" w:rsidR="00792F01" w:rsidRPr="007E58C5" w:rsidRDefault="00792F01" w:rsidP="00792F01">
      <w:pPr>
        <w:spacing w:line="240" w:lineRule="auto"/>
        <w:rPr>
          <w:rFonts w:ascii="Calibri" w:eastAsia="Calibri" w:hAnsi="Calibri" w:cs="Avenir 55 Roman"/>
          <w:b/>
          <w:sz w:val="28"/>
        </w:rPr>
      </w:pPr>
      <w:commentRangeStart w:id="4"/>
      <w:r w:rsidRPr="007E58C5">
        <w:rPr>
          <w:rFonts w:ascii="Calibri" w:eastAsia="Calibri" w:hAnsi="Calibri" w:cs="Avenir 55 Roman"/>
          <w:b/>
          <w:sz w:val="28"/>
        </w:rPr>
        <w:t>Key Elements to Successfully Conduct Outbreak Investigations</w:t>
      </w:r>
      <w:commentRangeEnd w:id="4"/>
      <w:r>
        <w:rPr>
          <w:rStyle w:val="CommentReference"/>
        </w:rPr>
        <w:commentReference w:id="4"/>
      </w:r>
    </w:p>
    <w:p w14:paraId="49447C49" w14:textId="77777777" w:rsidR="00792F01" w:rsidRPr="007E58C5" w:rsidRDefault="00792F01" w:rsidP="00792F01">
      <w:pPr>
        <w:spacing w:line="240" w:lineRule="auto"/>
        <w:rPr>
          <w:rFonts w:ascii="Calibri" w:eastAsia="Calibri" w:hAnsi="Calibri" w:cs="Times New Roman"/>
          <w:b/>
        </w:rPr>
      </w:pPr>
      <w:r w:rsidRPr="007E58C5">
        <w:rPr>
          <w:rFonts w:ascii="Calibri" w:eastAsia="Calibri" w:hAnsi="Calibri" w:cs="Times New Roman"/>
          <w:b/>
        </w:rPr>
        <w:t>Overview of Activities</w:t>
      </w:r>
    </w:p>
    <w:p w14:paraId="6360D874"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During an investigation, activities </w:t>
      </w:r>
      <w:r w:rsidRPr="007E58C5">
        <w:rPr>
          <w:rFonts w:ascii="Calibri" w:eastAsia="Calibri" w:hAnsi="Calibri" w:cs="Times New Roman"/>
          <w:i/>
        </w:rPr>
        <w:t>may</w:t>
      </w:r>
      <w:r w:rsidRPr="007E58C5">
        <w:rPr>
          <w:rFonts w:ascii="Calibri" w:eastAsia="Calibri" w:hAnsi="Calibri" w:cs="Times New Roman"/>
        </w:rPr>
        <w:t xml:space="preserve"> involve:</w:t>
      </w:r>
    </w:p>
    <w:p w14:paraId="155CD57A"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lastRenderedPageBreak/>
        <w:t xml:space="preserve">• </w:t>
      </w:r>
      <w:r>
        <w:rPr>
          <w:rFonts w:ascii="Calibri" w:eastAsia="Calibri" w:hAnsi="Calibri" w:cs="Times New Roman"/>
        </w:rPr>
        <w:t xml:space="preserve">Formulating your case definition (person, place, or time) </w:t>
      </w:r>
      <w:r w:rsidRPr="007E58C5">
        <w:rPr>
          <w:rFonts w:ascii="Calibri" w:eastAsia="Calibri" w:hAnsi="Calibri" w:cs="Times New Roman"/>
        </w:rPr>
        <w:t xml:space="preserve">Case finding, including efforts to identify potentially at-risk patients and ascertain their status </w:t>
      </w:r>
      <w:proofErr w:type="gramStart"/>
      <w:r w:rsidRPr="007E58C5">
        <w:rPr>
          <w:rFonts w:ascii="Calibri" w:eastAsia="Calibri" w:hAnsi="Calibri" w:cs="Times New Roman"/>
        </w:rPr>
        <w:t>with regard to</w:t>
      </w:r>
      <w:proofErr w:type="gramEnd"/>
      <w:r w:rsidRPr="007E58C5">
        <w:rPr>
          <w:rFonts w:ascii="Calibri" w:eastAsia="Calibri" w:hAnsi="Calibri" w:cs="Times New Roman"/>
        </w:rPr>
        <w:t xml:space="preserve"> signs, symptoms or laboratory evidence of infection; </w:t>
      </w:r>
    </w:p>
    <w:p w14:paraId="25765C0C"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 Assessments of healthcare practices to identify breaks in infection control; </w:t>
      </w:r>
    </w:p>
    <w:p w14:paraId="48B61113"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Epidemiologic studies to evaluate potential sources of exposure, routes of transmission, and disease risk factors;</w:t>
      </w:r>
    </w:p>
    <w:p w14:paraId="0BB9E225"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Laboratory studies to identify and characterize the etiologic agent (e.g., determine its drug-resistance profile) and the patients’ infection/colonization status;</w:t>
      </w:r>
    </w:p>
    <w:p w14:paraId="7525498E"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Laboratory studies to establish the relatedness of strains obtained from patients, healthcare personnel, medical products, or the healthcare environment;</w:t>
      </w:r>
    </w:p>
    <w:p w14:paraId="3283BB8E"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Environmental studies that incorporate sampling and testing to identify possible microbial reservoirs, evaluate possible routes of transmission, and inform control measures;</w:t>
      </w:r>
    </w:p>
    <w:p w14:paraId="02BF10E1"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The quarantine or collection of potentially contaminated medical products (e.g., devices, medications, etc.), if indicated;</w:t>
      </w:r>
    </w:p>
    <w:p w14:paraId="76F7367E"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Implementation and monitoring of control measures to correct deficient practices and stop the spread of the infectious agent;</w:t>
      </w:r>
    </w:p>
    <w:p w14:paraId="04F266CE"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and</w:t>
      </w:r>
    </w:p>
    <w:p w14:paraId="625EADF2"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Communication with regulatory partners (e.g., the FDA, accreditation agencies, state survey agencies, professional licensing boards, etc.) to relate findings that might prompt regulatory action to improve the safety of medical products or to remedy lapses in patient care (see Table I); and</w:t>
      </w:r>
    </w:p>
    <w:p w14:paraId="65441732"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Communication with healthcare providers, healthcare administrators, patients, and others, as necessary to ensure appropriate awareness of investigation findings;</w:t>
      </w:r>
    </w:p>
    <w:tbl>
      <w:tblPr>
        <w:tblStyle w:val="TableGrid1"/>
        <w:tblW w:w="9702" w:type="dxa"/>
        <w:tblLook w:val="04A0" w:firstRow="1" w:lastRow="0" w:firstColumn="1" w:lastColumn="0" w:noHBand="0" w:noVBand="1"/>
      </w:tblPr>
      <w:tblGrid>
        <w:gridCol w:w="3921"/>
        <w:gridCol w:w="5781"/>
      </w:tblGrid>
      <w:tr w:rsidR="00792F01" w:rsidRPr="007E58C5" w14:paraId="6975E210" w14:textId="77777777" w:rsidTr="00792F01">
        <w:tc>
          <w:tcPr>
            <w:tcW w:w="9702" w:type="dxa"/>
            <w:gridSpan w:val="2"/>
          </w:tcPr>
          <w:p w14:paraId="003AC3CB" w14:textId="77777777" w:rsidR="00792F01" w:rsidRPr="007E58C5" w:rsidRDefault="00792F01" w:rsidP="00F034EA">
            <w:pPr>
              <w:spacing w:after="160" w:line="259" w:lineRule="auto"/>
              <w:jc w:val="center"/>
              <w:rPr>
                <w:rFonts w:ascii="Calibri" w:eastAsia="Calibri" w:hAnsi="Calibri" w:cs="Times New Roman"/>
                <w:b/>
              </w:rPr>
            </w:pPr>
            <w:commentRangeStart w:id="5"/>
            <w:r w:rsidRPr="007E58C5">
              <w:rPr>
                <w:rFonts w:ascii="Calibri" w:eastAsia="Calibri" w:hAnsi="Calibri" w:cs="Times New Roman"/>
                <w:b/>
              </w:rPr>
              <w:t>Table I:  Regulatory Partners*</w:t>
            </w:r>
            <w:commentRangeEnd w:id="5"/>
            <w:r>
              <w:rPr>
                <w:rStyle w:val="CommentReference"/>
              </w:rPr>
              <w:commentReference w:id="5"/>
            </w:r>
          </w:p>
        </w:tc>
      </w:tr>
      <w:tr w:rsidR="00792F01" w:rsidRPr="007E58C5" w14:paraId="35CA3357" w14:textId="77777777" w:rsidTr="00792F01">
        <w:tc>
          <w:tcPr>
            <w:tcW w:w="3921" w:type="dxa"/>
          </w:tcPr>
          <w:p w14:paraId="6A6E7D2B" w14:textId="77777777" w:rsidR="00792F01" w:rsidRPr="007E58C5" w:rsidRDefault="00792F01" w:rsidP="00F034EA">
            <w:pPr>
              <w:spacing w:after="160" w:line="259" w:lineRule="auto"/>
              <w:rPr>
                <w:rFonts w:ascii="Calibri" w:eastAsia="Calibri" w:hAnsi="Calibri" w:cs="Times New Roman"/>
                <w:b/>
              </w:rPr>
            </w:pPr>
            <w:r w:rsidRPr="007E58C5">
              <w:rPr>
                <w:rFonts w:ascii="Calibri" w:eastAsia="Calibri" w:hAnsi="Calibri" w:cs="Times New Roman"/>
                <w:b/>
              </w:rPr>
              <w:t>Type of Event</w:t>
            </w:r>
          </w:p>
        </w:tc>
        <w:tc>
          <w:tcPr>
            <w:tcW w:w="5778" w:type="dxa"/>
          </w:tcPr>
          <w:p w14:paraId="2BC4BE6D" w14:textId="77777777" w:rsidR="00792F01" w:rsidRPr="007E58C5" w:rsidRDefault="00792F01" w:rsidP="00F034EA">
            <w:pPr>
              <w:spacing w:after="160" w:line="259" w:lineRule="auto"/>
              <w:rPr>
                <w:rFonts w:ascii="Calibri" w:eastAsia="Calibri" w:hAnsi="Calibri" w:cs="Times New Roman"/>
                <w:b/>
              </w:rPr>
            </w:pPr>
            <w:r w:rsidRPr="007E58C5">
              <w:rPr>
                <w:rFonts w:ascii="Calibri" w:eastAsia="Calibri" w:hAnsi="Calibri" w:cs="Times New Roman"/>
                <w:b/>
              </w:rPr>
              <w:t>Agency</w:t>
            </w:r>
          </w:p>
        </w:tc>
      </w:tr>
      <w:tr w:rsidR="00792F01" w:rsidRPr="007E58C5" w14:paraId="4BD7011C" w14:textId="77777777" w:rsidTr="00792F01">
        <w:tc>
          <w:tcPr>
            <w:tcW w:w="3921" w:type="dxa"/>
          </w:tcPr>
          <w:p w14:paraId="29205EFB" w14:textId="77777777" w:rsidR="00792F01" w:rsidRPr="007E58C5" w:rsidRDefault="00792F01" w:rsidP="00F034EA">
            <w:pPr>
              <w:rPr>
                <w:rFonts w:ascii="Calibri" w:eastAsia="Calibri" w:hAnsi="Calibri" w:cs="Times New Roman"/>
              </w:rPr>
            </w:pPr>
            <w:r w:rsidRPr="007E58C5">
              <w:rPr>
                <w:rFonts w:ascii="Calibri" w:eastAsia="Calibri" w:hAnsi="Calibri" w:cs="Times New Roman"/>
              </w:rPr>
              <w:t>Potentially contaminated medical product or device</w:t>
            </w:r>
          </w:p>
        </w:tc>
        <w:tc>
          <w:tcPr>
            <w:tcW w:w="5778" w:type="dxa"/>
          </w:tcPr>
          <w:p w14:paraId="59E89CDF" w14:textId="77777777" w:rsidR="00792F01" w:rsidRPr="007E58C5" w:rsidRDefault="00792F01" w:rsidP="00F034EA">
            <w:pPr>
              <w:rPr>
                <w:rFonts w:ascii="Calibri" w:eastAsia="Calibri" w:hAnsi="Calibri" w:cs="Times New Roman"/>
              </w:rPr>
            </w:pPr>
            <w:r w:rsidRPr="007E58C5">
              <w:rPr>
                <w:rFonts w:ascii="Calibri" w:eastAsia="Calibri" w:hAnsi="Calibri" w:cs="Times New Roman"/>
              </w:rPr>
              <w:t xml:space="preserve">Food and Drug Administration </w:t>
            </w:r>
            <w:r w:rsidRPr="007E58C5">
              <w:rPr>
                <w:rFonts w:ascii="Calibri" w:eastAsia="Calibri" w:hAnsi="Calibri" w:cs="Times New Roman"/>
                <w:i/>
              </w:rPr>
              <w:t>and</w:t>
            </w:r>
            <w:r w:rsidRPr="007E58C5">
              <w:rPr>
                <w:rFonts w:ascii="Calibri" w:eastAsia="Calibri" w:hAnsi="Calibri" w:cs="Times New Roman"/>
              </w:rPr>
              <w:t xml:space="preserve"> product manufacturer</w:t>
            </w:r>
          </w:p>
        </w:tc>
      </w:tr>
      <w:tr w:rsidR="00792F01" w:rsidRPr="007E58C5" w14:paraId="44E83BDC" w14:textId="77777777" w:rsidTr="00792F01">
        <w:trPr>
          <w:trHeight w:val="300"/>
        </w:trPr>
        <w:tc>
          <w:tcPr>
            <w:tcW w:w="3921" w:type="dxa"/>
          </w:tcPr>
          <w:p w14:paraId="125270CE" w14:textId="77777777" w:rsidR="00792F01" w:rsidRPr="007E58C5" w:rsidRDefault="00792F01" w:rsidP="00F034EA">
            <w:pPr>
              <w:rPr>
                <w:rFonts w:ascii="Calibri" w:eastAsia="Calibri" w:hAnsi="Calibri" w:cs="Times New Roman"/>
              </w:rPr>
            </w:pPr>
            <w:r w:rsidRPr="007E58C5">
              <w:rPr>
                <w:rFonts w:ascii="Calibri" w:eastAsia="Calibri" w:hAnsi="Calibri" w:cs="Times New Roman"/>
              </w:rPr>
              <w:t>Infection control breach in licensed health care setting</w:t>
            </w:r>
          </w:p>
        </w:tc>
        <w:tc>
          <w:tcPr>
            <w:tcW w:w="5778" w:type="dxa"/>
          </w:tcPr>
          <w:p w14:paraId="7FBE5C4F" w14:textId="77777777" w:rsidR="00792F01" w:rsidRPr="007E58C5" w:rsidRDefault="00792F01" w:rsidP="00F034EA">
            <w:pPr>
              <w:rPr>
                <w:rFonts w:ascii="Calibri" w:eastAsia="Calibri" w:hAnsi="Calibri" w:cs="Times New Roman"/>
              </w:rPr>
            </w:pPr>
            <w:r w:rsidRPr="007E58C5">
              <w:rPr>
                <w:rFonts w:ascii="Calibri" w:eastAsia="Calibri" w:hAnsi="Calibri" w:cs="Times New Roman"/>
              </w:rPr>
              <w:t>State regulatory agency and public health agency</w:t>
            </w:r>
          </w:p>
        </w:tc>
      </w:tr>
      <w:tr w:rsidR="00792F01" w:rsidRPr="007E58C5" w14:paraId="53A0F8F1" w14:textId="77777777" w:rsidTr="00792F01">
        <w:trPr>
          <w:trHeight w:val="246"/>
        </w:trPr>
        <w:tc>
          <w:tcPr>
            <w:tcW w:w="3921" w:type="dxa"/>
          </w:tcPr>
          <w:p w14:paraId="1C4D35D3" w14:textId="77777777" w:rsidR="00792F01" w:rsidRPr="007E58C5" w:rsidRDefault="00792F01" w:rsidP="00F034EA">
            <w:pPr>
              <w:rPr>
                <w:rFonts w:ascii="Calibri" w:eastAsia="Calibri" w:hAnsi="Calibri" w:cs="Times New Roman"/>
              </w:rPr>
            </w:pPr>
            <w:r w:rsidRPr="007E58C5">
              <w:rPr>
                <w:rFonts w:ascii="Calibri" w:eastAsia="Calibri" w:hAnsi="Calibri" w:cs="Times New Roman"/>
              </w:rPr>
              <w:t>Infection control breach in private practice setting</w:t>
            </w:r>
          </w:p>
        </w:tc>
        <w:tc>
          <w:tcPr>
            <w:tcW w:w="5778" w:type="dxa"/>
          </w:tcPr>
          <w:p w14:paraId="59169D64" w14:textId="77777777" w:rsidR="00792F01" w:rsidRPr="007E58C5" w:rsidRDefault="00792F01" w:rsidP="00F034EA">
            <w:pPr>
              <w:rPr>
                <w:rFonts w:ascii="Calibri" w:eastAsia="Calibri" w:hAnsi="Calibri" w:cs="Times New Roman"/>
              </w:rPr>
            </w:pPr>
            <w:r w:rsidRPr="007E58C5">
              <w:rPr>
                <w:rFonts w:ascii="Calibri" w:eastAsia="Calibri" w:hAnsi="Calibri" w:cs="Times New Roman"/>
              </w:rPr>
              <w:t>Professional licensure board and public health agency</w:t>
            </w:r>
          </w:p>
        </w:tc>
      </w:tr>
      <w:tr w:rsidR="00792F01" w:rsidRPr="007E58C5" w14:paraId="09A7F532" w14:textId="77777777" w:rsidTr="00792F01">
        <w:trPr>
          <w:trHeight w:val="246"/>
        </w:trPr>
        <w:tc>
          <w:tcPr>
            <w:tcW w:w="3921" w:type="dxa"/>
          </w:tcPr>
          <w:p w14:paraId="617B19CE" w14:textId="77777777" w:rsidR="00792F01" w:rsidRPr="007E58C5" w:rsidRDefault="00792F01" w:rsidP="00F034EA">
            <w:pPr>
              <w:rPr>
                <w:rFonts w:ascii="Calibri" w:eastAsia="Calibri" w:hAnsi="Calibri" w:cs="Times New Roman"/>
              </w:rPr>
            </w:pPr>
            <w:r w:rsidRPr="007E58C5">
              <w:rPr>
                <w:rFonts w:ascii="Calibri" w:eastAsia="Calibri" w:hAnsi="Calibri" w:cs="Times New Roman"/>
              </w:rPr>
              <w:t xml:space="preserve">Drug diversion (e.g., theft or tampering) </w:t>
            </w:r>
          </w:p>
        </w:tc>
        <w:tc>
          <w:tcPr>
            <w:tcW w:w="5778" w:type="dxa"/>
          </w:tcPr>
          <w:p w14:paraId="4A99CF06" w14:textId="77777777" w:rsidR="00792F01" w:rsidRPr="007E58C5" w:rsidRDefault="00792F01" w:rsidP="00F034EA">
            <w:pPr>
              <w:rPr>
                <w:rFonts w:ascii="Calibri" w:eastAsia="Calibri" w:hAnsi="Calibri" w:cs="Times New Roman"/>
              </w:rPr>
            </w:pPr>
            <w:r w:rsidRPr="007E58C5">
              <w:rPr>
                <w:rFonts w:ascii="Calibri" w:eastAsia="Calibri" w:hAnsi="Calibri" w:cs="Times New Roman"/>
              </w:rPr>
              <w:t>Professional licensure board, public health agency, and law enforcement agency</w:t>
            </w:r>
          </w:p>
        </w:tc>
      </w:tr>
      <w:tr w:rsidR="00792F01" w:rsidRPr="007E58C5" w14:paraId="50D20BA1" w14:textId="77777777" w:rsidTr="00792F01">
        <w:trPr>
          <w:trHeight w:val="246"/>
        </w:trPr>
        <w:tc>
          <w:tcPr>
            <w:tcW w:w="9702" w:type="dxa"/>
            <w:gridSpan w:val="2"/>
          </w:tcPr>
          <w:p w14:paraId="0B7634BE" w14:textId="77777777" w:rsidR="00792F01" w:rsidRPr="007E58C5" w:rsidRDefault="00792F01" w:rsidP="00F034EA">
            <w:pPr>
              <w:rPr>
                <w:rFonts w:ascii="Calibri" w:eastAsia="Calibri" w:hAnsi="Calibri" w:cs="Times New Roman"/>
              </w:rPr>
            </w:pPr>
          </w:p>
        </w:tc>
      </w:tr>
      <w:tr w:rsidR="00792F01" w:rsidRPr="007E58C5" w14:paraId="30911E7B" w14:textId="77777777" w:rsidTr="00792F01">
        <w:trPr>
          <w:trHeight w:val="246"/>
        </w:trPr>
        <w:tc>
          <w:tcPr>
            <w:tcW w:w="9702" w:type="dxa"/>
            <w:gridSpan w:val="2"/>
          </w:tcPr>
          <w:p w14:paraId="2514F894" w14:textId="77777777" w:rsidR="00792F01" w:rsidRPr="007E58C5" w:rsidRDefault="00792F01" w:rsidP="00F034EA">
            <w:pPr>
              <w:rPr>
                <w:rFonts w:ascii="Calibri" w:eastAsia="Calibri" w:hAnsi="Calibri" w:cs="Times New Roman"/>
              </w:rPr>
            </w:pPr>
            <w:r w:rsidRPr="007E58C5">
              <w:rPr>
                <w:rFonts w:ascii="Calibri" w:eastAsia="Calibri" w:hAnsi="Calibri" w:cs="Times New Roman"/>
              </w:rPr>
              <w:t>*State and local laws differ, and additional notifications may be applicable.</w:t>
            </w:r>
          </w:p>
        </w:tc>
      </w:tr>
    </w:tbl>
    <w:p w14:paraId="4A4B30EC" w14:textId="77777777" w:rsidR="00792F01" w:rsidRPr="007E58C5" w:rsidRDefault="00792F01" w:rsidP="00792F01">
      <w:pPr>
        <w:spacing w:line="240" w:lineRule="auto"/>
        <w:rPr>
          <w:rFonts w:ascii="Calibri" w:eastAsia="Calibri" w:hAnsi="Calibri" w:cs="Times New Roman"/>
        </w:rPr>
      </w:pPr>
    </w:p>
    <w:p w14:paraId="41A09837" w14:textId="77777777" w:rsidR="00792F01" w:rsidRPr="007E58C5" w:rsidRDefault="00792F01" w:rsidP="00792F01">
      <w:pPr>
        <w:spacing w:line="240" w:lineRule="auto"/>
        <w:rPr>
          <w:rFonts w:ascii="Calibri" w:eastAsia="Calibri" w:hAnsi="Calibri" w:cs="Times New Roman"/>
          <w:b/>
          <w:iCs/>
        </w:rPr>
      </w:pPr>
      <w:commentRangeStart w:id="6"/>
      <w:r w:rsidRPr="007E58C5">
        <w:rPr>
          <w:rFonts w:ascii="Calibri" w:eastAsia="Calibri" w:hAnsi="Calibri" w:cs="Times New Roman"/>
          <w:b/>
          <w:iCs/>
        </w:rPr>
        <w:t>Communication and Coordination</w:t>
      </w:r>
      <w:commentRangeEnd w:id="6"/>
      <w:r>
        <w:rPr>
          <w:rStyle w:val="CommentReference"/>
        </w:rPr>
        <w:commentReference w:id="6"/>
      </w:r>
    </w:p>
    <w:p w14:paraId="48FC3E96"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Although most steps in an outbreak investigation follow a logical process—from determining whether an outbreak exists to identifying and controlling the source—multiple steps may occur concurrently. </w:t>
      </w:r>
      <w:r w:rsidRPr="007E58C5">
        <w:rPr>
          <w:rFonts w:ascii="Calibri" w:eastAsia="Calibri" w:hAnsi="Calibri" w:cs="Times New Roman"/>
        </w:rPr>
        <w:lastRenderedPageBreak/>
        <w:t xml:space="preserve">Maintaining close communication and coordination among members of the outbreak investigation team is the best way to ensure concurrent activities are synergistic, to maximize the use of resources, to avoid duplicating or omitting critical activities, and to hasten implementation of appropriate control measures. </w:t>
      </w:r>
    </w:p>
    <w:p w14:paraId="0FF9DAB6" w14:textId="77777777" w:rsidR="00792F01" w:rsidRPr="007E58C5" w:rsidRDefault="00792F01" w:rsidP="00792F01">
      <w:pPr>
        <w:spacing w:line="240" w:lineRule="auto"/>
        <w:rPr>
          <w:rFonts w:ascii="Calibri" w:eastAsia="Calibri" w:hAnsi="Calibri" w:cs="Avenir 55 Roman"/>
        </w:rPr>
      </w:pPr>
      <w:r w:rsidRPr="007E58C5">
        <w:rPr>
          <w:rFonts w:ascii="Calibri" w:eastAsia="Calibri" w:hAnsi="Calibri" w:cs="Avenir 55 Roman"/>
          <w:b/>
        </w:rPr>
        <w:t>Multijurisdictional Considerations for Outbreak Investigations</w:t>
      </w:r>
    </w:p>
    <w:p w14:paraId="7F481FE7"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Increased reliance on large-scale manufacturing and the global distribution of medical products (devices, medications, etc.) has increased the likelihood of outbreaks affecting multiple jurisdictions. Local and state health agencies must be sensitive to potential regional or national implications of any local outbreak, especially those due to a potentially contaminated product or defect in a medical device. </w:t>
      </w:r>
    </w:p>
    <w:p w14:paraId="0CFCCC12" w14:textId="77777777" w:rsidR="00792F01" w:rsidRPr="007E58C5" w:rsidRDefault="00792F01" w:rsidP="00792F01">
      <w:pPr>
        <w:spacing w:line="240" w:lineRule="auto"/>
        <w:rPr>
          <w:rFonts w:ascii="Calibri" w:eastAsia="Calibri" w:hAnsi="Calibri" w:cs="Times New Roman"/>
          <w:b/>
          <w:iCs/>
        </w:rPr>
      </w:pPr>
      <w:commentRangeStart w:id="7"/>
      <w:r w:rsidRPr="007E58C5">
        <w:rPr>
          <w:rFonts w:ascii="Calibri" w:eastAsia="Calibri" w:hAnsi="Calibri" w:cs="Times New Roman"/>
          <w:b/>
          <w:iCs/>
        </w:rPr>
        <w:t xml:space="preserve">Preliminary Assessment </w:t>
      </w:r>
      <w:commentRangeEnd w:id="7"/>
      <w:r>
        <w:rPr>
          <w:rStyle w:val="CommentReference"/>
        </w:rPr>
        <w:commentReference w:id="7"/>
      </w:r>
    </w:p>
    <w:p w14:paraId="592D786C"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Investigators should begin by establishing the existence of an outbreak and generating hypotheses about potential sources of infection. These hypotheses will be refined in an iterative process as additional information becomes available. Key steps in this process include the following: </w:t>
      </w:r>
    </w:p>
    <w:p w14:paraId="4071B5AE"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Obtain background rates of infection for the facility, community or specific patient population, if available.</w:t>
      </w:r>
    </w:p>
    <w:p w14:paraId="6553A402"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Determine how the implicated agent was identified and request that specimens or microbial isolates be saved and made available for further testing, if necessary.</w:t>
      </w:r>
    </w:p>
    <w:p w14:paraId="54C7CBB9"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 Consult available reference tools, guides, peer-reviewed literature, or subject matter experts to identify the most likely host, agent, exposure pathways and environmental factors associated with the infection or condition.  </w:t>
      </w:r>
    </w:p>
    <w:p w14:paraId="0FDF60BC"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Consider the need for instituting immediate corrective actions or other preliminary control measures.</w:t>
      </w:r>
    </w:p>
    <w:p w14:paraId="078ECEB0"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 Examine the descriptive epidemiology of cases to identify patient, locational, or temporal characteristics that might suggest a </w:t>
      </w:r>
      <w:proofErr w:type="gramStart"/>
      <w:r w:rsidRPr="007E58C5">
        <w:rPr>
          <w:rFonts w:ascii="Calibri" w:eastAsia="Calibri" w:hAnsi="Calibri" w:cs="Times New Roman"/>
        </w:rPr>
        <w:t>particular exposure</w:t>
      </w:r>
      <w:proofErr w:type="gramEnd"/>
      <w:r w:rsidRPr="007E58C5">
        <w:rPr>
          <w:rFonts w:ascii="Calibri" w:eastAsia="Calibri" w:hAnsi="Calibri" w:cs="Times New Roman"/>
        </w:rPr>
        <w:t>.</w:t>
      </w:r>
    </w:p>
    <w:p w14:paraId="0C9BE6DF"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Interview facility staff (e.g., clinical team members, laboratorians, infection control staff, etc.) to identify potential commonalities among cases and potential exposures.</w:t>
      </w:r>
      <w:r w:rsidRPr="007E58C5" w:rsidDel="00A31F90">
        <w:rPr>
          <w:rFonts w:ascii="Calibri" w:eastAsia="Calibri" w:hAnsi="Calibri" w:cs="Times New Roman"/>
        </w:rPr>
        <w:t xml:space="preserve"> </w:t>
      </w:r>
    </w:p>
    <w:p w14:paraId="53F49D93"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Based on this information, investigators can identify possible exposures for further evaluation by epidemiologic, laboratory, or environmental studies. </w:t>
      </w:r>
    </w:p>
    <w:p w14:paraId="6A4E02D1" w14:textId="77777777" w:rsidR="00792F01" w:rsidRPr="007E58C5" w:rsidRDefault="00792F01" w:rsidP="00792F01">
      <w:pPr>
        <w:spacing w:line="240" w:lineRule="auto"/>
        <w:rPr>
          <w:rFonts w:ascii="Calibri" w:eastAsia="Calibri" w:hAnsi="Calibri" w:cs="Times New Roman"/>
          <w:b/>
          <w:iCs/>
        </w:rPr>
      </w:pPr>
      <w:r w:rsidRPr="007E58C5">
        <w:rPr>
          <w:rFonts w:ascii="Calibri" w:eastAsia="Calibri" w:hAnsi="Calibri" w:cs="Times New Roman"/>
          <w:b/>
          <w:iCs/>
        </w:rPr>
        <w:t xml:space="preserve">Standardized Data Collection Forms </w:t>
      </w:r>
    </w:p>
    <w:p w14:paraId="4DCEF3C7"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The use of standardized data collection forms ensures that pertinent information is collected from all patients, medical records and other sources for subsequent systematic analysis. In addition, the use of standardized data elements (e.g., same variable names and attributes) will enhance data sharing and comparisons of exposures between cases and controls and/or within different healthcare facilities/jurisdictions, if indicated. </w:t>
      </w:r>
    </w:p>
    <w:p w14:paraId="176AE9B2"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The Council for Outbreak Response: Healthcare-associated Infections and Antimicrobial Resistance (CORHA) provides examples of questionnaires used by various health departments to collect exposure information for different pathogens and infection types. These may be used “as is” or adapted to meet the needs of a specific investigation. </w:t>
      </w:r>
    </w:p>
    <w:p w14:paraId="7B940151" w14:textId="77777777" w:rsidR="00792F01" w:rsidRPr="007E58C5" w:rsidRDefault="00792F01" w:rsidP="00792F01">
      <w:pPr>
        <w:spacing w:line="240" w:lineRule="auto"/>
        <w:rPr>
          <w:rFonts w:ascii="Calibri" w:eastAsia="Calibri" w:hAnsi="Calibri" w:cs="Times New Roman"/>
          <w:b/>
          <w:iCs/>
        </w:rPr>
      </w:pPr>
      <w:commentRangeStart w:id="8"/>
      <w:r w:rsidRPr="007E58C5">
        <w:rPr>
          <w:rFonts w:ascii="Calibri" w:eastAsia="Calibri" w:hAnsi="Calibri" w:cs="Times New Roman"/>
          <w:b/>
          <w:iCs/>
        </w:rPr>
        <w:t>Privacy of Individuals, Patients and Their Families</w:t>
      </w:r>
      <w:commentRangeEnd w:id="8"/>
      <w:r>
        <w:rPr>
          <w:rStyle w:val="CommentReference"/>
        </w:rPr>
        <w:commentReference w:id="8"/>
      </w:r>
    </w:p>
    <w:p w14:paraId="78036E58"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lastRenderedPageBreak/>
        <w:t>All outbreak investigations involve collections of private information, such as patient names and medical records, that must be protected from public disclosure. All members of the investigation team—epidemiologists, laboratorians, environmental health specialists, and healthcare personnel—must follow data security practices and comply with relevant state and federal laws, including the Health Insurance Portability and Accountability Act (HIPAA).</w:t>
      </w:r>
    </w:p>
    <w:p w14:paraId="36AD11CB" w14:textId="77777777" w:rsidR="00792F01" w:rsidRPr="007E58C5" w:rsidRDefault="00792F01" w:rsidP="00792F01">
      <w:pPr>
        <w:spacing w:line="240" w:lineRule="auto"/>
        <w:rPr>
          <w:rFonts w:ascii="Calibri" w:eastAsia="Calibri" w:hAnsi="Calibri" w:cs="Avenir 55 Roman"/>
          <w:b/>
          <w:sz w:val="24"/>
        </w:rPr>
      </w:pPr>
      <w:r w:rsidRPr="007E58C5">
        <w:rPr>
          <w:rFonts w:ascii="Calibri" w:eastAsia="Calibri" w:hAnsi="Calibri" w:cs="Avenir 55 Roman"/>
          <w:b/>
          <w:sz w:val="28"/>
        </w:rPr>
        <w:t>Cluster and Outbreak Investigation Procedures</w:t>
      </w:r>
    </w:p>
    <w:p w14:paraId="28905AE9" w14:textId="77777777" w:rsidR="00792F01" w:rsidRPr="007E58C5" w:rsidRDefault="00792F01" w:rsidP="00792F01">
      <w:pPr>
        <w:spacing w:line="240" w:lineRule="auto"/>
        <w:rPr>
          <w:rFonts w:ascii="Calibri" w:eastAsia="Calibri" w:hAnsi="Calibri" w:cs="Times New Roman"/>
          <w:b/>
        </w:rPr>
      </w:pPr>
      <w:commentRangeStart w:id="9"/>
      <w:r w:rsidRPr="007E58C5">
        <w:rPr>
          <w:rFonts w:ascii="Calibri" w:eastAsia="Calibri" w:hAnsi="Calibri" w:cs="Times New Roman"/>
          <w:b/>
        </w:rPr>
        <w:t xml:space="preserve">Establishing the Existence of an Outbreak </w:t>
      </w:r>
      <w:commentRangeEnd w:id="9"/>
      <w:r>
        <w:rPr>
          <w:rStyle w:val="CommentReference"/>
        </w:rPr>
        <w:commentReference w:id="9"/>
      </w:r>
    </w:p>
    <w:p w14:paraId="44FC5F08"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iCs/>
        </w:rPr>
        <w:t xml:space="preserve">For reports of infection related to a specific microorganism, procedure, device, clinical setting, and/or clinical service, the following questions should be answered: </w:t>
      </w:r>
    </w:p>
    <w:p w14:paraId="20D68D33"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What is the background rate of infection for the specific organism or site of infection?</w:t>
      </w:r>
    </w:p>
    <w:p w14:paraId="61F3A874"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When was the first case detected (date of disease onset or date of specimen collection)?</w:t>
      </w:r>
    </w:p>
    <w:p w14:paraId="5B925C8E"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 How many cases have been identified to date and what methods of detection were used? Are there efforts underway to </w:t>
      </w:r>
      <w:commentRangeStart w:id="10"/>
      <w:r w:rsidRPr="007E58C5">
        <w:rPr>
          <w:rFonts w:ascii="Calibri" w:eastAsia="Calibri" w:hAnsi="Calibri" w:cs="Times New Roman"/>
        </w:rPr>
        <w:t>expand case finding activities?</w:t>
      </w:r>
      <w:commentRangeEnd w:id="10"/>
      <w:r>
        <w:rPr>
          <w:rStyle w:val="CommentReference"/>
        </w:rPr>
        <w:commentReference w:id="10"/>
      </w:r>
    </w:p>
    <w:p w14:paraId="18F59B70"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 What symptoms or sites of infection have been involved?  </w:t>
      </w:r>
    </w:p>
    <w:p w14:paraId="2158E816"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What is the severity of illness (colonization, infection, hospitalization/readmission, re-operation, death, etc.) associated with the cases?</w:t>
      </w:r>
    </w:p>
    <w:p w14:paraId="6ACC6A02"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How many patients were likely to be exposed during the timeframe in which the cases occurred? (If indicated, numbers of personnel or visitors should be assessed as well.)</w:t>
      </w:r>
    </w:p>
    <w:p w14:paraId="3F0BBCA6"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If the number of cases exceeds what would be expected for the patient population in a given timeframe, or if the facility reports a previously unrecognized pathogen/type of infection, further investigation is warranted. A single case may constitute an outbreak. Likewise, if concerning infection control deficiencies are identified as part of the initial report or preliminary assessment, the investigation should continue. </w:t>
      </w:r>
    </w:p>
    <w:p w14:paraId="4050F1C3" w14:textId="77777777" w:rsidR="00792F01" w:rsidRPr="007E58C5" w:rsidRDefault="00792F01" w:rsidP="00792F01">
      <w:pPr>
        <w:spacing w:line="240" w:lineRule="auto"/>
        <w:rPr>
          <w:rFonts w:ascii="Calibri" w:eastAsia="Calibri" w:hAnsi="Calibri" w:cs="Times New Roman"/>
          <w:b/>
          <w:iCs/>
        </w:rPr>
      </w:pPr>
      <w:r w:rsidRPr="007E58C5">
        <w:rPr>
          <w:rFonts w:ascii="Calibri" w:eastAsia="Calibri" w:hAnsi="Calibri" w:cs="Times New Roman"/>
          <w:b/>
          <w:iCs/>
        </w:rPr>
        <w:t xml:space="preserve">Assemble and Brief the Investigation Team </w:t>
      </w:r>
    </w:p>
    <w:p w14:paraId="7C57AE49"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iCs/>
        </w:rPr>
        <w:t>The urgency and intensity of the investigation should be based upon the potential for ongoing transmission and harm, which, in turn, is based on infection type, illness severity, and populations likely to be affected (e.g., infants, elderly persons, pregnant women, immunocompromised persons, etc.).</w:t>
      </w:r>
      <w:r w:rsidRPr="007E58C5">
        <w:rPr>
          <w:rFonts w:ascii="Calibri" w:eastAsia="Calibri" w:hAnsi="Calibri" w:cs="Times New Roman"/>
        </w:rPr>
        <w:t xml:space="preserve"> </w:t>
      </w:r>
    </w:p>
    <w:p w14:paraId="4AC62EAA"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Members of the investigation team should be introduced to one another, assigned roles and receive regular briefings on current developments in the investigation. In the event of a large, complex or lengthy investigation, the investigation team should assess the availability of additional staff to assist with its work and consider implementing an incident command structure to formalize roles and communications. Consider the roles and responsibilities of the affected healthcare facility(</w:t>
      </w:r>
      <w:proofErr w:type="spellStart"/>
      <w:r w:rsidRPr="007E58C5">
        <w:rPr>
          <w:rFonts w:ascii="Calibri" w:eastAsia="Calibri" w:hAnsi="Calibri" w:cs="Times New Roman"/>
        </w:rPr>
        <w:t>ies</w:t>
      </w:r>
      <w:proofErr w:type="spellEnd"/>
      <w:r w:rsidRPr="007E58C5">
        <w:rPr>
          <w:rFonts w:ascii="Calibri" w:eastAsia="Calibri" w:hAnsi="Calibri" w:cs="Times New Roman"/>
        </w:rPr>
        <w:t>) and their staff; communicate essential details of the investigation team’s approach and expectations regarding the facility(</w:t>
      </w:r>
      <w:proofErr w:type="spellStart"/>
      <w:r w:rsidRPr="007E58C5">
        <w:rPr>
          <w:rFonts w:ascii="Calibri" w:eastAsia="Calibri" w:hAnsi="Calibri" w:cs="Times New Roman"/>
        </w:rPr>
        <w:t>ies</w:t>
      </w:r>
      <w:proofErr w:type="spellEnd"/>
      <w:r w:rsidRPr="007E58C5">
        <w:rPr>
          <w:rFonts w:ascii="Calibri" w:eastAsia="Calibri" w:hAnsi="Calibri" w:cs="Times New Roman"/>
        </w:rPr>
        <w:t xml:space="preserve">) contributions to the investigation. </w:t>
      </w:r>
    </w:p>
    <w:p w14:paraId="2FF90B3F"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For outbreaks involving multiple facilities or jurisdictions, the investigation team should include members from all agencies participating in the investigation and designate one individual as the team lead. </w:t>
      </w:r>
    </w:p>
    <w:p w14:paraId="0031416A"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For outbreaks that may involve a contaminated drug or medical device, the investigation team should notify and engage appropriate regulatory partners (e.g., US FDA, state pharmacy board).</w:t>
      </w:r>
    </w:p>
    <w:p w14:paraId="7CA72498"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lastRenderedPageBreak/>
        <w:t xml:space="preserve">If the investigation cannot be managed with local resources due to its scale, complexity or limited agency expertise, help should be requested as soon as possible from local, state, or federal agencies. </w:t>
      </w:r>
    </w:p>
    <w:p w14:paraId="3333D80D" w14:textId="77777777" w:rsidR="00792F01" w:rsidRPr="007E58C5" w:rsidRDefault="00792F01" w:rsidP="00792F01">
      <w:pPr>
        <w:spacing w:line="240" w:lineRule="auto"/>
        <w:rPr>
          <w:rFonts w:ascii="Calibri" w:eastAsia="Calibri" w:hAnsi="Calibri" w:cs="Times New Roman"/>
        </w:rPr>
      </w:pPr>
      <w:commentRangeStart w:id="11"/>
      <w:r w:rsidRPr="007E58C5">
        <w:rPr>
          <w:rFonts w:ascii="Calibri" w:eastAsia="Calibri" w:hAnsi="Calibri" w:cs="Times New Roman"/>
          <w:b/>
        </w:rPr>
        <w:t>Verify the Diagnosis</w:t>
      </w:r>
      <w:r w:rsidRPr="007E58C5">
        <w:rPr>
          <w:rFonts w:ascii="Calibri" w:eastAsia="Calibri" w:hAnsi="Calibri" w:cs="Times New Roman"/>
        </w:rPr>
        <w:t xml:space="preserve"> </w:t>
      </w:r>
      <w:commentRangeEnd w:id="11"/>
      <w:r>
        <w:rPr>
          <w:rStyle w:val="CommentReference"/>
        </w:rPr>
        <w:commentReference w:id="11"/>
      </w:r>
    </w:p>
    <w:p w14:paraId="66F4441C"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The facility’s laboratory should be involved in the investigation as soon as a cluster, outbreak, or unusual event is suspected. Any clinical specimens, microbial isolates or environmental samples should be secured in a manner that facilitates further evaluation and laboratory safety.</w:t>
      </w:r>
    </w:p>
    <w:p w14:paraId="43E5DAC3"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If an unusual microorganism is suspected in the outbreak, it is essential to confirm laboratory test results. This may be achieved via a review of test methods or additional testing at either the same laboratory or a reference laboratory, such as the state public health laboratory.  </w:t>
      </w:r>
    </w:p>
    <w:p w14:paraId="64063697"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Previous laboratory records should be reviewed to identify any possible, earlier unidentified cases. </w:t>
      </w:r>
    </w:p>
    <w:p w14:paraId="5D693132" w14:textId="77777777" w:rsidR="00792F01" w:rsidRPr="007E58C5" w:rsidRDefault="00792F01" w:rsidP="00792F01">
      <w:pPr>
        <w:spacing w:line="240" w:lineRule="auto"/>
        <w:rPr>
          <w:rFonts w:ascii="Calibri" w:eastAsia="Calibri" w:hAnsi="Calibri" w:cs="Times New Roman"/>
          <w:b/>
        </w:rPr>
      </w:pPr>
      <w:r w:rsidRPr="007E58C5">
        <w:rPr>
          <w:rFonts w:ascii="Calibri" w:eastAsia="Calibri" w:hAnsi="Calibri" w:cs="Times New Roman"/>
          <w:b/>
        </w:rPr>
        <w:t>Establish Case Definition and Classification Criteria</w:t>
      </w:r>
    </w:p>
    <w:p w14:paraId="27912C0C" w14:textId="77777777" w:rsidR="00792F01" w:rsidRPr="007E58C5" w:rsidRDefault="00792F01" w:rsidP="00792F01">
      <w:pPr>
        <w:spacing w:after="0" w:line="240" w:lineRule="auto"/>
        <w:rPr>
          <w:rFonts w:ascii="Calibri" w:eastAsia="Calibri" w:hAnsi="Calibri" w:cs="Times New Roman"/>
        </w:rPr>
      </w:pPr>
      <w:r w:rsidRPr="007E58C5">
        <w:rPr>
          <w:rFonts w:ascii="Calibri" w:eastAsia="Times New Roman" w:hAnsi="Calibri" w:cs="Times New Roman"/>
          <w:color w:val="000000"/>
          <w:shd w:val="clear" w:color="auto" w:fill="FFFFFF"/>
        </w:rPr>
        <w:t>A case definition describes the clinical and/or laboratory-based criteria for deciding whether an individual patient should be included in the investigation</w:t>
      </w:r>
      <w:r w:rsidRPr="007E58C5">
        <w:rPr>
          <w:rFonts w:ascii="Calibri" w:eastAsia="Calibri" w:hAnsi="Calibri" w:cs="Times New Roman"/>
        </w:rPr>
        <w:t xml:space="preserve">. When drafting the definition, it is better to begin with broad criteria that err on the side of sensitivity and then to refine the case definition over time as additional evidence accumulates.  </w:t>
      </w:r>
    </w:p>
    <w:p w14:paraId="07539CE2" w14:textId="77777777" w:rsidR="00792F01" w:rsidRPr="007E58C5" w:rsidRDefault="00792F01" w:rsidP="00792F01">
      <w:pPr>
        <w:spacing w:after="0" w:line="240" w:lineRule="auto"/>
        <w:rPr>
          <w:rFonts w:ascii="Calibri" w:eastAsia="Calibri" w:hAnsi="Calibri" w:cs="Times New Roman"/>
        </w:rPr>
      </w:pPr>
    </w:p>
    <w:p w14:paraId="2DB63962" w14:textId="77777777" w:rsidR="00792F01" w:rsidRPr="007E58C5" w:rsidRDefault="00792F01" w:rsidP="00792F01">
      <w:pPr>
        <w:spacing w:line="240" w:lineRule="auto"/>
        <w:rPr>
          <w:rFonts w:ascii="Calibri" w:eastAsia="Times New Roman" w:hAnsi="Calibri" w:cs="Times New Roman"/>
          <w:color w:val="000000"/>
          <w:shd w:val="clear" w:color="auto" w:fill="FFFFFF"/>
        </w:rPr>
      </w:pPr>
      <w:r w:rsidRPr="007E58C5">
        <w:rPr>
          <w:rFonts w:ascii="Calibri" w:eastAsia="Times New Roman" w:hAnsi="Calibri" w:cs="Times New Roman"/>
          <w:color w:val="000000"/>
          <w:shd w:val="clear" w:color="auto" w:fill="FFFFFF"/>
        </w:rPr>
        <w:t xml:space="preserve">Investigators often create different subcategories within a case definition, such as a </w:t>
      </w:r>
      <w:r w:rsidRPr="007E58C5">
        <w:rPr>
          <w:rFonts w:ascii="Calibri" w:eastAsia="Times New Roman" w:hAnsi="Calibri" w:cs="Times New Roman"/>
          <w:i/>
          <w:color w:val="000000"/>
          <w:shd w:val="clear" w:color="auto" w:fill="FFFFFF"/>
        </w:rPr>
        <w:t>confirmed case</w:t>
      </w:r>
      <w:r w:rsidRPr="007E58C5">
        <w:rPr>
          <w:rFonts w:ascii="Calibri" w:eastAsia="Times New Roman" w:hAnsi="Calibri" w:cs="Times New Roman"/>
          <w:color w:val="000000"/>
          <w:shd w:val="clear" w:color="auto" w:fill="FFFFFF"/>
        </w:rPr>
        <w:t xml:space="preserve">, </w:t>
      </w:r>
      <w:r w:rsidRPr="007E58C5">
        <w:rPr>
          <w:rFonts w:ascii="Calibri" w:eastAsia="Times New Roman" w:hAnsi="Calibri" w:cs="Times New Roman"/>
          <w:i/>
          <w:color w:val="000000"/>
          <w:shd w:val="clear" w:color="auto" w:fill="FFFFFF"/>
        </w:rPr>
        <w:t>probable case</w:t>
      </w:r>
      <w:r w:rsidRPr="007E58C5">
        <w:rPr>
          <w:rFonts w:ascii="Calibri" w:eastAsia="Times New Roman" w:hAnsi="Calibri" w:cs="Times New Roman"/>
          <w:color w:val="000000"/>
          <w:shd w:val="clear" w:color="auto" w:fill="FFFFFF"/>
        </w:rPr>
        <w:t xml:space="preserve">, and </w:t>
      </w:r>
      <w:r w:rsidRPr="007E58C5">
        <w:rPr>
          <w:rFonts w:ascii="Calibri" w:eastAsia="Times New Roman" w:hAnsi="Calibri" w:cs="Times New Roman"/>
          <w:i/>
          <w:color w:val="000000"/>
          <w:shd w:val="clear" w:color="auto" w:fill="FFFFFF"/>
        </w:rPr>
        <w:t>possible or suspected case</w:t>
      </w:r>
      <w:r w:rsidRPr="007E58C5">
        <w:rPr>
          <w:rFonts w:ascii="Calibri" w:eastAsia="Times New Roman" w:hAnsi="Calibri" w:cs="Times New Roman"/>
          <w:color w:val="000000"/>
          <w:shd w:val="clear" w:color="auto" w:fill="FFFFFF"/>
        </w:rPr>
        <w:t>. Confirmed cases usually require laboratory verification. A probable case usually has typical clinical features of the disease without laboratory confirmation. A possible or suspected case usually has fewer of the typical clinical features than a probable case and has no laboratory confirmation. </w:t>
      </w:r>
    </w:p>
    <w:p w14:paraId="42C42FAE" w14:textId="77777777" w:rsidR="00792F01" w:rsidRPr="007E58C5" w:rsidRDefault="00792F01" w:rsidP="00792F01">
      <w:pPr>
        <w:spacing w:line="240" w:lineRule="auto"/>
        <w:rPr>
          <w:rFonts w:ascii="Calibri" w:eastAsia="Times New Roman" w:hAnsi="Calibri" w:cs="Times New Roman"/>
        </w:rPr>
      </w:pPr>
      <w:r w:rsidRPr="007E58C5">
        <w:rPr>
          <w:rFonts w:ascii="Calibri" w:eastAsia="Times New Roman" w:hAnsi="Calibri" w:cs="Times New Roman"/>
          <w:color w:val="000000"/>
          <w:shd w:val="clear" w:color="auto" w:fill="FFFFFF"/>
        </w:rPr>
        <w:t xml:space="preserve">Patients may move from one category to another as additional information becomes available. Thus, for example, a case might be temporarily classified as </w:t>
      </w:r>
      <w:r w:rsidRPr="007E58C5">
        <w:rPr>
          <w:rFonts w:ascii="Calibri" w:eastAsia="Times New Roman" w:hAnsi="Calibri" w:cs="Times New Roman"/>
          <w:i/>
          <w:color w:val="000000"/>
          <w:shd w:val="clear" w:color="auto" w:fill="FFFFFF"/>
        </w:rPr>
        <w:t>probable</w:t>
      </w:r>
      <w:r w:rsidRPr="007E58C5">
        <w:rPr>
          <w:rFonts w:ascii="Calibri" w:eastAsia="Times New Roman" w:hAnsi="Calibri" w:cs="Times New Roman"/>
          <w:color w:val="000000"/>
          <w:shd w:val="clear" w:color="auto" w:fill="FFFFFF"/>
        </w:rPr>
        <w:t xml:space="preserve"> or </w:t>
      </w:r>
      <w:r w:rsidRPr="007E58C5">
        <w:rPr>
          <w:rFonts w:ascii="Calibri" w:eastAsia="Times New Roman" w:hAnsi="Calibri" w:cs="Times New Roman"/>
          <w:i/>
          <w:color w:val="000000"/>
          <w:shd w:val="clear" w:color="auto" w:fill="FFFFFF"/>
        </w:rPr>
        <w:t>possible</w:t>
      </w:r>
      <w:r w:rsidRPr="007E58C5">
        <w:rPr>
          <w:rFonts w:ascii="Calibri" w:eastAsia="Times New Roman" w:hAnsi="Calibri" w:cs="Times New Roman"/>
          <w:color w:val="000000"/>
          <w:shd w:val="clear" w:color="auto" w:fill="FFFFFF"/>
        </w:rPr>
        <w:t xml:space="preserve"> while laboratory results are pending. Alternatively, a case may be permanently classified as </w:t>
      </w:r>
      <w:r w:rsidRPr="007E58C5">
        <w:rPr>
          <w:rFonts w:ascii="Calibri" w:eastAsia="Times New Roman" w:hAnsi="Calibri" w:cs="Times New Roman"/>
          <w:i/>
          <w:color w:val="000000"/>
          <w:shd w:val="clear" w:color="auto" w:fill="FFFFFF"/>
        </w:rPr>
        <w:t>probable</w:t>
      </w:r>
      <w:r w:rsidRPr="007E58C5">
        <w:rPr>
          <w:rFonts w:ascii="Calibri" w:eastAsia="Times New Roman" w:hAnsi="Calibri" w:cs="Times New Roman"/>
          <w:color w:val="000000"/>
          <w:shd w:val="clear" w:color="auto" w:fill="FFFFFF"/>
        </w:rPr>
        <w:t xml:space="preserve"> or </w:t>
      </w:r>
      <w:r w:rsidRPr="007E58C5">
        <w:rPr>
          <w:rFonts w:ascii="Calibri" w:eastAsia="Times New Roman" w:hAnsi="Calibri" w:cs="Times New Roman"/>
          <w:i/>
          <w:color w:val="000000"/>
          <w:shd w:val="clear" w:color="auto" w:fill="FFFFFF"/>
        </w:rPr>
        <w:t>possible</w:t>
      </w:r>
      <w:r w:rsidRPr="007E58C5">
        <w:rPr>
          <w:rFonts w:ascii="Calibri" w:eastAsia="Times New Roman" w:hAnsi="Calibri" w:cs="Times New Roman"/>
          <w:color w:val="000000"/>
          <w:shd w:val="clear" w:color="auto" w:fill="FFFFFF"/>
        </w:rPr>
        <w:t xml:space="preserve"> if it is not possible to obtain specimens or if testing is prohibitively expensive, difficult to obtain, or unnecessary to inform patient management. </w:t>
      </w:r>
    </w:p>
    <w:p w14:paraId="7B660032" w14:textId="77777777" w:rsidR="00792F01" w:rsidRPr="007E58C5" w:rsidRDefault="00792F01" w:rsidP="00792F01">
      <w:pPr>
        <w:spacing w:line="240" w:lineRule="auto"/>
        <w:rPr>
          <w:rFonts w:ascii="Calibri" w:eastAsia="Calibri" w:hAnsi="Calibri" w:cs="Times New Roman"/>
          <w:b/>
        </w:rPr>
      </w:pPr>
      <w:r w:rsidRPr="007E58C5">
        <w:rPr>
          <w:rFonts w:ascii="Calibri" w:eastAsia="Calibri" w:hAnsi="Calibri" w:cs="Times New Roman"/>
          <w:b/>
        </w:rPr>
        <w:t xml:space="preserve">Line List or Database </w:t>
      </w:r>
    </w:p>
    <w:p w14:paraId="13228424"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Information from questionnaires and case reports should be maintained in a consistent format and with appropriate security safeguards. Although a paper tool will suffice when few cases are involved, the development and use of a readily accessible electronic database can be invaluable to ensure all critical team members have timely and salient information during a large or complex investigation. </w:t>
      </w:r>
    </w:p>
    <w:p w14:paraId="2E3403DD" w14:textId="77777777" w:rsidR="00792F01" w:rsidRDefault="00792F01" w:rsidP="00792F01">
      <w:pPr>
        <w:spacing w:line="240" w:lineRule="auto"/>
        <w:rPr>
          <w:rFonts w:ascii="Calibri" w:eastAsia="Calibri" w:hAnsi="Calibri" w:cs="Times New Roman"/>
        </w:rPr>
      </w:pPr>
      <w:r w:rsidRPr="007E58C5">
        <w:rPr>
          <w:rFonts w:ascii="Calibri" w:eastAsia="Calibri" w:hAnsi="Calibri" w:cs="Times New Roman"/>
        </w:rPr>
        <w:t>INSERT LINKS TO TEMPLATES</w:t>
      </w:r>
    </w:p>
    <w:p w14:paraId="1C850443" w14:textId="77777777" w:rsidR="00792F01" w:rsidRDefault="00792F01" w:rsidP="00792F01">
      <w:pPr>
        <w:spacing w:line="240" w:lineRule="auto"/>
        <w:rPr>
          <w:rFonts w:ascii="Calibri" w:eastAsia="Calibri" w:hAnsi="Calibri" w:cs="Times New Roman"/>
        </w:rPr>
      </w:pPr>
    </w:p>
    <w:p w14:paraId="3601430D" w14:textId="77777777" w:rsidR="00792F01" w:rsidRPr="007E58C5" w:rsidRDefault="00792F01" w:rsidP="00792F01">
      <w:pPr>
        <w:spacing w:line="240" w:lineRule="auto"/>
        <w:rPr>
          <w:rFonts w:ascii="Calibri" w:eastAsia="Calibri" w:hAnsi="Calibri" w:cs="Times New Roman"/>
        </w:rPr>
      </w:pPr>
    </w:p>
    <w:p w14:paraId="697612DA" w14:textId="77777777" w:rsidR="00792F01" w:rsidRPr="007E58C5" w:rsidRDefault="00792F01" w:rsidP="00792F01">
      <w:pPr>
        <w:spacing w:line="240" w:lineRule="auto"/>
        <w:rPr>
          <w:rFonts w:ascii="Calibri" w:eastAsia="Calibri" w:hAnsi="Calibri" w:cs="Times New Roman"/>
        </w:rPr>
      </w:pPr>
      <w:commentRangeStart w:id="12"/>
      <w:r w:rsidRPr="007E58C5">
        <w:rPr>
          <w:rFonts w:ascii="Calibri" w:eastAsia="Calibri" w:hAnsi="Calibri" w:cs="Times New Roman"/>
          <w:b/>
        </w:rPr>
        <w:t>Identification of Cases</w:t>
      </w:r>
      <w:commentRangeEnd w:id="12"/>
      <w:r>
        <w:rPr>
          <w:rStyle w:val="CommentReference"/>
        </w:rPr>
        <w:commentReference w:id="12"/>
      </w:r>
    </w:p>
    <w:p w14:paraId="71BE19D2"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Depending upon preliminary findings, it may be important to seek additional cases to determine the extent of the outbreak, identify prevention and control measures, and monitor for ongoing transmission. In addition, consider the need to collect information on potentially exposed individuals or healthcare personnel, in addition to case-patients. </w:t>
      </w:r>
    </w:p>
    <w:p w14:paraId="24F18B52"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lastRenderedPageBreak/>
        <w:t xml:space="preserve">Pathogen-specific outbreaks may occur </w:t>
      </w:r>
      <w:proofErr w:type="gramStart"/>
      <w:r w:rsidRPr="007E58C5">
        <w:rPr>
          <w:rFonts w:ascii="Calibri" w:eastAsia="Calibri" w:hAnsi="Calibri" w:cs="Times New Roman"/>
        </w:rPr>
        <w:t>as a result of</w:t>
      </w:r>
      <w:proofErr w:type="gramEnd"/>
      <w:r w:rsidRPr="007E58C5">
        <w:rPr>
          <w:rFonts w:ascii="Calibri" w:eastAsia="Calibri" w:hAnsi="Calibri" w:cs="Times New Roman"/>
        </w:rPr>
        <w:t xml:space="preserve"> a common exposure source or through direct or indirect person-to-person contact via the hands of facility personnel, contaminated medical products (devices, medications, equipment or supplies), or tainted food, water, or air. The laboratory is often the primary source of information about pathogen-specific outbreaks. Laboratory partners can assist with timely recognition of an outbreak or additional outbreak cases and provision of essential information on microbial characteristics, such as drug-susceptibility profiles, appropriate methods of specimen collection, windows for detection via laboratory testing, and likely environmental reservoirs.    </w:t>
      </w:r>
    </w:p>
    <w:p w14:paraId="617A9058"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Laboratory reports should be reviewed retrospectively to determine when the outbreak or cluster began, to search for additional potential cases, and to establish background rates if applicable.  </w:t>
      </w:r>
    </w:p>
    <w:p w14:paraId="36006BB7"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Laboratory staff should be questioned to determine if there have been changes in laboratory methods that could explain the unusual rates of detection and to ensure appropriate methods of detection were used. If the laboratory findings/reports are not consistent with the clinical presentation or evidence of infection, consideration should be given to possible contamination during specimen collection, handling, or processing. An investigation of all steps in specimen handling and processing should be conducted to rule-out a pseudo-outbreak due to contamination of specimens following their collection from patients.  </w:t>
      </w:r>
    </w:p>
    <w:p w14:paraId="49312CF6"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Laboratory staff should be trained to immediately alert the investigation team of any possible new cases and to store clinical specimens or isolates appropriately to ensure further testing can be performed. Specimen retention is increasingly important in the face of widespread use of culture-independent methods to detect specific microorganisms and/or drug-resistant genes. </w:t>
      </w:r>
    </w:p>
    <w:p w14:paraId="7E96BF44" w14:textId="77777777" w:rsidR="00792F01" w:rsidRPr="007E58C5" w:rsidRDefault="00792F01" w:rsidP="00792F01">
      <w:pPr>
        <w:spacing w:line="240" w:lineRule="auto"/>
        <w:rPr>
          <w:rFonts w:ascii="Calibri" w:eastAsia="Calibri" w:hAnsi="Calibri" w:cs="Times New Roman"/>
        </w:rPr>
      </w:pPr>
      <w:commentRangeStart w:id="13"/>
      <w:r w:rsidRPr="007E58C5">
        <w:rPr>
          <w:rFonts w:ascii="Calibri" w:eastAsia="Calibri" w:hAnsi="Calibri" w:cs="Times New Roman"/>
        </w:rPr>
        <w:t>Depending upon the clinical syndrome, additional sources of information may be needed to investigate cases. For example, histopathology laboratory results may be necessary to identify invasive fungal infections, such as aspergillosis. Similarly, operating room logs may be necessary to identify patients that return to the operating room for surgical site infections. Other sources may include occupational health records, pharmacy records, radiology reports, admission/discharge records, etc.</w:t>
      </w:r>
      <w:commentRangeEnd w:id="13"/>
      <w:r>
        <w:rPr>
          <w:rStyle w:val="CommentReference"/>
        </w:rPr>
        <w:commentReference w:id="13"/>
      </w:r>
    </w:p>
    <w:p w14:paraId="7834951A" w14:textId="77777777" w:rsidR="00792F01" w:rsidRPr="007E58C5" w:rsidRDefault="00792F01" w:rsidP="00792F01">
      <w:pPr>
        <w:spacing w:line="240" w:lineRule="auto"/>
        <w:rPr>
          <w:rFonts w:ascii="Calibri" w:eastAsia="Calibri" w:hAnsi="Calibri" w:cs="Times New Roman"/>
          <w:b/>
          <w:iCs/>
        </w:rPr>
      </w:pPr>
      <w:r w:rsidRPr="007E58C5">
        <w:rPr>
          <w:rFonts w:ascii="Calibri" w:eastAsia="Calibri" w:hAnsi="Calibri" w:cs="Times New Roman"/>
          <w:b/>
          <w:iCs/>
        </w:rPr>
        <w:t xml:space="preserve">Data Collection and Analysis </w:t>
      </w:r>
    </w:p>
    <w:p w14:paraId="1448FAF6" w14:textId="77777777" w:rsidR="00792F01" w:rsidRPr="007E58C5" w:rsidRDefault="00792F01" w:rsidP="00792F01">
      <w:pPr>
        <w:spacing w:after="0" w:line="240" w:lineRule="auto"/>
        <w:rPr>
          <w:rFonts w:ascii="Calibri" w:eastAsia="Times New Roman" w:hAnsi="Calibri" w:cs="Times New Roman"/>
          <w:color w:val="000000"/>
          <w:u w:val="single"/>
          <w:shd w:val="clear" w:color="auto" w:fill="FFFFFF"/>
        </w:rPr>
      </w:pPr>
      <w:r w:rsidRPr="007E58C5">
        <w:rPr>
          <w:rFonts w:ascii="Calibri" w:eastAsia="Times New Roman" w:hAnsi="Calibri" w:cs="Times New Roman"/>
          <w:color w:val="000000"/>
          <w:u w:val="single"/>
          <w:shd w:val="clear" w:color="auto" w:fill="FFFFFF"/>
        </w:rPr>
        <w:t xml:space="preserve">Descriptive Epidemiology </w:t>
      </w:r>
    </w:p>
    <w:p w14:paraId="4ED0743A"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The analytic approach used in any situation depends on a host of factors, including the circumstances specific to the outbreak (e.g., the pathogen, number and distribution of cases), staff expertise, structure of the investigating agency, and agency resources. Investigators are encouraged to use a combination of analytical approaches, as appropriate to the specific outbreak. </w:t>
      </w:r>
    </w:p>
    <w:p w14:paraId="2E07AC23"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Descriptive epidemiology is the first stage in an epidemiologic study and is focused on two activities: (1) accumulating data to characterize the outbreak and to inform response activities, and (2) generating hypotheses to account for the data. </w:t>
      </w:r>
    </w:p>
    <w:p w14:paraId="77639719"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Medical records—including laboratory, radiology, and surgical records—often serve as the basis for data collection. As stated earlier, a standardized data collection tool will ensure that consistent, complete information is collected on all outbreak cases. If a case-control study is begun to test various hypotheses, the same tool can also be used to collect information on control patients.  </w:t>
      </w:r>
    </w:p>
    <w:p w14:paraId="42A898DC"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The </w:t>
      </w:r>
      <w:r w:rsidRPr="007E58C5">
        <w:rPr>
          <w:rFonts w:ascii="Calibri" w:eastAsia="Calibri" w:hAnsi="Calibri" w:cs="Times New Roman"/>
          <w:b/>
        </w:rPr>
        <w:t>data collection tool</w:t>
      </w:r>
      <w:r w:rsidRPr="007E58C5">
        <w:rPr>
          <w:rFonts w:ascii="Calibri" w:eastAsia="Calibri" w:hAnsi="Calibri" w:cs="Times New Roman"/>
        </w:rPr>
        <w:t xml:space="preserve"> usually comprises the following components:</w:t>
      </w:r>
    </w:p>
    <w:p w14:paraId="58FD16A6" w14:textId="77777777" w:rsidR="00792F01" w:rsidRPr="007E58C5" w:rsidRDefault="00792F01" w:rsidP="00792F01">
      <w:pPr>
        <w:numPr>
          <w:ilvl w:val="0"/>
          <w:numId w:val="1"/>
        </w:numPr>
        <w:shd w:val="clear" w:color="auto" w:fill="FFFFFF"/>
        <w:spacing w:after="45" w:line="240" w:lineRule="auto"/>
        <w:ind w:left="375"/>
        <w:rPr>
          <w:rFonts w:ascii="Calibri" w:eastAsia="Times New Roman" w:hAnsi="Calibri" w:cs="Times New Roman"/>
          <w:color w:val="000000"/>
        </w:rPr>
      </w:pPr>
      <w:r w:rsidRPr="007E58C5">
        <w:rPr>
          <w:rFonts w:ascii="Calibri" w:eastAsia="Times New Roman" w:hAnsi="Calibri" w:cs="Times New Roman"/>
          <w:bCs/>
          <w:color w:val="000000"/>
        </w:rPr>
        <w:t>Patient identifying information, such as n</w:t>
      </w:r>
      <w:r w:rsidRPr="007E58C5">
        <w:rPr>
          <w:rFonts w:ascii="Calibri" w:eastAsia="Times New Roman" w:hAnsi="Calibri" w:cs="Times New Roman"/>
          <w:color w:val="000000"/>
        </w:rPr>
        <w:t xml:space="preserve">ame, medical record number, admission date, admission status [admitted from emergency department, home, another facility (name of facility), etc.], discharge date and discharge status (discharged to home, transferred to another facility, deceased, etc.).  </w:t>
      </w:r>
    </w:p>
    <w:p w14:paraId="005AB946" w14:textId="77777777" w:rsidR="00792F01" w:rsidRPr="007E58C5" w:rsidRDefault="00792F01" w:rsidP="00792F01">
      <w:pPr>
        <w:numPr>
          <w:ilvl w:val="0"/>
          <w:numId w:val="1"/>
        </w:numPr>
        <w:shd w:val="clear" w:color="auto" w:fill="FFFFFF"/>
        <w:spacing w:after="45" w:line="240" w:lineRule="auto"/>
        <w:ind w:left="375"/>
        <w:rPr>
          <w:rFonts w:ascii="Calibri" w:eastAsia="Times New Roman" w:hAnsi="Calibri" w:cs="Times New Roman"/>
          <w:color w:val="000000"/>
        </w:rPr>
      </w:pPr>
      <w:r w:rsidRPr="007E58C5">
        <w:rPr>
          <w:rFonts w:ascii="Calibri" w:eastAsia="Times New Roman" w:hAnsi="Calibri" w:cs="Times New Roman"/>
          <w:bCs/>
          <w:color w:val="000000"/>
        </w:rPr>
        <w:lastRenderedPageBreak/>
        <w:t>Demographic information, including a</w:t>
      </w:r>
      <w:r w:rsidRPr="007E58C5">
        <w:rPr>
          <w:rFonts w:ascii="Calibri" w:eastAsia="Times New Roman" w:hAnsi="Calibri" w:cs="Times New Roman"/>
          <w:color w:val="000000"/>
        </w:rPr>
        <w:t xml:space="preserve">ge, gender, </w:t>
      </w:r>
      <w:commentRangeStart w:id="14"/>
      <w:r w:rsidRPr="007E58C5">
        <w:rPr>
          <w:rFonts w:ascii="Calibri" w:eastAsia="Times New Roman" w:hAnsi="Calibri" w:cs="Times New Roman"/>
          <w:color w:val="000000"/>
        </w:rPr>
        <w:t>room location</w:t>
      </w:r>
      <w:commentRangeEnd w:id="14"/>
      <w:r>
        <w:rPr>
          <w:rStyle w:val="CommentReference"/>
        </w:rPr>
        <w:commentReference w:id="14"/>
      </w:r>
      <w:r w:rsidRPr="007E58C5">
        <w:rPr>
          <w:rFonts w:ascii="Calibri" w:eastAsia="Times New Roman" w:hAnsi="Calibri" w:cs="Times New Roman"/>
          <w:color w:val="000000"/>
        </w:rPr>
        <w:t xml:space="preserve">, etc.  </w:t>
      </w:r>
    </w:p>
    <w:p w14:paraId="3382532D" w14:textId="77777777" w:rsidR="00792F01" w:rsidRPr="007E58C5" w:rsidRDefault="00792F01" w:rsidP="00792F01">
      <w:pPr>
        <w:numPr>
          <w:ilvl w:val="0"/>
          <w:numId w:val="1"/>
        </w:numPr>
        <w:shd w:val="clear" w:color="auto" w:fill="FFFFFF"/>
        <w:spacing w:after="45" w:line="240" w:lineRule="auto"/>
        <w:ind w:left="375"/>
        <w:rPr>
          <w:rFonts w:ascii="Calibri" w:eastAsia="Times New Roman" w:hAnsi="Calibri" w:cs="Times New Roman"/>
          <w:color w:val="000000"/>
        </w:rPr>
      </w:pPr>
      <w:r w:rsidRPr="007E58C5">
        <w:rPr>
          <w:rFonts w:ascii="Calibri" w:eastAsia="Times New Roman" w:hAnsi="Calibri" w:cs="Times New Roman"/>
          <w:bCs/>
          <w:color w:val="000000"/>
        </w:rPr>
        <w:t>Clinical information focused on simple, objective criteria to the extent possible</w:t>
      </w:r>
      <w:r w:rsidRPr="007E58C5">
        <w:rPr>
          <w:rFonts w:ascii="Calibri" w:eastAsia="Times New Roman" w:hAnsi="Calibri" w:cs="Times New Roman"/>
          <w:color w:val="000000"/>
        </w:rPr>
        <w:t>. Disease signs and symptoms allow investigators to verify that the case definition has been met. Date of illness onset or specimen collection is needed to chart the time course of the outbreak and, when applicable, the incubation period. Supplementary clinical information, such as illness duration and re-hospitalizations or patient death, help characterize the spectrum of illness.</w:t>
      </w:r>
    </w:p>
    <w:p w14:paraId="29BDA74A" w14:textId="77777777" w:rsidR="00792F01" w:rsidRDefault="00792F01" w:rsidP="00792F01">
      <w:pPr>
        <w:numPr>
          <w:ilvl w:val="0"/>
          <w:numId w:val="1"/>
        </w:numPr>
        <w:shd w:val="clear" w:color="auto" w:fill="FFFFFF"/>
        <w:spacing w:after="45" w:line="240" w:lineRule="auto"/>
        <w:ind w:left="375"/>
        <w:rPr>
          <w:rFonts w:ascii="Calibri" w:eastAsia="Times New Roman" w:hAnsi="Calibri" w:cs="Times New Roman"/>
          <w:color w:val="000000"/>
        </w:rPr>
      </w:pPr>
      <w:r w:rsidRPr="007E58C5">
        <w:rPr>
          <w:rFonts w:ascii="Calibri" w:eastAsia="Times New Roman" w:hAnsi="Calibri" w:cs="Times New Roman"/>
          <w:bCs/>
          <w:color w:val="000000"/>
        </w:rPr>
        <w:t xml:space="preserve">Risk factor information </w:t>
      </w:r>
      <w:r w:rsidRPr="007E58C5">
        <w:rPr>
          <w:rFonts w:ascii="Calibri" w:eastAsia="Times New Roman" w:hAnsi="Calibri" w:cs="Times New Roman"/>
          <w:color w:val="000000"/>
        </w:rPr>
        <w:t xml:space="preserve">should be tailored to the specific disease and situation under investigation.  For example, underlying diseases, surgical procedures (including date and type of procedure, duration, surgical team, operating room, devices used, etc.) and other medical interventions (e.g., medications administered) may be associated with risk of exposure or transmission.  </w:t>
      </w:r>
    </w:p>
    <w:p w14:paraId="6BC77DC0" w14:textId="77777777" w:rsidR="00792F01" w:rsidRPr="00792F01" w:rsidRDefault="00792F01" w:rsidP="00792F01">
      <w:pPr>
        <w:shd w:val="clear" w:color="auto" w:fill="FFFFFF"/>
        <w:spacing w:after="45" w:line="240" w:lineRule="auto"/>
        <w:ind w:left="375"/>
        <w:rPr>
          <w:rFonts w:ascii="Calibri" w:eastAsia="Times New Roman" w:hAnsi="Calibri" w:cs="Times New Roman"/>
          <w:color w:val="000000"/>
        </w:rPr>
      </w:pPr>
    </w:p>
    <w:p w14:paraId="5F300D9C"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The </w:t>
      </w:r>
      <w:hyperlink r:id="rId11" w:history="1">
        <w:r w:rsidRPr="007E58C5">
          <w:rPr>
            <w:rFonts w:ascii="Calibri" w:eastAsia="Calibri" w:hAnsi="Calibri" w:cs="Times New Roman"/>
            <w:color w:val="0563C1"/>
            <w:u w:val="single"/>
          </w:rPr>
          <w:t>CORHA website</w:t>
        </w:r>
      </w:hyperlink>
      <w:r w:rsidRPr="007E58C5">
        <w:rPr>
          <w:rFonts w:ascii="Calibri" w:eastAsia="Calibri" w:hAnsi="Calibri" w:cs="Times New Roman"/>
        </w:rPr>
        <w:t xml:space="preserve"> has examples of tools that can be used or adapted for the following conditions:</w:t>
      </w:r>
    </w:p>
    <w:p w14:paraId="5186F203" w14:textId="77777777" w:rsidR="00792F01" w:rsidRPr="007E58C5" w:rsidRDefault="00792F01" w:rsidP="00792F01">
      <w:pPr>
        <w:spacing w:line="240" w:lineRule="auto"/>
        <w:rPr>
          <w:rFonts w:ascii="Calibri" w:eastAsia="Calibri" w:hAnsi="Calibri" w:cs="Times New Roman"/>
          <w:color w:val="FF0000"/>
        </w:rPr>
      </w:pPr>
      <w:r w:rsidRPr="007E58C5">
        <w:rPr>
          <w:rFonts w:ascii="Calibri" w:eastAsia="Calibri" w:hAnsi="Calibri" w:cs="Times New Roman"/>
          <w:color w:val="FF0000"/>
        </w:rPr>
        <w:t>INSERT LIST WITH LINKS</w:t>
      </w:r>
    </w:p>
    <w:p w14:paraId="40FF3CD9"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bCs/>
        </w:rPr>
        <w:t xml:space="preserve">In many outbreak investigations, it is helpful to prepare an </w:t>
      </w:r>
      <w:commentRangeStart w:id="15"/>
      <w:r w:rsidRPr="007E58C5">
        <w:rPr>
          <w:rFonts w:ascii="Calibri" w:eastAsia="Calibri" w:hAnsi="Calibri" w:cs="Times New Roman"/>
          <w:b/>
          <w:bCs/>
        </w:rPr>
        <w:t>epidemic curve</w:t>
      </w:r>
      <w:r w:rsidRPr="007E58C5">
        <w:rPr>
          <w:rFonts w:ascii="Calibri" w:eastAsia="Calibri" w:hAnsi="Calibri" w:cs="Times New Roman"/>
          <w:bCs/>
        </w:rPr>
        <w:t xml:space="preserve"> </w:t>
      </w:r>
      <w:commentRangeEnd w:id="15"/>
      <w:r>
        <w:rPr>
          <w:rStyle w:val="CommentReference"/>
        </w:rPr>
        <w:commentReference w:id="15"/>
      </w:r>
      <w:r w:rsidRPr="007E58C5">
        <w:rPr>
          <w:rFonts w:ascii="Calibri" w:eastAsia="Calibri" w:hAnsi="Calibri" w:cs="Times New Roman"/>
          <w:bCs/>
        </w:rPr>
        <w:t>(i.e., a histogram). Update the epidemic curve regularly to depict the status of the outbreak.</w:t>
      </w:r>
      <w:r w:rsidRPr="007E58C5">
        <w:rPr>
          <w:rFonts w:ascii="Calibri" w:eastAsia="Calibri" w:hAnsi="Calibri" w:cs="Times New Roman"/>
          <w:b/>
          <w:bCs/>
        </w:rPr>
        <w:t xml:space="preserve"> </w:t>
      </w:r>
      <w:r w:rsidRPr="007E58C5">
        <w:rPr>
          <w:rFonts w:ascii="Calibri" w:eastAsia="Calibri" w:hAnsi="Calibri" w:cs="Times New Roman"/>
        </w:rPr>
        <w:t xml:space="preserve">Select time scales for the epidemic curve to highlight the agent, type of infection, mode of transmission, and outbreak duration. Notable events, such as implementation of control measures, can also be indicated. </w:t>
      </w:r>
    </w:p>
    <w:p w14:paraId="1ACE2FEB" w14:textId="77777777" w:rsidR="00792F01" w:rsidRPr="007E58C5" w:rsidRDefault="00792F01" w:rsidP="00792F01">
      <w:pPr>
        <w:shd w:val="clear" w:color="auto" w:fill="FFFFFF"/>
        <w:spacing w:after="45" w:line="240" w:lineRule="auto"/>
        <w:rPr>
          <w:rFonts w:ascii="Calibri" w:eastAsia="Calibri" w:hAnsi="Calibri" w:cs="Times New Roman"/>
          <w:color w:val="000000"/>
        </w:rPr>
      </w:pPr>
      <w:r w:rsidRPr="007E58C5">
        <w:rPr>
          <w:rFonts w:ascii="Calibri" w:eastAsia="Calibri" w:hAnsi="Calibri" w:cs="Times New Roman"/>
          <w:color w:val="000000"/>
        </w:rPr>
        <w:t xml:space="preserve">The epidemic curve is used to:  </w:t>
      </w:r>
    </w:p>
    <w:p w14:paraId="7311111A" w14:textId="77777777" w:rsidR="00792F01" w:rsidRPr="007E58C5" w:rsidRDefault="00792F01" w:rsidP="00792F01">
      <w:pPr>
        <w:numPr>
          <w:ilvl w:val="0"/>
          <w:numId w:val="2"/>
        </w:numPr>
        <w:shd w:val="clear" w:color="auto" w:fill="FFFFFF"/>
        <w:spacing w:after="45" w:line="240" w:lineRule="auto"/>
        <w:ind w:left="375"/>
        <w:rPr>
          <w:rFonts w:ascii="Calibri" w:eastAsia="Times New Roman" w:hAnsi="Calibri" w:cs="Times New Roman"/>
          <w:color w:val="000000"/>
        </w:rPr>
      </w:pPr>
      <w:r w:rsidRPr="007E58C5">
        <w:rPr>
          <w:rFonts w:ascii="Calibri" w:eastAsia="Times New Roman" w:hAnsi="Calibri" w:cs="Times New Roman"/>
          <w:color w:val="000000"/>
        </w:rPr>
        <w:t>Depict the magnitude of the outbreak over time—and potentially correlated events—in a simple, easily understood visual format.</w:t>
      </w:r>
    </w:p>
    <w:p w14:paraId="70C9FE44" w14:textId="77777777" w:rsidR="00792F01" w:rsidRPr="007E58C5" w:rsidRDefault="00792F01" w:rsidP="00792F01">
      <w:pPr>
        <w:numPr>
          <w:ilvl w:val="0"/>
          <w:numId w:val="2"/>
        </w:numPr>
        <w:shd w:val="clear" w:color="auto" w:fill="FFFFFF"/>
        <w:spacing w:after="45" w:line="240" w:lineRule="auto"/>
        <w:ind w:left="375"/>
        <w:rPr>
          <w:rFonts w:ascii="Calibri" w:eastAsia="Times New Roman" w:hAnsi="Calibri" w:cs="Times New Roman"/>
          <w:color w:val="000000"/>
        </w:rPr>
      </w:pPr>
      <w:r w:rsidRPr="007E58C5">
        <w:rPr>
          <w:rFonts w:ascii="Calibri" w:eastAsia="Times New Roman" w:hAnsi="Calibri" w:cs="Times New Roman"/>
          <w:color w:val="000000"/>
        </w:rPr>
        <w:t xml:space="preserve">Help distinguish epidemic from endemic disease. </w:t>
      </w:r>
    </w:p>
    <w:p w14:paraId="102C5F3B" w14:textId="77777777" w:rsidR="00792F01" w:rsidRPr="007E58C5" w:rsidRDefault="00792F01" w:rsidP="00792F01">
      <w:pPr>
        <w:numPr>
          <w:ilvl w:val="0"/>
          <w:numId w:val="2"/>
        </w:numPr>
        <w:shd w:val="clear" w:color="auto" w:fill="FFFFFF"/>
        <w:spacing w:after="45" w:line="240" w:lineRule="auto"/>
        <w:ind w:left="375"/>
        <w:rPr>
          <w:rFonts w:ascii="Calibri" w:eastAsia="Times New Roman" w:hAnsi="Calibri" w:cs="Times New Roman"/>
          <w:color w:val="000000"/>
        </w:rPr>
      </w:pPr>
      <w:r w:rsidRPr="007E58C5">
        <w:rPr>
          <w:rFonts w:ascii="Calibri" w:eastAsia="Times New Roman" w:hAnsi="Calibri" w:cs="Times New Roman"/>
          <w:color w:val="000000"/>
        </w:rPr>
        <w:t>Provide clues, based on the shape of the curve, about the pattern of spread in the population (e.g., point source versus propagated transmission).</w:t>
      </w:r>
    </w:p>
    <w:p w14:paraId="114E1CE6" w14:textId="77777777" w:rsidR="00792F01" w:rsidRPr="007E58C5" w:rsidRDefault="00792F01" w:rsidP="00792F01">
      <w:pPr>
        <w:numPr>
          <w:ilvl w:val="0"/>
          <w:numId w:val="2"/>
        </w:numPr>
        <w:shd w:val="clear" w:color="auto" w:fill="FFFFFF"/>
        <w:spacing w:after="45" w:line="240" w:lineRule="auto"/>
        <w:ind w:left="375"/>
        <w:rPr>
          <w:rFonts w:ascii="Calibri" w:eastAsia="Times New Roman" w:hAnsi="Calibri" w:cs="Times New Roman"/>
          <w:color w:val="000000"/>
        </w:rPr>
      </w:pPr>
      <w:r w:rsidRPr="007E58C5">
        <w:rPr>
          <w:rFonts w:ascii="Calibri" w:eastAsia="Times New Roman" w:hAnsi="Calibri" w:cs="Times New Roman"/>
          <w:color w:val="000000"/>
        </w:rPr>
        <w:t xml:space="preserve">Identify the current phase of the epidemic—i.e., on the upswing, on the downward slope, or post-epidemic—to help predict the magnitude of expected cases in the near </w:t>
      </w:r>
      <w:proofErr w:type="spellStart"/>
      <w:proofErr w:type="gramStart"/>
      <w:r w:rsidRPr="007E58C5">
        <w:rPr>
          <w:rFonts w:ascii="Calibri" w:eastAsia="Times New Roman" w:hAnsi="Calibri" w:cs="Times New Roman"/>
          <w:color w:val="000000"/>
        </w:rPr>
        <w:t>future.</w:t>
      </w:r>
      <w:r>
        <w:rPr>
          <w:rFonts w:ascii="Calibri" w:eastAsia="Times New Roman" w:hAnsi="Calibri" w:cs="Times New Roman"/>
          <w:color w:val="000000"/>
        </w:rPr>
        <w:t>F</w:t>
      </w:r>
      <w:proofErr w:type="spellEnd"/>
      <w:proofErr w:type="gramEnd"/>
    </w:p>
    <w:p w14:paraId="7CB75B73" w14:textId="77777777" w:rsidR="00792F01" w:rsidRPr="007E58C5" w:rsidRDefault="00792F01" w:rsidP="00792F01">
      <w:pPr>
        <w:numPr>
          <w:ilvl w:val="0"/>
          <w:numId w:val="2"/>
        </w:numPr>
        <w:shd w:val="clear" w:color="auto" w:fill="FFFFFF"/>
        <w:spacing w:after="45" w:line="240" w:lineRule="auto"/>
        <w:ind w:left="375"/>
        <w:rPr>
          <w:rFonts w:ascii="Calibri" w:eastAsia="Times New Roman" w:hAnsi="Calibri" w:cs="Times New Roman"/>
          <w:color w:val="000000"/>
        </w:rPr>
      </w:pPr>
      <w:r w:rsidRPr="007E58C5">
        <w:rPr>
          <w:rFonts w:ascii="Calibri" w:eastAsia="Times New Roman" w:hAnsi="Calibri" w:cs="Times New Roman"/>
          <w:color w:val="000000"/>
        </w:rPr>
        <w:t xml:space="preserve">Evaluate the effectiveness of control measures. </w:t>
      </w:r>
    </w:p>
    <w:p w14:paraId="213C37F3" w14:textId="77777777" w:rsidR="00792F01" w:rsidRPr="007E58C5" w:rsidRDefault="00792F01" w:rsidP="00792F01">
      <w:pPr>
        <w:numPr>
          <w:ilvl w:val="0"/>
          <w:numId w:val="2"/>
        </w:numPr>
        <w:shd w:val="clear" w:color="auto" w:fill="FFFFFF"/>
        <w:spacing w:after="45" w:line="240" w:lineRule="auto"/>
        <w:ind w:left="375"/>
        <w:rPr>
          <w:rFonts w:ascii="Calibri" w:eastAsia="Times New Roman" w:hAnsi="Calibri" w:cs="Times New Roman"/>
          <w:color w:val="000000"/>
        </w:rPr>
      </w:pPr>
      <w:r w:rsidRPr="007E58C5">
        <w:rPr>
          <w:rFonts w:ascii="Calibri" w:eastAsia="Times New Roman" w:hAnsi="Calibri" w:cs="Times New Roman"/>
          <w:color w:val="000000"/>
        </w:rPr>
        <w:t>Identify outliers (i.e., cases that don't fit into the body of the curve), which may yield important clues.</w:t>
      </w:r>
    </w:p>
    <w:p w14:paraId="1E3B31C8" w14:textId="77777777" w:rsidR="00792F01" w:rsidRPr="007E58C5" w:rsidRDefault="00792F01" w:rsidP="00792F01">
      <w:pPr>
        <w:numPr>
          <w:ilvl w:val="0"/>
          <w:numId w:val="2"/>
        </w:numPr>
        <w:shd w:val="clear" w:color="auto" w:fill="FFFFFF"/>
        <w:spacing w:after="45" w:line="240" w:lineRule="auto"/>
        <w:ind w:left="375"/>
        <w:rPr>
          <w:rFonts w:ascii="Calibri" w:eastAsia="Times New Roman" w:hAnsi="Calibri" w:cs="Times New Roman"/>
          <w:color w:val="000000"/>
        </w:rPr>
      </w:pPr>
      <w:r w:rsidRPr="007E58C5">
        <w:rPr>
          <w:rFonts w:ascii="Calibri" w:eastAsia="Times New Roman" w:hAnsi="Calibri" w:cs="Times New Roman"/>
          <w:color w:val="000000"/>
        </w:rPr>
        <w:t>Deduce a probable time of exposure—if the disease and disease incubation period are known. This information, in turn, can inform development of the data collection tool, which should focus on the identified timeframe.</w:t>
      </w:r>
    </w:p>
    <w:p w14:paraId="5FF18A97" w14:textId="77777777" w:rsidR="00792F01" w:rsidRPr="007E58C5" w:rsidRDefault="00792F01" w:rsidP="00792F01">
      <w:pPr>
        <w:spacing w:after="0" w:line="240" w:lineRule="auto"/>
        <w:rPr>
          <w:rFonts w:ascii="Calibri" w:eastAsia="Times New Roman" w:hAnsi="Calibri" w:cs="Times New Roman"/>
        </w:rPr>
      </w:pPr>
    </w:p>
    <w:p w14:paraId="505EA0E4" w14:textId="77777777" w:rsidR="00792F01" w:rsidRPr="007E58C5" w:rsidRDefault="00792F01" w:rsidP="00792F01">
      <w:pPr>
        <w:shd w:val="clear" w:color="auto" w:fill="FFFFFF"/>
        <w:spacing w:after="150" w:line="240" w:lineRule="auto"/>
        <w:rPr>
          <w:rFonts w:ascii="Calibri" w:eastAsia="Calibri" w:hAnsi="Calibri" w:cs="Times New Roman"/>
          <w:color w:val="000000"/>
        </w:rPr>
      </w:pPr>
      <w:r w:rsidRPr="007E58C5">
        <w:rPr>
          <w:rFonts w:ascii="Calibri" w:eastAsia="Calibri" w:hAnsi="Calibri" w:cs="Times New Roman"/>
          <w:color w:val="000000"/>
        </w:rPr>
        <w:t xml:space="preserve">Descriptive epidemiology provides a critical assessment of the status of the outbreak and often serves as the basis for determining further actions, such as implementing specific prevention and control measures, initiating environmental assessments, and conducting analytic studies to test specific hypotheses. </w:t>
      </w:r>
    </w:p>
    <w:p w14:paraId="594F2318" w14:textId="77777777" w:rsidR="00792F01" w:rsidRPr="007E58C5" w:rsidRDefault="00792F01" w:rsidP="00792F01">
      <w:pPr>
        <w:shd w:val="clear" w:color="auto" w:fill="FFFFFF"/>
        <w:spacing w:after="150" w:line="240" w:lineRule="auto"/>
        <w:rPr>
          <w:rFonts w:ascii="Calibri" w:eastAsia="Calibri" w:hAnsi="Calibri" w:cs="Times New Roman"/>
          <w:color w:val="000000"/>
        </w:rPr>
      </w:pPr>
      <w:r w:rsidRPr="007E58C5">
        <w:rPr>
          <w:rFonts w:ascii="Calibri" w:eastAsia="Calibri" w:hAnsi="Calibri" w:cs="Times New Roman"/>
          <w:color w:val="000000"/>
        </w:rPr>
        <w:t>After an explanatory outbreak hypothesis has been developed, the next step is to evaluate its plausibility, typically using a combination of epidemiology, laboratory, and environmental evidence. From the epidemiologic point-of-view, hypotheses are evaluated by either (1) comparing the hypotheses with established facts or (2) using analytic epidemiology to quantify relationships and assess the role of chance.</w:t>
      </w:r>
    </w:p>
    <w:p w14:paraId="4C022882" w14:textId="77777777" w:rsidR="00792F01" w:rsidRPr="007E58C5" w:rsidRDefault="00792F01" w:rsidP="00792F01">
      <w:pPr>
        <w:shd w:val="clear" w:color="auto" w:fill="FFFFFF"/>
        <w:spacing w:after="150" w:line="240" w:lineRule="auto"/>
        <w:rPr>
          <w:rFonts w:ascii="Calibri" w:eastAsia="Times New Roman" w:hAnsi="Calibri" w:cs="Times New Roman"/>
          <w:color w:val="000000"/>
          <w:shd w:val="clear" w:color="auto" w:fill="FFFFFF"/>
        </w:rPr>
      </w:pPr>
      <w:r w:rsidRPr="007E58C5">
        <w:rPr>
          <w:rFonts w:ascii="Calibri" w:eastAsia="Calibri" w:hAnsi="Calibri" w:cs="Times New Roman"/>
          <w:color w:val="000000"/>
        </w:rPr>
        <w:lastRenderedPageBreak/>
        <w:t xml:space="preserve">The first method, simple comparisons, is likely to be sufficient when the leading hypothesis is supported by accumulated evidence in an obvious manner and to a degree that formal hypothesis testing is unnecessary. </w:t>
      </w:r>
      <w:r w:rsidRPr="007E58C5">
        <w:rPr>
          <w:rFonts w:ascii="Calibri" w:eastAsia="Times New Roman" w:hAnsi="Calibri" w:cs="Times New Roman"/>
          <w:color w:val="000000"/>
          <w:shd w:val="clear" w:color="auto" w:fill="FFFFFF"/>
        </w:rPr>
        <w:t xml:space="preserve">When this is not the case, analytic epidemiology often comes into play. </w:t>
      </w:r>
    </w:p>
    <w:p w14:paraId="09D8E66F" w14:textId="77777777" w:rsidR="00792F01" w:rsidRPr="007E58C5" w:rsidRDefault="00792F01" w:rsidP="00792F01">
      <w:pPr>
        <w:spacing w:after="0" w:line="240" w:lineRule="auto"/>
        <w:rPr>
          <w:rFonts w:ascii="Calibri" w:eastAsia="Times New Roman" w:hAnsi="Calibri" w:cs="Times New Roman"/>
          <w:color w:val="000000"/>
          <w:u w:val="single"/>
          <w:shd w:val="clear" w:color="auto" w:fill="FFFFFF"/>
        </w:rPr>
      </w:pPr>
      <w:commentRangeStart w:id="16"/>
      <w:r w:rsidRPr="007E58C5">
        <w:rPr>
          <w:rFonts w:ascii="Calibri" w:eastAsia="Times New Roman" w:hAnsi="Calibri" w:cs="Times New Roman"/>
          <w:color w:val="000000"/>
          <w:u w:val="single"/>
          <w:shd w:val="clear" w:color="auto" w:fill="FFFFFF"/>
        </w:rPr>
        <w:t xml:space="preserve">Analytic Epidemiology </w:t>
      </w:r>
      <w:commentRangeEnd w:id="16"/>
      <w:r>
        <w:rPr>
          <w:rStyle w:val="CommentReference"/>
        </w:rPr>
        <w:commentReference w:id="16"/>
      </w:r>
    </w:p>
    <w:p w14:paraId="610CF6AE" w14:textId="77777777" w:rsidR="00792F01" w:rsidRPr="007E58C5" w:rsidRDefault="00792F01" w:rsidP="00792F01">
      <w:pPr>
        <w:spacing w:after="0" w:line="240" w:lineRule="auto"/>
        <w:rPr>
          <w:rFonts w:ascii="Calibri" w:eastAsia="Times New Roman" w:hAnsi="Calibri" w:cs="Times New Roman"/>
          <w:color w:val="000000"/>
          <w:shd w:val="clear" w:color="auto" w:fill="FFFFFF"/>
        </w:rPr>
      </w:pPr>
    </w:p>
    <w:p w14:paraId="4960608E" w14:textId="77777777" w:rsidR="00792F01" w:rsidRPr="007E58C5" w:rsidRDefault="00792F01" w:rsidP="00792F01">
      <w:pPr>
        <w:spacing w:after="0" w:line="240" w:lineRule="auto"/>
        <w:rPr>
          <w:rFonts w:ascii="Calibri" w:eastAsia="Times New Roman" w:hAnsi="Calibri" w:cs="Times New Roman"/>
          <w:color w:val="000000"/>
          <w:shd w:val="clear" w:color="auto" w:fill="FFFFFF"/>
        </w:rPr>
      </w:pPr>
      <w:r w:rsidRPr="007E58C5">
        <w:rPr>
          <w:rFonts w:ascii="Calibri" w:eastAsia="Times New Roman" w:hAnsi="Calibri" w:cs="Times New Roman"/>
          <w:color w:val="000000"/>
          <w:shd w:val="clear" w:color="auto" w:fill="FFFFFF"/>
        </w:rPr>
        <w:t>The key feature of analytic epidemiology is a comparison group, which enables epidemiologists to contrast the </w:t>
      </w:r>
      <w:r w:rsidRPr="007E58C5">
        <w:rPr>
          <w:rFonts w:ascii="Calibri" w:eastAsia="Times New Roman" w:hAnsi="Calibri" w:cs="Times New Roman"/>
          <w:bCs/>
          <w:color w:val="000000"/>
          <w:shd w:val="clear" w:color="auto" w:fill="FFFFFF"/>
        </w:rPr>
        <w:t xml:space="preserve">observed </w:t>
      </w:r>
      <w:r w:rsidRPr="007E58C5">
        <w:rPr>
          <w:rFonts w:ascii="Calibri" w:eastAsia="Times New Roman" w:hAnsi="Calibri" w:cs="Times New Roman"/>
          <w:color w:val="000000"/>
          <w:shd w:val="clear" w:color="auto" w:fill="FFFFFF"/>
        </w:rPr>
        <w:t xml:space="preserve">patterns (e.g., incidence rates and odds ratios) among case-patients or exposed persons with those among non-cases or unexposed persons. Do key statistics differ substantially from what should be expected? If so, by what degree? </w:t>
      </w:r>
    </w:p>
    <w:p w14:paraId="1164FE48" w14:textId="77777777" w:rsidR="00792F01" w:rsidRPr="007E58C5" w:rsidRDefault="00792F01" w:rsidP="00792F01">
      <w:pPr>
        <w:spacing w:after="0" w:line="240" w:lineRule="auto"/>
        <w:rPr>
          <w:rFonts w:ascii="Calibri" w:eastAsia="Times New Roman" w:hAnsi="Calibri" w:cs="Times New Roman"/>
          <w:color w:val="000000"/>
          <w:shd w:val="clear" w:color="auto" w:fill="FFFFFF"/>
        </w:rPr>
      </w:pPr>
    </w:p>
    <w:p w14:paraId="6A7BC9B3" w14:textId="77777777" w:rsidR="00792F01" w:rsidRPr="007E58C5" w:rsidRDefault="00792F01" w:rsidP="00792F01">
      <w:pPr>
        <w:spacing w:after="0" w:line="240" w:lineRule="auto"/>
        <w:rPr>
          <w:rFonts w:ascii="Calibri" w:eastAsia="Times New Roman" w:hAnsi="Calibri" w:cs="Times New Roman"/>
          <w:color w:val="000000"/>
          <w:shd w:val="clear" w:color="auto" w:fill="FFFFFF"/>
        </w:rPr>
      </w:pPr>
      <w:r w:rsidRPr="007E58C5">
        <w:rPr>
          <w:rFonts w:ascii="Calibri" w:eastAsia="Times New Roman" w:hAnsi="Calibri" w:cs="Times New Roman"/>
          <w:color w:val="000000"/>
          <w:shd w:val="clear" w:color="auto" w:fill="FFFFFF"/>
        </w:rPr>
        <w:t xml:space="preserve">This exercise quantifies the relationships between exposures and disease </w:t>
      </w:r>
      <w:proofErr w:type="gramStart"/>
      <w:r w:rsidRPr="007E58C5">
        <w:rPr>
          <w:rFonts w:ascii="Calibri" w:eastAsia="Times New Roman" w:hAnsi="Calibri" w:cs="Times New Roman"/>
          <w:color w:val="000000"/>
          <w:shd w:val="clear" w:color="auto" w:fill="FFFFFF"/>
        </w:rPr>
        <w:t>and also</w:t>
      </w:r>
      <w:proofErr w:type="gramEnd"/>
      <w:r w:rsidRPr="007E58C5">
        <w:rPr>
          <w:rFonts w:ascii="Calibri" w:eastAsia="Times New Roman" w:hAnsi="Calibri" w:cs="Times New Roman"/>
          <w:color w:val="000000"/>
          <w:shd w:val="clear" w:color="auto" w:fill="FFFFFF"/>
        </w:rPr>
        <w:t xml:space="preserve"> enables hypothesis testing with regard to the likelihood of those relationships being due to chance. The two most common types of analytic epidemiology studies used in field investigations are </w:t>
      </w:r>
      <w:r w:rsidRPr="007E58C5">
        <w:rPr>
          <w:rFonts w:ascii="Calibri" w:eastAsia="Times New Roman" w:hAnsi="Calibri" w:cs="Times New Roman"/>
          <w:i/>
          <w:color w:val="000000"/>
          <w:shd w:val="clear" w:color="auto" w:fill="FFFFFF"/>
        </w:rPr>
        <w:t>retrospective cohort studies</w:t>
      </w:r>
      <w:r w:rsidRPr="007E58C5">
        <w:rPr>
          <w:rFonts w:ascii="Calibri" w:eastAsia="Times New Roman" w:hAnsi="Calibri" w:cs="Times New Roman"/>
          <w:color w:val="000000"/>
          <w:shd w:val="clear" w:color="auto" w:fill="FFFFFF"/>
        </w:rPr>
        <w:t xml:space="preserve"> and </w:t>
      </w:r>
      <w:r w:rsidRPr="007E58C5">
        <w:rPr>
          <w:rFonts w:ascii="Calibri" w:eastAsia="Times New Roman" w:hAnsi="Calibri" w:cs="Times New Roman"/>
          <w:i/>
          <w:color w:val="000000"/>
          <w:shd w:val="clear" w:color="auto" w:fill="FFFFFF"/>
        </w:rPr>
        <w:t>case-control studies</w:t>
      </w:r>
      <w:r w:rsidRPr="007E58C5">
        <w:rPr>
          <w:rFonts w:ascii="Calibri" w:eastAsia="Times New Roman" w:hAnsi="Calibri" w:cs="Times New Roman"/>
          <w:color w:val="000000"/>
          <w:shd w:val="clear" w:color="auto" w:fill="FFFFFF"/>
        </w:rPr>
        <w:t>. A prerequisite to the conduct of an analytic study is having a sufficient sample of cases to power the statistical analyses. Additional information about each comprises Appendix A.</w:t>
      </w:r>
    </w:p>
    <w:p w14:paraId="29F5C50D" w14:textId="77777777" w:rsidR="00792F01" w:rsidRPr="007E58C5" w:rsidRDefault="00792F01" w:rsidP="00792F01">
      <w:pPr>
        <w:spacing w:after="0" w:line="240" w:lineRule="auto"/>
        <w:rPr>
          <w:rFonts w:ascii="Calibri" w:eastAsia="Times New Roman" w:hAnsi="Calibri" w:cs="Times New Roman"/>
          <w:color w:val="000000"/>
          <w:shd w:val="clear" w:color="auto" w:fill="FFFFFF"/>
        </w:rPr>
      </w:pPr>
    </w:p>
    <w:p w14:paraId="54954236" w14:textId="77777777" w:rsidR="00792F01" w:rsidRPr="007E58C5" w:rsidRDefault="00792F01" w:rsidP="00792F01">
      <w:pPr>
        <w:spacing w:after="0" w:line="240" w:lineRule="auto"/>
        <w:rPr>
          <w:rFonts w:ascii="Calibri" w:eastAsia="Times New Roman" w:hAnsi="Calibri" w:cs="Times New Roman"/>
          <w:b/>
          <w:color w:val="000000"/>
          <w:shd w:val="clear" w:color="auto" w:fill="FFFFFF"/>
        </w:rPr>
      </w:pPr>
      <w:commentRangeStart w:id="17"/>
      <w:r w:rsidRPr="007E58C5">
        <w:rPr>
          <w:rFonts w:ascii="Calibri" w:eastAsia="Times New Roman" w:hAnsi="Calibri" w:cs="Times New Roman"/>
          <w:b/>
          <w:color w:val="000000"/>
          <w:shd w:val="clear" w:color="auto" w:fill="FFFFFF"/>
        </w:rPr>
        <w:t>Infection Control Assessment</w:t>
      </w:r>
      <w:commentRangeEnd w:id="17"/>
      <w:r>
        <w:rPr>
          <w:rStyle w:val="CommentReference"/>
        </w:rPr>
        <w:commentReference w:id="17"/>
      </w:r>
    </w:p>
    <w:p w14:paraId="7D19FE2F" w14:textId="77777777" w:rsidR="00792F01" w:rsidRPr="007E58C5" w:rsidRDefault="00792F01" w:rsidP="00792F01">
      <w:pPr>
        <w:spacing w:after="0" w:line="240" w:lineRule="auto"/>
        <w:rPr>
          <w:rFonts w:ascii="Calibri" w:eastAsia="Times New Roman" w:hAnsi="Calibri" w:cs="Times New Roman"/>
          <w:color w:val="000000"/>
          <w:shd w:val="clear" w:color="auto" w:fill="FFFFFF"/>
        </w:rPr>
      </w:pPr>
    </w:p>
    <w:p w14:paraId="693958D8" w14:textId="77777777" w:rsidR="00792F01" w:rsidRPr="007E58C5" w:rsidRDefault="00792F01" w:rsidP="00792F01">
      <w:pPr>
        <w:spacing w:after="0" w:line="240" w:lineRule="auto"/>
        <w:rPr>
          <w:rFonts w:ascii="Calibri" w:eastAsia="Times New Roman" w:hAnsi="Calibri" w:cs="Times New Roman"/>
          <w:color w:val="000000"/>
          <w:shd w:val="clear" w:color="auto" w:fill="FFFFFF"/>
        </w:rPr>
      </w:pPr>
      <w:r w:rsidRPr="007E58C5">
        <w:rPr>
          <w:rFonts w:ascii="Calibri" w:eastAsia="Times New Roman" w:hAnsi="Calibri" w:cs="Times New Roman"/>
          <w:color w:val="000000"/>
          <w:shd w:val="clear" w:color="auto" w:fill="FFFFFF"/>
        </w:rPr>
        <w:t>Assessment of infection control practices can reveal safety breaches potentially linked to disease transmission. Such an assessment should be based upon the population affected and common patient exposures or other identified risk factors. The following is a partial list of tools developed for various healthcare settings and devices and available from CDC:</w:t>
      </w:r>
    </w:p>
    <w:p w14:paraId="58123567" w14:textId="77777777" w:rsidR="00792F01" w:rsidRPr="007E58C5" w:rsidRDefault="00792F01" w:rsidP="00792F01">
      <w:pPr>
        <w:numPr>
          <w:ilvl w:val="0"/>
          <w:numId w:val="4"/>
        </w:numPr>
        <w:shd w:val="clear" w:color="auto" w:fill="FFFFFF"/>
        <w:spacing w:beforeAutospacing="1" w:after="0" w:afterAutospacing="1" w:line="375" w:lineRule="atLeast"/>
        <w:ind w:left="375"/>
        <w:rPr>
          <w:rFonts w:ascii="Calibri" w:eastAsia="Times New Roman" w:hAnsi="Calibri" w:cs="Times New Roman"/>
          <w:color w:val="000000"/>
        </w:rPr>
      </w:pPr>
      <w:hyperlink r:id="rId12" w:tgtFrame="_blank" w:history="1">
        <w:r w:rsidRPr="007E58C5">
          <w:rPr>
            <w:rFonts w:ascii="Calibri" w:eastAsia="Times New Roman" w:hAnsi="Calibri" w:cs="Times New Roman"/>
            <w:color w:val="000000"/>
            <w:u w:val="single"/>
          </w:rPr>
          <w:t>Infection Control Assessment Tool for Acute Care Hospitals [PDF – 433 KB]</w:t>
        </w:r>
      </w:hyperlink>
    </w:p>
    <w:p w14:paraId="4D978F94" w14:textId="77777777" w:rsidR="00792F01" w:rsidRPr="007E58C5" w:rsidRDefault="00792F01" w:rsidP="00792F01">
      <w:pPr>
        <w:numPr>
          <w:ilvl w:val="0"/>
          <w:numId w:val="4"/>
        </w:numPr>
        <w:shd w:val="clear" w:color="auto" w:fill="FFFFFF"/>
        <w:spacing w:beforeAutospacing="1" w:after="0" w:afterAutospacing="1" w:line="375" w:lineRule="atLeast"/>
        <w:ind w:left="375"/>
        <w:rPr>
          <w:rFonts w:ascii="Calibri" w:eastAsia="Times New Roman" w:hAnsi="Calibri" w:cs="Times New Roman"/>
          <w:color w:val="000000"/>
        </w:rPr>
      </w:pPr>
      <w:hyperlink r:id="rId13" w:tgtFrame="_blank" w:history="1">
        <w:r w:rsidRPr="007E58C5">
          <w:rPr>
            <w:rFonts w:ascii="Calibri" w:eastAsia="Times New Roman" w:hAnsi="Calibri" w:cs="Times New Roman"/>
            <w:color w:val="000000"/>
            <w:u w:val="single"/>
          </w:rPr>
          <w:t>Infection Control Assessment Tool for Long-term Care Facilities [PDF – 104 KB]</w:t>
        </w:r>
      </w:hyperlink>
    </w:p>
    <w:p w14:paraId="4A6BEE77" w14:textId="77777777" w:rsidR="00792F01" w:rsidRPr="007E58C5" w:rsidRDefault="00792F01" w:rsidP="00792F01">
      <w:pPr>
        <w:numPr>
          <w:ilvl w:val="0"/>
          <w:numId w:val="4"/>
        </w:numPr>
        <w:shd w:val="clear" w:color="auto" w:fill="FFFFFF"/>
        <w:spacing w:beforeAutospacing="1" w:after="0" w:afterAutospacing="1" w:line="375" w:lineRule="atLeast"/>
        <w:ind w:left="375"/>
        <w:rPr>
          <w:rFonts w:ascii="Calibri" w:eastAsia="Times New Roman" w:hAnsi="Calibri" w:cs="Times New Roman"/>
          <w:color w:val="000000"/>
        </w:rPr>
      </w:pPr>
      <w:hyperlink r:id="rId14" w:tgtFrame="_blank" w:history="1">
        <w:r w:rsidRPr="007E58C5">
          <w:rPr>
            <w:rFonts w:ascii="Calibri" w:eastAsia="Times New Roman" w:hAnsi="Calibri" w:cs="Times New Roman"/>
            <w:color w:val="000000"/>
            <w:u w:val="single"/>
          </w:rPr>
          <w:t>Infection Control Assessment Tool for Outpatient Settings [PDF – 337 KB]</w:t>
        </w:r>
      </w:hyperlink>
    </w:p>
    <w:p w14:paraId="29A832EF" w14:textId="77777777" w:rsidR="00792F01" w:rsidRPr="007E58C5" w:rsidRDefault="00792F01" w:rsidP="00792F01">
      <w:pPr>
        <w:numPr>
          <w:ilvl w:val="0"/>
          <w:numId w:val="4"/>
        </w:numPr>
        <w:shd w:val="clear" w:color="auto" w:fill="FFFFFF"/>
        <w:spacing w:beforeAutospacing="1" w:after="0" w:afterAutospacing="1" w:line="375" w:lineRule="atLeast"/>
        <w:ind w:left="375"/>
        <w:rPr>
          <w:rFonts w:ascii="Calibri" w:eastAsia="Times New Roman" w:hAnsi="Calibri" w:cs="Times New Roman"/>
          <w:color w:val="000000"/>
        </w:rPr>
      </w:pPr>
      <w:hyperlink r:id="rId15" w:tgtFrame="_blank" w:history="1">
        <w:r w:rsidRPr="007E58C5">
          <w:rPr>
            <w:rFonts w:ascii="Calibri" w:eastAsia="Times New Roman" w:hAnsi="Calibri" w:cs="Times New Roman"/>
            <w:color w:val="000000"/>
            <w:u w:val="single"/>
          </w:rPr>
          <w:t>Infection Control Assessment Tool for Hemodialysis Facilities [PDF – 278 KB]</w:t>
        </w:r>
      </w:hyperlink>
    </w:p>
    <w:p w14:paraId="34B6BD49" w14:textId="77777777" w:rsidR="00792F01" w:rsidRPr="007E58C5" w:rsidRDefault="00792F01" w:rsidP="00792F01">
      <w:pPr>
        <w:numPr>
          <w:ilvl w:val="0"/>
          <w:numId w:val="4"/>
        </w:numPr>
        <w:shd w:val="clear" w:color="auto" w:fill="FFFFFF"/>
        <w:spacing w:beforeAutospacing="1" w:after="0" w:afterAutospacing="1" w:line="375" w:lineRule="atLeast"/>
        <w:ind w:left="375"/>
        <w:rPr>
          <w:rFonts w:ascii="Calibri" w:eastAsia="Times New Roman" w:hAnsi="Calibri" w:cs="Times New Roman"/>
          <w:color w:val="000000"/>
        </w:rPr>
      </w:pPr>
      <w:hyperlink r:id="rId16" w:tgtFrame="_blank" w:history="1">
        <w:r w:rsidRPr="007E58C5">
          <w:rPr>
            <w:rFonts w:ascii="Calibri" w:eastAsia="Times New Roman" w:hAnsi="Calibri" w:cs="Times New Roman"/>
            <w:color w:val="000000"/>
            <w:u w:val="single"/>
          </w:rPr>
          <w:t>Acute Care Facility Multidrug-resistant Organisms Control Activity Assessment Tool [PDF – 402 KB]</w:t>
        </w:r>
      </w:hyperlink>
    </w:p>
    <w:p w14:paraId="618877C7" w14:textId="77777777" w:rsidR="00792F01" w:rsidRPr="007E58C5" w:rsidRDefault="00792F01" w:rsidP="00792F01">
      <w:pPr>
        <w:numPr>
          <w:ilvl w:val="0"/>
          <w:numId w:val="4"/>
        </w:numPr>
        <w:shd w:val="clear" w:color="auto" w:fill="FFFFFF"/>
        <w:spacing w:beforeAutospacing="1" w:after="0" w:afterAutospacing="1" w:line="375" w:lineRule="atLeast"/>
        <w:ind w:left="375"/>
        <w:rPr>
          <w:rFonts w:ascii="Calibri" w:eastAsia="Times New Roman" w:hAnsi="Calibri" w:cs="Times New Roman"/>
          <w:color w:val="000000"/>
        </w:rPr>
      </w:pPr>
      <w:r w:rsidRPr="007E58C5">
        <w:rPr>
          <w:rFonts w:ascii="Calibri" w:eastAsia="Times New Roman" w:hAnsi="Calibri" w:cs="Times New Roman"/>
          <w:color w:val="000000"/>
        </w:rPr>
        <w:t xml:space="preserve">Checklist for Prevention of Central Line Associated Bloodstream Infections  </w:t>
      </w:r>
      <w:hyperlink r:id="rId17" w:history="1">
        <w:r w:rsidRPr="007E58C5">
          <w:rPr>
            <w:rFonts w:ascii="Calibri" w:eastAsia="Times New Roman" w:hAnsi="Calibri" w:cs="Times New Roman"/>
            <w:color w:val="000000"/>
            <w:u w:val="single"/>
          </w:rPr>
          <w:t>https://www.cdc.gov/hai/pdfs/bsi/checklist-for-CLABSI.pdf</w:t>
        </w:r>
      </w:hyperlink>
      <w:r w:rsidRPr="007E58C5">
        <w:rPr>
          <w:rFonts w:ascii="Calibri" w:eastAsia="Times New Roman" w:hAnsi="Calibri" w:cs="Times New Roman"/>
          <w:color w:val="000000"/>
        </w:rPr>
        <w:t xml:space="preserve"> </w:t>
      </w:r>
    </w:p>
    <w:p w14:paraId="4B67FA77" w14:textId="77777777" w:rsidR="00792F01" w:rsidRPr="00912B49" w:rsidRDefault="00792F01" w:rsidP="00792F01">
      <w:pPr>
        <w:rPr>
          <w:b/>
        </w:rPr>
      </w:pPr>
      <w:r w:rsidRPr="00912B49">
        <w:rPr>
          <w:b/>
        </w:rPr>
        <w:t>Implement Prevention and Control Measures</w:t>
      </w:r>
    </w:p>
    <w:p w14:paraId="6F0073A8" w14:textId="77777777" w:rsidR="00792F01" w:rsidRDefault="00792F01" w:rsidP="00792F01">
      <w:pPr>
        <w:shd w:val="clear" w:color="auto" w:fill="FFFFFF"/>
        <w:spacing w:after="150" w:line="240" w:lineRule="auto"/>
        <w:rPr>
          <w:rFonts w:ascii="Calibri" w:eastAsia="Times New Roman" w:hAnsi="Calibri" w:cs="Times New Roman"/>
          <w:b/>
          <w:color w:val="000000"/>
          <w:shd w:val="clear" w:color="auto" w:fill="FFFFFF"/>
        </w:rPr>
      </w:pPr>
      <w:r w:rsidRPr="007E58C5">
        <w:rPr>
          <w:rFonts w:ascii="Calibri" w:eastAsia="Calibri" w:hAnsi="Calibri" w:cs="Times New Roman"/>
          <w:color w:val="000000"/>
        </w:rPr>
        <w:t xml:space="preserve">If appropriate disease control measures are known and available, they should be initiated even before an epidemiologic investigation is launched. In general, such measures are directed against one or more segments in the chain of transmission that are susceptible to intervention—agent, source, mode of transmission, portal of entry, host. If appropriate interventions are not immediately obvious, they should be implemented as soon as the evidence base permits. </w:t>
      </w:r>
    </w:p>
    <w:p w14:paraId="7F61D85B" w14:textId="77777777" w:rsidR="00792F01" w:rsidRPr="007E58C5" w:rsidRDefault="00792F01" w:rsidP="00792F01">
      <w:pPr>
        <w:spacing w:after="0" w:line="240" w:lineRule="auto"/>
        <w:rPr>
          <w:rFonts w:ascii="Calibri" w:eastAsia="Times New Roman" w:hAnsi="Calibri" w:cs="Times New Roman"/>
          <w:b/>
        </w:rPr>
      </w:pPr>
      <w:commentRangeStart w:id="18"/>
      <w:r w:rsidRPr="007E58C5">
        <w:rPr>
          <w:rFonts w:ascii="Calibri" w:eastAsia="Times New Roman" w:hAnsi="Calibri" w:cs="Times New Roman"/>
          <w:b/>
          <w:color w:val="000000"/>
          <w:shd w:val="clear" w:color="auto" w:fill="FFFFFF"/>
        </w:rPr>
        <w:t>Environmental Assessment</w:t>
      </w:r>
      <w:commentRangeEnd w:id="18"/>
      <w:r>
        <w:rPr>
          <w:rStyle w:val="CommentReference"/>
        </w:rPr>
        <w:commentReference w:id="18"/>
      </w:r>
    </w:p>
    <w:p w14:paraId="67B623A7" w14:textId="77777777" w:rsidR="00792F01" w:rsidRPr="007E58C5" w:rsidRDefault="00792F01" w:rsidP="00792F01">
      <w:pPr>
        <w:spacing w:after="0" w:line="240" w:lineRule="auto"/>
        <w:rPr>
          <w:rFonts w:ascii="Calibri" w:eastAsia="Times New Roman" w:hAnsi="Calibri" w:cs="Times New Roman"/>
        </w:rPr>
      </w:pPr>
    </w:p>
    <w:p w14:paraId="51829C9A"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An environmental assessment is a systematic evaluation of environmental factors that may contribute to transmission in an outbreak, as revealed by the initial epidemiological investigation.</w:t>
      </w:r>
    </w:p>
    <w:p w14:paraId="1ABE9F1B" w14:textId="77777777" w:rsidR="00792F01" w:rsidRPr="007E58C5" w:rsidRDefault="00792F01" w:rsidP="00792F01">
      <w:pPr>
        <w:spacing w:line="240" w:lineRule="auto"/>
        <w:contextualSpacing/>
        <w:rPr>
          <w:rFonts w:ascii="Calibri" w:eastAsia="Calibri" w:hAnsi="Calibri" w:cs="Times New Roman"/>
        </w:rPr>
      </w:pPr>
      <w:r w:rsidRPr="007E58C5">
        <w:rPr>
          <w:rFonts w:ascii="Calibri" w:eastAsia="Calibri" w:hAnsi="Calibri" w:cs="Times New Roman"/>
        </w:rPr>
        <w:t>The overall goal of the assessment is to pinpoint the conditions that allowed the outbreak to happen, such as:</w:t>
      </w:r>
    </w:p>
    <w:p w14:paraId="1DEA9C83" w14:textId="77777777" w:rsidR="00792F01" w:rsidRPr="007E58C5" w:rsidRDefault="00792F01" w:rsidP="00792F01">
      <w:pPr>
        <w:spacing w:line="240" w:lineRule="auto"/>
        <w:contextualSpacing/>
        <w:rPr>
          <w:rFonts w:ascii="Calibri" w:eastAsia="Calibri" w:hAnsi="Calibri" w:cs="Times New Roman"/>
        </w:rPr>
      </w:pPr>
      <w:r w:rsidRPr="007E58C5">
        <w:rPr>
          <w:rFonts w:ascii="Calibri" w:eastAsia="Calibri" w:hAnsi="Calibri" w:cs="Times New Roman"/>
        </w:rPr>
        <w:lastRenderedPageBreak/>
        <w:t>• Possible points of contamination and contact between the disease agent and vulnerable persons.</w:t>
      </w:r>
    </w:p>
    <w:p w14:paraId="4C830EED" w14:textId="77777777" w:rsidR="00792F01" w:rsidRPr="007E58C5" w:rsidRDefault="00792F01" w:rsidP="00792F01">
      <w:pPr>
        <w:spacing w:line="240" w:lineRule="auto"/>
        <w:contextualSpacing/>
        <w:rPr>
          <w:rFonts w:ascii="Calibri" w:eastAsia="Calibri" w:hAnsi="Calibri" w:cs="Times New Roman"/>
        </w:rPr>
      </w:pPr>
      <w:r w:rsidRPr="007E58C5">
        <w:rPr>
          <w:rFonts w:ascii="Calibri" w:eastAsia="Calibri" w:hAnsi="Calibri" w:cs="Times New Roman"/>
        </w:rPr>
        <w:t>• Environmental conditions conducive to microbial survival and/or growth.</w:t>
      </w:r>
    </w:p>
    <w:p w14:paraId="5AE082EC" w14:textId="77777777" w:rsidR="00792F01" w:rsidRPr="007E58C5" w:rsidRDefault="00792F01" w:rsidP="00792F01">
      <w:pPr>
        <w:spacing w:line="240" w:lineRule="auto"/>
        <w:contextualSpacing/>
        <w:rPr>
          <w:rFonts w:ascii="Calibri" w:eastAsia="Calibri" w:hAnsi="Calibri" w:cs="Times New Roman"/>
        </w:rPr>
      </w:pPr>
    </w:p>
    <w:p w14:paraId="720B75FE"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Environmental cultures are infrequently warranted and should only be obtained once a potential microbial source or reservoir has been identified and epidemiologically linked to outbreak cases. Since clinical laboratories may not be licensed or able to perform environmental testing, health authorities may require further consultation and additional resources to obtain such testing, if warranted. </w:t>
      </w:r>
    </w:p>
    <w:p w14:paraId="3CBA7E72" w14:textId="77777777" w:rsidR="00792F01" w:rsidRPr="007E58C5" w:rsidRDefault="00792F01" w:rsidP="00792F01">
      <w:pPr>
        <w:spacing w:line="240" w:lineRule="auto"/>
        <w:rPr>
          <w:rFonts w:ascii="Calibri" w:eastAsia="Calibri" w:hAnsi="Calibri" w:cs="Times New Roman"/>
          <w:b/>
        </w:rPr>
      </w:pPr>
      <w:r w:rsidRPr="007E58C5">
        <w:rPr>
          <w:rFonts w:ascii="Calibri" w:eastAsia="Calibri" w:hAnsi="Calibri" w:cs="Times New Roman"/>
          <w:b/>
        </w:rPr>
        <w:t>Coordinate Investigation Activities</w:t>
      </w:r>
    </w:p>
    <w:p w14:paraId="5991A7EA"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Timely communication and collaboration are critical throughout the course of the investigation among all investigative partners.  </w:t>
      </w:r>
    </w:p>
    <w:p w14:paraId="43E3A74E"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bCs/>
        </w:rPr>
        <w:t xml:space="preserve">Arrange for the core outbreak control team to meet daily and for regular updates for the entire, extended team. For example, the </w:t>
      </w:r>
      <w:r w:rsidRPr="007E58C5">
        <w:rPr>
          <w:rFonts w:ascii="Calibri" w:eastAsia="Calibri" w:hAnsi="Calibri" w:cs="Times New Roman"/>
        </w:rPr>
        <w:t xml:space="preserve">public information officer will need to be briefed before any scheduled press briefings. </w:t>
      </w:r>
    </w:p>
    <w:p w14:paraId="0F963960"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bCs/>
        </w:rPr>
        <w:t>Assure that pathogen-specific surveillance—by the healthcare facility and public health laboratories engaged in the investigation—continues unabated, with information on any potential new outbreak-associated cases forwarded to epidemiologists in real time to</w:t>
      </w:r>
      <w:r w:rsidRPr="007E58C5">
        <w:rPr>
          <w:rFonts w:ascii="Calibri" w:eastAsia="Calibri" w:hAnsi="Calibri" w:cs="Times New Roman"/>
        </w:rPr>
        <w:t xml:space="preserve"> ensure rapid enrollment of these cases in outbreak investigation studies. Similarly, as investigators acquire information about case-patient exposures in other facilities or case-patient transfers to or from other facilities or across state lines, they should rapidly update the appropriate health authorities and consider whether any information indicates the outbreak might be multi-jurisdictional. </w:t>
      </w:r>
    </w:p>
    <w:p w14:paraId="1123C9C8"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Finally, the scope of the investigation or the need to identify the source of any product contamination may require engagement of local, state, or federal agencies. </w:t>
      </w:r>
    </w:p>
    <w:p w14:paraId="2500B016" w14:textId="77777777" w:rsidR="00792F01" w:rsidRPr="007E58C5" w:rsidRDefault="00792F01" w:rsidP="00792F01">
      <w:pPr>
        <w:spacing w:line="240" w:lineRule="auto"/>
        <w:rPr>
          <w:rFonts w:ascii="Calibri" w:eastAsia="Calibri" w:hAnsi="Calibri" w:cs="Times New Roman"/>
          <w:bCs/>
        </w:rPr>
      </w:pPr>
      <w:r w:rsidRPr="007E58C5">
        <w:rPr>
          <w:rFonts w:ascii="Calibri" w:eastAsia="Calibri" w:hAnsi="Calibri" w:cs="Times New Roman"/>
          <w:b/>
          <w:bCs/>
        </w:rPr>
        <w:t xml:space="preserve">Monitor the Status of all Investigation Components on an Ongoing Basis.  </w:t>
      </w:r>
    </w:p>
    <w:p w14:paraId="266FF8D6"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bCs/>
        </w:rPr>
        <w:t>Ongoing review of investigation findings—including current case-patient lists, new laboratory data, updated epidemic curves, recent environmental assessment findings, etc.—can raise novel questions or help to answer existing questions related to an outbreak. This information, in turn, may lead investigators to modify existing prevention and control strategies or to adopt new strategies.</w:t>
      </w:r>
      <w:r w:rsidRPr="007E58C5">
        <w:rPr>
          <w:rFonts w:ascii="Calibri" w:eastAsia="Calibri" w:hAnsi="Calibri" w:cs="Times New Roman"/>
        </w:rPr>
        <w:t xml:space="preserve"> </w:t>
      </w:r>
    </w:p>
    <w:p w14:paraId="30A9F01A" w14:textId="77777777" w:rsidR="00792F01" w:rsidRPr="007E58C5" w:rsidRDefault="00792F01" w:rsidP="00792F01">
      <w:pPr>
        <w:spacing w:line="240" w:lineRule="auto"/>
        <w:rPr>
          <w:rFonts w:ascii="Calibri" w:eastAsia="Calibri" w:hAnsi="Calibri" w:cs="Times New Roman"/>
          <w:b/>
        </w:rPr>
      </w:pPr>
      <w:r w:rsidRPr="007E58C5">
        <w:rPr>
          <w:rFonts w:ascii="Calibri" w:eastAsia="Calibri" w:hAnsi="Calibri" w:cs="Times New Roman"/>
          <w:b/>
        </w:rPr>
        <w:t>Interpreting Results</w:t>
      </w:r>
    </w:p>
    <w:p w14:paraId="026CDE6E"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The outbreak investigator’s job is to use </w:t>
      </w:r>
      <w:r w:rsidRPr="007E58C5">
        <w:rPr>
          <w:rFonts w:ascii="Calibri" w:eastAsia="Calibri" w:hAnsi="Calibri" w:cs="Times New Roman"/>
          <w:i/>
          <w:iCs/>
        </w:rPr>
        <w:t xml:space="preserve">all </w:t>
      </w:r>
      <w:r w:rsidRPr="007E58C5">
        <w:rPr>
          <w:rFonts w:ascii="Calibri" w:eastAsia="Calibri" w:hAnsi="Calibri" w:cs="Times New Roman"/>
        </w:rPr>
        <w:t xml:space="preserve">available information to construct a coherent narrative of what happened and why. This begins with the initial detection of the outbreak and formation of hypotheses based on the agent’s ecology, microbiology, and mechanisms of transmission in healthcare settings, in addition to the descriptive epidemiology of reported cases. Results of subsequent analytic studies (e.g., cohort or case-control study results) should be interpreted within the context of all investigation findings. When </w:t>
      </w:r>
      <w:proofErr w:type="gramStart"/>
      <w:r w:rsidRPr="007E58C5">
        <w:rPr>
          <w:rFonts w:ascii="Calibri" w:eastAsia="Calibri" w:hAnsi="Calibri" w:cs="Times New Roman"/>
        </w:rPr>
        <w:t>all of</w:t>
      </w:r>
      <w:proofErr w:type="gramEnd"/>
      <w:r w:rsidRPr="007E58C5">
        <w:rPr>
          <w:rFonts w:ascii="Calibri" w:eastAsia="Calibri" w:hAnsi="Calibri" w:cs="Times New Roman"/>
        </w:rPr>
        <w:t xml:space="preserve"> these data elements support the primary hypothesis, strong conclusions can be drawn.</w:t>
      </w:r>
    </w:p>
    <w:p w14:paraId="259DD24B"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Investigators should consider their data critically and question the strength of causal associations, </w:t>
      </w:r>
      <w:proofErr w:type="gramStart"/>
      <w:r w:rsidRPr="007E58C5">
        <w:rPr>
          <w:rFonts w:ascii="Calibri" w:eastAsia="Calibri" w:hAnsi="Calibri" w:cs="Times New Roman"/>
        </w:rPr>
        <w:t>in light of</w:t>
      </w:r>
      <w:proofErr w:type="gramEnd"/>
      <w:r w:rsidRPr="007E58C5">
        <w:rPr>
          <w:rFonts w:ascii="Calibri" w:eastAsia="Calibri" w:hAnsi="Calibri" w:cs="Times New Roman"/>
        </w:rPr>
        <w:t xml:space="preserve"> timing, dose-response, plausibility, and consistency of findings. Statistical association between exposure and illness may reflect a causal link, but also may reflect confounding</w:t>
      </w:r>
      <w:r w:rsidRPr="007E58C5">
        <w:rPr>
          <w:rFonts w:ascii="Calibri" w:eastAsia="Calibri" w:hAnsi="Calibri" w:cs="Times New Roman"/>
          <w:vertAlign w:val="superscript"/>
        </w:rPr>
        <w:footnoteReference w:id="1"/>
      </w:r>
      <w:r w:rsidRPr="007E58C5">
        <w:rPr>
          <w:rFonts w:ascii="Calibri" w:eastAsia="Calibri" w:hAnsi="Calibri" w:cs="Times New Roman"/>
        </w:rPr>
        <w:t>, bias</w:t>
      </w:r>
      <w:r w:rsidRPr="007E58C5">
        <w:rPr>
          <w:rFonts w:ascii="Calibri" w:eastAsia="Calibri" w:hAnsi="Calibri" w:cs="Times New Roman"/>
          <w:vertAlign w:val="superscript"/>
        </w:rPr>
        <w:footnoteReference w:id="2"/>
      </w:r>
      <w:r w:rsidRPr="007E58C5">
        <w:rPr>
          <w:rFonts w:ascii="Calibri" w:eastAsia="Calibri" w:hAnsi="Calibri" w:cs="Times New Roman"/>
        </w:rPr>
        <w:t xml:space="preserve"> or chance</w:t>
      </w:r>
      <w:r w:rsidRPr="007E58C5">
        <w:rPr>
          <w:rFonts w:ascii="Calibri" w:eastAsia="Calibri" w:hAnsi="Calibri" w:cs="Times New Roman"/>
          <w:vertAlign w:val="superscript"/>
        </w:rPr>
        <w:footnoteReference w:id="3"/>
      </w:r>
      <w:r w:rsidRPr="007E58C5">
        <w:rPr>
          <w:rFonts w:ascii="Calibri" w:eastAsia="Calibri" w:hAnsi="Calibri" w:cs="Times New Roman"/>
        </w:rPr>
        <w:t xml:space="preserve">. </w:t>
      </w:r>
      <w:r w:rsidRPr="007E58C5">
        <w:rPr>
          <w:rFonts w:ascii="Calibri" w:eastAsia="Calibri" w:hAnsi="Calibri" w:cs="Times New Roman"/>
        </w:rPr>
        <w:lastRenderedPageBreak/>
        <w:t xml:space="preserve">Conversely, failure to achieve a </w:t>
      </w:r>
      <w:r w:rsidRPr="007E58C5">
        <w:rPr>
          <w:rFonts w:ascii="Calibri" w:eastAsia="Calibri" w:hAnsi="Calibri" w:cs="Times New Roman"/>
          <w:i/>
        </w:rPr>
        <w:t>p</w:t>
      </w:r>
      <w:r w:rsidRPr="007E58C5">
        <w:rPr>
          <w:rFonts w:ascii="Calibri" w:eastAsia="Calibri" w:hAnsi="Calibri" w:cs="Times New Roman"/>
        </w:rPr>
        <w:t xml:space="preserve">-value &lt;0.05 due to a small number of cases, faulty sampling method, inappropriate selection of controls, or other factors cannot rule out an association with a potential source or exposure. </w:t>
      </w:r>
    </w:p>
    <w:p w14:paraId="329940CB"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Even well-executed investigations can be inconclusive. Small sample sizes, confounders, common procedures and events can reduce the effectiveness of standard epidemiologic methods. The decision to end an investigation depends on the gravity and scope of the outbreak and on the likelihood that it reflects an ongoing public health threat. </w:t>
      </w:r>
    </w:p>
    <w:p w14:paraId="3C578968"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The most successful investigations are rigorous and evidence-based, but also adaptable, with investigators able to innovate as circumstances demand. Haphazard investigations are unlikely to yield meaningful results.  Facilities or jurisdictions that cannot commit resources to conduct outbreak investigations themselves should do whatever they can to facilitate follow-up of case-patients by other agencies (e.g., counties to states; states to other states or CDC).</w:t>
      </w:r>
    </w:p>
    <w:p w14:paraId="053F3693" w14:textId="77777777" w:rsidR="00792F01" w:rsidRPr="007E58C5" w:rsidRDefault="00792F01" w:rsidP="00792F01">
      <w:pPr>
        <w:spacing w:line="240" w:lineRule="auto"/>
        <w:rPr>
          <w:rFonts w:ascii="Calibri" w:eastAsia="Calibri" w:hAnsi="Calibri" w:cs="Times New Roman"/>
          <w:b/>
        </w:rPr>
      </w:pPr>
      <w:r w:rsidRPr="007E58C5">
        <w:rPr>
          <w:rFonts w:ascii="Calibri" w:eastAsia="Calibri" w:hAnsi="Calibri" w:cs="Times New Roman"/>
          <w:b/>
        </w:rPr>
        <w:t>Debrief After the Investigation Ends</w:t>
      </w:r>
    </w:p>
    <w:p w14:paraId="651D4612"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bCs/>
        </w:rPr>
        <w:t>Conduct a post-outbreak meeting among investigators to assess lessons learned and to compare notes on ultimate findings.</w:t>
      </w:r>
      <w:r w:rsidRPr="007E58C5">
        <w:rPr>
          <w:rFonts w:ascii="Calibri" w:eastAsia="Calibri" w:hAnsi="Calibri" w:cs="Times New Roman"/>
          <w:b/>
          <w:bCs/>
        </w:rPr>
        <w:t xml:space="preserve"> </w:t>
      </w:r>
      <w:r w:rsidRPr="007E58C5">
        <w:rPr>
          <w:rFonts w:ascii="Calibri" w:eastAsia="Calibri" w:hAnsi="Calibri" w:cs="Times New Roman"/>
        </w:rPr>
        <w:t>This is particularly important for multiagency investigations.</w:t>
      </w:r>
    </w:p>
    <w:p w14:paraId="2F1601DF" w14:textId="77777777" w:rsidR="00792F01" w:rsidRPr="007E58C5" w:rsidRDefault="00792F01" w:rsidP="00792F01">
      <w:pPr>
        <w:spacing w:line="240" w:lineRule="auto"/>
        <w:rPr>
          <w:rFonts w:ascii="Calibri" w:eastAsia="Calibri" w:hAnsi="Calibri" w:cs="Times New Roman"/>
          <w:b/>
        </w:rPr>
      </w:pPr>
      <w:r w:rsidRPr="007E58C5">
        <w:rPr>
          <w:rFonts w:ascii="Calibri" w:eastAsia="Calibri" w:hAnsi="Calibri" w:cs="Times New Roman"/>
          <w:b/>
        </w:rPr>
        <w:t>Summarize Investigation Findings, Conclusions, and Recommendations</w:t>
      </w:r>
    </w:p>
    <w:p w14:paraId="7A529FF9"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Investigations that are large, complex or highly consequential for public health and patient-safety demand a more complete narrative report and, potentially, publication in a peer-reviewed journal. Written reports should include the following:</w:t>
      </w:r>
    </w:p>
    <w:p w14:paraId="4ED01D1A"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Background, including information about the outbreak setting, timing, and manner of detection.</w:t>
      </w:r>
    </w:p>
    <w:p w14:paraId="20F93BD9"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Methods, including agencies involved in the investigation, case definition, details of investigative procedures (e.g., record reviews, patient interviews, environmental assessments, etc.), number of patient specimens and environmental samples collected and tested, and a high-level summary of laboratory test methods and target analytes.</w:t>
      </w:r>
    </w:p>
    <w:p w14:paraId="1479BFAA"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 Results, including number of persons exposed, sickened, hospitalized and deceased; key clinical findings; key laboratory findings; key environmental findings; and epidemiologic statistics, such as odds ratios or relative risks and confidence intervals for risk factors. Include the epidemic histogram and, if possible, timing and impact of control measures.  </w:t>
      </w:r>
    </w:p>
    <w:p w14:paraId="1DBA8958"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Conclusions, including etiologic agent, transmission route(s), contributing factors, justifications for conclusions, and study limitations.</w:t>
      </w:r>
    </w:p>
    <w:p w14:paraId="1833AB5F"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Recommendations for (1) abatement of the outbreak under investigation, (2) enhanced surveillance (if appropriate) and (3) prevention of similar outbreaks.</w:t>
      </w:r>
    </w:p>
    <w:p w14:paraId="11420A0C" w14:textId="77777777" w:rsidR="00792F01" w:rsidRPr="007E58C5" w:rsidRDefault="00792F01" w:rsidP="00792F01">
      <w:pPr>
        <w:spacing w:line="240" w:lineRule="auto"/>
        <w:rPr>
          <w:rFonts w:ascii="Calibri" w:eastAsia="Calibri" w:hAnsi="Calibri" w:cs="Times New Roman"/>
          <w:b/>
        </w:rPr>
      </w:pPr>
      <w:r w:rsidRPr="007E58C5">
        <w:rPr>
          <w:rFonts w:ascii="Calibri" w:eastAsia="Calibri" w:hAnsi="Calibri" w:cs="Times New Roman"/>
          <w:b/>
        </w:rPr>
        <w:t xml:space="preserve">Distribute Report </w:t>
      </w:r>
    </w:p>
    <w:p w14:paraId="2D881A1E"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b/>
          <w:bCs/>
        </w:rPr>
        <w:t>Make copies of the report available to all persons involved with the investigation</w:t>
      </w:r>
      <w:r w:rsidRPr="00337839">
        <w:rPr>
          <w:rFonts w:ascii="Calibri" w:eastAsia="Calibri" w:hAnsi="Calibri" w:cs="Times New Roman"/>
          <w:b/>
          <w:bCs/>
        </w:rPr>
        <w:t xml:space="preserve">, </w:t>
      </w:r>
      <w:r w:rsidRPr="00337839">
        <w:rPr>
          <w:rFonts w:ascii="Calibri" w:eastAsia="Calibri" w:hAnsi="Calibri" w:cs="Times New Roman"/>
          <w:b/>
        </w:rPr>
        <w:t>including:</w:t>
      </w:r>
    </w:p>
    <w:p w14:paraId="595ECDBC"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 Investigation team members and their supervisors. </w:t>
      </w:r>
    </w:p>
    <w:p w14:paraId="25078129"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 Health department officials and press officers. </w:t>
      </w:r>
    </w:p>
    <w:p w14:paraId="2BF2CFE5"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 Regulatory agency officials and press officers. </w:t>
      </w:r>
    </w:p>
    <w:p w14:paraId="1D1E6168"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Healthcare facility administrators and providers who reported cases.</w:t>
      </w:r>
    </w:p>
    <w:p w14:paraId="318B84C2"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lastRenderedPageBreak/>
        <w:t>• Laboratorians who performed tests.</w:t>
      </w:r>
    </w:p>
    <w:p w14:paraId="5070E63C"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Also distribute copies of the report to persons responsible for implementing control measures, including </w:t>
      </w:r>
    </w:p>
    <w:p w14:paraId="163D6AE2"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 Healthcare facility CEO and/or director. </w:t>
      </w:r>
    </w:p>
    <w:p w14:paraId="4D3A26D5"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 Program staff who might oversee implementation of control measures or provide technical assistance. </w:t>
      </w:r>
    </w:p>
    <w:p w14:paraId="4AF0A533" w14:textId="77777777" w:rsidR="00792F01" w:rsidRPr="007E58C5" w:rsidRDefault="00792F01" w:rsidP="00792F01">
      <w:pPr>
        <w:spacing w:line="240" w:lineRule="auto"/>
        <w:rPr>
          <w:rFonts w:ascii="Calibri" w:eastAsia="Calibri" w:hAnsi="Calibri" w:cs="Times New Roman"/>
        </w:rPr>
      </w:pPr>
      <w:r w:rsidRPr="007E58C5">
        <w:rPr>
          <w:rFonts w:ascii="Calibri" w:eastAsia="Calibri" w:hAnsi="Calibri" w:cs="Times New Roman"/>
        </w:rPr>
        <w:t xml:space="preserve">• Accreditation organizations or regulatory agencies for which the investigation might have policy or regulatory implications. </w:t>
      </w:r>
      <w:r w:rsidRPr="007E58C5">
        <w:rPr>
          <w:rFonts w:ascii="Calibri" w:eastAsia="Calibri" w:hAnsi="Calibri" w:cs="Times New Roman"/>
        </w:rPr>
        <w:br w:type="page"/>
      </w:r>
    </w:p>
    <w:p w14:paraId="0CFE7DFB" w14:textId="77777777" w:rsidR="00792F01" w:rsidRPr="007E58C5" w:rsidRDefault="00792F01" w:rsidP="00792F01">
      <w:pPr>
        <w:spacing w:after="0" w:line="240" w:lineRule="auto"/>
        <w:rPr>
          <w:rFonts w:ascii="Calibri" w:eastAsia="Times New Roman" w:hAnsi="Calibri" w:cs="Times New Roman"/>
          <w:color w:val="000000"/>
          <w:shd w:val="clear" w:color="auto" w:fill="FFFFFF"/>
        </w:rPr>
      </w:pPr>
      <w:r w:rsidRPr="007E58C5">
        <w:rPr>
          <w:rFonts w:ascii="Calibri" w:eastAsia="Times New Roman" w:hAnsi="Calibri" w:cs="Times New Roman"/>
          <w:color w:val="000000"/>
          <w:shd w:val="clear" w:color="auto" w:fill="FFFFFF"/>
        </w:rPr>
        <w:lastRenderedPageBreak/>
        <w:t>Appendix A</w:t>
      </w:r>
    </w:p>
    <w:p w14:paraId="1A33C19B" w14:textId="77777777" w:rsidR="00792F01" w:rsidRPr="007E58C5" w:rsidRDefault="00792F01" w:rsidP="00792F01">
      <w:pPr>
        <w:shd w:val="clear" w:color="auto" w:fill="FFFFFF"/>
        <w:spacing w:before="150" w:after="150" w:line="240" w:lineRule="auto"/>
        <w:outlineLvl w:val="3"/>
        <w:rPr>
          <w:rFonts w:ascii="Calibri" w:eastAsia="Times New Roman" w:hAnsi="Calibri" w:cs="Times New Roman"/>
          <w:i/>
          <w:color w:val="000000"/>
        </w:rPr>
      </w:pPr>
      <w:r w:rsidRPr="007E58C5">
        <w:rPr>
          <w:rFonts w:ascii="Calibri" w:eastAsia="Times New Roman" w:hAnsi="Calibri" w:cs="Times New Roman"/>
          <w:i/>
          <w:iCs/>
          <w:color w:val="000000"/>
        </w:rPr>
        <w:t>Retrospective cohort studies</w:t>
      </w:r>
    </w:p>
    <w:p w14:paraId="4E970C5B" w14:textId="77777777" w:rsidR="00792F01" w:rsidRPr="007E58C5" w:rsidRDefault="00792F01" w:rsidP="00792F01">
      <w:pPr>
        <w:shd w:val="clear" w:color="auto" w:fill="FFFFFF"/>
        <w:spacing w:after="150" w:line="240" w:lineRule="auto"/>
        <w:rPr>
          <w:rFonts w:ascii="Calibri" w:eastAsia="Calibri" w:hAnsi="Calibri" w:cs="Times New Roman"/>
          <w:color w:val="000000"/>
        </w:rPr>
      </w:pPr>
      <w:r w:rsidRPr="007E58C5">
        <w:rPr>
          <w:rFonts w:ascii="Calibri" w:eastAsia="Calibri" w:hAnsi="Calibri" w:cs="Times New Roman"/>
          <w:color w:val="000000"/>
        </w:rPr>
        <w:t>A retrospective cohort study—in which the investigator calculates incidence rates for the exposed and the unexposed—is the study of choice for an outbreak in a small, well-defined population. Generally, an exposure is considered a strong suspect if it meets the following criteria:</w:t>
      </w:r>
    </w:p>
    <w:p w14:paraId="13C1EFFB" w14:textId="77777777" w:rsidR="00792F01" w:rsidRPr="007E58C5" w:rsidRDefault="00792F01" w:rsidP="00792F01">
      <w:pPr>
        <w:numPr>
          <w:ilvl w:val="0"/>
          <w:numId w:val="3"/>
        </w:numPr>
        <w:shd w:val="clear" w:color="auto" w:fill="FFFFFF"/>
        <w:spacing w:before="100" w:beforeAutospacing="1" w:after="100" w:afterAutospacing="1" w:line="240" w:lineRule="auto"/>
        <w:ind w:left="375"/>
        <w:rPr>
          <w:rFonts w:ascii="Calibri" w:eastAsia="Times New Roman" w:hAnsi="Calibri" w:cs="Times New Roman"/>
          <w:color w:val="000000"/>
        </w:rPr>
      </w:pPr>
      <w:r w:rsidRPr="007E58C5">
        <w:rPr>
          <w:rFonts w:ascii="Calibri" w:eastAsia="Times New Roman" w:hAnsi="Calibri" w:cs="Times New Roman"/>
          <w:color w:val="000000"/>
        </w:rPr>
        <w:t>The incidence rate is high among those exposed.</w:t>
      </w:r>
    </w:p>
    <w:p w14:paraId="12201966" w14:textId="77777777" w:rsidR="00792F01" w:rsidRPr="007E58C5" w:rsidRDefault="00792F01" w:rsidP="00792F01">
      <w:pPr>
        <w:numPr>
          <w:ilvl w:val="0"/>
          <w:numId w:val="3"/>
        </w:numPr>
        <w:shd w:val="clear" w:color="auto" w:fill="FFFFFF"/>
        <w:spacing w:before="100" w:beforeAutospacing="1" w:after="100" w:afterAutospacing="1" w:line="240" w:lineRule="auto"/>
        <w:ind w:left="375"/>
        <w:rPr>
          <w:rFonts w:ascii="Calibri" w:eastAsia="Times New Roman" w:hAnsi="Calibri" w:cs="Times New Roman"/>
          <w:color w:val="000000"/>
        </w:rPr>
      </w:pPr>
      <w:r w:rsidRPr="007E58C5">
        <w:rPr>
          <w:rFonts w:ascii="Calibri" w:eastAsia="Times New Roman" w:hAnsi="Calibri" w:cs="Times New Roman"/>
          <w:color w:val="000000"/>
        </w:rPr>
        <w:t>The incidence rate is low among those not exposed, so the difference, or ratio, between incidence for the exposed and unexposed is high.</w:t>
      </w:r>
    </w:p>
    <w:p w14:paraId="747B0DC8" w14:textId="77777777" w:rsidR="00792F01" w:rsidRPr="007E58C5" w:rsidRDefault="00792F01" w:rsidP="00792F01">
      <w:pPr>
        <w:numPr>
          <w:ilvl w:val="0"/>
          <w:numId w:val="3"/>
        </w:numPr>
        <w:shd w:val="clear" w:color="auto" w:fill="FFFFFF"/>
        <w:spacing w:before="100" w:beforeAutospacing="1" w:after="100" w:afterAutospacing="1" w:line="240" w:lineRule="auto"/>
        <w:ind w:left="375"/>
        <w:rPr>
          <w:rFonts w:ascii="Calibri" w:eastAsia="Times New Roman" w:hAnsi="Calibri" w:cs="Times New Roman"/>
          <w:color w:val="000000"/>
        </w:rPr>
      </w:pPr>
      <w:r w:rsidRPr="007E58C5">
        <w:rPr>
          <w:rFonts w:ascii="Calibri" w:eastAsia="Times New Roman" w:hAnsi="Calibri" w:cs="Times New Roman"/>
          <w:color w:val="000000"/>
        </w:rPr>
        <w:t>Most case-patients were exposed, so the exposure could “explain” or account for most, if not all, cases.</w:t>
      </w:r>
    </w:p>
    <w:p w14:paraId="2FCCA68C" w14:textId="77777777" w:rsidR="00792F01" w:rsidRPr="007E58C5" w:rsidRDefault="00792F01" w:rsidP="00792F01">
      <w:pPr>
        <w:shd w:val="clear" w:color="auto" w:fill="FFFFFF"/>
        <w:spacing w:after="150" w:line="240" w:lineRule="auto"/>
        <w:rPr>
          <w:rFonts w:ascii="Calibri" w:eastAsia="Calibri" w:hAnsi="Calibri" w:cs="Times New Roman"/>
          <w:color w:val="000000"/>
        </w:rPr>
      </w:pPr>
      <w:r w:rsidRPr="007E58C5">
        <w:rPr>
          <w:rFonts w:ascii="Calibri" w:eastAsia="Calibri" w:hAnsi="Calibri" w:cs="Times New Roman"/>
          <w:color w:val="000000"/>
          <w:u w:val="single"/>
        </w:rPr>
        <w:t>Relative risk</w:t>
      </w:r>
      <w:r w:rsidRPr="007E58C5">
        <w:rPr>
          <w:rFonts w:ascii="Calibri" w:eastAsia="Calibri" w:hAnsi="Calibri" w:cs="Times New Roman"/>
          <w:color w:val="000000"/>
        </w:rPr>
        <w:t>. Commonly, the investigator calculates the relative risk (a.k.a. risk ratio) by dividing the incidence of disease in the exposed group by the incidence of disease in the unexposed group. When the two incidence rates are the same, the relative risk equals 1.0, and the exposure is not associated with disease. The larger the relative risk, the stronger the association between exposure and disease.</w:t>
      </w:r>
    </w:p>
    <w:p w14:paraId="591E0A1F" w14:textId="77777777" w:rsidR="00792F01" w:rsidRPr="007E58C5" w:rsidRDefault="00792F01" w:rsidP="00792F01">
      <w:pPr>
        <w:rPr>
          <w:rFonts w:ascii="Calibri" w:eastAsia="Calibri" w:hAnsi="Calibri" w:cs="Times New Roman"/>
        </w:rPr>
      </w:pPr>
      <w:r w:rsidRPr="007E58C5">
        <w:rPr>
          <w:rFonts w:ascii="Calibri" w:eastAsia="Calibri" w:hAnsi="Calibri" w:cs="Times New Roman"/>
          <w:bCs/>
          <w:iCs/>
          <w:u w:val="single"/>
        </w:rPr>
        <w:t>Statistical significance testing</w:t>
      </w:r>
      <w:r w:rsidRPr="007E58C5">
        <w:rPr>
          <w:rFonts w:ascii="Calibri" w:eastAsia="Calibri" w:hAnsi="Calibri" w:cs="Times New Roman"/>
          <w:iCs/>
          <w:u w:val="single"/>
        </w:rPr>
        <w:t>.</w:t>
      </w:r>
      <w:r w:rsidRPr="007E58C5">
        <w:rPr>
          <w:rFonts w:ascii="Calibri" w:eastAsia="Calibri" w:hAnsi="Calibri" w:cs="Times New Roman"/>
        </w:rPr>
        <w:t xml:space="preserve"> When an exposure is found to have a relative risk different from 1.0, many investigators perform a chi-square or other test of statistical significance to determine the probability of finding an association as large or larger based on chance alone. This probability is called the </w:t>
      </w:r>
      <w:r w:rsidRPr="007E58C5">
        <w:rPr>
          <w:rFonts w:ascii="Calibri" w:eastAsia="Calibri" w:hAnsi="Calibri" w:cs="Times New Roman"/>
          <w:bCs/>
          <w:i/>
        </w:rPr>
        <w:t>p-</w:t>
      </w:r>
      <w:r w:rsidRPr="007E58C5">
        <w:rPr>
          <w:rFonts w:ascii="Calibri" w:eastAsia="Calibri" w:hAnsi="Calibri" w:cs="Times New Roman"/>
        </w:rPr>
        <w:t xml:space="preserve">value, and the smaller the </w:t>
      </w:r>
      <w:r w:rsidRPr="007E58C5">
        <w:rPr>
          <w:rFonts w:ascii="Calibri" w:eastAsia="Calibri" w:hAnsi="Calibri" w:cs="Times New Roman"/>
          <w:bCs/>
          <w:i/>
        </w:rPr>
        <w:t>p-</w:t>
      </w:r>
      <w:r w:rsidRPr="007E58C5">
        <w:rPr>
          <w:rFonts w:ascii="Calibri" w:eastAsia="Calibri" w:hAnsi="Calibri" w:cs="Times New Roman"/>
        </w:rPr>
        <w:t xml:space="preserve">value, the less likely it is that the observed association is due to chance. (A purely chance association is considered the “null hypothesis,” which must be disproved to demonstrate causality.) Generally, an acceptable </w:t>
      </w:r>
      <w:r w:rsidRPr="007E58C5">
        <w:rPr>
          <w:rFonts w:ascii="Calibri" w:eastAsia="Calibri" w:hAnsi="Calibri" w:cs="Times New Roman"/>
          <w:bCs/>
          <w:i/>
        </w:rPr>
        <w:t>p-</w:t>
      </w:r>
      <w:r w:rsidRPr="007E58C5">
        <w:rPr>
          <w:rFonts w:ascii="Calibri" w:eastAsia="Calibri" w:hAnsi="Calibri" w:cs="Times New Roman"/>
        </w:rPr>
        <w:t>value—commonly 0.05 or a 5% probability of a chance association—is specified in advance.</w:t>
      </w:r>
    </w:p>
    <w:p w14:paraId="7077291E" w14:textId="77777777" w:rsidR="00792F01" w:rsidRPr="007E58C5" w:rsidRDefault="00792F01" w:rsidP="00792F01">
      <w:pPr>
        <w:rPr>
          <w:rFonts w:ascii="Calibri" w:eastAsia="Calibri" w:hAnsi="Calibri" w:cs="Times New Roman"/>
        </w:rPr>
      </w:pPr>
      <w:r w:rsidRPr="007E58C5">
        <w:rPr>
          <w:rFonts w:ascii="Calibri" w:eastAsia="Calibri" w:hAnsi="Calibri" w:cs="Times New Roman"/>
        </w:rPr>
        <w:t xml:space="preserve">The chi-square test works well if the number of study participants is greater than about 30. For smaller studies, the Fisher Exact Test may be more appropriate. Although this statistic is tedious to calculate manually, it—like </w:t>
      </w:r>
      <w:proofErr w:type="gramStart"/>
      <w:r w:rsidRPr="007E58C5">
        <w:rPr>
          <w:rFonts w:ascii="Calibri" w:eastAsia="Calibri" w:hAnsi="Calibri" w:cs="Times New Roman"/>
        </w:rPr>
        <w:t>all of</w:t>
      </w:r>
      <w:proofErr w:type="gramEnd"/>
      <w:r w:rsidRPr="007E58C5">
        <w:rPr>
          <w:rFonts w:ascii="Calibri" w:eastAsia="Calibri" w:hAnsi="Calibri" w:cs="Times New Roman"/>
        </w:rPr>
        <w:t xml:space="preserve"> the statistical tests described here—can be calculated electronically via Epi Info or another computer program. </w:t>
      </w:r>
    </w:p>
    <w:p w14:paraId="26714648" w14:textId="77777777" w:rsidR="00792F01" w:rsidRPr="007E58C5" w:rsidRDefault="00792F01" w:rsidP="00792F01">
      <w:pPr>
        <w:rPr>
          <w:rFonts w:ascii="Calibri" w:eastAsia="Calibri" w:hAnsi="Calibri" w:cs="Times New Roman"/>
        </w:rPr>
      </w:pPr>
      <w:r w:rsidRPr="007E58C5">
        <w:rPr>
          <w:rFonts w:ascii="Calibri" w:eastAsia="Calibri" w:hAnsi="Calibri" w:cs="Times New Roman"/>
          <w:bCs/>
          <w:iCs/>
          <w:color w:val="000000"/>
          <w:u w:val="single"/>
        </w:rPr>
        <w:t>Confidence intervals.</w:t>
      </w:r>
      <w:r w:rsidRPr="007E58C5">
        <w:rPr>
          <w:rFonts w:ascii="Calibri" w:eastAsia="Calibri" w:hAnsi="Calibri" w:cs="Times New Roman"/>
          <w:u w:val="single"/>
        </w:rPr>
        <w:t> </w:t>
      </w:r>
      <w:r w:rsidRPr="007E58C5">
        <w:rPr>
          <w:rFonts w:ascii="Calibri" w:eastAsia="Calibri" w:hAnsi="Calibri" w:cs="Times New Roman"/>
        </w:rPr>
        <w:t xml:space="preserve">An alternative to the </w:t>
      </w:r>
      <w:r w:rsidRPr="007E58C5">
        <w:rPr>
          <w:rFonts w:ascii="Calibri" w:eastAsia="Calibri" w:hAnsi="Calibri" w:cs="Times New Roman"/>
          <w:bCs/>
          <w:i/>
        </w:rPr>
        <w:t>p-</w:t>
      </w:r>
      <w:r w:rsidRPr="007E58C5">
        <w:rPr>
          <w:rFonts w:ascii="Calibri" w:eastAsia="Calibri" w:hAnsi="Calibri" w:cs="Times New Roman"/>
        </w:rPr>
        <w:t>value</w:t>
      </w:r>
      <w:r w:rsidRPr="007E58C5" w:rsidDel="006C5FDE">
        <w:rPr>
          <w:rFonts w:ascii="Calibri" w:eastAsia="Calibri" w:hAnsi="Calibri" w:cs="Times New Roman"/>
        </w:rPr>
        <w:t xml:space="preserve"> </w:t>
      </w:r>
      <w:r w:rsidRPr="007E58C5">
        <w:rPr>
          <w:rFonts w:ascii="Calibri" w:eastAsia="Calibri" w:hAnsi="Calibri" w:cs="Times New Roman"/>
        </w:rPr>
        <w:t xml:space="preserve">is a confidence interval, a statistic that combines an interval estimate (i.e., the range of values estimated to contain the true value), with a probability statement that specifies the uncertainty associated with the interval estimate (i.e., the uncertainty associated with the investigator’s sampling methods). The typical 95% confidence interval for a calculated relative risk, for example, indicates that use of the same sampling method to select different case-patients and controls will yield a confidence interval that contains the true relative risk 95% of the time. Less variable data and larger sample sizes will tend to yield narrower confidence intervals and thus more precise estimates of the true relative risk. </w:t>
      </w:r>
    </w:p>
    <w:p w14:paraId="62A1FEA9" w14:textId="77777777" w:rsidR="00792F01" w:rsidRDefault="00792F01" w:rsidP="00792F01">
      <w:pPr>
        <w:rPr>
          <w:rFonts w:ascii="Calibri" w:eastAsia="Calibri" w:hAnsi="Calibri" w:cs="Times New Roman"/>
        </w:rPr>
      </w:pPr>
      <w:r w:rsidRPr="007E58C5">
        <w:rPr>
          <w:rFonts w:ascii="Calibri" w:eastAsia="Calibri" w:hAnsi="Calibri" w:cs="Times New Roman"/>
        </w:rPr>
        <w:t xml:space="preserve">Because a confidence interval provides more information than a </w:t>
      </w:r>
      <w:r w:rsidRPr="007E58C5">
        <w:rPr>
          <w:rFonts w:ascii="Calibri" w:eastAsia="Calibri" w:hAnsi="Calibri" w:cs="Times New Roman"/>
          <w:bCs/>
          <w:i/>
        </w:rPr>
        <w:t>p-</w:t>
      </w:r>
      <w:r w:rsidRPr="007E58C5">
        <w:rPr>
          <w:rFonts w:ascii="Calibri" w:eastAsia="Calibri" w:hAnsi="Calibri" w:cs="Times New Roman"/>
        </w:rPr>
        <w:t xml:space="preserve">value, many medical and epidemiologic journals prefer confidence intervals to </w:t>
      </w:r>
      <w:r w:rsidRPr="007E58C5">
        <w:rPr>
          <w:rFonts w:ascii="Calibri" w:eastAsia="Calibri" w:hAnsi="Calibri" w:cs="Times New Roman"/>
          <w:bCs/>
          <w:i/>
        </w:rPr>
        <w:t>p-</w:t>
      </w:r>
      <w:r w:rsidRPr="007E58C5">
        <w:rPr>
          <w:rFonts w:ascii="Calibri" w:eastAsia="Calibri" w:hAnsi="Calibri" w:cs="Times New Roman"/>
        </w:rPr>
        <w:t xml:space="preserve">value. However, in the outbreak setting, the difference may be irrelevant. If the objective of an outbreak investigation is to identify the source of pathogenic exposure, a relative risk and </w:t>
      </w:r>
      <w:r w:rsidRPr="007E58C5">
        <w:rPr>
          <w:rFonts w:ascii="Calibri" w:eastAsia="Calibri" w:hAnsi="Calibri" w:cs="Times New Roman"/>
          <w:bCs/>
          <w:i/>
        </w:rPr>
        <w:t>p-</w:t>
      </w:r>
      <w:r w:rsidRPr="007E58C5">
        <w:rPr>
          <w:rFonts w:ascii="Calibri" w:eastAsia="Calibri" w:hAnsi="Calibri" w:cs="Times New Roman"/>
        </w:rPr>
        <w:t>value</w:t>
      </w:r>
      <w:r w:rsidRPr="007E58C5" w:rsidDel="00C53B87">
        <w:rPr>
          <w:rFonts w:ascii="Calibri" w:eastAsia="Calibri" w:hAnsi="Calibri" w:cs="Times New Roman"/>
        </w:rPr>
        <w:t xml:space="preserve"> </w:t>
      </w:r>
      <w:r w:rsidRPr="007E58C5">
        <w:rPr>
          <w:rFonts w:ascii="Calibri" w:eastAsia="Calibri" w:hAnsi="Calibri" w:cs="Times New Roman"/>
        </w:rPr>
        <w:t>may serve as well as a relative risk and confidence interval.</w:t>
      </w:r>
    </w:p>
    <w:p w14:paraId="7BB396AC" w14:textId="77777777" w:rsidR="00792F01" w:rsidRPr="007E58C5" w:rsidRDefault="00792F01" w:rsidP="00792F01">
      <w:pPr>
        <w:rPr>
          <w:rFonts w:ascii="Calibri" w:eastAsia="Calibri" w:hAnsi="Calibri" w:cs="Times New Roman"/>
        </w:rPr>
      </w:pPr>
    </w:p>
    <w:p w14:paraId="33A8394C" w14:textId="77777777" w:rsidR="00792F01" w:rsidRPr="007E58C5" w:rsidRDefault="00792F01" w:rsidP="00792F01">
      <w:pPr>
        <w:rPr>
          <w:rFonts w:ascii="Calibri" w:eastAsia="Times New Roman" w:hAnsi="Calibri" w:cs="Times New Roman"/>
          <w:i/>
        </w:rPr>
      </w:pPr>
      <w:r w:rsidRPr="007E58C5">
        <w:rPr>
          <w:rFonts w:ascii="Calibri" w:eastAsia="Times New Roman" w:hAnsi="Calibri" w:cs="Times New Roman"/>
          <w:i/>
        </w:rPr>
        <w:lastRenderedPageBreak/>
        <w:t>Case-control studies</w:t>
      </w:r>
    </w:p>
    <w:p w14:paraId="57AAF957" w14:textId="77777777" w:rsidR="00792F01" w:rsidRPr="007E58C5" w:rsidRDefault="00792F01" w:rsidP="00792F01">
      <w:pPr>
        <w:rPr>
          <w:rFonts w:ascii="Calibri" w:eastAsia="Calibri" w:hAnsi="Calibri" w:cs="Times New Roman"/>
        </w:rPr>
      </w:pPr>
      <w:r w:rsidRPr="007E58C5">
        <w:rPr>
          <w:rFonts w:ascii="Calibri" w:eastAsia="Calibri" w:hAnsi="Calibri" w:cs="Times New Roman"/>
        </w:rPr>
        <w:t xml:space="preserve">In a case-control study, the investigator compares the exposure status of case-patients with a comparable group of persons without the disease under study ("controls"). </w:t>
      </w:r>
    </w:p>
    <w:p w14:paraId="552C6B8D" w14:textId="77777777" w:rsidR="00792F01" w:rsidRPr="007E58C5" w:rsidRDefault="00792F01" w:rsidP="00792F01">
      <w:pPr>
        <w:rPr>
          <w:rFonts w:ascii="Calibri" w:eastAsia="Calibri" w:hAnsi="Calibri" w:cs="Times New Roman"/>
        </w:rPr>
      </w:pPr>
      <w:r w:rsidRPr="007E58C5">
        <w:rPr>
          <w:rFonts w:ascii="Calibri" w:eastAsia="Calibri" w:hAnsi="Calibri" w:cs="Times New Roman"/>
          <w:bCs/>
          <w:u w:val="single"/>
        </w:rPr>
        <w:t>Choosing controls.</w:t>
      </w:r>
      <w:r w:rsidRPr="007E58C5">
        <w:rPr>
          <w:rFonts w:ascii="Calibri" w:eastAsia="Calibri" w:hAnsi="Calibri" w:cs="Times New Roman"/>
          <w:u w:val="single"/>
        </w:rPr>
        <w:t> </w:t>
      </w:r>
      <w:r w:rsidRPr="007E58C5">
        <w:rPr>
          <w:rFonts w:ascii="Calibri" w:eastAsia="Calibri" w:hAnsi="Calibri" w:cs="Times New Roman"/>
        </w:rPr>
        <w:t xml:space="preserve">When designing a case-control study, one of the most important tasks is selecting the individuals who will comprise the control group. As mentioned above, the controls must </w:t>
      </w:r>
      <w:r w:rsidRPr="007E58C5">
        <w:rPr>
          <w:rFonts w:ascii="Calibri" w:eastAsia="Calibri" w:hAnsi="Calibri" w:cs="Times New Roman"/>
          <w:i/>
        </w:rPr>
        <w:t>not</w:t>
      </w:r>
      <w:r w:rsidRPr="007E58C5">
        <w:rPr>
          <w:rFonts w:ascii="Calibri" w:eastAsia="Calibri" w:hAnsi="Calibri" w:cs="Times New Roman"/>
        </w:rPr>
        <w:t xml:space="preserve"> have the disease under study, but should otherwise represent the population in which the cases occurred. </w:t>
      </w:r>
    </w:p>
    <w:p w14:paraId="2426DE1C" w14:textId="77777777" w:rsidR="00792F01" w:rsidRPr="007E58C5" w:rsidRDefault="00792F01" w:rsidP="00792F01">
      <w:pPr>
        <w:rPr>
          <w:rFonts w:ascii="Calibri" w:eastAsia="Calibri" w:hAnsi="Calibri" w:cs="Times New Roman"/>
        </w:rPr>
      </w:pPr>
      <w:r w:rsidRPr="007E58C5">
        <w:rPr>
          <w:rFonts w:ascii="Calibri" w:eastAsia="Calibri" w:hAnsi="Calibri" w:cs="Times New Roman"/>
        </w:rPr>
        <w:t>Common control groups consist of:</w:t>
      </w:r>
    </w:p>
    <w:p w14:paraId="0223A281" w14:textId="77777777" w:rsidR="00792F01" w:rsidRPr="007E58C5" w:rsidRDefault="00792F01" w:rsidP="00792F01">
      <w:pPr>
        <w:numPr>
          <w:ilvl w:val="0"/>
          <w:numId w:val="5"/>
        </w:numPr>
        <w:contextualSpacing/>
        <w:rPr>
          <w:rFonts w:ascii="Calibri" w:eastAsia="Times New Roman" w:hAnsi="Calibri" w:cs="Times New Roman"/>
        </w:rPr>
      </w:pPr>
      <w:r w:rsidRPr="007E58C5">
        <w:rPr>
          <w:rFonts w:ascii="Calibri" w:eastAsia="Times New Roman" w:hAnsi="Calibri" w:cs="Times New Roman"/>
        </w:rPr>
        <w:t xml:space="preserve">Random patients admitted to the same hospital unit within the same timeframe. </w:t>
      </w:r>
    </w:p>
    <w:p w14:paraId="2C1DE989" w14:textId="77777777" w:rsidR="00792F01" w:rsidRPr="007E58C5" w:rsidRDefault="00792F01" w:rsidP="00792F01">
      <w:pPr>
        <w:numPr>
          <w:ilvl w:val="0"/>
          <w:numId w:val="5"/>
        </w:numPr>
        <w:contextualSpacing/>
        <w:rPr>
          <w:rFonts w:ascii="Calibri" w:eastAsia="Times New Roman" w:hAnsi="Calibri" w:cs="Times New Roman"/>
        </w:rPr>
      </w:pPr>
      <w:r w:rsidRPr="007E58C5">
        <w:rPr>
          <w:rFonts w:ascii="Calibri" w:eastAsia="Times New Roman" w:hAnsi="Calibri" w:cs="Times New Roman"/>
        </w:rPr>
        <w:t xml:space="preserve">Patients undergoing the same medical procedure. </w:t>
      </w:r>
    </w:p>
    <w:p w14:paraId="1294E8DE" w14:textId="77777777" w:rsidR="00792F01" w:rsidRPr="007E58C5" w:rsidRDefault="00792F01" w:rsidP="00792F01">
      <w:pPr>
        <w:numPr>
          <w:ilvl w:val="0"/>
          <w:numId w:val="5"/>
        </w:numPr>
        <w:contextualSpacing/>
        <w:rPr>
          <w:rFonts w:ascii="Calibri" w:eastAsia="Calibri" w:hAnsi="Calibri" w:cs="Times New Roman"/>
        </w:rPr>
      </w:pPr>
      <w:r w:rsidRPr="007E58C5">
        <w:rPr>
          <w:rFonts w:ascii="Calibri" w:eastAsia="Times New Roman" w:hAnsi="Calibri" w:cs="Times New Roman"/>
        </w:rPr>
        <w:t xml:space="preserve">Patients with the same underlying diagnosis that prompted hospital admittance (but without, of course, the HAI under study).  </w:t>
      </w:r>
    </w:p>
    <w:p w14:paraId="75B64AB0" w14:textId="77777777" w:rsidR="00792F01" w:rsidRPr="007E58C5" w:rsidRDefault="00792F01" w:rsidP="00792F01">
      <w:pPr>
        <w:rPr>
          <w:rFonts w:ascii="Calibri" w:eastAsia="Calibri" w:hAnsi="Calibri" w:cs="Times New Roman"/>
        </w:rPr>
      </w:pPr>
      <w:r w:rsidRPr="007E58C5">
        <w:rPr>
          <w:rFonts w:ascii="Calibri" w:eastAsia="Calibri" w:hAnsi="Calibri" w:cs="Times New Roman"/>
        </w:rPr>
        <w:t xml:space="preserve">If the control group differs systematically from the case group, a true association between exposure and disease may be missed or a spurious association may be observed between a non-causal exposure and disease. </w:t>
      </w:r>
    </w:p>
    <w:p w14:paraId="6D5C2B0F" w14:textId="77777777" w:rsidR="00792F01" w:rsidRPr="007E58C5" w:rsidRDefault="00792F01" w:rsidP="00792F01">
      <w:pPr>
        <w:rPr>
          <w:rFonts w:ascii="Calibri" w:eastAsia="Calibri" w:hAnsi="Calibri" w:cs="Times New Roman"/>
        </w:rPr>
      </w:pPr>
      <w:r w:rsidRPr="007E58C5">
        <w:rPr>
          <w:rFonts w:ascii="Calibri" w:eastAsia="Calibri" w:hAnsi="Calibri" w:cs="Times New Roman"/>
        </w:rPr>
        <w:t>When designing a case-control study, other considerations include the number of controls to select per case and potential confounding due to factors associated with both the exposure and disease outcome that cause a spurious association. Sample size formulas are available to help determine the number of controls per case. Confounding can be controlled by matching cases and controls on the confounding factor during the selection process or during data analysis.</w:t>
      </w:r>
    </w:p>
    <w:p w14:paraId="03ECD8A9" w14:textId="77777777" w:rsidR="00792F01" w:rsidRPr="007E58C5" w:rsidRDefault="00792F01" w:rsidP="00792F01">
      <w:pPr>
        <w:rPr>
          <w:rFonts w:ascii="Calibri" w:eastAsia="Calibri" w:hAnsi="Calibri" w:cs="Times New Roman"/>
        </w:rPr>
      </w:pPr>
      <w:r w:rsidRPr="007E58C5">
        <w:rPr>
          <w:rFonts w:ascii="Calibri" w:eastAsia="Calibri" w:hAnsi="Calibri" w:cs="Times New Roman"/>
        </w:rPr>
        <w:t>Often, the number of case-patients that can be enrolled in a study is limited by the size of the outbreak. For example, in a hospital, four or five cases may constitute an outbreak. Fortunately, potential controls are usually plentiful. In an outbreak of 50 or more cases, one control per case will usually suffice. In smaller outbreaks, two, three, or four controls per case may be feasible. However, including more than four controls per case is rarely worth the effort in terms of increased statistical power.</w:t>
      </w:r>
    </w:p>
    <w:p w14:paraId="304088C3" w14:textId="77777777" w:rsidR="00792F01" w:rsidRPr="007E58C5" w:rsidRDefault="00792F01" w:rsidP="00792F01">
      <w:pPr>
        <w:rPr>
          <w:rFonts w:ascii="Calibri" w:eastAsia="Times New Roman" w:hAnsi="Calibri" w:cs="Times New Roman"/>
          <w:shd w:val="clear" w:color="auto" w:fill="FFFFFF"/>
        </w:rPr>
      </w:pPr>
      <w:r w:rsidRPr="007E58C5">
        <w:rPr>
          <w:rFonts w:ascii="Calibri" w:eastAsia="Times New Roman" w:hAnsi="Calibri" w:cs="Times New Roman"/>
          <w:bCs/>
          <w:iCs/>
          <w:u w:val="single"/>
          <w:shd w:val="clear" w:color="auto" w:fill="FFFFFF"/>
        </w:rPr>
        <w:t>Odds ratios.</w:t>
      </w:r>
      <w:r w:rsidRPr="007E58C5">
        <w:rPr>
          <w:rFonts w:ascii="Calibri" w:eastAsia="Times New Roman" w:hAnsi="Calibri" w:cs="Times New Roman"/>
          <w:u w:val="single"/>
          <w:shd w:val="clear" w:color="auto" w:fill="FFFFFF"/>
        </w:rPr>
        <w:t> </w:t>
      </w:r>
      <w:r w:rsidRPr="007E58C5">
        <w:rPr>
          <w:rFonts w:ascii="Calibri" w:eastAsia="Times New Roman" w:hAnsi="Calibri" w:cs="Times New Roman"/>
          <w:shd w:val="clear" w:color="auto" w:fill="FFFFFF"/>
        </w:rPr>
        <w:t>In most case-control studies, the population is not well defined, and the total number of people exposed (or unexposed) to a suspected vehicle or source is not known. Without a proper denominator, incidence rates cannot be calculated. </w:t>
      </w:r>
    </w:p>
    <w:p w14:paraId="36CB719D" w14:textId="77777777" w:rsidR="00792F01" w:rsidRPr="007E58C5" w:rsidRDefault="00792F01" w:rsidP="00792F01">
      <w:pPr>
        <w:rPr>
          <w:rFonts w:ascii="Calibri" w:eastAsia="Times New Roman" w:hAnsi="Calibri" w:cs="Times New Roman"/>
          <w:shd w:val="clear" w:color="auto" w:fill="FFFFFF"/>
        </w:rPr>
      </w:pPr>
      <w:r w:rsidRPr="007E58C5">
        <w:rPr>
          <w:rFonts w:ascii="Calibri" w:eastAsia="Times New Roman" w:hAnsi="Calibri" w:cs="Times New Roman"/>
          <w:shd w:val="clear" w:color="auto" w:fill="FFFFFF"/>
        </w:rPr>
        <w:t xml:space="preserve">Thus, for a case-control study, the odds ratio is the preeminent measure of association. Fortunately, for rare events, such as HAIs and most other outbreak-associated diseases, the odds ratio from a case-control study approximates the relative risk that would have been found if a cohort study had been feasible. </w:t>
      </w:r>
    </w:p>
    <w:p w14:paraId="35D26688" w14:textId="77777777" w:rsidR="00792F01" w:rsidRPr="007E58C5" w:rsidRDefault="00792F01" w:rsidP="00792F01">
      <w:pPr>
        <w:rPr>
          <w:rFonts w:ascii="Calibri" w:eastAsia="Calibri" w:hAnsi="Calibri" w:cs="Times New Roman"/>
        </w:rPr>
      </w:pPr>
      <w:r w:rsidRPr="007E58C5">
        <w:rPr>
          <w:rFonts w:ascii="Calibri" w:eastAsia="Calibri" w:hAnsi="Calibri" w:cs="Times New Roman"/>
        </w:rPr>
        <w:t>The odds ratio—the ratio of the odds of exposure among cases to that among controls—is calculated as a/c ÷ b/d where:</w:t>
      </w:r>
    </w:p>
    <w:p w14:paraId="63B448B8" w14:textId="77777777" w:rsidR="00792F01" w:rsidRPr="007E58C5" w:rsidRDefault="00792F01" w:rsidP="00792F01">
      <w:pPr>
        <w:rPr>
          <w:rFonts w:ascii="Calibri" w:eastAsia="Calibri" w:hAnsi="Calibri" w:cs="Times New Roman"/>
        </w:rPr>
      </w:pPr>
      <w:r w:rsidRPr="007E58C5">
        <w:rPr>
          <w:rFonts w:ascii="Calibri" w:eastAsia="Calibri" w:hAnsi="Calibri" w:cs="Times New Roman"/>
        </w:rPr>
        <w:t>a = the number of individuals who are both exposed and have the disease.</w:t>
      </w:r>
    </w:p>
    <w:p w14:paraId="1656A877" w14:textId="77777777" w:rsidR="00792F01" w:rsidRPr="007E58C5" w:rsidRDefault="00792F01" w:rsidP="00792F01">
      <w:pPr>
        <w:rPr>
          <w:rFonts w:ascii="Calibri" w:eastAsia="Calibri" w:hAnsi="Calibri" w:cs="Times New Roman"/>
        </w:rPr>
      </w:pPr>
      <w:r w:rsidRPr="007E58C5">
        <w:rPr>
          <w:rFonts w:ascii="Calibri" w:eastAsia="Calibri" w:hAnsi="Calibri" w:cs="Times New Roman"/>
        </w:rPr>
        <w:t>b = the number who are exposed and do not have the disease.</w:t>
      </w:r>
    </w:p>
    <w:p w14:paraId="1589AD1B" w14:textId="77777777" w:rsidR="00792F01" w:rsidRPr="007E58C5" w:rsidRDefault="00792F01" w:rsidP="00792F01">
      <w:pPr>
        <w:rPr>
          <w:rFonts w:ascii="Calibri" w:eastAsia="Calibri" w:hAnsi="Calibri" w:cs="Times New Roman"/>
        </w:rPr>
      </w:pPr>
      <w:r w:rsidRPr="007E58C5">
        <w:rPr>
          <w:rFonts w:ascii="Calibri" w:eastAsia="Calibri" w:hAnsi="Calibri" w:cs="Times New Roman"/>
        </w:rPr>
        <w:t>c = the number who are unexposed and have the disease</w:t>
      </w:r>
    </w:p>
    <w:p w14:paraId="5DC2B069" w14:textId="77777777" w:rsidR="00792F01" w:rsidRDefault="00792F01" w:rsidP="00792F01">
      <w:pPr>
        <w:rPr>
          <w:rFonts w:ascii="Calibri" w:eastAsia="Calibri" w:hAnsi="Calibri" w:cs="Times New Roman"/>
        </w:rPr>
      </w:pPr>
      <w:r w:rsidRPr="007E58C5">
        <w:rPr>
          <w:rFonts w:ascii="Calibri" w:eastAsia="Calibri" w:hAnsi="Calibri" w:cs="Times New Roman"/>
        </w:rPr>
        <w:t>d = the number who are both unexposed and without the disease.</w:t>
      </w:r>
    </w:p>
    <w:p w14:paraId="10F6908D" w14:textId="77777777" w:rsidR="00792F01" w:rsidRPr="00792F01" w:rsidRDefault="00792F01" w:rsidP="00792F01">
      <w:pPr>
        <w:rPr>
          <w:rFonts w:ascii="Calibri" w:eastAsia="Calibri" w:hAnsi="Calibri" w:cs="Times New Roman"/>
        </w:rPr>
      </w:pPr>
      <w:r w:rsidRPr="007E58C5">
        <w:rPr>
          <w:rFonts w:ascii="Calibri" w:eastAsia="Times New Roman" w:hAnsi="Calibri" w:cs="Times New Roman"/>
          <w:shd w:val="clear" w:color="auto" w:fill="FFFFFF"/>
        </w:rPr>
        <w:lastRenderedPageBreak/>
        <w:t xml:space="preserve">To test the statistical significance of the odds ratio, a chi-square test can be computed. However, it is important to remember that statistical significance is not proof of causality, as the observed result may be due to chance, bias or confounding.  </w:t>
      </w:r>
    </w:p>
    <w:p w14:paraId="5E1433FB" w14:textId="77777777" w:rsidR="00792F01" w:rsidRPr="007E58C5" w:rsidRDefault="00792F01" w:rsidP="00792F01">
      <w:pPr>
        <w:rPr>
          <w:rFonts w:ascii="Calibri" w:eastAsia="Times New Roman" w:hAnsi="Calibri" w:cs="Times New Roman"/>
          <w:shd w:val="clear" w:color="auto" w:fill="FFFFFF"/>
        </w:rPr>
      </w:pPr>
    </w:p>
    <w:p w14:paraId="481B1E51" w14:textId="77777777" w:rsidR="00792F01" w:rsidRPr="007E58C5" w:rsidRDefault="00792F01" w:rsidP="00792F01">
      <w:pPr>
        <w:rPr>
          <w:rFonts w:ascii="Calibri" w:eastAsia="Calibri" w:hAnsi="Calibri" w:cs="Times New Roman"/>
        </w:rPr>
      </w:pPr>
    </w:p>
    <w:p w14:paraId="5366E61C" w14:textId="77777777" w:rsidR="00792F01" w:rsidRPr="005B2EC6" w:rsidRDefault="00792F01" w:rsidP="00792F01"/>
    <w:p w14:paraId="2D96B476" w14:textId="77777777" w:rsidR="00792F01" w:rsidRDefault="00792F01" w:rsidP="00792F01">
      <w:pPr>
        <w:rPr>
          <w:b/>
          <w:color w:val="3296D2"/>
          <w:sz w:val="28"/>
          <w:szCs w:val="28"/>
        </w:rPr>
      </w:pPr>
    </w:p>
    <w:p w14:paraId="0995E91D" w14:textId="77777777" w:rsidR="00792F01" w:rsidRDefault="00792F01" w:rsidP="00792F01">
      <w:pPr>
        <w:rPr>
          <w:b/>
          <w:color w:val="3296D2"/>
          <w:sz w:val="28"/>
          <w:szCs w:val="28"/>
        </w:rPr>
      </w:pPr>
    </w:p>
    <w:p w14:paraId="571CB3A2" w14:textId="77777777" w:rsidR="003C0D19" w:rsidRDefault="003C0D19"/>
    <w:sectPr w:rsidR="003C0D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Kate Heyer" w:date="2018-05-23T12:35:00Z" w:initials="KH">
    <w:p w14:paraId="21002E6B" w14:textId="77777777" w:rsidR="00792F01" w:rsidRDefault="00792F01" w:rsidP="00792F01">
      <w:pPr>
        <w:pStyle w:val="CommentText"/>
      </w:pPr>
      <w:r>
        <w:rPr>
          <w:rStyle w:val="CommentReference"/>
        </w:rPr>
        <w:annotationRef/>
      </w:r>
      <w:r>
        <w:t>Institute the alphanumeric system a la CIFOR guidance</w:t>
      </w:r>
    </w:p>
    <w:p w14:paraId="1F01720D" w14:textId="77777777" w:rsidR="00792F01" w:rsidRDefault="00792F01" w:rsidP="00792F01">
      <w:pPr>
        <w:pStyle w:val="CommentText"/>
      </w:pPr>
    </w:p>
    <w:p w14:paraId="15811286" w14:textId="77777777" w:rsidR="00792F01" w:rsidRDefault="00792F01" w:rsidP="00792F01">
      <w:pPr>
        <w:pStyle w:val="CommentText"/>
      </w:pPr>
      <w:r>
        <w:t xml:space="preserve">Gear the language towards what PH should do and what PH should ask the HCF to do. Make it more practical/applied. </w:t>
      </w:r>
    </w:p>
    <w:p w14:paraId="13B06231" w14:textId="77777777" w:rsidR="00792F01" w:rsidRDefault="00792F01" w:rsidP="00792F01">
      <w:pPr>
        <w:pStyle w:val="CommentText"/>
      </w:pPr>
    </w:p>
    <w:p w14:paraId="70B3BE86" w14:textId="77777777" w:rsidR="00792F01" w:rsidRDefault="00792F01" w:rsidP="00792F01">
      <w:pPr>
        <w:pStyle w:val="CommentText"/>
      </w:pPr>
      <w:r>
        <w:t>Do a scan of what exists for field epidemiology as it relates to healthcare/AR/HAIs.</w:t>
      </w:r>
    </w:p>
  </w:comment>
  <w:comment w:id="2" w:author="Kate Heyer" w:date="2018-05-23T12:47:00Z" w:initials="KH">
    <w:p w14:paraId="3AA11AE2" w14:textId="77777777" w:rsidR="00792F01" w:rsidRDefault="00792F01" w:rsidP="00792F01">
      <w:pPr>
        <w:pStyle w:val="CommentText"/>
      </w:pPr>
      <w:r>
        <w:rPr>
          <w:rStyle w:val="CommentReference"/>
        </w:rPr>
        <w:annotationRef/>
      </w:r>
      <w:r>
        <w:rPr>
          <w:rStyle w:val="CommentReference"/>
        </w:rPr>
        <w:t>Introduce the key topics here, address later in the chapter.</w:t>
      </w:r>
    </w:p>
  </w:comment>
  <w:comment w:id="3" w:author="Kate Heyer" w:date="2018-05-23T12:40:00Z" w:initials="KH">
    <w:p w14:paraId="519121D9" w14:textId="77777777" w:rsidR="00792F01" w:rsidRDefault="00792F01" w:rsidP="00792F01">
      <w:pPr>
        <w:pStyle w:val="CommentText"/>
      </w:pPr>
      <w:r>
        <w:rPr>
          <w:rStyle w:val="CommentReference"/>
        </w:rPr>
        <w:annotationRef/>
      </w:r>
      <w:r>
        <w:t xml:space="preserve">And make immediate changes if there is an infection risk. </w:t>
      </w:r>
    </w:p>
  </w:comment>
  <w:comment w:id="4" w:author="Kate Heyer" w:date="2018-05-23T12:44:00Z" w:initials="KH">
    <w:p w14:paraId="47CC6231" w14:textId="77777777" w:rsidR="00792F01" w:rsidRDefault="00792F01" w:rsidP="00792F01">
      <w:pPr>
        <w:pStyle w:val="CommentText"/>
      </w:pPr>
      <w:r>
        <w:rPr>
          <w:rStyle w:val="CommentReference"/>
        </w:rPr>
        <w:annotationRef/>
      </w:r>
      <w:r>
        <w:t xml:space="preserve">Consider making this a figure, making it clear to the reader that we will address in more detail later. </w:t>
      </w:r>
    </w:p>
    <w:p w14:paraId="06DFBBE9" w14:textId="77777777" w:rsidR="00792F01" w:rsidRDefault="00792F01" w:rsidP="00792F01">
      <w:pPr>
        <w:pStyle w:val="CommentText"/>
      </w:pPr>
    </w:p>
    <w:p w14:paraId="50387F68" w14:textId="77777777" w:rsidR="00792F01" w:rsidRDefault="00792F01" w:rsidP="00792F01">
      <w:pPr>
        <w:pStyle w:val="CommentText"/>
      </w:pPr>
      <w:r>
        <w:t xml:space="preserve">Include verifying the diagnosis, establishing the existence of an outbreak. </w:t>
      </w:r>
    </w:p>
  </w:comment>
  <w:comment w:id="5" w:author="Kate Heyer" w:date="2018-05-23T12:46:00Z" w:initials="KH">
    <w:p w14:paraId="227CA79A" w14:textId="77777777" w:rsidR="00792F01" w:rsidRDefault="00792F01" w:rsidP="00792F01">
      <w:pPr>
        <w:pStyle w:val="CommentText"/>
      </w:pPr>
      <w:r>
        <w:rPr>
          <w:rStyle w:val="CommentReference"/>
        </w:rPr>
        <w:annotationRef/>
      </w:r>
      <w:r>
        <w:t>Connect with communication with regulatory partners section.</w:t>
      </w:r>
    </w:p>
  </w:comment>
  <w:comment w:id="6" w:author="Kate Heyer" w:date="2018-05-23T12:39:00Z" w:initials="KH">
    <w:p w14:paraId="23368B39" w14:textId="77777777" w:rsidR="00792F01" w:rsidRDefault="00792F01" w:rsidP="00792F01">
      <w:pPr>
        <w:pStyle w:val="CommentText"/>
      </w:pPr>
      <w:r>
        <w:rPr>
          <w:rStyle w:val="CommentReference"/>
        </w:rPr>
        <w:annotationRef/>
      </w:r>
      <w:r>
        <w:t>Establishing the roles and responsibilities.</w:t>
      </w:r>
    </w:p>
  </w:comment>
  <w:comment w:id="7" w:author="Kate Heyer" w:date="2018-05-23T12:45:00Z" w:initials="KH">
    <w:p w14:paraId="7E87E019" w14:textId="77777777" w:rsidR="00792F01" w:rsidRDefault="00792F01" w:rsidP="00792F01">
      <w:pPr>
        <w:pStyle w:val="CommentText"/>
      </w:pPr>
      <w:r>
        <w:rPr>
          <w:rStyle w:val="CommentReference"/>
        </w:rPr>
        <w:annotationRef/>
      </w:r>
      <w:r>
        <w:t xml:space="preserve">Move to the front of the cluster/outbreak procedures section. </w:t>
      </w:r>
    </w:p>
  </w:comment>
  <w:comment w:id="8" w:author="Kate Heyer" w:date="2018-05-23T12:16:00Z" w:initials="KH">
    <w:p w14:paraId="3DAD097B" w14:textId="77777777" w:rsidR="00792F01" w:rsidRDefault="00792F01" w:rsidP="00792F01">
      <w:pPr>
        <w:pStyle w:val="CommentText"/>
      </w:pPr>
      <w:r>
        <w:rPr>
          <w:rStyle w:val="CommentReference"/>
        </w:rPr>
        <w:annotationRef/>
      </w:r>
      <w:r>
        <w:t>Permissions required for investigations. ETHICS. Ethics may be covered more fully elsewhere in the HLG.</w:t>
      </w:r>
    </w:p>
  </w:comment>
  <w:comment w:id="9" w:author="Kate Heyer" w:date="2018-05-23T12:41:00Z" w:initials="KH">
    <w:p w14:paraId="32518AD4" w14:textId="77777777" w:rsidR="00792F01" w:rsidRDefault="00792F01" w:rsidP="00792F01">
      <w:pPr>
        <w:pStyle w:val="CommentText"/>
      </w:pPr>
      <w:r>
        <w:rPr>
          <w:rStyle w:val="CommentReference"/>
        </w:rPr>
        <w:annotationRef/>
      </w:r>
      <w:r>
        <w:t xml:space="preserve">Consider moving the lab portion here. </w:t>
      </w:r>
    </w:p>
    <w:p w14:paraId="7D47A401" w14:textId="77777777" w:rsidR="00792F01" w:rsidRDefault="00792F01" w:rsidP="00792F01">
      <w:pPr>
        <w:pStyle w:val="CommentText"/>
      </w:pPr>
    </w:p>
  </w:comment>
  <w:comment w:id="10" w:author="Kate Heyer" w:date="2018-05-23T12:42:00Z" w:initials="KH">
    <w:p w14:paraId="406BB505" w14:textId="77777777" w:rsidR="00792F01" w:rsidRDefault="00792F01" w:rsidP="00792F01">
      <w:pPr>
        <w:pStyle w:val="CommentText"/>
      </w:pPr>
      <w:r>
        <w:rPr>
          <w:rStyle w:val="CommentReference"/>
        </w:rPr>
        <w:annotationRef/>
      </w:r>
      <w:r>
        <w:t>Could include identifying cases by patient notification/screening and/or a call for cases.</w:t>
      </w:r>
    </w:p>
  </w:comment>
  <w:comment w:id="11" w:author="Kate Heyer" w:date="2018-05-23T12:18:00Z" w:initials="KH">
    <w:p w14:paraId="7F0C67FD" w14:textId="77777777" w:rsidR="00792F01" w:rsidRDefault="00792F01" w:rsidP="00792F01">
      <w:pPr>
        <w:pStyle w:val="CommentText"/>
      </w:pPr>
      <w:r>
        <w:rPr>
          <w:rStyle w:val="CommentReference"/>
        </w:rPr>
        <w:annotationRef/>
      </w:r>
      <w:r>
        <w:t xml:space="preserve">Verifying appropriate clinical features and timing of their onset. </w:t>
      </w:r>
    </w:p>
    <w:p w14:paraId="19FE59B0" w14:textId="77777777" w:rsidR="00792F01" w:rsidRDefault="00792F01" w:rsidP="00792F01">
      <w:pPr>
        <w:pStyle w:val="CommentText"/>
      </w:pPr>
    </w:p>
  </w:comment>
  <w:comment w:id="12" w:author="Kate Heyer" w:date="2018-05-23T12:19:00Z" w:initials="KH">
    <w:p w14:paraId="4DC36351" w14:textId="77777777" w:rsidR="00792F01" w:rsidRDefault="00792F01" w:rsidP="00792F01">
      <w:pPr>
        <w:pStyle w:val="CommentText"/>
      </w:pPr>
      <w:r>
        <w:rPr>
          <w:rStyle w:val="CommentReference"/>
        </w:rPr>
        <w:annotationRef/>
      </w:r>
      <w:r>
        <w:t>Clinician outreach and call for cases.</w:t>
      </w:r>
    </w:p>
    <w:p w14:paraId="5BC604F9" w14:textId="77777777" w:rsidR="00792F01" w:rsidRDefault="00792F01" w:rsidP="00792F01">
      <w:pPr>
        <w:pStyle w:val="CommentText"/>
      </w:pPr>
      <w:r>
        <w:t xml:space="preserve">Add PH reporting data for reportable conditions. </w:t>
      </w:r>
    </w:p>
  </w:comment>
  <w:comment w:id="13" w:author="Kate Heyer" w:date="2018-05-23T12:20:00Z" w:initials="KH">
    <w:p w14:paraId="56B9A989" w14:textId="77777777" w:rsidR="00792F01" w:rsidRDefault="00792F01" w:rsidP="00792F01">
      <w:pPr>
        <w:pStyle w:val="CommentText"/>
      </w:pPr>
      <w:r>
        <w:rPr>
          <w:rStyle w:val="CommentReference"/>
        </w:rPr>
        <w:annotationRef/>
      </w:r>
      <w:r>
        <w:t xml:space="preserve">Clinic schedule and billing records as a source of data. </w:t>
      </w:r>
    </w:p>
    <w:p w14:paraId="2BA9C7E2" w14:textId="77777777" w:rsidR="00792F01" w:rsidRDefault="00792F01" w:rsidP="00792F01">
      <w:pPr>
        <w:pStyle w:val="CommentText"/>
      </w:pPr>
    </w:p>
    <w:p w14:paraId="2B65FE26" w14:textId="77777777" w:rsidR="00792F01" w:rsidRDefault="00792F01" w:rsidP="00792F01">
      <w:pPr>
        <w:pStyle w:val="CommentText"/>
      </w:pPr>
      <w:r>
        <w:t>Look at PH reporting (</w:t>
      </w:r>
      <w:proofErr w:type="spellStart"/>
      <w:r>
        <w:t>eg</w:t>
      </w:r>
      <w:proofErr w:type="spellEnd"/>
      <w:r>
        <w:t xml:space="preserve">, acute viral hepatitis, </w:t>
      </w:r>
      <w:proofErr w:type="spellStart"/>
      <w:r>
        <w:t>legionelosis</w:t>
      </w:r>
      <w:proofErr w:type="spellEnd"/>
      <w:r>
        <w:t xml:space="preserve">) </w:t>
      </w:r>
    </w:p>
  </w:comment>
  <w:comment w:id="14" w:author="Kate Heyer" w:date="2018-05-23T12:20:00Z" w:initials="KH">
    <w:p w14:paraId="02D3B181" w14:textId="77777777" w:rsidR="00792F01" w:rsidRDefault="00792F01" w:rsidP="00792F01">
      <w:pPr>
        <w:pStyle w:val="CommentText"/>
      </w:pPr>
      <w:r>
        <w:rPr>
          <w:rStyle w:val="CommentReference"/>
        </w:rPr>
        <w:annotationRef/>
      </w:r>
      <w:r>
        <w:t xml:space="preserve">Separate out in a unique bullet-type of unit, occupancy, space for multiple locations where a patient could be </w:t>
      </w:r>
      <w:proofErr w:type="gramStart"/>
      <w:r>
        <w:t>during the course of</w:t>
      </w:r>
      <w:proofErr w:type="gramEnd"/>
      <w:r>
        <w:t xml:space="preserve"> a hospital/LTC stay. How many roommates and where the roommates were before exposure/symptom onset.  </w:t>
      </w:r>
    </w:p>
  </w:comment>
  <w:comment w:id="15" w:author="Kate Heyer" w:date="2018-05-23T12:22:00Z" w:initials="KH">
    <w:p w14:paraId="0E4D5019" w14:textId="77777777" w:rsidR="00792F01" w:rsidRDefault="00792F01" w:rsidP="00792F01">
      <w:pPr>
        <w:pStyle w:val="CommentText"/>
      </w:pPr>
      <w:r>
        <w:rPr>
          <w:rStyle w:val="CommentReference"/>
        </w:rPr>
        <w:annotationRef/>
      </w:r>
      <w:r>
        <w:t xml:space="preserve">Distinguish between clinical symptoms and surveillance cultures. </w:t>
      </w:r>
    </w:p>
    <w:p w14:paraId="47068555" w14:textId="77777777" w:rsidR="00792F01" w:rsidRDefault="00792F01" w:rsidP="00792F01">
      <w:pPr>
        <w:pStyle w:val="CommentText"/>
      </w:pPr>
    </w:p>
    <w:p w14:paraId="6035EBD6" w14:textId="77777777" w:rsidR="00792F01" w:rsidRDefault="00792F01" w:rsidP="00792F01">
      <w:pPr>
        <w:pStyle w:val="CommentText"/>
      </w:pPr>
      <w:r>
        <w:t xml:space="preserve">Dawn: share timeline that includes additional information. Gannt chart style. Template to be referenced in the document. </w:t>
      </w:r>
    </w:p>
  </w:comment>
  <w:comment w:id="16" w:author="Kate Heyer" w:date="2018-05-23T12:32:00Z" w:initials="KH">
    <w:p w14:paraId="0FA56868" w14:textId="77777777" w:rsidR="00792F01" w:rsidRDefault="00792F01" w:rsidP="00792F01">
      <w:pPr>
        <w:pStyle w:val="CommentText"/>
      </w:pPr>
      <w:r>
        <w:rPr>
          <w:rStyle w:val="CommentReference"/>
        </w:rPr>
        <w:annotationRef/>
      </w:r>
      <w:r>
        <w:t xml:space="preserve">Often lacking in HAIs/AR. To be addressed elsewhere. </w:t>
      </w:r>
      <w:proofErr w:type="gramStart"/>
      <w:r>
        <w:t>Generally</w:t>
      </w:r>
      <w:proofErr w:type="gramEnd"/>
      <w:r>
        <w:t xml:space="preserve"> do case-control studies.   </w:t>
      </w:r>
    </w:p>
  </w:comment>
  <w:comment w:id="17" w:author="Kate Heyer" w:date="2018-05-23T12:29:00Z" w:initials="KH">
    <w:p w14:paraId="57A31454" w14:textId="77777777" w:rsidR="00792F01" w:rsidRDefault="00792F01" w:rsidP="00792F01">
      <w:pPr>
        <w:pStyle w:val="CommentText"/>
      </w:pPr>
      <w:r>
        <w:rPr>
          <w:rStyle w:val="CommentReference"/>
        </w:rPr>
        <w:annotationRef/>
      </w:r>
      <w:r>
        <w:t>In some situations, there might be a need for on-site direct observation. These domains might not be exhaustive.</w:t>
      </w:r>
    </w:p>
  </w:comment>
  <w:comment w:id="18" w:author="Kate Heyer" w:date="2018-05-23T12:27:00Z" w:initials="KH">
    <w:p w14:paraId="264FBD59" w14:textId="77777777" w:rsidR="00792F01" w:rsidRDefault="00792F01" w:rsidP="00792F01">
      <w:pPr>
        <w:pStyle w:val="CommentText"/>
      </w:pPr>
      <w:r>
        <w:rPr>
          <w:rStyle w:val="CommentReference"/>
        </w:rPr>
        <w:annotationRef/>
      </w:r>
      <w:r>
        <w:t xml:space="preserve">Include examples of what to look for—sources of water contamination or medical devices, instances of construction in or around healthcare facilities. </w:t>
      </w:r>
    </w:p>
    <w:p w14:paraId="5C1FC936" w14:textId="77777777" w:rsidR="00792F01" w:rsidRDefault="00792F01" w:rsidP="00792F01">
      <w:pPr>
        <w:pStyle w:val="CommentText"/>
      </w:pPr>
    </w:p>
    <w:p w14:paraId="4A76FA34" w14:textId="77777777" w:rsidR="00792F01" w:rsidRDefault="00792F01" w:rsidP="00792F01">
      <w:pPr>
        <w:pStyle w:val="CommentText"/>
      </w:pPr>
      <w:r>
        <w:t xml:space="preserve">Surfaces/equipment—proper reprocessing/equipment? EPA-registered disinfectants. </w:t>
      </w:r>
    </w:p>
    <w:p w14:paraId="516971B5" w14:textId="77777777" w:rsidR="00792F01" w:rsidRDefault="00792F01" w:rsidP="00792F01">
      <w:pPr>
        <w:pStyle w:val="CommentText"/>
      </w:pPr>
    </w:p>
    <w:p w14:paraId="553C1E45" w14:textId="77777777" w:rsidR="00792F01" w:rsidRDefault="00792F01" w:rsidP="00792F01">
      <w:pPr>
        <w:pStyle w:val="CommentText"/>
      </w:pPr>
      <w:r>
        <w:t>If you find a deficiency, this is how to address 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0B3BE86" w15:done="0"/>
  <w15:commentEx w15:paraId="3AA11AE2" w15:done="0"/>
  <w15:commentEx w15:paraId="519121D9" w15:done="0"/>
  <w15:commentEx w15:paraId="50387F68" w15:done="0"/>
  <w15:commentEx w15:paraId="227CA79A" w15:done="0"/>
  <w15:commentEx w15:paraId="23368B39" w15:done="0"/>
  <w15:commentEx w15:paraId="7E87E019" w15:done="0"/>
  <w15:commentEx w15:paraId="3DAD097B" w15:done="0"/>
  <w15:commentEx w15:paraId="7D47A401" w15:done="0"/>
  <w15:commentEx w15:paraId="406BB505" w15:done="0"/>
  <w15:commentEx w15:paraId="19FE59B0" w15:done="0"/>
  <w15:commentEx w15:paraId="5BC604F9" w15:done="0"/>
  <w15:commentEx w15:paraId="2B65FE26" w15:done="0"/>
  <w15:commentEx w15:paraId="02D3B181" w15:done="0"/>
  <w15:commentEx w15:paraId="6035EBD6" w15:done="0"/>
  <w15:commentEx w15:paraId="0FA56868" w15:done="0"/>
  <w15:commentEx w15:paraId="57A31454" w15:done="0"/>
  <w15:commentEx w15:paraId="553C1E4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B3BE86" w16cid:durableId="1EAFDE90"/>
  <w16cid:commentId w16cid:paraId="3AA11AE2" w16cid:durableId="1EAFE160"/>
  <w16cid:commentId w16cid:paraId="519121D9" w16cid:durableId="1EAFDFBE"/>
  <w16cid:commentId w16cid:paraId="50387F68" w16cid:durableId="1EAFE0B3"/>
  <w16cid:commentId w16cid:paraId="227CA79A" w16cid:durableId="1EAFE13B"/>
  <w16cid:commentId w16cid:paraId="23368B39" w16cid:durableId="1EAFDF8C"/>
  <w16cid:commentId w16cid:paraId="7E87E019" w16cid:durableId="1EAFE0F4"/>
  <w16cid:commentId w16cid:paraId="3DAD097B" w16cid:durableId="1EAFDA07"/>
  <w16cid:commentId w16cid:paraId="7D47A401" w16cid:durableId="1EAFE002"/>
  <w16cid:commentId w16cid:paraId="406BB505" w16cid:durableId="1EAFE048"/>
  <w16cid:commentId w16cid:paraId="19FE59B0" w16cid:durableId="1EAFDA99"/>
  <w16cid:commentId w16cid:paraId="5BC604F9" w16cid:durableId="1EAFDACF"/>
  <w16cid:commentId w16cid:paraId="2B65FE26" w16cid:durableId="1EAFDAFB"/>
  <w16cid:commentId w16cid:paraId="02D3B181" w16cid:durableId="1EAFDB2B"/>
  <w16cid:commentId w16cid:paraId="6035EBD6" w16cid:durableId="1EAFDB87"/>
  <w16cid:commentId w16cid:paraId="0FA56868" w16cid:durableId="1EAFDDCA"/>
  <w16cid:commentId w16cid:paraId="57A31454" w16cid:durableId="1EAFDD35"/>
  <w16cid:commentId w16cid:paraId="553C1E45" w16cid:durableId="1EAFDC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CAE1A" w14:textId="77777777" w:rsidR="00792F01" w:rsidRDefault="00792F01" w:rsidP="00792F01">
      <w:pPr>
        <w:spacing w:after="0" w:line="240" w:lineRule="auto"/>
      </w:pPr>
      <w:r>
        <w:separator/>
      </w:r>
    </w:p>
  </w:endnote>
  <w:endnote w:type="continuationSeparator" w:id="0">
    <w:p w14:paraId="3C45150A" w14:textId="77777777" w:rsidR="00792F01" w:rsidRDefault="00792F01" w:rsidP="00792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55 Roman">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6A7AC" w14:textId="77777777" w:rsidR="00792F01" w:rsidRDefault="00792F01" w:rsidP="00792F01">
      <w:pPr>
        <w:spacing w:after="0" w:line="240" w:lineRule="auto"/>
      </w:pPr>
      <w:r>
        <w:separator/>
      </w:r>
    </w:p>
  </w:footnote>
  <w:footnote w:type="continuationSeparator" w:id="0">
    <w:p w14:paraId="6A899143" w14:textId="77777777" w:rsidR="00792F01" w:rsidRDefault="00792F01" w:rsidP="00792F01">
      <w:pPr>
        <w:spacing w:after="0" w:line="240" w:lineRule="auto"/>
      </w:pPr>
      <w:r>
        <w:continuationSeparator/>
      </w:r>
    </w:p>
  </w:footnote>
  <w:footnote w:id="1">
    <w:p w14:paraId="64C7D55F" w14:textId="77777777" w:rsidR="00792F01" w:rsidRPr="00BB5197" w:rsidRDefault="00792F01" w:rsidP="00792F01">
      <w:pPr>
        <w:pStyle w:val="FootnoteText"/>
        <w:rPr>
          <w:sz w:val="20"/>
          <w:szCs w:val="20"/>
        </w:rPr>
      </w:pPr>
      <w:r w:rsidRPr="00BB5197">
        <w:rPr>
          <w:rStyle w:val="FootnoteReference"/>
          <w:sz w:val="20"/>
          <w:szCs w:val="20"/>
        </w:rPr>
        <w:footnoteRef/>
      </w:r>
      <w:r w:rsidRPr="00BB5197">
        <w:rPr>
          <w:sz w:val="20"/>
          <w:szCs w:val="20"/>
        </w:rPr>
        <w:t xml:space="preserve"> Interference by a third variable that distorts the association between cases and exposures.</w:t>
      </w:r>
    </w:p>
  </w:footnote>
  <w:footnote w:id="2">
    <w:p w14:paraId="6151947F" w14:textId="77777777" w:rsidR="00792F01" w:rsidRPr="00BB5197" w:rsidRDefault="00792F01" w:rsidP="00792F01">
      <w:pPr>
        <w:pStyle w:val="FootnoteText"/>
        <w:rPr>
          <w:sz w:val="20"/>
          <w:szCs w:val="20"/>
        </w:rPr>
      </w:pPr>
      <w:r w:rsidRPr="00BB5197">
        <w:rPr>
          <w:rStyle w:val="FootnoteReference"/>
          <w:sz w:val="20"/>
          <w:szCs w:val="20"/>
        </w:rPr>
        <w:footnoteRef/>
      </w:r>
      <w:r w:rsidRPr="00BB5197">
        <w:rPr>
          <w:sz w:val="20"/>
          <w:szCs w:val="20"/>
        </w:rPr>
        <w:t xml:space="preserve"> Any action that systematically distorts findings.</w:t>
      </w:r>
    </w:p>
  </w:footnote>
  <w:footnote w:id="3">
    <w:p w14:paraId="11BAB710" w14:textId="77777777" w:rsidR="00792F01" w:rsidRDefault="00792F01" w:rsidP="00792F01">
      <w:pPr>
        <w:pStyle w:val="FootnoteText"/>
      </w:pPr>
      <w:r w:rsidRPr="00BB5197">
        <w:rPr>
          <w:rStyle w:val="FootnoteReference"/>
          <w:sz w:val="20"/>
          <w:szCs w:val="20"/>
        </w:rPr>
        <w:footnoteRef/>
      </w:r>
      <w:r w:rsidRPr="00BB5197">
        <w:rPr>
          <w:sz w:val="20"/>
          <w:szCs w:val="20"/>
        </w:rPr>
        <w:t xml:space="preserve"> A random, unpredictable occurrence that is not due to human intervention.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01CAB"/>
    <w:multiLevelType w:val="hybridMultilevel"/>
    <w:tmpl w:val="F0DAA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B90B83"/>
    <w:multiLevelType w:val="multilevel"/>
    <w:tmpl w:val="A3BE2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BC2828"/>
    <w:multiLevelType w:val="multilevel"/>
    <w:tmpl w:val="6EC2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60203C"/>
    <w:multiLevelType w:val="multilevel"/>
    <w:tmpl w:val="A308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682C62"/>
    <w:multiLevelType w:val="multilevel"/>
    <w:tmpl w:val="A9F21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4"/>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te Heyer">
    <w15:presenceInfo w15:providerId="AD" w15:userId="S-1-5-21-2146834082-895819678-538272213-65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F01"/>
    <w:rsid w:val="00000ED3"/>
    <w:rsid w:val="0000148E"/>
    <w:rsid w:val="000023FE"/>
    <w:rsid w:val="00002729"/>
    <w:rsid w:val="00002BD8"/>
    <w:rsid w:val="00002CEA"/>
    <w:rsid w:val="00003684"/>
    <w:rsid w:val="000039F3"/>
    <w:rsid w:val="00003C0C"/>
    <w:rsid w:val="00006512"/>
    <w:rsid w:val="000066AB"/>
    <w:rsid w:val="00011B0E"/>
    <w:rsid w:val="00012B51"/>
    <w:rsid w:val="000158EB"/>
    <w:rsid w:val="00017324"/>
    <w:rsid w:val="00017507"/>
    <w:rsid w:val="000175F3"/>
    <w:rsid w:val="0002132A"/>
    <w:rsid w:val="00021514"/>
    <w:rsid w:val="000219C0"/>
    <w:rsid w:val="00023616"/>
    <w:rsid w:val="0002383C"/>
    <w:rsid w:val="00023BCA"/>
    <w:rsid w:val="00024719"/>
    <w:rsid w:val="00024858"/>
    <w:rsid w:val="000248F4"/>
    <w:rsid w:val="000255FA"/>
    <w:rsid w:val="00026E30"/>
    <w:rsid w:val="00027157"/>
    <w:rsid w:val="0002771F"/>
    <w:rsid w:val="00027A78"/>
    <w:rsid w:val="0003055E"/>
    <w:rsid w:val="00031A30"/>
    <w:rsid w:val="0003222A"/>
    <w:rsid w:val="00032C01"/>
    <w:rsid w:val="00032DBF"/>
    <w:rsid w:val="000359B4"/>
    <w:rsid w:val="00035B90"/>
    <w:rsid w:val="00036C91"/>
    <w:rsid w:val="00036CBB"/>
    <w:rsid w:val="00041407"/>
    <w:rsid w:val="0004156F"/>
    <w:rsid w:val="00042B1F"/>
    <w:rsid w:val="00044D9A"/>
    <w:rsid w:val="000453AE"/>
    <w:rsid w:val="0004545D"/>
    <w:rsid w:val="0004553D"/>
    <w:rsid w:val="0004700B"/>
    <w:rsid w:val="000526EC"/>
    <w:rsid w:val="00052AE3"/>
    <w:rsid w:val="000541BF"/>
    <w:rsid w:val="00055AB4"/>
    <w:rsid w:val="00055BA9"/>
    <w:rsid w:val="000560AB"/>
    <w:rsid w:val="00056EC5"/>
    <w:rsid w:val="00057A74"/>
    <w:rsid w:val="00057FEE"/>
    <w:rsid w:val="00060642"/>
    <w:rsid w:val="00061BD1"/>
    <w:rsid w:val="000633DC"/>
    <w:rsid w:val="0006350B"/>
    <w:rsid w:val="00064DC1"/>
    <w:rsid w:val="00066035"/>
    <w:rsid w:val="000663AB"/>
    <w:rsid w:val="0007006F"/>
    <w:rsid w:val="00070472"/>
    <w:rsid w:val="00070DF8"/>
    <w:rsid w:val="00071765"/>
    <w:rsid w:val="00071977"/>
    <w:rsid w:val="000726C7"/>
    <w:rsid w:val="00074644"/>
    <w:rsid w:val="00075448"/>
    <w:rsid w:val="00076671"/>
    <w:rsid w:val="000774C4"/>
    <w:rsid w:val="00077BA8"/>
    <w:rsid w:val="0008049B"/>
    <w:rsid w:val="00081F27"/>
    <w:rsid w:val="00082A4A"/>
    <w:rsid w:val="00083044"/>
    <w:rsid w:val="00083D61"/>
    <w:rsid w:val="0008462A"/>
    <w:rsid w:val="00085FCF"/>
    <w:rsid w:val="0008794F"/>
    <w:rsid w:val="00090496"/>
    <w:rsid w:val="00091358"/>
    <w:rsid w:val="00091631"/>
    <w:rsid w:val="0009288B"/>
    <w:rsid w:val="000932B3"/>
    <w:rsid w:val="00094875"/>
    <w:rsid w:val="00095A73"/>
    <w:rsid w:val="00096259"/>
    <w:rsid w:val="000971D0"/>
    <w:rsid w:val="000A02CD"/>
    <w:rsid w:val="000A0E7B"/>
    <w:rsid w:val="000A3436"/>
    <w:rsid w:val="000A34E7"/>
    <w:rsid w:val="000A3E67"/>
    <w:rsid w:val="000A4556"/>
    <w:rsid w:val="000A48A5"/>
    <w:rsid w:val="000A4921"/>
    <w:rsid w:val="000A5CA9"/>
    <w:rsid w:val="000A7392"/>
    <w:rsid w:val="000B0BE5"/>
    <w:rsid w:val="000B0EEC"/>
    <w:rsid w:val="000B204E"/>
    <w:rsid w:val="000B2A68"/>
    <w:rsid w:val="000B2F98"/>
    <w:rsid w:val="000B3835"/>
    <w:rsid w:val="000B39FE"/>
    <w:rsid w:val="000B4364"/>
    <w:rsid w:val="000B50F9"/>
    <w:rsid w:val="000B62D8"/>
    <w:rsid w:val="000B66C7"/>
    <w:rsid w:val="000B67C7"/>
    <w:rsid w:val="000B6F8A"/>
    <w:rsid w:val="000B718B"/>
    <w:rsid w:val="000C0190"/>
    <w:rsid w:val="000C0A3C"/>
    <w:rsid w:val="000C12DF"/>
    <w:rsid w:val="000C1CFB"/>
    <w:rsid w:val="000C29AF"/>
    <w:rsid w:val="000C3286"/>
    <w:rsid w:val="000C4029"/>
    <w:rsid w:val="000C61E3"/>
    <w:rsid w:val="000C655D"/>
    <w:rsid w:val="000C675E"/>
    <w:rsid w:val="000C7F0D"/>
    <w:rsid w:val="000D00AB"/>
    <w:rsid w:val="000D0845"/>
    <w:rsid w:val="000D0ABB"/>
    <w:rsid w:val="000D265A"/>
    <w:rsid w:val="000D2940"/>
    <w:rsid w:val="000D4B9A"/>
    <w:rsid w:val="000D5E3F"/>
    <w:rsid w:val="000D7FF7"/>
    <w:rsid w:val="000E0738"/>
    <w:rsid w:val="000E091F"/>
    <w:rsid w:val="000E18DA"/>
    <w:rsid w:val="000E2781"/>
    <w:rsid w:val="000E2B04"/>
    <w:rsid w:val="000E4A16"/>
    <w:rsid w:val="000E4B97"/>
    <w:rsid w:val="000E5BBC"/>
    <w:rsid w:val="000E62D6"/>
    <w:rsid w:val="000E68FC"/>
    <w:rsid w:val="000E6A17"/>
    <w:rsid w:val="000E75E0"/>
    <w:rsid w:val="000E7A9D"/>
    <w:rsid w:val="000F0A17"/>
    <w:rsid w:val="000F1D20"/>
    <w:rsid w:val="000F2CED"/>
    <w:rsid w:val="000F5367"/>
    <w:rsid w:val="000F5B3C"/>
    <w:rsid w:val="0010045E"/>
    <w:rsid w:val="00100B13"/>
    <w:rsid w:val="00101B05"/>
    <w:rsid w:val="0010297B"/>
    <w:rsid w:val="00102E43"/>
    <w:rsid w:val="00103CE9"/>
    <w:rsid w:val="00103DD4"/>
    <w:rsid w:val="00106653"/>
    <w:rsid w:val="00107430"/>
    <w:rsid w:val="00107557"/>
    <w:rsid w:val="00107619"/>
    <w:rsid w:val="00107D43"/>
    <w:rsid w:val="00110B80"/>
    <w:rsid w:val="00110C32"/>
    <w:rsid w:val="001110C6"/>
    <w:rsid w:val="00111D80"/>
    <w:rsid w:val="001135F5"/>
    <w:rsid w:val="001138CE"/>
    <w:rsid w:val="001154FF"/>
    <w:rsid w:val="0011574B"/>
    <w:rsid w:val="001168C5"/>
    <w:rsid w:val="00116FF8"/>
    <w:rsid w:val="00120D98"/>
    <w:rsid w:val="001219D6"/>
    <w:rsid w:val="00125C54"/>
    <w:rsid w:val="001267A9"/>
    <w:rsid w:val="00127028"/>
    <w:rsid w:val="001301B5"/>
    <w:rsid w:val="00131126"/>
    <w:rsid w:val="00131D39"/>
    <w:rsid w:val="0013275E"/>
    <w:rsid w:val="001345CA"/>
    <w:rsid w:val="0013489B"/>
    <w:rsid w:val="00134E72"/>
    <w:rsid w:val="00134FB4"/>
    <w:rsid w:val="001352EF"/>
    <w:rsid w:val="00141B71"/>
    <w:rsid w:val="00142421"/>
    <w:rsid w:val="001428FE"/>
    <w:rsid w:val="00142C6D"/>
    <w:rsid w:val="00144D98"/>
    <w:rsid w:val="001461B2"/>
    <w:rsid w:val="0014700E"/>
    <w:rsid w:val="00147189"/>
    <w:rsid w:val="0015097B"/>
    <w:rsid w:val="00150D5F"/>
    <w:rsid w:val="001513C1"/>
    <w:rsid w:val="00152EA0"/>
    <w:rsid w:val="00154382"/>
    <w:rsid w:val="00154678"/>
    <w:rsid w:val="00156809"/>
    <w:rsid w:val="00160959"/>
    <w:rsid w:val="00161FE7"/>
    <w:rsid w:val="00163C26"/>
    <w:rsid w:val="00164A46"/>
    <w:rsid w:val="00164B2B"/>
    <w:rsid w:val="00165EBE"/>
    <w:rsid w:val="001679F0"/>
    <w:rsid w:val="00171A34"/>
    <w:rsid w:val="00171AF3"/>
    <w:rsid w:val="001726EC"/>
    <w:rsid w:val="00173B34"/>
    <w:rsid w:val="0017423B"/>
    <w:rsid w:val="00175E32"/>
    <w:rsid w:val="001762F3"/>
    <w:rsid w:val="00176356"/>
    <w:rsid w:val="00180BDB"/>
    <w:rsid w:val="00181055"/>
    <w:rsid w:val="001841AE"/>
    <w:rsid w:val="00185995"/>
    <w:rsid w:val="00185F96"/>
    <w:rsid w:val="0018600A"/>
    <w:rsid w:val="001862BE"/>
    <w:rsid w:val="00186679"/>
    <w:rsid w:val="00191515"/>
    <w:rsid w:val="00191628"/>
    <w:rsid w:val="00194033"/>
    <w:rsid w:val="00194C50"/>
    <w:rsid w:val="00196075"/>
    <w:rsid w:val="00196918"/>
    <w:rsid w:val="001A04D8"/>
    <w:rsid w:val="001A1491"/>
    <w:rsid w:val="001A1CC6"/>
    <w:rsid w:val="001A56D4"/>
    <w:rsid w:val="001A6378"/>
    <w:rsid w:val="001A6809"/>
    <w:rsid w:val="001B0486"/>
    <w:rsid w:val="001B142B"/>
    <w:rsid w:val="001B32E2"/>
    <w:rsid w:val="001B3639"/>
    <w:rsid w:val="001B3A82"/>
    <w:rsid w:val="001B3A98"/>
    <w:rsid w:val="001B3AFE"/>
    <w:rsid w:val="001B411B"/>
    <w:rsid w:val="001B7CD9"/>
    <w:rsid w:val="001C0194"/>
    <w:rsid w:val="001C08FB"/>
    <w:rsid w:val="001C2020"/>
    <w:rsid w:val="001C244C"/>
    <w:rsid w:val="001C344B"/>
    <w:rsid w:val="001C3AEF"/>
    <w:rsid w:val="001C6F00"/>
    <w:rsid w:val="001C7C28"/>
    <w:rsid w:val="001D0F86"/>
    <w:rsid w:val="001D103F"/>
    <w:rsid w:val="001D28C7"/>
    <w:rsid w:val="001D2A6A"/>
    <w:rsid w:val="001D3190"/>
    <w:rsid w:val="001D348A"/>
    <w:rsid w:val="001D44E2"/>
    <w:rsid w:val="001D5A69"/>
    <w:rsid w:val="001D66C1"/>
    <w:rsid w:val="001D789D"/>
    <w:rsid w:val="001E0797"/>
    <w:rsid w:val="001E1DD1"/>
    <w:rsid w:val="001E2FD3"/>
    <w:rsid w:val="001E486C"/>
    <w:rsid w:val="001E53DA"/>
    <w:rsid w:val="001E5588"/>
    <w:rsid w:val="001E58E3"/>
    <w:rsid w:val="001E6769"/>
    <w:rsid w:val="001E78DE"/>
    <w:rsid w:val="001F11D5"/>
    <w:rsid w:val="001F23ED"/>
    <w:rsid w:val="001F311A"/>
    <w:rsid w:val="001F3AED"/>
    <w:rsid w:val="001F4AF7"/>
    <w:rsid w:val="001F5B99"/>
    <w:rsid w:val="001F7978"/>
    <w:rsid w:val="0020026F"/>
    <w:rsid w:val="0020067C"/>
    <w:rsid w:val="002014F2"/>
    <w:rsid w:val="00201E02"/>
    <w:rsid w:val="002023F2"/>
    <w:rsid w:val="00202619"/>
    <w:rsid w:val="0020340A"/>
    <w:rsid w:val="00203913"/>
    <w:rsid w:val="00203F46"/>
    <w:rsid w:val="002068ED"/>
    <w:rsid w:val="00207148"/>
    <w:rsid w:val="0020715B"/>
    <w:rsid w:val="0020729B"/>
    <w:rsid w:val="00207F3B"/>
    <w:rsid w:val="0021029A"/>
    <w:rsid w:val="00210625"/>
    <w:rsid w:val="00211627"/>
    <w:rsid w:val="00211B74"/>
    <w:rsid w:val="00213070"/>
    <w:rsid w:val="00213818"/>
    <w:rsid w:val="00214504"/>
    <w:rsid w:val="00214870"/>
    <w:rsid w:val="002159A6"/>
    <w:rsid w:val="00217D88"/>
    <w:rsid w:val="00221254"/>
    <w:rsid w:val="002212BE"/>
    <w:rsid w:val="00223CA6"/>
    <w:rsid w:val="00224E4D"/>
    <w:rsid w:val="002263B6"/>
    <w:rsid w:val="0022683B"/>
    <w:rsid w:val="00230BBB"/>
    <w:rsid w:val="00230C29"/>
    <w:rsid w:val="0023245C"/>
    <w:rsid w:val="00232D8C"/>
    <w:rsid w:val="00232DB8"/>
    <w:rsid w:val="00235EC0"/>
    <w:rsid w:val="00240394"/>
    <w:rsid w:val="002410C6"/>
    <w:rsid w:val="002416BA"/>
    <w:rsid w:val="002416FD"/>
    <w:rsid w:val="00241DFC"/>
    <w:rsid w:val="00242556"/>
    <w:rsid w:val="00242B3F"/>
    <w:rsid w:val="00242C05"/>
    <w:rsid w:val="002438EB"/>
    <w:rsid w:val="00243BB2"/>
    <w:rsid w:val="002445FB"/>
    <w:rsid w:val="0024607A"/>
    <w:rsid w:val="00247994"/>
    <w:rsid w:val="002500CA"/>
    <w:rsid w:val="002507B4"/>
    <w:rsid w:val="00250FC4"/>
    <w:rsid w:val="00251419"/>
    <w:rsid w:val="00253815"/>
    <w:rsid w:val="00254CAF"/>
    <w:rsid w:val="002555C9"/>
    <w:rsid w:val="002620B6"/>
    <w:rsid w:val="00262992"/>
    <w:rsid w:val="0026322E"/>
    <w:rsid w:val="002635C8"/>
    <w:rsid w:val="00263A4A"/>
    <w:rsid w:val="002644B4"/>
    <w:rsid w:val="00265175"/>
    <w:rsid w:val="002659C5"/>
    <w:rsid w:val="00265E65"/>
    <w:rsid w:val="0026776A"/>
    <w:rsid w:val="00270442"/>
    <w:rsid w:val="002717DC"/>
    <w:rsid w:val="00271FC9"/>
    <w:rsid w:val="0027307C"/>
    <w:rsid w:val="00273D7D"/>
    <w:rsid w:val="00276DC2"/>
    <w:rsid w:val="00276F19"/>
    <w:rsid w:val="0027790C"/>
    <w:rsid w:val="00281DF0"/>
    <w:rsid w:val="00282F9D"/>
    <w:rsid w:val="0028438F"/>
    <w:rsid w:val="00285564"/>
    <w:rsid w:val="002873A9"/>
    <w:rsid w:val="00290EFB"/>
    <w:rsid w:val="00290F03"/>
    <w:rsid w:val="00292272"/>
    <w:rsid w:val="002933E1"/>
    <w:rsid w:val="00294CCF"/>
    <w:rsid w:val="00294E3D"/>
    <w:rsid w:val="002A1AD7"/>
    <w:rsid w:val="002A1C97"/>
    <w:rsid w:val="002A21A3"/>
    <w:rsid w:val="002A28E7"/>
    <w:rsid w:val="002A3941"/>
    <w:rsid w:val="002A3C09"/>
    <w:rsid w:val="002A40E9"/>
    <w:rsid w:val="002A4F11"/>
    <w:rsid w:val="002A594A"/>
    <w:rsid w:val="002A6EC4"/>
    <w:rsid w:val="002A7CA7"/>
    <w:rsid w:val="002B0450"/>
    <w:rsid w:val="002B0B2E"/>
    <w:rsid w:val="002B310C"/>
    <w:rsid w:val="002B3151"/>
    <w:rsid w:val="002B3179"/>
    <w:rsid w:val="002B40CF"/>
    <w:rsid w:val="002B46E4"/>
    <w:rsid w:val="002B4949"/>
    <w:rsid w:val="002B54B2"/>
    <w:rsid w:val="002B5B46"/>
    <w:rsid w:val="002B6273"/>
    <w:rsid w:val="002B65B5"/>
    <w:rsid w:val="002B663B"/>
    <w:rsid w:val="002B66F7"/>
    <w:rsid w:val="002B6AAA"/>
    <w:rsid w:val="002B7112"/>
    <w:rsid w:val="002B7BE0"/>
    <w:rsid w:val="002C1867"/>
    <w:rsid w:val="002C37F9"/>
    <w:rsid w:val="002C3957"/>
    <w:rsid w:val="002C5621"/>
    <w:rsid w:val="002C6145"/>
    <w:rsid w:val="002C71F7"/>
    <w:rsid w:val="002D267D"/>
    <w:rsid w:val="002D5350"/>
    <w:rsid w:val="002D5C9B"/>
    <w:rsid w:val="002D6D94"/>
    <w:rsid w:val="002D6E7E"/>
    <w:rsid w:val="002E1C64"/>
    <w:rsid w:val="002E2E7F"/>
    <w:rsid w:val="002E7EF7"/>
    <w:rsid w:val="002F0544"/>
    <w:rsid w:val="002F0679"/>
    <w:rsid w:val="002F079D"/>
    <w:rsid w:val="002F0819"/>
    <w:rsid w:val="002F0A9C"/>
    <w:rsid w:val="002F0C34"/>
    <w:rsid w:val="002F2814"/>
    <w:rsid w:val="002F3309"/>
    <w:rsid w:val="002F38E5"/>
    <w:rsid w:val="002F3C1B"/>
    <w:rsid w:val="002F4232"/>
    <w:rsid w:val="002F4354"/>
    <w:rsid w:val="002F6304"/>
    <w:rsid w:val="002F6624"/>
    <w:rsid w:val="002F7948"/>
    <w:rsid w:val="0030051B"/>
    <w:rsid w:val="00304248"/>
    <w:rsid w:val="003043B3"/>
    <w:rsid w:val="003052EC"/>
    <w:rsid w:val="003069E0"/>
    <w:rsid w:val="0030711B"/>
    <w:rsid w:val="00307E7A"/>
    <w:rsid w:val="00310E16"/>
    <w:rsid w:val="0031263B"/>
    <w:rsid w:val="00314D6E"/>
    <w:rsid w:val="00316D93"/>
    <w:rsid w:val="00316E96"/>
    <w:rsid w:val="0031703D"/>
    <w:rsid w:val="0031705B"/>
    <w:rsid w:val="00317A94"/>
    <w:rsid w:val="00320224"/>
    <w:rsid w:val="00320C4A"/>
    <w:rsid w:val="00321393"/>
    <w:rsid w:val="00322129"/>
    <w:rsid w:val="00322CA3"/>
    <w:rsid w:val="0032418A"/>
    <w:rsid w:val="0032492B"/>
    <w:rsid w:val="00325811"/>
    <w:rsid w:val="00326187"/>
    <w:rsid w:val="0032620F"/>
    <w:rsid w:val="00326616"/>
    <w:rsid w:val="00326BD5"/>
    <w:rsid w:val="00333822"/>
    <w:rsid w:val="00333E8F"/>
    <w:rsid w:val="0033416A"/>
    <w:rsid w:val="00334395"/>
    <w:rsid w:val="003352A7"/>
    <w:rsid w:val="00335445"/>
    <w:rsid w:val="003354DA"/>
    <w:rsid w:val="00337B46"/>
    <w:rsid w:val="00337DA9"/>
    <w:rsid w:val="00340164"/>
    <w:rsid w:val="003403A1"/>
    <w:rsid w:val="00340727"/>
    <w:rsid w:val="00340A07"/>
    <w:rsid w:val="0034229C"/>
    <w:rsid w:val="003425D0"/>
    <w:rsid w:val="00344676"/>
    <w:rsid w:val="00346C82"/>
    <w:rsid w:val="00347A65"/>
    <w:rsid w:val="00350CC8"/>
    <w:rsid w:val="00350FFD"/>
    <w:rsid w:val="00351E84"/>
    <w:rsid w:val="00353004"/>
    <w:rsid w:val="00353E23"/>
    <w:rsid w:val="0035423B"/>
    <w:rsid w:val="00355398"/>
    <w:rsid w:val="0035567A"/>
    <w:rsid w:val="00356EF2"/>
    <w:rsid w:val="00361878"/>
    <w:rsid w:val="00361BC2"/>
    <w:rsid w:val="00361D37"/>
    <w:rsid w:val="00362085"/>
    <w:rsid w:val="0036369C"/>
    <w:rsid w:val="00363DF3"/>
    <w:rsid w:val="0036468E"/>
    <w:rsid w:val="0036517A"/>
    <w:rsid w:val="00365310"/>
    <w:rsid w:val="0037020F"/>
    <w:rsid w:val="00370948"/>
    <w:rsid w:val="0037114F"/>
    <w:rsid w:val="0037143F"/>
    <w:rsid w:val="00371D18"/>
    <w:rsid w:val="0037245C"/>
    <w:rsid w:val="003725CC"/>
    <w:rsid w:val="003725EC"/>
    <w:rsid w:val="0037393E"/>
    <w:rsid w:val="00373D59"/>
    <w:rsid w:val="0037423F"/>
    <w:rsid w:val="003755D2"/>
    <w:rsid w:val="0037589D"/>
    <w:rsid w:val="00376079"/>
    <w:rsid w:val="00376AF4"/>
    <w:rsid w:val="00376B38"/>
    <w:rsid w:val="00376E1A"/>
    <w:rsid w:val="00380F67"/>
    <w:rsid w:val="003816D5"/>
    <w:rsid w:val="00381B5F"/>
    <w:rsid w:val="00381D76"/>
    <w:rsid w:val="00382AE5"/>
    <w:rsid w:val="00382CA2"/>
    <w:rsid w:val="003832B0"/>
    <w:rsid w:val="00383707"/>
    <w:rsid w:val="0038467D"/>
    <w:rsid w:val="00384AA1"/>
    <w:rsid w:val="00384AC2"/>
    <w:rsid w:val="00385B9D"/>
    <w:rsid w:val="00386FB5"/>
    <w:rsid w:val="00387C41"/>
    <w:rsid w:val="0039144D"/>
    <w:rsid w:val="003926EF"/>
    <w:rsid w:val="00392764"/>
    <w:rsid w:val="00392D55"/>
    <w:rsid w:val="00394C9C"/>
    <w:rsid w:val="00396088"/>
    <w:rsid w:val="0039671B"/>
    <w:rsid w:val="00396C67"/>
    <w:rsid w:val="00397BC8"/>
    <w:rsid w:val="00397F03"/>
    <w:rsid w:val="003A0621"/>
    <w:rsid w:val="003A102D"/>
    <w:rsid w:val="003A12EC"/>
    <w:rsid w:val="003A2976"/>
    <w:rsid w:val="003A34C6"/>
    <w:rsid w:val="003A3750"/>
    <w:rsid w:val="003A39FE"/>
    <w:rsid w:val="003A6110"/>
    <w:rsid w:val="003A6511"/>
    <w:rsid w:val="003A6A2E"/>
    <w:rsid w:val="003A6DD6"/>
    <w:rsid w:val="003A7BAF"/>
    <w:rsid w:val="003B02FF"/>
    <w:rsid w:val="003B239C"/>
    <w:rsid w:val="003B308F"/>
    <w:rsid w:val="003B3C0C"/>
    <w:rsid w:val="003B3FF0"/>
    <w:rsid w:val="003B72C9"/>
    <w:rsid w:val="003B7975"/>
    <w:rsid w:val="003B7C66"/>
    <w:rsid w:val="003C016F"/>
    <w:rsid w:val="003C0D19"/>
    <w:rsid w:val="003C1404"/>
    <w:rsid w:val="003C14B7"/>
    <w:rsid w:val="003C2C21"/>
    <w:rsid w:val="003C347B"/>
    <w:rsid w:val="003C34FA"/>
    <w:rsid w:val="003C3924"/>
    <w:rsid w:val="003C6562"/>
    <w:rsid w:val="003C6C76"/>
    <w:rsid w:val="003C7AC9"/>
    <w:rsid w:val="003C7D2F"/>
    <w:rsid w:val="003D04A4"/>
    <w:rsid w:val="003D0511"/>
    <w:rsid w:val="003D0AE1"/>
    <w:rsid w:val="003D1AD4"/>
    <w:rsid w:val="003D203C"/>
    <w:rsid w:val="003D2311"/>
    <w:rsid w:val="003D256C"/>
    <w:rsid w:val="003D2BDF"/>
    <w:rsid w:val="003D3030"/>
    <w:rsid w:val="003D4E14"/>
    <w:rsid w:val="003D6823"/>
    <w:rsid w:val="003D7BA2"/>
    <w:rsid w:val="003E0AE3"/>
    <w:rsid w:val="003E0BFB"/>
    <w:rsid w:val="003E14C4"/>
    <w:rsid w:val="003E3A39"/>
    <w:rsid w:val="003E575D"/>
    <w:rsid w:val="003F0E7F"/>
    <w:rsid w:val="003F138D"/>
    <w:rsid w:val="003F3B68"/>
    <w:rsid w:val="003F3EF1"/>
    <w:rsid w:val="003F7AFE"/>
    <w:rsid w:val="0040472B"/>
    <w:rsid w:val="004047BC"/>
    <w:rsid w:val="00404E76"/>
    <w:rsid w:val="00406D1E"/>
    <w:rsid w:val="00410080"/>
    <w:rsid w:val="00410407"/>
    <w:rsid w:val="00410856"/>
    <w:rsid w:val="0041091E"/>
    <w:rsid w:val="0041184C"/>
    <w:rsid w:val="0041355D"/>
    <w:rsid w:val="00413B46"/>
    <w:rsid w:val="0041489E"/>
    <w:rsid w:val="00414AF8"/>
    <w:rsid w:val="00415321"/>
    <w:rsid w:val="0041706C"/>
    <w:rsid w:val="004217B7"/>
    <w:rsid w:val="00421B05"/>
    <w:rsid w:val="00421D88"/>
    <w:rsid w:val="0042246D"/>
    <w:rsid w:val="00422560"/>
    <w:rsid w:val="00422BF5"/>
    <w:rsid w:val="00423F35"/>
    <w:rsid w:val="00425144"/>
    <w:rsid w:val="0042560A"/>
    <w:rsid w:val="00426885"/>
    <w:rsid w:val="00426E17"/>
    <w:rsid w:val="004302D5"/>
    <w:rsid w:val="004311BB"/>
    <w:rsid w:val="0043169E"/>
    <w:rsid w:val="00434141"/>
    <w:rsid w:val="00434A3C"/>
    <w:rsid w:val="00434C18"/>
    <w:rsid w:val="00435C63"/>
    <w:rsid w:val="004360EE"/>
    <w:rsid w:val="00436DC5"/>
    <w:rsid w:val="00436EED"/>
    <w:rsid w:val="00437172"/>
    <w:rsid w:val="0044073D"/>
    <w:rsid w:val="00440A26"/>
    <w:rsid w:val="0044107E"/>
    <w:rsid w:val="00441B04"/>
    <w:rsid w:val="00442245"/>
    <w:rsid w:val="00442E7F"/>
    <w:rsid w:val="00443076"/>
    <w:rsid w:val="0044368C"/>
    <w:rsid w:val="00444A59"/>
    <w:rsid w:val="00444EBF"/>
    <w:rsid w:val="00446B5D"/>
    <w:rsid w:val="0045015D"/>
    <w:rsid w:val="0045038E"/>
    <w:rsid w:val="00450537"/>
    <w:rsid w:val="00451105"/>
    <w:rsid w:val="004527FD"/>
    <w:rsid w:val="00453BA7"/>
    <w:rsid w:val="00455308"/>
    <w:rsid w:val="00457940"/>
    <w:rsid w:val="004603B0"/>
    <w:rsid w:val="00460606"/>
    <w:rsid w:val="0046063E"/>
    <w:rsid w:val="004610AE"/>
    <w:rsid w:val="00464CF4"/>
    <w:rsid w:val="00466213"/>
    <w:rsid w:val="00466F0E"/>
    <w:rsid w:val="004674F3"/>
    <w:rsid w:val="00467A91"/>
    <w:rsid w:val="00467DD3"/>
    <w:rsid w:val="00470318"/>
    <w:rsid w:val="004726DF"/>
    <w:rsid w:val="00472B9E"/>
    <w:rsid w:val="004735D9"/>
    <w:rsid w:val="00474ED4"/>
    <w:rsid w:val="00475C75"/>
    <w:rsid w:val="00475ED5"/>
    <w:rsid w:val="004763D0"/>
    <w:rsid w:val="00476414"/>
    <w:rsid w:val="004764D6"/>
    <w:rsid w:val="00476DD5"/>
    <w:rsid w:val="0047794C"/>
    <w:rsid w:val="0047796C"/>
    <w:rsid w:val="00477BB5"/>
    <w:rsid w:val="00481148"/>
    <w:rsid w:val="004858D9"/>
    <w:rsid w:val="0048603E"/>
    <w:rsid w:val="00486457"/>
    <w:rsid w:val="004872CA"/>
    <w:rsid w:val="00487C7B"/>
    <w:rsid w:val="00493628"/>
    <w:rsid w:val="00496554"/>
    <w:rsid w:val="004A031C"/>
    <w:rsid w:val="004A18DE"/>
    <w:rsid w:val="004A37CD"/>
    <w:rsid w:val="004A43E4"/>
    <w:rsid w:val="004A5A18"/>
    <w:rsid w:val="004A6361"/>
    <w:rsid w:val="004A7194"/>
    <w:rsid w:val="004B00CE"/>
    <w:rsid w:val="004B4647"/>
    <w:rsid w:val="004B46F0"/>
    <w:rsid w:val="004B5387"/>
    <w:rsid w:val="004B633E"/>
    <w:rsid w:val="004B6FE2"/>
    <w:rsid w:val="004B73B3"/>
    <w:rsid w:val="004C0BB0"/>
    <w:rsid w:val="004C1D22"/>
    <w:rsid w:val="004C3041"/>
    <w:rsid w:val="004C432E"/>
    <w:rsid w:val="004C6A6A"/>
    <w:rsid w:val="004C70B0"/>
    <w:rsid w:val="004C7482"/>
    <w:rsid w:val="004D0044"/>
    <w:rsid w:val="004D0CDC"/>
    <w:rsid w:val="004D1351"/>
    <w:rsid w:val="004D2F7A"/>
    <w:rsid w:val="004D35C1"/>
    <w:rsid w:val="004D3DE0"/>
    <w:rsid w:val="004D4B83"/>
    <w:rsid w:val="004D5172"/>
    <w:rsid w:val="004D5DEC"/>
    <w:rsid w:val="004D611F"/>
    <w:rsid w:val="004D7179"/>
    <w:rsid w:val="004D7C9B"/>
    <w:rsid w:val="004E0B10"/>
    <w:rsid w:val="004E0BB1"/>
    <w:rsid w:val="004E114C"/>
    <w:rsid w:val="004E1D93"/>
    <w:rsid w:val="004E3717"/>
    <w:rsid w:val="004E3962"/>
    <w:rsid w:val="004E4C59"/>
    <w:rsid w:val="004E4E49"/>
    <w:rsid w:val="004E6224"/>
    <w:rsid w:val="004E6C8C"/>
    <w:rsid w:val="004E7CA4"/>
    <w:rsid w:val="004E7D38"/>
    <w:rsid w:val="004F2044"/>
    <w:rsid w:val="004F2FDD"/>
    <w:rsid w:val="004F3736"/>
    <w:rsid w:val="004F37AF"/>
    <w:rsid w:val="004F4BFE"/>
    <w:rsid w:val="004F582F"/>
    <w:rsid w:val="004F5BD6"/>
    <w:rsid w:val="004F67E4"/>
    <w:rsid w:val="004F6AAD"/>
    <w:rsid w:val="0050014F"/>
    <w:rsid w:val="0050141B"/>
    <w:rsid w:val="00502A4D"/>
    <w:rsid w:val="00503BDF"/>
    <w:rsid w:val="0050728C"/>
    <w:rsid w:val="005072E8"/>
    <w:rsid w:val="0051045F"/>
    <w:rsid w:val="005111F6"/>
    <w:rsid w:val="0051184B"/>
    <w:rsid w:val="00511E85"/>
    <w:rsid w:val="00513B08"/>
    <w:rsid w:val="00514147"/>
    <w:rsid w:val="005143E9"/>
    <w:rsid w:val="005144CD"/>
    <w:rsid w:val="00515760"/>
    <w:rsid w:val="00516996"/>
    <w:rsid w:val="0052132D"/>
    <w:rsid w:val="0052174C"/>
    <w:rsid w:val="005217F6"/>
    <w:rsid w:val="00521838"/>
    <w:rsid w:val="00522302"/>
    <w:rsid w:val="00522BC9"/>
    <w:rsid w:val="005231AB"/>
    <w:rsid w:val="00525007"/>
    <w:rsid w:val="0052548E"/>
    <w:rsid w:val="00525B2D"/>
    <w:rsid w:val="00527572"/>
    <w:rsid w:val="005278E3"/>
    <w:rsid w:val="00527EA1"/>
    <w:rsid w:val="00530162"/>
    <w:rsid w:val="0053023A"/>
    <w:rsid w:val="00530517"/>
    <w:rsid w:val="00534B3E"/>
    <w:rsid w:val="00535159"/>
    <w:rsid w:val="00535416"/>
    <w:rsid w:val="005362D4"/>
    <w:rsid w:val="00537514"/>
    <w:rsid w:val="0054044F"/>
    <w:rsid w:val="00540B87"/>
    <w:rsid w:val="00540FF9"/>
    <w:rsid w:val="00541765"/>
    <w:rsid w:val="00541C2C"/>
    <w:rsid w:val="00542278"/>
    <w:rsid w:val="00542A7C"/>
    <w:rsid w:val="00542C7B"/>
    <w:rsid w:val="00542F90"/>
    <w:rsid w:val="00544947"/>
    <w:rsid w:val="00544EDB"/>
    <w:rsid w:val="00546017"/>
    <w:rsid w:val="00546121"/>
    <w:rsid w:val="005479B1"/>
    <w:rsid w:val="00547F7E"/>
    <w:rsid w:val="00547FA7"/>
    <w:rsid w:val="00550BFF"/>
    <w:rsid w:val="00550DF7"/>
    <w:rsid w:val="005515A7"/>
    <w:rsid w:val="00551613"/>
    <w:rsid w:val="00551CD7"/>
    <w:rsid w:val="0055264E"/>
    <w:rsid w:val="005529D6"/>
    <w:rsid w:val="00553B5A"/>
    <w:rsid w:val="00553F4F"/>
    <w:rsid w:val="00554FC2"/>
    <w:rsid w:val="005555D4"/>
    <w:rsid w:val="00556851"/>
    <w:rsid w:val="0055723C"/>
    <w:rsid w:val="005617C2"/>
    <w:rsid w:val="00561A27"/>
    <w:rsid w:val="00561FAC"/>
    <w:rsid w:val="005625E1"/>
    <w:rsid w:val="00564744"/>
    <w:rsid w:val="00564C0A"/>
    <w:rsid w:val="00566802"/>
    <w:rsid w:val="0056729C"/>
    <w:rsid w:val="005710F2"/>
    <w:rsid w:val="00571269"/>
    <w:rsid w:val="00571951"/>
    <w:rsid w:val="00571D0A"/>
    <w:rsid w:val="005720E8"/>
    <w:rsid w:val="005725E2"/>
    <w:rsid w:val="00573147"/>
    <w:rsid w:val="00574B5D"/>
    <w:rsid w:val="00575557"/>
    <w:rsid w:val="00580414"/>
    <w:rsid w:val="00582234"/>
    <w:rsid w:val="00583BBE"/>
    <w:rsid w:val="005858DC"/>
    <w:rsid w:val="00585E2C"/>
    <w:rsid w:val="0058626F"/>
    <w:rsid w:val="00587151"/>
    <w:rsid w:val="00590035"/>
    <w:rsid w:val="0059072E"/>
    <w:rsid w:val="0059241A"/>
    <w:rsid w:val="00594F1F"/>
    <w:rsid w:val="00595D2C"/>
    <w:rsid w:val="00595DB0"/>
    <w:rsid w:val="00596A5F"/>
    <w:rsid w:val="00596FFE"/>
    <w:rsid w:val="005A01DD"/>
    <w:rsid w:val="005A2E87"/>
    <w:rsid w:val="005A3A3B"/>
    <w:rsid w:val="005A3CB6"/>
    <w:rsid w:val="005A44EE"/>
    <w:rsid w:val="005A55E8"/>
    <w:rsid w:val="005A6C29"/>
    <w:rsid w:val="005B09A9"/>
    <w:rsid w:val="005B4011"/>
    <w:rsid w:val="005B4D39"/>
    <w:rsid w:val="005B58E2"/>
    <w:rsid w:val="005B5AF7"/>
    <w:rsid w:val="005B6906"/>
    <w:rsid w:val="005C0DFC"/>
    <w:rsid w:val="005C14E5"/>
    <w:rsid w:val="005C29A3"/>
    <w:rsid w:val="005C2E60"/>
    <w:rsid w:val="005C3CBC"/>
    <w:rsid w:val="005C520D"/>
    <w:rsid w:val="005C52A3"/>
    <w:rsid w:val="005C5884"/>
    <w:rsid w:val="005C6A41"/>
    <w:rsid w:val="005C6A70"/>
    <w:rsid w:val="005C6FE6"/>
    <w:rsid w:val="005D0ED0"/>
    <w:rsid w:val="005D13BD"/>
    <w:rsid w:val="005D1834"/>
    <w:rsid w:val="005D1CD5"/>
    <w:rsid w:val="005D53CA"/>
    <w:rsid w:val="005D55A3"/>
    <w:rsid w:val="005D56E8"/>
    <w:rsid w:val="005D5F60"/>
    <w:rsid w:val="005D73F2"/>
    <w:rsid w:val="005D7769"/>
    <w:rsid w:val="005D7A90"/>
    <w:rsid w:val="005E3786"/>
    <w:rsid w:val="005E4216"/>
    <w:rsid w:val="005E46FD"/>
    <w:rsid w:val="005E5031"/>
    <w:rsid w:val="005E6A51"/>
    <w:rsid w:val="005E6E0A"/>
    <w:rsid w:val="005E6E7C"/>
    <w:rsid w:val="005F1E09"/>
    <w:rsid w:val="005F1EEB"/>
    <w:rsid w:val="005F3414"/>
    <w:rsid w:val="005F377E"/>
    <w:rsid w:val="005F5018"/>
    <w:rsid w:val="005F5893"/>
    <w:rsid w:val="005F6073"/>
    <w:rsid w:val="005F7E0D"/>
    <w:rsid w:val="00600178"/>
    <w:rsid w:val="00604574"/>
    <w:rsid w:val="00604E8B"/>
    <w:rsid w:val="00607333"/>
    <w:rsid w:val="00607742"/>
    <w:rsid w:val="00607781"/>
    <w:rsid w:val="00607CE6"/>
    <w:rsid w:val="006106E2"/>
    <w:rsid w:val="00610E27"/>
    <w:rsid w:val="00611143"/>
    <w:rsid w:val="00611955"/>
    <w:rsid w:val="006119EE"/>
    <w:rsid w:val="00611ED5"/>
    <w:rsid w:val="006127BA"/>
    <w:rsid w:val="00616479"/>
    <w:rsid w:val="00617032"/>
    <w:rsid w:val="00617F62"/>
    <w:rsid w:val="006208B0"/>
    <w:rsid w:val="00622598"/>
    <w:rsid w:val="0062330A"/>
    <w:rsid w:val="00625EEC"/>
    <w:rsid w:val="006265ED"/>
    <w:rsid w:val="0062741C"/>
    <w:rsid w:val="006274AA"/>
    <w:rsid w:val="00627CCC"/>
    <w:rsid w:val="0063008D"/>
    <w:rsid w:val="00630FD0"/>
    <w:rsid w:val="006324A2"/>
    <w:rsid w:val="0063296F"/>
    <w:rsid w:val="00632990"/>
    <w:rsid w:val="006343A6"/>
    <w:rsid w:val="00634924"/>
    <w:rsid w:val="00634C98"/>
    <w:rsid w:val="006351F0"/>
    <w:rsid w:val="00635F9F"/>
    <w:rsid w:val="006364DA"/>
    <w:rsid w:val="00636A09"/>
    <w:rsid w:val="00636AF8"/>
    <w:rsid w:val="00640890"/>
    <w:rsid w:val="006408A3"/>
    <w:rsid w:val="00641321"/>
    <w:rsid w:val="00641F92"/>
    <w:rsid w:val="0064220E"/>
    <w:rsid w:val="006426BD"/>
    <w:rsid w:val="00642931"/>
    <w:rsid w:val="00642A12"/>
    <w:rsid w:val="00643428"/>
    <w:rsid w:val="00643820"/>
    <w:rsid w:val="0064443F"/>
    <w:rsid w:val="00650E63"/>
    <w:rsid w:val="00651483"/>
    <w:rsid w:val="006516AA"/>
    <w:rsid w:val="00651C4A"/>
    <w:rsid w:val="00651EBE"/>
    <w:rsid w:val="006524AD"/>
    <w:rsid w:val="00653B27"/>
    <w:rsid w:val="006542FD"/>
    <w:rsid w:val="00654AD1"/>
    <w:rsid w:val="00655289"/>
    <w:rsid w:val="00656EB7"/>
    <w:rsid w:val="00657443"/>
    <w:rsid w:val="00660B7D"/>
    <w:rsid w:val="00660DD6"/>
    <w:rsid w:val="00660EDD"/>
    <w:rsid w:val="006625DA"/>
    <w:rsid w:val="00662E76"/>
    <w:rsid w:val="006642C4"/>
    <w:rsid w:val="00665E5D"/>
    <w:rsid w:val="00665EE9"/>
    <w:rsid w:val="006665BD"/>
    <w:rsid w:val="00666C70"/>
    <w:rsid w:val="00667B39"/>
    <w:rsid w:val="006700D0"/>
    <w:rsid w:val="00671A6D"/>
    <w:rsid w:val="006720C5"/>
    <w:rsid w:val="0067412F"/>
    <w:rsid w:val="00674A33"/>
    <w:rsid w:val="00676342"/>
    <w:rsid w:val="006767A9"/>
    <w:rsid w:val="006806A4"/>
    <w:rsid w:val="0068090A"/>
    <w:rsid w:val="00680EA1"/>
    <w:rsid w:val="00682A2B"/>
    <w:rsid w:val="00682A50"/>
    <w:rsid w:val="00682BC4"/>
    <w:rsid w:val="00684082"/>
    <w:rsid w:val="00684810"/>
    <w:rsid w:val="00685089"/>
    <w:rsid w:val="00685901"/>
    <w:rsid w:val="00687BAB"/>
    <w:rsid w:val="00690128"/>
    <w:rsid w:val="006904B3"/>
    <w:rsid w:val="006921AC"/>
    <w:rsid w:val="00692F9A"/>
    <w:rsid w:val="00693198"/>
    <w:rsid w:val="00693E44"/>
    <w:rsid w:val="00694090"/>
    <w:rsid w:val="00694CD6"/>
    <w:rsid w:val="00694DD5"/>
    <w:rsid w:val="006961A2"/>
    <w:rsid w:val="006973D9"/>
    <w:rsid w:val="006A08BF"/>
    <w:rsid w:val="006A0993"/>
    <w:rsid w:val="006A1452"/>
    <w:rsid w:val="006A200F"/>
    <w:rsid w:val="006A2017"/>
    <w:rsid w:val="006A281E"/>
    <w:rsid w:val="006A3757"/>
    <w:rsid w:val="006A5297"/>
    <w:rsid w:val="006A5F66"/>
    <w:rsid w:val="006A7B1B"/>
    <w:rsid w:val="006B0FE7"/>
    <w:rsid w:val="006B1CFF"/>
    <w:rsid w:val="006B1FA8"/>
    <w:rsid w:val="006B2C6B"/>
    <w:rsid w:val="006B2CF6"/>
    <w:rsid w:val="006B2DFB"/>
    <w:rsid w:val="006B32DF"/>
    <w:rsid w:val="006B3532"/>
    <w:rsid w:val="006B3784"/>
    <w:rsid w:val="006B5001"/>
    <w:rsid w:val="006B58DD"/>
    <w:rsid w:val="006B74E0"/>
    <w:rsid w:val="006B7723"/>
    <w:rsid w:val="006B7A0F"/>
    <w:rsid w:val="006C043B"/>
    <w:rsid w:val="006C0440"/>
    <w:rsid w:val="006C1AF5"/>
    <w:rsid w:val="006C1EE0"/>
    <w:rsid w:val="006C200D"/>
    <w:rsid w:val="006C2216"/>
    <w:rsid w:val="006C254D"/>
    <w:rsid w:val="006C48DF"/>
    <w:rsid w:val="006C4F00"/>
    <w:rsid w:val="006C550C"/>
    <w:rsid w:val="006C56CC"/>
    <w:rsid w:val="006C58E3"/>
    <w:rsid w:val="006C5AC5"/>
    <w:rsid w:val="006C645C"/>
    <w:rsid w:val="006C6CA3"/>
    <w:rsid w:val="006C7883"/>
    <w:rsid w:val="006C7AD9"/>
    <w:rsid w:val="006D0C78"/>
    <w:rsid w:val="006D1101"/>
    <w:rsid w:val="006D1ADB"/>
    <w:rsid w:val="006D1E3E"/>
    <w:rsid w:val="006D283E"/>
    <w:rsid w:val="006D2B8F"/>
    <w:rsid w:val="006D2BA3"/>
    <w:rsid w:val="006D2FF4"/>
    <w:rsid w:val="006D3F3D"/>
    <w:rsid w:val="006D3FD8"/>
    <w:rsid w:val="006D4F30"/>
    <w:rsid w:val="006D75DE"/>
    <w:rsid w:val="006D7742"/>
    <w:rsid w:val="006D7A50"/>
    <w:rsid w:val="006E07E2"/>
    <w:rsid w:val="006E0FAD"/>
    <w:rsid w:val="006E1125"/>
    <w:rsid w:val="006E252C"/>
    <w:rsid w:val="006E25DE"/>
    <w:rsid w:val="006E58F6"/>
    <w:rsid w:val="006E78FE"/>
    <w:rsid w:val="006E7D62"/>
    <w:rsid w:val="006F111C"/>
    <w:rsid w:val="006F1A02"/>
    <w:rsid w:val="006F3010"/>
    <w:rsid w:val="006F371A"/>
    <w:rsid w:val="006F41B0"/>
    <w:rsid w:val="006F6DAD"/>
    <w:rsid w:val="006F7814"/>
    <w:rsid w:val="00701293"/>
    <w:rsid w:val="0070606A"/>
    <w:rsid w:val="0070637C"/>
    <w:rsid w:val="0070639C"/>
    <w:rsid w:val="00706831"/>
    <w:rsid w:val="007069C4"/>
    <w:rsid w:val="0070727E"/>
    <w:rsid w:val="0071052F"/>
    <w:rsid w:val="00713596"/>
    <w:rsid w:val="007139CD"/>
    <w:rsid w:val="00716B3D"/>
    <w:rsid w:val="00716FC5"/>
    <w:rsid w:val="0071765E"/>
    <w:rsid w:val="00717832"/>
    <w:rsid w:val="00717836"/>
    <w:rsid w:val="00717E64"/>
    <w:rsid w:val="0072241C"/>
    <w:rsid w:val="00722626"/>
    <w:rsid w:val="00723BA5"/>
    <w:rsid w:val="007265C0"/>
    <w:rsid w:val="00726FDA"/>
    <w:rsid w:val="00727C41"/>
    <w:rsid w:val="00732ADD"/>
    <w:rsid w:val="00732FA7"/>
    <w:rsid w:val="00736A7F"/>
    <w:rsid w:val="00737794"/>
    <w:rsid w:val="00742296"/>
    <w:rsid w:val="0074252C"/>
    <w:rsid w:val="00742E5D"/>
    <w:rsid w:val="00745A7F"/>
    <w:rsid w:val="00745FF9"/>
    <w:rsid w:val="00746A3E"/>
    <w:rsid w:val="00746F30"/>
    <w:rsid w:val="00747168"/>
    <w:rsid w:val="007524EC"/>
    <w:rsid w:val="0075453E"/>
    <w:rsid w:val="007554BE"/>
    <w:rsid w:val="00755E81"/>
    <w:rsid w:val="0075662B"/>
    <w:rsid w:val="007571BB"/>
    <w:rsid w:val="00757BFB"/>
    <w:rsid w:val="00760387"/>
    <w:rsid w:val="00760954"/>
    <w:rsid w:val="00760E6D"/>
    <w:rsid w:val="00763520"/>
    <w:rsid w:val="0076468A"/>
    <w:rsid w:val="0076530A"/>
    <w:rsid w:val="0076563A"/>
    <w:rsid w:val="00765D5A"/>
    <w:rsid w:val="00766776"/>
    <w:rsid w:val="007668E7"/>
    <w:rsid w:val="00766908"/>
    <w:rsid w:val="0076692F"/>
    <w:rsid w:val="0076774D"/>
    <w:rsid w:val="00767C03"/>
    <w:rsid w:val="00770995"/>
    <w:rsid w:val="00770D90"/>
    <w:rsid w:val="00770E75"/>
    <w:rsid w:val="007710AE"/>
    <w:rsid w:val="007711C8"/>
    <w:rsid w:val="00771454"/>
    <w:rsid w:val="00774EDE"/>
    <w:rsid w:val="0077615E"/>
    <w:rsid w:val="00776F16"/>
    <w:rsid w:val="00777942"/>
    <w:rsid w:val="007816A3"/>
    <w:rsid w:val="0078191A"/>
    <w:rsid w:val="0078261F"/>
    <w:rsid w:val="00782A27"/>
    <w:rsid w:val="00782F44"/>
    <w:rsid w:val="00783210"/>
    <w:rsid w:val="00784170"/>
    <w:rsid w:val="0078592B"/>
    <w:rsid w:val="0078634C"/>
    <w:rsid w:val="00787E32"/>
    <w:rsid w:val="007909FF"/>
    <w:rsid w:val="00791483"/>
    <w:rsid w:val="00792AC1"/>
    <w:rsid w:val="00792F01"/>
    <w:rsid w:val="007939D5"/>
    <w:rsid w:val="007946A1"/>
    <w:rsid w:val="00795361"/>
    <w:rsid w:val="00795E38"/>
    <w:rsid w:val="00796D51"/>
    <w:rsid w:val="007A27A0"/>
    <w:rsid w:val="007A2DF9"/>
    <w:rsid w:val="007B2608"/>
    <w:rsid w:val="007B2A32"/>
    <w:rsid w:val="007B2A68"/>
    <w:rsid w:val="007B38B8"/>
    <w:rsid w:val="007B454D"/>
    <w:rsid w:val="007B4E5C"/>
    <w:rsid w:val="007B6A7B"/>
    <w:rsid w:val="007B7825"/>
    <w:rsid w:val="007B7A40"/>
    <w:rsid w:val="007B7F99"/>
    <w:rsid w:val="007C11F6"/>
    <w:rsid w:val="007C4763"/>
    <w:rsid w:val="007C4A40"/>
    <w:rsid w:val="007C4AE4"/>
    <w:rsid w:val="007C7064"/>
    <w:rsid w:val="007C7858"/>
    <w:rsid w:val="007C7BAB"/>
    <w:rsid w:val="007D001E"/>
    <w:rsid w:val="007D1221"/>
    <w:rsid w:val="007D17D1"/>
    <w:rsid w:val="007E0EAE"/>
    <w:rsid w:val="007E2515"/>
    <w:rsid w:val="007E2739"/>
    <w:rsid w:val="007E3282"/>
    <w:rsid w:val="007E34B2"/>
    <w:rsid w:val="007E3BFD"/>
    <w:rsid w:val="007E4243"/>
    <w:rsid w:val="007E438B"/>
    <w:rsid w:val="007E4BAC"/>
    <w:rsid w:val="007E6066"/>
    <w:rsid w:val="007E662E"/>
    <w:rsid w:val="007E679F"/>
    <w:rsid w:val="007F28F6"/>
    <w:rsid w:val="007F57B8"/>
    <w:rsid w:val="007F7B2C"/>
    <w:rsid w:val="008007B1"/>
    <w:rsid w:val="0080257C"/>
    <w:rsid w:val="008034BA"/>
    <w:rsid w:val="00803BD3"/>
    <w:rsid w:val="00804149"/>
    <w:rsid w:val="0080417C"/>
    <w:rsid w:val="008047AA"/>
    <w:rsid w:val="00805177"/>
    <w:rsid w:val="008051AA"/>
    <w:rsid w:val="0080662A"/>
    <w:rsid w:val="00806FCB"/>
    <w:rsid w:val="0080719D"/>
    <w:rsid w:val="008072FD"/>
    <w:rsid w:val="00810A19"/>
    <w:rsid w:val="00810C7C"/>
    <w:rsid w:val="0081385B"/>
    <w:rsid w:val="00814145"/>
    <w:rsid w:val="00815F21"/>
    <w:rsid w:val="00816076"/>
    <w:rsid w:val="00817BAF"/>
    <w:rsid w:val="0082151A"/>
    <w:rsid w:val="00822264"/>
    <w:rsid w:val="00822B39"/>
    <w:rsid w:val="00822C57"/>
    <w:rsid w:val="008243A2"/>
    <w:rsid w:val="00824761"/>
    <w:rsid w:val="00825524"/>
    <w:rsid w:val="0082599F"/>
    <w:rsid w:val="0082675A"/>
    <w:rsid w:val="00826BF0"/>
    <w:rsid w:val="00830371"/>
    <w:rsid w:val="00830EB5"/>
    <w:rsid w:val="00831002"/>
    <w:rsid w:val="0083152F"/>
    <w:rsid w:val="00831917"/>
    <w:rsid w:val="0083191F"/>
    <w:rsid w:val="008329EA"/>
    <w:rsid w:val="00832A1A"/>
    <w:rsid w:val="00832E73"/>
    <w:rsid w:val="00834534"/>
    <w:rsid w:val="00835E55"/>
    <w:rsid w:val="00841372"/>
    <w:rsid w:val="008414C7"/>
    <w:rsid w:val="008421D4"/>
    <w:rsid w:val="00842D77"/>
    <w:rsid w:val="00843007"/>
    <w:rsid w:val="00845609"/>
    <w:rsid w:val="00847D91"/>
    <w:rsid w:val="00847E60"/>
    <w:rsid w:val="0085050D"/>
    <w:rsid w:val="00851A60"/>
    <w:rsid w:val="0085433B"/>
    <w:rsid w:val="008544E8"/>
    <w:rsid w:val="0085568C"/>
    <w:rsid w:val="0085601B"/>
    <w:rsid w:val="00856B5C"/>
    <w:rsid w:val="00856E34"/>
    <w:rsid w:val="00857282"/>
    <w:rsid w:val="00857E44"/>
    <w:rsid w:val="00860C6D"/>
    <w:rsid w:val="00860E06"/>
    <w:rsid w:val="00861468"/>
    <w:rsid w:val="00861796"/>
    <w:rsid w:val="00861B1A"/>
    <w:rsid w:val="00862C89"/>
    <w:rsid w:val="0086334B"/>
    <w:rsid w:val="00863431"/>
    <w:rsid w:val="00863CD1"/>
    <w:rsid w:val="008649E7"/>
    <w:rsid w:val="00866373"/>
    <w:rsid w:val="00866378"/>
    <w:rsid w:val="00866C72"/>
    <w:rsid w:val="00870F2B"/>
    <w:rsid w:val="00871E12"/>
    <w:rsid w:val="0087312C"/>
    <w:rsid w:val="00873F56"/>
    <w:rsid w:val="0087469B"/>
    <w:rsid w:val="00874F22"/>
    <w:rsid w:val="00875B41"/>
    <w:rsid w:val="008778F4"/>
    <w:rsid w:val="008808D6"/>
    <w:rsid w:val="008814C4"/>
    <w:rsid w:val="008815B9"/>
    <w:rsid w:val="008820EA"/>
    <w:rsid w:val="008859D8"/>
    <w:rsid w:val="00886CD5"/>
    <w:rsid w:val="00890682"/>
    <w:rsid w:val="008906C8"/>
    <w:rsid w:val="00892ECA"/>
    <w:rsid w:val="00892EE8"/>
    <w:rsid w:val="00893876"/>
    <w:rsid w:val="00893B18"/>
    <w:rsid w:val="00895512"/>
    <w:rsid w:val="00896CAF"/>
    <w:rsid w:val="00896D77"/>
    <w:rsid w:val="00896D9E"/>
    <w:rsid w:val="00897083"/>
    <w:rsid w:val="008979B2"/>
    <w:rsid w:val="00897B52"/>
    <w:rsid w:val="00897C87"/>
    <w:rsid w:val="00897DF8"/>
    <w:rsid w:val="008A13AA"/>
    <w:rsid w:val="008A239E"/>
    <w:rsid w:val="008A2925"/>
    <w:rsid w:val="008A3650"/>
    <w:rsid w:val="008A4E70"/>
    <w:rsid w:val="008A5A30"/>
    <w:rsid w:val="008A680F"/>
    <w:rsid w:val="008A6E7A"/>
    <w:rsid w:val="008B0D63"/>
    <w:rsid w:val="008B5703"/>
    <w:rsid w:val="008B5C85"/>
    <w:rsid w:val="008B5DAC"/>
    <w:rsid w:val="008B5DFA"/>
    <w:rsid w:val="008B63C9"/>
    <w:rsid w:val="008C160E"/>
    <w:rsid w:val="008C1767"/>
    <w:rsid w:val="008C19A7"/>
    <w:rsid w:val="008C2647"/>
    <w:rsid w:val="008C38A4"/>
    <w:rsid w:val="008C41B2"/>
    <w:rsid w:val="008C5757"/>
    <w:rsid w:val="008C6D99"/>
    <w:rsid w:val="008D159D"/>
    <w:rsid w:val="008D16E9"/>
    <w:rsid w:val="008D30B2"/>
    <w:rsid w:val="008D3327"/>
    <w:rsid w:val="008D5E61"/>
    <w:rsid w:val="008D77F8"/>
    <w:rsid w:val="008E06CF"/>
    <w:rsid w:val="008E1C10"/>
    <w:rsid w:val="008E28D2"/>
    <w:rsid w:val="008E4875"/>
    <w:rsid w:val="008E4CFE"/>
    <w:rsid w:val="008E56E1"/>
    <w:rsid w:val="008E5DE8"/>
    <w:rsid w:val="008E7277"/>
    <w:rsid w:val="008E7F38"/>
    <w:rsid w:val="008F03A2"/>
    <w:rsid w:val="008F0934"/>
    <w:rsid w:val="008F15C4"/>
    <w:rsid w:val="008F1BB5"/>
    <w:rsid w:val="008F1C74"/>
    <w:rsid w:val="008F1C89"/>
    <w:rsid w:val="008F22B7"/>
    <w:rsid w:val="008F25F0"/>
    <w:rsid w:val="008F2E61"/>
    <w:rsid w:val="008F3683"/>
    <w:rsid w:val="008F3CDD"/>
    <w:rsid w:val="008F3E34"/>
    <w:rsid w:val="008F4C5B"/>
    <w:rsid w:val="008F4FAF"/>
    <w:rsid w:val="008F5F4F"/>
    <w:rsid w:val="008F5FD2"/>
    <w:rsid w:val="008F7209"/>
    <w:rsid w:val="009002DB"/>
    <w:rsid w:val="00902F08"/>
    <w:rsid w:val="00905024"/>
    <w:rsid w:val="00906592"/>
    <w:rsid w:val="0090781B"/>
    <w:rsid w:val="00911570"/>
    <w:rsid w:val="009123F2"/>
    <w:rsid w:val="00912598"/>
    <w:rsid w:val="00913E39"/>
    <w:rsid w:val="00915CE9"/>
    <w:rsid w:val="00916076"/>
    <w:rsid w:val="0091660D"/>
    <w:rsid w:val="00917CCB"/>
    <w:rsid w:val="0092124C"/>
    <w:rsid w:val="00921302"/>
    <w:rsid w:val="00921B77"/>
    <w:rsid w:val="009221FF"/>
    <w:rsid w:val="00924873"/>
    <w:rsid w:val="00924A86"/>
    <w:rsid w:val="009254C2"/>
    <w:rsid w:val="00926C9A"/>
    <w:rsid w:val="00927415"/>
    <w:rsid w:val="009322C6"/>
    <w:rsid w:val="009324B0"/>
    <w:rsid w:val="00932A62"/>
    <w:rsid w:val="00933A94"/>
    <w:rsid w:val="00934195"/>
    <w:rsid w:val="0093474D"/>
    <w:rsid w:val="00934B6C"/>
    <w:rsid w:val="00934EB2"/>
    <w:rsid w:val="0093529E"/>
    <w:rsid w:val="00935EC7"/>
    <w:rsid w:val="00936023"/>
    <w:rsid w:val="00936037"/>
    <w:rsid w:val="00936065"/>
    <w:rsid w:val="009375E7"/>
    <w:rsid w:val="00937750"/>
    <w:rsid w:val="00937AEC"/>
    <w:rsid w:val="00940557"/>
    <w:rsid w:val="0094095A"/>
    <w:rsid w:val="009425E9"/>
    <w:rsid w:val="00943261"/>
    <w:rsid w:val="00943386"/>
    <w:rsid w:val="00943735"/>
    <w:rsid w:val="0094487C"/>
    <w:rsid w:val="00946B93"/>
    <w:rsid w:val="00946DC1"/>
    <w:rsid w:val="00950B7C"/>
    <w:rsid w:val="009512A1"/>
    <w:rsid w:val="00951C63"/>
    <w:rsid w:val="00951E3E"/>
    <w:rsid w:val="00953556"/>
    <w:rsid w:val="00953B61"/>
    <w:rsid w:val="00954670"/>
    <w:rsid w:val="009546BB"/>
    <w:rsid w:val="00954D1C"/>
    <w:rsid w:val="009556CC"/>
    <w:rsid w:val="00955957"/>
    <w:rsid w:val="00955DDD"/>
    <w:rsid w:val="00956D21"/>
    <w:rsid w:val="00956F28"/>
    <w:rsid w:val="009610CE"/>
    <w:rsid w:val="009624BE"/>
    <w:rsid w:val="009626F4"/>
    <w:rsid w:val="00963251"/>
    <w:rsid w:val="00963A85"/>
    <w:rsid w:val="00963EF7"/>
    <w:rsid w:val="009650BD"/>
    <w:rsid w:val="00966A19"/>
    <w:rsid w:val="00966F18"/>
    <w:rsid w:val="00970541"/>
    <w:rsid w:val="00970882"/>
    <w:rsid w:val="00971472"/>
    <w:rsid w:val="009722ED"/>
    <w:rsid w:val="009725F3"/>
    <w:rsid w:val="00972850"/>
    <w:rsid w:val="0097394B"/>
    <w:rsid w:val="00973A7C"/>
    <w:rsid w:val="0097451E"/>
    <w:rsid w:val="00975040"/>
    <w:rsid w:val="009757FE"/>
    <w:rsid w:val="00976411"/>
    <w:rsid w:val="0097675F"/>
    <w:rsid w:val="009769C6"/>
    <w:rsid w:val="009803D4"/>
    <w:rsid w:val="009818BF"/>
    <w:rsid w:val="00981B93"/>
    <w:rsid w:val="009828BC"/>
    <w:rsid w:val="00982F7F"/>
    <w:rsid w:val="00983F73"/>
    <w:rsid w:val="009852A3"/>
    <w:rsid w:val="00985883"/>
    <w:rsid w:val="009858FF"/>
    <w:rsid w:val="00987A96"/>
    <w:rsid w:val="00990362"/>
    <w:rsid w:val="0099046F"/>
    <w:rsid w:val="009907AD"/>
    <w:rsid w:val="00990E38"/>
    <w:rsid w:val="009914FC"/>
    <w:rsid w:val="00993CB6"/>
    <w:rsid w:val="0099452B"/>
    <w:rsid w:val="00994688"/>
    <w:rsid w:val="00994DD0"/>
    <w:rsid w:val="009956B7"/>
    <w:rsid w:val="00996E9D"/>
    <w:rsid w:val="009A02C9"/>
    <w:rsid w:val="009A1A6F"/>
    <w:rsid w:val="009A209A"/>
    <w:rsid w:val="009A2783"/>
    <w:rsid w:val="009A3117"/>
    <w:rsid w:val="009A3424"/>
    <w:rsid w:val="009A3AAC"/>
    <w:rsid w:val="009A3EDF"/>
    <w:rsid w:val="009A4299"/>
    <w:rsid w:val="009A4479"/>
    <w:rsid w:val="009A6D6B"/>
    <w:rsid w:val="009B10DA"/>
    <w:rsid w:val="009B4082"/>
    <w:rsid w:val="009B4BF4"/>
    <w:rsid w:val="009B4C04"/>
    <w:rsid w:val="009B5114"/>
    <w:rsid w:val="009B5803"/>
    <w:rsid w:val="009B5E26"/>
    <w:rsid w:val="009B6211"/>
    <w:rsid w:val="009B6CB2"/>
    <w:rsid w:val="009C0792"/>
    <w:rsid w:val="009C0C93"/>
    <w:rsid w:val="009C1557"/>
    <w:rsid w:val="009C2DA5"/>
    <w:rsid w:val="009C4203"/>
    <w:rsid w:val="009C4E20"/>
    <w:rsid w:val="009C51F0"/>
    <w:rsid w:val="009C5781"/>
    <w:rsid w:val="009C6433"/>
    <w:rsid w:val="009C7847"/>
    <w:rsid w:val="009D0860"/>
    <w:rsid w:val="009D0FBF"/>
    <w:rsid w:val="009D1865"/>
    <w:rsid w:val="009D1912"/>
    <w:rsid w:val="009D2F86"/>
    <w:rsid w:val="009D52C7"/>
    <w:rsid w:val="009D5950"/>
    <w:rsid w:val="009D71FD"/>
    <w:rsid w:val="009D75FF"/>
    <w:rsid w:val="009E103D"/>
    <w:rsid w:val="009E41E4"/>
    <w:rsid w:val="009E42DA"/>
    <w:rsid w:val="009E44B3"/>
    <w:rsid w:val="009E5A24"/>
    <w:rsid w:val="009E6083"/>
    <w:rsid w:val="009E6BF8"/>
    <w:rsid w:val="009E786F"/>
    <w:rsid w:val="009E7FD1"/>
    <w:rsid w:val="009F21DD"/>
    <w:rsid w:val="009F550B"/>
    <w:rsid w:val="009F56C3"/>
    <w:rsid w:val="00A001A2"/>
    <w:rsid w:val="00A0097F"/>
    <w:rsid w:val="00A00AED"/>
    <w:rsid w:val="00A01C1A"/>
    <w:rsid w:val="00A01CBC"/>
    <w:rsid w:val="00A03A71"/>
    <w:rsid w:val="00A054BF"/>
    <w:rsid w:val="00A05877"/>
    <w:rsid w:val="00A06013"/>
    <w:rsid w:val="00A07AD4"/>
    <w:rsid w:val="00A10579"/>
    <w:rsid w:val="00A10AEC"/>
    <w:rsid w:val="00A1196C"/>
    <w:rsid w:val="00A11ECB"/>
    <w:rsid w:val="00A129E3"/>
    <w:rsid w:val="00A14ECF"/>
    <w:rsid w:val="00A15122"/>
    <w:rsid w:val="00A16178"/>
    <w:rsid w:val="00A16BCF"/>
    <w:rsid w:val="00A17C32"/>
    <w:rsid w:val="00A20636"/>
    <w:rsid w:val="00A20AB9"/>
    <w:rsid w:val="00A21C77"/>
    <w:rsid w:val="00A21DA7"/>
    <w:rsid w:val="00A23FA8"/>
    <w:rsid w:val="00A24E93"/>
    <w:rsid w:val="00A255FC"/>
    <w:rsid w:val="00A2647D"/>
    <w:rsid w:val="00A27AA1"/>
    <w:rsid w:val="00A30787"/>
    <w:rsid w:val="00A31454"/>
    <w:rsid w:val="00A31991"/>
    <w:rsid w:val="00A32179"/>
    <w:rsid w:val="00A3343F"/>
    <w:rsid w:val="00A33A72"/>
    <w:rsid w:val="00A33F58"/>
    <w:rsid w:val="00A35406"/>
    <w:rsid w:val="00A35A4D"/>
    <w:rsid w:val="00A35FBF"/>
    <w:rsid w:val="00A364ED"/>
    <w:rsid w:val="00A415A9"/>
    <w:rsid w:val="00A41697"/>
    <w:rsid w:val="00A44D62"/>
    <w:rsid w:val="00A45437"/>
    <w:rsid w:val="00A474C3"/>
    <w:rsid w:val="00A501A3"/>
    <w:rsid w:val="00A50A00"/>
    <w:rsid w:val="00A51454"/>
    <w:rsid w:val="00A51686"/>
    <w:rsid w:val="00A51A41"/>
    <w:rsid w:val="00A532B1"/>
    <w:rsid w:val="00A5477F"/>
    <w:rsid w:val="00A54ADA"/>
    <w:rsid w:val="00A54B08"/>
    <w:rsid w:val="00A553F5"/>
    <w:rsid w:val="00A56925"/>
    <w:rsid w:val="00A60EFA"/>
    <w:rsid w:val="00A61822"/>
    <w:rsid w:val="00A6222A"/>
    <w:rsid w:val="00A641D2"/>
    <w:rsid w:val="00A67E80"/>
    <w:rsid w:val="00A7092D"/>
    <w:rsid w:val="00A71E7A"/>
    <w:rsid w:val="00A72138"/>
    <w:rsid w:val="00A72739"/>
    <w:rsid w:val="00A7463F"/>
    <w:rsid w:val="00A74AA8"/>
    <w:rsid w:val="00A77017"/>
    <w:rsid w:val="00A8215A"/>
    <w:rsid w:val="00A838C4"/>
    <w:rsid w:val="00A83EAE"/>
    <w:rsid w:val="00A84119"/>
    <w:rsid w:val="00A8596D"/>
    <w:rsid w:val="00A87C19"/>
    <w:rsid w:val="00A90004"/>
    <w:rsid w:val="00A91F88"/>
    <w:rsid w:val="00A929E5"/>
    <w:rsid w:val="00A92B33"/>
    <w:rsid w:val="00A93E47"/>
    <w:rsid w:val="00A94A95"/>
    <w:rsid w:val="00A952AC"/>
    <w:rsid w:val="00A972B8"/>
    <w:rsid w:val="00A97B46"/>
    <w:rsid w:val="00AA162D"/>
    <w:rsid w:val="00AA18C6"/>
    <w:rsid w:val="00AA2B02"/>
    <w:rsid w:val="00AA403B"/>
    <w:rsid w:val="00AA4EF0"/>
    <w:rsid w:val="00AA6AAD"/>
    <w:rsid w:val="00AA6B9F"/>
    <w:rsid w:val="00AA6E98"/>
    <w:rsid w:val="00AA75BA"/>
    <w:rsid w:val="00AA77EA"/>
    <w:rsid w:val="00AB0B9A"/>
    <w:rsid w:val="00AB0CBF"/>
    <w:rsid w:val="00AB1BE9"/>
    <w:rsid w:val="00AB2E1B"/>
    <w:rsid w:val="00AB34AD"/>
    <w:rsid w:val="00AB3932"/>
    <w:rsid w:val="00AB479D"/>
    <w:rsid w:val="00AB5DDA"/>
    <w:rsid w:val="00AB6EE4"/>
    <w:rsid w:val="00AB768E"/>
    <w:rsid w:val="00AB78EA"/>
    <w:rsid w:val="00AB7B37"/>
    <w:rsid w:val="00AB7DF3"/>
    <w:rsid w:val="00AC0128"/>
    <w:rsid w:val="00AC03ED"/>
    <w:rsid w:val="00AC15F4"/>
    <w:rsid w:val="00AC33A5"/>
    <w:rsid w:val="00AC376C"/>
    <w:rsid w:val="00AC5529"/>
    <w:rsid w:val="00AC6649"/>
    <w:rsid w:val="00AC6E8D"/>
    <w:rsid w:val="00AC7B74"/>
    <w:rsid w:val="00AD0FD3"/>
    <w:rsid w:val="00AD47A8"/>
    <w:rsid w:val="00AD52BA"/>
    <w:rsid w:val="00AD566C"/>
    <w:rsid w:val="00AD6104"/>
    <w:rsid w:val="00AD6659"/>
    <w:rsid w:val="00AD71AB"/>
    <w:rsid w:val="00AE0560"/>
    <w:rsid w:val="00AE0692"/>
    <w:rsid w:val="00AE2AFE"/>
    <w:rsid w:val="00AE3E97"/>
    <w:rsid w:val="00AE3F0F"/>
    <w:rsid w:val="00AE59EA"/>
    <w:rsid w:val="00AE652A"/>
    <w:rsid w:val="00AE6741"/>
    <w:rsid w:val="00AE7E1E"/>
    <w:rsid w:val="00AF0584"/>
    <w:rsid w:val="00AF0BEE"/>
    <w:rsid w:val="00AF0DDC"/>
    <w:rsid w:val="00AF1BD3"/>
    <w:rsid w:val="00AF27C5"/>
    <w:rsid w:val="00AF344A"/>
    <w:rsid w:val="00AF3503"/>
    <w:rsid w:val="00AF37AD"/>
    <w:rsid w:val="00AF3809"/>
    <w:rsid w:val="00AF39C6"/>
    <w:rsid w:val="00AF44A2"/>
    <w:rsid w:val="00AF51EB"/>
    <w:rsid w:val="00AF52BF"/>
    <w:rsid w:val="00AF563D"/>
    <w:rsid w:val="00AF5DD9"/>
    <w:rsid w:val="00AF65F4"/>
    <w:rsid w:val="00AF6A7E"/>
    <w:rsid w:val="00AF7C39"/>
    <w:rsid w:val="00B019CA"/>
    <w:rsid w:val="00B03001"/>
    <w:rsid w:val="00B03BF3"/>
    <w:rsid w:val="00B04017"/>
    <w:rsid w:val="00B04EC5"/>
    <w:rsid w:val="00B0660A"/>
    <w:rsid w:val="00B11235"/>
    <w:rsid w:val="00B116A5"/>
    <w:rsid w:val="00B12F1E"/>
    <w:rsid w:val="00B13848"/>
    <w:rsid w:val="00B13A5B"/>
    <w:rsid w:val="00B13BFD"/>
    <w:rsid w:val="00B14483"/>
    <w:rsid w:val="00B148DD"/>
    <w:rsid w:val="00B16245"/>
    <w:rsid w:val="00B16F26"/>
    <w:rsid w:val="00B170FE"/>
    <w:rsid w:val="00B20511"/>
    <w:rsid w:val="00B21739"/>
    <w:rsid w:val="00B23007"/>
    <w:rsid w:val="00B239E7"/>
    <w:rsid w:val="00B2440D"/>
    <w:rsid w:val="00B249DA"/>
    <w:rsid w:val="00B25128"/>
    <w:rsid w:val="00B25135"/>
    <w:rsid w:val="00B264CF"/>
    <w:rsid w:val="00B26F1C"/>
    <w:rsid w:val="00B27505"/>
    <w:rsid w:val="00B30CD6"/>
    <w:rsid w:val="00B30F3F"/>
    <w:rsid w:val="00B32089"/>
    <w:rsid w:val="00B3362A"/>
    <w:rsid w:val="00B34410"/>
    <w:rsid w:val="00B36D59"/>
    <w:rsid w:val="00B3722C"/>
    <w:rsid w:val="00B37BD5"/>
    <w:rsid w:val="00B37F19"/>
    <w:rsid w:val="00B40022"/>
    <w:rsid w:val="00B42360"/>
    <w:rsid w:val="00B43574"/>
    <w:rsid w:val="00B44D9B"/>
    <w:rsid w:val="00B51FDC"/>
    <w:rsid w:val="00B52182"/>
    <w:rsid w:val="00B52DA4"/>
    <w:rsid w:val="00B554CC"/>
    <w:rsid w:val="00B566E7"/>
    <w:rsid w:val="00B57053"/>
    <w:rsid w:val="00B57220"/>
    <w:rsid w:val="00B603E1"/>
    <w:rsid w:val="00B62272"/>
    <w:rsid w:val="00B631A8"/>
    <w:rsid w:val="00B64419"/>
    <w:rsid w:val="00B64B82"/>
    <w:rsid w:val="00B65ED6"/>
    <w:rsid w:val="00B66707"/>
    <w:rsid w:val="00B6681A"/>
    <w:rsid w:val="00B67E95"/>
    <w:rsid w:val="00B72D0B"/>
    <w:rsid w:val="00B737E7"/>
    <w:rsid w:val="00B73B3A"/>
    <w:rsid w:val="00B740EE"/>
    <w:rsid w:val="00B74749"/>
    <w:rsid w:val="00B82AF7"/>
    <w:rsid w:val="00B83C88"/>
    <w:rsid w:val="00B84005"/>
    <w:rsid w:val="00B8513A"/>
    <w:rsid w:val="00B86952"/>
    <w:rsid w:val="00B8721F"/>
    <w:rsid w:val="00B925BD"/>
    <w:rsid w:val="00B93488"/>
    <w:rsid w:val="00B94838"/>
    <w:rsid w:val="00B94B0A"/>
    <w:rsid w:val="00B94C82"/>
    <w:rsid w:val="00B96197"/>
    <w:rsid w:val="00B96256"/>
    <w:rsid w:val="00B96722"/>
    <w:rsid w:val="00B9745C"/>
    <w:rsid w:val="00B977F1"/>
    <w:rsid w:val="00BA0314"/>
    <w:rsid w:val="00BA16F4"/>
    <w:rsid w:val="00BA1A02"/>
    <w:rsid w:val="00BA2386"/>
    <w:rsid w:val="00BA3795"/>
    <w:rsid w:val="00BA3C3B"/>
    <w:rsid w:val="00BA3CB1"/>
    <w:rsid w:val="00BA653D"/>
    <w:rsid w:val="00BA70B7"/>
    <w:rsid w:val="00BB0021"/>
    <w:rsid w:val="00BB05D3"/>
    <w:rsid w:val="00BB0AA9"/>
    <w:rsid w:val="00BB0FC1"/>
    <w:rsid w:val="00BB1454"/>
    <w:rsid w:val="00BB28C9"/>
    <w:rsid w:val="00BB2B31"/>
    <w:rsid w:val="00BB3375"/>
    <w:rsid w:val="00BB4876"/>
    <w:rsid w:val="00BB4D5A"/>
    <w:rsid w:val="00BB4F2F"/>
    <w:rsid w:val="00BB5DA9"/>
    <w:rsid w:val="00BB6FBA"/>
    <w:rsid w:val="00BB78B3"/>
    <w:rsid w:val="00BC0F6E"/>
    <w:rsid w:val="00BC136B"/>
    <w:rsid w:val="00BC27F1"/>
    <w:rsid w:val="00BC2964"/>
    <w:rsid w:val="00BC2F6F"/>
    <w:rsid w:val="00BC3379"/>
    <w:rsid w:val="00BC4DA5"/>
    <w:rsid w:val="00BC510D"/>
    <w:rsid w:val="00BC6DE9"/>
    <w:rsid w:val="00BC7478"/>
    <w:rsid w:val="00BD0679"/>
    <w:rsid w:val="00BD0702"/>
    <w:rsid w:val="00BD0C41"/>
    <w:rsid w:val="00BD1044"/>
    <w:rsid w:val="00BD1C81"/>
    <w:rsid w:val="00BD37BE"/>
    <w:rsid w:val="00BD38F3"/>
    <w:rsid w:val="00BD3ACE"/>
    <w:rsid w:val="00BD459B"/>
    <w:rsid w:val="00BD516B"/>
    <w:rsid w:val="00BD5C64"/>
    <w:rsid w:val="00BD79FA"/>
    <w:rsid w:val="00BD7A0B"/>
    <w:rsid w:val="00BD7E8E"/>
    <w:rsid w:val="00BE1DF8"/>
    <w:rsid w:val="00BE2F50"/>
    <w:rsid w:val="00BE318E"/>
    <w:rsid w:val="00BE3E5D"/>
    <w:rsid w:val="00BE496F"/>
    <w:rsid w:val="00BE5A74"/>
    <w:rsid w:val="00BE5DD3"/>
    <w:rsid w:val="00BE65B6"/>
    <w:rsid w:val="00BE70F9"/>
    <w:rsid w:val="00BE78A2"/>
    <w:rsid w:val="00BF077D"/>
    <w:rsid w:val="00BF3A6F"/>
    <w:rsid w:val="00BF3D89"/>
    <w:rsid w:val="00BF42EF"/>
    <w:rsid w:val="00BF4EDF"/>
    <w:rsid w:val="00BF54EE"/>
    <w:rsid w:val="00BF5792"/>
    <w:rsid w:val="00BF64F9"/>
    <w:rsid w:val="00BF73DC"/>
    <w:rsid w:val="00BF7AB9"/>
    <w:rsid w:val="00C0024E"/>
    <w:rsid w:val="00C00495"/>
    <w:rsid w:val="00C01E60"/>
    <w:rsid w:val="00C025A4"/>
    <w:rsid w:val="00C046AE"/>
    <w:rsid w:val="00C0699A"/>
    <w:rsid w:val="00C126B8"/>
    <w:rsid w:val="00C134FB"/>
    <w:rsid w:val="00C15A66"/>
    <w:rsid w:val="00C166A4"/>
    <w:rsid w:val="00C16963"/>
    <w:rsid w:val="00C16AAA"/>
    <w:rsid w:val="00C202AC"/>
    <w:rsid w:val="00C20ADA"/>
    <w:rsid w:val="00C20F1A"/>
    <w:rsid w:val="00C2120F"/>
    <w:rsid w:val="00C21ED5"/>
    <w:rsid w:val="00C23A06"/>
    <w:rsid w:val="00C23C79"/>
    <w:rsid w:val="00C24EEA"/>
    <w:rsid w:val="00C25072"/>
    <w:rsid w:val="00C25175"/>
    <w:rsid w:val="00C27396"/>
    <w:rsid w:val="00C2794C"/>
    <w:rsid w:val="00C30C32"/>
    <w:rsid w:val="00C315B7"/>
    <w:rsid w:val="00C32539"/>
    <w:rsid w:val="00C33CFE"/>
    <w:rsid w:val="00C345FA"/>
    <w:rsid w:val="00C34841"/>
    <w:rsid w:val="00C34E33"/>
    <w:rsid w:val="00C35A38"/>
    <w:rsid w:val="00C37851"/>
    <w:rsid w:val="00C3792D"/>
    <w:rsid w:val="00C4049B"/>
    <w:rsid w:val="00C41511"/>
    <w:rsid w:val="00C416F0"/>
    <w:rsid w:val="00C41AAF"/>
    <w:rsid w:val="00C451A4"/>
    <w:rsid w:val="00C4706F"/>
    <w:rsid w:val="00C52D53"/>
    <w:rsid w:val="00C53A3C"/>
    <w:rsid w:val="00C54766"/>
    <w:rsid w:val="00C557B3"/>
    <w:rsid w:val="00C55B7F"/>
    <w:rsid w:val="00C57C06"/>
    <w:rsid w:val="00C604AA"/>
    <w:rsid w:val="00C623B3"/>
    <w:rsid w:val="00C63B91"/>
    <w:rsid w:val="00C64142"/>
    <w:rsid w:val="00C660A5"/>
    <w:rsid w:val="00C67FF4"/>
    <w:rsid w:val="00C70089"/>
    <w:rsid w:val="00C70859"/>
    <w:rsid w:val="00C73345"/>
    <w:rsid w:val="00C73A12"/>
    <w:rsid w:val="00C73A55"/>
    <w:rsid w:val="00C749EB"/>
    <w:rsid w:val="00C74C5D"/>
    <w:rsid w:val="00C7652E"/>
    <w:rsid w:val="00C76B76"/>
    <w:rsid w:val="00C7779E"/>
    <w:rsid w:val="00C778C0"/>
    <w:rsid w:val="00C80360"/>
    <w:rsid w:val="00C8086C"/>
    <w:rsid w:val="00C80EC0"/>
    <w:rsid w:val="00C81667"/>
    <w:rsid w:val="00C8598E"/>
    <w:rsid w:val="00C8671D"/>
    <w:rsid w:val="00C86BAD"/>
    <w:rsid w:val="00C87F5A"/>
    <w:rsid w:val="00C90E31"/>
    <w:rsid w:val="00C9230D"/>
    <w:rsid w:val="00C93419"/>
    <w:rsid w:val="00C93E2E"/>
    <w:rsid w:val="00C93E6B"/>
    <w:rsid w:val="00C942BF"/>
    <w:rsid w:val="00C943E9"/>
    <w:rsid w:val="00C94ADA"/>
    <w:rsid w:val="00C95682"/>
    <w:rsid w:val="00C95F29"/>
    <w:rsid w:val="00C965B5"/>
    <w:rsid w:val="00C967C1"/>
    <w:rsid w:val="00C9698C"/>
    <w:rsid w:val="00C96ABB"/>
    <w:rsid w:val="00C96E40"/>
    <w:rsid w:val="00C97F7D"/>
    <w:rsid w:val="00CA110E"/>
    <w:rsid w:val="00CA3AE8"/>
    <w:rsid w:val="00CA3C66"/>
    <w:rsid w:val="00CA4C93"/>
    <w:rsid w:val="00CA5ED2"/>
    <w:rsid w:val="00CA7B12"/>
    <w:rsid w:val="00CB1BD9"/>
    <w:rsid w:val="00CB1F31"/>
    <w:rsid w:val="00CB6874"/>
    <w:rsid w:val="00CB6FE8"/>
    <w:rsid w:val="00CB73A1"/>
    <w:rsid w:val="00CB7757"/>
    <w:rsid w:val="00CB797B"/>
    <w:rsid w:val="00CB7E45"/>
    <w:rsid w:val="00CC0ABC"/>
    <w:rsid w:val="00CC38DC"/>
    <w:rsid w:val="00CC38E1"/>
    <w:rsid w:val="00CC4507"/>
    <w:rsid w:val="00CC61D9"/>
    <w:rsid w:val="00CC674E"/>
    <w:rsid w:val="00CD0EF9"/>
    <w:rsid w:val="00CD1176"/>
    <w:rsid w:val="00CD23D3"/>
    <w:rsid w:val="00CD2A1B"/>
    <w:rsid w:val="00CD4F1B"/>
    <w:rsid w:val="00CD5244"/>
    <w:rsid w:val="00CE023D"/>
    <w:rsid w:val="00CE2F10"/>
    <w:rsid w:val="00CE4A5F"/>
    <w:rsid w:val="00CE56C7"/>
    <w:rsid w:val="00CE5A7D"/>
    <w:rsid w:val="00CE5FE4"/>
    <w:rsid w:val="00CE7779"/>
    <w:rsid w:val="00CF03B0"/>
    <w:rsid w:val="00CF0E56"/>
    <w:rsid w:val="00CF35F7"/>
    <w:rsid w:val="00CF3691"/>
    <w:rsid w:val="00CF5F5E"/>
    <w:rsid w:val="00CF613F"/>
    <w:rsid w:val="00CF65C2"/>
    <w:rsid w:val="00CF7407"/>
    <w:rsid w:val="00D006F4"/>
    <w:rsid w:val="00D01149"/>
    <w:rsid w:val="00D02FE9"/>
    <w:rsid w:val="00D06C81"/>
    <w:rsid w:val="00D10893"/>
    <w:rsid w:val="00D11F91"/>
    <w:rsid w:val="00D1278C"/>
    <w:rsid w:val="00D128ED"/>
    <w:rsid w:val="00D146D3"/>
    <w:rsid w:val="00D1483D"/>
    <w:rsid w:val="00D1686C"/>
    <w:rsid w:val="00D17DC5"/>
    <w:rsid w:val="00D206EC"/>
    <w:rsid w:val="00D214DE"/>
    <w:rsid w:val="00D22125"/>
    <w:rsid w:val="00D2229C"/>
    <w:rsid w:val="00D23670"/>
    <w:rsid w:val="00D23F84"/>
    <w:rsid w:val="00D245B4"/>
    <w:rsid w:val="00D27478"/>
    <w:rsid w:val="00D27D34"/>
    <w:rsid w:val="00D30584"/>
    <w:rsid w:val="00D3111E"/>
    <w:rsid w:val="00D31FBA"/>
    <w:rsid w:val="00D331C0"/>
    <w:rsid w:val="00D341A8"/>
    <w:rsid w:val="00D35A0D"/>
    <w:rsid w:val="00D375CD"/>
    <w:rsid w:val="00D37C60"/>
    <w:rsid w:val="00D4007E"/>
    <w:rsid w:val="00D407C1"/>
    <w:rsid w:val="00D40E3A"/>
    <w:rsid w:val="00D41AB2"/>
    <w:rsid w:val="00D42AAB"/>
    <w:rsid w:val="00D42E67"/>
    <w:rsid w:val="00D43545"/>
    <w:rsid w:val="00D44ABF"/>
    <w:rsid w:val="00D44BE6"/>
    <w:rsid w:val="00D450B9"/>
    <w:rsid w:val="00D451AD"/>
    <w:rsid w:val="00D4546F"/>
    <w:rsid w:val="00D47474"/>
    <w:rsid w:val="00D55BDA"/>
    <w:rsid w:val="00D55CA3"/>
    <w:rsid w:val="00D56836"/>
    <w:rsid w:val="00D56DAD"/>
    <w:rsid w:val="00D61BA6"/>
    <w:rsid w:val="00D61F36"/>
    <w:rsid w:val="00D626AF"/>
    <w:rsid w:val="00D626EC"/>
    <w:rsid w:val="00D6386A"/>
    <w:rsid w:val="00D65CDA"/>
    <w:rsid w:val="00D67832"/>
    <w:rsid w:val="00D67BA7"/>
    <w:rsid w:val="00D7042C"/>
    <w:rsid w:val="00D70F98"/>
    <w:rsid w:val="00D7136B"/>
    <w:rsid w:val="00D71DC8"/>
    <w:rsid w:val="00D72DC1"/>
    <w:rsid w:val="00D74A11"/>
    <w:rsid w:val="00D7506D"/>
    <w:rsid w:val="00D75481"/>
    <w:rsid w:val="00D758C9"/>
    <w:rsid w:val="00D762A0"/>
    <w:rsid w:val="00D76991"/>
    <w:rsid w:val="00D77CCE"/>
    <w:rsid w:val="00D802AB"/>
    <w:rsid w:val="00D81115"/>
    <w:rsid w:val="00D81447"/>
    <w:rsid w:val="00D81989"/>
    <w:rsid w:val="00D82EFC"/>
    <w:rsid w:val="00D83006"/>
    <w:rsid w:val="00D830FA"/>
    <w:rsid w:val="00D833D9"/>
    <w:rsid w:val="00D8689E"/>
    <w:rsid w:val="00D86940"/>
    <w:rsid w:val="00D86944"/>
    <w:rsid w:val="00D87D0E"/>
    <w:rsid w:val="00D913F6"/>
    <w:rsid w:val="00D91758"/>
    <w:rsid w:val="00D91A7C"/>
    <w:rsid w:val="00D92FD4"/>
    <w:rsid w:val="00D9376E"/>
    <w:rsid w:val="00D9549F"/>
    <w:rsid w:val="00D96153"/>
    <w:rsid w:val="00D96C21"/>
    <w:rsid w:val="00DA1493"/>
    <w:rsid w:val="00DA18D8"/>
    <w:rsid w:val="00DA201C"/>
    <w:rsid w:val="00DA286F"/>
    <w:rsid w:val="00DA37F5"/>
    <w:rsid w:val="00DA3E0C"/>
    <w:rsid w:val="00DA51DA"/>
    <w:rsid w:val="00DA66D9"/>
    <w:rsid w:val="00DA69DF"/>
    <w:rsid w:val="00DB0356"/>
    <w:rsid w:val="00DB0A26"/>
    <w:rsid w:val="00DB2767"/>
    <w:rsid w:val="00DB42CC"/>
    <w:rsid w:val="00DB5178"/>
    <w:rsid w:val="00DB5578"/>
    <w:rsid w:val="00DB5E91"/>
    <w:rsid w:val="00DB6704"/>
    <w:rsid w:val="00DB6A2A"/>
    <w:rsid w:val="00DC019C"/>
    <w:rsid w:val="00DC0859"/>
    <w:rsid w:val="00DC1409"/>
    <w:rsid w:val="00DC194F"/>
    <w:rsid w:val="00DC23AD"/>
    <w:rsid w:val="00DC24EC"/>
    <w:rsid w:val="00DC2883"/>
    <w:rsid w:val="00DC2C63"/>
    <w:rsid w:val="00DC345A"/>
    <w:rsid w:val="00DC36E9"/>
    <w:rsid w:val="00DC50EF"/>
    <w:rsid w:val="00DC66F4"/>
    <w:rsid w:val="00DC67F3"/>
    <w:rsid w:val="00DC70A8"/>
    <w:rsid w:val="00DD021D"/>
    <w:rsid w:val="00DD0843"/>
    <w:rsid w:val="00DD0908"/>
    <w:rsid w:val="00DD188B"/>
    <w:rsid w:val="00DD2076"/>
    <w:rsid w:val="00DD310A"/>
    <w:rsid w:val="00DD335F"/>
    <w:rsid w:val="00DD4AA1"/>
    <w:rsid w:val="00DD6866"/>
    <w:rsid w:val="00DD6EC4"/>
    <w:rsid w:val="00DE1D32"/>
    <w:rsid w:val="00DE2CD2"/>
    <w:rsid w:val="00DE3FE2"/>
    <w:rsid w:val="00DE4070"/>
    <w:rsid w:val="00DE4320"/>
    <w:rsid w:val="00DE5995"/>
    <w:rsid w:val="00DE62E3"/>
    <w:rsid w:val="00DF1E56"/>
    <w:rsid w:val="00DF2298"/>
    <w:rsid w:val="00DF2F4E"/>
    <w:rsid w:val="00DF4808"/>
    <w:rsid w:val="00DF4FE6"/>
    <w:rsid w:val="00DF521D"/>
    <w:rsid w:val="00DF6BD2"/>
    <w:rsid w:val="00E013B8"/>
    <w:rsid w:val="00E01FE7"/>
    <w:rsid w:val="00E03308"/>
    <w:rsid w:val="00E03A81"/>
    <w:rsid w:val="00E03B08"/>
    <w:rsid w:val="00E045A7"/>
    <w:rsid w:val="00E05227"/>
    <w:rsid w:val="00E06031"/>
    <w:rsid w:val="00E064B4"/>
    <w:rsid w:val="00E079A2"/>
    <w:rsid w:val="00E1291A"/>
    <w:rsid w:val="00E1339D"/>
    <w:rsid w:val="00E154E9"/>
    <w:rsid w:val="00E200D4"/>
    <w:rsid w:val="00E20745"/>
    <w:rsid w:val="00E20F56"/>
    <w:rsid w:val="00E21497"/>
    <w:rsid w:val="00E23429"/>
    <w:rsid w:val="00E249D6"/>
    <w:rsid w:val="00E24B27"/>
    <w:rsid w:val="00E25099"/>
    <w:rsid w:val="00E25726"/>
    <w:rsid w:val="00E26079"/>
    <w:rsid w:val="00E277EE"/>
    <w:rsid w:val="00E27D5C"/>
    <w:rsid w:val="00E3030B"/>
    <w:rsid w:val="00E3089B"/>
    <w:rsid w:val="00E30E34"/>
    <w:rsid w:val="00E3148B"/>
    <w:rsid w:val="00E3170C"/>
    <w:rsid w:val="00E32787"/>
    <w:rsid w:val="00E32F34"/>
    <w:rsid w:val="00E33098"/>
    <w:rsid w:val="00E34628"/>
    <w:rsid w:val="00E356C4"/>
    <w:rsid w:val="00E35760"/>
    <w:rsid w:val="00E35C07"/>
    <w:rsid w:val="00E3625C"/>
    <w:rsid w:val="00E36651"/>
    <w:rsid w:val="00E36D0C"/>
    <w:rsid w:val="00E4016A"/>
    <w:rsid w:val="00E41A4C"/>
    <w:rsid w:val="00E42894"/>
    <w:rsid w:val="00E43C7B"/>
    <w:rsid w:val="00E44084"/>
    <w:rsid w:val="00E468EA"/>
    <w:rsid w:val="00E4693F"/>
    <w:rsid w:val="00E510BB"/>
    <w:rsid w:val="00E514AB"/>
    <w:rsid w:val="00E5174D"/>
    <w:rsid w:val="00E51E7C"/>
    <w:rsid w:val="00E540BE"/>
    <w:rsid w:val="00E545C5"/>
    <w:rsid w:val="00E551D5"/>
    <w:rsid w:val="00E562D0"/>
    <w:rsid w:val="00E569FE"/>
    <w:rsid w:val="00E57B2E"/>
    <w:rsid w:val="00E60103"/>
    <w:rsid w:val="00E608E0"/>
    <w:rsid w:val="00E611DC"/>
    <w:rsid w:val="00E61E42"/>
    <w:rsid w:val="00E63869"/>
    <w:rsid w:val="00E64096"/>
    <w:rsid w:val="00E6466C"/>
    <w:rsid w:val="00E6699D"/>
    <w:rsid w:val="00E71DC8"/>
    <w:rsid w:val="00E72103"/>
    <w:rsid w:val="00E733BD"/>
    <w:rsid w:val="00E73FFD"/>
    <w:rsid w:val="00E74518"/>
    <w:rsid w:val="00E74F62"/>
    <w:rsid w:val="00E75ACA"/>
    <w:rsid w:val="00E7637A"/>
    <w:rsid w:val="00E763BD"/>
    <w:rsid w:val="00E764AD"/>
    <w:rsid w:val="00E765B2"/>
    <w:rsid w:val="00E80BCE"/>
    <w:rsid w:val="00E8108F"/>
    <w:rsid w:val="00E8187B"/>
    <w:rsid w:val="00E84E8E"/>
    <w:rsid w:val="00E873BD"/>
    <w:rsid w:val="00E92F83"/>
    <w:rsid w:val="00E94195"/>
    <w:rsid w:val="00E94E7E"/>
    <w:rsid w:val="00E95385"/>
    <w:rsid w:val="00E9594D"/>
    <w:rsid w:val="00E95B32"/>
    <w:rsid w:val="00E96379"/>
    <w:rsid w:val="00E96AA5"/>
    <w:rsid w:val="00E972D7"/>
    <w:rsid w:val="00EA04FB"/>
    <w:rsid w:val="00EA1A08"/>
    <w:rsid w:val="00EA33B4"/>
    <w:rsid w:val="00EA7F9B"/>
    <w:rsid w:val="00EB0D87"/>
    <w:rsid w:val="00EB0EB3"/>
    <w:rsid w:val="00EB3113"/>
    <w:rsid w:val="00EB37C4"/>
    <w:rsid w:val="00EB4DB2"/>
    <w:rsid w:val="00EB5732"/>
    <w:rsid w:val="00EB65D8"/>
    <w:rsid w:val="00EC0873"/>
    <w:rsid w:val="00EC1104"/>
    <w:rsid w:val="00EC1D94"/>
    <w:rsid w:val="00EC3427"/>
    <w:rsid w:val="00EC35EA"/>
    <w:rsid w:val="00EC3ADD"/>
    <w:rsid w:val="00EC5178"/>
    <w:rsid w:val="00EC53EF"/>
    <w:rsid w:val="00EC57FA"/>
    <w:rsid w:val="00EC6584"/>
    <w:rsid w:val="00EC7187"/>
    <w:rsid w:val="00EC7733"/>
    <w:rsid w:val="00ED1A53"/>
    <w:rsid w:val="00ED1B28"/>
    <w:rsid w:val="00ED1FCD"/>
    <w:rsid w:val="00ED2625"/>
    <w:rsid w:val="00ED2660"/>
    <w:rsid w:val="00ED3B43"/>
    <w:rsid w:val="00ED4942"/>
    <w:rsid w:val="00ED5635"/>
    <w:rsid w:val="00ED5929"/>
    <w:rsid w:val="00ED73DB"/>
    <w:rsid w:val="00EE03BB"/>
    <w:rsid w:val="00EE0D32"/>
    <w:rsid w:val="00EE0EE8"/>
    <w:rsid w:val="00EE3B10"/>
    <w:rsid w:val="00EE3C57"/>
    <w:rsid w:val="00EE40AF"/>
    <w:rsid w:val="00EE51E3"/>
    <w:rsid w:val="00EE68A1"/>
    <w:rsid w:val="00EE6DA4"/>
    <w:rsid w:val="00EF0902"/>
    <w:rsid w:val="00EF1BEF"/>
    <w:rsid w:val="00EF3873"/>
    <w:rsid w:val="00EF440A"/>
    <w:rsid w:val="00EF6537"/>
    <w:rsid w:val="00EF6A4E"/>
    <w:rsid w:val="00F01A8E"/>
    <w:rsid w:val="00F023AA"/>
    <w:rsid w:val="00F0307E"/>
    <w:rsid w:val="00F04C26"/>
    <w:rsid w:val="00F05650"/>
    <w:rsid w:val="00F05FA7"/>
    <w:rsid w:val="00F063E8"/>
    <w:rsid w:val="00F06704"/>
    <w:rsid w:val="00F11A18"/>
    <w:rsid w:val="00F121C8"/>
    <w:rsid w:val="00F147D9"/>
    <w:rsid w:val="00F1480A"/>
    <w:rsid w:val="00F15B7E"/>
    <w:rsid w:val="00F162FE"/>
    <w:rsid w:val="00F16BE4"/>
    <w:rsid w:val="00F17D41"/>
    <w:rsid w:val="00F21356"/>
    <w:rsid w:val="00F21A54"/>
    <w:rsid w:val="00F22256"/>
    <w:rsid w:val="00F22809"/>
    <w:rsid w:val="00F235E8"/>
    <w:rsid w:val="00F30038"/>
    <w:rsid w:val="00F30BBB"/>
    <w:rsid w:val="00F32362"/>
    <w:rsid w:val="00F3305C"/>
    <w:rsid w:val="00F33FA3"/>
    <w:rsid w:val="00F34972"/>
    <w:rsid w:val="00F34C47"/>
    <w:rsid w:val="00F3541E"/>
    <w:rsid w:val="00F35BF0"/>
    <w:rsid w:val="00F36447"/>
    <w:rsid w:val="00F40A99"/>
    <w:rsid w:val="00F40BC2"/>
    <w:rsid w:val="00F423B5"/>
    <w:rsid w:val="00F42749"/>
    <w:rsid w:val="00F43A4A"/>
    <w:rsid w:val="00F440FD"/>
    <w:rsid w:val="00F5116A"/>
    <w:rsid w:val="00F51187"/>
    <w:rsid w:val="00F53014"/>
    <w:rsid w:val="00F543BB"/>
    <w:rsid w:val="00F54875"/>
    <w:rsid w:val="00F55CB3"/>
    <w:rsid w:val="00F55ED1"/>
    <w:rsid w:val="00F57CF2"/>
    <w:rsid w:val="00F57EAA"/>
    <w:rsid w:val="00F60528"/>
    <w:rsid w:val="00F60580"/>
    <w:rsid w:val="00F607BB"/>
    <w:rsid w:val="00F60ADF"/>
    <w:rsid w:val="00F612C4"/>
    <w:rsid w:val="00F61AAA"/>
    <w:rsid w:val="00F62461"/>
    <w:rsid w:val="00F63479"/>
    <w:rsid w:val="00F63761"/>
    <w:rsid w:val="00F649F6"/>
    <w:rsid w:val="00F64ABC"/>
    <w:rsid w:val="00F66D39"/>
    <w:rsid w:val="00F6733E"/>
    <w:rsid w:val="00F71A57"/>
    <w:rsid w:val="00F71D69"/>
    <w:rsid w:val="00F721AF"/>
    <w:rsid w:val="00F72CB9"/>
    <w:rsid w:val="00F73BA1"/>
    <w:rsid w:val="00F75C4C"/>
    <w:rsid w:val="00F8081B"/>
    <w:rsid w:val="00F80C76"/>
    <w:rsid w:val="00F81520"/>
    <w:rsid w:val="00F81958"/>
    <w:rsid w:val="00F81CB4"/>
    <w:rsid w:val="00F828B5"/>
    <w:rsid w:val="00F8334A"/>
    <w:rsid w:val="00F83850"/>
    <w:rsid w:val="00F83E65"/>
    <w:rsid w:val="00F844C6"/>
    <w:rsid w:val="00F84B7E"/>
    <w:rsid w:val="00F85121"/>
    <w:rsid w:val="00F859FE"/>
    <w:rsid w:val="00F865D7"/>
    <w:rsid w:val="00F87B2D"/>
    <w:rsid w:val="00F9038F"/>
    <w:rsid w:val="00F916B3"/>
    <w:rsid w:val="00F92980"/>
    <w:rsid w:val="00F93436"/>
    <w:rsid w:val="00F9405D"/>
    <w:rsid w:val="00F95A63"/>
    <w:rsid w:val="00F95ED0"/>
    <w:rsid w:val="00F96A79"/>
    <w:rsid w:val="00F976EF"/>
    <w:rsid w:val="00F9782E"/>
    <w:rsid w:val="00F97ACC"/>
    <w:rsid w:val="00F97BD9"/>
    <w:rsid w:val="00FA1465"/>
    <w:rsid w:val="00FA191F"/>
    <w:rsid w:val="00FA4130"/>
    <w:rsid w:val="00FA46DC"/>
    <w:rsid w:val="00FA68BF"/>
    <w:rsid w:val="00FA6A1A"/>
    <w:rsid w:val="00FA6D1F"/>
    <w:rsid w:val="00FB0C8E"/>
    <w:rsid w:val="00FB271D"/>
    <w:rsid w:val="00FB3DB6"/>
    <w:rsid w:val="00FB4ECA"/>
    <w:rsid w:val="00FB5E75"/>
    <w:rsid w:val="00FB6F89"/>
    <w:rsid w:val="00FB746C"/>
    <w:rsid w:val="00FB758C"/>
    <w:rsid w:val="00FB7693"/>
    <w:rsid w:val="00FC02A3"/>
    <w:rsid w:val="00FC0A2D"/>
    <w:rsid w:val="00FC0DCF"/>
    <w:rsid w:val="00FC0E39"/>
    <w:rsid w:val="00FC0F0C"/>
    <w:rsid w:val="00FC0FC8"/>
    <w:rsid w:val="00FC24CA"/>
    <w:rsid w:val="00FC32BA"/>
    <w:rsid w:val="00FC368E"/>
    <w:rsid w:val="00FC3776"/>
    <w:rsid w:val="00FC44BE"/>
    <w:rsid w:val="00FC5094"/>
    <w:rsid w:val="00FC5EBD"/>
    <w:rsid w:val="00FC69AB"/>
    <w:rsid w:val="00FC6D78"/>
    <w:rsid w:val="00FC6EED"/>
    <w:rsid w:val="00FC7D4B"/>
    <w:rsid w:val="00FC7EF6"/>
    <w:rsid w:val="00FC7FA8"/>
    <w:rsid w:val="00FD0C11"/>
    <w:rsid w:val="00FD1167"/>
    <w:rsid w:val="00FD13FE"/>
    <w:rsid w:val="00FD1775"/>
    <w:rsid w:val="00FD1DDD"/>
    <w:rsid w:val="00FD21C3"/>
    <w:rsid w:val="00FD3EA8"/>
    <w:rsid w:val="00FD4740"/>
    <w:rsid w:val="00FD4E10"/>
    <w:rsid w:val="00FD6DC0"/>
    <w:rsid w:val="00FE04C4"/>
    <w:rsid w:val="00FE1748"/>
    <w:rsid w:val="00FE2880"/>
    <w:rsid w:val="00FE2DD3"/>
    <w:rsid w:val="00FE36DB"/>
    <w:rsid w:val="00FE3A15"/>
    <w:rsid w:val="00FE5904"/>
    <w:rsid w:val="00FE5C33"/>
    <w:rsid w:val="00FE7FF8"/>
    <w:rsid w:val="00FF0C78"/>
    <w:rsid w:val="00FF0FD2"/>
    <w:rsid w:val="00FF2E9E"/>
    <w:rsid w:val="00FF4DA5"/>
    <w:rsid w:val="00FF4E9A"/>
    <w:rsid w:val="00FF52B5"/>
    <w:rsid w:val="00FF6290"/>
    <w:rsid w:val="00FF6388"/>
    <w:rsid w:val="00FF6CB2"/>
    <w:rsid w:val="00FF7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CC2EC"/>
  <w15:chartTrackingRefBased/>
  <w15:docId w15:val="{1C01637F-28D3-4FE8-987B-DA97822CC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2F01"/>
  </w:style>
  <w:style w:type="paragraph" w:styleId="Heading2">
    <w:name w:val="heading 2"/>
    <w:basedOn w:val="Normal"/>
    <w:next w:val="Normal"/>
    <w:link w:val="Heading2Char"/>
    <w:uiPriority w:val="9"/>
    <w:unhideWhenUsed/>
    <w:qFormat/>
    <w:rsid w:val="00792F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2F01"/>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rsid w:val="00792F01"/>
    <w:rPr>
      <w:sz w:val="16"/>
      <w:szCs w:val="16"/>
    </w:rPr>
  </w:style>
  <w:style w:type="paragraph" w:styleId="CommentText">
    <w:name w:val="annotation text"/>
    <w:basedOn w:val="Normal"/>
    <w:link w:val="CommentTextChar"/>
    <w:uiPriority w:val="99"/>
    <w:unhideWhenUsed/>
    <w:rsid w:val="00792F01"/>
    <w:pPr>
      <w:spacing w:line="240" w:lineRule="auto"/>
    </w:pPr>
    <w:rPr>
      <w:sz w:val="20"/>
      <w:szCs w:val="20"/>
    </w:rPr>
  </w:style>
  <w:style w:type="character" w:customStyle="1" w:styleId="CommentTextChar">
    <w:name w:val="Comment Text Char"/>
    <w:basedOn w:val="DefaultParagraphFont"/>
    <w:link w:val="CommentText"/>
    <w:uiPriority w:val="99"/>
    <w:rsid w:val="00792F01"/>
    <w:rPr>
      <w:sz w:val="20"/>
      <w:szCs w:val="20"/>
    </w:rPr>
  </w:style>
  <w:style w:type="table" w:customStyle="1" w:styleId="TableGrid1">
    <w:name w:val="Table Grid1"/>
    <w:basedOn w:val="TableNormal"/>
    <w:next w:val="TableGrid"/>
    <w:uiPriority w:val="39"/>
    <w:rsid w:val="00792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92F01"/>
    <w:pPr>
      <w:spacing w:after="0" w:line="240" w:lineRule="auto"/>
    </w:pPr>
    <w:rPr>
      <w:sz w:val="24"/>
      <w:szCs w:val="24"/>
    </w:rPr>
  </w:style>
  <w:style w:type="character" w:customStyle="1" w:styleId="FootnoteTextChar">
    <w:name w:val="Footnote Text Char"/>
    <w:basedOn w:val="DefaultParagraphFont"/>
    <w:link w:val="FootnoteText"/>
    <w:uiPriority w:val="99"/>
    <w:rsid w:val="00792F01"/>
    <w:rPr>
      <w:sz w:val="24"/>
      <w:szCs w:val="24"/>
    </w:rPr>
  </w:style>
  <w:style w:type="character" w:styleId="FootnoteReference">
    <w:name w:val="footnote reference"/>
    <w:basedOn w:val="DefaultParagraphFont"/>
    <w:uiPriority w:val="99"/>
    <w:unhideWhenUsed/>
    <w:rsid w:val="00792F01"/>
    <w:rPr>
      <w:vertAlign w:val="superscript"/>
    </w:rPr>
  </w:style>
  <w:style w:type="table" w:styleId="TableGrid">
    <w:name w:val="Table Grid"/>
    <w:basedOn w:val="TableNormal"/>
    <w:uiPriority w:val="39"/>
    <w:rsid w:val="00792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2F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2F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ww.cdc.gov/infectioncontrol/pdf/icar/ltcf.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www.cdc.gov/infectioncontrol/pdf/icar/hospital.pdf" TargetMode="External"/><Relationship Id="rId17" Type="http://schemas.openxmlformats.org/officeDocument/2006/relationships/hyperlink" Target="https://www.cdc.gov/hai/pdfs/bsi/checklist-for-CLABSI.pdf" TargetMode="External"/><Relationship Id="rId2" Type="http://schemas.openxmlformats.org/officeDocument/2006/relationships/styles" Target="styles.xml"/><Relationship Id="rId16" Type="http://schemas.openxmlformats.org/officeDocument/2006/relationships/hyperlink" Target="https://www.cdc.gov/hai/pdfs/prevent/MDRO-Facility-Assessment_7_28.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rha.org" TargetMode="External"/><Relationship Id="rId5" Type="http://schemas.openxmlformats.org/officeDocument/2006/relationships/footnotes" Target="footnotes.xml"/><Relationship Id="rId15" Type="http://schemas.openxmlformats.org/officeDocument/2006/relationships/hyperlink" Target="https://www.cdc.gov/infectioncontrol/pdf/icar/dialysis.pdf" TargetMode="External"/><Relationship Id="rId10" Type="http://schemas.openxmlformats.org/officeDocument/2006/relationships/hyperlink" Target="http://www.CDC.gov" TargetMode="Externa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www.cdc.gov/infectioncontrol/pdf/icar/outpati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5659</Words>
  <Characters>32258</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Ngoh</dc:creator>
  <cp:keywords/>
  <dc:description/>
  <cp:lastModifiedBy>Martha Ngoh</cp:lastModifiedBy>
  <cp:revision>1</cp:revision>
  <dcterms:created xsi:type="dcterms:W3CDTF">2018-07-12T19:35:00Z</dcterms:created>
  <dcterms:modified xsi:type="dcterms:W3CDTF">2018-07-12T19:41:00Z</dcterms:modified>
</cp:coreProperties>
</file>