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0F432" w14:textId="247B239D" w:rsidR="00AB5896" w:rsidRDefault="00AB5896" w:rsidP="00AB5896">
      <w:pPr>
        <w:pStyle w:val="ListParagraph"/>
        <w:numPr>
          <w:ilvl w:val="0"/>
          <w:numId w:val="1"/>
        </w:numPr>
        <w:rPr>
          <w:rFonts w:eastAsia="Times New Roman"/>
        </w:rPr>
      </w:pPr>
      <w:r>
        <w:rPr>
          <w:rFonts w:eastAsia="Times New Roman"/>
        </w:rPr>
        <w:t>Welcome &amp; introductions</w:t>
      </w:r>
    </w:p>
    <w:p w14:paraId="23120ECF" w14:textId="3B34F17F" w:rsidR="00AB5896" w:rsidRDefault="00AB5896" w:rsidP="00AB5896">
      <w:pPr>
        <w:pStyle w:val="ListParagraph"/>
        <w:numPr>
          <w:ilvl w:val="1"/>
          <w:numId w:val="1"/>
        </w:numPr>
        <w:rPr>
          <w:rFonts w:eastAsia="Times New Roman"/>
        </w:rPr>
      </w:pPr>
      <w:r>
        <w:rPr>
          <w:rFonts w:eastAsia="Times New Roman"/>
        </w:rPr>
        <w:t xml:space="preserve">Kari Gloppen, Kacy Crawford, </w:t>
      </w:r>
      <w:r w:rsidR="0070576C">
        <w:rPr>
          <w:rFonts w:eastAsia="Times New Roman"/>
        </w:rPr>
        <w:t>Annaliese Mayette</w:t>
      </w:r>
      <w:r>
        <w:rPr>
          <w:rFonts w:eastAsia="Times New Roman"/>
        </w:rPr>
        <w:t xml:space="preserve">, Julia S, Mary Franks, Toby Yak, Michele Bohm, Lauren Yerkes, Lareina La Flair </w:t>
      </w:r>
    </w:p>
    <w:p w14:paraId="17150453" w14:textId="4D0119A6" w:rsidR="00AB5896" w:rsidRDefault="00AB5896" w:rsidP="00AB5896">
      <w:pPr>
        <w:pStyle w:val="ListParagraph"/>
        <w:numPr>
          <w:ilvl w:val="0"/>
          <w:numId w:val="1"/>
        </w:numPr>
        <w:rPr>
          <w:rFonts w:eastAsia="Times New Roman"/>
        </w:rPr>
      </w:pPr>
      <w:r>
        <w:rPr>
          <w:rFonts w:eastAsia="Times New Roman"/>
        </w:rPr>
        <w:t>Discuss the purpose and scope of this project</w:t>
      </w:r>
    </w:p>
    <w:p w14:paraId="5882CC59" w14:textId="71EA2030" w:rsidR="00AB5896" w:rsidRDefault="00AB5896" w:rsidP="00AB5896">
      <w:pPr>
        <w:pStyle w:val="ListParagraph"/>
        <w:numPr>
          <w:ilvl w:val="1"/>
          <w:numId w:val="1"/>
        </w:numPr>
        <w:rPr>
          <w:rFonts w:eastAsia="Times New Roman"/>
        </w:rPr>
      </w:pPr>
      <w:r>
        <w:rPr>
          <w:rFonts w:eastAsia="Times New Roman"/>
        </w:rPr>
        <w:t xml:space="preserve">Translate the recent research into action, creating a standard slide deck for data dissemination. </w:t>
      </w:r>
    </w:p>
    <w:p w14:paraId="3DE1B624" w14:textId="587CC81F" w:rsidR="00AB5896" w:rsidRDefault="00AB5896" w:rsidP="00AB5896">
      <w:pPr>
        <w:pStyle w:val="ListParagraph"/>
        <w:numPr>
          <w:ilvl w:val="1"/>
          <w:numId w:val="1"/>
        </w:numPr>
        <w:rPr>
          <w:rFonts w:eastAsia="Times New Roman"/>
        </w:rPr>
      </w:pPr>
      <w:r>
        <w:rPr>
          <w:rFonts w:eastAsia="Times New Roman"/>
        </w:rPr>
        <w:t>Questions and thoughts about the paper – ASBI not USPSTF recommendation, so is this covered by insurance?</w:t>
      </w:r>
      <w:r w:rsidR="000B2B4F">
        <w:rPr>
          <w:rFonts w:eastAsia="Times New Roman"/>
        </w:rPr>
        <w:t xml:space="preserve">  ACTION ITEM – is ASBI covered by insurance?</w:t>
      </w:r>
    </w:p>
    <w:p w14:paraId="461643A6" w14:textId="78766976" w:rsidR="000B2B4F" w:rsidRDefault="00F87901" w:rsidP="00AB5896">
      <w:pPr>
        <w:pStyle w:val="ListParagraph"/>
        <w:numPr>
          <w:ilvl w:val="1"/>
          <w:numId w:val="1"/>
        </w:numPr>
        <w:rPr>
          <w:rFonts w:eastAsia="Times New Roman"/>
        </w:rPr>
      </w:pPr>
      <w:r>
        <w:rPr>
          <w:rFonts w:eastAsia="Times New Roman"/>
        </w:rPr>
        <w:t xml:space="preserve">ACTION ITEM – fact sheet with links to the tools, and links to intervention strategies, </w:t>
      </w:r>
    </w:p>
    <w:p w14:paraId="71B8D797" w14:textId="0B41B601" w:rsidR="00F87901" w:rsidRDefault="00F87901" w:rsidP="00AB5896">
      <w:pPr>
        <w:pStyle w:val="ListParagraph"/>
        <w:numPr>
          <w:ilvl w:val="1"/>
          <w:numId w:val="1"/>
        </w:numPr>
        <w:rPr>
          <w:rFonts w:eastAsia="Times New Roman"/>
        </w:rPr>
      </w:pPr>
      <w:r>
        <w:rPr>
          <w:rFonts w:eastAsia="Times New Roman"/>
        </w:rPr>
        <w:t xml:space="preserve">What states allow insurance to refuse to pay if an injury was due to alcohol?  Is this something that we can partner with another agency on to eliminate this discrimination? If this is the no longer </w:t>
      </w:r>
      <w:proofErr w:type="gramStart"/>
      <w:r>
        <w:rPr>
          <w:rFonts w:eastAsia="Times New Roman"/>
        </w:rPr>
        <w:t>true</w:t>
      </w:r>
      <w:proofErr w:type="gramEnd"/>
      <w:r>
        <w:rPr>
          <w:rFonts w:eastAsia="Times New Roman"/>
        </w:rPr>
        <w:t xml:space="preserve"> then we need to add that to the fact sheet.</w:t>
      </w:r>
    </w:p>
    <w:p w14:paraId="72EFF5D0" w14:textId="4EA43A25" w:rsidR="00F87901" w:rsidRDefault="00F87901" w:rsidP="00AB5896">
      <w:pPr>
        <w:pStyle w:val="ListParagraph"/>
        <w:numPr>
          <w:ilvl w:val="1"/>
          <w:numId w:val="1"/>
        </w:numPr>
        <w:rPr>
          <w:rFonts w:eastAsia="Times New Roman"/>
        </w:rPr>
      </w:pPr>
      <w:r>
        <w:rPr>
          <w:rFonts w:eastAsia="Times New Roman"/>
        </w:rPr>
        <w:t>Output Goal?</w:t>
      </w:r>
    </w:p>
    <w:p w14:paraId="0D57837F" w14:textId="6BA4BD26" w:rsidR="00340E7F" w:rsidRDefault="00340E7F" w:rsidP="00340E7F">
      <w:pPr>
        <w:pStyle w:val="ListParagraph"/>
        <w:numPr>
          <w:ilvl w:val="2"/>
          <w:numId w:val="1"/>
        </w:numPr>
        <w:rPr>
          <w:rFonts w:eastAsia="Times New Roman"/>
        </w:rPr>
      </w:pPr>
      <w:r>
        <w:rPr>
          <w:rFonts w:eastAsia="Times New Roman"/>
        </w:rPr>
        <w:t xml:space="preserve">Information sheet </w:t>
      </w:r>
    </w:p>
    <w:p w14:paraId="29F9425B" w14:textId="635B4AF5" w:rsidR="00340E7F" w:rsidRDefault="00340E7F" w:rsidP="00340E7F">
      <w:pPr>
        <w:pStyle w:val="ListParagraph"/>
        <w:numPr>
          <w:ilvl w:val="2"/>
          <w:numId w:val="1"/>
        </w:numPr>
        <w:rPr>
          <w:rFonts w:eastAsia="Times New Roman"/>
        </w:rPr>
      </w:pPr>
      <w:r>
        <w:rPr>
          <w:rFonts w:eastAsia="Times New Roman"/>
        </w:rPr>
        <w:t>Train physicians (and other ED staff?) on validated screening measures, educate them on ASBI, its benefits, why documenting screening results is important even if not used in the ED</w:t>
      </w:r>
    </w:p>
    <w:p w14:paraId="4057747E" w14:textId="3EA24C82" w:rsidR="00340E7F" w:rsidRPr="00AB5896" w:rsidRDefault="00340E7F" w:rsidP="00340E7F">
      <w:pPr>
        <w:pStyle w:val="ListParagraph"/>
        <w:numPr>
          <w:ilvl w:val="2"/>
          <w:numId w:val="1"/>
        </w:numPr>
        <w:rPr>
          <w:rFonts w:eastAsia="Times New Roman"/>
        </w:rPr>
      </w:pPr>
      <w:r>
        <w:rPr>
          <w:rFonts w:eastAsia="Times New Roman"/>
        </w:rPr>
        <w:t>Maybe a staged approach—start with an information sheet, then we can go on and continue to understand additional questions (when screening happens, is there a set of signs/symptoms that prompt the screening? If screening happens, are the results documented, how are they used)</w:t>
      </w:r>
    </w:p>
    <w:p w14:paraId="1C5395AF" w14:textId="2F2796CB" w:rsidR="00AB5896" w:rsidRDefault="00AB5896" w:rsidP="00AB5896">
      <w:pPr>
        <w:pStyle w:val="ListParagraph"/>
        <w:numPr>
          <w:ilvl w:val="0"/>
          <w:numId w:val="1"/>
        </w:numPr>
        <w:rPr>
          <w:rFonts w:eastAsia="Times New Roman"/>
        </w:rPr>
      </w:pPr>
      <w:r>
        <w:rPr>
          <w:rFonts w:eastAsia="Times New Roman"/>
        </w:rPr>
        <w:t>Identify partners (ACEP</w:t>
      </w:r>
      <w:r w:rsidR="00F87901">
        <w:rPr>
          <w:rFonts w:eastAsia="Times New Roman"/>
        </w:rPr>
        <w:t>,</w:t>
      </w:r>
      <w:r>
        <w:rPr>
          <w:rFonts w:eastAsia="Times New Roman"/>
        </w:rPr>
        <w:t xml:space="preserve"> Emergency </w:t>
      </w:r>
      <w:r w:rsidR="00F87901">
        <w:rPr>
          <w:rFonts w:eastAsia="Times New Roman"/>
        </w:rPr>
        <w:t>N</w:t>
      </w:r>
      <w:r>
        <w:rPr>
          <w:rFonts w:eastAsia="Times New Roman"/>
        </w:rPr>
        <w:t>urses</w:t>
      </w:r>
      <w:r w:rsidR="00F87901">
        <w:rPr>
          <w:rFonts w:eastAsia="Times New Roman"/>
        </w:rPr>
        <w:t xml:space="preserve"> Association</w:t>
      </w:r>
      <w:r>
        <w:rPr>
          <w:rFonts w:eastAsia="Times New Roman"/>
        </w:rPr>
        <w:t>)</w:t>
      </w:r>
    </w:p>
    <w:p w14:paraId="4DA21086" w14:textId="1CD0BA85" w:rsidR="00AB5896" w:rsidRDefault="00AB5896" w:rsidP="00AB5896">
      <w:pPr>
        <w:pStyle w:val="ListParagraph"/>
        <w:numPr>
          <w:ilvl w:val="0"/>
          <w:numId w:val="1"/>
        </w:numPr>
        <w:rPr>
          <w:rFonts w:eastAsia="Times New Roman"/>
        </w:rPr>
      </w:pPr>
      <w:r>
        <w:rPr>
          <w:rFonts w:eastAsia="Times New Roman"/>
        </w:rPr>
        <w:t>Discuss plan and timeline</w:t>
      </w:r>
    </w:p>
    <w:p w14:paraId="0E9052D1" w14:textId="50A5C387" w:rsidR="00F87901" w:rsidRDefault="002E27E1" w:rsidP="002E27E1">
      <w:pPr>
        <w:pStyle w:val="ListParagraph"/>
        <w:numPr>
          <w:ilvl w:val="1"/>
          <w:numId w:val="1"/>
        </w:numPr>
        <w:rPr>
          <w:rFonts w:eastAsia="Times New Roman"/>
        </w:rPr>
      </w:pPr>
      <w:r>
        <w:rPr>
          <w:rFonts w:eastAsia="Times New Roman"/>
        </w:rPr>
        <w:t>Update the PowerPoint slides from this study</w:t>
      </w:r>
      <w:r w:rsidR="0070576C">
        <w:rPr>
          <w:rFonts w:eastAsia="Times New Roman"/>
        </w:rPr>
        <w:t xml:space="preserve"> (Kari, Kacy, Julia, Annaliese)</w:t>
      </w:r>
      <w:r>
        <w:rPr>
          <w:rFonts w:eastAsia="Times New Roman"/>
        </w:rPr>
        <w:t>. Add some information on screens to use and what to do with the data once they have it.</w:t>
      </w:r>
    </w:p>
    <w:p w14:paraId="2444F6A8" w14:textId="59207E90" w:rsidR="002E27E1" w:rsidRDefault="002E27E1" w:rsidP="002E27E1">
      <w:pPr>
        <w:pStyle w:val="ListParagraph"/>
        <w:numPr>
          <w:ilvl w:val="1"/>
          <w:numId w:val="1"/>
        </w:numPr>
        <w:rPr>
          <w:rFonts w:eastAsia="Times New Roman"/>
        </w:rPr>
      </w:pPr>
      <w:r>
        <w:rPr>
          <w:rFonts w:eastAsia="Times New Roman"/>
        </w:rPr>
        <w:t xml:space="preserve">Self-education – </w:t>
      </w:r>
      <w:proofErr w:type="gramStart"/>
      <w:r>
        <w:rPr>
          <w:rFonts w:eastAsia="Times New Roman"/>
        </w:rPr>
        <w:t>look into</w:t>
      </w:r>
      <w:proofErr w:type="gramEnd"/>
      <w:r>
        <w:rPr>
          <w:rFonts w:eastAsia="Times New Roman"/>
        </w:rPr>
        <w:t xml:space="preserve"> </w:t>
      </w:r>
      <w:r w:rsidR="00340E7F">
        <w:rPr>
          <w:rFonts w:eastAsia="Times New Roman"/>
        </w:rPr>
        <w:t xml:space="preserve">insurance </w:t>
      </w:r>
      <w:r>
        <w:rPr>
          <w:rFonts w:eastAsia="Times New Roman"/>
        </w:rPr>
        <w:t>coverage for screening for alcohol in Eds, and make sure we are on the right track; EHR clinical support tool (Michele); alcohol coverage parity (does it still exist and in what states?); how do other screenings happen (MH, suicide, other substances); SSD project on MH and SBI?</w:t>
      </w:r>
    </w:p>
    <w:p w14:paraId="5D60B620" w14:textId="77777777" w:rsidR="00AB5896" w:rsidRDefault="00AB5896" w:rsidP="00AB5896">
      <w:pPr>
        <w:pStyle w:val="ListParagraph"/>
        <w:numPr>
          <w:ilvl w:val="0"/>
          <w:numId w:val="1"/>
        </w:numPr>
        <w:rPr>
          <w:rFonts w:eastAsia="Times New Roman"/>
        </w:rPr>
      </w:pPr>
      <w:r>
        <w:rPr>
          <w:rFonts w:eastAsia="Times New Roman"/>
        </w:rPr>
        <w:t xml:space="preserve">Next steps </w:t>
      </w:r>
    </w:p>
    <w:p w14:paraId="6237D479" w14:textId="39CD8319" w:rsidR="00AB5896" w:rsidRDefault="00AB5896" w:rsidP="00AB5896">
      <w:pPr>
        <w:pStyle w:val="ListParagraph"/>
        <w:numPr>
          <w:ilvl w:val="1"/>
          <w:numId w:val="1"/>
        </w:numPr>
        <w:rPr>
          <w:rFonts w:eastAsia="Times New Roman"/>
        </w:rPr>
      </w:pPr>
      <w:r>
        <w:rPr>
          <w:rFonts w:eastAsia="Times New Roman"/>
        </w:rPr>
        <w:t>Set up a recurring meeting time</w:t>
      </w:r>
    </w:p>
    <w:p w14:paraId="1C2B2429" w14:textId="3B880D3C" w:rsidR="002E27E1" w:rsidRDefault="002C02BA" w:rsidP="00AB5896">
      <w:pPr>
        <w:pStyle w:val="ListParagraph"/>
        <w:numPr>
          <w:ilvl w:val="1"/>
          <w:numId w:val="1"/>
        </w:numPr>
        <w:rPr>
          <w:rFonts w:eastAsia="Times New Roman"/>
        </w:rPr>
      </w:pPr>
      <w:r>
        <w:rPr>
          <w:rFonts w:eastAsia="Times New Roman"/>
        </w:rPr>
        <w:t>2</w:t>
      </w:r>
      <w:r w:rsidRPr="002C02BA">
        <w:rPr>
          <w:rFonts w:eastAsia="Times New Roman"/>
          <w:vertAlign w:val="superscript"/>
        </w:rPr>
        <w:t>nd</w:t>
      </w:r>
      <w:r>
        <w:rPr>
          <w:rFonts w:eastAsia="Times New Roman"/>
        </w:rPr>
        <w:t xml:space="preserve"> Monday at noon EST.</w:t>
      </w:r>
    </w:p>
    <w:p w14:paraId="61A3EF37" w14:textId="332ED5D8" w:rsidR="0054116A" w:rsidRDefault="0054116A"/>
    <w:p w14:paraId="26CE8EBF" w14:textId="69D12C66" w:rsidR="009259B5" w:rsidRDefault="009259B5">
      <w:r>
        <w:t>URLs shared during the meeting:</w:t>
      </w:r>
    </w:p>
    <w:p w14:paraId="18A143FC" w14:textId="59B620C4" w:rsidR="009259B5" w:rsidRDefault="009259B5">
      <w:r>
        <w:t xml:space="preserve">Suicide screening in EDs resource: </w:t>
      </w:r>
      <w:hyperlink r:id="rId5" w:history="1">
        <w:r w:rsidRPr="00315936">
          <w:rPr>
            <w:rStyle w:val="Hyperlink"/>
          </w:rPr>
          <w:t>https://suicidepreventionlifeline.org/wp-content/uploads/2016/09/Suicide-Risk-Assessment-C-SSRS-Lifeline-Version-2014.pdf</w:t>
        </w:r>
      </w:hyperlink>
      <w:r>
        <w:t xml:space="preserve"> </w:t>
      </w:r>
    </w:p>
    <w:p w14:paraId="3B13F78A" w14:textId="33C92DD1" w:rsidR="009259B5" w:rsidRDefault="009259B5">
      <w:r w:rsidRPr="009259B5">
        <w:t>Clinical Decision Support for Alcohol Screening and Brief Intervention</w:t>
      </w:r>
      <w:r>
        <w:t xml:space="preserve">:  </w:t>
      </w:r>
      <w:hyperlink r:id="rId6" w:history="1">
        <w:r w:rsidRPr="00315936">
          <w:rPr>
            <w:rStyle w:val="Hyperlink"/>
          </w:rPr>
          <w:t>https://www.cdc.gov/ncbddd/fasd/clinical-decision-support.html</w:t>
        </w:r>
      </w:hyperlink>
      <w:r>
        <w:t xml:space="preserve"> </w:t>
      </w:r>
    </w:p>
    <w:p w14:paraId="47EF67FE" w14:textId="05D85C49" w:rsidR="009259B5" w:rsidRDefault="009259B5">
      <w:r w:rsidRPr="009259B5">
        <w:t>Coding for Screening and Brief Intervention Reimbursement</w:t>
      </w:r>
      <w:r>
        <w:t xml:space="preserve">: </w:t>
      </w:r>
      <w:hyperlink r:id="rId7" w:history="1">
        <w:r w:rsidRPr="00315936">
          <w:rPr>
            <w:rStyle w:val="Hyperlink"/>
          </w:rPr>
          <w:t>https://www.samhsa.gov/sbirt/coding-reimbursement</w:t>
        </w:r>
      </w:hyperlink>
      <w:r>
        <w:t xml:space="preserve"> </w:t>
      </w:r>
    </w:p>
    <w:p w14:paraId="58591A69" w14:textId="01441D9F" w:rsidR="009259B5" w:rsidRDefault="009259B5">
      <w:r>
        <w:t>APIS:</w:t>
      </w:r>
    </w:p>
    <w:p w14:paraId="2D3112A3" w14:textId="0AA7D277" w:rsidR="009259B5" w:rsidRDefault="009259B5" w:rsidP="009259B5">
      <w:pPr>
        <w:pStyle w:val="ListParagraph"/>
        <w:numPr>
          <w:ilvl w:val="0"/>
          <w:numId w:val="2"/>
        </w:numPr>
      </w:pPr>
      <w:r w:rsidRPr="009259B5">
        <w:lastRenderedPageBreak/>
        <w:t>Health Insurance Parity for Alcohol-Related Treatment</w:t>
      </w:r>
      <w:r>
        <w:t xml:space="preserve">: </w:t>
      </w:r>
      <w:hyperlink r:id="rId8" w:history="1">
        <w:r w:rsidRPr="00315936">
          <w:rPr>
            <w:rStyle w:val="Hyperlink"/>
          </w:rPr>
          <w:t>https://alcoholpolicy.niaaa.nih.gov/apis-policy-topics/health-insurance-parity-for-alcohol-related-treatment/17</w:t>
        </w:r>
      </w:hyperlink>
      <w:r>
        <w:t xml:space="preserve"> </w:t>
      </w:r>
    </w:p>
    <w:p w14:paraId="6341D5C7" w14:textId="3E0645EB" w:rsidR="009259B5" w:rsidRDefault="009259B5" w:rsidP="009259B5">
      <w:pPr>
        <w:pStyle w:val="ListParagraph"/>
        <w:numPr>
          <w:ilvl w:val="0"/>
          <w:numId w:val="2"/>
        </w:numPr>
      </w:pPr>
      <w:r>
        <w:t xml:space="preserve">Health insurance: losses due to intoxication (“UPPL”): </w:t>
      </w:r>
      <w:hyperlink r:id="rId9" w:history="1">
        <w:r w:rsidRPr="00315936">
          <w:rPr>
            <w:rStyle w:val="Hyperlink"/>
          </w:rPr>
          <w:t>https://alcoholpolicy.niaaa.nih.gov/apis-policy-topics/health-insurance-losses-due-to-intoxication-uppl/16</w:t>
        </w:r>
      </w:hyperlink>
      <w:r>
        <w:t xml:space="preserve"> </w:t>
      </w:r>
    </w:p>
    <w:p w14:paraId="44CAF456" w14:textId="77777777" w:rsidR="009259B5" w:rsidRDefault="009259B5" w:rsidP="009259B5"/>
    <w:p w14:paraId="11B52E47" w14:textId="57B13855" w:rsidR="009259B5" w:rsidRDefault="009259B5" w:rsidP="009259B5">
      <w:r w:rsidRPr="009259B5">
        <w:t>Screening, Brief Intervention, and Referral to Treatment (SBIRT) Program</w:t>
      </w:r>
      <w:r>
        <w:t xml:space="preserve"> (CO): </w:t>
      </w:r>
      <w:hyperlink r:id="rId10" w:history="1">
        <w:r w:rsidRPr="00315936">
          <w:rPr>
            <w:rStyle w:val="Hyperlink"/>
          </w:rPr>
          <w:t>https://hcpf.colorado.gov/sbirt-manual#over</w:t>
        </w:r>
      </w:hyperlink>
      <w:r>
        <w:t xml:space="preserve"> </w:t>
      </w:r>
    </w:p>
    <w:p w14:paraId="1BC4605B" w14:textId="4F3B6E4D" w:rsidR="009259B5" w:rsidRDefault="009259B5" w:rsidP="009259B5">
      <w:r w:rsidRPr="009259B5">
        <w:t>Decision Memo for Screening and Behavioral Counseling Interventions in Primary Care to Reduce Alcohol Misuse (CAG-00427N)</w:t>
      </w:r>
      <w:r>
        <w:t xml:space="preserve">: </w:t>
      </w:r>
      <w:hyperlink r:id="rId11" w:history="1">
        <w:r w:rsidRPr="00315936">
          <w:rPr>
            <w:rStyle w:val="Hyperlink"/>
          </w:rPr>
          <w:t>https://www.cms.gov/medicare-coverage-database/details/nca-decision-memo.aspx?NCAId=249&amp;TAId=41&amp;NCDId=23&amp;ncdver=1&amp;CoverageSelection=Both&amp;NCSelection=NCA%7CCAL%7CNCD%7CMEDCAC%7CTA%7CMCD&amp;ArticleType=Ed%7CKey%7CSAD%7CFAQ&amp;PolicyType=Final&amp;KeyWord=inpatient+rehabilitation&amp;KeyWordLookUp=Doc&amp;KeyWordSearchType=And&amp;kq=true&amp;bc=IAAAACAAIAAA&amp;</w:t>
        </w:r>
      </w:hyperlink>
      <w:r>
        <w:t xml:space="preserve"> </w:t>
      </w:r>
    </w:p>
    <w:sectPr w:rsidR="009259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B23A7"/>
    <w:multiLevelType w:val="hybridMultilevel"/>
    <w:tmpl w:val="FE7C6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0FA15DF"/>
    <w:multiLevelType w:val="hybridMultilevel"/>
    <w:tmpl w:val="8BD4B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96"/>
    <w:rsid w:val="000B2B4F"/>
    <w:rsid w:val="002C02BA"/>
    <w:rsid w:val="002E27E1"/>
    <w:rsid w:val="00340E7F"/>
    <w:rsid w:val="0054116A"/>
    <w:rsid w:val="0070576C"/>
    <w:rsid w:val="009259B5"/>
    <w:rsid w:val="00AB5896"/>
    <w:rsid w:val="00F8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43B0"/>
  <w15:chartTrackingRefBased/>
  <w15:docId w15:val="{5A7570C1-1A37-4AAD-9610-4710E380F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896"/>
    <w:pPr>
      <w:spacing w:after="0" w:line="240" w:lineRule="auto"/>
      <w:ind w:left="720"/>
    </w:pPr>
    <w:rPr>
      <w:rFonts w:ascii="Calibri" w:hAnsi="Calibri" w:cs="Calibri"/>
    </w:rPr>
  </w:style>
  <w:style w:type="character" w:styleId="Hyperlink">
    <w:name w:val="Hyperlink"/>
    <w:basedOn w:val="DefaultParagraphFont"/>
    <w:uiPriority w:val="99"/>
    <w:unhideWhenUsed/>
    <w:rsid w:val="009259B5"/>
    <w:rPr>
      <w:color w:val="0563C1" w:themeColor="hyperlink"/>
      <w:u w:val="single"/>
    </w:rPr>
  </w:style>
  <w:style w:type="character" w:styleId="UnresolvedMention">
    <w:name w:val="Unresolved Mention"/>
    <w:basedOn w:val="DefaultParagraphFont"/>
    <w:uiPriority w:val="99"/>
    <w:semiHidden/>
    <w:unhideWhenUsed/>
    <w:rsid w:val="00925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171080">
      <w:bodyDiv w:val="1"/>
      <w:marLeft w:val="0"/>
      <w:marRight w:val="0"/>
      <w:marTop w:val="0"/>
      <w:marBottom w:val="0"/>
      <w:divBdr>
        <w:top w:val="none" w:sz="0" w:space="0" w:color="auto"/>
        <w:left w:val="none" w:sz="0" w:space="0" w:color="auto"/>
        <w:bottom w:val="none" w:sz="0" w:space="0" w:color="auto"/>
        <w:right w:val="none" w:sz="0" w:space="0" w:color="auto"/>
      </w:divBdr>
    </w:div>
    <w:div w:id="161165099">
      <w:bodyDiv w:val="1"/>
      <w:marLeft w:val="0"/>
      <w:marRight w:val="0"/>
      <w:marTop w:val="0"/>
      <w:marBottom w:val="0"/>
      <w:divBdr>
        <w:top w:val="none" w:sz="0" w:space="0" w:color="auto"/>
        <w:left w:val="none" w:sz="0" w:space="0" w:color="auto"/>
        <w:bottom w:val="none" w:sz="0" w:space="0" w:color="auto"/>
        <w:right w:val="none" w:sz="0" w:space="0" w:color="auto"/>
      </w:divBdr>
    </w:div>
    <w:div w:id="245917638">
      <w:bodyDiv w:val="1"/>
      <w:marLeft w:val="0"/>
      <w:marRight w:val="0"/>
      <w:marTop w:val="0"/>
      <w:marBottom w:val="0"/>
      <w:divBdr>
        <w:top w:val="none" w:sz="0" w:space="0" w:color="auto"/>
        <w:left w:val="none" w:sz="0" w:space="0" w:color="auto"/>
        <w:bottom w:val="none" w:sz="0" w:space="0" w:color="auto"/>
        <w:right w:val="none" w:sz="0" w:space="0" w:color="auto"/>
      </w:divBdr>
    </w:div>
    <w:div w:id="260988658">
      <w:bodyDiv w:val="1"/>
      <w:marLeft w:val="0"/>
      <w:marRight w:val="0"/>
      <w:marTop w:val="0"/>
      <w:marBottom w:val="0"/>
      <w:divBdr>
        <w:top w:val="none" w:sz="0" w:space="0" w:color="auto"/>
        <w:left w:val="none" w:sz="0" w:space="0" w:color="auto"/>
        <w:bottom w:val="none" w:sz="0" w:space="0" w:color="auto"/>
        <w:right w:val="none" w:sz="0" w:space="0" w:color="auto"/>
      </w:divBdr>
    </w:div>
    <w:div w:id="296178732">
      <w:bodyDiv w:val="1"/>
      <w:marLeft w:val="0"/>
      <w:marRight w:val="0"/>
      <w:marTop w:val="0"/>
      <w:marBottom w:val="0"/>
      <w:divBdr>
        <w:top w:val="none" w:sz="0" w:space="0" w:color="auto"/>
        <w:left w:val="none" w:sz="0" w:space="0" w:color="auto"/>
        <w:bottom w:val="none" w:sz="0" w:space="0" w:color="auto"/>
        <w:right w:val="none" w:sz="0" w:space="0" w:color="auto"/>
      </w:divBdr>
    </w:div>
    <w:div w:id="341786712">
      <w:bodyDiv w:val="1"/>
      <w:marLeft w:val="0"/>
      <w:marRight w:val="0"/>
      <w:marTop w:val="0"/>
      <w:marBottom w:val="0"/>
      <w:divBdr>
        <w:top w:val="none" w:sz="0" w:space="0" w:color="auto"/>
        <w:left w:val="none" w:sz="0" w:space="0" w:color="auto"/>
        <w:bottom w:val="none" w:sz="0" w:space="0" w:color="auto"/>
        <w:right w:val="none" w:sz="0" w:space="0" w:color="auto"/>
      </w:divBdr>
    </w:div>
    <w:div w:id="629477491">
      <w:bodyDiv w:val="1"/>
      <w:marLeft w:val="0"/>
      <w:marRight w:val="0"/>
      <w:marTop w:val="0"/>
      <w:marBottom w:val="0"/>
      <w:divBdr>
        <w:top w:val="none" w:sz="0" w:space="0" w:color="auto"/>
        <w:left w:val="none" w:sz="0" w:space="0" w:color="auto"/>
        <w:bottom w:val="none" w:sz="0" w:space="0" w:color="auto"/>
        <w:right w:val="none" w:sz="0" w:space="0" w:color="auto"/>
      </w:divBdr>
    </w:div>
    <w:div w:id="104714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coholpolicy.niaaa.nih.gov/apis-policy-topics/health-insurance-parity-for-alcohol-related-treatment/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mhsa.gov/sbirt/coding-reimburse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ncbddd/fasd/clinical-decision-support.html" TargetMode="External"/><Relationship Id="rId11" Type="http://schemas.openxmlformats.org/officeDocument/2006/relationships/hyperlink" Target="https://www.cms.gov/medicare-coverage-database/details/nca-decision-memo.aspx?NCAId=249&amp;TAId=41&amp;NCDId=23&amp;ncdver=1&amp;CoverageSelection=Both&amp;NCSelection=NCA%7CCAL%7CNCD%7CMEDCAC%7CTA%7CMCD&amp;ArticleType=Ed%7CKey%7CSAD%7CFAQ&amp;PolicyType=Final&amp;KeyWord=inpatient+rehabilitation&amp;KeyWordLookUp=Doc&amp;KeyWordSearchType=And&amp;kq=true&amp;bc=IAAAACAAIAAA&amp;" TargetMode="External"/><Relationship Id="rId5" Type="http://schemas.openxmlformats.org/officeDocument/2006/relationships/hyperlink" Target="https://suicidepreventionlifeline.org/wp-content/uploads/2016/09/Suicide-Risk-Assessment-C-SSRS-Lifeline-Version-2014.pdf" TargetMode="External"/><Relationship Id="rId10" Type="http://schemas.openxmlformats.org/officeDocument/2006/relationships/hyperlink" Target="https://hcpf.colorado.gov/sbirt-manual#over" TargetMode="External"/><Relationship Id="rId4" Type="http://schemas.openxmlformats.org/officeDocument/2006/relationships/webSettings" Target="webSettings.xml"/><Relationship Id="rId9" Type="http://schemas.openxmlformats.org/officeDocument/2006/relationships/hyperlink" Target="https://alcoholpolicy.niaaa.nih.gov/apis-policy-topics/health-insurance-losses-due-to-intoxication-uppl/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627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Annaliese Mayette</dc:creator>
  <cp:keywords/>
  <dc:description/>
  <cp:lastModifiedBy>Gloppen, Kari (MDH)</cp:lastModifiedBy>
  <cp:revision>3</cp:revision>
  <dcterms:created xsi:type="dcterms:W3CDTF">2021-04-12T17:18:00Z</dcterms:created>
  <dcterms:modified xsi:type="dcterms:W3CDTF">2021-04-12T17:27:00Z</dcterms:modified>
</cp:coreProperties>
</file>