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6D38F" w14:textId="1425A197" w:rsidR="00B90BC7" w:rsidRDefault="000E0D2B">
      <w:r>
        <w:fldChar w:fldCharType="begin"/>
      </w:r>
      <w:r>
        <w:instrText xml:space="preserve"> HYPERLINK "</w:instrText>
      </w:r>
      <w:r w:rsidRPr="000E0D2B">
        <w:instrText>https://alcoholpolicy.niaaa.nih.gov/apis-policy-topics/health-insurance-parity-for-alcohol-related-treatment/17/about-this-policy</w:instrText>
      </w:r>
      <w:r>
        <w:instrText xml:space="preserve">" </w:instrText>
      </w:r>
      <w:r>
        <w:fldChar w:fldCharType="separate"/>
      </w:r>
      <w:r w:rsidRPr="002F2757">
        <w:rPr>
          <w:rStyle w:val="Hyperlink"/>
        </w:rPr>
        <w:t>https://alcoholpolicy.niaaa.nih.gov/apis-policy-topics/health-insurance-parity-for-alcohol-related-treatment/17/about-this-policy</w:t>
      </w:r>
      <w:r>
        <w:fldChar w:fldCharType="end"/>
      </w:r>
    </w:p>
    <w:p w14:paraId="1ABD81FD" w14:textId="372FC02D" w:rsidR="000E0D2B" w:rsidRDefault="000E0D2B">
      <w:r>
        <w:t>Laws addressing requirements that health plans provide same levels of benefits for alcohol-related disorders as they do for medical and surgical conditions</w:t>
      </w:r>
    </w:p>
    <w:p w14:paraId="3DEC4BD3" w14:textId="32DF4972" w:rsidR="000E0D2B" w:rsidRDefault="000E0D2B" w:rsidP="000E0D2B">
      <w:pPr>
        <w:pStyle w:val="ListParagraph"/>
        <w:numPr>
          <w:ilvl w:val="0"/>
          <w:numId w:val="1"/>
        </w:numPr>
      </w:pPr>
      <w:r>
        <w:t>“the same” may be in terms of deductibles, co-payments, or other types of cost sharing; annual or lifetime service limits; annual or lifetime payouts; or any combination of these</w:t>
      </w:r>
    </w:p>
    <w:p w14:paraId="3B115DED" w14:textId="313D40A9" w:rsidR="000E0D2B" w:rsidRDefault="000E0D2B" w:rsidP="000E0D2B">
      <w:pPr>
        <w:pStyle w:val="ListParagraph"/>
        <w:numPr>
          <w:ilvl w:val="0"/>
          <w:numId w:val="1"/>
        </w:numPr>
      </w:pPr>
      <w:r>
        <w:t>Parity laws may apply specifically to alcohol-related disorders; some jurisdictions may have parity provisions for general mental health care or SUD, which may or may not include alcohol-related disorders. APIS addresses only laws that are specific to AUD.</w:t>
      </w:r>
    </w:p>
    <w:p w14:paraId="15E6716F" w14:textId="6B0D7D9A" w:rsidR="000E0D2B" w:rsidRDefault="000E0D2B" w:rsidP="000E0D2B">
      <w:pPr>
        <w:pStyle w:val="ListParagraph"/>
        <w:numPr>
          <w:ilvl w:val="0"/>
          <w:numId w:val="1"/>
        </w:numPr>
      </w:pPr>
      <w:r>
        <w:t>Mental Health Parity and Addiction Equity Act (MHPAEA) of 2008, effective April 2010. Mandates that if an employer of more than 50 people provides SUD benefits through a group plan, those must be equal to the medical/surgical benefits provided by that plan. **</w:t>
      </w:r>
      <w:proofErr w:type="gramStart"/>
      <w:r>
        <w:t>However</w:t>
      </w:r>
      <w:proofErr w:type="gramEnd"/>
      <w:r>
        <w:t xml:space="preserve"> this law did not require plans to provide SUD benefits.</w:t>
      </w:r>
    </w:p>
    <w:p w14:paraId="497DB995" w14:textId="14A2F44C" w:rsidR="000E0D2B" w:rsidRDefault="000E0D2B" w:rsidP="000E0D2B">
      <w:pPr>
        <w:pStyle w:val="ListParagraph"/>
        <w:numPr>
          <w:ilvl w:val="0"/>
          <w:numId w:val="1"/>
        </w:numPr>
      </w:pPr>
      <w:r>
        <w:t xml:space="preserve">The ACA expanded reach </w:t>
      </w:r>
      <w:proofErr w:type="gramStart"/>
      <w:r>
        <w:t>of  MHPAEA</w:t>
      </w:r>
      <w:proofErr w:type="gramEnd"/>
      <w:r>
        <w:t xml:space="preserve"> to include small group and individual market plans created after March 2010. Included coverage for MH and SUD as one of 10 categories of essential health benefits.</w:t>
      </w:r>
    </w:p>
    <w:p w14:paraId="4A82BA7C" w14:textId="509C5A9D" w:rsidR="000E0D2B" w:rsidRDefault="000E0D2B" w:rsidP="000E0D2B">
      <w:pPr>
        <w:pStyle w:val="ListParagraph"/>
        <w:numPr>
          <w:ilvl w:val="0"/>
          <w:numId w:val="1"/>
        </w:numPr>
      </w:pPr>
      <w:r w:rsidRPr="000E0D2B">
        <w:drawing>
          <wp:inline distT="0" distB="0" distL="0" distR="0" wp14:anchorId="194D20D0" wp14:editId="67B55234">
            <wp:extent cx="5943600" cy="441134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0D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E18"/>
    <w:multiLevelType w:val="hybridMultilevel"/>
    <w:tmpl w:val="7146F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D2B"/>
    <w:rsid w:val="000E0D2B"/>
    <w:rsid w:val="003359ED"/>
    <w:rsid w:val="00796F19"/>
    <w:rsid w:val="00F058B1"/>
    <w:rsid w:val="00F3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131D7"/>
  <w15:chartTrackingRefBased/>
  <w15:docId w15:val="{0B510F67-D2C0-43C3-914F-5F0231C6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D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D2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E0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Gloppen, Kari (MDH)</dc:creator>
  <cp:keywords/>
  <dc:description/>
  <cp:lastModifiedBy>Gloppen, Kari (MDH)</cp:lastModifiedBy>
  <cp:revision>1</cp:revision>
  <dcterms:created xsi:type="dcterms:W3CDTF">2021-05-10T14:04:00Z</dcterms:created>
  <dcterms:modified xsi:type="dcterms:W3CDTF">2021-05-10T14:16:00Z</dcterms:modified>
</cp:coreProperties>
</file>