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2BD" w:rsidRPr="00831C25" w:rsidRDefault="00435692" w:rsidP="00435692">
      <w:pPr>
        <w:jc w:val="center"/>
        <w:rPr>
          <w:b/>
          <w:u w:val="single"/>
        </w:rPr>
      </w:pPr>
      <w:bookmarkStart w:id="0" w:name="_GoBack"/>
      <w:bookmarkEnd w:id="0"/>
      <w:r w:rsidRPr="00831C25">
        <w:rPr>
          <w:b/>
          <w:u w:val="single"/>
        </w:rPr>
        <w:t xml:space="preserve">CSTE ICD-10-CM Drug Poisoning Indicators Workgroup </w:t>
      </w:r>
      <w:r w:rsidR="009E54CE">
        <w:rPr>
          <w:b/>
          <w:u w:val="single"/>
        </w:rPr>
        <w:t>Working Document</w:t>
      </w:r>
    </w:p>
    <w:p w:rsidR="006B2FA9" w:rsidRPr="00694DC8" w:rsidRDefault="00A72A87" w:rsidP="00435692">
      <w:pPr>
        <w:jc w:val="center"/>
        <w:rPr>
          <w:b/>
        </w:rPr>
      </w:pPr>
      <w:r>
        <w:rPr>
          <w:b/>
        </w:rPr>
        <w:t>Background</w:t>
      </w:r>
    </w:p>
    <w:p w:rsidR="00A72A87" w:rsidRDefault="009E54CE">
      <w:r w:rsidRPr="009E54CE">
        <w:rPr>
          <w:b/>
          <w:noProof/>
          <w:u w:val="single"/>
        </w:rPr>
        <mc:AlternateContent>
          <mc:Choice Requires="wps">
            <w:drawing>
              <wp:anchor distT="0" distB="0" distL="114300" distR="114300" simplePos="0" relativeHeight="251659264" behindDoc="1" locked="0" layoutInCell="1" allowOverlap="1" wp14:anchorId="1BBA44CB" wp14:editId="53EDE235">
                <wp:simplePos x="0" y="0"/>
                <wp:positionH relativeFrom="column">
                  <wp:posOffset>3444875</wp:posOffset>
                </wp:positionH>
                <wp:positionV relativeFrom="paragraph">
                  <wp:posOffset>26035</wp:posOffset>
                </wp:positionV>
                <wp:extent cx="2374265" cy="2029460"/>
                <wp:effectExtent l="0" t="0" r="22860" b="27940"/>
                <wp:wrapTight wrapText="bothSides">
                  <wp:wrapPolygon edited="0">
                    <wp:start x="0" y="0"/>
                    <wp:lineTo x="0" y="21695"/>
                    <wp:lineTo x="21635" y="21695"/>
                    <wp:lineTo x="21635" y="0"/>
                    <wp:lineTo x="0"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029460"/>
                        </a:xfrm>
                        <a:prstGeom prst="rect">
                          <a:avLst/>
                        </a:prstGeom>
                        <a:solidFill>
                          <a:schemeClr val="bg1">
                            <a:lumMod val="85000"/>
                          </a:schemeClr>
                        </a:solidFill>
                        <a:ln w="9525">
                          <a:solidFill>
                            <a:srgbClr val="000000"/>
                          </a:solidFill>
                          <a:miter lim="800000"/>
                          <a:headEnd/>
                          <a:tailEnd/>
                        </a:ln>
                      </wps:spPr>
                      <wps:txbx>
                        <w:txbxContent>
                          <w:p w:rsidR="009E54CE" w:rsidRDefault="009E54CE" w:rsidP="009E54CE">
                            <w:pPr>
                              <w:jc w:val="both"/>
                            </w:pPr>
                            <w:r>
                              <w:t>This document is a comparison of the drug poisoning morbidity indicators recommended by the CDC in 2016, and the drug-related morbidity indicators recommended in a June 2016 CSTE white paper.  It is the initial step in a project to examine the validity and functioning of the proposed indicators, and to provide recommendations for their use.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BA44CB" id="_x0000_t202" coordsize="21600,21600" o:spt="202" path="m,l,21600r21600,l21600,xe">
                <v:stroke joinstyle="miter"/>
                <v:path gradientshapeok="t" o:connecttype="rect"/>
              </v:shapetype>
              <v:shape id="Text Box 2" o:spid="_x0000_s1026" type="#_x0000_t202" style="position:absolute;margin-left:271.25pt;margin-top:2.05pt;width:186.95pt;height:159.8pt;z-index:-25165721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" fillcolor="#d8d8d8 [2732]">
                <v:textbox>
                  <w:txbxContent>
                    <w:p w:rsidR="009E54CE" w:rsidRDefault="009E54CE" w:rsidP="009E54CE">
                      <w:pPr>
                        <w:jc w:val="both"/>
                      </w:pPr>
                      <w:r>
                        <w:t>This document is a comparison of the drug poisoning morbidity indicators recommended by the CDC in 2016, and the drug-related morbidity indicators recommended in a June 2016 CSTE white paper.  It is the initial step in a project to examine the validity and functioning of the proposed indicators, and to provide recommendations for their use.</w:t>
                      </w:r>
                    </w:p>
                  </w:txbxContent>
                </v:textbox>
                <w10:wrap type="tight"/>
              </v:shape>
            </w:pict>
          </mc:Fallback>
        </mc:AlternateContent>
      </w:r>
      <w:r w:rsidR="00B77269">
        <w:t>Effective October 1, 2015 the US Department of Health and Human Service</w:t>
      </w:r>
      <w:r w:rsidR="00F9076C">
        <w:t>s</w:t>
      </w:r>
      <w:r w:rsidR="00B77269">
        <w:t>, Center for Medicare and Medicaid Services required a switch of morbidity coding in the United States from the International Classification of Diseases, Ninth Revision, Clinical Modification (</w:t>
      </w:r>
      <w:r w:rsidR="00A66B05">
        <w:t>I</w:t>
      </w:r>
      <w:r w:rsidR="00B77269">
        <w:t xml:space="preserve">CD-9-CM) to the International Classification of Diseases, Ten Revision, Clinical Modification (ICD-10-CM).  </w:t>
      </w:r>
      <w:r w:rsidR="00A72A87">
        <w:t xml:space="preserve">This change was made for a number of reasons, including the updating of outdated medical terminology, increasing the specificity of disease and injury descriptions, and revising the structure to </w:t>
      </w:r>
      <w:r w:rsidR="00F9076C">
        <w:t>facilitate</w:t>
      </w:r>
      <w:r w:rsidR="00A72A87">
        <w:t xml:space="preserve"> future expansion.  </w:t>
      </w:r>
      <w:r w:rsidR="00DB6D5E">
        <w:t xml:space="preserve">These changes resulted in </w:t>
      </w:r>
      <w:r w:rsidR="00E96E90">
        <w:t xml:space="preserve">an </w:t>
      </w:r>
      <w:r w:rsidR="00DB6D5E">
        <w:t>increase in the number of chapters from 17 to 21, and in the number of current codes from about 14,000 to 68,000.  Consequently</w:t>
      </w:r>
      <w:r w:rsidR="00A66B05">
        <w:t>,</w:t>
      </w:r>
      <w:r w:rsidR="00DB6D5E">
        <w:t xml:space="preserve"> there is no simple crosswalk to translate codes used for surveillance from ICD-9</w:t>
      </w:r>
      <w:r w:rsidR="004329D7">
        <w:t>-</w:t>
      </w:r>
      <w:r w:rsidR="00DB6D5E">
        <w:t xml:space="preserve">CM to ICD-10-CM.  </w:t>
      </w:r>
      <w:r w:rsidR="00A72A87">
        <w:t xml:space="preserve"> </w:t>
      </w:r>
    </w:p>
    <w:p w:rsidR="0031208F" w:rsidRDefault="00A72A87">
      <w:r>
        <w:t xml:space="preserve">As a result, </w:t>
      </w:r>
      <w:r w:rsidR="00DB6D5E">
        <w:t xml:space="preserve">epidemiologists from organizations including </w:t>
      </w:r>
      <w:r w:rsidR="00012F28">
        <w:t xml:space="preserve">CSTE, </w:t>
      </w:r>
      <w:r w:rsidR="004329D7">
        <w:t>t</w:t>
      </w:r>
      <w:r w:rsidR="00DB6D5E">
        <w:t>he Safe State</w:t>
      </w:r>
      <w:r w:rsidR="004329D7">
        <w:t>s</w:t>
      </w:r>
      <w:r w:rsidR="00DB6D5E">
        <w:t xml:space="preserve"> Alliance and </w:t>
      </w:r>
      <w:r w:rsidR="00012F28">
        <w:t xml:space="preserve">the </w:t>
      </w:r>
      <w:r w:rsidR="00DB6D5E">
        <w:t xml:space="preserve">National Center for Health Statistics </w:t>
      </w:r>
      <w:r w:rsidR="004329D7">
        <w:t xml:space="preserve">in the Centers for Disease Control and Prevention (CDC) </w:t>
      </w:r>
      <w:r w:rsidR="00DB6D5E">
        <w:t xml:space="preserve">issued guidance documents to assist states and local jurisdictions with implementing the switch to ICD-10-CM. </w:t>
      </w:r>
      <w:r w:rsidR="00012F28">
        <w:t xml:space="preserve"> </w:t>
      </w:r>
      <w:r w:rsidR="0040377E">
        <w:t>In the fall of 2016</w:t>
      </w:r>
      <w:r w:rsidR="00A66B05">
        <w:t>,</w:t>
      </w:r>
      <w:r w:rsidR="0040377E">
        <w:t xml:space="preserve"> CSTE created the CSTE Injury ICD-10-CM Transition Workgroup to use this guidance to </w:t>
      </w:r>
      <w:r w:rsidR="004329D7">
        <w:t xml:space="preserve">explore </w:t>
      </w:r>
      <w:r w:rsidR="0040377E">
        <w:t>state</w:t>
      </w:r>
      <w:r w:rsidR="004329D7">
        <w:t xml:space="preserve">-level </w:t>
      </w:r>
      <w:r w:rsidR="0040377E">
        <w:t xml:space="preserve">data.  This new group met in Atlanta in November 2016 </w:t>
      </w:r>
      <w:r w:rsidR="008C711F">
        <w:t xml:space="preserve">to develop a plan </w:t>
      </w:r>
      <w:r w:rsidR="0040377E">
        <w:t xml:space="preserve">for coordinating a multi-jurisdictional exploration of the </w:t>
      </w:r>
      <w:r w:rsidR="008C711F">
        <w:t xml:space="preserve">ICD-10-CM injury codes.  </w:t>
      </w:r>
      <w:r w:rsidR="004329D7">
        <w:t>O</w:t>
      </w:r>
      <w:r w:rsidR="008C711F">
        <w:t xml:space="preserve">ver 40 epidemiologists and other health professionals </w:t>
      </w:r>
      <w:r w:rsidR="004329D7">
        <w:t xml:space="preserve">were </w:t>
      </w:r>
      <w:r w:rsidR="008C711F">
        <w:t>in attendance, with other attendees joining virtually.  This group has continued to meet by webinars twice monthly.</w:t>
      </w:r>
      <w:r w:rsidR="0031208F">
        <w:t xml:space="preserve">  </w:t>
      </w:r>
      <w:r w:rsidR="008C711F">
        <w:t>One of the early outcomes of these meetings was a desire to work with two CSTE entities that have worked specifically on the development of drug indicators</w:t>
      </w:r>
      <w:r w:rsidR="004329D7">
        <w:t xml:space="preserve"> and are facing challenges due to the transition to ICD-10-CM coding</w:t>
      </w:r>
      <w:r w:rsidR="008C711F">
        <w:t>:  the CSTE Workgroup on Surveillance Indicators for Substance Abuse and Mental Health</w:t>
      </w:r>
      <w:r w:rsidR="00E51E40">
        <w:t xml:space="preserve"> (SAMH)</w:t>
      </w:r>
      <w:r w:rsidR="008C711F">
        <w:t>, and the CSTE Alcohol and Other Drug Subcommittee</w:t>
      </w:r>
      <w:r w:rsidR="00E51E40">
        <w:t xml:space="preserve"> (AOD)</w:t>
      </w:r>
      <w:r w:rsidR="008C711F">
        <w:t>.</w:t>
      </w:r>
      <w:r w:rsidR="00E51E40">
        <w:t xml:space="preserve">  </w:t>
      </w:r>
    </w:p>
    <w:p w:rsidR="008C711F" w:rsidRDefault="00E51E40">
      <w:r>
        <w:t xml:space="preserve">The SAMH </w:t>
      </w:r>
      <w:r w:rsidR="00A66B05">
        <w:t>W</w:t>
      </w:r>
      <w:r>
        <w:t xml:space="preserve">orkgroup was formed in June 2015 with the goal of developing a </w:t>
      </w:r>
      <w:r w:rsidR="00FC4F46">
        <w:t>set</w:t>
      </w:r>
      <w:r>
        <w:t xml:space="preserve"> of surveillance indicators that </w:t>
      </w:r>
      <w:r w:rsidR="00FC4F46">
        <w:t xml:space="preserve">could be generated by </w:t>
      </w:r>
      <w:r>
        <w:t xml:space="preserve">most jurisdictions.  The final product was a white paper </w:t>
      </w:r>
      <w:r w:rsidR="00FC4F46">
        <w:t xml:space="preserve">that listed 18 indicators in three categories: alcohol, other drugs, and mental health.  The other drugs category includes five indicators, including hospitalization rates associated with all drugs with potential for abuse and related sub-indicators associated with specific drugs.  A CSTE Position Statement recommending the collection of these indicators was </w:t>
      </w:r>
      <w:r>
        <w:t>presented and approved at the 2016 CSTE</w:t>
      </w:r>
      <w:r w:rsidR="00A66B05">
        <w:t xml:space="preserve"> Annual Conference</w:t>
      </w:r>
      <w:r>
        <w:t xml:space="preserve"> in Anchorage</w:t>
      </w:r>
      <w:r w:rsidR="00FC4F46">
        <w:t>, Alaska.</w:t>
      </w:r>
    </w:p>
    <w:p w:rsidR="003C560B" w:rsidRDefault="0031208F">
      <w:r>
        <w:t xml:space="preserve">The AOD </w:t>
      </w:r>
      <w:r w:rsidR="00A66B05">
        <w:t>S</w:t>
      </w:r>
      <w:r>
        <w:t xml:space="preserve">ubcommittee was formed in 2010 </w:t>
      </w:r>
      <w:r w:rsidR="00FC4F46">
        <w:t>with the mission of developing indicators for hospitalizations due to alcohol and other drugs</w:t>
      </w:r>
      <w:r>
        <w:t>.  After several years of work and discussion</w:t>
      </w:r>
      <w:r w:rsidR="003C560B">
        <w:t xml:space="preserve">, they finalized a list of ICD-9-CM </w:t>
      </w:r>
      <w:r w:rsidR="00FC4F46">
        <w:t xml:space="preserve">based </w:t>
      </w:r>
      <w:r>
        <w:t xml:space="preserve">indicators for </w:t>
      </w:r>
      <w:r w:rsidR="003C560B">
        <w:t xml:space="preserve">hospitalizations associated with </w:t>
      </w:r>
      <w:r>
        <w:t>alcohol</w:t>
      </w:r>
      <w:r w:rsidR="003C560B">
        <w:t xml:space="preserve">, and a list </w:t>
      </w:r>
      <w:r>
        <w:t xml:space="preserve">for </w:t>
      </w:r>
      <w:r w:rsidR="003C560B">
        <w:lastRenderedPageBreak/>
        <w:t>hospitalization</w:t>
      </w:r>
      <w:r w:rsidR="00920C2D">
        <w:t>s</w:t>
      </w:r>
      <w:r w:rsidR="003C560B">
        <w:t xml:space="preserve"> associated with other drugs with the potential for ab</w:t>
      </w:r>
      <w:r w:rsidR="00FC4F46">
        <w:t>use or dependence</w:t>
      </w:r>
      <w:r w:rsidR="003C560B">
        <w:t>.  Much of the effort revolved around defining which codes were specific enough to conclude that they had the potential for abuse or dependenc</w:t>
      </w:r>
      <w:r w:rsidR="00FC4F46">
        <w:t>e</w:t>
      </w:r>
      <w:r w:rsidR="003C560B">
        <w:t xml:space="preserve">.  The list of recommended ICD-9-CM indicators for other drugs was ultimately adopted by the SAMH </w:t>
      </w:r>
      <w:r w:rsidR="00A66B05">
        <w:t>W</w:t>
      </w:r>
      <w:r w:rsidR="003C560B">
        <w:t xml:space="preserve">orkgroup for their indicator.  </w:t>
      </w:r>
      <w:r w:rsidR="008B6A06">
        <w:t xml:space="preserve">Most recently, the AOD </w:t>
      </w:r>
      <w:r w:rsidR="00A66B05">
        <w:t>S</w:t>
      </w:r>
      <w:r w:rsidR="008B6A06">
        <w:t xml:space="preserve">ubcommittee has </w:t>
      </w:r>
      <w:r w:rsidR="00FC4F46">
        <w:t>been working on translating the</w:t>
      </w:r>
      <w:r w:rsidR="008B6A06">
        <w:t xml:space="preserve"> </w:t>
      </w:r>
      <w:r w:rsidR="00FC4F46">
        <w:t xml:space="preserve">ICD-9-CM </w:t>
      </w:r>
      <w:r w:rsidR="008B6A06">
        <w:t xml:space="preserve">codes </w:t>
      </w:r>
      <w:r w:rsidR="00FC4F46">
        <w:t xml:space="preserve">used in these indicators </w:t>
      </w:r>
      <w:r w:rsidR="008B6A06">
        <w:t xml:space="preserve">into ICD-10-CM codes, and conducting analyses of these codes as a validity check.  The </w:t>
      </w:r>
      <w:r w:rsidR="00FC4F46">
        <w:t xml:space="preserve">draft </w:t>
      </w:r>
      <w:r w:rsidR="008B6A06">
        <w:t xml:space="preserve">list </w:t>
      </w:r>
      <w:r w:rsidR="00FC4F46">
        <w:t>of ICD-10-CM codes was completed</w:t>
      </w:r>
      <w:r w:rsidR="008B6A06">
        <w:t xml:space="preserve"> in March 2017.</w:t>
      </w:r>
    </w:p>
    <w:p w:rsidR="00A005AA" w:rsidRDefault="00A005AA" w:rsidP="00A005AA">
      <w:r>
        <w:t xml:space="preserve">In addition to the drug-related hospitalization indicators discussed above, the CDC has developed six overdose morbidity indicators required to be reported by Prevention for States </w:t>
      </w:r>
      <w:r w:rsidR="00920C2D">
        <w:t xml:space="preserve">(PfS) </w:t>
      </w:r>
      <w:r>
        <w:t xml:space="preserve">and Data Driven Prevention Initiative </w:t>
      </w:r>
      <w:r w:rsidR="00920C2D">
        <w:t>(</w:t>
      </w:r>
      <w:r>
        <w:t>DDPI) awardees. The six indicators were originally released as part of the “Prevention for States Opioid Overdose Support Toolkit” in July of 2016. In March of 2017, the CDC released toolkit Version 2.0, “CDC’s Opioid Overdose Indicator Support Toolkit,” along with a provisional transition guidance document with proposed ICD-10-CM codes for each of the 6 indicators. At the present time, the guidance includes overall drug poisoning indicators and opioid overdose sub-indicators for both emergency department and hospital discharge data. The six indicators are “</w:t>
      </w:r>
      <w:r w:rsidRPr="00F02105">
        <w:t>All drug overdose emergency department visits</w:t>
      </w:r>
      <w:r>
        <w:t>,” “</w:t>
      </w:r>
      <w:r w:rsidRPr="00F02105">
        <w:t>Emergency department visits involving opioid overdose excluding heroin</w:t>
      </w:r>
      <w:r>
        <w:t>,” “</w:t>
      </w:r>
      <w:r w:rsidRPr="00F02105">
        <w:t>Emergency department visits involving heroin overdose</w:t>
      </w:r>
      <w:r>
        <w:t>,” “</w:t>
      </w:r>
      <w:r w:rsidRPr="00F02105">
        <w:t>All drug overdose hospitalizations</w:t>
      </w:r>
      <w:r>
        <w:t>” “</w:t>
      </w:r>
      <w:r w:rsidRPr="00F02105">
        <w:t>Hospitalizations involving opioid overdose excluding heroin</w:t>
      </w:r>
      <w:r>
        <w:t>,” and “</w:t>
      </w:r>
      <w:r w:rsidRPr="00F02105">
        <w:t>Hospitalizations involving heroin</w:t>
      </w:r>
      <w:r w:rsidR="009E54CE">
        <w:t xml:space="preserve"> overdose</w:t>
      </w:r>
      <w:r>
        <w:t>.”</w:t>
      </w:r>
    </w:p>
    <w:p w:rsidR="00A005AA" w:rsidRPr="00C85B16" w:rsidRDefault="00A005AA" w:rsidP="00A005AA">
      <w:pPr>
        <w:jc w:val="center"/>
        <w:rPr>
          <w:b/>
        </w:rPr>
      </w:pPr>
      <w:r w:rsidRPr="00C85B16">
        <w:rPr>
          <w:b/>
        </w:rPr>
        <w:t>Initial Findings</w:t>
      </w:r>
    </w:p>
    <w:p w:rsidR="002A1E55" w:rsidRDefault="008B6A06">
      <w:r>
        <w:t xml:space="preserve">This </w:t>
      </w:r>
      <w:r w:rsidR="00E95934">
        <w:t xml:space="preserve">first phase of the </w:t>
      </w:r>
      <w:r w:rsidR="00E95934" w:rsidRPr="00E95934">
        <w:t>CSTE ICD-10-CM Drug Poisoning Indicators Workgroup</w:t>
      </w:r>
      <w:r>
        <w:t xml:space="preserve"> </w:t>
      </w:r>
      <w:r w:rsidR="002746DE">
        <w:t xml:space="preserve">project </w:t>
      </w:r>
      <w:r>
        <w:t>is an examin</w:t>
      </w:r>
      <w:r w:rsidR="00E95934">
        <w:t>ation of</w:t>
      </w:r>
      <w:r>
        <w:t xml:space="preserve"> the differences between </w:t>
      </w:r>
      <w:r w:rsidR="00E95934">
        <w:t>the current CSTE and PfS</w:t>
      </w:r>
      <w:r w:rsidR="00E254EC">
        <w:t>/DDPI</w:t>
      </w:r>
      <w:r w:rsidR="00E95934">
        <w:t xml:space="preserve"> indicators.  </w:t>
      </w:r>
      <w:r w:rsidR="006537B9">
        <w:t>Among the major differences are:  the PfS/DDPI indicators include both hospitalizations and emergency department visits</w:t>
      </w:r>
      <w:r w:rsidR="008B42F4">
        <w:t>,</w:t>
      </w:r>
      <w:r w:rsidR="006537B9">
        <w:t xml:space="preserve"> whereas the CSTE indicators include only hospitalizations; the PfS/DDPI indicators include only overdose/poisonings, compared to the CSTE indicators which </w:t>
      </w:r>
      <w:r w:rsidR="004E40A9">
        <w:t xml:space="preserve">also </w:t>
      </w:r>
      <w:r w:rsidR="006537B9">
        <w:t xml:space="preserve">include hospitalizations </w:t>
      </w:r>
      <w:r w:rsidR="004E40A9">
        <w:t>for drug abuse and dependence, mental and behavioral disorders due to psychoactive drug use, and drug-related problems related to pregnancy or childbirth; the PfS/DDPI overall indicator includes all poisonings related to drugs, medicinals and biologics, whereas the poisoning codes in the CSTE overall indicator are limited to substances with the potential for abuse or dependency; the PfS/DDPI sub-indicators are limited to opioid poisonings, compared to the CSTE indicators which also include</w:t>
      </w:r>
      <w:r w:rsidR="008B42F4">
        <w:t xml:space="preserve"> </w:t>
      </w:r>
      <w:r w:rsidR="004E40A9">
        <w:t>cocaine</w:t>
      </w:r>
      <w:r w:rsidR="008B42F4">
        <w:t>, benzodiazepines and amphetamines.</w:t>
      </w:r>
      <w:r w:rsidR="004E40A9">
        <w:t xml:space="preserve">  </w:t>
      </w:r>
    </w:p>
    <w:p w:rsidR="008B6A06" w:rsidRDefault="00E95934">
      <w:r>
        <w:t xml:space="preserve">These differences are displayed in the </w:t>
      </w:r>
      <w:r w:rsidR="002746DE">
        <w:t xml:space="preserve">summary comparison below, with details in the </w:t>
      </w:r>
      <w:r>
        <w:t xml:space="preserve">following </w:t>
      </w:r>
      <w:r w:rsidR="002746DE">
        <w:t xml:space="preserve">numbered </w:t>
      </w:r>
      <w:r>
        <w:t>tab</w:t>
      </w:r>
      <w:r w:rsidR="002746DE">
        <w:t>les</w:t>
      </w:r>
      <w:r w:rsidR="007C2C45">
        <w:t>.</w:t>
      </w:r>
    </w:p>
    <w:p w:rsidR="009D403D" w:rsidRDefault="009D403D">
      <w:pPr>
        <w:rPr>
          <w:b/>
        </w:rPr>
      </w:pPr>
      <w:r>
        <w:rPr>
          <w:b/>
        </w:rPr>
        <w:br w:type="page"/>
      </w:r>
    </w:p>
    <w:p w:rsidR="00776BC4" w:rsidRPr="00694DC8" w:rsidRDefault="00776BC4">
      <w:pPr>
        <w:rPr>
          <w:b/>
        </w:rPr>
      </w:pPr>
      <w:r w:rsidRPr="00694DC8">
        <w:rPr>
          <w:b/>
        </w:rPr>
        <w:lastRenderedPageBreak/>
        <w:t>Summary comparison of the PfS</w:t>
      </w:r>
      <w:r w:rsidR="00E254EC">
        <w:rPr>
          <w:b/>
        </w:rPr>
        <w:t>/DDPI</w:t>
      </w:r>
      <w:r w:rsidRPr="00694DC8">
        <w:rPr>
          <w:b/>
        </w:rPr>
        <w:t xml:space="preserve"> and CSTE SAMH Workgroup/AOD Subcommittee recommended indicators</w:t>
      </w:r>
    </w:p>
    <w:tbl>
      <w:tblPr>
        <w:tblStyle w:val="TableGrid"/>
        <w:tblW w:w="0" w:type="auto"/>
        <w:tblLook w:val="04A0" w:firstRow="1" w:lastRow="0" w:firstColumn="1" w:lastColumn="0" w:noHBand="0" w:noVBand="1"/>
      </w:tblPr>
      <w:tblGrid>
        <w:gridCol w:w="2628"/>
        <w:gridCol w:w="3330"/>
        <w:gridCol w:w="3618"/>
      </w:tblGrid>
      <w:tr w:rsidR="00776BC4" w:rsidRPr="00776BC4" w:rsidTr="00831E64">
        <w:tc>
          <w:tcPr>
            <w:tcW w:w="2628" w:type="dxa"/>
          </w:tcPr>
          <w:p w:rsidR="00776BC4" w:rsidRPr="00776BC4" w:rsidRDefault="00776BC4" w:rsidP="00776BC4">
            <w:pPr>
              <w:jc w:val="center"/>
              <w:rPr>
                <w:b/>
              </w:rPr>
            </w:pPr>
          </w:p>
        </w:tc>
        <w:tc>
          <w:tcPr>
            <w:tcW w:w="3330" w:type="dxa"/>
          </w:tcPr>
          <w:p w:rsidR="00776BC4" w:rsidRPr="00776BC4" w:rsidRDefault="00776BC4" w:rsidP="00026A45">
            <w:pPr>
              <w:ind w:left="-108"/>
              <w:jc w:val="center"/>
              <w:rPr>
                <w:b/>
              </w:rPr>
            </w:pPr>
            <w:r w:rsidRPr="00776BC4">
              <w:rPr>
                <w:b/>
              </w:rPr>
              <w:t>PfS</w:t>
            </w:r>
            <w:r w:rsidR="00D341F6">
              <w:rPr>
                <w:b/>
              </w:rPr>
              <w:t>/DDPI</w:t>
            </w:r>
            <w:r w:rsidRPr="00776BC4">
              <w:rPr>
                <w:b/>
              </w:rPr>
              <w:t xml:space="preserve"> recommendations</w:t>
            </w:r>
          </w:p>
        </w:tc>
        <w:tc>
          <w:tcPr>
            <w:tcW w:w="3618" w:type="dxa"/>
          </w:tcPr>
          <w:p w:rsidR="00776BC4" w:rsidRPr="00776BC4" w:rsidRDefault="00776BC4" w:rsidP="00776BC4">
            <w:pPr>
              <w:jc w:val="center"/>
              <w:rPr>
                <w:b/>
              </w:rPr>
            </w:pPr>
            <w:r w:rsidRPr="00776BC4">
              <w:rPr>
                <w:b/>
              </w:rPr>
              <w:t>CSTE recommendations</w:t>
            </w:r>
          </w:p>
        </w:tc>
      </w:tr>
      <w:tr w:rsidR="00776BC4" w:rsidTr="00831E64">
        <w:tc>
          <w:tcPr>
            <w:tcW w:w="2628" w:type="dxa"/>
            <w:vAlign w:val="center"/>
          </w:tcPr>
          <w:p w:rsidR="00776BC4" w:rsidRDefault="00776BC4" w:rsidP="00026A45">
            <w:pPr>
              <w:jc w:val="center"/>
            </w:pPr>
            <w:r>
              <w:t>Purpose of recommendations</w:t>
            </w:r>
          </w:p>
        </w:tc>
        <w:tc>
          <w:tcPr>
            <w:tcW w:w="3330" w:type="dxa"/>
            <w:vAlign w:val="center"/>
          </w:tcPr>
          <w:p w:rsidR="00776BC4" w:rsidRDefault="00776BC4" w:rsidP="00026A45">
            <w:pPr>
              <w:jc w:val="center"/>
            </w:pPr>
            <w:r>
              <w:t>Surveillance of all poisonings by drugs, medicinals and biological substances within the injury hospitalization category</w:t>
            </w:r>
          </w:p>
        </w:tc>
        <w:tc>
          <w:tcPr>
            <w:tcW w:w="3618" w:type="dxa"/>
            <w:vAlign w:val="center"/>
          </w:tcPr>
          <w:p w:rsidR="00776BC4" w:rsidRDefault="00776BC4" w:rsidP="00722601">
            <w:pPr>
              <w:jc w:val="center"/>
            </w:pPr>
            <w:r>
              <w:t>Surveillance of hospitalizations attributed to or associated with drugs with potential for abuse or dependence</w:t>
            </w:r>
          </w:p>
        </w:tc>
      </w:tr>
      <w:tr w:rsidR="00776BC4" w:rsidTr="00831E64">
        <w:tc>
          <w:tcPr>
            <w:tcW w:w="2628" w:type="dxa"/>
            <w:vAlign w:val="center"/>
          </w:tcPr>
          <w:p w:rsidR="00776BC4" w:rsidRDefault="00776BC4" w:rsidP="00026A45">
            <w:pPr>
              <w:jc w:val="center"/>
            </w:pPr>
            <w:r>
              <w:t>Breadth of the relevant codes for the overall indicator</w:t>
            </w:r>
          </w:p>
        </w:tc>
        <w:tc>
          <w:tcPr>
            <w:tcW w:w="3330" w:type="dxa"/>
            <w:vAlign w:val="center"/>
          </w:tcPr>
          <w:p w:rsidR="00776BC4" w:rsidRDefault="00776BC4" w:rsidP="00026A45">
            <w:pPr>
              <w:jc w:val="center"/>
            </w:pPr>
            <w:r>
              <w:t>Very broad within the poisoning categories</w:t>
            </w:r>
            <w:r w:rsidR="00026A45">
              <w:t xml:space="preserve"> (ICD-9-CM 960-979 and E850-858; ICD-10-CM T36-T50</w:t>
            </w:r>
            <w:r w:rsidR="006F3397">
              <w:t>)</w:t>
            </w:r>
          </w:p>
        </w:tc>
        <w:tc>
          <w:tcPr>
            <w:tcW w:w="3618" w:type="dxa"/>
            <w:vAlign w:val="center"/>
          </w:tcPr>
          <w:p w:rsidR="00776BC4" w:rsidRDefault="00026A45" w:rsidP="00026A45">
            <w:pPr>
              <w:jc w:val="center"/>
            </w:pPr>
            <w:r>
              <w:t>More focused on drugs of abuse within the poisoning category.  Also includes codes in mental health disorder, drug-dependency, and pregnancy/newborn categories.</w:t>
            </w:r>
          </w:p>
        </w:tc>
      </w:tr>
      <w:tr w:rsidR="00776BC4" w:rsidTr="00831E64">
        <w:tc>
          <w:tcPr>
            <w:tcW w:w="2628" w:type="dxa"/>
            <w:vAlign w:val="center"/>
          </w:tcPr>
          <w:p w:rsidR="00776BC4" w:rsidRDefault="006F3397" w:rsidP="006F3397">
            <w:r>
              <w:t>Includes:</w:t>
            </w:r>
          </w:p>
          <w:p w:rsidR="006F3397" w:rsidRDefault="006F3397" w:rsidP="006F3397">
            <w:r>
              <w:t>ICD-9-CM hospital codes</w:t>
            </w:r>
          </w:p>
          <w:p w:rsidR="006F3397" w:rsidRDefault="006F3397" w:rsidP="006F3397">
            <w:r>
              <w:t>ICD-10-CM hospital codes</w:t>
            </w:r>
          </w:p>
          <w:p w:rsidR="006F3397" w:rsidRDefault="006F3397" w:rsidP="006F3397">
            <w:r>
              <w:t>ICD-9-CM ED codes</w:t>
            </w:r>
          </w:p>
          <w:p w:rsidR="006F3397" w:rsidRDefault="006F3397" w:rsidP="006F3397">
            <w:r>
              <w:t>ICD-10-CM ED codes</w:t>
            </w:r>
          </w:p>
        </w:tc>
        <w:tc>
          <w:tcPr>
            <w:tcW w:w="3330" w:type="dxa"/>
          </w:tcPr>
          <w:p w:rsidR="00776BC4" w:rsidRDefault="00776BC4" w:rsidP="006F3397">
            <w:pPr>
              <w:jc w:val="center"/>
            </w:pPr>
          </w:p>
          <w:p w:rsidR="006F3397" w:rsidRDefault="006F3397" w:rsidP="006F3397">
            <w:pPr>
              <w:jc w:val="center"/>
            </w:pPr>
            <w:r>
              <w:t>YES</w:t>
            </w:r>
          </w:p>
          <w:p w:rsidR="006F3397" w:rsidRDefault="006F3397" w:rsidP="006F3397">
            <w:pPr>
              <w:jc w:val="center"/>
            </w:pPr>
            <w:r>
              <w:t>YES</w:t>
            </w:r>
          </w:p>
          <w:p w:rsidR="006F3397" w:rsidRDefault="006F3397" w:rsidP="006F3397">
            <w:pPr>
              <w:jc w:val="center"/>
            </w:pPr>
            <w:r>
              <w:t>YES (same as hospital codes)</w:t>
            </w:r>
          </w:p>
          <w:p w:rsidR="006F3397" w:rsidRDefault="006F3397" w:rsidP="006F3397">
            <w:pPr>
              <w:jc w:val="center"/>
            </w:pPr>
            <w:r>
              <w:t>YES (same as hospital codes)</w:t>
            </w:r>
          </w:p>
        </w:tc>
        <w:tc>
          <w:tcPr>
            <w:tcW w:w="3618" w:type="dxa"/>
          </w:tcPr>
          <w:p w:rsidR="00776BC4" w:rsidRDefault="00776BC4" w:rsidP="006F3397">
            <w:pPr>
              <w:jc w:val="center"/>
            </w:pPr>
          </w:p>
          <w:p w:rsidR="006F3397" w:rsidRDefault="00722601" w:rsidP="006F3397">
            <w:pPr>
              <w:jc w:val="center"/>
            </w:pPr>
            <w:r>
              <w:t>YES (SAMH &amp; AOD</w:t>
            </w:r>
            <w:r w:rsidR="006F3397">
              <w:t>)</w:t>
            </w:r>
          </w:p>
          <w:p w:rsidR="006F3397" w:rsidRDefault="006F3397" w:rsidP="006F3397">
            <w:pPr>
              <w:jc w:val="center"/>
            </w:pPr>
            <w:r>
              <w:t>YES (AOD)</w:t>
            </w:r>
          </w:p>
          <w:p w:rsidR="006F3397" w:rsidRDefault="006F3397" w:rsidP="006F3397">
            <w:pPr>
              <w:jc w:val="center"/>
            </w:pPr>
            <w:r>
              <w:t>NO</w:t>
            </w:r>
          </w:p>
          <w:p w:rsidR="006F3397" w:rsidRDefault="006F3397" w:rsidP="006F3397">
            <w:pPr>
              <w:jc w:val="center"/>
            </w:pPr>
            <w:r>
              <w:t>NO</w:t>
            </w:r>
          </w:p>
        </w:tc>
      </w:tr>
      <w:tr w:rsidR="00776BC4" w:rsidTr="00831E64">
        <w:tc>
          <w:tcPr>
            <w:tcW w:w="2628" w:type="dxa"/>
          </w:tcPr>
          <w:p w:rsidR="00776BC4" w:rsidRDefault="006F3397" w:rsidP="00641BA6">
            <w:r>
              <w:t>Sub</w:t>
            </w:r>
            <w:r w:rsidR="00831E64">
              <w:t>-</w:t>
            </w:r>
            <w:r>
              <w:t>indicators</w:t>
            </w:r>
            <w:r w:rsidR="00831E64">
              <w:t xml:space="preserve"> (poisoning)</w:t>
            </w:r>
            <w:r>
              <w:t>:</w:t>
            </w:r>
          </w:p>
          <w:p w:rsidR="006F3397" w:rsidRDefault="00831E64" w:rsidP="00641BA6">
            <w:r>
              <w:t>Heroin poisoning</w:t>
            </w:r>
          </w:p>
          <w:p w:rsidR="00831E64" w:rsidRDefault="00831E64" w:rsidP="00641BA6">
            <w:r>
              <w:t>Other opioid poisoning</w:t>
            </w:r>
          </w:p>
          <w:p w:rsidR="00831E64" w:rsidRDefault="00831E64" w:rsidP="00641BA6">
            <w:r>
              <w:t>Cocaine poisoning</w:t>
            </w:r>
          </w:p>
          <w:p w:rsidR="00831E64" w:rsidRDefault="00831E64" w:rsidP="00641BA6">
            <w:r>
              <w:t>Benzodiazepine poisoning</w:t>
            </w:r>
          </w:p>
          <w:p w:rsidR="00831E64" w:rsidRDefault="00831E64" w:rsidP="00641BA6">
            <w:r>
              <w:t>Amphetamine poisoning</w:t>
            </w:r>
          </w:p>
        </w:tc>
        <w:tc>
          <w:tcPr>
            <w:tcW w:w="3330" w:type="dxa"/>
          </w:tcPr>
          <w:p w:rsidR="00776BC4" w:rsidRDefault="00776BC4" w:rsidP="00831E64">
            <w:pPr>
              <w:jc w:val="center"/>
            </w:pPr>
          </w:p>
          <w:p w:rsidR="00831E64" w:rsidRDefault="00831E64" w:rsidP="00831E64">
            <w:pPr>
              <w:jc w:val="center"/>
            </w:pPr>
            <w:r>
              <w:t>YES (same as CSTE)</w:t>
            </w:r>
          </w:p>
          <w:p w:rsidR="00831E64" w:rsidRDefault="00831E64" w:rsidP="00831E64">
            <w:pPr>
              <w:jc w:val="center"/>
            </w:pPr>
            <w:r>
              <w:t>YES (same as CSTE)</w:t>
            </w:r>
          </w:p>
          <w:p w:rsidR="00831E64" w:rsidRDefault="00831E64" w:rsidP="00831E64">
            <w:pPr>
              <w:jc w:val="center"/>
            </w:pPr>
            <w:r>
              <w:t>NO</w:t>
            </w:r>
          </w:p>
          <w:p w:rsidR="00831E64" w:rsidRDefault="00831E64" w:rsidP="00831E64">
            <w:pPr>
              <w:jc w:val="center"/>
            </w:pPr>
            <w:r>
              <w:t>NO</w:t>
            </w:r>
          </w:p>
          <w:p w:rsidR="00831E64" w:rsidRDefault="00831E64" w:rsidP="00831E64">
            <w:pPr>
              <w:jc w:val="center"/>
            </w:pPr>
            <w:r>
              <w:t>NO</w:t>
            </w:r>
          </w:p>
        </w:tc>
        <w:tc>
          <w:tcPr>
            <w:tcW w:w="3618" w:type="dxa"/>
          </w:tcPr>
          <w:p w:rsidR="00776BC4" w:rsidRDefault="00776BC4" w:rsidP="00831E64">
            <w:pPr>
              <w:jc w:val="center"/>
            </w:pPr>
          </w:p>
          <w:p w:rsidR="00831E64" w:rsidRDefault="00831E64" w:rsidP="00831E64">
            <w:pPr>
              <w:jc w:val="center"/>
            </w:pPr>
            <w:r>
              <w:t>YES (same as PfS</w:t>
            </w:r>
            <w:r w:rsidR="00D341F6">
              <w:t>/DDPI</w:t>
            </w:r>
            <w:r>
              <w:t>)</w:t>
            </w:r>
          </w:p>
          <w:p w:rsidR="00831E64" w:rsidRDefault="00831E64" w:rsidP="00831E64">
            <w:pPr>
              <w:jc w:val="center"/>
            </w:pPr>
            <w:r>
              <w:t>YES (same as PfS</w:t>
            </w:r>
            <w:r w:rsidR="00D341F6">
              <w:t>/DDPI</w:t>
            </w:r>
            <w:r>
              <w:t>)</w:t>
            </w:r>
          </w:p>
          <w:p w:rsidR="00831E64" w:rsidRDefault="00831E64" w:rsidP="00831E64">
            <w:pPr>
              <w:jc w:val="center"/>
            </w:pPr>
            <w:r>
              <w:t>YES</w:t>
            </w:r>
          </w:p>
          <w:p w:rsidR="00831E64" w:rsidRDefault="00831E64" w:rsidP="00831E64">
            <w:pPr>
              <w:jc w:val="center"/>
            </w:pPr>
            <w:r>
              <w:t>YES</w:t>
            </w:r>
          </w:p>
          <w:p w:rsidR="00831E64" w:rsidRDefault="00831E64" w:rsidP="00831E64">
            <w:pPr>
              <w:jc w:val="center"/>
            </w:pPr>
            <w:r>
              <w:t>YES</w:t>
            </w:r>
          </w:p>
        </w:tc>
      </w:tr>
      <w:tr w:rsidR="00776BC4" w:rsidTr="00831E64">
        <w:tc>
          <w:tcPr>
            <w:tcW w:w="2628" w:type="dxa"/>
            <w:vAlign w:val="center"/>
          </w:tcPr>
          <w:p w:rsidR="00776BC4" w:rsidRDefault="00831E64" w:rsidP="00831E64">
            <w:r>
              <w:t>Sub-indicators (dependency and abuse):</w:t>
            </w:r>
          </w:p>
          <w:p w:rsidR="00831E64" w:rsidRDefault="00831E64" w:rsidP="00831E64">
            <w:r>
              <w:t>Cocaine depend/abuse</w:t>
            </w:r>
          </w:p>
          <w:p w:rsidR="00831E64" w:rsidRDefault="00831E64" w:rsidP="00831E64">
            <w:r>
              <w:t>Opioid dependence/abuse</w:t>
            </w:r>
          </w:p>
        </w:tc>
        <w:tc>
          <w:tcPr>
            <w:tcW w:w="3330" w:type="dxa"/>
          </w:tcPr>
          <w:p w:rsidR="00831E64" w:rsidRDefault="00831E64" w:rsidP="00831E64">
            <w:pPr>
              <w:jc w:val="center"/>
            </w:pPr>
          </w:p>
          <w:p w:rsidR="00831E64" w:rsidRDefault="00831E64" w:rsidP="00831E64">
            <w:pPr>
              <w:jc w:val="center"/>
            </w:pPr>
          </w:p>
          <w:p w:rsidR="00831E64" w:rsidRDefault="00831E64" w:rsidP="00831E64">
            <w:pPr>
              <w:jc w:val="center"/>
            </w:pPr>
            <w:r>
              <w:t>NO</w:t>
            </w:r>
          </w:p>
          <w:p w:rsidR="00776BC4" w:rsidRDefault="00831E64" w:rsidP="00831E64">
            <w:pPr>
              <w:jc w:val="center"/>
            </w:pPr>
            <w:r>
              <w:t>NO</w:t>
            </w:r>
          </w:p>
        </w:tc>
        <w:tc>
          <w:tcPr>
            <w:tcW w:w="3618" w:type="dxa"/>
          </w:tcPr>
          <w:p w:rsidR="00831E64" w:rsidRDefault="00641BA6" w:rsidP="00641BA6">
            <w:pPr>
              <w:jc w:val="center"/>
            </w:pPr>
            <w:r>
              <w:t>Both included in ICD-9-CM for overall and sub-indicators.  Currently included in ICD-10-CM for overall, but not recommended for sub-indicators</w:t>
            </w:r>
          </w:p>
        </w:tc>
      </w:tr>
      <w:tr w:rsidR="006F67DB" w:rsidTr="00E14B91">
        <w:tc>
          <w:tcPr>
            <w:tcW w:w="2628" w:type="dxa"/>
            <w:vAlign w:val="center"/>
          </w:tcPr>
          <w:p w:rsidR="006F67DB" w:rsidRDefault="006F67DB" w:rsidP="00831E64">
            <w:r>
              <w:t>ICD-9-CM Diagnostic codes</w:t>
            </w:r>
          </w:p>
        </w:tc>
        <w:tc>
          <w:tcPr>
            <w:tcW w:w="3330" w:type="dxa"/>
            <w:vAlign w:val="center"/>
          </w:tcPr>
          <w:p w:rsidR="006F67DB" w:rsidRDefault="006F67DB" w:rsidP="00E14B91">
            <w:pPr>
              <w:jc w:val="center"/>
            </w:pPr>
            <w:r>
              <w:t xml:space="preserve">Principal </w:t>
            </w:r>
            <w:r w:rsidR="00E14B91">
              <w:t xml:space="preserve">diagnostic </w:t>
            </w:r>
            <w:r>
              <w:t>code OR first listed E-code</w:t>
            </w:r>
          </w:p>
        </w:tc>
        <w:tc>
          <w:tcPr>
            <w:tcW w:w="3618" w:type="dxa"/>
          </w:tcPr>
          <w:p w:rsidR="009E4B9F" w:rsidRDefault="009E4B9F" w:rsidP="00641BA6">
            <w:pPr>
              <w:jc w:val="center"/>
            </w:pPr>
            <w:r>
              <w:t>AOD same as PfS/DDPI</w:t>
            </w:r>
          </w:p>
          <w:p w:rsidR="006F67DB" w:rsidRDefault="006F67DB" w:rsidP="00641BA6">
            <w:pPr>
              <w:jc w:val="center"/>
            </w:pPr>
            <w:r>
              <w:t>SAMH list</w:t>
            </w:r>
            <w:r w:rsidR="009E4B9F">
              <w:t>s</w:t>
            </w:r>
            <w:r>
              <w:t xml:space="preserve"> include two options: </w:t>
            </w:r>
          </w:p>
          <w:p w:rsidR="006F67DB" w:rsidRDefault="00E14B91" w:rsidP="00641BA6">
            <w:pPr>
              <w:jc w:val="center"/>
            </w:pPr>
            <w:r>
              <w:t xml:space="preserve">(A) </w:t>
            </w:r>
            <w:r w:rsidR="006F67DB">
              <w:t>Principal code OR first listed E-code</w:t>
            </w:r>
          </w:p>
          <w:p w:rsidR="00E14B91" w:rsidRDefault="00E14B91" w:rsidP="00E14B91">
            <w:pPr>
              <w:jc w:val="center"/>
            </w:pPr>
            <w:r>
              <w:t>(B) Any diagnoses codes OR E-code listed</w:t>
            </w:r>
          </w:p>
        </w:tc>
      </w:tr>
      <w:tr w:rsidR="00E14B91" w:rsidTr="001C6431">
        <w:tc>
          <w:tcPr>
            <w:tcW w:w="2628" w:type="dxa"/>
            <w:vAlign w:val="center"/>
          </w:tcPr>
          <w:p w:rsidR="00E14B91" w:rsidRDefault="00E14B91" w:rsidP="00831E64">
            <w:r>
              <w:t>ICD-10-CM Diagnostic codes</w:t>
            </w:r>
          </w:p>
        </w:tc>
        <w:tc>
          <w:tcPr>
            <w:tcW w:w="3330" w:type="dxa"/>
            <w:vAlign w:val="center"/>
          </w:tcPr>
          <w:p w:rsidR="00E14B91" w:rsidRDefault="00E14B91" w:rsidP="00E14B91">
            <w:pPr>
              <w:jc w:val="center"/>
            </w:pPr>
            <w:r>
              <w:t>Principal diagnostic code</w:t>
            </w:r>
          </w:p>
        </w:tc>
        <w:tc>
          <w:tcPr>
            <w:tcW w:w="3618" w:type="dxa"/>
            <w:vAlign w:val="center"/>
          </w:tcPr>
          <w:p w:rsidR="00E14B91" w:rsidRDefault="009E4B9F" w:rsidP="0099785F">
            <w:pPr>
              <w:jc w:val="center"/>
            </w:pPr>
            <w:r>
              <w:t xml:space="preserve">AOD:  </w:t>
            </w:r>
            <w:r w:rsidR="00E14B91">
              <w:t>Principal diagnostic code</w:t>
            </w:r>
          </w:p>
          <w:p w:rsidR="009E4B9F" w:rsidRDefault="009E4B9F" w:rsidP="0099785F">
            <w:pPr>
              <w:jc w:val="center"/>
            </w:pPr>
            <w:r>
              <w:t>SAMH:  NA</w:t>
            </w:r>
          </w:p>
        </w:tc>
      </w:tr>
    </w:tbl>
    <w:p w:rsidR="00831C25" w:rsidRDefault="00831C25">
      <w:pPr>
        <w:rPr>
          <w:b/>
        </w:rPr>
      </w:pPr>
      <w:r>
        <w:rPr>
          <w:b/>
        </w:rPr>
        <w:br w:type="page"/>
      </w:r>
    </w:p>
    <w:p w:rsidR="00831C25" w:rsidRDefault="00831C25" w:rsidP="00AD50CD">
      <w:pPr>
        <w:jc w:val="center"/>
        <w:rPr>
          <w:b/>
        </w:rPr>
      </w:pPr>
      <w:r>
        <w:rPr>
          <w:b/>
        </w:rPr>
        <w:lastRenderedPageBreak/>
        <w:t>List of Numbered Tables</w:t>
      </w:r>
    </w:p>
    <w:p w:rsidR="00AD50CD" w:rsidRDefault="00AD50CD" w:rsidP="00694DC8">
      <w:pPr>
        <w:rPr>
          <w:b/>
        </w:rPr>
      </w:pPr>
    </w:p>
    <w:p w:rsidR="00831C25" w:rsidRDefault="00831C25" w:rsidP="00694DC8">
      <w:pPr>
        <w:rPr>
          <w:b/>
        </w:rPr>
      </w:pPr>
      <w:r>
        <w:rPr>
          <w:b/>
        </w:rPr>
        <w:t>Table 1a</w:t>
      </w:r>
      <w:r w:rsidRPr="00C84A59">
        <w:rPr>
          <w:b/>
        </w:rPr>
        <w:t xml:space="preserve">.  </w:t>
      </w:r>
      <w:r w:rsidR="00805C48">
        <w:rPr>
          <w:b/>
        </w:rPr>
        <w:t>Overall</w:t>
      </w:r>
      <w:r w:rsidRPr="00C84A59">
        <w:rPr>
          <w:b/>
        </w:rPr>
        <w:t xml:space="preserve"> Drug-Related Hospitalization</w:t>
      </w:r>
      <w:r w:rsidR="00805C48">
        <w:rPr>
          <w:b/>
        </w:rPr>
        <w:t xml:space="preserve"> Indicators</w:t>
      </w:r>
      <w:r w:rsidRPr="00C84A59">
        <w:rPr>
          <w:b/>
        </w:rPr>
        <w:t>:  ICD-9-CM</w:t>
      </w:r>
      <w:r>
        <w:rPr>
          <w:b/>
        </w:rPr>
        <w:t xml:space="preserve"> </w:t>
      </w:r>
      <w:r w:rsidR="00E96E90">
        <w:rPr>
          <w:b/>
        </w:rPr>
        <w:t xml:space="preserve">Diagnostic </w:t>
      </w:r>
      <w:r>
        <w:rPr>
          <w:b/>
        </w:rPr>
        <w:t>Codes</w:t>
      </w:r>
    </w:p>
    <w:p w:rsidR="00831C25" w:rsidRPr="00795577" w:rsidRDefault="00831C25" w:rsidP="00831C25">
      <w:pPr>
        <w:rPr>
          <w:b/>
        </w:rPr>
      </w:pPr>
      <w:r w:rsidRPr="00795577">
        <w:rPr>
          <w:b/>
        </w:rPr>
        <w:t xml:space="preserve">Table 1b.  </w:t>
      </w:r>
      <w:r w:rsidR="00805C48">
        <w:rPr>
          <w:b/>
        </w:rPr>
        <w:t xml:space="preserve">Overall </w:t>
      </w:r>
      <w:r w:rsidRPr="00795577">
        <w:rPr>
          <w:b/>
        </w:rPr>
        <w:t>Drug-Related Hospitalization</w:t>
      </w:r>
      <w:r w:rsidR="00805C48">
        <w:rPr>
          <w:b/>
        </w:rPr>
        <w:t xml:space="preserve"> Indicators</w:t>
      </w:r>
      <w:r w:rsidRPr="00795577">
        <w:rPr>
          <w:b/>
        </w:rPr>
        <w:t>:  ICD-9-CM External Cause of Injury Codes</w:t>
      </w:r>
      <w:r>
        <w:rPr>
          <w:b/>
        </w:rPr>
        <w:t xml:space="preserve"> </w:t>
      </w:r>
    </w:p>
    <w:p w:rsidR="00694DC8" w:rsidRDefault="00831C25" w:rsidP="00AD50CD">
      <w:pPr>
        <w:ind w:left="720"/>
      </w:pPr>
      <w:r w:rsidRPr="00831C25">
        <w:rPr>
          <w:b/>
        </w:rPr>
        <w:t>NOTE:</w:t>
      </w:r>
      <w:r>
        <w:t xml:space="preserve">  </w:t>
      </w:r>
      <w:r w:rsidR="00694DC8">
        <w:t>For both sets of recommendations, a case is defined as having a principal diagnosis of one of the IDC-9</w:t>
      </w:r>
      <w:r w:rsidR="00C00B1B">
        <w:t>-CM</w:t>
      </w:r>
      <w:r w:rsidR="00694DC8">
        <w:t xml:space="preserve"> codes in table 1a OR a first-listed E</w:t>
      </w:r>
      <w:r w:rsidR="003B4F59">
        <w:t>-</w:t>
      </w:r>
      <w:r w:rsidR="00694DC8">
        <w:t>code in table 1b.</w:t>
      </w:r>
    </w:p>
    <w:p w:rsidR="003B4F59" w:rsidRDefault="003B4F59" w:rsidP="00AD50CD">
      <w:pPr>
        <w:rPr>
          <w:b/>
        </w:rPr>
      </w:pPr>
    </w:p>
    <w:p w:rsidR="00AD50CD" w:rsidRPr="009D25A9" w:rsidRDefault="00AD50CD" w:rsidP="00AD50CD">
      <w:pPr>
        <w:rPr>
          <w:b/>
        </w:rPr>
      </w:pPr>
      <w:r w:rsidRPr="009D25A9">
        <w:rPr>
          <w:b/>
        </w:rPr>
        <w:t>Table 2.  Drug Hospitalization Sub-indicators: ICD-9-CM</w:t>
      </w:r>
      <w:r w:rsidR="00E96E90">
        <w:rPr>
          <w:b/>
        </w:rPr>
        <w:t xml:space="preserve"> Diagnostic and </w:t>
      </w:r>
      <w:r w:rsidRPr="009D25A9">
        <w:rPr>
          <w:b/>
        </w:rPr>
        <w:t>E-codes</w:t>
      </w:r>
    </w:p>
    <w:p w:rsidR="003B4F59" w:rsidRDefault="003B4F59" w:rsidP="00AD50CD">
      <w:pPr>
        <w:rPr>
          <w:b/>
        </w:rPr>
      </w:pPr>
    </w:p>
    <w:p w:rsidR="00AD50CD" w:rsidRDefault="00AD50CD" w:rsidP="00AD50CD">
      <w:pPr>
        <w:rPr>
          <w:b/>
        </w:rPr>
      </w:pPr>
      <w:r w:rsidRPr="00FF495F">
        <w:rPr>
          <w:b/>
        </w:rPr>
        <w:t>Table 3.</w:t>
      </w:r>
      <w:r>
        <w:t xml:space="preserve">  </w:t>
      </w:r>
      <w:r w:rsidR="00805C48">
        <w:rPr>
          <w:b/>
        </w:rPr>
        <w:t>Overal</w:t>
      </w:r>
      <w:r w:rsidRPr="00EC7668">
        <w:rPr>
          <w:b/>
        </w:rPr>
        <w:t>l Drug-Related Hospitalization</w:t>
      </w:r>
      <w:r w:rsidR="00805C48">
        <w:rPr>
          <w:b/>
        </w:rPr>
        <w:t xml:space="preserve"> Indicators</w:t>
      </w:r>
      <w:r w:rsidRPr="00EC7668">
        <w:rPr>
          <w:b/>
        </w:rPr>
        <w:t>:  ICD-</w:t>
      </w:r>
      <w:r>
        <w:rPr>
          <w:b/>
        </w:rPr>
        <w:t>10</w:t>
      </w:r>
      <w:r w:rsidRPr="00EC7668">
        <w:rPr>
          <w:b/>
        </w:rPr>
        <w:t xml:space="preserve">-CM </w:t>
      </w:r>
      <w:r>
        <w:rPr>
          <w:b/>
        </w:rPr>
        <w:t>Codes</w:t>
      </w:r>
    </w:p>
    <w:p w:rsidR="003B4F59" w:rsidRDefault="003B4F59" w:rsidP="00AD50CD">
      <w:pPr>
        <w:rPr>
          <w:b/>
        </w:rPr>
      </w:pPr>
    </w:p>
    <w:p w:rsidR="00AD50CD" w:rsidRDefault="00AD50CD" w:rsidP="00AD50CD">
      <w:pPr>
        <w:rPr>
          <w:b/>
        </w:rPr>
      </w:pPr>
      <w:r w:rsidRPr="009D25A9">
        <w:rPr>
          <w:b/>
        </w:rPr>
        <w:t xml:space="preserve">Table </w:t>
      </w:r>
      <w:r>
        <w:rPr>
          <w:b/>
        </w:rPr>
        <w:t>4</w:t>
      </w:r>
      <w:r w:rsidRPr="009D25A9">
        <w:rPr>
          <w:b/>
        </w:rPr>
        <w:t>.  Drug Hospitalization Sub-indicators: ICD-</w:t>
      </w:r>
      <w:r>
        <w:rPr>
          <w:b/>
        </w:rPr>
        <w:t>10</w:t>
      </w:r>
      <w:r w:rsidRPr="009D25A9">
        <w:rPr>
          <w:b/>
        </w:rPr>
        <w:t xml:space="preserve">-CM </w:t>
      </w:r>
      <w:r>
        <w:rPr>
          <w:b/>
        </w:rPr>
        <w:t>C</w:t>
      </w:r>
      <w:r w:rsidRPr="009D25A9">
        <w:rPr>
          <w:b/>
        </w:rPr>
        <w:t>odes</w:t>
      </w:r>
    </w:p>
    <w:p w:rsidR="00736351" w:rsidRDefault="00736351">
      <w:r>
        <w:br w:type="page"/>
      </w:r>
    </w:p>
    <w:p w:rsidR="00736351" w:rsidRPr="00C84A59" w:rsidRDefault="00C84A59">
      <w:pPr>
        <w:rPr>
          <w:b/>
        </w:rPr>
      </w:pPr>
      <w:r w:rsidRPr="00C84A59">
        <w:rPr>
          <w:b/>
        </w:rPr>
        <w:lastRenderedPageBreak/>
        <w:t>Table 1</w:t>
      </w:r>
      <w:r w:rsidR="00795577">
        <w:rPr>
          <w:b/>
        </w:rPr>
        <w:t>a</w:t>
      </w:r>
      <w:r w:rsidRPr="00C84A59">
        <w:rPr>
          <w:b/>
        </w:rPr>
        <w:t xml:space="preserve">.  </w:t>
      </w:r>
      <w:r w:rsidR="00865B10">
        <w:rPr>
          <w:b/>
        </w:rPr>
        <w:t>Overall</w:t>
      </w:r>
      <w:r w:rsidR="00412A55" w:rsidRPr="00C84A59">
        <w:rPr>
          <w:b/>
        </w:rPr>
        <w:t xml:space="preserve"> Drug-Related Hospitalization</w:t>
      </w:r>
      <w:r w:rsidR="00865B10">
        <w:rPr>
          <w:b/>
        </w:rPr>
        <w:t xml:space="preserve"> Indicators</w:t>
      </w:r>
      <w:r w:rsidR="00412A55" w:rsidRPr="00C84A59">
        <w:rPr>
          <w:b/>
        </w:rPr>
        <w:t>:  ICD-9-CM</w:t>
      </w:r>
      <w:r w:rsidR="00EC7668">
        <w:rPr>
          <w:b/>
        </w:rPr>
        <w:t xml:space="preserve"> Codes</w:t>
      </w:r>
    </w:p>
    <w:tbl>
      <w:tblPr>
        <w:tblW w:w="9380" w:type="dxa"/>
        <w:tblInd w:w="93" w:type="dxa"/>
        <w:tblLook w:val="04A0" w:firstRow="1" w:lastRow="0" w:firstColumn="1" w:lastColumn="0" w:noHBand="0" w:noVBand="1"/>
      </w:tblPr>
      <w:tblGrid>
        <w:gridCol w:w="2340"/>
        <w:gridCol w:w="2920"/>
        <w:gridCol w:w="4120"/>
      </w:tblGrid>
      <w:tr w:rsidR="00412A55" w:rsidRPr="00412A55" w:rsidTr="00412A55">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2A55" w:rsidRPr="00412A55" w:rsidRDefault="00412A55" w:rsidP="00412A55">
            <w:pPr>
              <w:spacing w:after="0" w:line="240" w:lineRule="auto"/>
              <w:rPr>
                <w:rFonts w:ascii="Calibri" w:eastAsia="Times New Roman" w:hAnsi="Calibri" w:cs="Calibri"/>
                <w:b/>
                <w:color w:val="000000"/>
              </w:rPr>
            </w:pPr>
            <w:r w:rsidRPr="00412A55">
              <w:rPr>
                <w:rFonts w:ascii="Calibri" w:eastAsia="Times New Roman" w:hAnsi="Calibri" w:cs="Calibri"/>
                <w:color w:val="000000"/>
              </w:rPr>
              <w:t> </w:t>
            </w:r>
            <w:r w:rsidR="00C84A59" w:rsidRPr="00C84A59">
              <w:rPr>
                <w:rFonts w:ascii="Calibri" w:eastAsia="Times New Roman" w:hAnsi="Calibri" w:cs="Calibri"/>
                <w:b/>
                <w:color w:val="000000"/>
              </w:rPr>
              <w:t>Disease category</w:t>
            </w:r>
          </w:p>
        </w:tc>
        <w:tc>
          <w:tcPr>
            <w:tcW w:w="2920" w:type="dxa"/>
            <w:tcBorders>
              <w:top w:val="single" w:sz="4" w:space="0" w:color="auto"/>
              <w:left w:val="nil"/>
              <w:bottom w:val="single" w:sz="4" w:space="0" w:color="auto"/>
              <w:right w:val="single" w:sz="4" w:space="0" w:color="auto"/>
            </w:tcBorders>
            <w:shd w:val="clear" w:color="auto" w:fill="auto"/>
            <w:noWrap/>
            <w:vAlign w:val="bottom"/>
            <w:hideMark/>
          </w:tcPr>
          <w:p w:rsidR="00412A55" w:rsidRPr="00412A55" w:rsidRDefault="00FC65FB" w:rsidP="00412A55">
            <w:pPr>
              <w:spacing w:after="0" w:line="240" w:lineRule="auto"/>
              <w:jc w:val="center"/>
              <w:rPr>
                <w:rFonts w:ascii="Calibri" w:eastAsia="Times New Roman" w:hAnsi="Calibri" w:cs="Calibri"/>
                <w:b/>
                <w:color w:val="000000"/>
              </w:rPr>
            </w:pPr>
            <w:r>
              <w:rPr>
                <w:rFonts w:ascii="Calibri" w:eastAsia="Times New Roman" w:hAnsi="Calibri" w:cs="Calibri"/>
                <w:b/>
                <w:color w:val="000000"/>
              </w:rPr>
              <w:t>PfS/DDPI</w:t>
            </w:r>
          </w:p>
        </w:tc>
        <w:tc>
          <w:tcPr>
            <w:tcW w:w="4120" w:type="dxa"/>
            <w:tcBorders>
              <w:top w:val="single" w:sz="4" w:space="0" w:color="auto"/>
              <w:left w:val="nil"/>
              <w:bottom w:val="single" w:sz="4" w:space="0" w:color="auto"/>
              <w:right w:val="single" w:sz="4" w:space="0" w:color="auto"/>
            </w:tcBorders>
            <w:shd w:val="clear" w:color="auto" w:fill="auto"/>
            <w:noWrap/>
            <w:vAlign w:val="bottom"/>
            <w:hideMark/>
          </w:tcPr>
          <w:p w:rsidR="00412A55" w:rsidRPr="00412A55" w:rsidRDefault="00412A55" w:rsidP="00412A55">
            <w:pPr>
              <w:spacing w:after="0" w:line="240" w:lineRule="auto"/>
              <w:jc w:val="center"/>
              <w:rPr>
                <w:rFonts w:ascii="Calibri" w:eastAsia="Times New Roman" w:hAnsi="Calibri" w:cs="Calibri"/>
                <w:b/>
                <w:color w:val="000000"/>
              </w:rPr>
            </w:pPr>
            <w:r w:rsidRPr="00412A55">
              <w:rPr>
                <w:rFonts w:ascii="Calibri" w:eastAsia="Times New Roman" w:hAnsi="Calibri" w:cs="Calibri"/>
                <w:b/>
                <w:color w:val="000000"/>
              </w:rPr>
              <w:t>CSTE Workgroup</w:t>
            </w:r>
          </w:p>
        </w:tc>
      </w:tr>
      <w:tr w:rsidR="00412A55" w:rsidRPr="00412A55" w:rsidTr="00412A5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bottom"/>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Drug-induced mental disorders</w:t>
            </w:r>
          </w:p>
        </w:tc>
        <w:tc>
          <w:tcPr>
            <w:tcW w:w="2920"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 </w:t>
            </w:r>
          </w:p>
        </w:tc>
        <w:tc>
          <w:tcPr>
            <w:tcW w:w="41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292.0  Drug Withdrawal</w:t>
            </w: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EC7668">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Drug dependence</w:t>
            </w:r>
            <w:r w:rsidR="00EF31E2">
              <w:rPr>
                <w:rFonts w:ascii="Calibri" w:eastAsia="Times New Roman" w:hAnsi="Calibri" w:cs="Calibri"/>
                <w:color w:val="000000"/>
              </w:rPr>
              <w:t xml:space="preserve">          </w:t>
            </w:r>
          </w:p>
          <w:p w:rsidR="00EF31E2" w:rsidRPr="00412A55" w:rsidRDefault="00EF31E2" w:rsidP="00412A55">
            <w:pPr>
              <w:spacing w:after="0" w:line="240" w:lineRule="auto"/>
              <w:rPr>
                <w:rFonts w:ascii="Calibri" w:eastAsia="Times New Roman" w:hAnsi="Calibri" w:cs="Calibri"/>
                <w:color w:val="000000"/>
              </w:rPr>
            </w:pPr>
            <w:r w:rsidRPr="00EF31E2">
              <w:rPr>
                <w:rFonts w:ascii="Calibri" w:eastAsia="Times New Roman" w:hAnsi="Calibri" w:cs="Calibri"/>
                <w:color w:val="000000"/>
              </w:rPr>
              <w:t>.x0 unspecified               .x1 continuous                 .x2 episodic                     .x3 in remission</w:t>
            </w:r>
          </w:p>
        </w:tc>
        <w:tc>
          <w:tcPr>
            <w:tcW w:w="292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12A55" w:rsidRPr="00412A55" w:rsidRDefault="00EC7668" w:rsidP="00EC766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c>
          <w:tcPr>
            <w:tcW w:w="412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412A55" w:rsidP="00C84A59">
            <w:pPr>
              <w:spacing w:after="0" w:line="240" w:lineRule="auto"/>
              <w:rPr>
                <w:rFonts w:ascii="Calibri" w:eastAsia="Times New Roman" w:hAnsi="Calibri" w:cs="Calibri"/>
                <w:color w:val="000000"/>
              </w:rPr>
            </w:pPr>
            <w:r w:rsidRPr="00412A55">
              <w:rPr>
                <w:rFonts w:ascii="Calibri" w:eastAsia="Times New Roman" w:hAnsi="Calibri" w:cs="Calibri"/>
                <w:color w:val="000000"/>
              </w:rPr>
              <w:t>304(.00-.03) Opioid                                            304(.10-.13) Sedative, hypnotic, anxiolytic      304(.20-.23) Cocaine                                                 304(.30-.33) Cann</w:t>
            </w:r>
            <w:r w:rsidR="00C84A59">
              <w:rPr>
                <w:rFonts w:ascii="Calibri" w:eastAsia="Times New Roman" w:hAnsi="Calibri" w:cs="Calibri"/>
                <w:color w:val="000000"/>
              </w:rPr>
              <w:t>a</w:t>
            </w:r>
            <w:r w:rsidRPr="00412A55">
              <w:rPr>
                <w:rFonts w:ascii="Calibri" w:eastAsia="Times New Roman" w:hAnsi="Calibri" w:cs="Calibri"/>
                <w:color w:val="000000"/>
              </w:rPr>
              <w:t>bis                                         304(.40-.43) Amphetamine                     304(.50-.53) Hallucinogen                                       304(.60-.63) Other specified                   304(.70-.73) Combo opioid and other     304(.80-.83) Combo except opioid            304(.90-.93) Unspecified</w:t>
            </w: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EC7668">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Non-dependent use of drugs                                                                              .x0 unspecified               .x1 continuous                 .x2 episodic                     .x3 in remission</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EC7668" w:rsidP="00EC766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c>
          <w:tcPr>
            <w:tcW w:w="412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305(.20-.23) Cannabis                                            305(.30-.33) Hallucinogen                                305(.40-.43) Sedative, hypnotic, anxiolytic          305(.50-.53) Opioid                                               305(.60-.63) Cocaine                                           305(.70-.7.3) Amphetamine                          305(.80-.83) Antidepressant                            305(.90-.93) Other, mixed, unspecified</w:t>
            </w: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EC7668">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Conditions in      mothers complicating        pregnancy</w:t>
            </w:r>
          </w:p>
        </w:tc>
        <w:tc>
          <w:tcPr>
            <w:tcW w:w="292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EC7668" w:rsidP="00EC766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c>
          <w:tcPr>
            <w:tcW w:w="4120" w:type="dxa"/>
            <w:vMerge w:val="restart"/>
            <w:tcBorders>
              <w:top w:val="nil"/>
              <w:left w:val="single" w:sz="4" w:space="0" w:color="auto"/>
              <w:bottom w:val="single" w:sz="4" w:space="0" w:color="000000"/>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648(.30-.34) Drug dependence of mother       .30 unspecified                                                      .31 delivered                                                           .32 deliv</w:t>
            </w:r>
            <w:r w:rsidR="00C84A59">
              <w:rPr>
                <w:rFonts w:ascii="Calibri" w:eastAsia="Times New Roman" w:hAnsi="Calibri" w:cs="Calibri"/>
                <w:color w:val="000000"/>
              </w:rPr>
              <w:t>ered</w:t>
            </w:r>
            <w:r w:rsidRPr="00412A55">
              <w:rPr>
                <w:rFonts w:ascii="Calibri" w:eastAsia="Times New Roman" w:hAnsi="Calibri" w:cs="Calibri"/>
                <w:color w:val="000000"/>
              </w:rPr>
              <w:t xml:space="preserve"> w p/p complic</w:t>
            </w:r>
            <w:r w:rsidR="00C84A59">
              <w:rPr>
                <w:rFonts w:ascii="Calibri" w:eastAsia="Times New Roman" w:hAnsi="Calibri" w:cs="Calibri"/>
                <w:color w:val="000000"/>
              </w:rPr>
              <w:t>ation</w:t>
            </w:r>
            <w:r w:rsidRPr="00412A55">
              <w:rPr>
                <w:rFonts w:ascii="Calibri" w:eastAsia="Times New Roman" w:hAnsi="Calibri" w:cs="Calibri"/>
                <w:color w:val="000000"/>
              </w:rPr>
              <w:t xml:space="preserve">                                        .33 antepart</w:t>
            </w:r>
            <w:r w:rsidR="00C84A59">
              <w:rPr>
                <w:rFonts w:ascii="Calibri" w:eastAsia="Times New Roman" w:hAnsi="Calibri" w:cs="Calibri"/>
                <w:color w:val="000000"/>
              </w:rPr>
              <w:t>um</w:t>
            </w:r>
            <w:r w:rsidRPr="00412A55">
              <w:rPr>
                <w:rFonts w:ascii="Calibri" w:eastAsia="Times New Roman" w:hAnsi="Calibri" w:cs="Calibri"/>
                <w:color w:val="000000"/>
              </w:rPr>
              <w:t xml:space="preserve"> condition                                          .34 postpart</w:t>
            </w:r>
            <w:r w:rsidR="00C84A59">
              <w:rPr>
                <w:rFonts w:ascii="Calibri" w:eastAsia="Times New Roman" w:hAnsi="Calibri" w:cs="Calibri"/>
                <w:color w:val="000000"/>
              </w:rPr>
              <w:t>um</w:t>
            </w:r>
            <w:r w:rsidRPr="00412A55">
              <w:rPr>
                <w:rFonts w:ascii="Calibri" w:eastAsia="Times New Roman" w:hAnsi="Calibri" w:cs="Calibri"/>
                <w:color w:val="000000"/>
              </w:rPr>
              <w:t xml:space="preserve"> condition</w:t>
            </w: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000000"/>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EC7668">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Fetus or newborn         affected by maternal     condition</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412A55" w:rsidRPr="00412A55" w:rsidRDefault="00EC7668" w:rsidP="00EC7668">
            <w:pPr>
              <w:spacing w:after="0" w:line="240" w:lineRule="auto"/>
              <w:jc w:val="center"/>
              <w:rPr>
                <w:rFonts w:ascii="Calibri" w:eastAsia="Times New Roman" w:hAnsi="Calibri" w:cs="Calibri"/>
                <w:color w:val="000000"/>
              </w:rPr>
            </w:pPr>
            <w:r>
              <w:rPr>
                <w:rFonts w:ascii="Calibri" w:eastAsia="Times New Roman" w:hAnsi="Calibri" w:cs="Calibri"/>
                <w:color w:val="000000"/>
              </w:rPr>
              <w:t>NA</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412A55" w:rsidRPr="00412A55" w:rsidRDefault="00412A55" w:rsidP="00412A55">
            <w:pPr>
              <w:spacing w:after="0" w:line="240" w:lineRule="auto"/>
              <w:rPr>
                <w:rFonts w:ascii="Calibri" w:eastAsia="Times New Roman" w:hAnsi="Calibri" w:cs="Calibri"/>
                <w:color w:val="000000"/>
              </w:rPr>
            </w:pPr>
            <w:r w:rsidRPr="00412A55">
              <w:rPr>
                <w:rFonts w:ascii="Calibri" w:eastAsia="Times New Roman" w:hAnsi="Calibri" w:cs="Calibri"/>
                <w:color w:val="000000"/>
              </w:rPr>
              <w:t xml:space="preserve">760.72 Narcotics                                                760.73 Hallucinogens                                    760.75 Cocaine                                                     779.5 Drug withdrawal in newborn               </w:t>
            </w:r>
          </w:p>
        </w:tc>
      </w:tr>
      <w:tr w:rsidR="00412A55" w:rsidRPr="00412A55" w:rsidTr="00412A55">
        <w:trPr>
          <w:trHeight w:val="300"/>
        </w:trPr>
        <w:tc>
          <w:tcPr>
            <w:tcW w:w="234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r w:rsidR="00412A55" w:rsidRPr="00412A55" w:rsidTr="00412A55">
        <w:trPr>
          <w:trHeight w:val="300"/>
        </w:trPr>
        <w:tc>
          <w:tcPr>
            <w:tcW w:w="234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412A55" w:rsidRPr="00412A55" w:rsidRDefault="00412A55" w:rsidP="00412A55">
            <w:pPr>
              <w:spacing w:after="0" w:line="240" w:lineRule="auto"/>
              <w:rPr>
                <w:rFonts w:ascii="Calibri" w:eastAsia="Times New Roman" w:hAnsi="Calibri" w:cs="Calibri"/>
                <w:color w:val="000000"/>
              </w:rPr>
            </w:pPr>
          </w:p>
        </w:tc>
      </w:tr>
    </w:tbl>
    <w:p w:rsidR="00412A55" w:rsidRDefault="00412A55"/>
    <w:p w:rsidR="00412A55" w:rsidRDefault="00412A55"/>
    <w:p w:rsidR="00412A55" w:rsidRDefault="00412A55"/>
    <w:p w:rsidR="00412A55" w:rsidRDefault="00412A55"/>
    <w:p w:rsidR="00412A55" w:rsidRDefault="00412A55">
      <w:r>
        <w:br w:type="page"/>
      </w:r>
    </w:p>
    <w:p w:rsidR="00412A55" w:rsidRPr="00EC7668" w:rsidRDefault="00C84A59" w:rsidP="00412A55">
      <w:pPr>
        <w:rPr>
          <w:b/>
        </w:rPr>
      </w:pPr>
      <w:r w:rsidRPr="00EC7668">
        <w:rPr>
          <w:b/>
        </w:rPr>
        <w:lastRenderedPageBreak/>
        <w:t>Table 1</w:t>
      </w:r>
      <w:r w:rsidR="00795577">
        <w:rPr>
          <w:b/>
        </w:rPr>
        <w:t>a</w:t>
      </w:r>
      <w:r w:rsidRPr="00EC7668">
        <w:rPr>
          <w:b/>
        </w:rPr>
        <w:t xml:space="preserve">.  </w:t>
      </w:r>
      <w:r w:rsidR="00865B10">
        <w:rPr>
          <w:b/>
        </w:rPr>
        <w:t xml:space="preserve">Overall </w:t>
      </w:r>
      <w:r w:rsidR="00412A55" w:rsidRPr="00EC7668">
        <w:rPr>
          <w:b/>
        </w:rPr>
        <w:t>Drug-Related Hospitalization</w:t>
      </w:r>
      <w:r w:rsidR="00865B10">
        <w:rPr>
          <w:b/>
        </w:rPr>
        <w:t xml:space="preserve"> Indicators</w:t>
      </w:r>
      <w:r w:rsidR="00412A55" w:rsidRPr="00EC7668">
        <w:rPr>
          <w:b/>
        </w:rPr>
        <w:t xml:space="preserve">:  ICD-9-CM </w:t>
      </w:r>
      <w:r w:rsidR="00EC7668">
        <w:rPr>
          <w:b/>
        </w:rPr>
        <w:t xml:space="preserve">Codes </w:t>
      </w:r>
      <w:r w:rsidR="00412A55" w:rsidRPr="00EC7668">
        <w:rPr>
          <w:b/>
        </w:rPr>
        <w:t>(continued)</w:t>
      </w:r>
    </w:p>
    <w:tbl>
      <w:tblPr>
        <w:tblW w:w="9380" w:type="dxa"/>
        <w:tblInd w:w="93" w:type="dxa"/>
        <w:tblLook w:val="04A0" w:firstRow="1" w:lastRow="0" w:firstColumn="1" w:lastColumn="0" w:noHBand="0" w:noVBand="1"/>
      </w:tblPr>
      <w:tblGrid>
        <w:gridCol w:w="2340"/>
        <w:gridCol w:w="2920"/>
        <w:gridCol w:w="4120"/>
      </w:tblGrid>
      <w:tr w:rsidR="00EC7668" w:rsidRPr="00EC7668" w:rsidTr="00EC7668">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7668" w:rsidRPr="00EC7668" w:rsidRDefault="00EC7668" w:rsidP="00EC7668">
            <w:pPr>
              <w:spacing w:after="0" w:line="240" w:lineRule="auto"/>
              <w:rPr>
                <w:rFonts w:ascii="Calibri" w:eastAsia="Times New Roman" w:hAnsi="Calibri" w:cs="Calibri"/>
                <w:color w:val="000000"/>
              </w:rPr>
            </w:pPr>
            <w:r w:rsidRPr="00EC7668">
              <w:rPr>
                <w:rFonts w:ascii="Calibri" w:eastAsia="Times New Roman" w:hAnsi="Calibri" w:cs="Calibri"/>
                <w:color w:val="000000"/>
              </w:rPr>
              <w:t> </w:t>
            </w:r>
            <w:r w:rsidRPr="00C84A59">
              <w:rPr>
                <w:rFonts w:ascii="Calibri" w:eastAsia="Times New Roman" w:hAnsi="Calibri" w:cs="Calibri"/>
                <w:b/>
                <w:color w:val="000000"/>
              </w:rPr>
              <w:t>Disease category</w:t>
            </w:r>
          </w:p>
        </w:tc>
        <w:tc>
          <w:tcPr>
            <w:tcW w:w="2920" w:type="dxa"/>
            <w:tcBorders>
              <w:top w:val="single" w:sz="4" w:space="0" w:color="auto"/>
              <w:left w:val="nil"/>
              <w:bottom w:val="single" w:sz="4" w:space="0" w:color="auto"/>
              <w:right w:val="single" w:sz="4" w:space="0" w:color="auto"/>
            </w:tcBorders>
            <w:shd w:val="clear" w:color="auto" w:fill="auto"/>
            <w:noWrap/>
            <w:vAlign w:val="bottom"/>
            <w:hideMark/>
          </w:tcPr>
          <w:p w:rsidR="00EC7668" w:rsidRPr="00EC7668" w:rsidRDefault="00FC65FB" w:rsidP="00EC7668">
            <w:pPr>
              <w:spacing w:after="0" w:line="240" w:lineRule="auto"/>
              <w:jc w:val="center"/>
              <w:rPr>
                <w:rFonts w:ascii="Calibri" w:eastAsia="Times New Roman" w:hAnsi="Calibri" w:cs="Calibri"/>
                <w:b/>
                <w:color w:val="000000"/>
              </w:rPr>
            </w:pPr>
            <w:r>
              <w:rPr>
                <w:rFonts w:ascii="Calibri" w:eastAsia="Times New Roman" w:hAnsi="Calibri" w:cs="Calibri"/>
                <w:b/>
                <w:color w:val="000000"/>
              </w:rPr>
              <w:t>PfS/DDPI</w:t>
            </w:r>
          </w:p>
        </w:tc>
        <w:tc>
          <w:tcPr>
            <w:tcW w:w="4120" w:type="dxa"/>
            <w:tcBorders>
              <w:top w:val="single" w:sz="4" w:space="0" w:color="auto"/>
              <w:left w:val="nil"/>
              <w:bottom w:val="single" w:sz="4" w:space="0" w:color="auto"/>
              <w:right w:val="single" w:sz="4" w:space="0" w:color="auto"/>
            </w:tcBorders>
            <w:shd w:val="clear" w:color="auto" w:fill="auto"/>
            <w:noWrap/>
            <w:vAlign w:val="bottom"/>
            <w:hideMark/>
          </w:tcPr>
          <w:p w:rsidR="00EC7668" w:rsidRPr="00EC7668" w:rsidRDefault="00EC7668" w:rsidP="00EC7668">
            <w:pPr>
              <w:spacing w:after="0" w:line="240" w:lineRule="auto"/>
              <w:jc w:val="center"/>
              <w:rPr>
                <w:rFonts w:ascii="Calibri" w:eastAsia="Times New Roman" w:hAnsi="Calibri" w:cs="Calibri"/>
                <w:b/>
                <w:color w:val="000000"/>
              </w:rPr>
            </w:pPr>
            <w:r w:rsidRPr="00EC7668">
              <w:rPr>
                <w:rFonts w:ascii="Calibri" w:eastAsia="Times New Roman" w:hAnsi="Calibri" w:cs="Calibri"/>
                <w:b/>
                <w:color w:val="000000"/>
              </w:rPr>
              <w:t>CSTE Workgroup</w:t>
            </w:r>
          </w:p>
        </w:tc>
      </w:tr>
      <w:tr w:rsidR="00EC7668" w:rsidRPr="00EC7668" w:rsidTr="00795577">
        <w:trPr>
          <w:trHeight w:hRule="exact" w:val="2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EC7668" w:rsidRPr="00EC7668" w:rsidRDefault="00EC7668" w:rsidP="00EC7668">
            <w:pPr>
              <w:spacing w:after="0" w:line="240" w:lineRule="auto"/>
              <w:rPr>
                <w:rFonts w:ascii="Calibri" w:eastAsia="Times New Roman" w:hAnsi="Calibri" w:cs="Calibri"/>
                <w:color w:val="000000"/>
              </w:rPr>
            </w:pPr>
            <w:r w:rsidRPr="00EC7668">
              <w:rPr>
                <w:rFonts w:ascii="Calibri" w:eastAsia="Times New Roman" w:hAnsi="Calibri" w:cs="Calibri"/>
                <w:color w:val="000000"/>
              </w:rPr>
              <w:t xml:space="preserve">Poisoning by drugs,  medicinal and biological substances </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EC7668" w:rsidRPr="00EC7668" w:rsidRDefault="00EC7668" w:rsidP="00EC7668">
            <w:pPr>
              <w:spacing w:after="0" w:line="240" w:lineRule="auto"/>
              <w:rPr>
                <w:rFonts w:ascii="Calibri" w:eastAsia="Times New Roman" w:hAnsi="Calibri" w:cs="Calibri"/>
                <w:color w:val="000000"/>
              </w:rPr>
            </w:pPr>
            <w:r w:rsidRPr="00EC7668">
              <w:rPr>
                <w:rFonts w:ascii="Calibri" w:eastAsia="Times New Roman" w:hAnsi="Calibri" w:cs="Calibri"/>
                <w:color w:val="000000"/>
              </w:rPr>
              <w:t>960 - 979  (all 184 codes)</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EC7668" w:rsidRPr="00EC7668" w:rsidRDefault="00C00B1B" w:rsidP="00C00B1B">
            <w:pPr>
              <w:spacing w:after="0" w:line="240" w:lineRule="auto"/>
              <w:rPr>
                <w:rFonts w:ascii="Calibri" w:eastAsia="Times New Roman" w:hAnsi="Calibri" w:cs="Calibri"/>
                <w:color w:val="000000"/>
              </w:rPr>
            </w:pPr>
            <w:r>
              <w:rPr>
                <w:rFonts w:ascii="Calibri" w:eastAsia="Times New Roman" w:hAnsi="Calibri" w:cs="Calibri"/>
                <w:color w:val="000000"/>
              </w:rPr>
              <w:t>965.00 Opium, unspecified</w:t>
            </w:r>
            <w:r w:rsidR="00EC7668" w:rsidRPr="00EC7668">
              <w:rPr>
                <w:rFonts w:ascii="Calibri" w:eastAsia="Times New Roman" w:hAnsi="Calibri" w:cs="Calibri"/>
                <w:color w:val="000000"/>
              </w:rPr>
              <w:t xml:space="preserve"> </w:t>
            </w:r>
            <w:r>
              <w:rPr>
                <w:rFonts w:ascii="Calibri" w:eastAsia="Times New Roman" w:hAnsi="Calibri" w:cs="Calibri"/>
                <w:color w:val="000000"/>
              </w:rPr>
              <w:t xml:space="preserve">                    </w:t>
            </w:r>
            <w:r w:rsidR="00EC7668" w:rsidRPr="00EC7668">
              <w:rPr>
                <w:rFonts w:ascii="Calibri" w:eastAsia="Times New Roman" w:hAnsi="Calibri" w:cs="Calibri"/>
                <w:color w:val="000000"/>
              </w:rPr>
              <w:t xml:space="preserve">     965.01 Heroin                                                    965.02 Methadone                                            965.09 Other opiates                                                967.0 Barbiturates                                               967.1 Chloral hydrate                                            967.2 Paraldehyde                                               967.3 Bromine compound                                         967.4 Methaqualone                                        967.5 Glutethimide                                          967.6 Mixed sedative                                     967.8 Other sedative/hypnotic NEC                      967.9 Unspecified sedative/hypnotic               969.4 Benzodiazepine-based tranquilizers         969.6 Psychdysleptics (hallucinogens)      969.70 Unspecified psychostimulants    969.71 Caffeine                                                969.72 Amphetamines                                  969.73 Methylphendate                                969.9 Other psychostimulant                         970.81 Cocaine</w:t>
            </w:r>
          </w:p>
        </w:tc>
      </w:tr>
      <w:tr w:rsidR="00EC7668" w:rsidRPr="00EC7668" w:rsidTr="00795577">
        <w:trPr>
          <w:trHeight w:hRule="exact" w:val="2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r w:rsidR="00EC7668" w:rsidRPr="00EC7668" w:rsidTr="00EC7668">
        <w:trPr>
          <w:trHeight w:val="300"/>
        </w:trPr>
        <w:tc>
          <w:tcPr>
            <w:tcW w:w="234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EC7668" w:rsidRPr="00EC7668" w:rsidRDefault="00EC7668" w:rsidP="00EC7668">
            <w:pPr>
              <w:spacing w:after="0" w:line="240" w:lineRule="auto"/>
              <w:rPr>
                <w:rFonts w:ascii="Calibri" w:eastAsia="Times New Roman" w:hAnsi="Calibri" w:cs="Calibri"/>
                <w:color w:val="000000"/>
              </w:rPr>
            </w:pPr>
          </w:p>
        </w:tc>
      </w:tr>
    </w:tbl>
    <w:p w:rsidR="00EC7668" w:rsidRDefault="00EC7668"/>
    <w:p w:rsidR="00412A55" w:rsidRPr="00795577" w:rsidRDefault="00412A55">
      <w:pPr>
        <w:rPr>
          <w:b/>
        </w:rPr>
      </w:pPr>
    </w:p>
    <w:p w:rsidR="00795577" w:rsidRDefault="00225BFF">
      <w:r>
        <w:br w:type="page"/>
      </w:r>
    </w:p>
    <w:p w:rsidR="00225BFF" w:rsidRPr="00795577" w:rsidRDefault="00225BFF" w:rsidP="00225BFF">
      <w:pPr>
        <w:rPr>
          <w:b/>
        </w:rPr>
      </w:pPr>
      <w:r w:rsidRPr="00795577">
        <w:rPr>
          <w:b/>
        </w:rPr>
        <w:lastRenderedPageBreak/>
        <w:t xml:space="preserve">Table 1b.  </w:t>
      </w:r>
      <w:r w:rsidR="00865B10">
        <w:rPr>
          <w:b/>
        </w:rPr>
        <w:t>Overall</w:t>
      </w:r>
      <w:r w:rsidRPr="00795577">
        <w:rPr>
          <w:b/>
        </w:rPr>
        <w:t xml:space="preserve"> Drug-Related Hospitalization</w:t>
      </w:r>
      <w:r w:rsidR="00865B10">
        <w:rPr>
          <w:b/>
        </w:rPr>
        <w:t xml:space="preserve"> Indicators</w:t>
      </w:r>
      <w:r w:rsidRPr="00795577">
        <w:rPr>
          <w:b/>
        </w:rPr>
        <w:t>:  ICD-9-CM External Cause of Injury Codes</w:t>
      </w:r>
      <w:r w:rsidR="00B31274">
        <w:rPr>
          <w:b/>
        </w:rPr>
        <w:t xml:space="preserve"> </w:t>
      </w:r>
    </w:p>
    <w:tbl>
      <w:tblPr>
        <w:tblW w:w="9380" w:type="dxa"/>
        <w:tblInd w:w="93" w:type="dxa"/>
        <w:tblLook w:val="04A0" w:firstRow="1" w:lastRow="0" w:firstColumn="1" w:lastColumn="0" w:noHBand="0" w:noVBand="1"/>
      </w:tblPr>
      <w:tblGrid>
        <w:gridCol w:w="2340"/>
        <w:gridCol w:w="2920"/>
        <w:gridCol w:w="4120"/>
      </w:tblGrid>
      <w:tr w:rsidR="00B31274" w:rsidRPr="00B31274" w:rsidTr="00B31274">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1274" w:rsidRPr="00B31274" w:rsidRDefault="00B31274" w:rsidP="00B31274">
            <w:pPr>
              <w:spacing w:after="0" w:line="240" w:lineRule="auto"/>
              <w:rPr>
                <w:rFonts w:ascii="Calibri" w:eastAsia="Times New Roman" w:hAnsi="Calibri" w:cs="Calibri"/>
                <w:b/>
                <w:bCs/>
                <w:color w:val="000000"/>
              </w:rPr>
            </w:pPr>
            <w:r w:rsidRPr="00B31274">
              <w:rPr>
                <w:rFonts w:ascii="Calibri" w:eastAsia="Times New Roman" w:hAnsi="Calibri" w:cs="Calibri"/>
                <w:b/>
                <w:bCs/>
                <w:color w:val="000000"/>
              </w:rPr>
              <w:t>External Cause Category</w:t>
            </w:r>
          </w:p>
        </w:tc>
        <w:tc>
          <w:tcPr>
            <w:tcW w:w="2920" w:type="dxa"/>
            <w:tcBorders>
              <w:top w:val="single" w:sz="4" w:space="0" w:color="auto"/>
              <w:left w:val="nil"/>
              <w:bottom w:val="single" w:sz="4" w:space="0" w:color="auto"/>
              <w:right w:val="single" w:sz="4" w:space="0" w:color="auto"/>
            </w:tcBorders>
            <w:shd w:val="clear" w:color="auto" w:fill="auto"/>
            <w:noWrap/>
            <w:vAlign w:val="bottom"/>
            <w:hideMark/>
          </w:tcPr>
          <w:p w:rsidR="00B31274" w:rsidRPr="00B31274" w:rsidRDefault="00FC65FB" w:rsidP="00B3127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PfS/DDPI</w:t>
            </w:r>
          </w:p>
        </w:tc>
        <w:tc>
          <w:tcPr>
            <w:tcW w:w="4120" w:type="dxa"/>
            <w:tcBorders>
              <w:top w:val="single" w:sz="4" w:space="0" w:color="auto"/>
              <w:left w:val="nil"/>
              <w:bottom w:val="single" w:sz="4" w:space="0" w:color="auto"/>
              <w:right w:val="single" w:sz="4" w:space="0" w:color="auto"/>
            </w:tcBorders>
            <w:shd w:val="clear" w:color="auto" w:fill="auto"/>
            <w:noWrap/>
            <w:vAlign w:val="bottom"/>
            <w:hideMark/>
          </w:tcPr>
          <w:p w:rsidR="00B31274" w:rsidRPr="00B31274" w:rsidRDefault="00B31274" w:rsidP="00B31274">
            <w:pPr>
              <w:spacing w:after="0" w:line="240" w:lineRule="auto"/>
              <w:jc w:val="center"/>
              <w:rPr>
                <w:rFonts w:ascii="Calibri" w:eastAsia="Times New Roman" w:hAnsi="Calibri" w:cs="Calibri"/>
                <w:b/>
                <w:bCs/>
                <w:color w:val="000000"/>
              </w:rPr>
            </w:pPr>
            <w:r w:rsidRPr="00B31274">
              <w:rPr>
                <w:rFonts w:ascii="Calibri" w:eastAsia="Times New Roman" w:hAnsi="Calibri" w:cs="Calibri"/>
                <w:b/>
                <w:bCs/>
                <w:color w:val="000000"/>
              </w:rPr>
              <w:t>CSTE Workgroup</w:t>
            </w:r>
          </w:p>
        </w:tc>
      </w:tr>
      <w:tr w:rsidR="00B31274" w:rsidRPr="00B31274" w:rsidTr="00B31274">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u w:val="single"/>
              </w:rPr>
              <w:t>Accidental</w:t>
            </w:r>
            <w:r w:rsidRPr="00B31274">
              <w:rPr>
                <w:rFonts w:ascii="Calibri" w:eastAsia="Times New Roman" w:hAnsi="Calibri" w:cs="Calibri"/>
                <w:color w:val="000000"/>
              </w:rPr>
              <w:t xml:space="preserve"> Poisoning by drugs, medical substances and biologicals</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E850 - E858  (all 50 codes)</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E850.0 Heroin                                                   E850.1 Methadone                                         E850.2 Other opiates and related narcotics  E851 Barbiturates                                            E852.0 Chloral hydrate                                  E852.1 Paraldehyde                                                   E852.2 Bromine compound                        E852.3 Methaqualone                                     E852.4 Glutethimide                                       E852.5 Mixed sedative NEC                        E852.8 Other sedative NEC                         E852.9 Unspecified sedative                     E853.2 Benzodiazepine-based tranquilizers E854.1 Psychodysleptics                                E854.2 Psychostimulants</w:t>
            </w: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u w:val="single"/>
              </w:rPr>
              <w:t>Suicide</w:t>
            </w:r>
            <w:r w:rsidRPr="00B31274">
              <w:rPr>
                <w:rFonts w:ascii="Calibri" w:eastAsia="Times New Roman" w:hAnsi="Calibri" w:cs="Calibri"/>
                <w:color w:val="000000"/>
              </w:rPr>
              <w:t xml:space="preserve"> and self-inflicted poisoning by solid or liquid substance</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E950.0 Analgesics                      E950.1 Barbiturates                     E950.2 Sedatives/hypnotics   E950.3 Psychotropic agents    E950.4 Other specified drug  E950.5 Unspecified  drug</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E950.1 Barbiturates                                            E950.2 Sedatives/hypnotics</w:t>
            </w: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u w:val="single"/>
              </w:rPr>
              <w:t>Assault</w:t>
            </w:r>
            <w:r w:rsidRPr="00B31274">
              <w:rPr>
                <w:rFonts w:ascii="Calibri" w:eastAsia="Times New Roman" w:hAnsi="Calibri" w:cs="Calibri"/>
                <w:color w:val="000000"/>
              </w:rPr>
              <w:t xml:space="preserve"> by drugs and medicinal substances</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E962.0 Drugs and med agents</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jc w:val="center"/>
              <w:rPr>
                <w:rFonts w:ascii="Calibri" w:eastAsia="Times New Roman" w:hAnsi="Calibri" w:cs="Calibri"/>
                <w:color w:val="000000"/>
              </w:rPr>
            </w:pPr>
            <w:r w:rsidRPr="00B31274">
              <w:rPr>
                <w:rFonts w:ascii="Calibri" w:eastAsia="Times New Roman" w:hAnsi="Calibri" w:cs="Calibri"/>
                <w:color w:val="000000"/>
              </w:rPr>
              <w:t>NA</w:t>
            </w: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 xml:space="preserve">Poisoning by solid or liquid substances </w:t>
            </w:r>
            <w:r w:rsidRPr="00B31274">
              <w:rPr>
                <w:rFonts w:ascii="Calibri" w:eastAsia="Times New Roman" w:hAnsi="Calibri" w:cs="Calibri"/>
                <w:color w:val="000000"/>
                <w:u w:val="single"/>
              </w:rPr>
              <w:t>undetermined</w:t>
            </w:r>
            <w:r w:rsidRPr="00B31274">
              <w:rPr>
                <w:rFonts w:ascii="Calibri" w:eastAsia="Times New Roman" w:hAnsi="Calibri" w:cs="Calibri"/>
                <w:color w:val="000000"/>
              </w:rPr>
              <w:t xml:space="preserve"> whether accidentally or purposely inflicted</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 xml:space="preserve">E980.0 Analgesics                      E980.1 Barbiturates                E980.2 Sedative/hypnotic NEC </w:t>
            </w:r>
            <w:r w:rsidR="007A2DD9">
              <w:rPr>
                <w:rFonts w:ascii="Calibri" w:eastAsia="Times New Roman" w:hAnsi="Calibri" w:cs="Calibri"/>
                <w:color w:val="000000"/>
              </w:rPr>
              <w:t xml:space="preserve">                                           </w:t>
            </w:r>
            <w:r w:rsidRPr="00B31274">
              <w:rPr>
                <w:rFonts w:ascii="Calibri" w:eastAsia="Times New Roman" w:hAnsi="Calibri" w:cs="Calibri"/>
                <w:color w:val="000000"/>
              </w:rPr>
              <w:t>E980.3 Psychotropics            E980.4 Medical agent NEC      E980.5 Unspecified med agent</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B31274" w:rsidRPr="00B31274" w:rsidRDefault="00B31274" w:rsidP="00B31274">
            <w:pPr>
              <w:spacing w:after="0" w:line="240" w:lineRule="auto"/>
              <w:rPr>
                <w:rFonts w:ascii="Calibri" w:eastAsia="Times New Roman" w:hAnsi="Calibri" w:cs="Calibri"/>
                <w:color w:val="000000"/>
              </w:rPr>
            </w:pPr>
            <w:r w:rsidRPr="00B31274">
              <w:rPr>
                <w:rFonts w:ascii="Calibri" w:eastAsia="Times New Roman" w:hAnsi="Calibri" w:cs="Calibri"/>
                <w:color w:val="000000"/>
              </w:rPr>
              <w:t>E980.1 Barbiturates                                               E980.2 Other sedative/hypnotic</w:t>
            </w: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r w:rsidR="00B31274" w:rsidRPr="00B31274" w:rsidTr="00B31274">
        <w:trPr>
          <w:trHeight w:val="300"/>
        </w:trPr>
        <w:tc>
          <w:tcPr>
            <w:tcW w:w="234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B31274" w:rsidRPr="00B31274" w:rsidRDefault="00B31274" w:rsidP="00B31274">
            <w:pPr>
              <w:spacing w:after="0" w:line="240" w:lineRule="auto"/>
              <w:rPr>
                <w:rFonts w:ascii="Calibri" w:eastAsia="Times New Roman" w:hAnsi="Calibri" w:cs="Calibri"/>
                <w:color w:val="000000"/>
              </w:rPr>
            </w:pPr>
          </w:p>
        </w:tc>
      </w:tr>
    </w:tbl>
    <w:p w:rsidR="00795577" w:rsidRDefault="00795577"/>
    <w:p w:rsidR="00795577" w:rsidRDefault="00795577"/>
    <w:p w:rsidR="00795577" w:rsidRDefault="00795577"/>
    <w:p w:rsidR="00E12D68" w:rsidRDefault="00E12D68">
      <w:r>
        <w:br w:type="page"/>
      </w:r>
    </w:p>
    <w:p w:rsidR="00795577" w:rsidRPr="009D25A9" w:rsidRDefault="009D25A9">
      <w:pPr>
        <w:rPr>
          <w:b/>
        </w:rPr>
      </w:pPr>
      <w:r w:rsidRPr="009D25A9">
        <w:rPr>
          <w:b/>
        </w:rPr>
        <w:lastRenderedPageBreak/>
        <w:t>Table 2.  Drug Hospitalization Sub-indicators: ICD-9-CM and ICD-9-CM E-codes</w:t>
      </w:r>
    </w:p>
    <w:tbl>
      <w:tblPr>
        <w:tblW w:w="9380" w:type="dxa"/>
        <w:tblInd w:w="93" w:type="dxa"/>
        <w:tblLook w:val="04A0" w:firstRow="1" w:lastRow="0" w:firstColumn="1" w:lastColumn="0" w:noHBand="0" w:noVBand="1"/>
      </w:tblPr>
      <w:tblGrid>
        <w:gridCol w:w="2340"/>
        <w:gridCol w:w="3520"/>
        <w:gridCol w:w="3520"/>
      </w:tblGrid>
      <w:tr w:rsidR="005D528A" w:rsidRPr="005D528A" w:rsidTr="005D528A">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528A" w:rsidRPr="005D528A" w:rsidRDefault="005D528A" w:rsidP="005D528A">
            <w:pPr>
              <w:spacing w:after="0" w:line="240" w:lineRule="auto"/>
              <w:jc w:val="center"/>
              <w:rPr>
                <w:rFonts w:ascii="Calibri" w:eastAsia="Times New Roman" w:hAnsi="Calibri" w:cs="Calibri"/>
                <w:b/>
                <w:bCs/>
                <w:color w:val="000000"/>
              </w:rPr>
            </w:pPr>
            <w:r w:rsidRPr="005D528A">
              <w:rPr>
                <w:rFonts w:ascii="Calibri" w:eastAsia="Times New Roman" w:hAnsi="Calibri" w:cs="Calibri"/>
                <w:b/>
                <w:bCs/>
                <w:color w:val="000000"/>
              </w:rPr>
              <w:t>Sub-indicator</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5D528A" w:rsidRPr="005D528A" w:rsidRDefault="00212467" w:rsidP="005D528A">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PfS/DDPI</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5D528A" w:rsidRPr="005D528A" w:rsidRDefault="005D528A" w:rsidP="005D528A">
            <w:pPr>
              <w:spacing w:after="0" w:line="240" w:lineRule="auto"/>
              <w:jc w:val="center"/>
              <w:rPr>
                <w:rFonts w:ascii="Calibri" w:eastAsia="Times New Roman" w:hAnsi="Calibri" w:cs="Calibri"/>
                <w:b/>
                <w:bCs/>
                <w:color w:val="000000"/>
              </w:rPr>
            </w:pPr>
            <w:r w:rsidRPr="005D528A">
              <w:rPr>
                <w:rFonts w:ascii="Calibri" w:eastAsia="Times New Roman" w:hAnsi="Calibri" w:cs="Calibri"/>
                <w:b/>
                <w:bCs/>
                <w:color w:val="000000"/>
              </w:rPr>
              <w:t>CSTE Workgroup</w:t>
            </w: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Poisoning by heroin</w:t>
            </w:r>
          </w:p>
        </w:tc>
        <w:tc>
          <w:tcPr>
            <w:tcW w:w="3520" w:type="dxa"/>
            <w:tcBorders>
              <w:top w:val="nil"/>
              <w:left w:val="nil"/>
              <w:bottom w:val="dashed"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 xml:space="preserve">965.01 Heroin OR                               </w:t>
            </w:r>
          </w:p>
        </w:tc>
        <w:tc>
          <w:tcPr>
            <w:tcW w:w="3520" w:type="dxa"/>
            <w:tcBorders>
              <w:top w:val="nil"/>
              <w:left w:val="nil"/>
              <w:bottom w:val="dashed"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 xml:space="preserve">965.01 Heroin OR                               </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tcBorders>
              <w:top w:val="dashed" w:sz="4" w:space="0" w:color="auto"/>
              <w:left w:val="nil"/>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E850.0 Accidental poisoning:  heroin</w:t>
            </w:r>
          </w:p>
        </w:tc>
        <w:tc>
          <w:tcPr>
            <w:tcW w:w="3520" w:type="dxa"/>
            <w:tcBorders>
              <w:top w:val="dashed" w:sz="4" w:space="0" w:color="auto"/>
              <w:left w:val="nil"/>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E850.0 Accidental poisoning:  heroin</w:t>
            </w: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Poisoning by opioids other than heroin</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965.00 Opium                                              965.02 Methadone                                   965.09 Other opiates/narcotics  OR</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965.00 Opium                                              965.02 Methadone                                   965.09 Other opiates/narcotics  OR</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dashed"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dashed"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val="restart"/>
            <w:tcBorders>
              <w:top w:val="dashed" w:sz="4" w:space="0" w:color="auto"/>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E850.1 Accidental: methadone         E850.2 Accidental: other opiates</w:t>
            </w:r>
          </w:p>
        </w:tc>
        <w:tc>
          <w:tcPr>
            <w:tcW w:w="3520" w:type="dxa"/>
            <w:vMerge w:val="restart"/>
            <w:tcBorders>
              <w:top w:val="dashed" w:sz="4" w:space="0" w:color="auto"/>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E850.1 Accidental: methadone         E850.2 Accidental: other opiates</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dashed" w:sz="4" w:space="0" w:color="auto"/>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dashed" w:sz="4" w:space="0" w:color="auto"/>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Poisoning by Cocaine</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jc w:val="center"/>
              <w:rPr>
                <w:rFonts w:ascii="Calibri" w:eastAsia="Times New Roman" w:hAnsi="Calibri" w:cs="Calibri"/>
                <w:color w:val="000000"/>
              </w:rPr>
            </w:pPr>
            <w:r w:rsidRPr="005D528A">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970.81 Cocaine</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6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Poisoning by Benzodiazepine-based tranquilizers</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jc w:val="center"/>
              <w:rPr>
                <w:rFonts w:ascii="Calibri" w:eastAsia="Times New Roman" w:hAnsi="Calibri" w:cs="Calibri"/>
                <w:color w:val="000000"/>
              </w:rPr>
            </w:pPr>
            <w:r w:rsidRPr="005D528A">
              <w:rPr>
                <w:rFonts w:ascii="Calibri" w:eastAsia="Times New Roman" w:hAnsi="Calibri" w:cs="Calibri"/>
                <w:color w:val="000000"/>
              </w:rPr>
              <w:t>NA</w:t>
            </w:r>
          </w:p>
        </w:tc>
        <w:tc>
          <w:tcPr>
            <w:tcW w:w="3520" w:type="dxa"/>
            <w:tcBorders>
              <w:top w:val="nil"/>
              <w:left w:val="nil"/>
              <w:bottom w:val="dashed"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969.4 Benzodiazepine-based tranquilizers OR</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val="restart"/>
            <w:tcBorders>
              <w:top w:val="dashed" w:sz="4" w:space="0" w:color="auto"/>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E853.2 Benzodiazepine-based tranquilizers</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single" w:sz="4" w:space="0" w:color="auto"/>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Poisoning by Amphetamines</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jc w:val="center"/>
              <w:rPr>
                <w:rFonts w:ascii="Calibri" w:eastAsia="Times New Roman" w:hAnsi="Calibri" w:cs="Calibri"/>
                <w:color w:val="000000"/>
              </w:rPr>
            </w:pPr>
            <w:r w:rsidRPr="005D528A">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969.72 Amphetamine</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Cocaine abuse or dependence</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jc w:val="center"/>
              <w:rPr>
                <w:rFonts w:ascii="Calibri" w:eastAsia="Times New Roman" w:hAnsi="Calibri" w:cs="Calibri"/>
                <w:color w:val="000000"/>
              </w:rPr>
            </w:pPr>
            <w:r w:rsidRPr="005D528A">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304.2 Cocaine dependence               305.6 Cocaine abuse</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Opio</w:t>
            </w:r>
            <w:r w:rsidR="00AD50CD">
              <w:rPr>
                <w:rFonts w:ascii="Calibri" w:eastAsia="Times New Roman" w:hAnsi="Calibri" w:cs="Calibri"/>
                <w:color w:val="000000"/>
              </w:rPr>
              <w:t>i</w:t>
            </w:r>
            <w:r w:rsidRPr="005D528A">
              <w:rPr>
                <w:rFonts w:ascii="Calibri" w:eastAsia="Times New Roman" w:hAnsi="Calibri" w:cs="Calibri"/>
                <w:color w:val="000000"/>
              </w:rPr>
              <w:t>d abuse or dependence</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jc w:val="center"/>
              <w:rPr>
                <w:rFonts w:ascii="Calibri" w:eastAsia="Times New Roman" w:hAnsi="Calibri" w:cs="Calibri"/>
                <w:color w:val="000000"/>
              </w:rPr>
            </w:pPr>
            <w:r w:rsidRPr="005D528A">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5D528A" w:rsidRPr="005D528A" w:rsidRDefault="005D528A" w:rsidP="005D528A">
            <w:pPr>
              <w:spacing w:after="0" w:line="240" w:lineRule="auto"/>
              <w:rPr>
                <w:rFonts w:ascii="Calibri" w:eastAsia="Times New Roman" w:hAnsi="Calibri" w:cs="Calibri"/>
                <w:color w:val="000000"/>
              </w:rPr>
            </w:pPr>
            <w:r w:rsidRPr="005D528A">
              <w:rPr>
                <w:rFonts w:ascii="Calibri" w:eastAsia="Times New Roman" w:hAnsi="Calibri" w:cs="Calibri"/>
                <w:color w:val="000000"/>
              </w:rPr>
              <w:t>304.0 Opioid dependence              304.7 Opioid &amp; other drug depend 305.5 Opioid abuse</w:t>
            </w: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r w:rsidR="005D528A" w:rsidRPr="005D528A" w:rsidTr="005D528A">
        <w:trPr>
          <w:trHeight w:val="300"/>
        </w:trPr>
        <w:tc>
          <w:tcPr>
            <w:tcW w:w="234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5D528A" w:rsidRPr="005D528A" w:rsidRDefault="005D528A" w:rsidP="005D528A">
            <w:pPr>
              <w:spacing w:after="0" w:line="240" w:lineRule="auto"/>
              <w:rPr>
                <w:rFonts w:ascii="Calibri" w:eastAsia="Times New Roman" w:hAnsi="Calibri" w:cs="Calibri"/>
                <w:color w:val="000000"/>
              </w:rPr>
            </w:pPr>
          </w:p>
        </w:tc>
      </w:tr>
    </w:tbl>
    <w:p w:rsidR="009D25A9" w:rsidRDefault="009D25A9"/>
    <w:p w:rsidR="00F8503F" w:rsidRDefault="00F8503F">
      <w:r>
        <w:br w:type="page"/>
      </w:r>
    </w:p>
    <w:p w:rsidR="009D25A9" w:rsidRDefault="00FF495F">
      <w:pPr>
        <w:rPr>
          <w:b/>
        </w:rPr>
      </w:pPr>
      <w:r w:rsidRPr="00FF495F">
        <w:rPr>
          <w:b/>
        </w:rPr>
        <w:lastRenderedPageBreak/>
        <w:t>Table 3.</w:t>
      </w:r>
      <w:r>
        <w:t xml:space="preserve">  </w:t>
      </w:r>
      <w:r w:rsidR="00865B10">
        <w:rPr>
          <w:b/>
        </w:rPr>
        <w:t>Overall</w:t>
      </w:r>
      <w:r w:rsidRPr="00EC7668">
        <w:rPr>
          <w:b/>
        </w:rPr>
        <w:t xml:space="preserve"> Drug-Related Hospitalization</w:t>
      </w:r>
      <w:r w:rsidR="00865B10">
        <w:rPr>
          <w:b/>
        </w:rPr>
        <w:t xml:space="preserve"> Indicators</w:t>
      </w:r>
      <w:r w:rsidRPr="00EC7668">
        <w:rPr>
          <w:b/>
        </w:rPr>
        <w:t>:  ICD-</w:t>
      </w:r>
      <w:r>
        <w:rPr>
          <w:b/>
        </w:rPr>
        <w:t>10</w:t>
      </w:r>
      <w:r w:rsidRPr="00EC7668">
        <w:rPr>
          <w:b/>
        </w:rPr>
        <w:t xml:space="preserve">-CM </w:t>
      </w:r>
      <w:r>
        <w:rPr>
          <w:b/>
        </w:rPr>
        <w:t>Codes</w:t>
      </w:r>
    </w:p>
    <w:tbl>
      <w:tblPr>
        <w:tblW w:w="9380" w:type="dxa"/>
        <w:tblInd w:w="93" w:type="dxa"/>
        <w:tblLook w:val="04A0" w:firstRow="1" w:lastRow="0" w:firstColumn="1" w:lastColumn="0" w:noHBand="0" w:noVBand="1"/>
      </w:tblPr>
      <w:tblGrid>
        <w:gridCol w:w="2340"/>
        <w:gridCol w:w="2920"/>
        <w:gridCol w:w="4120"/>
      </w:tblGrid>
      <w:tr w:rsidR="00FF495F" w:rsidRPr="00FF495F" w:rsidTr="00FF495F">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495F" w:rsidRPr="00FF495F" w:rsidRDefault="00FF495F" w:rsidP="00FF495F">
            <w:pPr>
              <w:spacing w:after="0" w:line="240" w:lineRule="auto"/>
              <w:jc w:val="center"/>
              <w:rPr>
                <w:rFonts w:ascii="Calibri" w:eastAsia="Times New Roman" w:hAnsi="Calibri" w:cs="Calibri"/>
                <w:b/>
                <w:bCs/>
                <w:color w:val="000000"/>
              </w:rPr>
            </w:pPr>
            <w:r w:rsidRPr="00FF495F">
              <w:rPr>
                <w:rFonts w:ascii="Calibri" w:eastAsia="Times New Roman" w:hAnsi="Calibri" w:cs="Calibri"/>
                <w:b/>
                <w:bCs/>
                <w:color w:val="000000"/>
              </w:rPr>
              <w:t>Category</w:t>
            </w:r>
          </w:p>
        </w:tc>
        <w:tc>
          <w:tcPr>
            <w:tcW w:w="2920" w:type="dxa"/>
            <w:tcBorders>
              <w:top w:val="single" w:sz="4" w:space="0" w:color="auto"/>
              <w:left w:val="nil"/>
              <w:bottom w:val="single" w:sz="4" w:space="0" w:color="auto"/>
              <w:right w:val="single" w:sz="4" w:space="0" w:color="auto"/>
            </w:tcBorders>
            <w:shd w:val="clear" w:color="auto" w:fill="auto"/>
            <w:noWrap/>
            <w:vAlign w:val="bottom"/>
            <w:hideMark/>
          </w:tcPr>
          <w:p w:rsidR="00FF495F" w:rsidRPr="00FF495F" w:rsidRDefault="00212467" w:rsidP="00FF495F">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PfS/DDPI</w:t>
            </w:r>
          </w:p>
        </w:tc>
        <w:tc>
          <w:tcPr>
            <w:tcW w:w="4120" w:type="dxa"/>
            <w:tcBorders>
              <w:top w:val="single" w:sz="4" w:space="0" w:color="auto"/>
              <w:left w:val="nil"/>
              <w:bottom w:val="single" w:sz="4" w:space="0" w:color="auto"/>
              <w:right w:val="single" w:sz="4" w:space="0" w:color="auto"/>
            </w:tcBorders>
            <w:shd w:val="clear" w:color="auto" w:fill="auto"/>
            <w:noWrap/>
            <w:vAlign w:val="bottom"/>
            <w:hideMark/>
          </w:tcPr>
          <w:p w:rsidR="00FF495F" w:rsidRPr="00FF495F" w:rsidRDefault="00FF495F" w:rsidP="00FF495F">
            <w:pPr>
              <w:spacing w:after="0" w:line="240" w:lineRule="auto"/>
              <w:jc w:val="center"/>
              <w:rPr>
                <w:rFonts w:ascii="Calibri" w:eastAsia="Times New Roman" w:hAnsi="Calibri" w:cs="Calibri"/>
                <w:b/>
                <w:bCs/>
                <w:color w:val="000000"/>
              </w:rPr>
            </w:pPr>
            <w:r w:rsidRPr="00FF495F">
              <w:rPr>
                <w:rFonts w:ascii="Calibri" w:eastAsia="Times New Roman" w:hAnsi="Calibri" w:cs="Calibri"/>
                <w:b/>
                <w:bCs/>
                <w:color w:val="000000"/>
              </w:rPr>
              <w:t>CSTE AOD Subcommittee</w:t>
            </w:r>
          </w:p>
        </w:tc>
      </w:tr>
      <w:tr w:rsidR="00FF495F" w:rsidRPr="00FF495F" w:rsidTr="00FF495F">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Mental and behavioral disorders due to psychoactive substance use</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jc w:val="center"/>
              <w:rPr>
                <w:rFonts w:ascii="Calibri" w:eastAsia="Times New Roman" w:hAnsi="Calibri" w:cs="Calibri"/>
                <w:color w:val="000000"/>
              </w:rPr>
            </w:pPr>
            <w:r w:rsidRPr="00FF495F">
              <w:rPr>
                <w:rFonts w:ascii="Calibri" w:eastAsia="Times New Roman" w:hAnsi="Calibri" w:cs="Calibri"/>
                <w:color w:val="000000"/>
              </w:rPr>
              <w:t>NA</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F11 Opioid-related disorders                         F12 Cannabis-related disorders                      F13 Sedative, hypnotic, anxiolytic disorders F14 Cocaine-related disorders                        F15 Other stimulant-related disorders         F16 Hallucinogen-related disorders               F19 Other psychoactive substance disorders</w:t>
            </w: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Drug use complicating pregnancy, childbirth, and the puerperium</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jc w:val="center"/>
              <w:rPr>
                <w:rFonts w:ascii="Calibri" w:eastAsia="Times New Roman" w:hAnsi="Calibri" w:cs="Calibri"/>
                <w:color w:val="000000"/>
              </w:rPr>
            </w:pPr>
            <w:r w:rsidRPr="00FF495F">
              <w:rPr>
                <w:rFonts w:ascii="Calibri" w:eastAsia="Times New Roman" w:hAnsi="Calibri" w:cs="Calibri"/>
                <w:color w:val="000000"/>
              </w:rPr>
              <w:t>NA</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O99.32 Drug use complicating pregnancy, childbirth, and the puerperium</w:t>
            </w: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Newborn affected by maternal factors</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jc w:val="center"/>
              <w:rPr>
                <w:rFonts w:ascii="Calibri" w:eastAsia="Times New Roman" w:hAnsi="Calibri" w:cs="Calibri"/>
                <w:color w:val="000000"/>
              </w:rPr>
            </w:pPr>
            <w:r w:rsidRPr="00FF495F">
              <w:rPr>
                <w:rFonts w:ascii="Calibri" w:eastAsia="Times New Roman" w:hAnsi="Calibri" w:cs="Calibri"/>
                <w:color w:val="000000"/>
              </w:rPr>
              <w:t>NA</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P04.4 Newborn affected by maternal use of drugs of addiction</w:t>
            </w: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Other conditions originating in the perinatal period</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jc w:val="center"/>
              <w:rPr>
                <w:rFonts w:ascii="Calibri" w:eastAsia="Times New Roman" w:hAnsi="Calibri" w:cs="Calibri"/>
                <w:color w:val="000000"/>
              </w:rPr>
            </w:pPr>
            <w:r w:rsidRPr="00FF495F">
              <w:rPr>
                <w:rFonts w:ascii="Calibri" w:eastAsia="Times New Roman" w:hAnsi="Calibri" w:cs="Calibri"/>
                <w:color w:val="000000"/>
              </w:rPr>
              <w:t>NA</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P96.1 Neonatal withdrawal symptoms from maternal use of drugs of addiction</w:t>
            </w: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Poisoning by drugs, medicaments and biological substances*</w:t>
            </w:r>
          </w:p>
        </w:tc>
        <w:tc>
          <w:tcPr>
            <w:tcW w:w="29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FF495F">
            <w:pPr>
              <w:spacing w:after="0" w:line="240" w:lineRule="auto"/>
              <w:rPr>
                <w:rFonts w:ascii="Calibri" w:eastAsia="Times New Roman" w:hAnsi="Calibri" w:cs="Calibri"/>
                <w:color w:val="000000"/>
              </w:rPr>
            </w:pPr>
            <w:r w:rsidRPr="00FF495F">
              <w:rPr>
                <w:rFonts w:ascii="Calibri" w:eastAsia="Times New Roman" w:hAnsi="Calibri" w:cs="Calibri"/>
                <w:color w:val="000000"/>
              </w:rPr>
              <w:t>T36-T50 All drugs, medicaments and biological substances</w:t>
            </w:r>
          </w:p>
        </w:tc>
        <w:tc>
          <w:tcPr>
            <w:tcW w:w="4120" w:type="dxa"/>
            <w:vMerge w:val="restart"/>
            <w:tcBorders>
              <w:top w:val="nil"/>
              <w:left w:val="single" w:sz="4" w:space="0" w:color="auto"/>
              <w:bottom w:val="single" w:sz="4" w:space="0" w:color="auto"/>
              <w:right w:val="single" w:sz="4" w:space="0" w:color="auto"/>
            </w:tcBorders>
            <w:shd w:val="clear" w:color="auto" w:fill="auto"/>
            <w:vAlign w:val="center"/>
            <w:hideMark/>
          </w:tcPr>
          <w:p w:rsidR="00FF495F" w:rsidRPr="00FF495F" w:rsidRDefault="00FF495F" w:rsidP="00372FAD">
            <w:pPr>
              <w:spacing w:after="0" w:line="240" w:lineRule="auto"/>
              <w:rPr>
                <w:rFonts w:ascii="Calibri" w:eastAsia="Times New Roman" w:hAnsi="Calibri" w:cs="Calibri"/>
                <w:color w:val="000000"/>
              </w:rPr>
            </w:pPr>
            <w:r w:rsidRPr="00FF495F">
              <w:rPr>
                <w:rFonts w:ascii="Calibri" w:eastAsia="Times New Roman" w:hAnsi="Calibri" w:cs="Calibri"/>
                <w:color w:val="000000"/>
              </w:rPr>
              <w:t>T40.0-</w:t>
            </w:r>
            <w:r w:rsidR="00372FAD">
              <w:rPr>
                <w:rFonts w:ascii="Calibri" w:eastAsia="Times New Roman" w:hAnsi="Calibri" w:cs="Calibri"/>
                <w:color w:val="000000"/>
              </w:rPr>
              <w:t>T</w:t>
            </w:r>
            <w:r w:rsidRPr="00FF495F">
              <w:rPr>
                <w:rFonts w:ascii="Calibri" w:eastAsia="Times New Roman" w:hAnsi="Calibri" w:cs="Calibri"/>
                <w:color w:val="000000"/>
              </w:rPr>
              <w:t>40.9 Opioids, other narcotics,                         cocaine, cannabis and hallucinogens             T42.3 Barbiturates                                                         T42.4 Benzodiazepines                                           T42.6 Antiepileptics &amp; sedatives/hypnotics T42.7 Unspecified antiepileptices &amp; sedatives/hypnotics                                             T43.6 Psychstimulants</w:t>
            </w: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234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29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c>
          <w:tcPr>
            <w:tcW w:w="4120" w:type="dxa"/>
            <w:vMerge/>
            <w:tcBorders>
              <w:top w:val="nil"/>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9380"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FF495F" w:rsidRPr="00FF495F" w:rsidRDefault="00FF495F" w:rsidP="00372FAD">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r w:rsidRPr="00FF495F">
              <w:rPr>
                <w:rFonts w:ascii="Calibri" w:eastAsia="Times New Roman" w:hAnsi="Calibri" w:cs="Calibri"/>
                <w:color w:val="000000"/>
              </w:rPr>
              <w:t xml:space="preserve">For both recommended lists, T codes (the </w:t>
            </w:r>
            <w:r w:rsidR="00372FAD">
              <w:rPr>
                <w:rFonts w:ascii="Calibri" w:eastAsia="Times New Roman" w:hAnsi="Calibri" w:cs="Calibri"/>
                <w:color w:val="000000"/>
              </w:rPr>
              <w:t>5</w:t>
            </w:r>
            <w:r w:rsidR="00372FAD" w:rsidRPr="00372FAD">
              <w:rPr>
                <w:rFonts w:ascii="Calibri" w:eastAsia="Times New Roman" w:hAnsi="Calibri" w:cs="Calibri"/>
                <w:color w:val="000000"/>
                <w:vertAlign w:val="superscript"/>
              </w:rPr>
              <w:t>th</w:t>
            </w:r>
            <w:r w:rsidRPr="00FF495F">
              <w:rPr>
                <w:rFonts w:ascii="Calibri" w:eastAsia="Times New Roman" w:hAnsi="Calibri" w:cs="Calibri"/>
                <w:color w:val="000000"/>
              </w:rPr>
              <w:t xml:space="preserve"> or </w:t>
            </w:r>
            <w:r w:rsidR="00372FAD">
              <w:rPr>
                <w:rFonts w:ascii="Calibri" w:eastAsia="Times New Roman" w:hAnsi="Calibri" w:cs="Calibri"/>
                <w:color w:val="000000"/>
              </w:rPr>
              <w:t>6</w:t>
            </w:r>
            <w:r w:rsidR="00372FAD" w:rsidRPr="00372FAD">
              <w:rPr>
                <w:rFonts w:ascii="Calibri" w:eastAsia="Times New Roman" w:hAnsi="Calibri" w:cs="Calibri"/>
                <w:color w:val="000000"/>
                <w:vertAlign w:val="superscript"/>
              </w:rPr>
              <w:t>th</w:t>
            </w:r>
            <w:r w:rsidRPr="00FF495F">
              <w:rPr>
                <w:rFonts w:ascii="Calibri" w:eastAsia="Times New Roman" w:hAnsi="Calibri" w:cs="Calibri"/>
                <w:color w:val="000000"/>
              </w:rPr>
              <w:t xml:space="preserve"> character) are restricted to intention (external cause of injury) codes of 1 (accidental/unintentional), 2 (intentional self-harm), 3 (assault), and 4 (undetermined).  </w:t>
            </w:r>
            <w:r w:rsidR="00372FAD">
              <w:rPr>
                <w:rFonts w:ascii="Calibri" w:eastAsia="Times New Roman" w:hAnsi="Calibri" w:cs="Calibri"/>
                <w:color w:val="000000"/>
              </w:rPr>
              <w:t>5</w:t>
            </w:r>
            <w:r w:rsidR="00372FAD" w:rsidRPr="00372FAD">
              <w:rPr>
                <w:rFonts w:ascii="Calibri" w:eastAsia="Times New Roman" w:hAnsi="Calibri" w:cs="Calibri"/>
                <w:color w:val="000000"/>
                <w:vertAlign w:val="superscript"/>
              </w:rPr>
              <w:t>th</w:t>
            </w:r>
            <w:r w:rsidR="00372FAD">
              <w:rPr>
                <w:rFonts w:ascii="Calibri" w:eastAsia="Times New Roman" w:hAnsi="Calibri" w:cs="Calibri"/>
                <w:color w:val="000000"/>
              </w:rPr>
              <w:t xml:space="preserve"> or 6</w:t>
            </w:r>
            <w:r w:rsidR="00372FAD" w:rsidRPr="00372FAD">
              <w:rPr>
                <w:rFonts w:ascii="Calibri" w:eastAsia="Times New Roman" w:hAnsi="Calibri" w:cs="Calibri"/>
                <w:color w:val="000000"/>
                <w:vertAlign w:val="superscript"/>
              </w:rPr>
              <w:t>th</w:t>
            </w:r>
            <w:r w:rsidR="00372FAD">
              <w:rPr>
                <w:rFonts w:ascii="Calibri" w:eastAsia="Times New Roman" w:hAnsi="Calibri" w:cs="Calibri"/>
                <w:color w:val="000000"/>
              </w:rPr>
              <w:t xml:space="preserve"> character of</w:t>
            </w:r>
            <w:r w:rsidRPr="00FF495F">
              <w:rPr>
                <w:rFonts w:ascii="Calibri" w:eastAsia="Times New Roman" w:hAnsi="Calibri" w:cs="Calibri"/>
                <w:color w:val="000000"/>
              </w:rPr>
              <w:t xml:space="preserve"> 5 (adverse effect) and 6 (underdosing) are excluded.  Additionally the 7</w:t>
            </w:r>
            <w:r w:rsidRPr="00372FAD">
              <w:rPr>
                <w:rFonts w:ascii="Calibri" w:eastAsia="Times New Roman" w:hAnsi="Calibri" w:cs="Calibri"/>
                <w:color w:val="000000"/>
                <w:vertAlign w:val="superscript"/>
              </w:rPr>
              <w:t>th</w:t>
            </w:r>
            <w:r w:rsidRPr="00FF495F">
              <w:rPr>
                <w:rFonts w:ascii="Calibri" w:eastAsia="Times New Roman" w:hAnsi="Calibri" w:cs="Calibri"/>
                <w:color w:val="000000"/>
              </w:rPr>
              <w:t xml:space="preserve"> character, representing the encounter, is limited to A (initial encounter) and D (subsequent encounter).  </w:t>
            </w:r>
            <w:r w:rsidR="00372FAD">
              <w:rPr>
                <w:rFonts w:ascii="Calibri" w:eastAsia="Times New Roman" w:hAnsi="Calibri" w:cs="Calibri"/>
                <w:color w:val="000000"/>
              </w:rPr>
              <w:t>7</w:t>
            </w:r>
            <w:r w:rsidR="00372FAD" w:rsidRPr="00372FAD">
              <w:rPr>
                <w:rFonts w:ascii="Calibri" w:eastAsia="Times New Roman" w:hAnsi="Calibri" w:cs="Calibri"/>
                <w:color w:val="000000"/>
                <w:vertAlign w:val="superscript"/>
              </w:rPr>
              <w:t>th</w:t>
            </w:r>
            <w:r w:rsidR="00372FAD">
              <w:rPr>
                <w:rFonts w:ascii="Calibri" w:eastAsia="Times New Roman" w:hAnsi="Calibri" w:cs="Calibri"/>
                <w:color w:val="000000"/>
              </w:rPr>
              <w:t xml:space="preserve"> character of </w:t>
            </w:r>
            <w:r w:rsidRPr="00FF495F">
              <w:rPr>
                <w:rFonts w:ascii="Calibri" w:eastAsia="Times New Roman" w:hAnsi="Calibri" w:cs="Calibri"/>
                <w:color w:val="000000"/>
              </w:rPr>
              <w:t xml:space="preserve">S (sequela) is excluded.        </w:t>
            </w:r>
          </w:p>
        </w:tc>
      </w:tr>
      <w:tr w:rsidR="00FF495F" w:rsidRPr="00FF495F" w:rsidTr="00FF495F">
        <w:trPr>
          <w:trHeight w:val="300"/>
        </w:trPr>
        <w:tc>
          <w:tcPr>
            <w:tcW w:w="9380" w:type="dxa"/>
            <w:gridSpan w:val="3"/>
            <w:vMerge/>
            <w:tcBorders>
              <w:top w:val="single" w:sz="4" w:space="0" w:color="auto"/>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9380" w:type="dxa"/>
            <w:gridSpan w:val="3"/>
            <w:vMerge/>
            <w:tcBorders>
              <w:top w:val="single" w:sz="4" w:space="0" w:color="auto"/>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9380" w:type="dxa"/>
            <w:gridSpan w:val="3"/>
            <w:vMerge/>
            <w:tcBorders>
              <w:top w:val="single" w:sz="4" w:space="0" w:color="auto"/>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r w:rsidR="00FF495F" w:rsidRPr="00FF495F" w:rsidTr="00FF495F">
        <w:trPr>
          <w:trHeight w:val="300"/>
        </w:trPr>
        <w:tc>
          <w:tcPr>
            <w:tcW w:w="9380" w:type="dxa"/>
            <w:gridSpan w:val="3"/>
            <w:vMerge/>
            <w:tcBorders>
              <w:top w:val="single" w:sz="4" w:space="0" w:color="auto"/>
              <w:left w:val="single" w:sz="4" w:space="0" w:color="auto"/>
              <w:bottom w:val="single" w:sz="4" w:space="0" w:color="auto"/>
              <w:right w:val="single" w:sz="4" w:space="0" w:color="auto"/>
            </w:tcBorders>
            <w:vAlign w:val="center"/>
            <w:hideMark/>
          </w:tcPr>
          <w:p w:rsidR="00FF495F" w:rsidRPr="00FF495F" w:rsidRDefault="00FF495F" w:rsidP="00FF495F">
            <w:pPr>
              <w:spacing w:after="0" w:line="240" w:lineRule="auto"/>
              <w:rPr>
                <w:rFonts w:ascii="Calibri" w:eastAsia="Times New Roman" w:hAnsi="Calibri" w:cs="Calibri"/>
                <w:color w:val="000000"/>
              </w:rPr>
            </w:pPr>
          </w:p>
        </w:tc>
      </w:tr>
    </w:tbl>
    <w:p w:rsidR="00FF495F" w:rsidRDefault="00FF495F">
      <w:pPr>
        <w:rPr>
          <w:b/>
        </w:rPr>
      </w:pPr>
    </w:p>
    <w:p w:rsidR="00FF495F" w:rsidRDefault="00FF495F">
      <w:pPr>
        <w:rPr>
          <w:b/>
        </w:rPr>
      </w:pPr>
    </w:p>
    <w:p w:rsidR="009B14CC" w:rsidRDefault="009B14CC">
      <w:r>
        <w:br w:type="page"/>
      </w:r>
    </w:p>
    <w:p w:rsidR="009B14CC" w:rsidRDefault="009B14CC" w:rsidP="009B14CC">
      <w:pPr>
        <w:rPr>
          <w:b/>
        </w:rPr>
      </w:pPr>
      <w:r w:rsidRPr="009D25A9">
        <w:rPr>
          <w:b/>
        </w:rPr>
        <w:lastRenderedPageBreak/>
        <w:t xml:space="preserve">Table </w:t>
      </w:r>
      <w:r>
        <w:rPr>
          <w:b/>
        </w:rPr>
        <w:t>4</w:t>
      </w:r>
      <w:r w:rsidRPr="009D25A9">
        <w:rPr>
          <w:b/>
        </w:rPr>
        <w:t>.  Drug Hospitalization Sub-indicators: ICD-</w:t>
      </w:r>
      <w:r>
        <w:rPr>
          <w:b/>
        </w:rPr>
        <w:t>10</w:t>
      </w:r>
      <w:r w:rsidRPr="009D25A9">
        <w:rPr>
          <w:b/>
        </w:rPr>
        <w:t xml:space="preserve">-CM </w:t>
      </w:r>
      <w:r>
        <w:rPr>
          <w:b/>
        </w:rPr>
        <w:t>C</w:t>
      </w:r>
      <w:r w:rsidRPr="009D25A9">
        <w:rPr>
          <w:b/>
        </w:rPr>
        <w:t>odes</w:t>
      </w:r>
    </w:p>
    <w:tbl>
      <w:tblPr>
        <w:tblW w:w="9380" w:type="dxa"/>
        <w:tblInd w:w="93" w:type="dxa"/>
        <w:tblLook w:val="04A0" w:firstRow="1" w:lastRow="0" w:firstColumn="1" w:lastColumn="0" w:noHBand="0" w:noVBand="1"/>
      </w:tblPr>
      <w:tblGrid>
        <w:gridCol w:w="2340"/>
        <w:gridCol w:w="3520"/>
        <w:gridCol w:w="3520"/>
      </w:tblGrid>
      <w:tr w:rsidR="00361785" w:rsidRPr="00361785" w:rsidTr="00361785">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1785" w:rsidRPr="00361785" w:rsidRDefault="00361785" w:rsidP="00361785">
            <w:pPr>
              <w:spacing w:after="0" w:line="240" w:lineRule="auto"/>
              <w:jc w:val="center"/>
              <w:rPr>
                <w:rFonts w:ascii="Calibri" w:eastAsia="Times New Roman" w:hAnsi="Calibri" w:cs="Calibri"/>
                <w:b/>
                <w:bCs/>
                <w:color w:val="000000"/>
              </w:rPr>
            </w:pPr>
            <w:r w:rsidRPr="00361785">
              <w:rPr>
                <w:rFonts w:ascii="Calibri" w:eastAsia="Times New Roman" w:hAnsi="Calibri" w:cs="Calibri"/>
                <w:b/>
                <w:bCs/>
                <w:color w:val="000000"/>
              </w:rPr>
              <w:t>Sub-indicator</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361785" w:rsidRPr="00361785" w:rsidRDefault="00212467" w:rsidP="00361785">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PfS/DDPI</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361785" w:rsidRPr="00361785" w:rsidRDefault="00361785" w:rsidP="00361785">
            <w:pPr>
              <w:spacing w:after="0" w:line="240" w:lineRule="auto"/>
              <w:jc w:val="center"/>
              <w:rPr>
                <w:rFonts w:ascii="Calibri" w:eastAsia="Times New Roman" w:hAnsi="Calibri" w:cs="Calibri"/>
                <w:b/>
                <w:bCs/>
                <w:color w:val="000000"/>
              </w:rPr>
            </w:pPr>
            <w:r w:rsidRPr="00361785">
              <w:rPr>
                <w:rFonts w:ascii="Calibri" w:eastAsia="Times New Roman" w:hAnsi="Calibri" w:cs="Calibri"/>
                <w:b/>
                <w:bCs/>
                <w:color w:val="000000"/>
              </w:rPr>
              <w:t>CSTE Workgroup*</w:t>
            </w:r>
          </w:p>
        </w:tc>
      </w:tr>
      <w:tr w:rsidR="00361785" w:rsidRPr="00361785" w:rsidTr="0036178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Poisoning by heroin</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T40.1X1 Accidental (unintentional)   T40.1X2 Intentional self-harm             T40.1X3 Assault                                         T40.1X4 Undetermined intent</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T40.1X1 Accidental (unintentional)   T40.1X2 Intentional self-harm             T40.1X3 Assault                                         T40.1X4 Undetermined intent</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Poisoning by opioids other than heroin</w:t>
            </w:r>
          </w:p>
        </w:tc>
        <w:tc>
          <w:tcPr>
            <w:tcW w:w="3520" w:type="dxa"/>
            <w:vMerge w:val="restart"/>
            <w:tcBorders>
              <w:top w:val="nil"/>
              <w:left w:val="single" w:sz="4" w:space="0" w:color="auto"/>
              <w:bottom w:val="nil"/>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T40.0X Opium                                             T40.2X Other opioids                             T40.3X Methadone                                  T40.4X Synthetic narcotics                      T40.60 Unspecified narcotics              T40.69 Other narcotics</w:t>
            </w:r>
          </w:p>
        </w:tc>
        <w:tc>
          <w:tcPr>
            <w:tcW w:w="3520" w:type="dxa"/>
            <w:vMerge w:val="restart"/>
            <w:tcBorders>
              <w:top w:val="nil"/>
              <w:left w:val="single" w:sz="4" w:space="0" w:color="auto"/>
              <w:bottom w:val="nil"/>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T40.0X Opium                                             T40.2X Other opioids                             T40.3X Methadone                                  T40.4X Synthetic narcotics                      T40.60 Unspecified narcotics              T40.69 Other narcotics</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nil"/>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dashed"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dashed"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dashed"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dashed" w:sz="4" w:space="0" w:color="auto"/>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val="restart"/>
            <w:tcBorders>
              <w:top w:val="dashed" w:sz="4" w:space="0" w:color="auto"/>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AND a 6th character of 1, 2, 3, or 4.</w:t>
            </w:r>
          </w:p>
        </w:tc>
        <w:tc>
          <w:tcPr>
            <w:tcW w:w="3520" w:type="dxa"/>
            <w:vMerge w:val="restart"/>
            <w:tcBorders>
              <w:top w:val="dashed" w:sz="4" w:space="0" w:color="auto"/>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AND a 6th character of 1, 2, 3, or 4.</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dotted" w:sz="4" w:space="0" w:color="auto"/>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dotted" w:sz="4" w:space="0" w:color="auto"/>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Poisoning by Cocaine</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T40.5X1 Accidental (unintentional)   T40.5X2 Intentional self-harm             T40.5X3 Assault                                         T40.5X4 Undetermined intent</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Poisoning by Benzodiazepine</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T42.4X1 Accidental (unintentional)   T42.4X2 Intentional self-harm             T42.4X3 Assault                                         T42.4X4 Undetermined intent</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Poisoning by Amphetamines</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c>
          <w:tcPr>
            <w:tcW w:w="3520" w:type="dxa"/>
            <w:vMerge w:val="restart"/>
            <w:tcBorders>
              <w:top w:val="nil"/>
              <w:left w:val="single" w:sz="4" w:space="0" w:color="auto"/>
              <w:bottom w:val="single" w:sz="4" w:space="0" w:color="000000"/>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T43.621 Accidental (unintentional)   T43.622 Intentional self-harm             T43.623 Assault                                         T43.624 Undetermined intent</w:t>
            </w: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000000"/>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Cocaine abuse or dependence</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r>
      <w:tr w:rsidR="00361785" w:rsidRPr="00361785" w:rsidTr="00361785">
        <w:trPr>
          <w:trHeight w:val="300"/>
        </w:trPr>
        <w:tc>
          <w:tcPr>
            <w:tcW w:w="234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rPr>
                <w:rFonts w:ascii="Calibri" w:eastAsia="Times New Roman" w:hAnsi="Calibri" w:cs="Calibri"/>
                <w:color w:val="000000"/>
              </w:rPr>
            </w:pPr>
            <w:r w:rsidRPr="00361785">
              <w:rPr>
                <w:rFonts w:ascii="Calibri" w:eastAsia="Times New Roman" w:hAnsi="Calibri" w:cs="Calibri"/>
                <w:color w:val="000000"/>
              </w:rPr>
              <w:t>Opio</w:t>
            </w:r>
            <w:r w:rsidR="005D528A">
              <w:rPr>
                <w:rFonts w:ascii="Calibri" w:eastAsia="Times New Roman" w:hAnsi="Calibri" w:cs="Calibri"/>
                <w:color w:val="000000"/>
              </w:rPr>
              <w:t>i</w:t>
            </w:r>
            <w:r w:rsidRPr="00361785">
              <w:rPr>
                <w:rFonts w:ascii="Calibri" w:eastAsia="Times New Roman" w:hAnsi="Calibri" w:cs="Calibri"/>
                <w:color w:val="000000"/>
              </w:rPr>
              <w:t>d abuse or dependence</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c>
          <w:tcPr>
            <w:tcW w:w="3520" w:type="dxa"/>
            <w:vMerge w:val="restart"/>
            <w:tcBorders>
              <w:top w:val="nil"/>
              <w:left w:val="single" w:sz="4" w:space="0" w:color="auto"/>
              <w:bottom w:val="single" w:sz="4" w:space="0" w:color="auto"/>
              <w:right w:val="single" w:sz="4" w:space="0" w:color="auto"/>
            </w:tcBorders>
            <w:shd w:val="clear" w:color="auto" w:fill="auto"/>
            <w:vAlign w:val="center"/>
            <w:hideMark/>
          </w:tcPr>
          <w:p w:rsidR="00361785" w:rsidRPr="00361785" w:rsidRDefault="00361785" w:rsidP="00361785">
            <w:pPr>
              <w:spacing w:after="0" w:line="240" w:lineRule="auto"/>
              <w:jc w:val="center"/>
              <w:rPr>
                <w:rFonts w:ascii="Calibri" w:eastAsia="Times New Roman" w:hAnsi="Calibri" w:cs="Calibri"/>
                <w:color w:val="000000"/>
              </w:rPr>
            </w:pPr>
            <w:r w:rsidRPr="00361785">
              <w:rPr>
                <w:rFonts w:ascii="Calibri" w:eastAsia="Times New Roman" w:hAnsi="Calibri" w:cs="Calibri"/>
                <w:color w:val="000000"/>
              </w:rPr>
              <w:t>NA</w:t>
            </w:r>
          </w:p>
        </w:tc>
      </w:tr>
      <w:tr w:rsidR="00361785" w:rsidRPr="00361785" w:rsidTr="00361785">
        <w:trPr>
          <w:trHeight w:val="300"/>
        </w:trPr>
        <w:tc>
          <w:tcPr>
            <w:tcW w:w="234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234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c>
          <w:tcPr>
            <w:tcW w:w="3520" w:type="dxa"/>
            <w:vMerge/>
            <w:tcBorders>
              <w:top w:val="nil"/>
              <w:left w:val="single" w:sz="4" w:space="0" w:color="auto"/>
              <w:bottom w:val="single" w:sz="4" w:space="0" w:color="auto"/>
              <w:right w:val="single" w:sz="4" w:space="0" w:color="auto"/>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r w:rsidR="00361785" w:rsidRPr="00361785" w:rsidTr="00361785">
        <w:trPr>
          <w:trHeight w:val="300"/>
        </w:trPr>
        <w:tc>
          <w:tcPr>
            <w:tcW w:w="938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61785" w:rsidRPr="00361785" w:rsidRDefault="00361785" w:rsidP="00D34DD1">
            <w:pPr>
              <w:spacing w:after="0" w:line="240" w:lineRule="auto"/>
              <w:rPr>
                <w:rFonts w:ascii="Calibri" w:eastAsia="Times New Roman" w:hAnsi="Calibri" w:cs="Calibri"/>
                <w:color w:val="000000"/>
              </w:rPr>
            </w:pPr>
            <w:r w:rsidRPr="00361785">
              <w:rPr>
                <w:rFonts w:ascii="Calibri" w:eastAsia="Times New Roman" w:hAnsi="Calibri" w:cs="Calibri"/>
                <w:color w:val="000000"/>
              </w:rPr>
              <w:t>* For both lists, the 7</w:t>
            </w:r>
            <w:r w:rsidRPr="00D34DD1">
              <w:rPr>
                <w:rFonts w:ascii="Calibri" w:eastAsia="Times New Roman" w:hAnsi="Calibri" w:cs="Calibri"/>
                <w:color w:val="000000"/>
                <w:vertAlign w:val="superscript"/>
              </w:rPr>
              <w:t>th</w:t>
            </w:r>
            <w:r w:rsidRPr="00361785">
              <w:rPr>
                <w:rFonts w:ascii="Calibri" w:eastAsia="Times New Roman" w:hAnsi="Calibri" w:cs="Calibri"/>
                <w:color w:val="000000"/>
              </w:rPr>
              <w:t xml:space="preserve"> character, representing the encounter, is limited to A (initial encounter) and D (subsequent encounter).  </w:t>
            </w:r>
            <w:r w:rsidR="00D34DD1">
              <w:rPr>
                <w:rFonts w:ascii="Calibri" w:eastAsia="Times New Roman" w:hAnsi="Calibri" w:cs="Calibri"/>
                <w:color w:val="000000"/>
              </w:rPr>
              <w:t>7</w:t>
            </w:r>
            <w:r w:rsidR="00D34DD1" w:rsidRPr="00D34DD1">
              <w:rPr>
                <w:rFonts w:ascii="Calibri" w:eastAsia="Times New Roman" w:hAnsi="Calibri" w:cs="Calibri"/>
                <w:color w:val="000000"/>
                <w:vertAlign w:val="superscript"/>
              </w:rPr>
              <w:t>th</w:t>
            </w:r>
            <w:r w:rsidR="00D34DD1">
              <w:rPr>
                <w:rFonts w:ascii="Calibri" w:eastAsia="Times New Roman" w:hAnsi="Calibri" w:cs="Calibri"/>
                <w:color w:val="000000"/>
              </w:rPr>
              <w:t xml:space="preserve"> character of </w:t>
            </w:r>
            <w:r w:rsidRPr="00361785">
              <w:rPr>
                <w:rFonts w:ascii="Calibri" w:eastAsia="Times New Roman" w:hAnsi="Calibri" w:cs="Calibri"/>
                <w:color w:val="000000"/>
              </w:rPr>
              <w:t xml:space="preserve">S (sequela) is excluded.        </w:t>
            </w:r>
          </w:p>
        </w:tc>
      </w:tr>
      <w:tr w:rsidR="00361785" w:rsidRPr="00361785" w:rsidTr="00361785">
        <w:trPr>
          <w:trHeight w:val="300"/>
        </w:trPr>
        <w:tc>
          <w:tcPr>
            <w:tcW w:w="9380" w:type="dxa"/>
            <w:gridSpan w:val="3"/>
            <w:vMerge/>
            <w:tcBorders>
              <w:top w:val="single" w:sz="4" w:space="0" w:color="auto"/>
              <w:left w:val="single" w:sz="4" w:space="0" w:color="auto"/>
              <w:bottom w:val="single" w:sz="4" w:space="0" w:color="000000"/>
              <w:right w:val="single" w:sz="4" w:space="0" w:color="000000"/>
            </w:tcBorders>
            <w:vAlign w:val="center"/>
            <w:hideMark/>
          </w:tcPr>
          <w:p w:rsidR="00361785" w:rsidRPr="00361785" w:rsidRDefault="00361785" w:rsidP="00361785">
            <w:pPr>
              <w:spacing w:after="0" w:line="240" w:lineRule="auto"/>
              <w:rPr>
                <w:rFonts w:ascii="Calibri" w:eastAsia="Times New Roman" w:hAnsi="Calibri" w:cs="Calibri"/>
                <w:color w:val="000000"/>
              </w:rPr>
            </w:pPr>
          </w:p>
        </w:tc>
      </w:tr>
    </w:tbl>
    <w:p w:rsidR="009B14CC" w:rsidRDefault="009B14CC" w:rsidP="009B14CC">
      <w:pPr>
        <w:rPr>
          <w:b/>
        </w:rPr>
      </w:pPr>
    </w:p>
    <w:p w:rsidR="009B14CC" w:rsidRDefault="009B14CC" w:rsidP="009B14CC">
      <w:pPr>
        <w:rPr>
          <w:b/>
        </w:rPr>
      </w:pPr>
    </w:p>
    <w:p w:rsidR="009B14CC" w:rsidRPr="009D25A9" w:rsidRDefault="009B14CC" w:rsidP="009B14CC">
      <w:pPr>
        <w:rPr>
          <w:b/>
        </w:rPr>
      </w:pPr>
    </w:p>
    <w:p w:rsidR="00FF495F" w:rsidRDefault="00FF495F" w:rsidP="009B14CC"/>
    <w:sectPr w:rsidR="00FF495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209" w:rsidRDefault="00A94209" w:rsidP="00B77269">
      <w:pPr>
        <w:spacing w:after="0" w:line="240" w:lineRule="auto"/>
      </w:pPr>
      <w:r>
        <w:separator/>
      </w:r>
    </w:p>
  </w:endnote>
  <w:endnote w:type="continuationSeparator" w:id="0">
    <w:p w:rsidR="00A94209" w:rsidRDefault="00A94209" w:rsidP="00B7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742140"/>
      <w:docPartObj>
        <w:docPartGallery w:val="Page Numbers (Bottom of Page)"/>
        <w:docPartUnique/>
      </w:docPartObj>
    </w:sdtPr>
    <w:sdtEndPr>
      <w:rPr>
        <w:noProof/>
      </w:rPr>
    </w:sdtEndPr>
    <w:sdtContent>
      <w:p w:rsidR="0060777E" w:rsidRDefault="0060777E">
        <w:pPr>
          <w:pStyle w:val="Footer"/>
          <w:jc w:val="center"/>
        </w:pPr>
        <w:r>
          <w:fldChar w:fldCharType="begin"/>
        </w:r>
        <w:r>
          <w:instrText xml:space="preserve"> PAGE   \* MERGEFORMAT </w:instrText>
        </w:r>
        <w:r>
          <w:fldChar w:fldCharType="separate"/>
        </w:r>
        <w:r w:rsidR="00573F39">
          <w:rPr>
            <w:noProof/>
          </w:rPr>
          <w:t>2</w:t>
        </w:r>
        <w:r>
          <w:rPr>
            <w:noProof/>
          </w:rPr>
          <w:fldChar w:fldCharType="end"/>
        </w:r>
      </w:p>
    </w:sdtContent>
  </w:sdt>
  <w:p w:rsidR="003C560B" w:rsidRDefault="003C56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209" w:rsidRDefault="00A94209" w:rsidP="00B77269">
      <w:pPr>
        <w:spacing w:after="0" w:line="240" w:lineRule="auto"/>
      </w:pPr>
      <w:r>
        <w:separator/>
      </w:r>
    </w:p>
  </w:footnote>
  <w:footnote w:type="continuationSeparator" w:id="0">
    <w:p w:rsidR="00A94209" w:rsidRDefault="00A94209" w:rsidP="00B77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7768"/>
      <w:docPartObj>
        <w:docPartGallery w:val="Watermarks"/>
        <w:docPartUnique/>
      </w:docPartObj>
    </w:sdtPr>
    <w:sdtEndPr/>
    <w:sdtContent>
      <w:p w:rsidR="003C560B" w:rsidRDefault="00A94209">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my Patel">
    <w15:presenceInfo w15:providerId="AD" w15:userId="S-1-5-21-1960408961-1326574676-725345543-56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B34"/>
    <w:rsid w:val="00011EDE"/>
    <w:rsid w:val="00012F28"/>
    <w:rsid w:val="00022103"/>
    <w:rsid w:val="00026A45"/>
    <w:rsid w:val="000562C4"/>
    <w:rsid w:val="0007207A"/>
    <w:rsid w:val="00074A02"/>
    <w:rsid w:val="00081F55"/>
    <w:rsid w:val="00082893"/>
    <w:rsid w:val="00085A5A"/>
    <w:rsid w:val="00092197"/>
    <w:rsid w:val="00092507"/>
    <w:rsid w:val="00094009"/>
    <w:rsid w:val="000A53E7"/>
    <w:rsid w:val="000B2BFB"/>
    <w:rsid w:val="000C269A"/>
    <w:rsid w:val="000C54F2"/>
    <w:rsid w:val="00104626"/>
    <w:rsid w:val="00135B6A"/>
    <w:rsid w:val="00136356"/>
    <w:rsid w:val="001623F3"/>
    <w:rsid w:val="00167619"/>
    <w:rsid w:val="00172DDA"/>
    <w:rsid w:val="00175D42"/>
    <w:rsid w:val="00183294"/>
    <w:rsid w:val="001A5200"/>
    <w:rsid w:val="001B2E2A"/>
    <w:rsid w:val="001C6941"/>
    <w:rsid w:val="00204B80"/>
    <w:rsid w:val="00205629"/>
    <w:rsid w:val="00207B05"/>
    <w:rsid w:val="00211548"/>
    <w:rsid w:val="00212467"/>
    <w:rsid w:val="0022163F"/>
    <w:rsid w:val="00225BFF"/>
    <w:rsid w:val="0025061F"/>
    <w:rsid w:val="002552D8"/>
    <w:rsid w:val="00257E9E"/>
    <w:rsid w:val="002746DE"/>
    <w:rsid w:val="002A1E55"/>
    <w:rsid w:val="002C4F33"/>
    <w:rsid w:val="002D1467"/>
    <w:rsid w:val="002D3D92"/>
    <w:rsid w:val="002E5063"/>
    <w:rsid w:val="0031208F"/>
    <w:rsid w:val="003502DF"/>
    <w:rsid w:val="00355A3C"/>
    <w:rsid w:val="0036115A"/>
    <w:rsid w:val="00361785"/>
    <w:rsid w:val="00370B51"/>
    <w:rsid w:val="00372FAD"/>
    <w:rsid w:val="003B4F59"/>
    <w:rsid w:val="003B7966"/>
    <w:rsid w:val="003C19F2"/>
    <w:rsid w:val="003C560B"/>
    <w:rsid w:val="003E1E29"/>
    <w:rsid w:val="003E2FE7"/>
    <w:rsid w:val="003E35C0"/>
    <w:rsid w:val="003F1833"/>
    <w:rsid w:val="0040377E"/>
    <w:rsid w:val="00412A55"/>
    <w:rsid w:val="004152BD"/>
    <w:rsid w:val="00422E10"/>
    <w:rsid w:val="00426E8C"/>
    <w:rsid w:val="00430E9A"/>
    <w:rsid w:val="004329D7"/>
    <w:rsid w:val="00435692"/>
    <w:rsid w:val="004643AD"/>
    <w:rsid w:val="00470534"/>
    <w:rsid w:val="004B05E3"/>
    <w:rsid w:val="004B4F6F"/>
    <w:rsid w:val="004C02FD"/>
    <w:rsid w:val="004C1DAB"/>
    <w:rsid w:val="004D69A8"/>
    <w:rsid w:val="004E40A9"/>
    <w:rsid w:val="004F7572"/>
    <w:rsid w:val="00503A5F"/>
    <w:rsid w:val="005055F2"/>
    <w:rsid w:val="00505A8B"/>
    <w:rsid w:val="0053452F"/>
    <w:rsid w:val="00542EF0"/>
    <w:rsid w:val="005443DE"/>
    <w:rsid w:val="00544F0A"/>
    <w:rsid w:val="00552BCC"/>
    <w:rsid w:val="00573F39"/>
    <w:rsid w:val="005C7FB2"/>
    <w:rsid w:val="005D528A"/>
    <w:rsid w:val="00603E16"/>
    <w:rsid w:val="0060777E"/>
    <w:rsid w:val="0061167C"/>
    <w:rsid w:val="00621673"/>
    <w:rsid w:val="006316DA"/>
    <w:rsid w:val="00641BA6"/>
    <w:rsid w:val="00647E57"/>
    <w:rsid w:val="006537B9"/>
    <w:rsid w:val="00661CE6"/>
    <w:rsid w:val="00673DDD"/>
    <w:rsid w:val="006916A9"/>
    <w:rsid w:val="00694DC8"/>
    <w:rsid w:val="006B13D9"/>
    <w:rsid w:val="006B2FA9"/>
    <w:rsid w:val="006C1CC2"/>
    <w:rsid w:val="006C7854"/>
    <w:rsid w:val="006D0651"/>
    <w:rsid w:val="006D3C36"/>
    <w:rsid w:val="006E14B2"/>
    <w:rsid w:val="006F3397"/>
    <w:rsid w:val="006F67DB"/>
    <w:rsid w:val="00700413"/>
    <w:rsid w:val="007076A4"/>
    <w:rsid w:val="00722601"/>
    <w:rsid w:val="007322E1"/>
    <w:rsid w:val="00736351"/>
    <w:rsid w:val="007473FE"/>
    <w:rsid w:val="00754A46"/>
    <w:rsid w:val="007741CC"/>
    <w:rsid w:val="00776BC4"/>
    <w:rsid w:val="00795577"/>
    <w:rsid w:val="007A2DD9"/>
    <w:rsid w:val="007B32AE"/>
    <w:rsid w:val="007C2C45"/>
    <w:rsid w:val="007C3FAC"/>
    <w:rsid w:val="007D1F9D"/>
    <w:rsid w:val="00804EC5"/>
    <w:rsid w:val="00805C48"/>
    <w:rsid w:val="00826171"/>
    <w:rsid w:val="0083042A"/>
    <w:rsid w:val="00831C25"/>
    <w:rsid w:val="00831E64"/>
    <w:rsid w:val="008568D4"/>
    <w:rsid w:val="00865B10"/>
    <w:rsid w:val="00870AFA"/>
    <w:rsid w:val="00876FB1"/>
    <w:rsid w:val="0088748E"/>
    <w:rsid w:val="00891D71"/>
    <w:rsid w:val="00894ADA"/>
    <w:rsid w:val="00897CFA"/>
    <w:rsid w:val="008A436A"/>
    <w:rsid w:val="008B40C7"/>
    <w:rsid w:val="008B42F4"/>
    <w:rsid w:val="008B598F"/>
    <w:rsid w:val="008B6A06"/>
    <w:rsid w:val="008C3581"/>
    <w:rsid w:val="008C711F"/>
    <w:rsid w:val="008D3F40"/>
    <w:rsid w:val="008E0E4D"/>
    <w:rsid w:val="008E7AF8"/>
    <w:rsid w:val="00900C08"/>
    <w:rsid w:val="00902221"/>
    <w:rsid w:val="00920C2D"/>
    <w:rsid w:val="00937575"/>
    <w:rsid w:val="009564CE"/>
    <w:rsid w:val="0095730E"/>
    <w:rsid w:val="00957612"/>
    <w:rsid w:val="009661F1"/>
    <w:rsid w:val="00966851"/>
    <w:rsid w:val="00971DE4"/>
    <w:rsid w:val="009A608C"/>
    <w:rsid w:val="009B11C8"/>
    <w:rsid w:val="009B14CC"/>
    <w:rsid w:val="009B23BD"/>
    <w:rsid w:val="009B2AE5"/>
    <w:rsid w:val="009B7ADD"/>
    <w:rsid w:val="009C46EB"/>
    <w:rsid w:val="009D25A9"/>
    <w:rsid w:val="009D403D"/>
    <w:rsid w:val="009E284F"/>
    <w:rsid w:val="009E4B9F"/>
    <w:rsid w:val="009E54CE"/>
    <w:rsid w:val="009F6387"/>
    <w:rsid w:val="00A005AA"/>
    <w:rsid w:val="00A00709"/>
    <w:rsid w:val="00A13BC0"/>
    <w:rsid w:val="00A16695"/>
    <w:rsid w:val="00A2197E"/>
    <w:rsid w:val="00A55DC0"/>
    <w:rsid w:val="00A66B05"/>
    <w:rsid w:val="00A70E37"/>
    <w:rsid w:val="00A72A87"/>
    <w:rsid w:val="00A83B5A"/>
    <w:rsid w:val="00A85CA3"/>
    <w:rsid w:val="00A903E7"/>
    <w:rsid w:val="00A93405"/>
    <w:rsid w:val="00A94209"/>
    <w:rsid w:val="00AA6A98"/>
    <w:rsid w:val="00AB72A6"/>
    <w:rsid w:val="00AC4727"/>
    <w:rsid w:val="00AD17CB"/>
    <w:rsid w:val="00AD50CD"/>
    <w:rsid w:val="00AE029A"/>
    <w:rsid w:val="00AE040F"/>
    <w:rsid w:val="00AF2E51"/>
    <w:rsid w:val="00AF7A60"/>
    <w:rsid w:val="00B04C7A"/>
    <w:rsid w:val="00B31274"/>
    <w:rsid w:val="00B327A7"/>
    <w:rsid w:val="00B77269"/>
    <w:rsid w:val="00B83541"/>
    <w:rsid w:val="00B941E9"/>
    <w:rsid w:val="00BB6EDC"/>
    <w:rsid w:val="00BD327E"/>
    <w:rsid w:val="00C00B1B"/>
    <w:rsid w:val="00C05173"/>
    <w:rsid w:val="00C07006"/>
    <w:rsid w:val="00C47093"/>
    <w:rsid w:val="00C55905"/>
    <w:rsid w:val="00C700D3"/>
    <w:rsid w:val="00C846B5"/>
    <w:rsid w:val="00C84A59"/>
    <w:rsid w:val="00C8596A"/>
    <w:rsid w:val="00CC74C7"/>
    <w:rsid w:val="00CF3716"/>
    <w:rsid w:val="00D24F60"/>
    <w:rsid w:val="00D32727"/>
    <w:rsid w:val="00D341F6"/>
    <w:rsid w:val="00D34DD1"/>
    <w:rsid w:val="00D42605"/>
    <w:rsid w:val="00D44EAF"/>
    <w:rsid w:val="00D57664"/>
    <w:rsid w:val="00D93905"/>
    <w:rsid w:val="00DB2144"/>
    <w:rsid w:val="00DB6D5E"/>
    <w:rsid w:val="00DC0459"/>
    <w:rsid w:val="00DD0D08"/>
    <w:rsid w:val="00DD3CD5"/>
    <w:rsid w:val="00DE44EC"/>
    <w:rsid w:val="00DE778E"/>
    <w:rsid w:val="00DF1885"/>
    <w:rsid w:val="00E07AF0"/>
    <w:rsid w:val="00E12D68"/>
    <w:rsid w:val="00E14B91"/>
    <w:rsid w:val="00E15761"/>
    <w:rsid w:val="00E254EC"/>
    <w:rsid w:val="00E43C1C"/>
    <w:rsid w:val="00E51E40"/>
    <w:rsid w:val="00E711F4"/>
    <w:rsid w:val="00E95934"/>
    <w:rsid w:val="00E96E90"/>
    <w:rsid w:val="00EC274E"/>
    <w:rsid w:val="00EC7668"/>
    <w:rsid w:val="00EF31E2"/>
    <w:rsid w:val="00EF6781"/>
    <w:rsid w:val="00F25559"/>
    <w:rsid w:val="00F33AC2"/>
    <w:rsid w:val="00F4018D"/>
    <w:rsid w:val="00F43435"/>
    <w:rsid w:val="00F55134"/>
    <w:rsid w:val="00F8503F"/>
    <w:rsid w:val="00F9076C"/>
    <w:rsid w:val="00F91B11"/>
    <w:rsid w:val="00FA7402"/>
    <w:rsid w:val="00FB1B34"/>
    <w:rsid w:val="00FB43D9"/>
    <w:rsid w:val="00FB4B9D"/>
    <w:rsid w:val="00FC4F46"/>
    <w:rsid w:val="00FC65FB"/>
    <w:rsid w:val="00FD3862"/>
    <w:rsid w:val="00FD4EED"/>
    <w:rsid w:val="00FD50D7"/>
    <w:rsid w:val="00FF4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0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02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2DF"/>
    <w:rPr>
      <w:rFonts w:ascii="Tahoma" w:hAnsi="Tahoma" w:cs="Tahoma"/>
      <w:sz w:val="16"/>
      <w:szCs w:val="16"/>
    </w:rPr>
  </w:style>
  <w:style w:type="paragraph" w:styleId="Header">
    <w:name w:val="header"/>
    <w:basedOn w:val="Normal"/>
    <w:link w:val="HeaderChar"/>
    <w:uiPriority w:val="99"/>
    <w:unhideWhenUsed/>
    <w:rsid w:val="00B77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269"/>
  </w:style>
  <w:style w:type="paragraph" w:styleId="Footer">
    <w:name w:val="footer"/>
    <w:basedOn w:val="Normal"/>
    <w:link w:val="FooterChar"/>
    <w:uiPriority w:val="99"/>
    <w:unhideWhenUsed/>
    <w:rsid w:val="00B77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0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02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2DF"/>
    <w:rPr>
      <w:rFonts w:ascii="Tahoma" w:hAnsi="Tahoma" w:cs="Tahoma"/>
      <w:sz w:val="16"/>
      <w:szCs w:val="16"/>
    </w:rPr>
  </w:style>
  <w:style w:type="paragraph" w:styleId="Header">
    <w:name w:val="header"/>
    <w:basedOn w:val="Normal"/>
    <w:link w:val="HeaderChar"/>
    <w:uiPriority w:val="99"/>
    <w:unhideWhenUsed/>
    <w:rsid w:val="00B77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269"/>
  </w:style>
  <w:style w:type="paragraph" w:styleId="Footer">
    <w:name w:val="footer"/>
    <w:basedOn w:val="Normal"/>
    <w:link w:val="FooterChar"/>
    <w:uiPriority w:val="99"/>
    <w:unhideWhenUsed/>
    <w:rsid w:val="00B77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53508">
      <w:bodyDiv w:val="1"/>
      <w:marLeft w:val="0"/>
      <w:marRight w:val="0"/>
      <w:marTop w:val="0"/>
      <w:marBottom w:val="0"/>
      <w:divBdr>
        <w:top w:val="none" w:sz="0" w:space="0" w:color="auto"/>
        <w:left w:val="none" w:sz="0" w:space="0" w:color="auto"/>
        <w:bottom w:val="none" w:sz="0" w:space="0" w:color="auto"/>
        <w:right w:val="none" w:sz="0" w:space="0" w:color="auto"/>
      </w:divBdr>
    </w:div>
    <w:div w:id="318046487">
      <w:bodyDiv w:val="1"/>
      <w:marLeft w:val="0"/>
      <w:marRight w:val="0"/>
      <w:marTop w:val="0"/>
      <w:marBottom w:val="0"/>
      <w:divBdr>
        <w:top w:val="none" w:sz="0" w:space="0" w:color="auto"/>
        <w:left w:val="none" w:sz="0" w:space="0" w:color="auto"/>
        <w:bottom w:val="none" w:sz="0" w:space="0" w:color="auto"/>
        <w:right w:val="none" w:sz="0" w:space="0" w:color="auto"/>
      </w:divBdr>
    </w:div>
    <w:div w:id="333457117">
      <w:bodyDiv w:val="1"/>
      <w:marLeft w:val="0"/>
      <w:marRight w:val="0"/>
      <w:marTop w:val="0"/>
      <w:marBottom w:val="0"/>
      <w:divBdr>
        <w:top w:val="none" w:sz="0" w:space="0" w:color="auto"/>
        <w:left w:val="none" w:sz="0" w:space="0" w:color="auto"/>
        <w:bottom w:val="none" w:sz="0" w:space="0" w:color="auto"/>
        <w:right w:val="none" w:sz="0" w:space="0" w:color="auto"/>
      </w:divBdr>
    </w:div>
    <w:div w:id="449782909">
      <w:bodyDiv w:val="1"/>
      <w:marLeft w:val="0"/>
      <w:marRight w:val="0"/>
      <w:marTop w:val="0"/>
      <w:marBottom w:val="0"/>
      <w:divBdr>
        <w:top w:val="none" w:sz="0" w:space="0" w:color="auto"/>
        <w:left w:val="none" w:sz="0" w:space="0" w:color="auto"/>
        <w:bottom w:val="none" w:sz="0" w:space="0" w:color="auto"/>
        <w:right w:val="none" w:sz="0" w:space="0" w:color="auto"/>
      </w:divBdr>
    </w:div>
    <w:div w:id="779642046">
      <w:bodyDiv w:val="1"/>
      <w:marLeft w:val="0"/>
      <w:marRight w:val="0"/>
      <w:marTop w:val="0"/>
      <w:marBottom w:val="0"/>
      <w:divBdr>
        <w:top w:val="none" w:sz="0" w:space="0" w:color="auto"/>
        <w:left w:val="none" w:sz="0" w:space="0" w:color="auto"/>
        <w:bottom w:val="none" w:sz="0" w:space="0" w:color="auto"/>
        <w:right w:val="none" w:sz="0" w:space="0" w:color="auto"/>
      </w:divBdr>
    </w:div>
    <w:div w:id="786700317">
      <w:bodyDiv w:val="1"/>
      <w:marLeft w:val="0"/>
      <w:marRight w:val="0"/>
      <w:marTop w:val="0"/>
      <w:marBottom w:val="0"/>
      <w:divBdr>
        <w:top w:val="none" w:sz="0" w:space="0" w:color="auto"/>
        <w:left w:val="none" w:sz="0" w:space="0" w:color="auto"/>
        <w:bottom w:val="none" w:sz="0" w:space="0" w:color="auto"/>
        <w:right w:val="none" w:sz="0" w:space="0" w:color="auto"/>
      </w:divBdr>
    </w:div>
    <w:div w:id="859196148">
      <w:bodyDiv w:val="1"/>
      <w:marLeft w:val="0"/>
      <w:marRight w:val="0"/>
      <w:marTop w:val="0"/>
      <w:marBottom w:val="0"/>
      <w:divBdr>
        <w:top w:val="none" w:sz="0" w:space="0" w:color="auto"/>
        <w:left w:val="none" w:sz="0" w:space="0" w:color="auto"/>
        <w:bottom w:val="none" w:sz="0" w:space="0" w:color="auto"/>
        <w:right w:val="none" w:sz="0" w:space="0" w:color="auto"/>
      </w:divBdr>
    </w:div>
    <w:div w:id="883324508">
      <w:bodyDiv w:val="1"/>
      <w:marLeft w:val="0"/>
      <w:marRight w:val="0"/>
      <w:marTop w:val="0"/>
      <w:marBottom w:val="0"/>
      <w:divBdr>
        <w:top w:val="none" w:sz="0" w:space="0" w:color="auto"/>
        <w:left w:val="none" w:sz="0" w:space="0" w:color="auto"/>
        <w:bottom w:val="none" w:sz="0" w:space="0" w:color="auto"/>
        <w:right w:val="none" w:sz="0" w:space="0" w:color="auto"/>
      </w:divBdr>
    </w:div>
    <w:div w:id="1174536834">
      <w:bodyDiv w:val="1"/>
      <w:marLeft w:val="0"/>
      <w:marRight w:val="0"/>
      <w:marTop w:val="0"/>
      <w:marBottom w:val="0"/>
      <w:divBdr>
        <w:top w:val="none" w:sz="0" w:space="0" w:color="auto"/>
        <w:left w:val="none" w:sz="0" w:space="0" w:color="auto"/>
        <w:bottom w:val="none" w:sz="0" w:space="0" w:color="auto"/>
        <w:right w:val="none" w:sz="0" w:space="0" w:color="auto"/>
      </w:divBdr>
    </w:div>
    <w:div w:id="1367873233">
      <w:bodyDiv w:val="1"/>
      <w:marLeft w:val="0"/>
      <w:marRight w:val="0"/>
      <w:marTop w:val="0"/>
      <w:marBottom w:val="0"/>
      <w:divBdr>
        <w:top w:val="none" w:sz="0" w:space="0" w:color="auto"/>
        <w:left w:val="none" w:sz="0" w:space="0" w:color="auto"/>
        <w:bottom w:val="none" w:sz="0" w:space="0" w:color="auto"/>
        <w:right w:val="none" w:sz="0" w:space="0" w:color="auto"/>
      </w:divBdr>
    </w:div>
    <w:div w:id="1518691377">
      <w:bodyDiv w:val="1"/>
      <w:marLeft w:val="0"/>
      <w:marRight w:val="0"/>
      <w:marTop w:val="0"/>
      <w:marBottom w:val="0"/>
      <w:divBdr>
        <w:top w:val="none" w:sz="0" w:space="0" w:color="auto"/>
        <w:left w:val="none" w:sz="0" w:space="0" w:color="auto"/>
        <w:bottom w:val="none" w:sz="0" w:space="0" w:color="auto"/>
        <w:right w:val="none" w:sz="0" w:space="0" w:color="auto"/>
      </w:divBdr>
    </w:div>
    <w:div w:id="1677145140">
      <w:bodyDiv w:val="1"/>
      <w:marLeft w:val="0"/>
      <w:marRight w:val="0"/>
      <w:marTop w:val="0"/>
      <w:marBottom w:val="0"/>
      <w:divBdr>
        <w:top w:val="none" w:sz="0" w:space="0" w:color="auto"/>
        <w:left w:val="none" w:sz="0" w:space="0" w:color="auto"/>
        <w:bottom w:val="none" w:sz="0" w:space="0" w:color="auto"/>
        <w:right w:val="none" w:sz="0" w:space="0" w:color="auto"/>
      </w:divBdr>
    </w:div>
    <w:div w:id="1717729920">
      <w:bodyDiv w:val="1"/>
      <w:marLeft w:val="0"/>
      <w:marRight w:val="0"/>
      <w:marTop w:val="0"/>
      <w:marBottom w:val="0"/>
      <w:divBdr>
        <w:top w:val="none" w:sz="0" w:space="0" w:color="auto"/>
        <w:left w:val="none" w:sz="0" w:space="0" w:color="auto"/>
        <w:bottom w:val="none" w:sz="0" w:space="0" w:color="auto"/>
        <w:right w:val="none" w:sz="0" w:space="0" w:color="auto"/>
      </w:divBdr>
    </w:div>
    <w:div w:id="1834295586">
      <w:bodyDiv w:val="1"/>
      <w:marLeft w:val="0"/>
      <w:marRight w:val="0"/>
      <w:marTop w:val="0"/>
      <w:marBottom w:val="0"/>
      <w:divBdr>
        <w:top w:val="none" w:sz="0" w:space="0" w:color="auto"/>
        <w:left w:val="none" w:sz="0" w:space="0" w:color="auto"/>
        <w:bottom w:val="none" w:sz="0" w:space="0" w:color="auto"/>
        <w:right w:val="none" w:sz="0" w:space="0" w:color="auto"/>
      </w:divBdr>
    </w:div>
    <w:div w:id="1881168450">
      <w:bodyDiv w:val="1"/>
      <w:marLeft w:val="0"/>
      <w:marRight w:val="0"/>
      <w:marTop w:val="0"/>
      <w:marBottom w:val="0"/>
      <w:divBdr>
        <w:top w:val="none" w:sz="0" w:space="0" w:color="auto"/>
        <w:left w:val="none" w:sz="0" w:space="0" w:color="auto"/>
        <w:bottom w:val="none" w:sz="0" w:space="0" w:color="auto"/>
        <w:right w:val="none" w:sz="0" w:space="0" w:color="auto"/>
      </w:divBdr>
    </w:div>
    <w:div w:id="1896575934">
      <w:bodyDiv w:val="1"/>
      <w:marLeft w:val="0"/>
      <w:marRight w:val="0"/>
      <w:marTop w:val="0"/>
      <w:marBottom w:val="0"/>
      <w:divBdr>
        <w:top w:val="none" w:sz="0" w:space="0" w:color="auto"/>
        <w:left w:val="none" w:sz="0" w:space="0" w:color="auto"/>
        <w:bottom w:val="none" w:sz="0" w:space="0" w:color="auto"/>
        <w:right w:val="none" w:sz="0" w:space="0" w:color="auto"/>
      </w:divBdr>
    </w:div>
    <w:div w:id="199125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2867</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 Johnson</dc:creator>
  <cp:lastModifiedBy>Hal Johnson</cp:lastModifiedBy>
  <cp:revision>2</cp:revision>
  <cp:lastPrinted>2017-07-19T17:51:00Z</cp:lastPrinted>
  <dcterms:created xsi:type="dcterms:W3CDTF">2017-08-08T14:33:00Z</dcterms:created>
  <dcterms:modified xsi:type="dcterms:W3CDTF">2017-08-08T14:33:00Z</dcterms:modified>
</cp:coreProperties>
</file>