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center"/>
        <w:tblCellMar>
          <w:left w:w="0" w:type="dxa"/>
          <w:right w:w="0" w:type="dxa"/>
        </w:tblCellMar>
        <w:tblLook w:val="04A0" w:firstRow="1" w:lastRow="0" w:firstColumn="1" w:lastColumn="0" w:noHBand="0" w:noVBand="1"/>
      </w:tblPr>
      <w:tblGrid>
        <w:gridCol w:w="9360"/>
      </w:tblGrid>
      <w:tr w:rsidR="00A67D2C" w:rsidTr="00A67D2C">
        <w:trPr>
          <w:jc w:val="center"/>
        </w:trPr>
        <w:tc>
          <w:tcPr>
            <w:tcW w:w="5000" w:type="pct"/>
            <w:hideMark/>
          </w:tcPr>
          <w:p w:rsidR="00A67D2C" w:rsidRDefault="00A67D2C">
            <w:r>
              <w:t>Clinicians’ Biosecurity News – Johns Hopkins Center for Health Security</w:t>
            </w:r>
            <w:bookmarkStart w:id="0" w:name="_GoBack"/>
            <w:bookmarkEnd w:id="0"/>
          </w:p>
          <w:tbl>
            <w:tblPr>
              <w:tblW w:w="5000" w:type="pct"/>
              <w:tblCellMar>
                <w:left w:w="0" w:type="dxa"/>
                <w:right w:w="0" w:type="dxa"/>
              </w:tblCellMar>
              <w:tblLook w:val="04A0" w:firstRow="1" w:lastRow="0" w:firstColumn="1" w:lastColumn="0" w:noHBand="0" w:noVBand="1"/>
            </w:tblPr>
            <w:tblGrid>
              <w:gridCol w:w="9360"/>
            </w:tblGrid>
            <w:tr w:rsidR="00A67D2C">
              <w:tc>
                <w:tcPr>
                  <w:tcW w:w="0" w:type="auto"/>
                  <w:tcMar>
                    <w:top w:w="150" w:type="dxa"/>
                    <w:left w:w="300" w:type="dxa"/>
                    <w:bottom w:w="150" w:type="dxa"/>
                    <w:right w:w="300" w:type="dxa"/>
                  </w:tcMar>
                  <w:hideMark/>
                </w:tcPr>
                <w:p w:rsidR="00A67D2C" w:rsidRDefault="00A67D2C">
                  <w:pPr>
                    <w:rPr>
                      <w:rFonts w:ascii="Arial" w:eastAsia="Times New Roman" w:hAnsi="Arial" w:cs="Arial"/>
                      <w:b/>
                      <w:bCs/>
                      <w:color w:val="1C4882"/>
                    </w:rPr>
                  </w:pPr>
                  <w:hyperlink r:id="rId5" w:tgtFrame="_blank" w:history="1">
                    <w:r>
                      <w:rPr>
                        <w:rStyle w:val="Hyperlink"/>
                        <w:rFonts w:ascii="Arial" w:eastAsia="Times New Roman" w:hAnsi="Arial" w:cs="Arial"/>
                        <w:b/>
                        <w:bCs/>
                        <w:color w:val="1C4882"/>
                        <w:u w:val="none"/>
                      </w:rPr>
                      <w:t>Use of Alternative Medical Care Facilities in the COVID-19 Pandemic</w:t>
                    </w:r>
                  </w:hyperlink>
                </w:p>
              </w:tc>
            </w:tr>
          </w:tbl>
          <w:p w:rsidR="00A67D2C" w:rsidRDefault="00A67D2C">
            <w:pPr>
              <w:rPr>
                <w:rFonts w:eastAsia="Times New Roman"/>
                <w:sz w:val="20"/>
                <w:szCs w:val="20"/>
              </w:rPr>
            </w:pPr>
          </w:p>
        </w:tc>
      </w:tr>
    </w:tbl>
    <w:p w:rsidR="00A67D2C" w:rsidRDefault="00A67D2C" w:rsidP="00A67D2C">
      <w:pPr>
        <w:jc w:val="cente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6084"/>
        <w:gridCol w:w="3276"/>
      </w:tblGrid>
      <w:tr w:rsidR="00A67D2C" w:rsidTr="00A67D2C">
        <w:trPr>
          <w:jc w:val="center"/>
        </w:trPr>
        <w:tc>
          <w:tcPr>
            <w:tcW w:w="3250" w:type="pct"/>
            <w:hideMark/>
          </w:tcPr>
          <w:tbl>
            <w:tblPr>
              <w:tblW w:w="5000" w:type="pct"/>
              <w:tblCellMar>
                <w:left w:w="0" w:type="dxa"/>
                <w:right w:w="0" w:type="dxa"/>
              </w:tblCellMar>
              <w:tblLook w:val="04A0" w:firstRow="1" w:lastRow="0" w:firstColumn="1" w:lastColumn="0" w:noHBand="0" w:noVBand="1"/>
            </w:tblPr>
            <w:tblGrid>
              <w:gridCol w:w="6084"/>
            </w:tblGrid>
            <w:tr w:rsidR="00A67D2C">
              <w:tc>
                <w:tcPr>
                  <w:tcW w:w="0" w:type="auto"/>
                  <w:tcMar>
                    <w:top w:w="150" w:type="dxa"/>
                    <w:left w:w="300" w:type="dxa"/>
                    <w:bottom w:w="150" w:type="dxa"/>
                    <w:right w:w="150" w:type="dxa"/>
                  </w:tcMar>
                  <w:hideMark/>
                </w:tcPr>
                <w:p w:rsidR="00A67D2C" w:rsidRDefault="00A67D2C">
                  <w:pPr>
                    <w:rPr>
                      <w:rFonts w:ascii="Arial" w:eastAsia="Times New Roman" w:hAnsi="Arial" w:cs="Arial"/>
                      <w:color w:val="403F42"/>
                      <w:sz w:val="18"/>
                      <w:szCs w:val="18"/>
                    </w:rPr>
                  </w:pPr>
                  <w:r>
                    <w:rPr>
                      <w:rFonts w:ascii="Arial" w:eastAsia="Times New Roman" w:hAnsi="Arial" w:cs="Arial"/>
                      <w:color w:val="403F42"/>
                      <w:sz w:val="21"/>
                      <w:szCs w:val="21"/>
                    </w:rPr>
                    <w:t xml:space="preserve">Eric Toner, MD, and Richard </w:t>
                  </w:r>
                  <w:proofErr w:type="spellStart"/>
                  <w:r>
                    <w:rPr>
                      <w:rFonts w:ascii="Arial" w:eastAsia="Times New Roman" w:hAnsi="Arial" w:cs="Arial"/>
                      <w:color w:val="403F42"/>
                      <w:sz w:val="21"/>
                      <w:szCs w:val="21"/>
                    </w:rPr>
                    <w:t>Waldhorn</w:t>
                  </w:r>
                  <w:proofErr w:type="spellEnd"/>
                  <w:r>
                    <w:rPr>
                      <w:rFonts w:ascii="Arial" w:eastAsia="Times New Roman" w:hAnsi="Arial" w:cs="Arial"/>
                      <w:color w:val="403F42"/>
                      <w:sz w:val="21"/>
                      <w:szCs w:val="21"/>
                    </w:rPr>
                    <w:t>, MD  </w:t>
                  </w:r>
                </w:p>
              </w:tc>
            </w:tr>
          </w:tbl>
          <w:p w:rsidR="00A67D2C" w:rsidRDefault="00A67D2C">
            <w:pPr>
              <w:rPr>
                <w:rFonts w:eastAsia="Times New Roman"/>
                <w:sz w:val="20"/>
                <w:szCs w:val="20"/>
              </w:rPr>
            </w:pPr>
          </w:p>
        </w:tc>
        <w:tc>
          <w:tcPr>
            <w:tcW w:w="1750" w:type="pct"/>
            <w:hideMark/>
          </w:tcPr>
          <w:tbl>
            <w:tblPr>
              <w:tblW w:w="5000" w:type="pct"/>
              <w:tblCellMar>
                <w:left w:w="0" w:type="dxa"/>
                <w:right w:w="0" w:type="dxa"/>
              </w:tblCellMar>
              <w:tblLook w:val="04A0" w:firstRow="1" w:lastRow="0" w:firstColumn="1" w:lastColumn="0" w:noHBand="0" w:noVBand="1"/>
            </w:tblPr>
            <w:tblGrid>
              <w:gridCol w:w="3276"/>
            </w:tblGrid>
            <w:tr w:rsidR="00A67D2C">
              <w:tc>
                <w:tcPr>
                  <w:tcW w:w="0" w:type="auto"/>
                  <w:tcMar>
                    <w:top w:w="150" w:type="dxa"/>
                    <w:left w:w="150" w:type="dxa"/>
                    <w:bottom w:w="150" w:type="dxa"/>
                    <w:right w:w="300" w:type="dxa"/>
                  </w:tcMar>
                  <w:hideMark/>
                </w:tcPr>
                <w:p w:rsidR="00A67D2C" w:rsidRDefault="00A67D2C">
                  <w:pPr>
                    <w:jc w:val="right"/>
                    <w:rPr>
                      <w:rFonts w:ascii="Arial" w:eastAsia="Times New Roman" w:hAnsi="Arial" w:cs="Arial"/>
                      <w:color w:val="403F42"/>
                      <w:sz w:val="18"/>
                      <w:szCs w:val="18"/>
                    </w:rPr>
                  </w:pPr>
                  <w:r>
                    <w:rPr>
                      <w:rFonts w:ascii="Arial" w:eastAsia="Times New Roman" w:hAnsi="Arial" w:cs="Arial"/>
                      <w:color w:val="403F42"/>
                      <w:sz w:val="21"/>
                      <w:szCs w:val="21"/>
                    </w:rPr>
                    <w:t>April 7, 2020</w:t>
                  </w:r>
                </w:p>
              </w:tc>
            </w:tr>
          </w:tbl>
          <w:p w:rsidR="00A67D2C" w:rsidRDefault="00A67D2C">
            <w:pPr>
              <w:rPr>
                <w:rFonts w:eastAsia="Times New Roman"/>
                <w:sz w:val="20"/>
                <w:szCs w:val="20"/>
              </w:rPr>
            </w:pPr>
          </w:p>
        </w:tc>
      </w:tr>
    </w:tbl>
    <w:p w:rsidR="00A67D2C" w:rsidRDefault="00A67D2C" w:rsidP="00A67D2C">
      <w:pPr>
        <w:jc w:val="cente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9360"/>
      </w:tblGrid>
      <w:tr w:rsidR="00A67D2C" w:rsidTr="00A67D2C">
        <w:trPr>
          <w:jc w:val="center"/>
        </w:trPr>
        <w:tc>
          <w:tcPr>
            <w:tcW w:w="5000" w:type="pct"/>
            <w:hideMark/>
          </w:tcPr>
          <w:tbl>
            <w:tblPr>
              <w:tblW w:w="5000" w:type="pct"/>
              <w:tblCellMar>
                <w:left w:w="0" w:type="dxa"/>
                <w:right w:w="0" w:type="dxa"/>
              </w:tblCellMar>
              <w:tblLook w:val="04A0" w:firstRow="1" w:lastRow="0" w:firstColumn="1" w:lastColumn="0" w:noHBand="0" w:noVBand="1"/>
            </w:tblPr>
            <w:tblGrid>
              <w:gridCol w:w="9360"/>
            </w:tblGrid>
            <w:tr w:rsidR="00A67D2C">
              <w:tc>
                <w:tcPr>
                  <w:tcW w:w="0" w:type="auto"/>
                  <w:tcMar>
                    <w:top w:w="150" w:type="dxa"/>
                    <w:left w:w="300" w:type="dxa"/>
                    <w:bottom w:w="150" w:type="dxa"/>
                    <w:right w:w="300" w:type="dxa"/>
                  </w:tcMar>
                </w:tcPr>
                <w:p w:rsidR="00A67D2C" w:rsidRDefault="00A67D2C">
                  <w:pPr>
                    <w:rPr>
                      <w:rFonts w:ascii="Arial" w:eastAsia="Times New Roman" w:hAnsi="Arial" w:cs="Arial"/>
                      <w:color w:val="403F42"/>
                      <w:sz w:val="18"/>
                      <w:szCs w:val="18"/>
                    </w:rPr>
                  </w:pPr>
                  <w:r>
                    <w:rPr>
                      <w:rFonts w:ascii="Arial" w:eastAsia="Times New Roman" w:hAnsi="Arial" w:cs="Arial"/>
                      <w:color w:val="000000"/>
                      <w:sz w:val="21"/>
                      <w:szCs w:val="21"/>
                    </w:rPr>
                    <w:t>A number of cities in the United States are preparing alternative care facilities (ACFs) to augment surge capacity in response to the COVID-19 pandemic. But in some instances, it seems the use case or strategy for these facilities is unclear. We published papers on this topic in 2006 and 2008, during the height of concerns about an imminent H5N1 influenza pandemic.</w:t>
                  </w:r>
                  <w:r>
                    <w:rPr>
                      <w:rFonts w:ascii="Arial" w:eastAsia="Times New Roman" w:hAnsi="Arial" w:cs="Arial"/>
                      <w:color w:val="000000"/>
                      <w:position w:val="5"/>
                      <w:sz w:val="15"/>
                      <w:szCs w:val="15"/>
                      <w:vertAlign w:val="superscript"/>
                    </w:rPr>
                    <w:t>1</w:t>
                  </w:r>
                  <w:proofErr w:type="gramStart"/>
                  <w:r>
                    <w:rPr>
                      <w:rFonts w:ascii="Arial" w:eastAsia="Times New Roman" w:hAnsi="Arial" w:cs="Arial"/>
                      <w:color w:val="000000"/>
                      <w:position w:val="5"/>
                      <w:sz w:val="15"/>
                      <w:szCs w:val="15"/>
                      <w:vertAlign w:val="superscript"/>
                    </w:rPr>
                    <w:t>,2</w:t>
                  </w:r>
                  <w:proofErr w:type="gramEnd"/>
                  <w:r>
                    <w:rPr>
                      <w:rFonts w:ascii="Arial" w:eastAsia="Times New Roman" w:hAnsi="Arial" w:cs="Arial"/>
                      <w:color w:val="000000"/>
                      <w:position w:val="5"/>
                      <w:sz w:val="15"/>
                      <w:szCs w:val="15"/>
                      <w:vertAlign w:val="superscript"/>
                    </w:rPr>
                    <w:t> </w:t>
                  </w:r>
                  <w:r>
                    <w:rPr>
                      <w:rFonts w:ascii="Arial" w:eastAsia="Times New Roman" w:hAnsi="Arial" w:cs="Arial"/>
                      <w:color w:val="000000"/>
                      <w:sz w:val="21"/>
                      <w:szCs w:val="21"/>
                    </w:rPr>
                    <w:t>Most of the recommendations in those papers are still relevant and applicable to the current coronavirus pandemic. Here we provide our recommendations for how ACFs can best be used in the immediate response to COVID-19.</w:t>
                  </w:r>
                  <w:r>
                    <w:rPr>
                      <w:rFonts w:ascii="Arial" w:eastAsia="Times New Roman" w:hAnsi="Arial" w:cs="Arial"/>
                      <w:color w:val="403F42"/>
                      <w:sz w:val="18"/>
                      <w:szCs w:val="18"/>
                    </w:rPr>
                    <w:t xml:space="preserve"> </w:t>
                  </w:r>
                </w:p>
                <w:p w:rsidR="00A67D2C" w:rsidRDefault="00A67D2C">
                  <w:pPr>
                    <w:rPr>
                      <w:rFonts w:ascii="Arial" w:eastAsia="Times New Roman" w:hAnsi="Arial" w:cs="Arial"/>
                      <w:color w:val="403F42"/>
                      <w:sz w:val="18"/>
                      <w:szCs w:val="18"/>
                    </w:rPr>
                  </w:pPr>
                </w:p>
                <w:p w:rsidR="00A67D2C" w:rsidRDefault="00A67D2C">
                  <w:pPr>
                    <w:rPr>
                      <w:rFonts w:ascii="Arial" w:eastAsia="Times New Roman" w:hAnsi="Arial" w:cs="Arial"/>
                      <w:color w:val="403F42"/>
                      <w:sz w:val="18"/>
                      <w:szCs w:val="18"/>
                    </w:rPr>
                  </w:pPr>
                </w:p>
                <w:p w:rsidR="00A67D2C" w:rsidRDefault="00A67D2C">
                  <w:pPr>
                    <w:rPr>
                      <w:rFonts w:ascii="Arial" w:eastAsia="Times New Roman" w:hAnsi="Arial" w:cs="Arial"/>
                      <w:color w:val="403F42"/>
                      <w:sz w:val="18"/>
                      <w:szCs w:val="18"/>
                    </w:rPr>
                  </w:pPr>
                  <w:r>
                    <w:rPr>
                      <w:rFonts w:ascii="Arial" w:eastAsia="Times New Roman" w:hAnsi="Arial" w:cs="Arial"/>
                      <w:b/>
                      <w:bCs/>
                      <w:color w:val="1C4882"/>
                      <w:sz w:val="21"/>
                      <w:szCs w:val="21"/>
                    </w:rPr>
                    <w:t>Establish ACFs in All Communities</w:t>
                  </w:r>
                </w:p>
                <w:p w:rsidR="00A67D2C" w:rsidRDefault="00A67D2C">
                  <w:pPr>
                    <w:rPr>
                      <w:rFonts w:ascii="Arial" w:eastAsia="Times New Roman" w:hAnsi="Arial" w:cs="Arial"/>
                      <w:color w:val="403F42"/>
                      <w:sz w:val="18"/>
                      <w:szCs w:val="18"/>
                    </w:rPr>
                  </w:pPr>
                </w:p>
                <w:p w:rsidR="00A67D2C" w:rsidRDefault="00A67D2C">
                  <w:pPr>
                    <w:rPr>
                      <w:rFonts w:ascii="Arial" w:eastAsia="Times New Roman" w:hAnsi="Arial" w:cs="Arial"/>
                      <w:color w:val="403F42"/>
                      <w:sz w:val="18"/>
                      <w:szCs w:val="18"/>
                    </w:rPr>
                  </w:pPr>
                  <w:r>
                    <w:rPr>
                      <w:rFonts w:ascii="Arial" w:eastAsia="Times New Roman" w:hAnsi="Arial" w:cs="Arial"/>
                      <w:color w:val="000000"/>
                      <w:sz w:val="21"/>
                      <w:szCs w:val="21"/>
                    </w:rPr>
                    <w:t>We recommend that all cities and towns immediately start working rapidly to establish and make plans for staffing ACFs. Time is of the essence, because constructing and outfitting a facility cannot happen overnight. Some towns may wish to jointly establish ACFs, or states may establish regional facilities. COVID-19 epidemiology models forecast that hospitals across the United States may be stretched to their limits, if not completely overwhelmed. Some cities are experiencing it now; the rest of the country can expect to see it in the coming weeks. Even with successful social distancing, it is unlikely that any location will be completely spared, and it is hard to predict which communities will see the greatest mismatch between patient demand and medical capacity.</w:t>
                  </w:r>
                </w:p>
                <w:p w:rsidR="00A67D2C" w:rsidRDefault="00A67D2C">
                  <w:pPr>
                    <w:rPr>
                      <w:rFonts w:ascii="Arial" w:eastAsia="Times New Roman" w:hAnsi="Arial" w:cs="Arial"/>
                      <w:color w:val="403F42"/>
                      <w:sz w:val="18"/>
                      <w:szCs w:val="18"/>
                    </w:rPr>
                  </w:pPr>
                </w:p>
                <w:p w:rsidR="00A67D2C" w:rsidRDefault="00A67D2C">
                  <w:pPr>
                    <w:rPr>
                      <w:rFonts w:ascii="Arial" w:eastAsia="Times New Roman" w:hAnsi="Arial" w:cs="Arial"/>
                      <w:color w:val="403F42"/>
                      <w:sz w:val="18"/>
                      <w:szCs w:val="18"/>
                    </w:rPr>
                  </w:pPr>
                  <w:r>
                    <w:rPr>
                      <w:rFonts w:ascii="Arial" w:eastAsia="Times New Roman" w:hAnsi="Arial" w:cs="Arial"/>
                      <w:color w:val="000000"/>
                      <w:sz w:val="21"/>
                      <w:szCs w:val="21"/>
                    </w:rPr>
                    <w:t>The ACFs should be established jointly by the local or state governments and the local hospitals in collaboration with local healthcare coalitions. They may be established in a variety of spaces, including gymnasiums, conference halls, hotels, and, in some cases, tents. The choice of the space as well as the size and configuration should be determined by the anticipated demand as well as the specific purpose of the ACF. That purpose is likely to vary from location to location.</w:t>
                  </w:r>
                </w:p>
                <w:p w:rsidR="00A67D2C" w:rsidRDefault="00A67D2C">
                  <w:pPr>
                    <w:rPr>
                      <w:rFonts w:ascii="Arial" w:eastAsia="Times New Roman" w:hAnsi="Arial" w:cs="Arial"/>
                      <w:color w:val="403F42"/>
                      <w:sz w:val="18"/>
                      <w:szCs w:val="18"/>
                    </w:rPr>
                  </w:pPr>
                </w:p>
                <w:p w:rsidR="00A67D2C" w:rsidRDefault="00A67D2C">
                  <w:pPr>
                    <w:rPr>
                      <w:rFonts w:ascii="Arial" w:eastAsia="Times New Roman" w:hAnsi="Arial" w:cs="Arial"/>
                      <w:color w:val="403F42"/>
                      <w:sz w:val="18"/>
                      <w:szCs w:val="18"/>
                    </w:rPr>
                  </w:pPr>
                </w:p>
                <w:p w:rsidR="00A67D2C" w:rsidRDefault="00A67D2C">
                  <w:pPr>
                    <w:rPr>
                      <w:rFonts w:ascii="Arial" w:eastAsia="Times New Roman" w:hAnsi="Arial" w:cs="Arial"/>
                      <w:color w:val="403F42"/>
                      <w:sz w:val="18"/>
                      <w:szCs w:val="18"/>
                    </w:rPr>
                  </w:pPr>
                  <w:r>
                    <w:rPr>
                      <w:rFonts w:ascii="Arial" w:eastAsia="Times New Roman" w:hAnsi="Arial" w:cs="Arial"/>
                      <w:b/>
                      <w:bCs/>
                      <w:color w:val="1C4882"/>
                      <w:sz w:val="21"/>
                      <w:szCs w:val="21"/>
                    </w:rPr>
                    <w:t>Possible Uses for ACFs</w:t>
                  </w:r>
                </w:p>
                <w:p w:rsidR="00A67D2C" w:rsidRDefault="00A67D2C">
                  <w:pPr>
                    <w:rPr>
                      <w:rFonts w:ascii="Arial" w:eastAsia="Times New Roman" w:hAnsi="Arial" w:cs="Arial"/>
                      <w:color w:val="403F42"/>
                      <w:sz w:val="18"/>
                      <w:szCs w:val="18"/>
                    </w:rPr>
                  </w:pPr>
                </w:p>
                <w:p w:rsidR="00A67D2C" w:rsidRDefault="00A67D2C">
                  <w:pPr>
                    <w:rPr>
                      <w:rFonts w:ascii="Arial" w:eastAsia="Times New Roman" w:hAnsi="Arial" w:cs="Arial"/>
                      <w:color w:val="403F42"/>
                      <w:sz w:val="18"/>
                      <w:szCs w:val="18"/>
                    </w:rPr>
                  </w:pPr>
                  <w:r>
                    <w:rPr>
                      <w:rFonts w:ascii="Arial" w:eastAsia="Times New Roman" w:hAnsi="Arial" w:cs="Arial"/>
                      <w:color w:val="000000"/>
                      <w:sz w:val="21"/>
                      <w:szCs w:val="21"/>
                    </w:rPr>
                    <w:t>ACFs have been proposed to serve a variety of functions, including:</w:t>
                  </w:r>
                </w:p>
                <w:p w:rsidR="00A67D2C" w:rsidRDefault="00A67D2C">
                  <w:pPr>
                    <w:rPr>
                      <w:rFonts w:ascii="Arial" w:eastAsia="Times New Roman" w:hAnsi="Arial" w:cs="Arial"/>
                      <w:color w:val="403F42"/>
                      <w:sz w:val="18"/>
                      <w:szCs w:val="18"/>
                    </w:rPr>
                  </w:pPr>
                </w:p>
                <w:p w:rsidR="00A67D2C" w:rsidRDefault="00A67D2C" w:rsidP="005F6CD3">
                  <w:pPr>
                    <w:numPr>
                      <w:ilvl w:val="0"/>
                      <w:numId w:val="1"/>
                    </w:numPr>
                    <w:ind w:left="600" w:hanging="240"/>
                    <w:rPr>
                      <w:rFonts w:ascii="Arial" w:eastAsia="Times New Roman" w:hAnsi="Arial" w:cs="Arial"/>
                      <w:color w:val="403F42"/>
                      <w:sz w:val="18"/>
                      <w:szCs w:val="18"/>
                    </w:rPr>
                  </w:pPr>
                  <w:r>
                    <w:rPr>
                      <w:rFonts w:ascii="Arial" w:eastAsia="Times New Roman" w:hAnsi="Arial" w:cs="Arial"/>
                      <w:color w:val="000000"/>
                      <w:sz w:val="21"/>
                      <w:szCs w:val="21"/>
                    </w:rPr>
                    <w:t>Overflow from hospitals, providing a full range of care</w:t>
                  </w:r>
                </w:p>
                <w:p w:rsidR="00A67D2C" w:rsidRDefault="00A67D2C" w:rsidP="005F6CD3">
                  <w:pPr>
                    <w:numPr>
                      <w:ilvl w:val="0"/>
                      <w:numId w:val="1"/>
                    </w:numPr>
                    <w:ind w:left="600" w:hanging="240"/>
                    <w:rPr>
                      <w:rFonts w:ascii="Arial" w:eastAsia="Times New Roman" w:hAnsi="Arial" w:cs="Arial"/>
                      <w:color w:val="403F42"/>
                      <w:sz w:val="18"/>
                      <w:szCs w:val="18"/>
                    </w:rPr>
                  </w:pPr>
                  <w:r>
                    <w:rPr>
                      <w:rFonts w:ascii="Arial" w:eastAsia="Times New Roman" w:hAnsi="Arial" w:cs="Arial"/>
                      <w:color w:val="000000"/>
                      <w:sz w:val="21"/>
                      <w:szCs w:val="21"/>
                    </w:rPr>
                    <w:t>Patient isolation and alternative to home care for COVID-19–infected patients</w:t>
                  </w:r>
                </w:p>
                <w:p w:rsidR="00A67D2C" w:rsidRDefault="00A67D2C" w:rsidP="005F6CD3">
                  <w:pPr>
                    <w:numPr>
                      <w:ilvl w:val="0"/>
                      <w:numId w:val="1"/>
                    </w:numPr>
                    <w:ind w:left="600" w:hanging="240"/>
                    <w:rPr>
                      <w:rFonts w:ascii="Arial" w:eastAsia="Times New Roman" w:hAnsi="Arial" w:cs="Arial"/>
                      <w:color w:val="403F42"/>
                      <w:sz w:val="18"/>
                      <w:szCs w:val="18"/>
                    </w:rPr>
                  </w:pPr>
                  <w:r>
                    <w:rPr>
                      <w:rFonts w:ascii="Arial" w:eastAsia="Times New Roman" w:hAnsi="Arial" w:cs="Arial"/>
                      <w:color w:val="000000"/>
                      <w:sz w:val="21"/>
                      <w:szCs w:val="21"/>
                    </w:rPr>
                    <w:t>Quarantine of contacts of confirmed cases</w:t>
                  </w:r>
                </w:p>
                <w:p w:rsidR="00A67D2C" w:rsidRDefault="00A67D2C" w:rsidP="005F6CD3">
                  <w:pPr>
                    <w:numPr>
                      <w:ilvl w:val="0"/>
                      <w:numId w:val="1"/>
                    </w:numPr>
                    <w:ind w:left="600" w:hanging="240"/>
                    <w:rPr>
                      <w:rFonts w:ascii="Arial" w:eastAsia="Times New Roman" w:hAnsi="Arial" w:cs="Arial"/>
                      <w:color w:val="403F42"/>
                      <w:sz w:val="18"/>
                      <w:szCs w:val="18"/>
                    </w:rPr>
                  </w:pPr>
                  <w:r>
                    <w:rPr>
                      <w:rFonts w:ascii="Arial" w:eastAsia="Times New Roman" w:hAnsi="Arial" w:cs="Arial"/>
                      <w:color w:val="000000"/>
                      <w:sz w:val="21"/>
                      <w:szCs w:val="21"/>
                    </w:rPr>
                    <w:t>Primary triage and rapid patient screening</w:t>
                  </w:r>
                </w:p>
                <w:p w:rsidR="00A67D2C" w:rsidRDefault="00A67D2C" w:rsidP="005F6CD3">
                  <w:pPr>
                    <w:numPr>
                      <w:ilvl w:val="0"/>
                      <w:numId w:val="1"/>
                    </w:numPr>
                    <w:ind w:left="600" w:hanging="240"/>
                    <w:rPr>
                      <w:rFonts w:ascii="Arial" w:eastAsia="Times New Roman" w:hAnsi="Arial" w:cs="Arial"/>
                      <w:color w:val="403F42"/>
                      <w:sz w:val="18"/>
                      <w:szCs w:val="18"/>
                    </w:rPr>
                  </w:pPr>
                  <w:r>
                    <w:rPr>
                      <w:rFonts w:ascii="Arial" w:eastAsia="Times New Roman" w:hAnsi="Arial" w:cs="Arial"/>
                      <w:color w:val="000000"/>
                      <w:sz w:val="21"/>
                      <w:szCs w:val="21"/>
                    </w:rPr>
                    <w:t>Limited supportive care for noncritical infected patients</w:t>
                  </w:r>
                </w:p>
                <w:p w:rsidR="00A67D2C" w:rsidRDefault="00A67D2C" w:rsidP="005F6CD3">
                  <w:pPr>
                    <w:numPr>
                      <w:ilvl w:val="0"/>
                      <w:numId w:val="1"/>
                    </w:numPr>
                    <w:ind w:left="600" w:hanging="240"/>
                    <w:rPr>
                      <w:rFonts w:ascii="Arial" w:eastAsia="Times New Roman" w:hAnsi="Arial" w:cs="Arial"/>
                      <w:color w:val="403F42"/>
                      <w:sz w:val="18"/>
                      <w:szCs w:val="18"/>
                    </w:rPr>
                  </w:pPr>
                  <w:r>
                    <w:rPr>
                      <w:rFonts w:ascii="Arial" w:eastAsia="Times New Roman" w:hAnsi="Arial" w:cs="Arial"/>
                      <w:color w:val="000000"/>
                      <w:sz w:val="21"/>
                      <w:szCs w:val="21"/>
                    </w:rPr>
                    <w:t>Expanded ambulatory care</w:t>
                  </w:r>
                </w:p>
                <w:p w:rsidR="00A67D2C" w:rsidRDefault="00A67D2C" w:rsidP="005F6CD3">
                  <w:pPr>
                    <w:numPr>
                      <w:ilvl w:val="0"/>
                      <w:numId w:val="1"/>
                    </w:numPr>
                    <w:ind w:left="600" w:hanging="240"/>
                    <w:rPr>
                      <w:rFonts w:ascii="Arial" w:eastAsia="Times New Roman" w:hAnsi="Arial" w:cs="Arial"/>
                      <w:color w:val="000000"/>
                      <w:sz w:val="21"/>
                      <w:szCs w:val="21"/>
                    </w:rPr>
                  </w:pPr>
                  <w:r>
                    <w:rPr>
                      <w:rFonts w:ascii="Arial" w:eastAsia="Times New Roman" w:hAnsi="Arial" w:cs="Arial"/>
                      <w:color w:val="000000"/>
                      <w:sz w:val="21"/>
                      <w:szCs w:val="21"/>
                    </w:rPr>
                    <w:t xml:space="preserve">Care for recovering, </w:t>
                  </w:r>
                  <w:proofErr w:type="spellStart"/>
                  <w:r>
                    <w:rPr>
                      <w:rFonts w:ascii="Arial" w:eastAsia="Times New Roman" w:hAnsi="Arial" w:cs="Arial"/>
                      <w:color w:val="000000"/>
                      <w:sz w:val="21"/>
                      <w:szCs w:val="21"/>
                    </w:rPr>
                    <w:t>noninfected</w:t>
                  </w:r>
                  <w:proofErr w:type="spellEnd"/>
                  <w:r>
                    <w:rPr>
                      <w:rFonts w:ascii="Arial" w:eastAsia="Times New Roman" w:hAnsi="Arial" w:cs="Arial"/>
                      <w:color w:val="000000"/>
                      <w:sz w:val="21"/>
                      <w:szCs w:val="21"/>
                    </w:rPr>
                    <w:t xml:space="preserve"> patients</w:t>
                  </w:r>
                </w:p>
                <w:p w:rsidR="00A67D2C" w:rsidRDefault="00A67D2C">
                  <w:pPr>
                    <w:rPr>
                      <w:rFonts w:ascii="Arial" w:eastAsia="Times New Roman" w:hAnsi="Arial" w:cs="Arial"/>
                      <w:color w:val="403F42"/>
                      <w:sz w:val="18"/>
                      <w:szCs w:val="18"/>
                    </w:rPr>
                  </w:pPr>
                </w:p>
                <w:p w:rsidR="00A67D2C" w:rsidRDefault="00A67D2C">
                  <w:pPr>
                    <w:rPr>
                      <w:rFonts w:ascii="Arial" w:eastAsia="Times New Roman" w:hAnsi="Arial" w:cs="Arial"/>
                      <w:color w:val="403F42"/>
                      <w:sz w:val="18"/>
                      <w:szCs w:val="18"/>
                    </w:rPr>
                  </w:pPr>
                  <w:r>
                    <w:rPr>
                      <w:rFonts w:ascii="Arial" w:eastAsia="Times New Roman" w:hAnsi="Arial" w:cs="Arial"/>
                      <w:color w:val="000000"/>
                      <w:sz w:val="21"/>
                      <w:szCs w:val="21"/>
                    </w:rPr>
                    <w:t xml:space="preserve">The first of these proposed functions is not practical. It is not possible to recreate all the capabilities of a hospital in an ACF. Hospitals require extraordinary amounts of large, sophisticated, and expensive equipment and infrastructure. To build an ACF with these capabilities would be to build a new hospital. The only full hospital model to augment surge capacity being attempted right now is the deployment of the Navy hospital ships Comfort and </w:t>
                  </w:r>
                  <w:r>
                    <w:rPr>
                      <w:rFonts w:ascii="Arial" w:eastAsia="Times New Roman" w:hAnsi="Arial" w:cs="Arial"/>
                      <w:color w:val="000000"/>
                      <w:sz w:val="21"/>
                      <w:szCs w:val="21"/>
                    </w:rPr>
                    <w:lastRenderedPageBreak/>
                    <w:t>Mercy to New York and California, and defining their exact mission and integration into the local surge capacity effort remains challenging.</w:t>
                  </w:r>
                </w:p>
                <w:p w:rsidR="00A67D2C" w:rsidRDefault="00A67D2C">
                  <w:pPr>
                    <w:rPr>
                      <w:rFonts w:ascii="Arial" w:eastAsia="Times New Roman" w:hAnsi="Arial" w:cs="Arial"/>
                      <w:color w:val="403F42"/>
                      <w:sz w:val="18"/>
                      <w:szCs w:val="18"/>
                    </w:rPr>
                  </w:pPr>
                </w:p>
                <w:p w:rsidR="00A67D2C" w:rsidRDefault="00A67D2C">
                  <w:pPr>
                    <w:rPr>
                      <w:rFonts w:ascii="Arial" w:eastAsia="Times New Roman" w:hAnsi="Arial" w:cs="Arial"/>
                      <w:color w:val="403F42"/>
                      <w:sz w:val="18"/>
                      <w:szCs w:val="18"/>
                    </w:rPr>
                  </w:pPr>
                  <w:r>
                    <w:rPr>
                      <w:rFonts w:ascii="Arial" w:eastAsia="Times New Roman" w:hAnsi="Arial" w:cs="Arial"/>
                      <w:color w:val="000000"/>
                      <w:sz w:val="21"/>
                      <w:szCs w:val="21"/>
                    </w:rPr>
                    <w:t>Each of the others make some sense and could be useful for some communities. We would not expect that any location would create ACFs to address all these functions. Which functions are needed must be determined locally.</w:t>
                  </w:r>
                </w:p>
                <w:p w:rsidR="00A67D2C" w:rsidRDefault="00A67D2C">
                  <w:pPr>
                    <w:rPr>
                      <w:rFonts w:ascii="Arial" w:eastAsia="Times New Roman" w:hAnsi="Arial" w:cs="Arial"/>
                      <w:color w:val="403F42"/>
                      <w:sz w:val="18"/>
                      <w:szCs w:val="18"/>
                    </w:rPr>
                  </w:pPr>
                </w:p>
                <w:p w:rsidR="00A67D2C" w:rsidRDefault="00A67D2C" w:rsidP="005F6CD3">
                  <w:pPr>
                    <w:numPr>
                      <w:ilvl w:val="0"/>
                      <w:numId w:val="2"/>
                    </w:numPr>
                    <w:ind w:left="600" w:hanging="240"/>
                    <w:rPr>
                      <w:rFonts w:ascii="Arial" w:eastAsia="Times New Roman" w:hAnsi="Arial" w:cs="Arial"/>
                      <w:color w:val="000000"/>
                      <w:sz w:val="21"/>
                      <w:szCs w:val="21"/>
                    </w:rPr>
                  </w:pPr>
                  <w:r>
                    <w:rPr>
                      <w:rFonts w:ascii="Arial" w:eastAsia="Times New Roman" w:hAnsi="Arial" w:cs="Arial"/>
                      <w:b/>
                      <w:bCs/>
                      <w:color w:val="000000"/>
                      <w:sz w:val="21"/>
                      <w:szCs w:val="21"/>
                    </w:rPr>
                    <w:t xml:space="preserve">Patient isolation and alternative to home care for infected </w:t>
                  </w:r>
                  <w:proofErr w:type="spellStart"/>
                  <w:r>
                    <w:rPr>
                      <w:rFonts w:ascii="Arial" w:eastAsia="Times New Roman" w:hAnsi="Arial" w:cs="Arial"/>
                      <w:b/>
                      <w:bCs/>
                      <w:color w:val="000000"/>
                      <w:sz w:val="21"/>
                      <w:szCs w:val="21"/>
                    </w:rPr>
                    <w:t>patients</w:t>
                  </w:r>
                  <w:proofErr w:type="gramStart"/>
                  <w:r>
                    <w:rPr>
                      <w:rFonts w:ascii="Arial" w:eastAsia="Times New Roman" w:hAnsi="Arial" w:cs="Arial"/>
                      <w:b/>
                      <w:bCs/>
                      <w:color w:val="000000"/>
                      <w:sz w:val="21"/>
                      <w:szCs w:val="21"/>
                    </w:rPr>
                    <w:t>:</w:t>
                  </w:r>
                  <w:r>
                    <w:rPr>
                      <w:rFonts w:ascii="Arial" w:eastAsia="Times New Roman" w:hAnsi="Arial" w:cs="Arial"/>
                      <w:color w:val="000000"/>
                      <w:sz w:val="21"/>
                      <w:szCs w:val="21"/>
                    </w:rPr>
                    <w:t>There</w:t>
                  </w:r>
                  <w:proofErr w:type="spellEnd"/>
                  <w:proofErr w:type="gramEnd"/>
                  <w:r>
                    <w:rPr>
                      <w:rFonts w:ascii="Arial" w:eastAsia="Times New Roman" w:hAnsi="Arial" w:cs="Arial"/>
                      <w:color w:val="000000"/>
                      <w:sz w:val="21"/>
                      <w:szCs w:val="21"/>
                    </w:rPr>
                    <w:t xml:space="preserve"> are many people in society who may not be able to effectively home isolate if they become ill with COVID-19. They may live in a crowded apartment with others, be medically frail with no one to care for them, or even be homeless. An ACF could be a resource for medically supervised isolation for people with limited healthcare needs. </w:t>
                  </w:r>
                </w:p>
                <w:p w:rsidR="00A67D2C" w:rsidRDefault="00A67D2C">
                  <w:pPr>
                    <w:rPr>
                      <w:rFonts w:ascii="Arial" w:eastAsia="Times New Roman" w:hAnsi="Arial" w:cs="Arial"/>
                      <w:color w:val="403F42"/>
                      <w:sz w:val="18"/>
                      <w:szCs w:val="18"/>
                    </w:rPr>
                  </w:pPr>
                </w:p>
                <w:p w:rsidR="00A67D2C" w:rsidRDefault="00A67D2C" w:rsidP="005F6CD3">
                  <w:pPr>
                    <w:numPr>
                      <w:ilvl w:val="0"/>
                      <w:numId w:val="3"/>
                    </w:numPr>
                    <w:ind w:left="600" w:hanging="240"/>
                    <w:rPr>
                      <w:rFonts w:ascii="Arial" w:eastAsia="Times New Roman" w:hAnsi="Arial" w:cs="Arial"/>
                      <w:color w:val="000000"/>
                      <w:sz w:val="21"/>
                      <w:szCs w:val="21"/>
                    </w:rPr>
                  </w:pPr>
                  <w:r>
                    <w:rPr>
                      <w:rFonts w:ascii="Arial" w:eastAsia="Times New Roman" w:hAnsi="Arial" w:cs="Arial"/>
                      <w:b/>
                      <w:bCs/>
                      <w:color w:val="000000"/>
                      <w:sz w:val="21"/>
                      <w:szCs w:val="21"/>
                    </w:rPr>
                    <w:t>Quarantine of contacts of confirmed cases</w:t>
                  </w:r>
                  <w:r>
                    <w:rPr>
                      <w:rFonts w:ascii="Arial" w:eastAsia="Times New Roman" w:hAnsi="Arial" w:cs="Arial"/>
                      <w:color w:val="000000"/>
                      <w:sz w:val="21"/>
                      <w:szCs w:val="21"/>
                    </w:rPr>
                    <w:t xml:space="preserve">: Close contacts of confirmed or suspected COVID-19 patients should undergo 2 weeks of home quarantine, but as with home isolation, this may not be possible for many people. An ACF could provide shelter with some separation between individuals, along with medical monitoring for emerging symptoms. </w:t>
                  </w:r>
                </w:p>
                <w:p w:rsidR="00A67D2C" w:rsidRDefault="00A67D2C">
                  <w:pPr>
                    <w:rPr>
                      <w:rFonts w:ascii="Arial" w:eastAsia="Times New Roman" w:hAnsi="Arial" w:cs="Arial"/>
                      <w:color w:val="403F42"/>
                      <w:sz w:val="18"/>
                      <w:szCs w:val="18"/>
                    </w:rPr>
                  </w:pPr>
                </w:p>
                <w:p w:rsidR="00A67D2C" w:rsidRDefault="00A67D2C" w:rsidP="005F6CD3">
                  <w:pPr>
                    <w:numPr>
                      <w:ilvl w:val="0"/>
                      <w:numId w:val="4"/>
                    </w:numPr>
                    <w:ind w:left="600" w:hanging="240"/>
                    <w:rPr>
                      <w:rFonts w:ascii="Arial" w:eastAsia="Times New Roman" w:hAnsi="Arial" w:cs="Arial"/>
                      <w:color w:val="000000"/>
                      <w:sz w:val="21"/>
                      <w:szCs w:val="21"/>
                    </w:rPr>
                  </w:pPr>
                  <w:r>
                    <w:rPr>
                      <w:rFonts w:ascii="Arial" w:eastAsia="Times New Roman" w:hAnsi="Arial" w:cs="Arial"/>
                      <w:b/>
                      <w:bCs/>
                      <w:color w:val="000000"/>
                      <w:sz w:val="21"/>
                      <w:szCs w:val="21"/>
                    </w:rPr>
                    <w:t>Primary triage and rapid patient screening</w:t>
                  </w:r>
                  <w:r>
                    <w:rPr>
                      <w:rFonts w:ascii="Arial" w:eastAsia="Times New Roman" w:hAnsi="Arial" w:cs="Arial"/>
                      <w:color w:val="000000"/>
                      <w:sz w:val="21"/>
                      <w:szCs w:val="21"/>
                    </w:rPr>
                    <w:t xml:space="preserve">: Most COVID-19 patients will not need hospital care and should not be seen in an overcrowded emergency department (ED). ACFs could provide a space for initial screening and triage of potential COVID-19 patients. An ACF used for this purpose would need to be located physically close to the hospital ED so that unstable patients can be admitted as quickly as possible. </w:t>
                  </w:r>
                </w:p>
                <w:p w:rsidR="00A67D2C" w:rsidRDefault="00A67D2C">
                  <w:pPr>
                    <w:rPr>
                      <w:rFonts w:ascii="Arial" w:eastAsia="Times New Roman" w:hAnsi="Arial" w:cs="Arial"/>
                      <w:color w:val="403F42"/>
                      <w:sz w:val="18"/>
                      <w:szCs w:val="18"/>
                    </w:rPr>
                  </w:pPr>
                </w:p>
                <w:p w:rsidR="00A67D2C" w:rsidRDefault="00A67D2C" w:rsidP="005F6CD3">
                  <w:pPr>
                    <w:numPr>
                      <w:ilvl w:val="0"/>
                      <w:numId w:val="5"/>
                    </w:numPr>
                    <w:ind w:left="600" w:hanging="240"/>
                    <w:rPr>
                      <w:rFonts w:ascii="Arial" w:eastAsia="Times New Roman" w:hAnsi="Arial" w:cs="Arial"/>
                      <w:color w:val="000000"/>
                      <w:sz w:val="21"/>
                      <w:szCs w:val="21"/>
                    </w:rPr>
                  </w:pPr>
                  <w:r>
                    <w:rPr>
                      <w:rFonts w:ascii="Arial" w:eastAsia="Times New Roman" w:hAnsi="Arial" w:cs="Arial"/>
                      <w:b/>
                      <w:bCs/>
                      <w:color w:val="000000"/>
                      <w:sz w:val="21"/>
                      <w:szCs w:val="21"/>
                    </w:rPr>
                    <w:t>Limited supportive care for noncritical infected patients</w:t>
                  </w:r>
                  <w:r>
                    <w:rPr>
                      <w:rFonts w:ascii="Arial" w:eastAsia="Times New Roman" w:hAnsi="Arial" w:cs="Arial"/>
                      <w:color w:val="000000"/>
                      <w:sz w:val="21"/>
                      <w:szCs w:val="21"/>
                    </w:rPr>
                    <w:t xml:space="preserve">: Although some hospitalized COVID-19 patients will require intensive care, the majority will not. These patients may need only low-flow oxygen, intravenous fluids, and some common medications and treatments. This could conceivably be done in a well-equipped ACF. However, some COVID-19 patients suddenly deteriorate, so there needs to be the capability of rapid transfer to a nearby hospital ICU. </w:t>
                  </w:r>
                </w:p>
                <w:p w:rsidR="00A67D2C" w:rsidRDefault="00A67D2C">
                  <w:pPr>
                    <w:rPr>
                      <w:rFonts w:ascii="Arial" w:eastAsia="Times New Roman" w:hAnsi="Arial" w:cs="Arial"/>
                      <w:color w:val="403F42"/>
                      <w:sz w:val="18"/>
                      <w:szCs w:val="18"/>
                    </w:rPr>
                  </w:pPr>
                </w:p>
                <w:p w:rsidR="00A67D2C" w:rsidRDefault="00A67D2C" w:rsidP="005F6CD3">
                  <w:pPr>
                    <w:numPr>
                      <w:ilvl w:val="0"/>
                      <w:numId w:val="6"/>
                    </w:numPr>
                    <w:ind w:left="600" w:hanging="240"/>
                    <w:rPr>
                      <w:rFonts w:ascii="Arial" w:eastAsia="Times New Roman" w:hAnsi="Arial" w:cs="Arial"/>
                      <w:color w:val="000000"/>
                      <w:sz w:val="21"/>
                      <w:szCs w:val="21"/>
                    </w:rPr>
                  </w:pPr>
                  <w:r>
                    <w:rPr>
                      <w:rFonts w:ascii="Arial" w:eastAsia="Times New Roman" w:hAnsi="Arial" w:cs="Arial"/>
                      <w:b/>
                      <w:bCs/>
                      <w:color w:val="000000"/>
                      <w:sz w:val="21"/>
                      <w:szCs w:val="21"/>
                    </w:rPr>
                    <w:t>Expanded ambulatory care</w:t>
                  </w:r>
                  <w:r>
                    <w:rPr>
                      <w:rFonts w:ascii="Arial" w:eastAsia="Times New Roman" w:hAnsi="Arial" w:cs="Arial"/>
                      <w:color w:val="000000"/>
                      <w:sz w:val="21"/>
                      <w:szCs w:val="21"/>
                    </w:rPr>
                    <w:t xml:space="preserve">: In addition, there may be a need for an alternative to overwhelmed EDs and urgent care centers as well as closed physician offices for all non-COVID patients who need minor medical care but cannot access it because of the pandemic. </w:t>
                  </w:r>
                </w:p>
                <w:p w:rsidR="00A67D2C" w:rsidRDefault="00A67D2C">
                  <w:pPr>
                    <w:rPr>
                      <w:rFonts w:ascii="Arial" w:eastAsia="Times New Roman" w:hAnsi="Arial" w:cs="Arial"/>
                      <w:color w:val="403F42"/>
                      <w:sz w:val="18"/>
                      <w:szCs w:val="18"/>
                    </w:rPr>
                  </w:pPr>
                </w:p>
                <w:p w:rsidR="00A67D2C" w:rsidRDefault="00A67D2C" w:rsidP="005F6CD3">
                  <w:pPr>
                    <w:numPr>
                      <w:ilvl w:val="0"/>
                      <w:numId w:val="7"/>
                    </w:numPr>
                    <w:ind w:left="600" w:hanging="240"/>
                    <w:rPr>
                      <w:rFonts w:ascii="Arial" w:eastAsia="Times New Roman" w:hAnsi="Arial" w:cs="Arial"/>
                      <w:color w:val="000000"/>
                      <w:sz w:val="21"/>
                      <w:szCs w:val="21"/>
                    </w:rPr>
                  </w:pPr>
                  <w:r>
                    <w:rPr>
                      <w:rFonts w:ascii="Arial" w:eastAsia="Times New Roman" w:hAnsi="Arial" w:cs="Arial"/>
                      <w:b/>
                      <w:bCs/>
                      <w:color w:val="000000"/>
                      <w:sz w:val="21"/>
                      <w:szCs w:val="21"/>
                    </w:rPr>
                    <w:t xml:space="preserve">Care for recovering, </w:t>
                  </w:r>
                  <w:proofErr w:type="spellStart"/>
                  <w:r>
                    <w:rPr>
                      <w:rFonts w:ascii="Arial" w:eastAsia="Times New Roman" w:hAnsi="Arial" w:cs="Arial"/>
                      <w:b/>
                      <w:bCs/>
                      <w:color w:val="000000"/>
                      <w:sz w:val="21"/>
                      <w:szCs w:val="21"/>
                    </w:rPr>
                    <w:t>noninfected</w:t>
                  </w:r>
                  <w:proofErr w:type="spellEnd"/>
                  <w:r>
                    <w:rPr>
                      <w:rFonts w:ascii="Arial" w:eastAsia="Times New Roman" w:hAnsi="Arial" w:cs="Arial"/>
                      <w:b/>
                      <w:bCs/>
                      <w:color w:val="000000"/>
                      <w:sz w:val="21"/>
                      <w:szCs w:val="21"/>
                    </w:rPr>
                    <w:t xml:space="preserve"> patients</w:t>
                  </w:r>
                  <w:r>
                    <w:rPr>
                      <w:rFonts w:ascii="Arial" w:eastAsia="Times New Roman" w:hAnsi="Arial" w:cs="Arial"/>
                      <w:color w:val="000000"/>
                      <w:sz w:val="21"/>
                      <w:szCs w:val="21"/>
                    </w:rPr>
                    <w:t xml:space="preserve">: In order to free up hospital space for COVID-19 patients, many hospitals are trying to discharge medically stable non–COVID-19 patients early. Some of these patients may not yet be well enough to go home but do not need the full services of a hospital. ACFs could provide basic medical care for such patients. </w:t>
                  </w:r>
                </w:p>
                <w:p w:rsidR="00A67D2C" w:rsidRDefault="00A67D2C">
                  <w:pPr>
                    <w:rPr>
                      <w:rFonts w:ascii="Arial" w:eastAsia="Times New Roman" w:hAnsi="Arial" w:cs="Arial"/>
                      <w:color w:val="403F42"/>
                      <w:sz w:val="18"/>
                      <w:szCs w:val="18"/>
                    </w:rPr>
                  </w:pPr>
                </w:p>
                <w:p w:rsidR="00A67D2C" w:rsidRDefault="00A67D2C">
                  <w:pPr>
                    <w:rPr>
                      <w:rFonts w:ascii="Arial" w:eastAsia="Times New Roman" w:hAnsi="Arial" w:cs="Arial"/>
                      <w:color w:val="403F42"/>
                      <w:sz w:val="18"/>
                      <w:szCs w:val="18"/>
                    </w:rPr>
                  </w:pPr>
                </w:p>
                <w:p w:rsidR="00A67D2C" w:rsidRDefault="00A67D2C">
                  <w:pPr>
                    <w:rPr>
                      <w:rFonts w:ascii="Arial" w:eastAsia="Times New Roman" w:hAnsi="Arial" w:cs="Arial"/>
                      <w:color w:val="403F42"/>
                      <w:sz w:val="18"/>
                      <w:szCs w:val="18"/>
                    </w:rPr>
                  </w:pPr>
                  <w:r>
                    <w:rPr>
                      <w:rFonts w:ascii="Arial" w:eastAsia="Times New Roman" w:hAnsi="Arial" w:cs="Arial"/>
                      <w:b/>
                      <w:bCs/>
                      <w:color w:val="1C4882"/>
                      <w:sz w:val="21"/>
                      <w:szCs w:val="21"/>
                    </w:rPr>
                    <w:t>Different Functions Require Different Plans</w:t>
                  </w:r>
                </w:p>
                <w:p w:rsidR="00A67D2C" w:rsidRDefault="00A67D2C">
                  <w:pPr>
                    <w:rPr>
                      <w:rFonts w:ascii="Arial" w:eastAsia="Times New Roman" w:hAnsi="Arial" w:cs="Arial"/>
                      <w:color w:val="403F42"/>
                      <w:sz w:val="18"/>
                      <w:szCs w:val="18"/>
                    </w:rPr>
                  </w:pPr>
                </w:p>
                <w:p w:rsidR="00A67D2C" w:rsidRDefault="00A67D2C">
                  <w:pPr>
                    <w:rPr>
                      <w:rFonts w:ascii="Arial" w:eastAsia="Times New Roman" w:hAnsi="Arial" w:cs="Arial"/>
                      <w:color w:val="403F42"/>
                      <w:sz w:val="18"/>
                      <w:szCs w:val="18"/>
                    </w:rPr>
                  </w:pPr>
                  <w:r>
                    <w:rPr>
                      <w:rFonts w:ascii="Arial" w:eastAsia="Times New Roman" w:hAnsi="Arial" w:cs="Arial"/>
                      <w:color w:val="000000"/>
                      <w:sz w:val="21"/>
                      <w:szCs w:val="21"/>
                    </w:rPr>
                    <w:t>Each potential ACF function, or subgroup of functions, listed above requires a different layout, staffing pattern, and type of medical resources. The size of patient spaces, the barriers between them, and the medical resources (</w:t>
                  </w:r>
                  <w:proofErr w:type="spellStart"/>
                  <w:r>
                    <w:rPr>
                      <w:rFonts w:ascii="Arial" w:eastAsia="Times New Roman" w:hAnsi="Arial" w:cs="Arial"/>
                      <w:color w:val="000000"/>
                      <w:sz w:val="21"/>
                      <w:szCs w:val="21"/>
                    </w:rPr>
                    <w:t>eg</w:t>
                  </w:r>
                  <w:proofErr w:type="spellEnd"/>
                  <w:r>
                    <w:rPr>
                      <w:rFonts w:ascii="Arial" w:eastAsia="Times New Roman" w:hAnsi="Arial" w:cs="Arial"/>
                      <w:color w:val="000000"/>
                      <w:sz w:val="21"/>
                      <w:szCs w:val="21"/>
                    </w:rPr>
                    <w:t>, oxygen) needed will vary depending on the intended use. The degree of proximity to the hospital will also vary depending on the intended function. In some smaller locations, such as a gymnasium, only 1 function is likely to be possible; however, in a very large space, like a convention center, separate parts of the facility can be used for different functions if the functions are sufficiently segregated.</w:t>
                  </w:r>
                </w:p>
                <w:p w:rsidR="00A67D2C" w:rsidRDefault="00A67D2C">
                  <w:pPr>
                    <w:rPr>
                      <w:rFonts w:ascii="Arial" w:eastAsia="Times New Roman" w:hAnsi="Arial" w:cs="Arial"/>
                      <w:color w:val="403F42"/>
                      <w:sz w:val="18"/>
                      <w:szCs w:val="18"/>
                    </w:rPr>
                  </w:pPr>
                </w:p>
                <w:p w:rsidR="00A67D2C" w:rsidRDefault="00A67D2C">
                  <w:pPr>
                    <w:rPr>
                      <w:rFonts w:ascii="Arial" w:eastAsia="Times New Roman" w:hAnsi="Arial" w:cs="Arial"/>
                      <w:color w:val="403F42"/>
                      <w:sz w:val="18"/>
                      <w:szCs w:val="18"/>
                    </w:rPr>
                  </w:pPr>
                </w:p>
                <w:p w:rsidR="00A67D2C" w:rsidRDefault="00A67D2C">
                  <w:pPr>
                    <w:rPr>
                      <w:rFonts w:ascii="Arial" w:eastAsia="Times New Roman" w:hAnsi="Arial" w:cs="Arial"/>
                      <w:color w:val="403F42"/>
                      <w:sz w:val="18"/>
                      <w:szCs w:val="18"/>
                    </w:rPr>
                  </w:pPr>
                  <w:r>
                    <w:rPr>
                      <w:rFonts w:ascii="Arial" w:eastAsia="Times New Roman" w:hAnsi="Arial" w:cs="Arial"/>
                      <w:b/>
                      <w:bCs/>
                      <w:color w:val="1C4882"/>
                      <w:sz w:val="21"/>
                      <w:szCs w:val="21"/>
                    </w:rPr>
                    <w:t>Staffing</w:t>
                  </w:r>
                </w:p>
                <w:p w:rsidR="00A67D2C" w:rsidRDefault="00A67D2C">
                  <w:pPr>
                    <w:rPr>
                      <w:rFonts w:ascii="Arial" w:eastAsia="Times New Roman" w:hAnsi="Arial" w:cs="Arial"/>
                      <w:color w:val="403F42"/>
                      <w:sz w:val="18"/>
                      <w:szCs w:val="18"/>
                    </w:rPr>
                  </w:pPr>
                </w:p>
                <w:p w:rsidR="00A67D2C" w:rsidRDefault="00A67D2C">
                  <w:pPr>
                    <w:rPr>
                      <w:rFonts w:ascii="Arial" w:eastAsia="Times New Roman" w:hAnsi="Arial" w:cs="Arial"/>
                      <w:color w:val="403F42"/>
                      <w:sz w:val="18"/>
                      <w:szCs w:val="18"/>
                    </w:rPr>
                  </w:pPr>
                  <w:r>
                    <w:rPr>
                      <w:rFonts w:ascii="Arial" w:eastAsia="Times New Roman" w:hAnsi="Arial" w:cs="Arial"/>
                      <w:color w:val="000000"/>
                      <w:sz w:val="21"/>
                      <w:szCs w:val="21"/>
                    </w:rPr>
                    <w:t>Some functions will be fairly resource-intensive, requiring extensive coverage by physicians, nurse practitioners, or physician assistants (</w:t>
                  </w:r>
                  <w:proofErr w:type="spellStart"/>
                  <w:r>
                    <w:rPr>
                      <w:rFonts w:ascii="Arial" w:eastAsia="Times New Roman" w:hAnsi="Arial" w:cs="Arial"/>
                      <w:color w:val="000000"/>
                      <w:sz w:val="21"/>
                      <w:szCs w:val="21"/>
                    </w:rPr>
                    <w:t>eg</w:t>
                  </w:r>
                  <w:proofErr w:type="spellEnd"/>
                  <w:r>
                    <w:rPr>
                      <w:rFonts w:ascii="Arial" w:eastAsia="Times New Roman" w:hAnsi="Arial" w:cs="Arial"/>
                      <w:color w:val="000000"/>
                      <w:sz w:val="21"/>
                      <w:szCs w:val="21"/>
                    </w:rPr>
                    <w:t>, expanded ambulatory care). Others may require much less coverage (</w:t>
                  </w:r>
                  <w:proofErr w:type="spellStart"/>
                  <w:r>
                    <w:rPr>
                      <w:rFonts w:ascii="Arial" w:eastAsia="Times New Roman" w:hAnsi="Arial" w:cs="Arial"/>
                      <w:color w:val="000000"/>
                      <w:sz w:val="21"/>
                      <w:szCs w:val="21"/>
                    </w:rPr>
                    <w:t>eg</w:t>
                  </w:r>
                  <w:proofErr w:type="spellEnd"/>
                  <w:r>
                    <w:rPr>
                      <w:rFonts w:ascii="Arial" w:eastAsia="Times New Roman" w:hAnsi="Arial" w:cs="Arial"/>
                      <w:color w:val="000000"/>
                      <w:sz w:val="21"/>
                      <w:szCs w:val="21"/>
                    </w:rPr>
                    <w:t>, patient isolation and alternative to home care for infected patients). The ratio of nursing personnel to patients will also be different, depending on the functions. Volunteers may be more useful in some functions than in others. Where the staffing will come from is an important limiting factor, and the availability of staffing may dictate the kinds of functions that can be offered.</w:t>
                  </w:r>
                </w:p>
                <w:p w:rsidR="00A67D2C" w:rsidRDefault="00A67D2C">
                  <w:pPr>
                    <w:rPr>
                      <w:rFonts w:ascii="Arial" w:eastAsia="Times New Roman" w:hAnsi="Arial" w:cs="Arial"/>
                      <w:color w:val="403F42"/>
                      <w:sz w:val="18"/>
                      <w:szCs w:val="18"/>
                    </w:rPr>
                  </w:pPr>
                </w:p>
                <w:p w:rsidR="00A67D2C" w:rsidRDefault="00A67D2C">
                  <w:pPr>
                    <w:rPr>
                      <w:rFonts w:ascii="Arial" w:eastAsia="Times New Roman" w:hAnsi="Arial" w:cs="Arial"/>
                      <w:color w:val="403F42"/>
                      <w:sz w:val="18"/>
                      <w:szCs w:val="18"/>
                    </w:rPr>
                  </w:pPr>
                </w:p>
                <w:p w:rsidR="00A67D2C" w:rsidRDefault="00A67D2C">
                  <w:pPr>
                    <w:rPr>
                      <w:rFonts w:ascii="Arial" w:eastAsia="Times New Roman" w:hAnsi="Arial" w:cs="Arial"/>
                      <w:color w:val="403F42"/>
                      <w:sz w:val="18"/>
                      <w:szCs w:val="18"/>
                    </w:rPr>
                  </w:pPr>
                  <w:r>
                    <w:rPr>
                      <w:rFonts w:ascii="Arial" w:eastAsia="Times New Roman" w:hAnsi="Arial" w:cs="Arial"/>
                      <w:b/>
                      <w:bCs/>
                      <w:color w:val="1C4882"/>
                      <w:sz w:val="21"/>
                      <w:szCs w:val="21"/>
                    </w:rPr>
                    <w:t>The Challenge of Asymptomatic Transmission</w:t>
                  </w:r>
                </w:p>
                <w:p w:rsidR="00A67D2C" w:rsidRDefault="00A67D2C">
                  <w:pPr>
                    <w:rPr>
                      <w:rFonts w:ascii="Arial" w:eastAsia="Times New Roman" w:hAnsi="Arial" w:cs="Arial"/>
                      <w:color w:val="403F42"/>
                      <w:sz w:val="18"/>
                      <w:szCs w:val="18"/>
                    </w:rPr>
                  </w:pPr>
                </w:p>
                <w:p w:rsidR="00A67D2C" w:rsidRDefault="00A67D2C">
                  <w:pPr>
                    <w:rPr>
                      <w:rFonts w:ascii="Arial" w:eastAsia="Times New Roman" w:hAnsi="Arial" w:cs="Arial"/>
                      <w:color w:val="403F42"/>
                      <w:sz w:val="18"/>
                      <w:szCs w:val="18"/>
                    </w:rPr>
                  </w:pPr>
                  <w:r>
                    <w:rPr>
                      <w:rFonts w:ascii="Arial" w:eastAsia="Times New Roman" w:hAnsi="Arial" w:cs="Arial"/>
                      <w:color w:val="000000"/>
                      <w:sz w:val="21"/>
                      <w:szCs w:val="21"/>
                    </w:rPr>
                    <w:t>Because a substantial portion of COVID-19 transmission is from people with no symptoms at the time, every ACF, regardless of its intended function, could and likely will become “infected” unless rapid COVID-19 testing becomes much more widely available than it is now. Therefore, every ACF, whether intended for COVID-19 patients of not, must adhere to strict infection control practices and have contingency plans for how to respond to an outbreak within the facility.</w:t>
                  </w:r>
                </w:p>
                <w:p w:rsidR="00A67D2C" w:rsidRDefault="00A67D2C">
                  <w:pPr>
                    <w:rPr>
                      <w:rFonts w:ascii="Arial" w:eastAsia="Times New Roman" w:hAnsi="Arial" w:cs="Arial"/>
                      <w:color w:val="403F42"/>
                      <w:sz w:val="18"/>
                      <w:szCs w:val="18"/>
                    </w:rPr>
                  </w:pPr>
                </w:p>
                <w:p w:rsidR="00A67D2C" w:rsidRDefault="00A67D2C">
                  <w:pPr>
                    <w:rPr>
                      <w:rFonts w:ascii="Arial" w:eastAsia="Times New Roman" w:hAnsi="Arial" w:cs="Arial"/>
                      <w:color w:val="403F42"/>
                      <w:sz w:val="18"/>
                      <w:szCs w:val="18"/>
                    </w:rPr>
                  </w:pPr>
                </w:p>
                <w:p w:rsidR="00A67D2C" w:rsidRDefault="00A67D2C">
                  <w:pPr>
                    <w:rPr>
                      <w:rFonts w:ascii="Arial" w:eastAsia="Times New Roman" w:hAnsi="Arial" w:cs="Arial"/>
                      <w:color w:val="403F42"/>
                      <w:sz w:val="18"/>
                      <w:szCs w:val="18"/>
                    </w:rPr>
                  </w:pPr>
                  <w:r>
                    <w:rPr>
                      <w:rFonts w:ascii="Arial" w:eastAsia="Times New Roman" w:hAnsi="Arial" w:cs="Arial"/>
                      <w:b/>
                      <w:bCs/>
                      <w:color w:val="1C4882"/>
                      <w:sz w:val="21"/>
                      <w:szCs w:val="21"/>
                    </w:rPr>
                    <w:t>Summary</w:t>
                  </w:r>
                </w:p>
                <w:p w:rsidR="00A67D2C" w:rsidRDefault="00A67D2C">
                  <w:pPr>
                    <w:rPr>
                      <w:rFonts w:ascii="Arial" w:eastAsia="Times New Roman" w:hAnsi="Arial" w:cs="Arial"/>
                      <w:color w:val="403F42"/>
                      <w:sz w:val="18"/>
                      <w:szCs w:val="18"/>
                    </w:rPr>
                  </w:pPr>
                </w:p>
                <w:p w:rsidR="00A67D2C" w:rsidRDefault="00A67D2C">
                  <w:pPr>
                    <w:rPr>
                      <w:rFonts w:ascii="Arial" w:eastAsia="Times New Roman" w:hAnsi="Arial" w:cs="Arial"/>
                      <w:color w:val="403F42"/>
                      <w:sz w:val="18"/>
                      <w:szCs w:val="18"/>
                    </w:rPr>
                  </w:pPr>
                  <w:r>
                    <w:rPr>
                      <w:rFonts w:ascii="Arial" w:eastAsia="Times New Roman" w:hAnsi="Arial" w:cs="Arial"/>
                      <w:color w:val="000000"/>
                      <w:sz w:val="21"/>
                      <w:szCs w:val="21"/>
                    </w:rPr>
                    <w:t>ACFs can be an essential part of the response to the pandemic, and every community should be preparing them now. But form follows function, and those planning these facilities should have a clear notion of what the precise purpose of the facility will be.</w:t>
                  </w:r>
                </w:p>
                <w:p w:rsidR="00A67D2C" w:rsidRDefault="00A67D2C">
                  <w:pPr>
                    <w:rPr>
                      <w:rFonts w:ascii="Arial" w:eastAsia="Times New Roman" w:hAnsi="Arial" w:cs="Arial"/>
                      <w:color w:val="403F42"/>
                      <w:sz w:val="18"/>
                      <w:szCs w:val="18"/>
                    </w:rPr>
                  </w:pPr>
                  <w:r>
                    <w:rPr>
                      <w:rFonts w:ascii="Arial" w:eastAsia="Times New Roman" w:hAnsi="Arial" w:cs="Arial"/>
                      <w:color w:val="000000"/>
                      <w:sz w:val="21"/>
                      <w:szCs w:val="21"/>
                    </w:rPr>
                    <w:t> </w:t>
                  </w:r>
                </w:p>
                <w:p w:rsidR="00A67D2C" w:rsidRDefault="00A67D2C">
                  <w:pPr>
                    <w:rPr>
                      <w:rFonts w:ascii="Arial" w:eastAsia="Times New Roman" w:hAnsi="Arial" w:cs="Arial"/>
                      <w:color w:val="403F42"/>
                      <w:sz w:val="18"/>
                      <w:szCs w:val="18"/>
                    </w:rPr>
                  </w:pPr>
                </w:p>
                <w:p w:rsidR="00A67D2C" w:rsidRDefault="00A67D2C">
                  <w:pPr>
                    <w:rPr>
                      <w:rFonts w:ascii="Arial" w:eastAsia="Times New Roman" w:hAnsi="Arial" w:cs="Arial"/>
                      <w:color w:val="403F42"/>
                      <w:sz w:val="18"/>
                      <w:szCs w:val="18"/>
                    </w:rPr>
                  </w:pPr>
                  <w:r>
                    <w:rPr>
                      <w:rFonts w:ascii="Arial" w:eastAsia="Times New Roman" w:hAnsi="Arial" w:cs="Arial"/>
                      <w:b/>
                      <w:bCs/>
                      <w:color w:val="1C4882"/>
                      <w:sz w:val="21"/>
                      <w:szCs w:val="21"/>
                    </w:rPr>
                    <w:t>References</w:t>
                  </w:r>
                </w:p>
                <w:p w:rsidR="00A67D2C" w:rsidRDefault="00A67D2C" w:rsidP="005F6CD3">
                  <w:pPr>
                    <w:numPr>
                      <w:ilvl w:val="0"/>
                      <w:numId w:val="8"/>
                    </w:numPr>
                    <w:ind w:left="600" w:hanging="240"/>
                    <w:rPr>
                      <w:rFonts w:ascii="Arial" w:eastAsia="Times New Roman" w:hAnsi="Arial" w:cs="Arial"/>
                      <w:color w:val="403F42"/>
                      <w:sz w:val="21"/>
                      <w:szCs w:val="21"/>
                    </w:rPr>
                  </w:pPr>
                  <w:r>
                    <w:rPr>
                      <w:rFonts w:ascii="Arial" w:eastAsia="Times New Roman" w:hAnsi="Arial" w:cs="Arial"/>
                      <w:color w:val="000000"/>
                      <w:sz w:val="21"/>
                      <w:szCs w:val="21"/>
                    </w:rPr>
                    <w:t xml:space="preserve">Lam C, </w:t>
                  </w:r>
                  <w:proofErr w:type="spellStart"/>
                  <w:r>
                    <w:rPr>
                      <w:rFonts w:ascii="Arial" w:eastAsia="Times New Roman" w:hAnsi="Arial" w:cs="Arial"/>
                      <w:color w:val="000000"/>
                      <w:sz w:val="21"/>
                      <w:szCs w:val="21"/>
                    </w:rPr>
                    <w:t>Waldhorn</w:t>
                  </w:r>
                  <w:proofErr w:type="spellEnd"/>
                  <w:r>
                    <w:rPr>
                      <w:rFonts w:ascii="Arial" w:eastAsia="Times New Roman" w:hAnsi="Arial" w:cs="Arial"/>
                      <w:color w:val="000000"/>
                      <w:sz w:val="21"/>
                      <w:szCs w:val="21"/>
                    </w:rPr>
                    <w:t xml:space="preserve"> R, Toner E, </w:t>
                  </w:r>
                  <w:proofErr w:type="spellStart"/>
                  <w:r>
                    <w:rPr>
                      <w:rFonts w:ascii="Arial" w:eastAsia="Times New Roman" w:hAnsi="Arial" w:cs="Arial"/>
                      <w:color w:val="000000"/>
                      <w:sz w:val="21"/>
                      <w:szCs w:val="21"/>
                    </w:rPr>
                    <w:t>Inglesby</w:t>
                  </w:r>
                  <w:proofErr w:type="spellEnd"/>
                  <w:r>
                    <w:rPr>
                      <w:rFonts w:ascii="Arial" w:eastAsia="Times New Roman" w:hAnsi="Arial" w:cs="Arial"/>
                      <w:color w:val="000000"/>
                      <w:sz w:val="21"/>
                      <w:szCs w:val="21"/>
                    </w:rPr>
                    <w:t xml:space="preserve"> TV, O’Toole T. The prospect of using alternative medical care facilities in an influenza pandemic. </w:t>
                  </w:r>
                  <w:proofErr w:type="spellStart"/>
                  <w:r>
                    <w:rPr>
                      <w:rFonts w:ascii="Arial" w:eastAsia="Times New Roman" w:hAnsi="Arial" w:cs="Arial"/>
                      <w:i/>
                      <w:iCs/>
                      <w:color w:val="000000"/>
                      <w:sz w:val="21"/>
                      <w:szCs w:val="21"/>
                    </w:rPr>
                    <w:t>Biosecur</w:t>
                  </w:r>
                  <w:proofErr w:type="spellEnd"/>
                  <w:r>
                    <w:rPr>
                      <w:rFonts w:ascii="Arial" w:eastAsia="Times New Roman" w:hAnsi="Arial" w:cs="Arial"/>
                      <w:i/>
                      <w:iCs/>
                      <w:color w:val="000000"/>
                      <w:sz w:val="21"/>
                      <w:szCs w:val="21"/>
                    </w:rPr>
                    <w:t xml:space="preserve"> Bioterror</w:t>
                  </w:r>
                  <w:r>
                    <w:rPr>
                      <w:rFonts w:ascii="Arial" w:eastAsia="Times New Roman" w:hAnsi="Arial" w:cs="Arial"/>
                      <w:color w:val="000000"/>
                      <w:sz w:val="21"/>
                      <w:szCs w:val="21"/>
                    </w:rPr>
                    <w:t> 2006</w:t>
                  </w:r>
                  <w:proofErr w:type="gramStart"/>
                  <w:r>
                    <w:rPr>
                      <w:rFonts w:ascii="Arial" w:eastAsia="Times New Roman" w:hAnsi="Arial" w:cs="Arial"/>
                      <w:color w:val="000000"/>
                      <w:sz w:val="21"/>
                      <w:szCs w:val="21"/>
                    </w:rPr>
                    <w:t>;4</w:t>
                  </w:r>
                  <w:proofErr w:type="gramEnd"/>
                  <w:r>
                    <w:rPr>
                      <w:rFonts w:ascii="Arial" w:eastAsia="Times New Roman" w:hAnsi="Arial" w:cs="Arial"/>
                      <w:color w:val="000000"/>
                      <w:sz w:val="21"/>
                      <w:szCs w:val="21"/>
                    </w:rPr>
                    <w:t>(4):384-390. </w:t>
                  </w:r>
                  <w:hyperlink r:id="rId6" w:tgtFrame="_blank" w:history="1">
                    <w:r>
                      <w:rPr>
                        <w:rStyle w:val="Hyperlink"/>
                        <w:rFonts w:ascii="Arial" w:eastAsia="Times New Roman" w:hAnsi="Arial" w:cs="Arial"/>
                        <w:color w:val="1C4882"/>
                        <w:sz w:val="21"/>
                        <w:szCs w:val="21"/>
                      </w:rPr>
                      <w:t>https://www.liebertpub.com/doi/pdfplus/10.1089/bsp.2006.4.384</w:t>
                    </w:r>
                  </w:hyperlink>
                  <w:r>
                    <w:rPr>
                      <w:rFonts w:ascii="Arial" w:eastAsia="Times New Roman" w:hAnsi="Arial" w:cs="Arial"/>
                      <w:color w:val="403F42"/>
                      <w:sz w:val="21"/>
                      <w:szCs w:val="21"/>
                    </w:rPr>
                    <w:t xml:space="preserve"> </w:t>
                  </w:r>
                </w:p>
                <w:p w:rsidR="00A67D2C" w:rsidRDefault="00A67D2C" w:rsidP="005F6CD3">
                  <w:pPr>
                    <w:numPr>
                      <w:ilvl w:val="0"/>
                      <w:numId w:val="8"/>
                    </w:numPr>
                    <w:ind w:left="600" w:hanging="240"/>
                    <w:rPr>
                      <w:rFonts w:ascii="Arial" w:eastAsia="Times New Roman" w:hAnsi="Arial" w:cs="Arial"/>
                      <w:color w:val="403F42"/>
                      <w:sz w:val="21"/>
                      <w:szCs w:val="21"/>
                    </w:rPr>
                  </w:pPr>
                  <w:proofErr w:type="spellStart"/>
                  <w:r>
                    <w:rPr>
                      <w:rFonts w:ascii="Arial" w:eastAsia="Times New Roman" w:hAnsi="Arial" w:cs="Arial"/>
                      <w:color w:val="000000"/>
                      <w:sz w:val="21"/>
                      <w:szCs w:val="21"/>
                    </w:rPr>
                    <w:t>Waldhorn</w:t>
                  </w:r>
                  <w:proofErr w:type="spellEnd"/>
                  <w:r>
                    <w:rPr>
                      <w:rFonts w:ascii="Arial" w:eastAsia="Times New Roman" w:hAnsi="Arial" w:cs="Arial"/>
                      <w:color w:val="000000"/>
                      <w:sz w:val="21"/>
                      <w:szCs w:val="21"/>
                    </w:rPr>
                    <w:t xml:space="preserve"> R. What role can alternative care facilities play in an influenza pandemic? </w:t>
                  </w:r>
                  <w:proofErr w:type="spellStart"/>
                  <w:r>
                    <w:rPr>
                      <w:rFonts w:ascii="Arial" w:eastAsia="Times New Roman" w:hAnsi="Arial" w:cs="Arial"/>
                      <w:i/>
                      <w:iCs/>
                      <w:color w:val="000000"/>
                      <w:sz w:val="21"/>
                      <w:szCs w:val="21"/>
                    </w:rPr>
                    <w:t>Biosecur</w:t>
                  </w:r>
                  <w:proofErr w:type="spellEnd"/>
                  <w:r>
                    <w:rPr>
                      <w:rFonts w:ascii="Arial" w:eastAsia="Times New Roman" w:hAnsi="Arial" w:cs="Arial"/>
                      <w:i/>
                      <w:iCs/>
                      <w:color w:val="000000"/>
                      <w:sz w:val="21"/>
                      <w:szCs w:val="21"/>
                    </w:rPr>
                    <w:t xml:space="preserve"> Bioterror</w:t>
                  </w:r>
                  <w:r>
                    <w:rPr>
                      <w:rFonts w:ascii="Arial" w:eastAsia="Times New Roman" w:hAnsi="Arial" w:cs="Arial"/>
                      <w:color w:val="000000"/>
                      <w:sz w:val="21"/>
                      <w:szCs w:val="21"/>
                    </w:rPr>
                    <w:t> 2008</w:t>
                  </w:r>
                  <w:proofErr w:type="gramStart"/>
                  <w:r>
                    <w:rPr>
                      <w:rFonts w:ascii="Arial" w:eastAsia="Times New Roman" w:hAnsi="Arial" w:cs="Arial"/>
                      <w:color w:val="000000"/>
                      <w:sz w:val="21"/>
                      <w:szCs w:val="21"/>
                    </w:rPr>
                    <w:t>;6</w:t>
                  </w:r>
                  <w:proofErr w:type="gramEnd"/>
                  <w:r>
                    <w:rPr>
                      <w:rFonts w:ascii="Arial" w:eastAsia="Times New Roman" w:hAnsi="Arial" w:cs="Arial"/>
                      <w:color w:val="000000"/>
                      <w:sz w:val="21"/>
                      <w:szCs w:val="21"/>
                    </w:rPr>
                    <w:t>(4):357-358. </w:t>
                  </w:r>
                  <w:hyperlink r:id="rId7" w:tgtFrame="_blank" w:history="1">
                    <w:r>
                      <w:rPr>
                        <w:rStyle w:val="Hyperlink"/>
                        <w:rFonts w:ascii="Arial" w:eastAsia="Times New Roman" w:hAnsi="Arial" w:cs="Arial"/>
                        <w:color w:val="1C4882"/>
                        <w:sz w:val="21"/>
                        <w:szCs w:val="21"/>
                      </w:rPr>
                      <w:t>https://www.liebertpub.com/doi/pdfplus/10.1089/bsp.2008.1029</w:t>
                    </w:r>
                  </w:hyperlink>
                  <w:r>
                    <w:rPr>
                      <w:rFonts w:ascii="Arial" w:eastAsia="Times New Roman" w:hAnsi="Arial" w:cs="Arial"/>
                      <w:color w:val="403F42"/>
                      <w:sz w:val="21"/>
                      <w:szCs w:val="21"/>
                    </w:rPr>
                    <w:t xml:space="preserve"> </w:t>
                  </w:r>
                </w:p>
              </w:tc>
            </w:tr>
          </w:tbl>
          <w:p w:rsidR="00A67D2C" w:rsidRDefault="00A67D2C">
            <w:pPr>
              <w:rPr>
                <w:rFonts w:eastAsia="Times New Roman"/>
                <w:sz w:val="20"/>
                <w:szCs w:val="20"/>
              </w:rPr>
            </w:pPr>
          </w:p>
        </w:tc>
      </w:tr>
    </w:tbl>
    <w:p w:rsidR="00A67D2C" w:rsidRDefault="00A67D2C" w:rsidP="00A67D2C">
      <w:pPr>
        <w:jc w:val="cente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9360"/>
      </w:tblGrid>
      <w:tr w:rsidR="00A67D2C" w:rsidTr="00A67D2C">
        <w:trPr>
          <w:jc w:val="center"/>
        </w:trPr>
        <w:tc>
          <w:tcPr>
            <w:tcW w:w="5000" w:type="pct"/>
            <w:hideMark/>
          </w:tcPr>
          <w:tbl>
            <w:tblPr>
              <w:tblW w:w="5000" w:type="pct"/>
              <w:tblCellMar>
                <w:left w:w="0" w:type="dxa"/>
                <w:right w:w="0" w:type="dxa"/>
              </w:tblCellMar>
              <w:tblLook w:val="04A0" w:firstRow="1" w:lastRow="0" w:firstColumn="1" w:lastColumn="0" w:noHBand="0" w:noVBand="1"/>
            </w:tblPr>
            <w:tblGrid>
              <w:gridCol w:w="9360"/>
            </w:tblGrid>
            <w:tr w:rsidR="00A67D2C">
              <w:tc>
                <w:tcPr>
                  <w:tcW w:w="0" w:type="auto"/>
                  <w:hideMark/>
                </w:tcPr>
                <w:tbl>
                  <w:tblPr>
                    <w:tblW w:w="5000" w:type="pct"/>
                    <w:jc w:val="center"/>
                    <w:tblLook w:val="04A0" w:firstRow="1" w:lastRow="0" w:firstColumn="1" w:lastColumn="0" w:noHBand="0" w:noVBand="1"/>
                  </w:tblPr>
                  <w:tblGrid>
                    <w:gridCol w:w="9360"/>
                  </w:tblGrid>
                  <w:tr w:rsidR="00A67D2C">
                    <w:trPr>
                      <w:jc w:val="center"/>
                    </w:trPr>
                    <w:tc>
                      <w:tcPr>
                        <w:tcW w:w="5000" w:type="pct"/>
                        <w:tcMar>
                          <w:top w:w="135" w:type="dxa"/>
                          <w:left w:w="0" w:type="dxa"/>
                          <w:bottom w:w="135" w:type="dxa"/>
                          <w:right w:w="0" w:type="dxa"/>
                        </w:tcMar>
                        <w:hideMark/>
                      </w:tcPr>
                      <w:tbl>
                        <w:tblPr>
                          <w:tblW w:w="4700" w:type="pct"/>
                          <w:jc w:val="center"/>
                          <w:tblCellMar>
                            <w:left w:w="0" w:type="dxa"/>
                            <w:right w:w="0" w:type="dxa"/>
                          </w:tblCellMar>
                          <w:tblLook w:val="04A0" w:firstRow="1" w:lastRow="0" w:firstColumn="1" w:lastColumn="0" w:noHBand="0" w:noVBand="1"/>
                        </w:tblPr>
                        <w:tblGrid>
                          <w:gridCol w:w="8798"/>
                        </w:tblGrid>
                        <w:tr w:rsidR="00A67D2C">
                          <w:trPr>
                            <w:trHeight w:val="15"/>
                            <w:jc w:val="center"/>
                          </w:trPr>
                          <w:tc>
                            <w:tcPr>
                              <w:tcW w:w="0" w:type="auto"/>
                              <w:shd w:val="clear" w:color="auto" w:fill="1C4882"/>
                              <w:vAlign w:val="center"/>
                              <w:hideMark/>
                            </w:tcPr>
                            <w:p w:rsidR="00A67D2C" w:rsidRDefault="00A67D2C">
                              <w:pPr>
                                <w:spacing w:line="15" w:lineRule="atLeast"/>
                                <w:jc w:val="center"/>
                                <w:rPr>
                                  <w:rFonts w:eastAsia="Times New Roman"/>
                                </w:rPr>
                              </w:pPr>
                              <w:r>
                                <w:rPr>
                                  <w:rFonts w:eastAsia="Times New Roman"/>
                                  <w:noProof/>
                                </w:rPr>
                                <w:drawing>
                                  <wp:inline distT="0" distB="0" distL="0" distR="0">
                                    <wp:extent cx="43815" cy="7620"/>
                                    <wp:effectExtent l="0" t="0" r="0" b="0"/>
                                    <wp:docPr id="1" name="Picture 1" descr="https://imgssl.constantcontact.com/letters/images/1101116784221/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ssl.constantcontact.com/letters/images/1101116784221/S.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15" cy="7620"/>
                                            </a:xfrm>
                                            <a:prstGeom prst="rect">
                                              <a:avLst/>
                                            </a:prstGeom>
                                            <a:noFill/>
                                            <a:ln>
                                              <a:noFill/>
                                            </a:ln>
                                          </pic:spPr>
                                        </pic:pic>
                                      </a:graphicData>
                                    </a:graphic>
                                  </wp:inline>
                                </w:drawing>
                              </w:r>
                            </w:p>
                          </w:tc>
                        </w:tr>
                      </w:tbl>
                      <w:p w:rsidR="00A67D2C" w:rsidRDefault="00A67D2C">
                        <w:pPr>
                          <w:jc w:val="center"/>
                          <w:rPr>
                            <w:rFonts w:eastAsia="Times New Roman"/>
                            <w:sz w:val="20"/>
                            <w:szCs w:val="20"/>
                          </w:rPr>
                        </w:pPr>
                      </w:p>
                    </w:tc>
                  </w:tr>
                </w:tbl>
                <w:p w:rsidR="00A67D2C" w:rsidRDefault="00A67D2C">
                  <w:pPr>
                    <w:jc w:val="center"/>
                    <w:rPr>
                      <w:rFonts w:eastAsia="Times New Roman"/>
                      <w:sz w:val="20"/>
                      <w:szCs w:val="20"/>
                    </w:rPr>
                  </w:pPr>
                </w:p>
              </w:tc>
            </w:tr>
          </w:tbl>
          <w:p w:rsidR="00A67D2C" w:rsidRDefault="00A67D2C">
            <w:pPr>
              <w:rPr>
                <w:rFonts w:eastAsia="Times New Roman"/>
                <w:sz w:val="20"/>
                <w:szCs w:val="20"/>
              </w:rPr>
            </w:pPr>
          </w:p>
        </w:tc>
      </w:tr>
    </w:tbl>
    <w:p w:rsidR="00A67D2C" w:rsidRDefault="00A67D2C" w:rsidP="00A67D2C">
      <w:pPr>
        <w:jc w:val="cente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9360"/>
      </w:tblGrid>
      <w:tr w:rsidR="00A67D2C" w:rsidTr="00A67D2C">
        <w:trPr>
          <w:jc w:val="center"/>
        </w:trPr>
        <w:tc>
          <w:tcPr>
            <w:tcW w:w="5000" w:type="pct"/>
            <w:hideMark/>
          </w:tcPr>
          <w:tbl>
            <w:tblPr>
              <w:tblW w:w="5000" w:type="pct"/>
              <w:tblCellMar>
                <w:left w:w="0" w:type="dxa"/>
                <w:right w:w="0" w:type="dxa"/>
              </w:tblCellMar>
              <w:tblLook w:val="04A0" w:firstRow="1" w:lastRow="0" w:firstColumn="1" w:lastColumn="0" w:noHBand="0" w:noVBand="1"/>
            </w:tblPr>
            <w:tblGrid>
              <w:gridCol w:w="9360"/>
            </w:tblGrid>
            <w:tr w:rsidR="00A67D2C">
              <w:tc>
                <w:tcPr>
                  <w:tcW w:w="0" w:type="auto"/>
                  <w:tcMar>
                    <w:top w:w="150" w:type="dxa"/>
                    <w:left w:w="300" w:type="dxa"/>
                    <w:bottom w:w="150" w:type="dxa"/>
                    <w:right w:w="300" w:type="dxa"/>
                  </w:tcMar>
                  <w:hideMark/>
                </w:tcPr>
                <w:p w:rsidR="00A67D2C" w:rsidRDefault="00A67D2C">
                  <w:pPr>
                    <w:jc w:val="center"/>
                    <w:rPr>
                      <w:rFonts w:ascii="Arial" w:eastAsia="Times New Roman" w:hAnsi="Arial" w:cs="Arial"/>
                      <w:color w:val="403F42"/>
                      <w:sz w:val="18"/>
                      <w:szCs w:val="18"/>
                    </w:rPr>
                  </w:pPr>
                  <w:r>
                    <w:rPr>
                      <w:rFonts w:ascii="Arial" w:eastAsia="Times New Roman" w:hAnsi="Arial" w:cs="Arial"/>
                      <w:color w:val="333333"/>
                      <w:sz w:val="21"/>
                      <w:szCs w:val="21"/>
                    </w:rPr>
                    <w:t>Published by JHSPH Center for Health Security</w:t>
                  </w:r>
                </w:p>
                <w:p w:rsidR="00A67D2C" w:rsidRDefault="00A67D2C">
                  <w:pPr>
                    <w:jc w:val="center"/>
                    <w:rPr>
                      <w:rFonts w:ascii="Arial" w:eastAsia="Times New Roman" w:hAnsi="Arial" w:cs="Arial"/>
                      <w:color w:val="403F42"/>
                      <w:sz w:val="18"/>
                      <w:szCs w:val="18"/>
                    </w:rPr>
                  </w:pPr>
                  <w:r>
                    <w:rPr>
                      <w:rFonts w:ascii="Arial" w:eastAsia="Times New Roman" w:hAnsi="Arial" w:cs="Arial"/>
                      <w:color w:val="403F42"/>
                      <w:sz w:val="21"/>
                      <w:szCs w:val="21"/>
                    </w:rPr>
                    <w:t xml:space="preserve">Visit us on the web: </w:t>
                  </w:r>
                  <w:hyperlink r:id="rId9" w:tgtFrame="_blank" w:history="1">
                    <w:r>
                      <w:rPr>
                        <w:rStyle w:val="Hyperlink"/>
                        <w:rFonts w:ascii="Arial" w:eastAsia="Times New Roman" w:hAnsi="Arial" w:cs="Arial"/>
                        <w:color w:val="1C4882"/>
                        <w:sz w:val="21"/>
                        <w:szCs w:val="21"/>
                      </w:rPr>
                      <w:t>centerforhealthsecurity.org</w:t>
                    </w:r>
                  </w:hyperlink>
                  <w:r>
                    <w:rPr>
                      <w:rFonts w:ascii="Arial" w:eastAsia="Times New Roman" w:hAnsi="Arial" w:cs="Arial"/>
                      <w:color w:val="403F42"/>
                      <w:sz w:val="18"/>
                      <w:szCs w:val="18"/>
                    </w:rPr>
                    <w:t xml:space="preserve"> </w:t>
                  </w:r>
                </w:p>
              </w:tc>
            </w:tr>
          </w:tbl>
          <w:p w:rsidR="00A67D2C" w:rsidRDefault="00A67D2C">
            <w:pPr>
              <w:rPr>
                <w:rFonts w:eastAsia="Times New Roman"/>
                <w:sz w:val="20"/>
                <w:szCs w:val="20"/>
              </w:rPr>
            </w:pPr>
          </w:p>
        </w:tc>
      </w:tr>
    </w:tbl>
    <w:p w:rsidR="00BC6B20" w:rsidRDefault="00BC6B20"/>
    <w:sectPr w:rsidR="00BC6B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D2B4D"/>
    <w:multiLevelType w:val="multilevel"/>
    <w:tmpl w:val="D7124C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34008"/>
    <w:multiLevelType w:val="multilevel"/>
    <w:tmpl w:val="826E22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3B2AA0"/>
    <w:multiLevelType w:val="multilevel"/>
    <w:tmpl w:val="D63AF5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A76950"/>
    <w:multiLevelType w:val="multilevel"/>
    <w:tmpl w:val="04D48C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54495C"/>
    <w:multiLevelType w:val="multilevel"/>
    <w:tmpl w:val="47D056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237523"/>
    <w:multiLevelType w:val="multilevel"/>
    <w:tmpl w:val="3E28CD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321771"/>
    <w:multiLevelType w:val="multilevel"/>
    <w:tmpl w:val="F23A37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077B6D"/>
    <w:multiLevelType w:val="multilevel"/>
    <w:tmpl w:val="B7801F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 w:numId="4">
    <w:abstractNumId w:val="3"/>
    <w:lvlOverride w:ilvl="0"/>
    <w:lvlOverride w:ilvl="1"/>
    <w:lvlOverride w:ilvl="2"/>
    <w:lvlOverride w:ilvl="3"/>
    <w:lvlOverride w:ilvl="4"/>
    <w:lvlOverride w:ilvl="5"/>
    <w:lvlOverride w:ilvl="6"/>
    <w:lvlOverride w:ilvl="7"/>
    <w:lvlOverride w:ilvl="8"/>
  </w:num>
  <w:num w:numId="5">
    <w:abstractNumId w:val="2"/>
    <w:lvlOverride w:ilvl="0"/>
    <w:lvlOverride w:ilvl="1"/>
    <w:lvlOverride w:ilvl="2"/>
    <w:lvlOverride w:ilvl="3"/>
    <w:lvlOverride w:ilvl="4"/>
    <w:lvlOverride w:ilvl="5"/>
    <w:lvlOverride w:ilvl="6"/>
    <w:lvlOverride w:ilvl="7"/>
    <w:lvlOverride w:ilvl="8"/>
  </w:num>
  <w:num w:numId="6">
    <w:abstractNumId w:val="5"/>
    <w:lvlOverride w:ilvl="0"/>
    <w:lvlOverride w:ilvl="1"/>
    <w:lvlOverride w:ilvl="2"/>
    <w:lvlOverride w:ilvl="3"/>
    <w:lvlOverride w:ilvl="4"/>
    <w:lvlOverride w:ilvl="5"/>
    <w:lvlOverride w:ilvl="6"/>
    <w:lvlOverride w:ilvl="7"/>
    <w:lvlOverride w:ilvl="8"/>
  </w:num>
  <w:num w:numId="7">
    <w:abstractNumId w:val="6"/>
    <w:lvlOverride w:ilvl="0"/>
    <w:lvlOverride w:ilvl="1"/>
    <w:lvlOverride w:ilvl="2"/>
    <w:lvlOverride w:ilvl="3"/>
    <w:lvlOverride w:ilvl="4"/>
    <w:lvlOverride w:ilvl="5"/>
    <w:lvlOverride w:ilvl="6"/>
    <w:lvlOverride w:ilvl="7"/>
    <w:lvlOverride w:ilvl="8"/>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D2C"/>
    <w:rsid w:val="00A67D2C"/>
    <w:rsid w:val="00BC6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2B8AA"/>
  <w15:chartTrackingRefBased/>
  <w15:docId w15:val="{A024AF45-958A-4CA7-BA7F-2610E9289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D2C"/>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67D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812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ettings" Target="settings.xml"/><Relationship Id="rId7" Type="http://schemas.openxmlformats.org/officeDocument/2006/relationships/hyperlink" Target="https://gcc01.safelinks.protection.outlook.com/?url=http%3A%2F%2Fr20.rs6.net%2Ftn.jsp%3Ff%3D001TN493is1EXgdRvHslny-itgwrqi4zz9vDe8Lp9jLjWALSYocCI6732GLl5EUUhuP5W8KEq9aljTt3xm6zn3qeb5WLzOPp-RAQkzzv4Cfuiv9cOQB9Z_8DkeDeKbGX0xpae4snhUwHKoauWNPuUcTvk6fjwt5xg0zQMyUAw3ux6R8559qlUkgaX_Z908rxTAWgwnMe7zgM18%3D%26c%3DX9urn3T2ZZCLxGEuNz-UJn1AKYflQeA30qAWpsGa-IBmjhdUTeHW7A%3D%3D%26ch%3D0KC78eg807Uh08ziQTws_ibPnDajos66DhC1YK_vxm-j8tSDNsaHJw%3D%3D&amp;data=02%7C01%7Crichard.danila%40state.mn.us%7C0285fc893a5c4b9e52ec08d7db2f179c%7Ceb14b04624c445198f26b89c2159828c%7C0%7C0%7C637218867622412656&amp;sdata=e82OZc3U8iZwtWwB%2BC1qw2nHDNSu41Thwhi7VRwjNbg%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cc01.safelinks.protection.outlook.com/?url=http%3A%2F%2Fr20.rs6.net%2Ftn.jsp%3Ff%3D001TN493is1EXgdRvHslny-itgwrqi4zz9vDe8Lp9jLjWALSYocCI6732GLl5EUUhuP7HETrrBv_i4qbxGOrclbqCk-Pwmy213Si1uUkg-VtELoLLk9uTmwMD9hCRZMFQQi6git12vZY7e9rBZuuBwopSBGQ4SR6E6Ksm0PHB0zQJNPTBKFrILURgi5skfNLJNkH5vLoGTRz5k%3D%26c%3DX9urn3T2ZZCLxGEuNz-UJn1AKYflQeA30qAWpsGa-IBmjhdUTeHW7A%3D%3D%26ch%3D0KC78eg807Uh08ziQTws_ibPnDajos66DhC1YK_vxm-j8tSDNsaHJw%3D%3D&amp;data=02%7C01%7Crichard.danila%40state.mn.us%7C0285fc893a5c4b9e52ec08d7db2f179c%7Ceb14b04624c445198f26b89c2159828c%7C0%7C0%7C637218867622412656&amp;sdata=zF9%2B%2B%2BDo05aBt6BfUNbYdNm8AEKMQ9gV300m%2BOF%2Bw%2BQ%3D&amp;reserved=0" TargetMode="External"/><Relationship Id="rId11" Type="http://schemas.openxmlformats.org/officeDocument/2006/relationships/theme" Target="theme/theme1.xml"/><Relationship Id="rId5" Type="http://schemas.openxmlformats.org/officeDocument/2006/relationships/hyperlink" Target="https://gcc01.safelinks.protection.outlook.com/?url=http%3A%2F%2Fr20.rs6.net%2Ftn.jsp%3Ff%3D001TN493is1EXgdRvHslny-itgwrqi4zz9vDe8Lp9jLjWALSYocCI6732GLl5EUUhuP5_6L8YcvFKFYWgS1dK8s-VUarGFegb6L3WGJGXfjJEQUGyw04YWwzyLHXtL-EGLppEgvNLp8N4nM6_wNv6PZAs3dpxCcNk9UB_fxWbzoDSYNwgtSKslBrmtuR29fG0XLXyT5IZuug_64xl-MxdTx3g%3D%3D%26c%3DX9urn3T2ZZCLxGEuNz-UJn1AKYflQeA30qAWpsGa-IBmjhdUTeHW7A%3D%3D%26ch%3D0KC78eg807Uh08ziQTws_ibPnDajos66DhC1YK_vxm-j8tSDNsaHJw%3D%3D&amp;data=02%7C01%7Crichard.danila%40state.mn.us%7C0285fc893a5c4b9e52ec08d7db2f179c%7Ceb14b04624c445198f26b89c2159828c%7C0%7C0%7C637218867622402694&amp;sdata=cAgQMUONETEKhkl25tYmeQvuxkmFzIoOtlRLCZntzpA%3D&amp;reserved=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gcc01.safelinks.protection.outlook.com/?url=http%3A%2F%2Fr20.rs6.net%2Ftn.jsp%3Ff%3D001TN493is1EXgdRvHslny-itgwrqi4zz9vDe8Lp9jLjWALSYocCI673285HOXcpraJ5Re17avgTIc6RNWZSKsHv2sz3n6bKXQ1Nwa5JpuZbtoP3ARwUcTBCFZVA03UoNOGb24rksnDSbd9RZjQFBpsih5b19kBMea8%26c%3DX9urn3T2ZZCLxGEuNz-UJn1AKYflQeA30qAWpsGa-IBmjhdUTeHW7A%3D%3D%26ch%3D0KC78eg807Uh08ziQTws_ibPnDajos66DhC1YK_vxm-j8tSDNsaHJw%3D%3D&amp;data=02%7C01%7Crichard.danila%40state.mn.us%7C0285fc893a5c4b9e52ec08d7db2f179c%7Ceb14b04624c445198f26b89c2159828c%7C0%7C0%7C637218867622422610&amp;sdata=%2BBAO%2BuRNJuG9rrbML%2B6GYWlYYVsYLykdx8MoJWE5HpQ%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1625</Words>
  <Characters>9268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State of Minnesota</Company>
  <LinksUpToDate>false</LinksUpToDate>
  <CharactersWithSpaces>10872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Danila, Richard (MDH)</dc:creator>
  <cp:keywords/>
  <dc:description/>
  <cp:lastModifiedBy>Danila, Richard (MDH)</cp:lastModifiedBy>
  <cp:revision>1</cp:revision>
  <dcterms:created xsi:type="dcterms:W3CDTF">2020-04-07T20:28:00Z</dcterms:created>
  <dcterms:modified xsi:type="dcterms:W3CDTF">2020-04-07T20:29:00Z</dcterms:modified>
</cp:coreProperties>
</file>