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59DB" w:rsidRPr="005859DB" w:rsidRDefault="005859DB" w:rsidP="005859DB">
      <w:pPr>
        <w:shd w:val="clear" w:color="auto" w:fill="FAFAFA"/>
        <w:spacing w:before="180" w:after="0" w:line="240" w:lineRule="auto"/>
        <w:textAlignment w:val="center"/>
        <w:outlineLvl w:val="0"/>
        <w:rPr>
          <w:rFonts w:ascii="Arial" w:eastAsia="Times New Roman" w:hAnsi="Arial" w:cs="Arial"/>
          <w:b/>
          <w:bCs/>
          <w:color w:val="000000"/>
          <w:kern w:val="36"/>
          <w:sz w:val="48"/>
          <w:szCs w:val="48"/>
        </w:rPr>
      </w:pPr>
      <w:r w:rsidRPr="005859DB">
        <w:rPr>
          <w:rFonts w:ascii="Arial" w:eastAsia="Times New Roman" w:hAnsi="Arial" w:cs="Arial"/>
          <w:b/>
          <w:bCs/>
          <w:color w:val="000000"/>
          <w:kern w:val="36"/>
          <w:sz w:val="48"/>
          <w:szCs w:val="48"/>
        </w:rPr>
        <w:t>Effectiveness of Adding a Mask Recommendation to Other Public Health Measures to Prevent SARS-CoV-2 Infection in Danish Mask Wearers</w:t>
      </w:r>
    </w:p>
    <w:p w:rsidR="005859DB" w:rsidRPr="005859DB" w:rsidRDefault="005859DB" w:rsidP="005859DB">
      <w:pPr>
        <w:shd w:val="clear" w:color="auto" w:fill="FAFAFA"/>
        <w:spacing w:after="0" w:line="240" w:lineRule="auto"/>
        <w:rPr>
          <w:rFonts w:ascii="Arial" w:eastAsia="Times New Roman" w:hAnsi="Arial" w:cs="Arial"/>
          <w:color w:val="575A5D"/>
          <w:sz w:val="24"/>
          <w:szCs w:val="24"/>
        </w:rPr>
      </w:pPr>
      <w:r w:rsidRPr="005859DB">
        <w:rPr>
          <w:rFonts w:ascii="Arial" w:eastAsia="Times New Roman" w:hAnsi="Arial" w:cs="Arial"/>
          <w:b/>
          <w:bCs/>
          <w:caps/>
          <w:color w:val="008066"/>
          <w:sz w:val="24"/>
          <w:szCs w:val="24"/>
          <w:bdr w:val="single" w:sz="6" w:space="3" w:color="D9D9D9" w:frame="1"/>
        </w:rPr>
        <w:t>FREE</w:t>
      </w:r>
    </w:p>
    <w:p w:rsidR="005859DB" w:rsidRPr="005859DB" w:rsidRDefault="005859DB" w:rsidP="005859DB">
      <w:pPr>
        <w:shd w:val="clear" w:color="auto" w:fill="FAFAFA"/>
        <w:spacing w:after="0" w:line="240" w:lineRule="auto"/>
        <w:rPr>
          <w:rFonts w:ascii="Arial" w:eastAsia="Times New Roman" w:hAnsi="Arial" w:cs="Arial"/>
          <w:color w:val="575A5D"/>
          <w:sz w:val="24"/>
          <w:szCs w:val="24"/>
        </w:rPr>
      </w:pPr>
      <w:r w:rsidRPr="005859DB">
        <w:rPr>
          <w:rFonts w:ascii="Arial" w:eastAsia="Times New Roman" w:hAnsi="Arial" w:cs="Arial"/>
          <w:color w:val="575A5D"/>
          <w:sz w:val="24"/>
          <w:szCs w:val="24"/>
        </w:rPr>
        <w:t>A Randomized Controlled Trial</w:t>
      </w:r>
    </w:p>
    <w:p w:rsidR="005859DB" w:rsidRPr="005859DB" w:rsidRDefault="005859DB" w:rsidP="005859DB">
      <w:pPr>
        <w:shd w:val="clear" w:color="auto" w:fill="FAFAFA"/>
        <w:spacing w:after="0" w:line="240" w:lineRule="auto"/>
        <w:rPr>
          <w:rFonts w:ascii="Arial" w:eastAsia="Times New Roman" w:hAnsi="Arial" w:cs="Arial"/>
          <w:color w:val="707070"/>
          <w:sz w:val="24"/>
          <w:szCs w:val="24"/>
        </w:rPr>
      </w:pPr>
      <w:hyperlink r:id="rId5" w:tooltip="Henning Bundgaard, DMSc" w:history="1">
        <w:r w:rsidRPr="005859DB">
          <w:rPr>
            <w:rFonts w:ascii="Arial" w:eastAsia="Times New Roman" w:hAnsi="Arial" w:cs="Arial"/>
            <w:color w:val="0000FF"/>
            <w:sz w:val="24"/>
            <w:szCs w:val="24"/>
            <w:u w:val="single"/>
          </w:rPr>
          <w:t xml:space="preserve">Henning </w:t>
        </w:r>
        <w:proofErr w:type="spellStart"/>
        <w:r w:rsidRPr="005859DB">
          <w:rPr>
            <w:rFonts w:ascii="Arial" w:eastAsia="Times New Roman" w:hAnsi="Arial" w:cs="Arial"/>
            <w:color w:val="0000FF"/>
            <w:sz w:val="24"/>
            <w:szCs w:val="24"/>
            <w:u w:val="single"/>
          </w:rPr>
          <w:t>Bundgaard</w:t>
        </w:r>
        <w:proofErr w:type="spellEnd"/>
        <w:r w:rsidRPr="005859DB">
          <w:rPr>
            <w:rFonts w:ascii="Arial" w:eastAsia="Times New Roman" w:hAnsi="Arial" w:cs="Arial"/>
            <w:color w:val="0000FF"/>
            <w:sz w:val="24"/>
            <w:szCs w:val="24"/>
            <w:u w:val="single"/>
          </w:rPr>
          <w:t xml:space="preserve">, </w:t>
        </w:r>
        <w:proofErr w:type="spellStart"/>
        <w:r w:rsidRPr="005859DB">
          <w:rPr>
            <w:rFonts w:ascii="Arial" w:eastAsia="Times New Roman" w:hAnsi="Arial" w:cs="Arial"/>
            <w:color w:val="0000FF"/>
            <w:sz w:val="24"/>
            <w:szCs w:val="24"/>
            <w:u w:val="single"/>
          </w:rPr>
          <w:t>DMSc</w:t>
        </w:r>
        <w:proofErr w:type="spellEnd"/>
      </w:hyperlink>
    </w:p>
    <w:p w:rsidR="005859DB" w:rsidRPr="005859DB" w:rsidRDefault="005859DB" w:rsidP="005859DB">
      <w:pPr>
        <w:shd w:val="clear" w:color="auto" w:fill="FAFAFA"/>
        <w:spacing w:after="0" w:line="240" w:lineRule="auto"/>
        <w:rPr>
          <w:rFonts w:ascii="Arial" w:eastAsia="Times New Roman" w:hAnsi="Arial" w:cs="Arial"/>
          <w:color w:val="707070"/>
          <w:sz w:val="24"/>
          <w:szCs w:val="24"/>
        </w:rPr>
      </w:pPr>
      <w:r w:rsidRPr="005859DB">
        <w:rPr>
          <w:rFonts w:ascii="Arial" w:eastAsia="Times New Roman" w:hAnsi="Arial" w:cs="Arial"/>
          <w:color w:val="707070"/>
          <w:sz w:val="24"/>
          <w:szCs w:val="24"/>
        </w:rPr>
        <w:t>, </w:t>
      </w:r>
    </w:p>
    <w:p w:rsidR="005859DB" w:rsidRPr="005859DB" w:rsidRDefault="005859DB" w:rsidP="005859DB">
      <w:pPr>
        <w:shd w:val="clear" w:color="auto" w:fill="FAFAFA"/>
        <w:spacing w:after="0" w:line="240" w:lineRule="auto"/>
        <w:rPr>
          <w:rFonts w:ascii="Arial" w:eastAsia="Times New Roman" w:hAnsi="Arial" w:cs="Arial"/>
          <w:color w:val="707070"/>
          <w:sz w:val="24"/>
          <w:szCs w:val="24"/>
        </w:rPr>
      </w:pPr>
      <w:hyperlink r:id="rId6" w:tooltip="Johan Skov Bundgaard, BSc" w:history="1">
        <w:r w:rsidRPr="005859DB">
          <w:rPr>
            <w:rFonts w:ascii="Arial" w:eastAsia="Times New Roman" w:hAnsi="Arial" w:cs="Arial"/>
            <w:color w:val="0000FF"/>
            <w:sz w:val="24"/>
            <w:szCs w:val="24"/>
            <w:u w:val="single"/>
          </w:rPr>
          <w:t xml:space="preserve">Johan </w:t>
        </w:r>
        <w:proofErr w:type="spellStart"/>
        <w:r w:rsidRPr="005859DB">
          <w:rPr>
            <w:rFonts w:ascii="Arial" w:eastAsia="Times New Roman" w:hAnsi="Arial" w:cs="Arial"/>
            <w:color w:val="0000FF"/>
            <w:sz w:val="24"/>
            <w:szCs w:val="24"/>
            <w:u w:val="single"/>
          </w:rPr>
          <w:t>Skov</w:t>
        </w:r>
        <w:proofErr w:type="spellEnd"/>
        <w:r w:rsidRPr="005859DB">
          <w:rPr>
            <w:rFonts w:ascii="Arial" w:eastAsia="Times New Roman" w:hAnsi="Arial" w:cs="Arial"/>
            <w:color w:val="0000FF"/>
            <w:sz w:val="24"/>
            <w:szCs w:val="24"/>
            <w:u w:val="single"/>
          </w:rPr>
          <w:t xml:space="preserve"> </w:t>
        </w:r>
        <w:proofErr w:type="spellStart"/>
        <w:r w:rsidRPr="005859DB">
          <w:rPr>
            <w:rFonts w:ascii="Arial" w:eastAsia="Times New Roman" w:hAnsi="Arial" w:cs="Arial"/>
            <w:color w:val="0000FF"/>
            <w:sz w:val="24"/>
            <w:szCs w:val="24"/>
            <w:u w:val="single"/>
          </w:rPr>
          <w:t>Bundgaard</w:t>
        </w:r>
        <w:proofErr w:type="spellEnd"/>
        <w:r w:rsidRPr="005859DB">
          <w:rPr>
            <w:rFonts w:ascii="Arial" w:eastAsia="Times New Roman" w:hAnsi="Arial" w:cs="Arial"/>
            <w:color w:val="0000FF"/>
            <w:sz w:val="24"/>
            <w:szCs w:val="24"/>
            <w:u w:val="single"/>
          </w:rPr>
          <w:t>, BSc</w:t>
        </w:r>
      </w:hyperlink>
    </w:p>
    <w:p w:rsidR="005859DB" w:rsidRPr="005859DB" w:rsidRDefault="005859DB" w:rsidP="005859DB">
      <w:pPr>
        <w:shd w:val="clear" w:color="auto" w:fill="FAFAFA"/>
        <w:spacing w:after="0" w:line="240" w:lineRule="auto"/>
        <w:rPr>
          <w:rFonts w:ascii="Arial" w:eastAsia="Times New Roman" w:hAnsi="Arial" w:cs="Arial"/>
          <w:color w:val="707070"/>
          <w:sz w:val="24"/>
          <w:szCs w:val="24"/>
        </w:rPr>
      </w:pPr>
      <w:proofErr w:type="gramStart"/>
      <w:r w:rsidRPr="005859DB">
        <w:rPr>
          <w:rFonts w:ascii="Arial" w:eastAsia="Times New Roman" w:hAnsi="Arial" w:cs="Arial"/>
          <w:color w:val="707070"/>
          <w:sz w:val="24"/>
          <w:szCs w:val="24"/>
        </w:rPr>
        <w:t>, </w:t>
      </w:r>
      <w:hyperlink r:id="rId7" w:history="1">
        <w:r w:rsidRPr="005859DB">
          <w:rPr>
            <w:rFonts w:ascii="Arial" w:eastAsia="Times New Roman" w:hAnsi="Arial" w:cs="Arial"/>
            <w:color w:val="575A5D"/>
            <w:sz w:val="24"/>
            <w:szCs w:val="24"/>
          </w:rPr>
          <w:t>…</w:t>
        </w:r>
        <w:r w:rsidRPr="005859DB">
          <w:rPr>
            <w:rFonts w:ascii="Arial" w:eastAsia="Times New Roman" w:hAnsi="Arial" w:cs="Arial"/>
            <w:color w:val="0000FF"/>
            <w:sz w:val="24"/>
            <w:szCs w:val="24"/>
            <w:u w:val="single"/>
          </w:rPr>
          <w:t> </w:t>
        </w:r>
        <w:proofErr w:type="gramEnd"/>
        <w:r w:rsidRPr="005859DB">
          <w:rPr>
            <w:rFonts w:ascii="Arial" w:eastAsia="Times New Roman" w:hAnsi="Arial" w:cs="Arial"/>
            <w:color w:val="0000FF"/>
            <w:sz w:val="24"/>
            <w:szCs w:val="24"/>
            <w:u w:val="single"/>
          </w:rPr>
          <w:t>View all authors </w:t>
        </w:r>
      </w:hyperlink>
    </w:p>
    <w:p w:rsidR="005859DB" w:rsidRPr="005859DB" w:rsidRDefault="005859DB" w:rsidP="005859DB">
      <w:pPr>
        <w:shd w:val="clear" w:color="auto" w:fill="FAFAFA"/>
        <w:spacing w:after="0" w:line="240" w:lineRule="auto"/>
        <w:rPr>
          <w:rFonts w:ascii="Arial" w:eastAsia="Times New Roman" w:hAnsi="Arial" w:cs="Arial"/>
          <w:color w:val="575A5D"/>
          <w:sz w:val="24"/>
          <w:szCs w:val="24"/>
        </w:rPr>
      </w:pPr>
      <w:hyperlink r:id="rId8" w:history="1">
        <w:r w:rsidRPr="005859DB">
          <w:rPr>
            <w:rFonts w:ascii="Arial" w:eastAsia="Times New Roman" w:hAnsi="Arial" w:cs="Arial"/>
            <w:color w:val="0000FF"/>
            <w:sz w:val="24"/>
            <w:szCs w:val="24"/>
            <w:u w:val="single"/>
          </w:rPr>
          <w:t>Author, Article and Disclosure Information</w:t>
        </w:r>
      </w:hyperlink>
    </w:p>
    <w:p w:rsidR="005859DB" w:rsidRPr="005859DB" w:rsidRDefault="005859DB" w:rsidP="005859DB">
      <w:pPr>
        <w:shd w:val="clear" w:color="auto" w:fill="FAFAFA"/>
        <w:spacing w:after="0" w:line="255" w:lineRule="atLeast"/>
        <w:rPr>
          <w:rFonts w:ascii="Arial" w:eastAsia="Times New Roman" w:hAnsi="Arial" w:cs="Arial"/>
          <w:color w:val="575A5D"/>
          <w:sz w:val="24"/>
          <w:szCs w:val="24"/>
        </w:rPr>
      </w:pPr>
      <w:hyperlink r:id="rId9" w:history="1">
        <w:r w:rsidRPr="005859DB">
          <w:rPr>
            <w:rFonts w:ascii="Arial" w:eastAsia="Times New Roman" w:hAnsi="Arial" w:cs="Arial"/>
            <w:color w:val="000000"/>
            <w:spacing w:val="12"/>
            <w:sz w:val="24"/>
            <w:szCs w:val="24"/>
            <w:u w:val="single"/>
          </w:rPr>
          <w:t>https://doi.org/10.7326/M20-6817</w:t>
        </w:r>
      </w:hyperlink>
    </w:p>
    <w:p w:rsidR="005859DB" w:rsidRPr="005859DB" w:rsidRDefault="005859DB" w:rsidP="005859DB">
      <w:pPr>
        <w:shd w:val="clear" w:color="auto" w:fill="FAFAFA"/>
        <w:spacing w:after="0" w:line="240" w:lineRule="auto"/>
        <w:rPr>
          <w:rFonts w:ascii="Arial" w:eastAsia="Times New Roman" w:hAnsi="Arial" w:cs="Arial"/>
          <w:color w:val="575A5D"/>
          <w:sz w:val="24"/>
          <w:szCs w:val="24"/>
        </w:rPr>
      </w:pPr>
      <w:hyperlink r:id="rId10" w:history="1">
        <w:r w:rsidRPr="005859DB">
          <w:rPr>
            <w:rFonts w:ascii="Arial" w:eastAsia="Times New Roman" w:hAnsi="Arial" w:cs="Arial"/>
            <w:color w:val="0000FF"/>
            <w:spacing w:val="12"/>
            <w:sz w:val="24"/>
            <w:szCs w:val="24"/>
            <w:u w:val="single"/>
          </w:rPr>
          <w:t>Eligible for CME Point-of-Care</w:t>
        </w:r>
      </w:hyperlink>
    </w:p>
    <w:p w:rsidR="005859DB" w:rsidRPr="005859DB" w:rsidRDefault="005859DB" w:rsidP="005859DB">
      <w:pPr>
        <w:numPr>
          <w:ilvl w:val="0"/>
          <w:numId w:val="1"/>
        </w:numPr>
        <w:shd w:val="clear" w:color="auto" w:fill="FAFAFA"/>
        <w:spacing w:before="100" w:beforeAutospacing="1" w:after="100" w:afterAutospacing="1" w:line="240" w:lineRule="auto"/>
        <w:ind w:left="0"/>
        <w:rPr>
          <w:rFonts w:ascii="Arial" w:eastAsia="Times New Roman" w:hAnsi="Arial" w:cs="Arial"/>
          <w:color w:val="575A5D"/>
          <w:sz w:val="24"/>
          <w:szCs w:val="24"/>
        </w:rPr>
      </w:pPr>
      <w:hyperlink r:id="rId11" w:history="1">
        <w:r w:rsidRPr="005859DB">
          <w:rPr>
            <w:rFonts w:ascii="Arial" w:eastAsia="Times New Roman" w:hAnsi="Arial" w:cs="Arial"/>
            <w:color w:val="000000"/>
            <w:sz w:val="24"/>
            <w:szCs w:val="24"/>
            <w:u w:val="single"/>
          </w:rPr>
          <w:t>Sections</w:t>
        </w:r>
      </w:hyperlink>
    </w:p>
    <w:p w:rsidR="005859DB" w:rsidRPr="005859DB" w:rsidRDefault="005859DB" w:rsidP="005859DB">
      <w:pPr>
        <w:shd w:val="clear" w:color="auto" w:fill="FAFAFA"/>
        <w:spacing w:after="0" w:line="240" w:lineRule="auto"/>
        <w:rPr>
          <w:rFonts w:ascii="Arial" w:eastAsia="Times New Roman" w:hAnsi="Arial" w:cs="Arial"/>
          <w:color w:val="575A5D"/>
          <w:sz w:val="24"/>
          <w:szCs w:val="24"/>
        </w:rPr>
      </w:pPr>
      <w:hyperlink r:id="rId12" w:history="1">
        <w:r w:rsidRPr="005859DB">
          <w:rPr>
            <w:rFonts w:ascii="Arial" w:eastAsia="Times New Roman" w:hAnsi="Arial" w:cs="Arial"/>
            <w:b/>
            <w:bCs/>
            <w:caps/>
            <w:color w:val="333333"/>
            <w:sz w:val="24"/>
            <w:szCs w:val="24"/>
            <w:u w:val="single"/>
            <w:bdr w:val="none" w:sz="0" w:space="0" w:color="auto" w:frame="1"/>
          </w:rPr>
          <w:t>VISUAL ABSTRACT</w:t>
        </w:r>
      </w:hyperlink>
    </w:p>
    <w:p w:rsidR="005859DB" w:rsidRPr="005859DB" w:rsidRDefault="005859DB" w:rsidP="005859DB">
      <w:pPr>
        <w:shd w:val="clear" w:color="auto" w:fill="FAFAFA"/>
        <w:spacing w:after="0" w:line="240" w:lineRule="auto"/>
        <w:rPr>
          <w:rFonts w:ascii="Arial" w:eastAsia="Times New Roman" w:hAnsi="Arial" w:cs="Arial"/>
          <w:color w:val="575A5D"/>
          <w:sz w:val="24"/>
          <w:szCs w:val="24"/>
        </w:rPr>
      </w:pPr>
      <w:hyperlink r:id="rId13" w:history="1">
        <w:r w:rsidRPr="005859DB">
          <w:rPr>
            <w:rFonts w:ascii="Arial" w:eastAsia="Times New Roman" w:hAnsi="Arial" w:cs="Arial"/>
            <w:color w:val="000000"/>
            <w:sz w:val="24"/>
            <w:szCs w:val="24"/>
            <w:u w:val="single"/>
          </w:rPr>
          <w:t>Abstract</w:t>
        </w:r>
      </w:hyperlink>
    </w:p>
    <w:p w:rsidR="005859DB" w:rsidRPr="005859DB" w:rsidRDefault="005859DB" w:rsidP="005859DB">
      <w:pPr>
        <w:shd w:val="clear" w:color="auto" w:fill="FAFAFA"/>
        <w:spacing w:after="0" w:line="240" w:lineRule="auto"/>
        <w:rPr>
          <w:rFonts w:ascii="Arial" w:eastAsia="Times New Roman" w:hAnsi="Arial" w:cs="Arial"/>
          <w:color w:val="575A5D"/>
          <w:sz w:val="24"/>
          <w:szCs w:val="24"/>
        </w:rPr>
      </w:pPr>
      <w:r w:rsidRPr="005859DB">
        <w:rPr>
          <w:rFonts w:ascii="Arial" w:eastAsia="Times New Roman" w:hAnsi="Arial" w:cs="Arial"/>
          <w:color w:val="575A5D"/>
          <w:sz w:val="24"/>
          <w:szCs w:val="24"/>
        </w:rPr>
        <w:t>Tools</w:t>
      </w:r>
    </w:p>
    <w:p w:rsidR="005859DB" w:rsidRPr="005859DB" w:rsidRDefault="005859DB" w:rsidP="005859DB">
      <w:pPr>
        <w:shd w:val="clear" w:color="auto" w:fill="FAFAFA"/>
        <w:spacing w:line="240" w:lineRule="auto"/>
        <w:rPr>
          <w:rFonts w:ascii="Arial" w:eastAsia="Times New Roman" w:hAnsi="Arial" w:cs="Arial"/>
          <w:color w:val="575A5D"/>
          <w:sz w:val="24"/>
          <w:szCs w:val="24"/>
        </w:rPr>
      </w:pPr>
      <w:hyperlink r:id="rId14" w:history="1">
        <w:r w:rsidRPr="005859DB">
          <w:rPr>
            <w:rFonts w:ascii="Arial" w:eastAsia="Times New Roman" w:hAnsi="Arial" w:cs="Arial"/>
            <w:color w:val="000000"/>
            <w:sz w:val="24"/>
            <w:szCs w:val="24"/>
            <w:u w:val="single"/>
          </w:rPr>
          <w:t>Share</w:t>
        </w:r>
      </w:hyperlink>
    </w:p>
    <w:p w:rsidR="005859DB" w:rsidRPr="005859DB" w:rsidRDefault="005859DB" w:rsidP="005859DB">
      <w:pPr>
        <w:shd w:val="clear" w:color="auto" w:fill="FAFAFA"/>
        <w:spacing w:after="240" w:line="240" w:lineRule="auto"/>
        <w:outlineLvl w:val="1"/>
        <w:rPr>
          <w:rFonts w:ascii="Arial" w:eastAsia="Times New Roman" w:hAnsi="Arial" w:cs="Arial"/>
          <w:b/>
          <w:bCs/>
          <w:color w:val="333333"/>
          <w:sz w:val="36"/>
          <w:szCs w:val="36"/>
        </w:rPr>
      </w:pPr>
      <w:r w:rsidRPr="005859DB">
        <w:rPr>
          <w:rFonts w:ascii="Arial" w:eastAsia="Times New Roman" w:hAnsi="Arial" w:cs="Arial"/>
          <w:b/>
          <w:bCs/>
          <w:color w:val="333333"/>
          <w:sz w:val="36"/>
          <w:szCs w:val="36"/>
        </w:rPr>
        <w:t>Abstract</w:t>
      </w:r>
    </w:p>
    <w:p w:rsidR="005859DB" w:rsidRPr="005859DB" w:rsidRDefault="005859DB" w:rsidP="005859DB">
      <w:pPr>
        <w:shd w:val="clear" w:color="auto" w:fill="FAFAFA"/>
        <w:spacing w:after="240" w:line="240" w:lineRule="auto"/>
        <w:outlineLvl w:val="1"/>
        <w:rPr>
          <w:rFonts w:ascii="Arial" w:eastAsia="Times New Roman" w:hAnsi="Arial" w:cs="Arial"/>
          <w:b/>
          <w:bCs/>
          <w:color w:val="000000"/>
          <w:sz w:val="31"/>
          <w:szCs w:val="31"/>
        </w:rPr>
      </w:pPr>
      <w:r w:rsidRPr="005859DB">
        <w:rPr>
          <w:rFonts w:ascii="Arial" w:eastAsia="Times New Roman" w:hAnsi="Arial" w:cs="Arial"/>
          <w:b/>
          <w:bCs/>
          <w:color w:val="000000"/>
          <w:sz w:val="31"/>
          <w:szCs w:val="31"/>
        </w:rPr>
        <w:t>Background:</w:t>
      </w:r>
    </w:p>
    <w:p w:rsidR="005859DB" w:rsidRPr="005859DB" w:rsidRDefault="005859DB" w:rsidP="005859DB">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5859DB">
        <w:rPr>
          <w:rFonts w:ascii="Times New Roman" w:eastAsia="Times New Roman" w:hAnsi="Times New Roman" w:cs="Times New Roman"/>
          <w:color w:val="333333"/>
          <w:sz w:val="24"/>
          <w:szCs w:val="24"/>
        </w:rPr>
        <w:t>Observational evidence suggests that mask wearing mitigates transmission of severe acute respiratory syndrome coronavirus 2 (SARS-CoV-2). It is uncertain if this observed association arises through protection of uninfected wearers (protective effect), via reduced transmission from infected mask wearers (source control), or both.</w:t>
      </w:r>
    </w:p>
    <w:p w:rsidR="005859DB" w:rsidRPr="005859DB" w:rsidRDefault="005859DB" w:rsidP="005859DB">
      <w:pPr>
        <w:shd w:val="clear" w:color="auto" w:fill="FAFAFA"/>
        <w:spacing w:after="240" w:line="240" w:lineRule="auto"/>
        <w:outlineLvl w:val="1"/>
        <w:rPr>
          <w:rFonts w:ascii="Arial" w:eastAsia="Times New Roman" w:hAnsi="Arial" w:cs="Arial"/>
          <w:b/>
          <w:bCs/>
          <w:color w:val="000000"/>
          <w:sz w:val="31"/>
          <w:szCs w:val="31"/>
        </w:rPr>
      </w:pPr>
      <w:r w:rsidRPr="005859DB">
        <w:rPr>
          <w:rFonts w:ascii="Arial" w:eastAsia="Times New Roman" w:hAnsi="Arial" w:cs="Arial"/>
          <w:b/>
          <w:bCs/>
          <w:color w:val="000000"/>
          <w:sz w:val="31"/>
          <w:szCs w:val="31"/>
        </w:rPr>
        <w:t>Objective:</w:t>
      </w:r>
    </w:p>
    <w:p w:rsidR="005859DB" w:rsidRPr="005859DB" w:rsidRDefault="005859DB" w:rsidP="005859DB">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5859DB">
        <w:rPr>
          <w:rFonts w:ascii="Times New Roman" w:eastAsia="Times New Roman" w:hAnsi="Times New Roman" w:cs="Times New Roman"/>
          <w:color w:val="333333"/>
          <w:sz w:val="24"/>
          <w:szCs w:val="24"/>
        </w:rPr>
        <w:lastRenderedPageBreak/>
        <w:t>To assess whether recommending surgical mask use outside the home reduces wearers' risk for SARS-CoV-2 infection in a setting where masks were uncommon and not among recommended public health measures.</w:t>
      </w:r>
    </w:p>
    <w:p w:rsidR="005859DB" w:rsidRPr="005859DB" w:rsidRDefault="005859DB" w:rsidP="005859DB">
      <w:pPr>
        <w:shd w:val="clear" w:color="auto" w:fill="FAFAFA"/>
        <w:spacing w:after="240" w:line="240" w:lineRule="auto"/>
        <w:outlineLvl w:val="1"/>
        <w:rPr>
          <w:rFonts w:ascii="Arial" w:eastAsia="Times New Roman" w:hAnsi="Arial" w:cs="Arial"/>
          <w:b/>
          <w:bCs/>
          <w:color w:val="000000"/>
          <w:sz w:val="31"/>
          <w:szCs w:val="31"/>
        </w:rPr>
      </w:pPr>
      <w:r w:rsidRPr="005859DB">
        <w:rPr>
          <w:rFonts w:ascii="Arial" w:eastAsia="Times New Roman" w:hAnsi="Arial" w:cs="Arial"/>
          <w:b/>
          <w:bCs/>
          <w:color w:val="000000"/>
          <w:sz w:val="31"/>
          <w:szCs w:val="31"/>
        </w:rPr>
        <w:t>Design:</w:t>
      </w:r>
    </w:p>
    <w:p w:rsidR="005859DB" w:rsidRPr="005859DB" w:rsidRDefault="005859DB" w:rsidP="005859DB">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5859DB">
        <w:rPr>
          <w:rFonts w:ascii="Times New Roman" w:eastAsia="Times New Roman" w:hAnsi="Times New Roman" w:cs="Times New Roman"/>
          <w:color w:val="333333"/>
          <w:sz w:val="24"/>
          <w:szCs w:val="24"/>
        </w:rPr>
        <w:t xml:space="preserve">Randomized controlled trial (DANMASK-19 [Danish Study to Assess Face Masks for the Protection </w:t>
      </w:r>
      <w:proofErr w:type="gramStart"/>
      <w:r w:rsidRPr="005859DB">
        <w:rPr>
          <w:rFonts w:ascii="Times New Roman" w:eastAsia="Times New Roman" w:hAnsi="Times New Roman" w:cs="Times New Roman"/>
          <w:color w:val="333333"/>
          <w:sz w:val="24"/>
          <w:szCs w:val="24"/>
        </w:rPr>
        <w:t>Against</w:t>
      </w:r>
      <w:proofErr w:type="gramEnd"/>
      <w:r w:rsidRPr="005859DB">
        <w:rPr>
          <w:rFonts w:ascii="Times New Roman" w:eastAsia="Times New Roman" w:hAnsi="Times New Roman" w:cs="Times New Roman"/>
          <w:color w:val="333333"/>
          <w:sz w:val="24"/>
          <w:szCs w:val="24"/>
        </w:rPr>
        <w:t xml:space="preserve"> COVID-19 Infection]). (ClinicalTrials.gov: NCT04337541)</w:t>
      </w:r>
    </w:p>
    <w:p w:rsidR="005859DB" w:rsidRPr="005859DB" w:rsidRDefault="005859DB" w:rsidP="005859DB">
      <w:pPr>
        <w:shd w:val="clear" w:color="auto" w:fill="FAFAFA"/>
        <w:spacing w:after="240" w:line="240" w:lineRule="auto"/>
        <w:outlineLvl w:val="1"/>
        <w:rPr>
          <w:rFonts w:ascii="Arial" w:eastAsia="Times New Roman" w:hAnsi="Arial" w:cs="Arial"/>
          <w:b/>
          <w:bCs/>
          <w:color w:val="000000"/>
          <w:sz w:val="31"/>
          <w:szCs w:val="31"/>
        </w:rPr>
      </w:pPr>
      <w:r w:rsidRPr="005859DB">
        <w:rPr>
          <w:rFonts w:ascii="Arial" w:eastAsia="Times New Roman" w:hAnsi="Arial" w:cs="Arial"/>
          <w:b/>
          <w:bCs/>
          <w:color w:val="000000"/>
          <w:sz w:val="31"/>
          <w:szCs w:val="31"/>
        </w:rPr>
        <w:t>Setting:</w:t>
      </w:r>
    </w:p>
    <w:p w:rsidR="005859DB" w:rsidRPr="005859DB" w:rsidRDefault="005859DB" w:rsidP="005859DB">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5859DB">
        <w:rPr>
          <w:rFonts w:ascii="Times New Roman" w:eastAsia="Times New Roman" w:hAnsi="Times New Roman" w:cs="Times New Roman"/>
          <w:color w:val="333333"/>
          <w:sz w:val="24"/>
          <w:szCs w:val="24"/>
        </w:rPr>
        <w:t>Denmark, April and May 2020.</w:t>
      </w:r>
    </w:p>
    <w:p w:rsidR="005859DB" w:rsidRPr="005859DB" w:rsidRDefault="005859DB" w:rsidP="005859DB">
      <w:pPr>
        <w:shd w:val="clear" w:color="auto" w:fill="FAFAFA"/>
        <w:spacing w:after="240" w:line="240" w:lineRule="auto"/>
        <w:outlineLvl w:val="1"/>
        <w:rPr>
          <w:rFonts w:ascii="Arial" w:eastAsia="Times New Roman" w:hAnsi="Arial" w:cs="Arial"/>
          <w:b/>
          <w:bCs/>
          <w:color w:val="000000"/>
          <w:sz w:val="31"/>
          <w:szCs w:val="31"/>
        </w:rPr>
      </w:pPr>
      <w:r w:rsidRPr="005859DB">
        <w:rPr>
          <w:rFonts w:ascii="Arial" w:eastAsia="Times New Roman" w:hAnsi="Arial" w:cs="Arial"/>
          <w:b/>
          <w:bCs/>
          <w:color w:val="000000"/>
          <w:sz w:val="31"/>
          <w:szCs w:val="31"/>
        </w:rPr>
        <w:t>Participants:</w:t>
      </w:r>
    </w:p>
    <w:p w:rsidR="005859DB" w:rsidRPr="005859DB" w:rsidRDefault="005859DB" w:rsidP="005859DB">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5859DB">
        <w:rPr>
          <w:rFonts w:ascii="Times New Roman" w:eastAsia="Times New Roman" w:hAnsi="Times New Roman" w:cs="Times New Roman"/>
          <w:color w:val="333333"/>
          <w:sz w:val="24"/>
          <w:szCs w:val="24"/>
        </w:rPr>
        <w:t>Adults spending more than 3 hours per day outside the home without occupational mask use.</w:t>
      </w:r>
    </w:p>
    <w:p w:rsidR="005859DB" w:rsidRPr="005859DB" w:rsidRDefault="005859DB" w:rsidP="005859DB">
      <w:pPr>
        <w:shd w:val="clear" w:color="auto" w:fill="FAFAFA"/>
        <w:spacing w:after="240" w:line="240" w:lineRule="auto"/>
        <w:outlineLvl w:val="1"/>
        <w:rPr>
          <w:rFonts w:ascii="Arial" w:eastAsia="Times New Roman" w:hAnsi="Arial" w:cs="Arial"/>
          <w:b/>
          <w:bCs/>
          <w:color w:val="000000"/>
          <w:sz w:val="31"/>
          <w:szCs w:val="31"/>
        </w:rPr>
      </w:pPr>
      <w:r w:rsidRPr="005859DB">
        <w:rPr>
          <w:rFonts w:ascii="Arial" w:eastAsia="Times New Roman" w:hAnsi="Arial" w:cs="Arial"/>
          <w:b/>
          <w:bCs/>
          <w:color w:val="000000"/>
          <w:sz w:val="31"/>
          <w:szCs w:val="31"/>
        </w:rPr>
        <w:t>Intervention:</w:t>
      </w:r>
    </w:p>
    <w:p w:rsidR="005859DB" w:rsidRPr="005859DB" w:rsidRDefault="005859DB" w:rsidP="005859DB">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5859DB">
        <w:rPr>
          <w:rFonts w:ascii="Times New Roman" w:eastAsia="Times New Roman" w:hAnsi="Times New Roman" w:cs="Times New Roman"/>
          <w:color w:val="333333"/>
          <w:sz w:val="24"/>
          <w:szCs w:val="24"/>
        </w:rPr>
        <w:t>Encouragement to follow social distancing measures for coronavirus disease 2019, plus either no mask recommendation or a recommendation to wear a mask when outside the home among other persons together with a supply of 50 surgical masks and instructions for proper use.</w:t>
      </w:r>
    </w:p>
    <w:p w:rsidR="005859DB" w:rsidRPr="005859DB" w:rsidRDefault="005859DB" w:rsidP="005859DB">
      <w:pPr>
        <w:shd w:val="clear" w:color="auto" w:fill="FAFAFA"/>
        <w:spacing w:after="240" w:line="240" w:lineRule="auto"/>
        <w:outlineLvl w:val="1"/>
        <w:rPr>
          <w:rFonts w:ascii="Arial" w:eastAsia="Times New Roman" w:hAnsi="Arial" w:cs="Arial"/>
          <w:b/>
          <w:bCs/>
          <w:color w:val="000000"/>
          <w:sz w:val="31"/>
          <w:szCs w:val="31"/>
        </w:rPr>
      </w:pPr>
      <w:r w:rsidRPr="005859DB">
        <w:rPr>
          <w:rFonts w:ascii="Arial" w:eastAsia="Times New Roman" w:hAnsi="Arial" w:cs="Arial"/>
          <w:b/>
          <w:bCs/>
          <w:color w:val="000000"/>
          <w:sz w:val="31"/>
          <w:szCs w:val="31"/>
        </w:rPr>
        <w:t>Measurements:</w:t>
      </w:r>
    </w:p>
    <w:p w:rsidR="005859DB" w:rsidRPr="005859DB" w:rsidRDefault="005859DB" w:rsidP="005859DB">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5859DB">
        <w:rPr>
          <w:rFonts w:ascii="Times New Roman" w:eastAsia="Times New Roman" w:hAnsi="Times New Roman" w:cs="Times New Roman"/>
          <w:color w:val="333333"/>
          <w:sz w:val="24"/>
          <w:szCs w:val="24"/>
        </w:rPr>
        <w:t>The primary outcome was SARS-CoV-2 infection in the mask wearer at 1 month by antibody testing, polymerase chain reaction (PCR), or hospital diagnosis. The secondary outcome was PCR positivity for other respiratory viruses.</w:t>
      </w:r>
    </w:p>
    <w:p w:rsidR="005859DB" w:rsidRPr="005859DB" w:rsidRDefault="005859DB" w:rsidP="005859DB">
      <w:pPr>
        <w:shd w:val="clear" w:color="auto" w:fill="FAFAFA"/>
        <w:spacing w:after="240" w:line="240" w:lineRule="auto"/>
        <w:outlineLvl w:val="1"/>
        <w:rPr>
          <w:rFonts w:ascii="Arial" w:eastAsia="Times New Roman" w:hAnsi="Arial" w:cs="Arial"/>
          <w:b/>
          <w:bCs/>
          <w:color w:val="000000"/>
          <w:sz w:val="31"/>
          <w:szCs w:val="31"/>
        </w:rPr>
      </w:pPr>
      <w:r w:rsidRPr="005859DB">
        <w:rPr>
          <w:rFonts w:ascii="Arial" w:eastAsia="Times New Roman" w:hAnsi="Arial" w:cs="Arial"/>
          <w:b/>
          <w:bCs/>
          <w:color w:val="000000"/>
          <w:sz w:val="31"/>
          <w:szCs w:val="31"/>
        </w:rPr>
        <w:t>Results:</w:t>
      </w:r>
    </w:p>
    <w:p w:rsidR="005859DB" w:rsidRPr="005859DB" w:rsidRDefault="005859DB" w:rsidP="005859DB">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5859DB">
        <w:rPr>
          <w:rFonts w:ascii="Times New Roman" w:eastAsia="Times New Roman" w:hAnsi="Times New Roman" w:cs="Times New Roman"/>
          <w:color w:val="333333"/>
          <w:sz w:val="24"/>
          <w:szCs w:val="24"/>
        </w:rPr>
        <w:lastRenderedPageBreak/>
        <w:t>A total of 3030 participants were randomly assigned to the recommendation to wear masks, and 2994 were assigned to control; 4862 completed the study. Infection with SARS-CoV-2 occurred in 42 participants recommended masks (1.8%) and 53 control participants (2.1%). The between-group difference was −0.3 percentage point (95% CI, −1.2 to 0.4 percentage point; </w:t>
      </w:r>
      <w:r w:rsidRPr="005859DB">
        <w:rPr>
          <w:rFonts w:ascii="Times New Roman" w:eastAsia="Times New Roman" w:hAnsi="Times New Roman" w:cs="Times New Roman"/>
          <w:i/>
          <w:iCs/>
          <w:color w:val="333333"/>
          <w:sz w:val="24"/>
          <w:szCs w:val="24"/>
        </w:rPr>
        <w:t>P</w:t>
      </w:r>
      <w:r w:rsidRPr="005859DB">
        <w:rPr>
          <w:rFonts w:ascii="Times New Roman" w:eastAsia="Times New Roman" w:hAnsi="Times New Roman" w:cs="Times New Roman"/>
          <w:color w:val="333333"/>
          <w:sz w:val="24"/>
          <w:szCs w:val="24"/>
        </w:rPr>
        <w:t> = 0.38) (odds ratio, 0.82 [CI, 0.54 to 1.23]; </w:t>
      </w:r>
      <w:r w:rsidRPr="005859DB">
        <w:rPr>
          <w:rFonts w:ascii="Times New Roman" w:eastAsia="Times New Roman" w:hAnsi="Times New Roman" w:cs="Times New Roman"/>
          <w:i/>
          <w:iCs/>
          <w:color w:val="333333"/>
          <w:sz w:val="24"/>
          <w:szCs w:val="24"/>
        </w:rPr>
        <w:t>P</w:t>
      </w:r>
      <w:r w:rsidRPr="005859DB">
        <w:rPr>
          <w:rFonts w:ascii="Times New Roman" w:eastAsia="Times New Roman" w:hAnsi="Times New Roman" w:cs="Times New Roman"/>
          <w:color w:val="333333"/>
          <w:sz w:val="24"/>
          <w:szCs w:val="24"/>
        </w:rPr>
        <w:t> = 0.33). Multiple imputation accounting for loss to follow-up yielded similar results. Although the difference observed was not statistically significant, the 95% CIs are compatible with a 46% reduction to a 23% increase in infection.</w:t>
      </w:r>
    </w:p>
    <w:p w:rsidR="005859DB" w:rsidRPr="005859DB" w:rsidRDefault="005859DB" w:rsidP="005859DB">
      <w:pPr>
        <w:shd w:val="clear" w:color="auto" w:fill="FAFAFA"/>
        <w:spacing w:after="240" w:line="240" w:lineRule="auto"/>
        <w:outlineLvl w:val="1"/>
        <w:rPr>
          <w:rFonts w:ascii="Arial" w:eastAsia="Times New Roman" w:hAnsi="Arial" w:cs="Arial"/>
          <w:b/>
          <w:bCs/>
          <w:color w:val="000000"/>
          <w:sz w:val="31"/>
          <w:szCs w:val="31"/>
        </w:rPr>
      </w:pPr>
      <w:r w:rsidRPr="005859DB">
        <w:rPr>
          <w:rFonts w:ascii="Arial" w:eastAsia="Times New Roman" w:hAnsi="Arial" w:cs="Arial"/>
          <w:b/>
          <w:bCs/>
          <w:color w:val="000000"/>
          <w:sz w:val="31"/>
          <w:szCs w:val="31"/>
        </w:rPr>
        <w:t>Limitation:</w:t>
      </w:r>
    </w:p>
    <w:p w:rsidR="005859DB" w:rsidRPr="005859DB" w:rsidRDefault="005859DB" w:rsidP="005859DB">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5859DB">
        <w:rPr>
          <w:rFonts w:ascii="Times New Roman" w:eastAsia="Times New Roman" w:hAnsi="Times New Roman" w:cs="Times New Roman"/>
          <w:color w:val="333333"/>
          <w:sz w:val="24"/>
          <w:szCs w:val="24"/>
        </w:rPr>
        <w:t>Inconclusive results, missing data, variable adherence, patient-reported findings on home tests, no blinding, and no assessment of whether masks could decrease disease transmission from mask wearers to others.</w:t>
      </w:r>
    </w:p>
    <w:p w:rsidR="005859DB" w:rsidRPr="005859DB" w:rsidRDefault="005859DB" w:rsidP="005859DB">
      <w:pPr>
        <w:shd w:val="clear" w:color="auto" w:fill="FAFAFA"/>
        <w:spacing w:after="240" w:line="240" w:lineRule="auto"/>
        <w:outlineLvl w:val="1"/>
        <w:rPr>
          <w:rFonts w:ascii="Arial" w:eastAsia="Times New Roman" w:hAnsi="Arial" w:cs="Arial"/>
          <w:b/>
          <w:bCs/>
          <w:color w:val="000000"/>
          <w:sz w:val="31"/>
          <w:szCs w:val="31"/>
        </w:rPr>
      </w:pPr>
      <w:r w:rsidRPr="005859DB">
        <w:rPr>
          <w:rFonts w:ascii="Arial" w:eastAsia="Times New Roman" w:hAnsi="Arial" w:cs="Arial"/>
          <w:b/>
          <w:bCs/>
          <w:color w:val="000000"/>
          <w:sz w:val="31"/>
          <w:szCs w:val="31"/>
        </w:rPr>
        <w:t>Conclusion:</w:t>
      </w:r>
    </w:p>
    <w:p w:rsidR="005859DB" w:rsidRPr="005859DB" w:rsidRDefault="005859DB" w:rsidP="005859DB">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5859DB">
        <w:rPr>
          <w:rFonts w:ascii="Times New Roman" w:eastAsia="Times New Roman" w:hAnsi="Times New Roman" w:cs="Times New Roman"/>
          <w:color w:val="333333"/>
          <w:sz w:val="24"/>
          <w:szCs w:val="24"/>
        </w:rPr>
        <w:t>The recommendation to wear surgical masks to supplement other public health measures did not reduce the SARS-CoV-2 infection rate among wearers by more than 50% in a community with modest infection rates, some degree of social distancing, and uncommon general mask use. The data were compatible with lesser degrees of self-protection.</w:t>
      </w:r>
    </w:p>
    <w:p w:rsidR="005859DB" w:rsidRPr="005859DB" w:rsidRDefault="005859DB" w:rsidP="005859DB">
      <w:pPr>
        <w:shd w:val="clear" w:color="auto" w:fill="FAFAFA"/>
        <w:spacing w:after="240" w:line="240" w:lineRule="auto"/>
        <w:outlineLvl w:val="1"/>
        <w:rPr>
          <w:rFonts w:ascii="Arial" w:eastAsia="Times New Roman" w:hAnsi="Arial" w:cs="Arial"/>
          <w:b/>
          <w:bCs/>
          <w:color w:val="000000"/>
          <w:sz w:val="31"/>
          <w:szCs w:val="31"/>
        </w:rPr>
      </w:pPr>
      <w:r w:rsidRPr="005859DB">
        <w:rPr>
          <w:rFonts w:ascii="Arial" w:eastAsia="Times New Roman" w:hAnsi="Arial" w:cs="Arial"/>
          <w:b/>
          <w:bCs/>
          <w:color w:val="000000"/>
          <w:sz w:val="31"/>
          <w:szCs w:val="31"/>
        </w:rPr>
        <w:t>Primary Funding Source:</w:t>
      </w:r>
    </w:p>
    <w:p w:rsidR="005859DB" w:rsidRPr="005859DB" w:rsidRDefault="005859DB" w:rsidP="005859DB">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5859DB">
        <w:rPr>
          <w:rFonts w:ascii="Times New Roman" w:eastAsia="Times New Roman" w:hAnsi="Times New Roman" w:cs="Times New Roman"/>
          <w:color w:val="333333"/>
          <w:sz w:val="24"/>
          <w:szCs w:val="24"/>
        </w:rPr>
        <w:t xml:space="preserve">The </w:t>
      </w:r>
      <w:proofErr w:type="spellStart"/>
      <w:r w:rsidRPr="005859DB">
        <w:rPr>
          <w:rFonts w:ascii="Times New Roman" w:eastAsia="Times New Roman" w:hAnsi="Times New Roman" w:cs="Times New Roman"/>
          <w:color w:val="333333"/>
          <w:sz w:val="24"/>
          <w:szCs w:val="24"/>
        </w:rPr>
        <w:t>Salling</w:t>
      </w:r>
      <w:proofErr w:type="spellEnd"/>
      <w:r w:rsidRPr="005859DB">
        <w:rPr>
          <w:rFonts w:ascii="Times New Roman" w:eastAsia="Times New Roman" w:hAnsi="Times New Roman" w:cs="Times New Roman"/>
          <w:color w:val="333333"/>
          <w:sz w:val="24"/>
          <w:szCs w:val="24"/>
        </w:rPr>
        <w:t xml:space="preserve"> Foundations.</w:t>
      </w:r>
    </w:p>
    <w:p w:rsidR="005859DB" w:rsidRPr="005859DB" w:rsidRDefault="005859DB" w:rsidP="005859DB">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5859DB">
        <w:rPr>
          <w:rFonts w:ascii="Times New Roman" w:eastAsia="Times New Roman" w:hAnsi="Times New Roman" w:cs="Times New Roman"/>
          <w:color w:val="333333"/>
          <w:sz w:val="24"/>
          <w:szCs w:val="24"/>
        </w:rPr>
        <w:t>Severe acute respiratory syndrome coronavirus 2 (SARS-CoV-2), the cause of coronavirus disease 2019 (COVID-19), has infected more than 54 million persons (</w:t>
      </w:r>
      <w:hyperlink r:id="rId15" w:anchor="r1-M206817" w:history="1">
        <w:r w:rsidRPr="005859DB">
          <w:rPr>
            <w:rFonts w:ascii="Times New Roman" w:eastAsia="Times New Roman" w:hAnsi="Times New Roman" w:cs="Times New Roman"/>
            <w:color w:val="1554B2"/>
            <w:sz w:val="24"/>
            <w:szCs w:val="24"/>
            <w:u w:val="single"/>
          </w:rPr>
          <w:t>1</w:t>
        </w:r>
      </w:hyperlink>
      <w:r w:rsidRPr="005859DB">
        <w:rPr>
          <w:rFonts w:ascii="Times New Roman" w:eastAsia="Times New Roman" w:hAnsi="Times New Roman" w:cs="Times New Roman"/>
          <w:color w:val="333333"/>
          <w:sz w:val="24"/>
          <w:szCs w:val="24"/>
        </w:rPr>
        <w:t>, </w:t>
      </w:r>
      <w:hyperlink r:id="rId16" w:anchor="r2-M206817" w:history="1">
        <w:r w:rsidRPr="005859DB">
          <w:rPr>
            <w:rFonts w:ascii="Times New Roman" w:eastAsia="Times New Roman" w:hAnsi="Times New Roman" w:cs="Times New Roman"/>
            <w:color w:val="1554B2"/>
            <w:sz w:val="24"/>
            <w:szCs w:val="24"/>
            <w:u w:val="single"/>
          </w:rPr>
          <w:t>2</w:t>
        </w:r>
      </w:hyperlink>
      <w:r w:rsidRPr="005859DB">
        <w:rPr>
          <w:rFonts w:ascii="Times New Roman" w:eastAsia="Times New Roman" w:hAnsi="Times New Roman" w:cs="Times New Roman"/>
          <w:color w:val="333333"/>
          <w:sz w:val="24"/>
          <w:szCs w:val="24"/>
        </w:rPr>
        <w:t xml:space="preserve">). Measures to impede </w:t>
      </w:r>
      <w:r w:rsidRPr="005859DB">
        <w:rPr>
          <w:rFonts w:ascii="Times New Roman" w:eastAsia="Times New Roman" w:hAnsi="Times New Roman" w:cs="Times New Roman"/>
          <w:color w:val="333333"/>
          <w:sz w:val="24"/>
          <w:szCs w:val="24"/>
        </w:rPr>
        <w:lastRenderedPageBreak/>
        <w:t>transmission in health care and community settings are essential (</w:t>
      </w:r>
      <w:hyperlink r:id="rId17" w:anchor="r3-M206817" w:history="1">
        <w:r w:rsidRPr="005859DB">
          <w:rPr>
            <w:rFonts w:ascii="Times New Roman" w:eastAsia="Times New Roman" w:hAnsi="Times New Roman" w:cs="Times New Roman"/>
            <w:color w:val="1554B2"/>
            <w:sz w:val="24"/>
            <w:szCs w:val="24"/>
            <w:u w:val="single"/>
          </w:rPr>
          <w:t>3</w:t>
        </w:r>
      </w:hyperlink>
      <w:r w:rsidRPr="005859DB">
        <w:rPr>
          <w:rFonts w:ascii="Times New Roman" w:eastAsia="Times New Roman" w:hAnsi="Times New Roman" w:cs="Times New Roman"/>
          <w:color w:val="333333"/>
          <w:sz w:val="24"/>
          <w:szCs w:val="24"/>
        </w:rPr>
        <w:t>). The virus is transmitted person-to-person, primarily through the mouth, nose, or eyes via respiratory droplets, aerosols, or fomites (</w:t>
      </w:r>
      <w:hyperlink r:id="rId18" w:anchor="r4-M206817" w:history="1">
        <w:r w:rsidRPr="005859DB">
          <w:rPr>
            <w:rFonts w:ascii="Times New Roman" w:eastAsia="Times New Roman" w:hAnsi="Times New Roman" w:cs="Times New Roman"/>
            <w:color w:val="1554B2"/>
            <w:sz w:val="24"/>
            <w:szCs w:val="24"/>
            <w:u w:val="single"/>
          </w:rPr>
          <w:t>4</w:t>
        </w:r>
      </w:hyperlink>
      <w:r w:rsidRPr="005859DB">
        <w:rPr>
          <w:rFonts w:ascii="Times New Roman" w:eastAsia="Times New Roman" w:hAnsi="Times New Roman" w:cs="Times New Roman"/>
          <w:color w:val="333333"/>
          <w:sz w:val="24"/>
          <w:szCs w:val="24"/>
        </w:rPr>
        <w:t>, </w:t>
      </w:r>
      <w:hyperlink r:id="rId19" w:anchor="r5-M206817" w:history="1">
        <w:r w:rsidRPr="005859DB">
          <w:rPr>
            <w:rFonts w:ascii="Times New Roman" w:eastAsia="Times New Roman" w:hAnsi="Times New Roman" w:cs="Times New Roman"/>
            <w:color w:val="1554B2"/>
            <w:sz w:val="24"/>
            <w:szCs w:val="24"/>
            <w:u w:val="single"/>
          </w:rPr>
          <w:t>5</w:t>
        </w:r>
      </w:hyperlink>
      <w:r w:rsidRPr="005859DB">
        <w:rPr>
          <w:rFonts w:ascii="Times New Roman" w:eastAsia="Times New Roman" w:hAnsi="Times New Roman" w:cs="Times New Roman"/>
          <w:color w:val="333333"/>
          <w:sz w:val="24"/>
          <w:szCs w:val="24"/>
        </w:rPr>
        <w:t>). It can survive on surfaces for up to 72 hours (</w:t>
      </w:r>
      <w:hyperlink r:id="rId20" w:anchor="r6-M206817" w:history="1">
        <w:r w:rsidRPr="005859DB">
          <w:rPr>
            <w:rFonts w:ascii="Times New Roman" w:eastAsia="Times New Roman" w:hAnsi="Times New Roman" w:cs="Times New Roman"/>
            <w:color w:val="1554B2"/>
            <w:sz w:val="24"/>
            <w:szCs w:val="24"/>
            <w:u w:val="single"/>
          </w:rPr>
          <w:t>6</w:t>
        </w:r>
      </w:hyperlink>
      <w:r w:rsidRPr="005859DB">
        <w:rPr>
          <w:rFonts w:ascii="Times New Roman" w:eastAsia="Times New Roman" w:hAnsi="Times New Roman" w:cs="Times New Roman"/>
          <w:color w:val="333333"/>
          <w:sz w:val="24"/>
          <w:szCs w:val="24"/>
        </w:rPr>
        <w:t>), and touching a contaminated surface followed by face touching is another possible route of transmission (</w:t>
      </w:r>
      <w:hyperlink r:id="rId21" w:anchor="r7-M206817" w:history="1">
        <w:r w:rsidRPr="005859DB">
          <w:rPr>
            <w:rFonts w:ascii="Times New Roman" w:eastAsia="Times New Roman" w:hAnsi="Times New Roman" w:cs="Times New Roman"/>
            <w:color w:val="1554B2"/>
            <w:sz w:val="24"/>
            <w:szCs w:val="24"/>
            <w:u w:val="single"/>
          </w:rPr>
          <w:t>7</w:t>
        </w:r>
      </w:hyperlink>
      <w:r w:rsidRPr="005859DB">
        <w:rPr>
          <w:rFonts w:ascii="Times New Roman" w:eastAsia="Times New Roman" w:hAnsi="Times New Roman" w:cs="Times New Roman"/>
          <w:color w:val="333333"/>
          <w:sz w:val="24"/>
          <w:szCs w:val="24"/>
        </w:rPr>
        <w:t>). Face masks are a plausible means to reduce transmission of respiratory viruses by minimizing the risk that respiratory droplets will reach wearers' nasal or oral mucosa. Face masks are also hypothesized to reduce face touching (</w:t>
      </w:r>
      <w:hyperlink r:id="rId22" w:anchor="r8-M206817" w:history="1">
        <w:r w:rsidRPr="005859DB">
          <w:rPr>
            <w:rFonts w:ascii="Times New Roman" w:eastAsia="Times New Roman" w:hAnsi="Times New Roman" w:cs="Times New Roman"/>
            <w:color w:val="1554B2"/>
            <w:sz w:val="24"/>
            <w:szCs w:val="24"/>
            <w:u w:val="single"/>
          </w:rPr>
          <w:t>8</w:t>
        </w:r>
      </w:hyperlink>
      <w:r w:rsidRPr="005859DB">
        <w:rPr>
          <w:rFonts w:ascii="Times New Roman" w:eastAsia="Times New Roman" w:hAnsi="Times New Roman" w:cs="Times New Roman"/>
          <w:color w:val="333333"/>
          <w:sz w:val="24"/>
          <w:szCs w:val="24"/>
        </w:rPr>
        <w:t>, </w:t>
      </w:r>
      <w:hyperlink r:id="rId23" w:anchor="r9-M206817" w:history="1">
        <w:r w:rsidRPr="005859DB">
          <w:rPr>
            <w:rFonts w:ascii="Times New Roman" w:eastAsia="Times New Roman" w:hAnsi="Times New Roman" w:cs="Times New Roman"/>
            <w:color w:val="1554B2"/>
            <w:sz w:val="24"/>
            <w:szCs w:val="24"/>
            <w:u w:val="single"/>
          </w:rPr>
          <w:t>9</w:t>
        </w:r>
      </w:hyperlink>
      <w:r w:rsidRPr="005859DB">
        <w:rPr>
          <w:rFonts w:ascii="Times New Roman" w:eastAsia="Times New Roman" w:hAnsi="Times New Roman" w:cs="Times New Roman"/>
          <w:color w:val="333333"/>
          <w:sz w:val="24"/>
          <w:szCs w:val="24"/>
        </w:rPr>
        <w:t>), but frequent face and mask touching has been reported among health care personnel (</w:t>
      </w:r>
      <w:hyperlink r:id="rId24" w:anchor="r10-M206817" w:history="1">
        <w:r w:rsidRPr="005859DB">
          <w:rPr>
            <w:rFonts w:ascii="Times New Roman" w:eastAsia="Times New Roman" w:hAnsi="Times New Roman" w:cs="Times New Roman"/>
            <w:color w:val="1554B2"/>
            <w:sz w:val="24"/>
            <w:szCs w:val="24"/>
            <w:u w:val="single"/>
          </w:rPr>
          <w:t>10</w:t>
        </w:r>
      </w:hyperlink>
      <w:r w:rsidRPr="005859DB">
        <w:rPr>
          <w:rFonts w:ascii="Times New Roman" w:eastAsia="Times New Roman" w:hAnsi="Times New Roman" w:cs="Times New Roman"/>
          <w:color w:val="333333"/>
          <w:sz w:val="24"/>
          <w:szCs w:val="24"/>
        </w:rPr>
        <w:t>). Observational evidence supports the efficacy of face masks in health care settings (</w:t>
      </w:r>
      <w:hyperlink r:id="rId25" w:anchor="r11-M206817" w:history="1">
        <w:r w:rsidRPr="005859DB">
          <w:rPr>
            <w:rFonts w:ascii="Times New Roman" w:eastAsia="Times New Roman" w:hAnsi="Times New Roman" w:cs="Times New Roman"/>
            <w:color w:val="1554B2"/>
            <w:sz w:val="24"/>
            <w:szCs w:val="24"/>
            <w:u w:val="single"/>
          </w:rPr>
          <w:t>11</w:t>
        </w:r>
      </w:hyperlink>
      <w:r w:rsidRPr="005859DB">
        <w:rPr>
          <w:rFonts w:ascii="Times New Roman" w:eastAsia="Times New Roman" w:hAnsi="Times New Roman" w:cs="Times New Roman"/>
          <w:color w:val="333333"/>
          <w:sz w:val="24"/>
          <w:szCs w:val="24"/>
        </w:rPr>
        <w:t>, </w:t>
      </w:r>
      <w:hyperlink r:id="rId26" w:anchor="r12-M206817" w:history="1">
        <w:r w:rsidRPr="005859DB">
          <w:rPr>
            <w:rFonts w:ascii="Times New Roman" w:eastAsia="Times New Roman" w:hAnsi="Times New Roman" w:cs="Times New Roman"/>
            <w:color w:val="1554B2"/>
            <w:sz w:val="24"/>
            <w:szCs w:val="24"/>
            <w:u w:val="single"/>
          </w:rPr>
          <w:t>12</w:t>
        </w:r>
      </w:hyperlink>
      <w:r w:rsidRPr="005859DB">
        <w:rPr>
          <w:rFonts w:ascii="Times New Roman" w:eastAsia="Times New Roman" w:hAnsi="Times New Roman" w:cs="Times New Roman"/>
          <w:color w:val="333333"/>
          <w:sz w:val="24"/>
          <w:szCs w:val="24"/>
        </w:rPr>
        <w:t>) and as source control in patients infected with SARS-CoV-2 or other coronaviruses (</w:t>
      </w:r>
      <w:hyperlink r:id="rId27" w:anchor="r13-M206817" w:history="1">
        <w:r w:rsidRPr="005859DB">
          <w:rPr>
            <w:rFonts w:ascii="Times New Roman" w:eastAsia="Times New Roman" w:hAnsi="Times New Roman" w:cs="Times New Roman"/>
            <w:color w:val="1554B2"/>
            <w:sz w:val="24"/>
            <w:szCs w:val="24"/>
            <w:u w:val="single"/>
          </w:rPr>
          <w:t>13</w:t>
        </w:r>
      </w:hyperlink>
      <w:r w:rsidRPr="005859DB">
        <w:rPr>
          <w:rFonts w:ascii="Times New Roman" w:eastAsia="Times New Roman" w:hAnsi="Times New Roman" w:cs="Times New Roman"/>
          <w:color w:val="333333"/>
          <w:sz w:val="24"/>
          <w:szCs w:val="24"/>
        </w:rPr>
        <w:t>).</w:t>
      </w:r>
    </w:p>
    <w:p w:rsidR="005859DB" w:rsidRPr="005859DB" w:rsidRDefault="005859DB" w:rsidP="005859DB">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5859DB">
        <w:rPr>
          <w:rFonts w:ascii="Times New Roman" w:eastAsia="Times New Roman" w:hAnsi="Times New Roman" w:cs="Times New Roman"/>
          <w:color w:val="333333"/>
          <w:sz w:val="24"/>
          <w:szCs w:val="24"/>
        </w:rPr>
        <w:t>An increasing number of localities recommend masks in community settings on the basis of this observational evidence, but recommendations vary and controversy exists (</w:t>
      </w:r>
      <w:hyperlink r:id="rId28" w:anchor="r14-M206817" w:history="1">
        <w:r w:rsidRPr="005859DB">
          <w:rPr>
            <w:rFonts w:ascii="Times New Roman" w:eastAsia="Times New Roman" w:hAnsi="Times New Roman" w:cs="Times New Roman"/>
            <w:color w:val="1554B2"/>
            <w:sz w:val="24"/>
            <w:szCs w:val="24"/>
            <w:u w:val="single"/>
          </w:rPr>
          <w:t>14</w:t>
        </w:r>
      </w:hyperlink>
      <w:r w:rsidRPr="005859DB">
        <w:rPr>
          <w:rFonts w:ascii="Times New Roman" w:eastAsia="Times New Roman" w:hAnsi="Times New Roman" w:cs="Times New Roman"/>
          <w:color w:val="333333"/>
          <w:sz w:val="24"/>
          <w:szCs w:val="24"/>
        </w:rPr>
        <w:t>). The World Health Organization (WHO) and the U.S. Centers for Disease Control and Prevention (</w:t>
      </w:r>
      <w:hyperlink r:id="rId29" w:anchor="r15-M206817" w:history="1">
        <w:r w:rsidRPr="005859DB">
          <w:rPr>
            <w:rFonts w:ascii="Times New Roman" w:eastAsia="Times New Roman" w:hAnsi="Times New Roman" w:cs="Times New Roman"/>
            <w:color w:val="1554B2"/>
            <w:sz w:val="24"/>
            <w:szCs w:val="24"/>
            <w:u w:val="single"/>
          </w:rPr>
          <w:t>15</w:t>
        </w:r>
      </w:hyperlink>
      <w:r w:rsidRPr="005859DB">
        <w:rPr>
          <w:rFonts w:ascii="Times New Roman" w:eastAsia="Times New Roman" w:hAnsi="Times New Roman" w:cs="Times New Roman"/>
          <w:color w:val="333333"/>
          <w:sz w:val="24"/>
          <w:szCs w:val="24"/>
        </w:rPr>
        <w:t>) strongly recommend that persons with symptoms or known infection wear masks to prevent transmission of SARS-CoV-2 to others (source control) (</w:t>
      </w:r>
      <w:hyperlink r:id="rId30" w:anchor="r16-M206817" w:history="1">
        <w:r w:rsidRPr="005859DB">
          <w:rPr>
            <w:rFonts w:ascii="Times New Roman" w:eastAsia="Times New Roman" w:hAnsi="Times New Roman" w:cs="Times New Roman"/>
            <w:color w:val="1554B2"/>
            <w:sz w:val="24"/>
            <w:szCs w:val="24"/>
            <w:u w:val="single"/>
          </w:rPr>
          <w:t>16</w:t>
        </w:r>
      </w:hyperlink>
      <w:r w:rsidRPr="005859DB">
        <w:rPr>
          <w:rFonts w:ascii="Times New Roman" w:eastAsia="Times New Roman" w:hAnsi="Times New Roman" w:cs="Times New Roman"/>
          <w:color w:val="333333"/>
          <w:sz w:val="24"/>
          <w:szCs w:val="24"/>
        </w:rPr>
        <w:t>). However, WHO acknowledges that we lack evidence that wearing a mask protects healthy persons from SARS-CoV-2 (prevention) (</w:t>
      </w:r>
      <w:hyperlink r:id="rId31" w:anchor="r17-M206817" w:history="1">
        <w:r w:rsidRPr="005859DB">
          <w:rPr>
            <w:rFonts w:ascii="Times New Roman" w:eastAsia="Times New Roman" w:hAnsi="Times New Roman" w:cs="Times New Roman"/>
            <w:color w:val="1554B2"/>
            <w:sz w:val="24"/>
            <w:szCs w:val="24"/>
            <w:u w:val="single"/>
          </w:rPr>
          <w:t>17</w:t>
        </w:r>
      </w:hyperlink>
      <w:r w:rsidRPr="005859DB">
        <w:rPr>
          <w:rFonts w:ascii="Times New Roman" w:eastAsia="Times New Roman" w:hAnsi="Times New Roman" w:cs="Times New Roman"/>
          <w:color w:val="333333"/>
          <w:sz w:val="24"/>
          <w:szCs w:val="24"/>
        </w:rPr>
        <w:t>). A systematic review of observational studies reported that mask use reduced risk for SARS, Middle East respiratory syndrome, and COVID-19 by 66% overall, 70% in health care workers, and 44% in the community (</w:t>
      </w:r>
      <w:hyperlink r:id="rId32" w:anchor="r12-M206817" w:history="1">
        <w:r w:rsidRPr="005859DB">
          <w:rPr>
            <w:rFonts w:ascii="Times New Roman" w:eastAsia="Times New Roman" w:hAnsi="Times New Roman" w:cs="Times New Roman"/>
            <w:color w:val="1554B2"/>
            <w:sz w:val="24"/>
            <w:szCs w:val="24"/>
            <w:u w:val="single"/>
          </w:rPr>
          <w:t>12</w:t>
        </w:r>
      </w:hyperlink>
      <w:r w:rsidRPr="005859DB">
        <w:rPr>
          <w:rFonts w:ascii="Times New Roman" w:eastAsia="Times New Roman" w:hAnsi="Times New Roman" w:cs="Times New Roman"/>
          <w:color w:val="333333"/>
          <w:sz w:val="24"/>
          <w:szCs w:val="24"/>
        </w:rPr>
        <w:t>). However, surgical and cloth masks were grouped in preventive studies, and none of the 3 included non–health care studies related directly to COVID-19. Another systematic review (</w:t>
      </w:r>
      <w:hyperlink r:id="rId33" w:anchor="r18-M206817" w:history="1">
        <w:r w:rsidRPr="005859DB">
          <w:rPr>
            <w:rFonts w:ascii="Times New Roman" w:eastAsia="Times New Roman" w:hAnsi="Times New Roman" w:cs="Times New Roman"/>
            <w:color w:val="1554B2"/>
            <w:sz w:val="24"/>
            <w:szCs w:val="24"/>
            <w:u w:val="single"/>
          </w:rPr>
          <w:t>18</w:t>
        </w:r>
      </w:hyperlink>
      <w:r w:rsidRPr="005859DB">
        <w:rPr>
          <w:rFonts w:ascii="Times New Roman" w:eastAsia="Times New Roman" w:hAnsi="Times New Roman" w:cs="Times New Roman"/>
          <w:color w:val="333333"/>
          <w:sz w:val="24"/>
          <w:szCs w:val="24"/>
        </w:rPr>
        <w:t>) and American College of Physicians recommendations (</w:t>
      </w:r>
      <w:hyperlink r:id="rId34" w:anchor="r19-M206817" w:history="1">
        <w:r w:rsidRPr="005859DB">
          <w:rPr>
            <w:rFonts w:ascii="Times New Roman" w:eastAsia="Times New Roman" w:hAnsi="Times New Roman" w:cs="Times New Roman"/>
            <w:color w:val="1554B2"/>
            <w:sz w:val="24"/>
            <w:szCs w:val="24"/>
            <w:u w:val="single"/>
          </w:rPr>
          <w:t>19</w:t>
        </w:r>
      </w:hyperlink>
      <w:r w:rsidRPr="005859DB">
        <w:rPr>
          <w:rFonts w:ascii="Times New Roman" w:eastAsia="Times New Roman" w:hAnsi="Times New Roman" w:cs="Times New Roman"/>
          <w:color w:val="333333"/>
          <w:sz w:val="24"/>
          <w:szCs w:val="24"/>
        </w:rPr>
        <w:t xml:space="preserve">) </w:t>
      </w:r>
      <w:r w:rsidRPr="005859DB">
        <w:rPr>
          <w:rFonts w:ascii="Times New Roman" w:eastAsia="Times New Roman" w:hAnsi="Times New Roman" w:cs="Times New Roman"/>
          <w:color w:val="333333"/>
          <w:sz w:val="24"/>
          <w:szCs w:val="24"/>
        </w:rPr>
        <w:lastRenderedPageBreak/>
        <w:t>concluded that evidence on mask effectiveness for respiratory infection prevention is stronger in health care than community settings.</w:t>
      </w:r>
    </w:p>
    <w:p w:rsidR="005859DB" w:rsidRPr="005859DB" w:rsidRDefault="005859DB" w:rsidP="005859DB">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5859DB">
        <w:rPr>
          <w:rFonts w:ascii="Times New Roman" w:eastAsia="Times New Roman" w:hAnsi="Times New Roman" w:cs="Times New Roman"/>
          <w:color w:val="333333"/>
          <w:sz w:val="24"/>
          <w:szCs w:val="24"/>
        </w:rPr>
        <w:t>Observational evidence suggests that mask wearing mitigates SARS-CoV-2 transmission, but whether this observed association arises because masks protect uninfected wearers (protective effect) or because transmission is reduced from infected mask wearers (source control) is uncertain. Here, we report a randomized controlled trial (</w:t>
      </w:r>
      <w:hyperlink r:id="rId35" w:anchor="r20-M206817" w:history="1">
        <w:r w:rsidRPr="005859DB">
          <w:rPr>
            <w:rFonts w:ascii="Times New Roman" w:eastAsia="Times New Roman" w:hAnsi="Times New Roman" w:cs="Times New Roman"/>
            <w:color w:val="1554B2"/>
            <w:sz w:val="24"/>
            <w:szCs w:val="24"/>
            <w:u w:val="single"/>
          </w:rPr>
          <w:t>20</w:t>
        </w:r>
      </w:hyperlink>
      <w:r w:rsidRPr="005859DB">
        <w:rPr>
          <w:rFonts w:ascii="Times New Roman" w:eastAsia="Times New Roman" w:hAnsi="Times New Roman" w:cs="Times New Roman"/>
          <w:color w:val="333333"/>
          <w:sz w:val="24"/>
          <w:szCs w:val="24"/>
        </w:rPr>
        <w:t>) that assessed whether a recommendation to wear a surgical mask when outside the home among others reduced wearers' risk for SARS-CoV-2 infection in a setting where public health measures were in effect but community mask wearing was uncommon and not recommended.</w:t>
      </w:r>
    </w:p>
    <w:p w:rsidR="005859DB" w:rsidRPr="005859DB" w:rsidRDefault="005859DB" w:rsidP="005859DB">
      <w:pPr>
        <w:pBdr>
          <w:top w:val="single" w:sz="6" w:space="0" w:color="D9D9D9"/>
        </w:pBdr>
        <w:shd w:val="clear" w:color="auto" w:fill="FAFAFA"/>
        <w:spacing w:before="100" w:beforeAutospacing="1" w:after="240" w:line="240" w:lineRule="auto"/>
        <w:outlineLvl w:val="1"/>
        <w:rPr>
          <w:rFonts w:ascii="Arial" w:eastAsia="Times New Roman" w:hAnsi="Arial" w:cs="Arial"/>
          <w:b/>
          <w:bCs/>
          <w:color w:val="333333"/>
          <w:sz w:val="36"/>
          <w:szCs w:val="36"/>
        </w:rPr>
      </w:pPr>
      <w:r w:rsidRPr="005859DB">
        <w:rPr>
          <w:rFonts w:ascii="Arial" w:eastAsia="Times New Roman" w:hAnsi="Arial" w:cs="Arial"/>
          <w:b/>
          <w:bCs/>
          <w:color w:val="333333"/>
          <w:sz w:val="36"/>
          <w:szCs w:val="36"/>
        </w:rPr>
        <w:t>Methods</w:t>
      </w:r>
    </w:p>
    <w:p w:rsidR="005859DB" w:rsidRPr="005859DB" w:rsidRDefault="005859DB" w:rsidP="005859DB">
      <w:pPr>
        <w:pBdr>
          <w:top w:val="single" w:sz="6" w:space="18" w:color="D9D9D9"/>
        </w:pBdr>
        <w:shd w:val="clear" w:color="auto" w:fill="FAFAFA"/>
        <w:spacing w:before="360" w:after="240" w:line="240" w:lineRule="auto"/>
        <w:outlineLvl w:val="2"/>
        <w:rPr>
          <w:rFonts w:ascii="Arial" w:eastAsia="Times New Roman" w:hAnsi="Arial" w:cs="Arial"/>
          <w:b/>
          <w:bCs/>
          <w:color w:val="000000"/>
          <w:sz w:val="27"/>
          <w:szCs w:val="27"/>
        </w:rPr>
      </w:pPr>
      <w:r w:rsidRPr="005859DB">
        <w:rPr>
          <w:rFonts w:ascii="Arial" w:eastAsia="Times New Roman" w:hAnsi="Arial" w:cs="Arial"/>
          <w:b/>
          <w:bCs/>
          <w:color w:val="000000"/>
          <w:sz w:val="27"/>
          <w:szCs w:val="27"/>
        </w:rPr>
        <w:t>Trial Design and Oversight</w:t>
      </w:r>
    </w:p>
    <w:p w:rsidR="005859DB" w:rsidRPr="005859DB" w:rsidRDefault="005859DB" w:rsidP="005859DB">
      <w:pPr>
        <w:shd w:val="clear" w:color="auto" w:fill="FAFAFA"/>
        <w:spacing w:beforeAutospacing="1" w:after="100" w:afterAutospacing="1" w:line="570" w:lineRule="atLeast"/>
        <w:rPr>
          <w:rFonts w:ascii="Times New Roman" w:eastAsia="Times New Roman" w:hAnsi="Times New Roman" w:cs="Times New Roman"/>
          <w:color w:val="333333"/>
          <w:sz w:val="24"/>
          <w:szCs w:val="24"/>
        </w:rPr>
      </w:pPr>
      <w:r w:rsidRPr="005859DB">
        <w:rPr>
          <w:rFonts w:ascii="Times New Roman" w:eastAsia="Times New Roman" w:hAnsi="Times New Roman" w:cs="Times New Roman"/>
          <w:color w:val="333333"/>
          <w:sz w:val="24"/>
          <w:szCs w:val="24"/>
        </w:rPr>
        <w:t xml:space="preserve">DANMASK-19 (Danish Study to Assess Face Masks for the Protection </w:t>
      </w:r>
      <w:proofErr w:type="gramStart"/>
      <w:r w:rsidRPr="005859DB">
        <w:rPr>
          <w:rFonts w:ascii="Times New Roman" w:eastAsia="Times New Roman" w:hAnsi="Times New Roman" w:cs="Times New Roman"/>
          <w:color w:val="333333"/>
          <w:sz w:val="24"/>
          <w:szCs w:val="24"/>
        </w:rPr>
        <w:t>Against</w:t>
      </w:r>
      <w:proofErr w:type="gramEnd"/>
      <w:r w:rsidRPr="005859DB">
        <w:rPr>
          <w:rFonts w:ascii="Times New Roman" w:eastAsia="Times New Roman" w:hAnsi="Times New Roman" w:cs="Times New Roman"/>
          <w:color w:val="333333"/>
          <w:sz w:val="24"/>
          <w:szCs w:val="24"/>
        </w:rPr>
        <w:t xml:space="preserve"> COVID-19 Infection) was an investigator-initiated, nationwide, </w:t>
      </w:r>
      <w:proofErr w:type="spellStart"/>
      <w:r w:rsidRPr="005859DB">
        <w:rPr>
          <w:rFonts w:ascii="Times New Roman" w:eastAsia="Times New Roman" w:hAnsi="Times New Roman" w:cs="Times New Roman"/>
          <w:color w:val="333333"/>
          <w:sz w:val="24"/>
          <w:szCs w:val="24"/>
        </w:rPr>
        <w:t>unblinded</w:t>
      </w:r>
      <w:proofErr w:type="spellEnd"/>
      <w:r w:rsidRPr="005859DB">
        <w:rPr>
          <w:rFonts w:ascii="Times New Roman" w:eastAsia="Times New Roman" w:hAnsi="Times New Roman" w:cs="Times New Roman"/>
          <w:color w:val="333333"/>
          <w:sz w:val="24"/>
          <w:szCs w:val="24"/>
        </w:rPr>
        <w:t>, randomized controlled trial (ClinicalTrials.gov: NCT04337541). The trial protocol was registered with the Danish Data Protection Agency (P-2020-311) (Part 10 of the </w:t>
      </w:r>
      <w:hyperlink r:id="rId36" w:history="1">
        <w:r w:rsidRPr="005859DB">
          <w:rPr>
            <w:rFonts w:ascii="Times New Roman" w:eastAsia="Times New Roman" w:hAnsi="Times New Roman" w:cs="Times New Roman"/>
            <w:color w:val="1554B2"/>
            <w:sz w:val="24"/>
            <w:szCs w:val="24"/>
            <w:u w:val="single"/>
          </w:rPr>
          <w:t>Supplement</w:t>
        </w:r>
      </w:hyperlink>
      <w:r w:rsidRPr="005859DB">
        <w:rPr>
          <w:rFonts w:ascii="Times New Roman" w:eastAsia="Times New Roman" w:hAnsi="Times New Roman" w:cs="Times New Roman"/>
          <w:color w:val="333333"/>
          <w:sz w:val="24"/>
          <w:szCs w:val="24"/>
        </w:rPr>
        <w:t>) and published (</w:t>
      </w:r>
      <w:hyperlink r:id="rId37" w:anchor="r21-M206817" w:history="1">
        <w:r w:rsidRPr="005859DB">
          <w:rPr>
            <w:rFonts w:ascii="Times New Roman" w:eastAsia="Times New Roman" w:hAnsi="Times New Roman" w:cs="Times New Roman"/>
            <w:color w:val="1554B2"/>
            <w:sz w:val="24"/>
            <w:szCs w:val="24"/>
            <w:u w:val="single"/>
          </w:rPr>
          <w:t>21</w:t>
        </w:r>
      </w:hyperlink>
      <w:r w:rsidRPr="005859DB">
        <w:rPr>
          <w:rFonts w:ascii="Times New Roman" w:eastAsia="Times New Roman" w:hAnsi="Times New Roman" w:cs="Times New Roman"/>
          <w:color w:val="333333"/>
          <w:sz w:val="24"/>
          <w:szCs w:val="24"/>
        </w:rPr>
        <w:t>). The researchers presented the protocol to the independent regional scientific ethics committee of the Capital Region of Denmark, which did not require ethics approval (H-20023709) in accordance with Danish legislation (Parts 11 and 12 of the </w:t>
      </w:r>
      <w:hyperlink r:id="rId38" w:history="1">
        <w:r w:rsidRPr="005859DB">
          <w:rPr>
            <w:rFonts w:ascii="Times New Roman" w:eastAsia="Times New Roman" w:hAnsi="Times New Roman" w:cs="Times New Roman"/>
            <w:color w:val="1554B2"/>
            <w:sz w:val="24"/>
            <w:szCs w:val="24"/>
            <w:u w:val="single"/>
          </w:rPr>
          <w:t>Supplement</w:t>
        </w:r>
      </w:hyperlink>
      <w:r w:rsidRPr="005859DB">
        <w:rPr>
          <w:rFonts w:ascii="Times New Roman" w:eastAsia="Times New Roman" w:hAnsi="Times New Roman" w:cs="Times New Roman"/>
          <w:color w:val="333333"/>
          <w:sz w:val="24"/>
          <w:szCs w:val="24"/>
        </w:rPr>
        <w:t>). The trial was done in accordance with the principles of the Declaration of Helsinki.</w:t>
      </w:r>
    </w:p>
    <w:p w:rsidR="005859DB" w:rsidRPr="005859DB" w:rsidRDefault="005859DB" w:rsidP="005859DB">
      <w:pPr>
        <w:pBdr>
          <w:top w:val="single" w:sz="6" w:space="18" w:color="D9D9D9"/>
        </w:pBdr>
        <w:shd w:val="clear" w:color="auto" w:fill="FAFAFA"/>
        <w:spacing w:before="360" w:after="240" w:line="240" w:lineRule="auto"/>
        <w:outlineLvl w:val="2"/>
        <w:rPr>
          <w:rFonts w:ascii="Arial" w:eastAsia="Times New Roman" w:hAnsi="Arial" w:cs="Arial"/>
          <w:b/>
          <w:bCs/>
          <w:color w:val="000000"/>
          <w:sz w:val="27"/>
          <w:szCs w:val="27"/>
        </w:rPr>
      </w:pPr>
      <w:r w:rsidRPr="005859DB">
        <w:rPr>
          <w:rFonts w:ascii="Arial" w:eastAsia="Times New Roman" w:hAnsi="Arial" w:cs="Arial"/>
          <w:b/>
          <w:bCs/>
          <w:color w:val="000000"/>
          <w:sz w:val="27"/>
          <w:szCs w:val="27"/>
        </w:rPr>
        <w:lastRenderedPageBreak/>
        <w:t>Participants and Study Period</w:t>
      </w:r>
    </w:p>
    <w:p w:rsidR="005859DB" w:rsidRPr="005859DB" w:rsidRDefault="005859DB" w:rsidP="005859DB">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5859DB">
        <w:rPr>
          <w:rFonts w:ascii="Times New Roman" w:eastAsia="Times New Roman" w:hAnsi="Times New Roman" w:cs="Times New Roman"/>
          <w:color w:val="333333"/>
          <w:sz w:val="24"/>
          <w:szCs w:val="24"/>
        </w:rPr>
        <w:t>During the study period (3 April to 2 June 2020), Danish authorities did not recommend use of masks in the community and mask use was uncommon (&lt;5%) outside hospitals (</w:t>
      </w:r>
      <w:hyperlink r:id="rId39" w:anchor="r22-M206817" w:history="1">
        <w:r w:rsidRPr="005859DB">
          <w:rPr>
            <w:rFonts w:ascii="Times New Roman" w:eastAsia="Times New Roman" w:hAnsi="Times New Roman" w:cs="Times New Roman"/>
            <w:color w:val="1554B2"/>
            <w:sz w:val="24"/>
            <w:szCs w:val="24"/>
            <w:u w:val="single"/>
          </w:rPr>
          <w:t>22</w:t>
        </w:r>
      </w:hyperlink>
      <w:r w:rsidRPr="005859DB">
        <w:rPr>
          <w:rFonts w:ascii="Times New Roman" w:eastAsia="Times New Roman" w:hAnsi="Times New Roman" w:cs="Times New Roman"/>
          <w:color w:val="333333"/>
          <w:sz w:val="24"/>
          <w:szCs w:val="24"/>
        </w:rPr>
        <w:t>). Recommended public health measures included quarantining persons with SARS-CoV-2 infection, social distancing (including in shops and public transportation, which remained open), limiting the number of persons seen, frequent hand hygiene and cleaning, and limiting visitors to hospitals and nursing homes (</w:t>
      </w:r>
      <w:hyperlink r:id="rId40" w:anchor="r23-M206817" w:history="1">
        <w:r w:rsidRPr="005859DB">
          <w:rPr>
            <w:rFonts w:ascii="Times New Roman" w:eastAsia="Times New Roman" w:hAnsi="Times New Roman" w:cs="Times New Roman"/>
            <w:color w:val="1554B2"/>
            <w:sz w:val="24"/>
            <w:szCs w:val="24"/>
            <w:u w:val="single"/>
          </w:rPr>
          <w:t>23</w:t>
        </w:r>
      </w:hyperlink>
      <w:r w:rsidRPr="005859DB">
        <w:rPr>
          <w:rFonts w:ascii="Times New Roman" w:eastAsia="Times New Roman" w:hAnsi="Times New Roman" w:cs="Times New Roman"/>
          <w:color w:val="333333"/>
          <w:sz w:val="24"/>
          <w:szCs w:val="24"/>
        </w:rPr>
        <w:t>, </w:t>
      </w:r>
      <w:hyperlink r:id="rId41" w:anchor="r24-M206817" w:history="1">
        <w:r w:rsidRPr="005859DB">
          <w:rPr>
            <w:rFonts w:ascii="Times New Roman" w:eastAsia="Times New Roman" w:hAnsi="Times New Roman" w:cs="Times New Roman"/>
            <w:color w:val="1554B2"/>
            <w:sz w:val="24"/>
            <w:szCs w:val="24"/>
            <w:u w:val="single"/>
          </w:rPr>
          <w:t>24</w:t>
        </w:r>
      </w:hyperlink>
      <w:r w:rsidRPr="005859DB">
        <w:rPr>
          <w:rFonts w:ascii="Times New Roman" w:eastAsia="Times New Roman" w:hAnsi="Times New Roman" w:cs="Times New Roman"/>
          <w:color w:val="333333"/>
          <w:sz w:val="24"/>
          <w:szCs w:val="24"/>
        </w:rPr>
        <w:t>). Cafés and restaurants were closed during the study until 18 May 2020.</w:t>
      </w:r>
    </w:p>
    <w:p w:rsidR="005859DB" w:rsidRPr="005859DB" w:rsidRDefault="005859DB" w:rsidP="005859DB">
      <w:pPr>
        <w:shd w:val="clear" w:color="auto" w:fill="FAFAFA"/>
        <w:spacing w:beforeAutospacing="1" w:after="100" w:afterAutospacing="1" w:line="570" w:lineRule="atLeast"/>
        <w:rPr>
          <w:rFonts w:ascii="Times New Roman" w:eastAsia="Times New Roman" w:hAnsi="Times New Roman" w:cs="Times New Roman"/>
          <w:color w:val="333333"/>
          <w:sz w:val="24"/>
          <w:szCs w:val="24"/>
        </w:rPr>
      </w:pPr>
      <w:r w:rsidRPr="005859DB">
        <w:rPr>
          <w:rFonts w:ascii="Times New Roman" w:eastAsia="Times New Roman" w:hAnsi="Times New Roman" w:cs="Times New Roman"/>
          <w:color w:val="333333"/>
          <w:sz w:val="24"/>
          <w:szCs w:val="24"/>
        </w:rPr>
        <w:t>Eligible persons were community-dwelling adults aged 18 years or older without current or prior symptoms or diagnosis of COVID-19 who reported being outside the home among others for at least 3 hours per day and who did not wear masks during their daily work. Recruitment involved media advertisements and contacting private companies and public organizations. Interested citizens had internet access to detailed study information and to research staff for questions (Part 3 of the </w:t>
      </w:r>
      <w:hyperlink r:id="rId42" w:history="1">
        <w:r w:rsidRPr="005859DB">
          <w:rPr>
            <w:rFonts w:ascii="Times New Roman" w:eastAsia="Times New Roman" w:hAnsi="Times New Roman" w:cs="Times New Roman"/>
            <w:color w:val="1554B2"/>
            <w:sz w:val="24"/>
            <w:szCs w:val="24"/>
            <w:u w:val="single"/>
          </w:rPr>
          <w:t>Supplement</w:t>
        </w:r>
      </w:hyperlink>
      <w:r w:rsidRPr="005859DB">
        <w:rPr>
          <w:rFonts w:ascii="Times New Roman" w:eastAsia="Times New Roman" w:hAnsi="Times New Roman" w:cs="Times New Roman"/>
          <w:color w:val="333333"/>
          <w:sz w:val="24"/>
          <w:szCs w:val="24"/>
        </w:rPr>
        <w:t>). At baseline, participants completed a demographic survey and provided consent for researchers to access their national registry data (Parts 4 and 5 of the </w:t>
      </w:r>
      <w:hyperlink r:id="rId43" w:history="1">
        <w:r w:rsidRPr="005859DB">
          <w:rPr>
            <w:rFonts w:ascii="Times New Roman" w:eastAsia="Times New Roman" w:hAnsi="Times New Roman" w:cs="Times New Roman"/>
            <w:color w:val="1554B2"/>
            <w:sz w:val="24"/>
            <w:szCs w:val="24"/>
            <w:u w:val="single"/>
          </w:rPr>
          <w:t>Supplement</w:t>
        </w:r>
      </w:hyperlink>
      <w:r w:rsidRPr="005859DB">
        <w:rPr>
          <w:rFonts w:ascii="Times New Roman" w:eastAsia="Times New Roman" w:hAnsi="Times New Roman" w:cs="Times New Roman"/>
          <w:color w:val="333333"/>
          <w:sz w:val="24"/>
          <w:szCs w:val="24"/>
        </w:rPr>
        <w:t>). Recruitment occurred from 3 through 24 April 2020. Half of participants were randomly assigned to a group on 12 April and half on 24 April.</w:t>
      </w:r>
    </w:p>
    <w:p w:rsidR="005859DB" w:rsidRPr="005859DB" w:rsidRDefault="005859DB" w:rsidP="005859DB">
      <w:pPr>
        <w:pBdr>
          <w:top w:val="single" w:sz="6" w:space="18" w:color="D9D9D9"/>
        </w:pBdr>
        <w:shd w:val="clear" w:color="auto" w:fill="FAFAFA"/>
        <w:spacing w:before="360" w:after="240" w:line="240" w:lineRule="auto"/>
        <w:outlineLvl w:val="2"/>
        <w:rPr>
          <w:rFonts w:ascii="Arial" w:eastAsia="Times New Roman" w:hAnsi="Arial" w:cs="Arial"/>
          <w:b/>
          <w:bCs/>
          <w:color w:val="000000"/>
          <w:sz w:val="27"/>
          <w:szCs w:val="27"/>
        </w:rPr>
      </w:pPr>
      <w:r w:rsidRPr="005859DB">
        <w:rPr>
          <w:rFonts w:ascii="Arial" w:eastAsia="Times New Roman" w:hAnsi="Arial" w:cs="Arial"/>
          <w:b/>
          <w:bCs/>
          <w:color w:val="000000"/>
          <w:sz w:val="27"/>
          <w:szCs w:val="27"/>
        </w:rPr>
        <w:t>Intervention</w:t>
      </w:r>
    </w:p>
    <w:p w:rsidR="005859DB" w:rsidRPr="005859DB" w:rsidRDefault="005859DB" w:rsidP="005859DB">
      <w:pPr>
        <w:shd w:val="clear" w:color="auto" w:fill="FAFAFA"/>
        <w:spacing w:beforeAutospacing="1" w:after="100" w:afterAutospacing="1" w:line="570" w:lineRule="atLeast"/>
        <w:rPr>
          <w:rFonts w:ascii="Times New Roman" w:eastAsia="Times New Roman" w:hAnsi="Times New Roman" w:cs="Times New Roman"/>
          <w:color w:val="333333"/>
          <w:sz w:val="24"/>
          <w:szCs w:val="24"/>
        </w:rPr>
      </w:pPr>
      <w:r w:rsidRPr="005859DB">
        <w:rPr>
          <w:rFonts w:ascii="Times New Roman" w:eastAsia="Times New Roman" w:hAnsi="Times New Roman" w:cs="Times New Roman"/>
          <w:color w:val="333333"/>
          <w:sz w:val="24"/>
          <w:szCs w:val="24"/>
        </w:rPr>
        <w:t>Participants were enrolled and data registered using Research Electronic Data Capture (</w:t>
      </w:r>
      <w:proofErr w:type="spellStart"/>
      <w:r w:rsidRPr="005859DB">
        <w:rPr>
          <w:rFonts w:ascii="Times New Roman" w:eastAsia="Times New Roman" w:hAnsi="Times New Roman" w:cs="Times New Roman"/>
          <w:color w:val="333333"/>
          <w:sz w:val="24"/>
          <w:szCs w:val="24"/>
        </w:rPr>
        <w:t>REDCap</w:t>
      </w:r>
      <w:proofErr w:type="spellEnd"/>
      <w:r w:rsidRPr="005859DB">
        <w:rPr>
          <w:rFonts w:ascii="Times New Roman" w:eastAsia="Times New Roman" w:hAnsi="Times New Roman" w:cs="Times New Roman"/>
          <w:color w:val="333333"/>
          <w:sz w:val="24"/>
          <w:szCs w:val="24"/>
        </w:rPr>
        <w:t>) software (</w:t>
      </w:r>
      <w:hyperlink r:id="rId44" w:anchor="r25-M206817" w:history="1">
        <w:r w:rsidRPr="005859DB">
          <w:rPr>
            <w:rFonts w:ascii="Times New Roman" w:eastAsia="Times New Roman" w:hAnsi="Times New Roman" w:cs="Times New Roman"/>
            <w:color w:val="1554B2"/>
            <w:sz w:val="24"/>
            <w:szCs w:val="24"/>
            <w:u w:val="single"/>
          </w:rPr>
          <w:t>25</w:t>
        </w:r>
      </w:hyperlink>
      <w:r w:rsidRPr="005859DB">
        <w:rPr>
          <w:rFonts w:ascii="Times New Roman" w:eastAsia="Times New Roman" w:hAnsi="Times New Roman" w:cs="Times New Roman"/>
          <w:color w:val="333333"/>
          <w:sz w:val="24"/>
          <w:szCs w:val="24"/>
        </w:rPr>
        <w:t xml:space="preserve">). Eligible participants were randomly assigned 1:1 to the mask or control </w:t>
      </w:r>
      <w:r w:rsidRPr="005859DB">
        <w:rPr>
          <w:rFonts w:ascii="Times New Roman" w:eastAsia="Times New Roman" w:hAnsi="Times New Roman" w:cs="Times New Roman"/>
          <w:color w:val="333333"/>
          <w:sz w:val="24"/>
          <w:szCs w:val="24"/>
        </w:rPr>
        <w:lastRenderedPageBreak/>
        <w:t>group using a computer algorithm and were stratified by the 5 regions of Denmark (</w:t>
      </w:r>
      <w:hyperlink r:id="rId45" w:history="1">
        <w:r w:rsidRPr="005859DB">
          <w:rPr>
            <w:rFonts w:ascii="Times New Roman" w:eastAsia="Times New Roman" w:hAnsi="Times New Roman" w:cs="Times New Roman"/>
            <w:color w:val="1554B2"/>
            <w:sz w:val="24"/>
            <w:szCs w:val="24"/>
            <w:u w:val="single"/>
          </w:rPr>
          <w:t>Supplement Table 1</w:t>
        </w:r>
      </w:hyperlink>
      <w:r w:rsidRPr="005859DB">
        <w:rPr>
          <w:rFonts w:ascii="Times New Roman" w:eastAsia="Times New Roman" w:hAnsi="Times New Roman" w:cs="Times New Roman"/>
          <w:color w:val="333333"/>
          <w:sz w:val="24"/>
          <w:szCs w:val="24"/>
        </w:rPr>
        <w:t>). Participants were notified of allocation by e-mail, and study packages were sent by courier (Part 7 of the </w:t>
      </w:r>
      <w:hyperlink r:id="rId46" w:history="1">
        <w:r w:rsidRPr="005859DB">
          <w:rPr>
            <w:rFonts w:ascii="Times New Roman" w:eastAsia="Times New Roman" w:hAnsi="Times New Roman" w:cs="Times New Roman"/>
            <w:color w:val="1554B2"/>
            <w:sz w:val="24"/>
            <w:szCs w:val="24"/>
            <w:u w:val="single"/>
          </w:rPr>
          <w:t>Supplement</w:t>
        </w:r>
      </w:hyperlink>
      <w:r w:rsidRPr="005859DB">
        <w:rPr>
          <w:rFonts w:ascii="Times New Roman" w:eastAsia="Times New Roman" w:hAnsi="Times New Roman" w:cs="Times New Roman"/>
          <w:color w:val="333333"/>
          <w:sz w:val="24"/>
          <w:szCs w:val="24"/>
        </w:rPr>
        <w:t>). Participants in the mask group were instructed to wear a mask when outside the home during the next month. They received 50 three-layer, disposable, surgical face masks with ear loops (TYPE II EN 14683 [</w:t>
      </w:r>
      <w:proofErr w:type="spellStart"/>
      <w:r w:rsidRPr="005859DB">
        <w:rPr>
          <w:rFonts w:ascii="Times New Roman" w:eastAsia="Times New Roman" w:hAnsi="Times New Roman" w:cs="Times New Roman"/>
          <w:color w:val="333333"/>
          <w:sz w:val="24"/>
          <w:szCs w:val="24"/>
        </w:rPr>
        <w:t>Abena</w:t>
      </w:r>
      <w:proofErr w:type="spellEnd"/>
      <w:r w:rsidRPr="005859DB">
        <w:rPr>
          <w:rFonts w:ascii="Times New Roman" w:eastAsia="Times New Roman" w:hAnsi="Times New Roman" w:cs="Times New Roman"/>
          <w:color w:val="333333"/>
          <w:sz w:val="24"/>
          <w:szCs w:val="24"/>
        </w:rPr>
        <w:t xml:space="preserve">]; filtration rate, 98%; made in China). Participants in both groups received materials and instructions for antibody testing on receipt and at 1 month. They also received materials and instructions for collecting an oropharyngeal/nasal swab sample for polymerase chain reaction (PCR) testing at 1 month and whenever symptoms compatible with COVID-19 occurred during follow-up. If symptomatic, participants were strongly encouraged to seek medical care. They registered symptoms and results of the antibody test in the online </w:t>
      </w:r>
      <w:proofErr w:type="spellStart"/>
      <w:r w:rsidRPr="005859DB">
        <w:rPr>
          <w:rFonts w:ascii="Times New Roman" w:eastAsia="Times New Roman" w:hAnsi="Times New Roman" w:cs="Times New Roman"/>
          <w:color w:val="333333"/>
          <w:sz w:val="24"/>
          <w:szCs w:val="24"/>
        </w:rPr>
        <w:t>REDCap</w:t>
      </w:r>
      <w:proofErr w:type="spellEnd"/>
      <w:r w:rsidRPr="005859DB">
        <w:rPr>
          <w:rFonts w:ascii="Times New Roman" w:eastAsia="Times New Roman" w:hAnsi="Times New Roman" w:cs="Times New Roman"/>
          <w:color w:val="333333"/>
          <w:sz w:val="24"/>
          <w:szCs w:val="24"/>
        </w:rPr>
        <w:t xml:space="preserve"> system. Participants returned the test material by prepaid express courier.</w:t>
      </w:r>
    </w:p>
    <w:p w:rsidR="005859DB" w:rsidRPr="005859DB" w:rsidRDefault="005859DB" w:rsidP="005859DB">
      <w:pPr>
        <w:shd w:val="clear" w:color="auto" w:fill="FAFAFA"/>
        <w:spacing w:beforeAutospacing="1" w:after="100" w:afterAutospacing="1" w:line="570" w:lineRule="atLeast"/>
        <w:rPr>
          <w:rFonts w:ascii="Times New Roman" w:eastAsia="Times New Roman" w:hAnsi="Times New Roman" w:cs="Times New Roman"/>
          <w:color w:val="333333"/>
          <w:sz w:val="24"/>
          <w:szCs w:val="24"/>
        </w:rPr>
      </w:pPr>
      <w:r w:rsidRPr="005859DB">
        <w:rPr>
          <w:rFonts w:ascii="Times New Roman" w:eastAsia="Times New Roman" w:hAnsi="Times New Roman" w:cs="Times New Roman"/>
          <w:color w:val="333333"/>
          <w:sz w:val="24"/>
          <w:szCs w:val="24"/>
        </w:rPr>
        <w:t>Written instructions and instructional videos guided antibody testing, oropharyngeal/nasal swabbing, and proper use of masks (Part 8 of the </w:t>
      </w:r>
      <w:hyperlink r:id="rId47" w:history="1">
        <w:r w:rsidRPr="005859DB">
          <w:rPr>
            <w:rFonts w:ascii="Times New Roman" w:eastAsia="Times New Roman" w:hAnsi="Times New Roman" w:cs="Times New Roman"/>
            <w:color w:val="1554B2"/>
            <w:sz w:val="24"/>
            <w:szCs w:val="24"/>
            <w:u w:val="single"/>
          </w:rPr>
          <w:t>Supplement</w:t>
        </w:r>
      </w:hyperlink>
      <w:r w:rsidRPr="005859DB">
        <w:rPr>
          <w:rFonts w:ascii="Times New Roman" w:eastAsia="Times New Roman" w:hAnsi="Times New Roman" w:cs="Times New Roman"/>
          <w:color w:val="333333"/>
          <w:sz w:val="24"/>
          <w:szCs w:val="24"/>
        </w:rPr>
        <w:t>), and a help line was available to participants. In accordance with WHO recommendations for health care settings at that time, participants were instructed to change the mask if outside the home for more than 8 hours. At baseline and in weekly follow-up e-mails, participants in both groups were encouraged to follow current COVID-19 recommendations from the Danish authorities.</w:t>
      </w:r>
    </w:p>
    <w:p w:rsidR="005859DB" w:rsidRPr="005859DB" w:rsidRDefault="005859DB" w:rsidP="005859DB">
      <w:pPr>
        <w:pBdr>
          <w:top w:val="single" w:sz="6" w:space="18" w:color="D9D9D9"/>
        </w:pBdr>
        <w:shd w:val="clear" w:color="auto" w:fill="FAFAFA"/>
        <w:spacing w:before="360" w:after="240" w:line="240" w:lineRule="auto"/>
        <w:outlineLvl w:val="2"/>
        <w:rPr>
          <w:rFonts w:ascii="Arial" w:eastAsia="Times New Roman" w:hAnsi="Arial" w:cs="Arial"/>
          <w:b/>
          <w:bCs/>
          <w:color w:val="000000"/>
          <w:sz w:val="27"/>
          <w:szCs w:val="27"/>
        </w:rPr>
      </w:pPr>
      <w:r w:rsidRPr="005859DB">
        <w:rPr>
          <w:rFonts w:ascii="Arial" w:eastAsia="Times New Roman" w:hAnsi="Arial" w:cs="Arial"/>
          <w:b/>
          <w:bCs/>
          <w:color w:val="000000"/>
          <w:sz w:val="27"/>
          <w:szCs w:val="27"/>
        </w:rPr>
        <w:t>Antibody and Viral PCR Testing</w:t>
      </w:r>
    </w:p>
    <w:p w:rsidR="005859DB" w:rsidRPr="005859DB" w:rsidRDefault="005859DB" w:rsidP="005859DB">
      <w:pPr>
        <w:shd w:val="clear" w:color="auto" w:fill="FAFAFA"/>
        <w:spacing w:beforeAutospacing="1" w:after="100" w:afterAutospacing="1" w:line="570" w:lineRule="atLeast"/>
        <w:rPr>
          <w:rFonts w:ascii="Times New Roman" w:eastAsia="Times New Roman" w:hAnsi="Times New Roman" w:cs="Times New Roman"/>
          <w:color w:val="333333"/>
          <w:sz w:val="24"/>
          <w:szCs w:val="24"/>
        </w:rPr>
      </w:pPr>
      <w:r w:rsidRPr="005859DB">
        <w:rPr>
          <w:rFonts w:ascii="Times New Roman" w:eastAsia="Times New Roman" w:hAnsi="Times New Roman" w:cs="Times New Roman"/>
          <w:color w:val="333333"/>
          <w:sz w:val="24"/>
          <w:szCs w:val="24"/>
        </w:rPr>
        <w:lastRenderedPageBreak/>
        <w:t xml:space="preserve">Participants tested for SARS-CoV-2 IgM and IgG antibodies in whole blood using a point-of-care test (Lateral Flow test [Zhuhai </w:t>
      </w:r>
      <w:proofErr w:type="spellStart"/>
      <w:r w:rsidRPr="005859DB">
        <w:rPr>
          <w:rFonts w:ascii="Times New Roman" w:eastAsia="Times New Roman" w:hAnsi="Times New Roman" w:cs="Times New Roman"/>
          <w:color w:val="333333"/>
          <w:sz w:val="24"/>
          <w:szCs w:val="24"/>
        </w:rPr>
        <w:t>Livzon</w:t>
      </w:r>
      <w:proofErr w:type="spellEnd"/>
      <w:r w:rsidRPr="005859DB">
        <w:rPr>
          <w:rFonts w:ascii="Times New Roman" w:eastAsia="Times New Roman" w:hAnsi="Times New Roman" w:cs="Times New Roman"/>
          <w:color w:val="333333"/>
          <w:sz w:val="24"/>
          <w:szCs w:val="24"/>
        </w:rPr>
        <w:t xml:space="preserve"> Diagnostics]) according to the manufacturer's recommendations and as previously described (</w:t>
      </w:r>
      <w:hyperlink r:id="rId48" w:anchor="r26-M206817" w:history="1">
        <w:r w:rsidRPr="005859DB">
          <w:rPr>
            <w:rFonts w:ascii="Times New Roman" w:eastAsia="Times New Roman" w:hAnsi="Times New Roman" w:cs="Times New Roman"/>
            <w:color w:val="1554B2"/>
            <w:sz w:val="24"/>
            <w:szCs w:val="24"/>
            <w:u w:val="single"/>
          </w:rPr>
          <w:t>26</w:t>
        </w:r>
      </w:hyperlink>
      <w:r w:rsidRPr="005859DB">
        <w:rPr>
          <w:rFonts w:ascii="Times New Roman" w:eastAsia="Times New Roman" w:hAnsi="Times New Roman" w:cs="Times New Roman"/>
          <w:color w:val="333333"/>
          <w:sz w:val="24"/>
          <w:szCs w:val="24"/>
        </w:rPr>
        <w:t>). After puncturing a fingertip with a lancet, they withdrew blood into a capillary tube and placed 1 drop of blood followed by 2 drops of saline in the test chamber in each of the 2 test plates (IgM and IgG). Participants reported IgM and IgG results separately as “1 line present” (negative), “2 lines present” (positive), or “I am not sure, or I could not perform the test” (treated as a negative result). Participants were categorized as seropositive if they had developed IgM, IgG, or both. The manufacturer reported that sensitivity was 90.2% and specificity 99.2%. A previously reported internal validation using 651 samples from blood donors before November 2019 and 155 patients with PCR-confirmed SARS-CoV-2 infection estimated a sensitivity of 82.5% (95% CI, 75.3% to 88.4%) and specificity of 99.5% (CI, 98.7% to 99.9%) (</w:t>
      </w:r>
      <w:hyperlink r:id="rId49" w:anchor="r26-M206817" w:history="1">
        <w:r w:rsidRPr="005859DB">
          <w:rPr>
            <w:rFonts w:ascii="Times New Roman" w:eastAsia="Times New Roman" w:hAnsi="Times New Roman" w:cs="Times New Roman"/>
            <w:color w:val="1554B2"/>
            <w:sz w:val="24"/>
            <w:szCs w:val="24"/>
            <w:u w:val="single"/>
          </w:rPr>
          <w:t>26</w:t>
        </w:r>
      </w:hyperlink>
      <w:r w:rsidRPr="005859DB">
        <w:rPr>
          <w:rFonts w:ascii="Times New Roman" w:eastAsia="Times New Roman" w:hAnsi="Times New Roman" w:cs="Times New Roman"/>
          <w:color w:val="333333"/>
          <w:sz w:val="24"/>
          <w:szCs w:val="24"/>
        </w:rPr>
        <w:t>). We (</w:t>
      </w:r>
      <w:hyperlink r:id="rId50" w:anchor="r27-M206817" w:history="1">
        <w:r w:rsidRPr="005859DB">
          <w:rPr>
            <w:rFonts w:ascii="Times New Roman" w:eastAsia="Times New Roman" w:hAnsi="Times New Roman" w:cs="Times New Roman"/>
            <w:color w:val="1554B2"/>
            <w:sz w:val="24"/>
            <w:szCs w:val="24"/>
            <w:u w:val="single"/>
          </w:rPr>
          <w:t>27</w:t>
        </w:r>
      </w:hyperlink>
      <w:r w:rsidRPr="005859DB">
        <w:rPr>
          <w:rFonts w:ascii="Times New Roman" w:eastAsia="Times New Roman" w:hAnsi="Times New Roman" w:cs="Times New Roman"/>
          <w:color w:val="333333"/>
          <w:sz w:val="24"/>
          <w:szCs w:val="24"/>
        </w:rPr>
        <w:t>) and others (</w:t>
      </w:r>
      <w:hyperlink r:id="rId51" w:anchor="r28-M206817" w:history="1">
        <w:r w:rsidRPr="005859DB">
          <w:rPr>
            <w:rFonts w:ascii="Times New Roman" w:eastAsia="Times New Roman" w:hAnsi="Times New Roman" w:cs="Times New Roman"/>
            <w:color w:val="1554B2"/>
            <w:sz w:val="24"/>
            <w:szCs w:val="24"/>
            <w:u w:val="single"/>
          </w:rPr>
          <w:t>28</w:t>
        </w:r>
      </w:hyperlink>
      <w:r w:rsidRPr="005859DB">
        <w:rPr>
          <w:rFonts w:ascii="Times New Roman" w:eastAsia="Times New Roman" w:hAnsi="Times New Roman" w:cs="Times New Roman"/>
          <w:color w:val="333333"/>
          <w:sz w:val="24"/>
          <w:szCs w:val="24"/>
        </w:rPr>
        <w:t xml:space="preserve">) have reported that oropharyngeal/nasal swab sampling for SARS-CoV-2 by participants, as opposed to health care workers, is clinically useful. Descriptions of RNA extraction, primer and probe used, reverse transcription, </w:t>
      </w:r>
      <w:proofErr w:type="spellStart"/>
      <w:r w:rsidRPr="005859DB">
        <w:rPr>
          <w:rFonts w:ascii="Times New Roman" w:eastAsia="Times New Roman" w:hAnsi="Times New Roman" w:cs="Times New Roman"/>
          <w:color w:val="333333"/>
          <w:sz w:val="24"/>
          <w:szCs w:val="24"/>
        </w:rPr>
        <w:t>preamplification</w:t>
      </w:r>
      <w:proofErr w:type="spellEnd"/>
      <w:r w:rsidRPr="005859DB">
        <w:rPr>
          <w:rFonts w:ascii="Times New Roman" w:eastAsia="Times New Roman" w:hAnsi="Times New Roman" w:cs="Times New Roman"/>
          <w:color w:val="333333"/>
          <w:sz w:val="24"/>
          <w:szCs w:val="24"/>
        </w:rPr>
        <w:t>, and microfluidic quantitative PCR are detailed in Part 6 of the </w:t>
      </w:r>
      <w:hyperlink r:id="rId52" w:history="1">
        <w:r w:rsidRPr="005859DB">
          <w:rPr>
            <w:rFonts w:ascii="Times New Roman" w:eastAsia="Times New Roman" w:hAnsi="Times New Roman" w:cs="Times New Roman"/>
            <w:color w:val="1554B2"/>
            <w:sz w:val="24"/>
            <w:szCs w:val="24"/>
            <w:u w:val="single"/>
          </w:rPr>
          <w:t>Supplement</w:t>
        </w:r>
      </w:hyperlink>
      <w:r w:rsidRPr="005859DB">
        <w:rPr>
          <w:rFonts w:ascii="Times New Roman" w:eastAsia="Times New Roman" w:hAnsi="Times New Roman" w:cs="Times New Roman"/>
          <w:color w:val="333333"/>
          <w:sz w:val="24"/>
          <w:szCs w:val="24"/>
        </w:rPr>
        <w:t>.</w:t>
      </w:r>
    </w:p>
    <w:p w:rsidR="005859DB" w:rsidRPr="005859DB" w:rsidRDefault="005859DB" w:rsidP="005859DB">
      <w:pPr>
        <w:pBdr>
          <w:top w:val="single" w:sz="6" w:space="18" w:color="D9D9D9"/>
        </w:pBdr>
        <w:shd w:val="clear" w:color="auto" w:fill="FAFAFA"/>
        <w:spacing w:before="360" w:after="240" w:line="240" w:lineRule="auto"/>
        <w:outlineLvl w:val="2"/>
        <w:rPr>
          <w:rFonts w:ascii="Arial" w:eastAsia="Times New Roman" w:hAnsi="Arial" w:cs="Arial"/>
          <w:b/>
          <w:bCs/>
          <w:color w:val="000000"/>
          <w:sz w:val="27"/>
          <w:szCs w:val="27"/>
        </w:rPr>
      </w:pPr>
      <w:r w:rsidRPr="005859DB">
        <w:rPr>
          <w:rFonts w:ascii="Arial" w:eastAsia="Times New Roman" w:hAnsi="Arial" w:cs="Arial"/>
          <w:b/>
          <w:bCs/>
          <w:color w:val="000000"/>
          <w:sz w:val="27"/>
          <w:szCs w:val="27"/>
        </w:rPr>
        <w:t>Data Collection</w:t>
      </w:r>
    </w:p>
    <w:p w:rsidR="005859DB" w:rsidRPr="005859DB" w:rsidRDefault="005859DB" w:rsidP="005859DB">
      <w:pPr>
        <w:shd w:val="clear" w:color="auto" w:fill="FAFAFA"/>
        <w:spacing w:beforeAutospacing="1" w:after="100" w:afterAutospacing="1" w:line="570" w:lineRule="atLeast"/>
        <w:rPr>
          <w:rFonts w:ascii="Times New Roman" w:eastAsia="Times New Roman" w:hAnsi="Times New Roman" w:cs="Times New Roman"/>
          <w:color w:val="333333"/>
          <w:sz w:val="24"/>
          <w:szCs w:val="24"/>
        </w:rPr>
      </w:pPr>
      <w:r w:rsidRPr="005859DB">
        <w:rPr>
          <w:rFonts w:ascii="Times New Roman" w:eastAsia="Times New Roman" w:hAnsi="Times New Roman" w:cs="Times New Roman"/>
          <w:color w:val="333333"/>
          <w:sz w:val="24"/>
          <w:szCs w:val="24"/>
        </w:rPr>
        <w:t>Participants received 4 follow-up surveys (Parts 4 and 5 of the </w:t>
      </w:r>
      <w:hyperlink r:id="rId53" w:history="1">
        <w:r w:rsidRPr="005859DB">
          <w:rPr>
            <w:rFonts w:ascii="Times New Roman" w:eastAsia="Times New Roman" w:hAnsi="Times New Roman" w:cs="Times New Roman"/>
            <w:color w:val="1554B2"/>
            <w:sz w:val="24"/>
            <w:szCs w:val="24"/>
            <w:u w:val="single"/>
          </w:rPr>
          <w:t>Supplement</w:t>
        </w:r>
      </w:hyperlink>
      <w:r w:rsidRPr="005859DB">
        <w:rPr>
          <w:rFonts w:ascii="Times New Roman" w:eastAsia="Times New Roman" w:hAnsi="Times New Roman" w:cs="Times New Roman"/>
          <w:color w:val="333333"/>
          <w:sz w:val="24"/>
          <w:szCs w:val="24"/>
        </w:rPr>
        <w:t>) by e-mail to collect information on antibody test results, adherence to recommendations on time spent outside the home among others, development of symptoms, COVID-19 diagnosis based on PCR testing done in public hospitals, and known COVID-19 exposures.</w:t>
      </w:r>
    </w:p>
    <w:p w:rsidR="005859DB" w:rsidRPr="005859DB" w:rsidRDefault="005859DB" w:rsidP="005859DB">
      <w:pPr>
        <w:pBdr>
          <w:top w:val="single" w:sz="6" w:space="18" w:color="D9D9D9"/>
        </w:pBdr>
        <w:shd w:val="clear" w:color="auto" w:fill="FAFAFA"/>
        <w:spacing w:before="360" w:after="240" w:line="240" w:lineRule="auto"/>
        <w:outlineLvl w:val="2"/>
        <w:rPr>
          <w:rFonts w:ascii="Arial" w:eastAsia="Times New Roman" w:hAnsi="Arial" w:cs="Arial"/>
          <w:b/>
          <w:bCs/>
          <w:color w:val="000000"/>
          <w:sz w:val="27"/>
          <w:szCs w:val="27"/>
        </w:rPr>
      </w:pPr>
      <w:r w:rsidRPr="005859DB">
        <w:rPr>
          <w:rFonts w:ascii="Arial" w:eastAsia="Times New Roman" w:hAnsi="Arial" w:cs="Arial"/>
          <w:b/>
          <w:bCs/>
          <w:color w:val="000000"/>
          <w:sz w:val="27"/>
          <w:szCs w:val="27"/>
        </w:rPr>
        <w:lastRenderedPageBreak/>
        <w:t>Outcomes</w:t>
      </w:r>
    </w:p>
    <w:p w:rsidR="005859DB" w:rsidRPr="005859DB" w:rsidRDefault="005859DB" w:rsidP="005859DB">
      <w:pPr>
        <w:shd w:val="clear" w:color="auto" w:fill="FAFAFA"/>
        <w:spacing w:beforeAutospacing="1" w:after="100" w:afterAutospacing="1" w:line="570" w:lineRule="atLeast"/>
        <w:rPr>
          <w:rFonts w:ascii="Times New Roman" w:eastAsia="Times New Roman" w:hAnsi="Times New Roman" w:cs="Times New Roman"/>
          <w:color w:val="333333"/>
          <w:sz w:val="24"/>
          <w:szCs w:val="24"/>
        </w:rPr>
      </w:pPr>
      <w:r w:rsidRPr="005859DB">
        <w:rPr>
          <w:rFonts w:ascii="Times New Roman" w:eastAsia="Times New Roman" w:hAnsi="Times New Roman" w:cs="Times New Roman"/>
          <w:color w:val="333333"/>
          <w:sz w:val="24"/>
          <w:szCs w:val="24"/>
        </w:rPr>
        <w:t>The primary outcome was SARS-CoV-2 infection, defined as a positive result on an oropharyngeal/nasal swab test for SARS-CoV-2, development of a positive SARS-CoV-2 antibody test result (IgM or IgG) during the study period, or a hospital-based diagnosis of SARS-CoV-2 infection or COVID-19. Secondary end points included PCR evidence of infection with other respiratory viruses (</w:t>
      </w:r>
      <w:hyperlink r:id="rId54" w:history="1">
        <w:r w:rsidRPr="005859DB">
          <w:rPr>
            <w:rFonts w:ascii="Times New Roman" w:eastAsia="Times New Roman" w:hAnsi="Times New Roman" w:cs="Times New Roman"/>
            <w:color w:val="1554B2"/>
            <w:sz w:val="24"/>
            <w:szCs w:val="24"/>
            <w:u w:val="single"/>
          </w:rPr>
          <w:t>Supplement Table 2</w:t>
        </w:r>
      </w:hyperlink>
      <w:r w:rsidRPr="005859DB">
        <w:rPr>
          <w:rFonts w:ascii="Times New Roman" w:eastAsia="Times New Roman" w:hAnsi="Times New Roman" w:cs="Times New Roman"/>
          <w:color w:val="333333"/>
          <w:sz w:val="24"/>
          <w:szCs w:val="24"/>
        </w:rPr>
        <w:t>).</w:t>
      </w:r>
    </w:p>
    <w:p w:rsidR="005859DB" w:rsidRPr="005859DB" w:rsidRDefault="005859DB" w:rsidP="005859DB">
      <w:pPr>
        <w:pBdr>
          <w:top w:val="single" w:sz="6" w:space="18" w:color="D9D9D9"/>
        </w:pBdr>
        <w:shd w:val="clear" w:color="auto" w:fill="FAFAFA"/>
        <w:spacing w:before="360" w:after="240" w:line="240" w:lineRule="auto"/>
        <w:outlineLvl w:val="2"/>
        <w:rPr>
          <w:rFonts w:ascii="Arial" w:eastAsia="Times New Roman" w:hAnsi="Arial" w:cs="Arial"/>
          <w:b/>
          <w:bCs/>
          <w:color w:val="000000"/>
          <w:sz w:val="27"/>
          <w:szCs w:val="27"/>
        </w:rPr>
      </w:pPr>
      <w:r w:rsidRPr="005859DB">
        <w:rPr>
          <w:rFonts w:ascii="Arial" w:eastAsia="Times New Roman" w:hAnsi="Arial" w:cs="Arial"/>
          <w:b/>
          <w:bCs/>
          <w:color w:val="000000"/>
          <w:sz w:val="27"/>
          <w:szCs w:val="27"/>
        </w:rPr>
        <w:t>Sample Size Calculations</w:t>
      </w:r>
    </w:p>
    <w:p w:rsidR="005859DB" w:rsidRPr="005859DB" w:rsidRDefault="005859DB" w:rsidP="005859DB">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5859DB">
        <w:rPr>
          <w:rFonts w:ascii="Times New Roman" w:eastAsia="Times New Roman" w:hAnsi="Times New Roman" w:cs="Times New Roman"/>
          <w:color w:val="333333"/>
          <w:sz w:val="24"/>
          <w:szCs w:val="24"/>
        </w:rPr>
        <w:t>The sample size was determined to provide adequate power for assessment of the combined composite primary outcome in the intention-to-treat analysis. Authorities estimated an incidence of SARS-CoV-2 infection of at least 2% during the study period. Assuming that wearing a face mask halves risk for infection, we estimated that a sample of 4636 participants would provide the trial with 80% power at a significance level of 5% (2-sided α level). Anticipating 20% loss to follow-up in this community-based study, we aimed to assign at least 6000 participants.</w:t>
      </w:r>
    </w:p>
    <w:p w:rsidR="005859DB" w:rsidRPr="005859DB" w:rsidRDefault="005859DB" w:rsidP="005859DB">
      <w:pPr>
        <w:pBdr>
          <w:top w:val="single" w:sz="6" w:space="18" w:color="D9D9D9"/>
        </w:pBdr>
        <w:shd w:val="clear" w:color="auto" w:fill="FAFAFA"/>
        <w:spacing w:before="360" w:after="240" w:line="240" w:lineRule="auto"/>
        <w:outlineLvl w:val="2"/>
        <w:rPr>
          <w:rFonts w:ascii="Arial" w:eastAsia="Times New Roman" w:hAnsi="Arial" w:cs="Arial"/>
          <w:b/>
          <w:bCs/>
          <w:color w:val="000000"/>
          <w:sz w:val="27"/>
          <w:szCs w:val="27"/>
        </w:rPr>
      </w:pPr>
      <w:r w:rsidRPr="005859DB">
        <w:rPr>
          <w:rFonts w:ascii="Arial" w:eastAsia="Times New Roman" w:hAnsi="Arial" w:cs="Arial"/>
          <w:b/>
          <w:bCs/>
          <w:color w:val="000000"/>
          <w:sz w:val="27"/>
          <w:szCs w:val="27"/>
        </w:rPr>
        <w:t>Statistical Analysis</w:t>
      </w:r>
    </w:p>
    <w:p w:rsidR="005859DB" w:rsidRPr="005859DB" w:rsidRDefault="005859DB" w:rsidP="005859DB">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5859DB">
        <w:rPr>
          <w:rFonts w:ascii="Times New Roman" w:eastAsia="Times New Roman" w:hAnsi="Times New Roman" w:cs="Times New Roman"/>
          <w:color w:val="333333"/>
          <w:sz w:val="24"/>
          <w:szCs w:val="24"/>
        </w:rPr>
        <w:t>Participants with a positive result on an antibody test at baseline were excluded from the analyses. We calculated CIs of proportions assuming binomial distribution (</w:t>
      </w:r>
      <w:proofErr w:type="spellStart"/>
      <w:r w:rsidRPr="005859DB">
        <w:rPr>
          <w:rFonts w:ascii="Times New Roman" w:eastAsia="Times New Roman" w:hAnsi="Times New Roman" w:cs="Times New Roman"/>
          <w:color w:val="333333"/>
          <w:sz w:val="24"/>
          <w:szCs w:val="24"/>
        </w:rPr>
        <w:t>Clopper</w:t>
      </w:r>
      <w:proofErr w:type="spellEnd"/>
      <w:r w:rsidRPr="005859DB">
        <w:rPr>
          <w:rFonts w:ascii="Times New Roman" w:eastAsia="Times New Roman" w:hAnsi="Times New Roman" w:cs="Times New Roman"/>
          <w:color w:val="333333"/>
          <w:sz w:val="24"/>
          <w:szCs w:val="24"/>
        </w:rPr>
        <w:t>–Pearson).</w:t>
      </w:r>
    </w:p>
    <w:p w:rsidR="005859DB" w:rsidRPr="005859DB" w:rsidRDefault="005859DB" w:rsidP="005859DB">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5859DB">
        <w:rPr>
          <w:rFonts w:ascii="Times New Roman" w:eastAsia="Times New Roman" w:hAnsi="Times New Roman" w:cs="Times New Roman"/>
          <w:color w:val="333333"/>
          <w:sz w:val="24"/>
          <w:szCs w:val="24"/>
        </w:rPr>
        <w:t>The primary composite outcome (intention-to-treat) was compared between groups using the χ</w:t>
      </w:r>
      <w:r w:rsidRPr="005859DB">
        <w:rPr>
          <w:rFonts w:ascii="Times New Roman" w:eastAsia="Times New Roman" w:hAnsi="Times New Roman" w:cs="Times New Roman"/>
          <w:color w:val="333333"/>
          <w:sz w:val="23"/>
          <w:szCs w:val="23"/>
          <w:vertAlign w:val="superscript"/>
        </w:rPr>
        <w:t>2</w:t>
      </w:r>
      <w:r w:rsidRPr="005859DB">
        <w:rPr>
          <w:rFonts w:ascii="Times New Roman" w:eastAsia="Times New Roman" w:hAnsi="Times New Roman" w:cs="Times New Roman"/>
          <w:color w:val="333333"/>
          <w:sz w:val="24"/>
          <w:szCs w:val="24"/>
        </w:rPr>
        <w:t xml:space="preserve"> test. Odds ratios and confidence limits were calculated using logistic regression. We did a per </w:t>
      </w:r>
      <w:r w:rsidRPr="005859DB">
        <w:rPr>
          <w:rFonts w:ascii="Times New Roman" w:eastAsia="Times New Roman" w:hAnsi="Times New Roman" w:cs="Times New Roman"/>
          <w:color w:val="333333"/>
          <w:sz w:val="24"/>
          <w:szCs w:val="24"/>
        </w:rPr>
        <w:lastRenderedPageBreak/>
        <w:t xml:space="preserve">protocol analysis that included only participants reporting complete or predominant use of face masks as instructed. A conservative sensitivity analysis assumed that participants with a positive result on an antibody test at the end of the study who had not provided antibody test results at study entrance had had a positive result at entrance. To further examine the uncertainty of loss to follow-up, we did (post hoc) 200 imputations using the R package </w:t>
      </w:r>
      <w:proofErr w:type="spellStart"/>
      <w:r w:rsidRPr="005859DB">
        <w:rPr>
          <w:rFonts w:ascii="Times New Roman" w:eastAsia="Times New Roman" w:hAnsi="Times New Roman" w:cs="Times New Roman"/>
          <w:color w:val="333333"/>
          <w:sz w:val="24"/>
          <w:szCs w:val="24"/>
        </w:rPr>
        <w:t>smcfcs</w:t>
      </w:r>
      <w:proofErr w:type="spellEnd"/>
      <w:r w:rsidRPr="005859DB">
        <w:rPr>
          <w:rFonts w:ascii="Times New Roman" w:eastAsia="Times New Roman" w:hAnsi="Times New Roman" w:cs="Times New Roman"/>
          <w:color w:val="333333"/>
          <w:sz w:val="24"/>
          <w:szCs w:val="24"/>
        </w:rPr>
        <w:t>, version 1.4.1 (</w:t>
      </w:r>
      <w:hyperlink r:id="rId55" w:anchor="r29-M206817" w:history="1">
        <w:r w:rsidRPr="005859DB">
          <w:rPr>
            <w:rFonts w:ascii="Times New Roman" w:eastAsia="Times New Roman" w:hAnsi="Times New Roman" w:cs="Times New Roman"/>
            <w:color w:val="1554B2"/>
            <w:sz w:val="24"/>
            <w:szCs w:val="24"/>
            <w:u w:val="single"/>
          </w:rPr>
          <w:t>29</w:t>
        </w:r>
      </w:hyperlink>
      <w:r w:rsidRPr="005859DB">
        <w:rPr>
          <w:rFonts w:ascii="Times New Roman" w:eastAsia="Times New Roman" w:hAnsi="Times New Roman" w:cs="Times New Roman"/>
          <w:color w:val="333333"/>
          <w:sz w:val="24"/>
          <w:szCs w:val="24"/>
        </w:rPr>
        <w:t>), to impute missing values of outcome. We included sex, age, type of work, time out of home, and outcome in this calculation.</w:t>
      </w:r>
    </w:p>
    <w:p w:rsidR="005859DB" w:rsidRPr="005859DB" w:rsidRDefault="005859DB" w:rsidP="005859DB">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proofErr w:type="spellStart"/>
      <w:r w:rsidRPr="005859DB">
        <w:rPr>
          <w:rFonts w:ascii="Times New Roman" w:eastAsia="Times New Roman" w:hAnsi="Times New Roman" w:cs="Times New Roman"/>
          <w:color w:val="333333"/>
          <w:sz w:val="24"/>
          <w:szCs w:val="24"/>
        </w:rPr>
        <w:t>Prespecified</w:t>
      </w:r>
      <w:proofErr w:type="spellEnd"/>
      <w:r w:rsidRPr="005859DB">
        <w:rPr>
          <w:rFonts w:ascii="Times New Roman" w:eastAsia="Times New Roman" w:hAnsi="Times New Roman" w:cs="Times New Roman"/>
          <w:color w:val="333333"/>
          <w:sz w:val="24"/>
          <w:szCs w:val="24"/>
        </w:rPr>
        <w:t xml:space="preserve"> subgroups were compared by logistic regression analysis. In a post hoc analysis, we explored whether there was a subgroup defined by a constellation of participant characteristics for which a recommendation to wear masks seemed to be effective. We included sex, age, type of work, time out of home, and outcome in this calculation.</w:t>
      </w:r>
    </w:p>
    <w:p w:rsidR="005859DB" w:rsidRPr="005859DB" w:rsidRDefault="005859DB" w:rsidP="005859DB">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5859DB">
        <w:rPr>
          <w:rFonts w:ascii="Times New Roman" w:eastAsia="Times New Roman" w:hAnsi="Times New Roman" w:cs="Times New Roman"/>
          <w:color w:val="333333"/>
          <w:sz w:val="24"/>
          <w:szCs w:val="24"/>
        </w:rPr>
        <w:t>Two-sided </w:t>
      </w:r>
      <w:r w:rsidRPr="005859DB">
        <w:rPr>
          <w:rFonts w:ascii="Times New Roman" w:eastAsia="Times New Roman" w:hAnsi="Times New Roman" w:cs="Times New Roman"/>
          <w:i/>
          <w:iCs/>
          <w:color w:val="333333"/>
          <w:sz w:val="24"/>
          <w:szCs w:val="24"/>
        </w:rPr>
        <w:t>P</w:t>
      </w:r>
      <w:r w:rsidRPr="005859DB">
        <w:rPr>
          <w:rFonts w:ascii="Times New Roman" w:eastAsia="Times New Roman" w:hAnsi="Times New Roman" w:cs="Times New Roman"/>
          <w:color w:val="333333"/>
          <w:sz w:val="24"/>
          <w:szCs w:val="24"/>
        </w:rPr>
        <w:t> values less than 0.05 were considered statistically significant. Analyses were done using R, version 3.6.1 (R Foundation).</w:t>
      </w:r>
    </w:p>
    <w:p w:rsidR="005859DB" w:rsidRPr="005859DB" w:rsidRDefault="005859DB" w:rsidP="005859DB">
      <w:pPr>
        <w:pBdr>
          <w:top w:val="single" w:sz="6" w:space="18" w:color="D9D9D9"/>
        </w:pBdr>
        <w:shd w:val="clear" w:color="auto" w:fill="FAFAFA"/>
        <w:spacing w:before="360" w:after="240" w:line="240" w:lineRule="auto"/>
        <w:outlineLvl w:val="2"/>
        <w:rPr>
          <w:rFonts w:ascii="Arial" w:eastAsia="Times New Roman" w:hAnsi="Arial" w:cs="Arial"/>
          <w:b/>
          <w:bCs/>
          <w:color w:val="000000"/>
          <w:sz w:val="27"/>
          <w:szCs w:val="27"/>
        </w:rPr>
      </w:pPr>
      <w:r w:rsidRPr="005859DB">
        <w:rPr>
          <w:rFonts w:ascii="Arial" w:eastAsia="Times New Roman" w:hAnsi="Arial" w:cs="Arial"/>
          <w:b/>
          <w:bCs/>
          <w:color w:val="000000"/>
          <w:sz w:val="27"/>
          <w:szCs w:val="27"/>
        </w:rPr>
        <w:t>Role of the Funding Source</w:t>
      </w:r>
    </w:p>
    <w:p w:rsidR="005859DB" w:rsidRPr="005859DB" w:rsidRDefault="005859DB" w:rsidP="005859DB">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5859DB">
        <w:rPr>
          <w:rFonts w:ascii="Times New Roman" w:eastAsia="Times New Roman" w:hAnsi="Times New Roman" w:cs="Times New Roman"/>
          <w:color w:val="333333"/>
          <w:sz w:val="24"/>
          <w:szCs w:val="24"/>
        </w:rPr>
        <w:t xml:space="preserve">An unrestricted grant from the </w:t>
      </w:r>
      <w:proofErr w:type="spellStart"/>
      <w:r w:rsidRPr="005859DB">
        <w:rPr>
          <w:rFonts w:ascii="Times New Roman" w:eastAsia="Times New Roman" w:hAnsi="Times New Roman" w:cs="Times New Roman"/>
          <w:color w:val="333333"/>
          <w:sz w:val="24"/>
          <w:szCs w:val="24"/>
        </w:rPr>
        <w:t>Salling</w:t>
      </w:r>
      <w:proofErr w:type="spellEnd"/>
      <w:r w:rsidRPr="005859DB">
        <w:rPr>
          <w:rFonts w:ascii="Times New Roman" w:eastAsia="Times New Roman" w:hAnsi="Times New Roman" w:cs="Times New Roman"/>
          <w:color w:val="333333"/>
          <w:sz w:val="24"/>
          <w:szCs w:val="24"/>
        </w:rPr>
        <w:t xml:space="preserve"> Foundations supported the study, and the BESTSELLER Foundation donated the </w:t>
      </w:r>
      <w:proofErr w:type="spellStart"/>
      <w:r w:rsidRPr="005859DB">
        <w:rPr>
          <w:rFonts w:ascii="Times New Roman" w:eastAsia="Times New Roman" w:hAnsi="Times New Roman" w:cs="Times New Roman"/>
          <w:color w:val="333333"/>
          <w:sz w:val="24"/>
          <w:szCs w:val="24"/>
        </w:rPr>
        <w:t>Livzon</w:t>
      </w:r>
      <w:proofErr w:type="spellEnd"/>
      <w:r w:rsidRPr="005859DB">
        <w:rPr>
          <w:rFonts w:ascii="Times New Roman" w:eastAsia="Times New Roman" w:hAnsi="Times New Roman" w:cs="Times New Roman"/>
          <w:color w:val="333333"/>
          <w:sz w:val="24"/>
          <w:szCs w:val="24"/>
        </w:rPr>
        <w:t xml:space="preserve"> tests. The funders did not influence study design, conduct, or reporting.</w:t>
      </w:r>
    </w:p>
    <w:p w:rsidR="005859DB" w:rsidRPr="005859DB" w:rsidRDefault="005859DB" w:rsidP="005859DB">
      <w:pPr>
        <w:pBdr>
          <w:top w:val="single" w:sz="6" w:space="0" w:color="D9D9D9"/>
        </w:pBdr>
        <w:shd w:val="clear" w:color="auto" w:fill="FAFAFA"/>
        <w:spacing w:before="100" w:beforeAutospacing="1" w:after="240" w:line="240" w:lineRule="auto"/>
        <w:outlineLvl w:val="1"/>
        <w:rPr>
          <w:rFonts w:ascii="Arial" w:eastAsia="Times New Roman" w:hAnsi="Arial" w:cs="Arial"/>
          <w:b/>
          <w:bCs/>
          <w:color w:val="333333"/>
          <w:sz w:val="36"/>
          <w:szCs w:val="36"/>
        </w:rPr>
      </w:pPr>
      <w:r w:rsidRPr="005859DB">
        <w:rPr>
          <w:rFonts w:ascii="Arial" w:eastAsia="Times New Roman" w:hAnsi="Arial" w:cs="Arial"/>
          <w:b/>
          <w:bCs/>
          <w:color w:val="333333"/>
          <w:sz w:val="36"/>
          <w:szCs w:val="36"/>
        </w:rPr>
        <w:t>Results</w:t>
      </w:r>
    </w:p>
    <w:p w:rsidR="005859DB" w:rsidRPr="005859DB" w:rsidRDefault="005859DB" w:rsidP="005859DB">
      <w:pPr>
        <w:pBdr>
          <w:top w:val="single" w:sz="6" w:space="18" w:color="D9D9D9"/>
        </w:pBdr>
        <w:shd w:val="clear" w:color="auto" w:fill="FAFAFA"/>
        <w:spacing w:before="360" w:after="240" w:line="240" w:lineRule="auto"/>
        <w:outlineLvl w:val="2"/>
        <w:rPr>
          <w:rFonts w:ascii="Arial" w:eastAsia="Times New Roman" w:hAnsi="Arial" w:cs="Arial"/>
          <w:b/>
          <w:bCs/>
          <w:color w:val="000000"/>
          <w:sz w:val="27"/>
          <w:szCs w:val="27"/>
        </w:rPr>
      </w:pPr>
      <w:r w:rsidRPr="005859DB">
        <w:rPr>
          <w:rFonts w:ascii="Arial" w:eastAsia="Times New Roman" w:hAnsi="Arial" w:cs="Arial"/>
          <w:b/>
          <w:bCs/>
          <w:color w:val="000000"/>
          <w:sz w:val="27"/>
          <w:szCs w:val="27"/>
        </w:rPr>
        <w:t>Participants</w:t>
      </w:r>
    </w:p>
    <w:p w:rsidR="005859DB" w:rsidRPr="005859DB" w:rsidRDefault="005859DB" w:rsidP="005859DB">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5859DB">
        <w:rPr>
          <w:rFonts w:ascii="Times New Roman" w:eastAsia="Times New Roman" w:hAnsi="Times New Roman" w:cs="Times New Roman"/>
          <w:color w:val="333333"/>
          <w:sz w:val="24"/>
          <w:szCs w:val="24"/>
        </w:rPr>
        <w:lastRenderedPageBreak/>
        <w:t>A total of 17 258 Danish citizens responded to recruitment, and 6024 completed the baseline survey and fulfilled eligibility criteria. The first participants (group 1; </w:t>
      </w:r>
      <w:r w:rsidRPr="005859DB">
        <w:rPr>
          <w:rFonts w:ascii="Times New Roman" w:eastAsia="Times New Roman" w:hAnsi="Times New Roman" w:cs="Times New Roman"/>
          <w:i/>
          <w:iCs/>
          <w:color w:val="333333"/>
          <w:sz w:val="24"/>
          <w:szCs w:val="24"/>
        </w:rPr>
        <w:t>n</w:t>
      </w:r>
      <w:r w:rsidRPr="005859DB">
        <w:rPr>
          <w:rFonts w:ascii="Times New Roman" w:eastAsia="Times New Roman" w:hAnsi="Times New Roman" w:cs="Times New Roman"/>
          <w:color w:val="333333"/>
          <w:sz w:val="24"/>
          <w:szCs w:val="24"/>
        </w:rPr>
        <w:t> = 2995) were randomly assigned on 12 April 2020 and were followed from 14 to 16 April through 15 May 2020. Remaining participants (group 2; </w:t>
      </w:r>
      <w:r w:rsidRPr="005859DB">
        <w:rPr>
          <w:rFonts w:ascii="Times New Roman" w:eastAsia="Times New Roman" w:hAnsi="Times New Roman" w:cs="Times New Roman"/>
          <w:i/>
          <w:iCs/>
          <w:color w:val="333333"/>
          <w:sz w:val="24"/>
          <w:szCs w:val="24"/>
        </w:rPr>
        <w:t>n</w:t>
      </w:r>
      <w:r w:rsidRPr="005859DB">
        <w:rPr>
          <w:rFonts w:ascii="Times New Roman" w:eastAsia="Times New Roman" w:hAnsi="Times New Roman" w:cs="Times New Roman"/>
          <w:color w:val="333333"/>
          <w:sz w:val="24"/>
          <w:szCs w:val="24"/>
        </w:rPr>
        <w:t> = 3029) were randomly assigned on 24 April 2020 and were followed from 2 to 4 May through 2 June 2020. A total of 3030 participants were randomly assigned to the recommendation to wear face masks, and 2994 were assigned not to wear face masks (</w:t>
      </w:r>
      <w:hyperlink r:id="rId56" w:anchor="f1-M206817" w:history="1">
        <w:r w:rsidRPr="005859DB">
          <w:rPr>
            <w:rFonts w:ascii="Times New Roman" w:eastAsia="Times New Roman" w:hAnsi="Times New Roman" w:cs="Times New Roman"/>
            <w:color w:val="1554B2"/>
            <w:sz w:val="24"/>
            <w:szCs w:val="24"/>
            <w:u w:val="single"/>
          </w:rPr>
          <w:t>Figure</w:t>
        </w:r>
      </w:hyperlink>
      <w:r w:rsidRPr="005859DB">
        <w:rPr>
          <w:rFonts w:ascii="Times New Roman" w:eastAsia="Times New Roman" w:hAnsi="Times New Roman" w:cs="Times New Roman"/>
          <w:color w:val="333333"/>
          <w:sz w:val="24"/>
          <w:szCs w:val="24"/>
        </w:rPr>
        <w:t>); 4862 participants (80.7%) completed the study. </w:t>
      </w:r>
      <w:hyperlink r:id="rId57" w:anchor="t1-M206817" w:history="1">
        <w:r w:rsidRPr="005859DB">
          <w:rPr>
            <w:rFonts w:ascii="Times New Roman" w:eastAsia="Times New Roman" w:hAnsi="Times New Roman" w:cs="Times New Roman"/>
            <w:color w:val="1554B2"/>
            <w:sz w:val="24"/>
            <w:szCs w:val="24"/>
            <w:u w:val="single"/>
          </w:rPr>
          <w:t>Table 1</w:t>
        </w:r>
      </w:hyperlink>
      <w:r w:rsidRPr="005859DB">
        <w:rPr>
          <w:rFonts w:ascii="Times New Roman" w:eastAsia="Times New Roman" w:hAnsi="Times New Roman" w:cs="Times New Roman"/>
          <w:color w:val="333333"/>
          <w:sz w:val="24"/>
          <w:szCs w:val="24"/>
        </w:rPr>
        <w:t> shows baseline characteristics, which were well balanced between groups. Participants reported having spent a median of 4.5 hours per day outside the home.</w:t>
      </w:r>
    </w:p>
    <w:p w:rsidR="005859DB" w:rsidRPr="005859DB" w:rsidRDefault="005859DB" w:rsidP="005859DB">
      <w:pPr>
        <w:shd w:val="clear" w:color="auto" w:fill="FFFFFF"/>
        <w:spacing w:line="240" w:lineRule="auto"/>
        <w:rPr>
          <w:rFonts w:ascii="Arial" w:eastAsia="Times New Roman" w:hAnsi="Arial" w:cs="Arial"/>
          <w:color w:val="333333"/>
          <w:sz w:val="24"/>
          <w:szCs w:val="24"/>
        </w:rPr>
      </w:pPr>
      <w:r w:rsidRPr="005859DB">
        <w:rPr>
          <w:rFonts w:ascii="Arial" w:eastAsia="Times New Roman" w:hAnsi="Arial" w:cs="Arial"/>
          <w:noProof/>
          <w:color w:val="333333"/>
          <w:sz w:val="24"/>
          <w:szCs w:val="24"/>
        </w:rPr>
        <w:drawing>
          <wp:inline distT="0" distB="0" distL="0" distR="0">
            <wp:extent cx="4759960" cy="2210435"/>
            <wp:effectExtent l="0" t="0" r="2540" b="0"/>
            <wp:docPr id="3" name="Picture 3" descr="https://www.acpjournals.org/na101/home/literatum/publisher/acp/journals/content/aim/0/aim.ahead-of-print/m20-6817/20201117/images/medium/m206817ff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acpjournals.org/na101/home/literatum/publisher/acp/journals/content/aim/0/aim.ahead-of-print/m20-6817/20201117/images/medium/m206817ff1.jp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759960" cy="2210435"/>
                    </a:xfrm>
                    <a:prstGeom prst="rect">
                      <a:avLst/>
                    </a:prstGeom>
                    <a:noFill/>
                    <a:ln>
                      <a:noFill/>
                    </a:ln>
                  </pic:spPr>
                </pic:pic>
              </a:graphicData>
            </a:graphic>
          </wp:inline>
        </w:drawing>
      </w:r>
    </w:p>
    <w:p w:rsidR="005859DB" w:rsidRPr="005859DB" w:rsidRDefault="005859DB" w:rsidP="005859DB">
      <w:pPr>
        <w:shd w:val="clear" w:color="auto" w:fill="FAFAFA"/>
        <w:spacing w:after="0" w:line="330" w:lineRule="atLeast"/>
        <w:rPr>
          <w:rFonts w:ascii="Times New Roman" w:eastAsia="Times New Roman" w:hAnsi="Times New Roman" w:cs="Times New Roman"/>
          <w:color w:val="707070"/>
          <w:sz w:val="24"/>
          <w:szCs w:val="24"/>
        </w:rPr>
      </w:pPr>
      <w:r w:rsidRPr="005859DB">
        <w:rPr>
          <w:rFonts w:ascii="Arial" w:eastAsia="Times New Roman" w:hAnsi="Arial" w:cs="Arial"/>
          <w:b/>
          <w:bCs/>
          <w:color w:val="333333"/>
          <w:sz w:val="24"/>
          <w:szCs w:val="24"/>
        </w:rPr>
        <w:t>Figure. Study flow diagram.</w:t>
      </w:r>
    </w:p>
    <w:p w:rsidR="005859DB" w:rsidRPr="005859DB" w:rsidRDefault="005859DB" w:rsidP="005859DB">
      <w:pPr>
        <w:shd w:val="clear" w:color="auto" w:fill="FAFAFA"/>
        <w:spacing w:before="100" w:beforeAutospacing="1" w:after="100" w:afterAutospacing="1" w:line="330" w:lineRule="atLeast"/>
        <w:rPr>
          <w:rFonts w:ascii="Times New Roman" w:eastAsia="Times New Roman" w:hAnsi="Times New Roman" w:cs="Times New Roman"/>
          <w:sz w:val="24"/>
          <w:szCs w:val="24"/>
        </w:rPr>
      </w:pPr>
      <w:r w:rsidRPr="005859DB">
        <w:rPr>
          <w:rFonts w:ascii="Times New Roman" w:eastAsia="Times New Roman" w:hAnsi="Times New Roman" w:cs="Times New Roman"/>
          <w:color w:val="707070"/>
          <w:sz w:val="24"/>
          <w:szCs w:val="24"/>
        </w:rPr>
        <w:t>Inclusion and exclusion criteria are described in the Methods section, and criteria for completion of the study are given in the Supplement. SARS-CoV-2 = severe acute respiratory syndrome coronavirus 2.</w:t>
      </w:r>
    </w:p>
    <w:p w:rsidR="005859DB" w:rsidRPr="005859DB" w:rsidRDefault="005859DB" w:rsidP="005859DB">
      <w:pPr>
        <w:numPr>
          <w:ilvl w:val="0"/>
          <w:numId w:val="2"/>
        </w:numPr>
        <w:shd w:val="clear" w:color="auto" w:fill="FAFAFA"/>
        <w:spacing w:before="100" w:beforeAutospacing="1" w:after="0" w:line="240" w:lineRule="auto"/>
        <w:ind w:left="0"/>
        <w:rPr>
          <w:rFonts w:ascii="Arial" w:eastAsia="Times New Roman" w:hAnsi="Arial" w:cs="Arial"/>
          <w:b/>
          <w:bCs/>
          <w:color w:val="333333"/>
          <w:sz w:val="24"/>
          <w:szCs w:val="24"/>
        </w:rPr>
      </w:pPr>
      <w:hyperlink r:id="rId59" w:tgtFrame="_blank" w:history="1">
        <w:r w:rsidRPr="005859DB">
          <w:rPr>
            <w:rFonts w:ascii="Arial" w:eastAsia="Times New Roman" w:hAnsi="Arial" w:cs="Arial"/>
            <w:color w:val="0000FF"/>
            <w:sz w:val="24"/>
            <w:szCs w:val="24"/>
            <w:u w:val="single"/>
          </w:rPr>
          <w:t>Download figure</w:t>
        </w:r>
      </w:hyperlink>
    </w:p>
    <w:p w:rsidR="005859DB" w:rsidRPr="005859DB" w:rsidRDefault="005859DB" w:rsidP="005859DB">
      <w:pPr>
        <w:numPr>
          <w:ilvl w:val="0"/>
          <w:numId w:val="2"/>
        </w:numPr>
        <w:shd w:val="clear" w:color="auto" w:fill="FAFAFA"/>
        <w:spacing w:before="100" w:beforeAutospacing="1" w:after="100" w:afterAutospacing="1" w:line="240" w:lineRule="auto"/>
        <w:ind w:left="0"/>
        <w:rPr>
          <w:rFonts w:ascii="Arial" w:eastAsia="Times New Roman" w:hAnsi="Arial" w:cs="Arial"/>
          <w:b/>
          <w:bCs/>
          <w:color w:val="333333"/>
          <w:sz w:val="24"/>
          <w:szCs w:val="24"/>
        </w:rPr>
      </w:pPr>
      <w:hyperlink r:id="rId60" w:history="1">
        <w:r w:rsidRPr="005859DB">
          <w:rPr>
            <w:rFonts w:ascii="Arial" w:eastAsia="Times New Roman" w:hAnsi="Arial" w:cs="Arial"/>
            <w:color w:val="0000FF"/>
            <w:sz w:val="24"/>
            <w:szCs w:val="24"/>
            <w:u w:val="single"/>
          </w:rPr>
          <w:t>Download PowerPoint</w:t>
        </w:r>
      </w:hyperlink>
    </w:p>
    <w:p w:rsidR="005859DB" w:rsidRPr="005859DB" w:rsidRDefault="005859DB" w:rsidP="005859DB">
      <w:pPr>
        <w:spacing w:line="240" w:lineRule="auto"/>
        <w:rPr>
          <w:rFonts w:ascii="Arial" w:eastAsia="Times New Roman" w:hAnsi="Arial" w:cs="Arial"/>
          <w:color w:val="333333"/>
          <w:sz w:val="24"/>
          <w:szCs w:val="24"/>
        </w:rPr>
      </w:pPr>
      <w:r w:rsidRPr="005859DB">
        <w:rPr>
          <w:rFonts w:ascii="Arial" w:eastAsia="Times New Roman" w:hAnsi="Arial" w:cs="Arial"/>
          <w:color w:val="333333"/>
          <w:sz w:val="24"/>
          <w:szCs w:val="24"/>
        </w:rPr>
        <w:t>Table 1. Characteristics of Participants Completing the Study</w:t>
      </w:r>
    </w:p>
    <w:tbl>
      <w:tblPr>
        <w:tblW w:w="10935" w:type="dxa"/>
        <w:tblCellMar>
          <w:top w:w="15" w:type="dxa"/>
          <w:left w:w="15" w:type="dxa"/>
          <w:bottom w:w="15" w:type="dxa"/>
          <w:right w:w="15" w:type="dxa"/>
        </w:tblCellMar>
        <w:tblLook w:val="04A0" w:firstRow="1" w:lastRow="0" w:firstColumn="1" w:lastColumn="0" w:noHBand="0" w:noVBand="1"/>
      </w:tblPr>
      <w:tblGrid>
        <w:gridCol w:w="10935"/>
      </w:tblGrid>
      <w:tr w:rsidR="005859DB" w:rsidRPr="005859DB" w:rsidTr="005859DB">
        <w:tc>
          <w:tcPr>
            <w:tcW w:w="0" w:type="auto"/>
            <w:tcMar>
              <w:top w:w="120" w:type="dxa"/>
              <w:left w:w="180" w:type="dxa"/>
              <w:bottom w:w="120" w:type="dxa"/>
              <w:right w:w="180" w:type="dxa"/>
            </w:tcMar>
            <w:vAlign w:val="center"/>
            <w:hideMark/>
          </w:tcPr>
          <w:p w:rsidR="005859DB" w:rsidRPr="005859DB" w:rsidRDefault="005859DB" w:rsidP="005859DB">
            <w:pPr>
              <w:shd w:val="clear" w:color="auto" w:fill="FFFFFF"/>
              <w:spacing w:line="240" w:lineRule="auto"/>
              <w:divId w:val="62603958"/>
              <w:rPr>
                <w:rFonts w:ascii="Times New Roman" w:eastAsia="Times New Roman" w:hAnsi="Times New Roman" w:cs="Times New Roman"/>
                <w:sz w:val="24"/>
                <w:szCs w:val="24"/>
              </w:rPr>
            </w:pPr>
            <w:r w:rsidRPr="005859DB">
              <w:rPr>
                <w:rFonts w:ascii="Times New Roman" w:eastAsia="Times New Roman" w:hAnsi="Times New Roman" w:cs="Times New Roman"/>
                <w:noProof/>
                <w:sz w:val="24"/>
                <w:szCs w:val="24"/>
              </w:rPr>
              <w:lastRenderedPageBreak/>
              <w:drawing>
                <wp:inline distT="0" distB="0" distL="0" distR="0">
                  <wp:extent cx="4759960" cy="2991485"/>
                  <wp:effectExtent l="0" t="0" r="2540" b="0"/>
                  <wp:docPr id="2" name="Picture 2" descr="https://www.acpjournals.org/na101/home/literatum/publisher/acp/journals/content/aim/0/aim.ahead-of-print/m20-6817/20201117/images/medium/m206817t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acpjournals.org/na101/home/literatum/publisher/acp/journals/content/aim/0/aim.ahead-of-print/m20-6817/20201117/images/medium/m206817tt1.jp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759960" cy="2991485"/>
                          </a:xfrm>
                          <a:prstGeom prst="rect">
                            <a:avLst/>
                          </a:prstGeom>
                          <a:noFill/>
                          <a:ln>
                            <a:noFill/>
                          </a:ln>
                        </pic:spPr>
                      </pic:pic>
                    </a:graphicData>
                  </a:graphic>
                </wp:inline>
              </w:drawing>
            </w:r>
          </w:p>
        </w:tc>
      </w:tr>
    </w:tbl>
    <w:p w:rsidR="005859DB" w:rsidRPr="005859DB" w:rsidRDefault="005859DB" w:rsidP="005859DB">
      <w:pPr>
        <w:pBdr>
          <w:top w:val="single" w:sz="6" w:space="18" w:color="D9D9D9"/>
        </w:pBdr>
        <w:shd w:val="clear" w:color="auto" w:fill="FAFAFA"/>
        <w:spacing w:before="360" w:after="240" w:line="240" w:lineRule="auto"/>
        <w:outlineLvl w:val="2"/>
        <w:rPr>
          <w:rFonts w:ascii="Arial" w:eastAsia="Times New Roman" w:hAnsi="Arial" w:cs="Arial"/>
          <w:b/>
          <w:bCs/>
          <w:color w:val="000000"/>
          <w:sz w:val="27"/>
          <w:szCs w:val="27"/>
        </w:rPr>
      </w:pPr>
      <w:r w:rsidRPr="005859DB">
        <w:rPr>
          <w:rFonts w:ascii="Arial" w:eastAsia="Times New Roman" w:hAnsi="Arial" w:cs="Arial"/>
          <w:b/>
          <w:bCs/>
          <w:color w:val="000000"/>
          <w:sz w:val="27"/>
          <w:szCs w:val="27"/>
        </w:rPr>
        <w:t>Adherence</w:t>
      </w:r>
    </w:p>
    <w:p w:rsidR="005859DB" w:rsidRPr="005859DB" w:rsidRDefault="005859DB" w:rsidP="005859DB">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5859DB">
        <w:rPr>
          <w:rFonts w:ascii="Times New Roman" w:eastAsia="Times New Roman" w:hAnsi="Times New Roman" w:cs="Times New Roman"/>
          <w:color w:val="333333"/>
          <w:sz w:val="24"/>
          <w:szCs w:val="24"/>
        </w:rPr>
        <w:t>Based on the lowest adherence reported in the mask group during follow-up, 46% of participants wore the mask as recommended, 47% predominantly as recommended, and 7% not as recommended.</w:t>
      </w:r>
    </w:p>
    <w:p w:rsidR="005859DB" w:rsidRPr="005859DB" w:rsidRDefault="005859DB" w:rsidP="005859DB">
      <w:pPr>
        <w:pBdr>
          <w:top w:val="single" w:sz="6" w:space="18" w:color="D9D9D9"/>
        </w:pBdr>
        <w:shd w:val="clear" w:color="auto" w:fill="FAFAFA"/>
        <w:spacing w:before="360" w:after="240" w:line="240" w:lineRule="auto"/>
        <w:outlineLvl w:val="2"/>
        <w:rPr>
          <w:rFonts w:ascii="Arial" w:eastAsia="Times New Roman" w:hAnsi="Arial" w:cs="Arial"/>
          <w:b/>
          <w:bCs/>
          <w:color w:val="000000"/>
          <w:sz w:val="27"/>
          <w:szCs w:val="27"/>
        </w:rPr>
      </w:pPr>
      <w:r w:rsidRPr="005859DB">
        <w:rPr>
          <w:rFonts w:ascii="Arial" w:eastAsia="Times New Roman" w:hAnsi="Arial" w:cs="Arial"/>
          <w:b/>
          <w:bCs/>
          <w:color w:val="000000"/>
          <w:sz w:val="27"/>
          <w:szCs w:val="27"/>
        </w:rPr>
        <w:t>Primary Outcome</w:t>
      </w:r>
    </w:p>
    <w:p w:rsidR="005859DB" w:rsidRPr="005859DB" w:rsidRDefault="005859DB" w:rsidP="005859DB">
      <w:pPr>
        <w:shd w:val="clear" w:color="auto" w:fill="FAFAFA"/>
        <w:spacing w:beforeAutospacing="1" w:after="100" w:afterAutospacing="1" w:line="570" w:lineRule="atLeast"/>
        <w:rPr>
          <w:rFonts w:ascii="Times New Roman" w:eastAsia="Times New Roman" w:hAnsi="Times New Roman" w:cs="Times New Roman"/>
          <w:color w:val="333333"/>
          <w:sz w:val="24"/>
          <w:szCs w:val="24"/>
        </w:rPr>
      </w:pPr>
      <w:r w:rsidRPr="005859DB">
        <w:rPr>
          <w:rFonts w:ascii="Times New Roman" w:eastAsia="Times New Roman" w:hAnsi="Times New Roman" w:cs="Times New Roman"/>
          <w:color w:val="333333"/>
          <w:sz w:val="24"/>
          <w:szCs w:val="24"/>
        </w:rPr>
        <w:t>The primary outcome occurred in 42 participants (1.8%) in the mask group and 53 (2.1%) in the control group. In an intention-to-treat analysis, the between-group difference was −0.3 percentage point (CI, −1.2 to 0.4 percentage point; </w:t>
      </w:r>
      <w:r w:rsidRPr="005859DB">
        <w:rPr>
          <w:rFonts w:ascii="Times New Roman" w:eastAsia="Times New Roman" w:hAnsi="Times New Roman" w:cs="Times New Roman"/>
          <w:i/>
          <w:iCs/>
          <w:color w:val="333333"/>
          <w:sz w:val="24"/>
          <w:szCs w:val="24"/>
        </w:rPr>
        <w:t>P</w:t>
      </w:r>
      <w:r w:rsidRPr="005859DB">
        <w:rPr>
          <w:rFonts w:ascii="Times New Roman" w:eastAsia="Times New Roman" w:hAnsi="Times New Roman" w:cs="Times New Roman"/>
          <w:color w:val="333333"/>
          <w:sz w:val="24"/>
          <w:szCs w:val="24"/>
        </w:rPr>
        <w:t> = 0.38) (odds ratio [OR], 0.82 [CI, 0.54 to 1.23]; </w:t>
      </w:r>
      <w:r w:rsidRPr="005859DB">
        <w:rPr>
          <w:rFonts w:ascii="Times New Roman" w:eastAsia="Times New Roman" w:hAnsi="Times New Roman" w:cs="Times New Roman"/>
          <w:i/>
          <w:iCs/>
          <w:color w:val="333333"/>
          <w:sz w:val="24"/>
          <w:szCs w:val="24"/>
        </w:rPr>
        <w:t>P</w:t>
      </w:r>
      <w:r w:rsidRPr="005859DB">
        <w:rPr>
          <w:rFonts w:ascii="Times New Roman" w:eastAsia="Times New Roman" w:hAnsi="Times New Roman" w:cs="Times New Roman"/>
          <w:color w:val="333333"/>
          <w:sz w:val="24"/>
          <w:szCs w:val="24"/>
        </w:rPr>
        <w:t> = 0.33) in favor of the mask group (</w:t>
      </w:r>
      <w:hyperlink r:id="rId62" w:history="1">
        <w:r w:rsidRPr="005859DB">
          <w:rPr>
            <w:rFonts w:ascii="Times New Roman" w:eastAsia="Times New Roman" w:hAnsi="Times New Roman" w:cs="Times New Roman"/>
            <w:color w:val="1554B2"/>
            <w:sz w:val="24"/>
            <w:szCs w:val="24"/>
            <w:u w:val="single"/>
          </w:rPr>
          <w:t>Supplement Figure 1</w:t>
        </w:r>
      </w:hyperlink>
      <w:r w:rsidRPr="005859DB">
        <w:rPr>
          <w:rFonts w:ascii="Times New Roman" w:eastAsia="Times New Roman" w:hAnsi="Times New Roman" w:cs="Times New Roman"/>
          <w:color w:val="333333"/>
          <w:sz w:val="24"/>
          <w:szCs w:val="24"/>
        </w:rPr>
        <w:t xml:space="preserve">). When this analysis was repeated with multiple imputation for missing data due to loss to follow-up, it yielded similar </w:t>
      </w:r>
      <w:r w:rsidRPr="005859DB">
        <w:rPr>
          <w:rFonts w:ascii="Times New Roman" w:eastAsia="Times New Roman" w:hAnsi="Times New Roman" w:cs="Times New Roman"/>
          <w:color w:val="333333"/>
          <w:sz w:val="24"/>
          <w:szCs w:val="24"/>
        </w:rPr>
        <w:lastRenderedPageBreak/>
        <w:t>results (OR, 0.81 [CI, 0.53 to 1.23]; </w:t>
      </w:r>
      <w:r w:rsidRPr="005859DB">
        <w:rPr>
          <w:rFonts w:ascii="Times New Roman" w:eastAsia="Times New Roman" w:hAnsi="Times New Roman" w:cs="Times New Roman"/>
          <w:i/>
          <w:iCs/>
          <w:color w:val="333333"/>
          <w:sz w:val="24"/>
          <w:szCs w:val="24"/>
        </w:rPr>
        <w:t>P</w:t>
      </w:r>
      <w:r w:rsidRPr="005859DB">
        <w:rPr>
          <w:rFonts w:ascii="Times New Roman" w:eastAsia="Times New Roman" w:hAnsi="Times New Roman" w:cs="Times New Roman"/>
          <w:color w:val="333333"/>
          <w:sz w:val="24"/>
          <w:szCs w:val="24"/>
        </w:rPr>
        <w:t> = 0.32). </w:t>
      </w:r>
      <w:hyperlink r:id="rId63" w:anchor="t2-M206817" w:history="1">
        <w:r w:rsidRPr="005859DB">
          <w:rPr>
            <w:rFonts w:ascii="Times New Roman" w:eastAsia="Times New Roman" w:hAnsi="Times New Roman" w:cs="Times New Roman"/>
            <w:color w:val="1554B2"/>
            <w:sz w:val="24"/>
            <w:szCs w:val="24"/>
            <w:u w:val="single"/>
          </w:rPr>
          <w:t>Table 2</w:t>
        </w:r>
      </w:hyperlink>
      <w:r w:rsidRPr="005859DB">
        <w:rPr>
          <w:rFonts w:ascii="Times New Roman" w:eastAsia="Times New Roman" w:hAnsi="Times New Roman" w:cs="Times New Roman"/>
          <w:color w:val="333333"/>
          <w:sz w:val="24"/>
          <w:szCs w:val="24"/>
        </w:rPr>
        <w:t> provides data on the components of the primary end point, which were similar between groups.</w:t>
      </w:r>
    </w:p>
    <w:p w:rsidR="005859DB" w:rsidRPr="005859DB" w:rsidRDefault="005859DB" w:rsidP="005859DB">
      <w:pPr>
        <w:spacing w:line="240" w:lineRule="auto"/>
        <w:rPr>
          <w:rFonts w:ascii="Arial" w:eastAsia="Times New Roman" w:hAnsi="Arial" w:cs="Arial"/>
          <w:color w:val="333333"/>
          <w:sz w:val="24"/>
          <w:szCs w:val="24"/>
        </w:rPr>
      </w:pPr>
      <w:r w:rsidRPr="005859DB">
        <w:rPr>
          <w:rFonts w:ascii="Arial" w:eastAsia="Times New Roman" w:hAnsi="Arial" w:cs="Arial"/>
          <w:color w:val="333333"/>
          <w:sz w:val="24"/>
          <w:szCs w:val="24"/>
        </w:rPr>
        <w:t>Table 2. Distribution of the Components of the Composite Primary Outcome</w:t>
      </w:r>
    </w:p>
    <w:tbl>
      <w:tblPr>
        <w:tblW w:w="10935" w:type="dxa"/>
        <w:tblCellMar>
          <w:top w:w="15" w:type="dxa"/>
          <w:left w:w="15" w:type="dxa"/>
          <w:bottom w:w="15" w:type="dxa"/>
          <w:right w:w="15" w:type="dxa"/>
        </w:tblCellMar>
        <w:tblLook w:val="04A0" w:firstRow="1" w:lastRow="0" w:firstColumn="1" w:lastColumn="0" w:noHBand="0" w:noVBand="1"/>
      </w:tblPr>
      <w:tblGrid>
        <w:gridCol w:w="10935"/>
      </w:tblGrid>
      <w:tr w:rsidR="005859DB" w:rsidRPr="005859DB" w:rsidTr="005859DB">
        <w:tc>
          <w:tcPr>
            <w:tcW w:w="0" w:type="auto"/>
            <w:tcMar>
              <w:top w:w="120" w:type="dxa"/>
              <w:left w:w="180" w:type="dxa"/>
              <w:bottom w:w="120" w:type="dxa"/>
              <w:right w:w="180" w:type="dxa"/>
            </w:tcMar>
            <w:vAlign w:val="center"/>
            <w:hideMark/>
          </w:tcPr>
          <w:p w:rsidR="005859DB" w:rsidRPr="005859DB" w:rsidRDefault="005859DB" w:rsidP="005859DB">
            <w:pPr>
              <w:shd w:val="clear" w:color="auto" w:fill="FFFFFF"/>
              <w:spacing w:line="240" w:lineRule="auto"/>
              <w:divId w:val="1159007000"/>
              <w:rPr>
                <w:rFonts w:ascii="Times New Roman" w:eastAsia="Times New Roman" w:hAnsi="Times New Roman" w:cs="Times New Roman"/>
                <w:sz w:val="24"/>
                <w:szCs w:val="24"/>
              </w:rPr>
            </w:pPr>
            <w:r w:rsidRPr="005859DB">
              <w:rPr>
                <w:rFonts w:ascii="Times New Roman" w:eastAsia="Times New Roman" w:hAnsi="Times New Roman" w:cs="Times New Roman"/>
                <w:noProof/>
                <w:sz w:val="24"/>
                <w:szCs w:val="24"/>
              </w:rPr>
              <w:drawing>
                <wp:inline distT="0" distB="0" distL="0" distR="0">
                  <wp:extent cx="4759960" cy="2464435"/>
                  <wp:effectExtent l="0" t="0" r="2540" b="0"/>
                  <wp:docPr id="1" name="Picture 1" descr="https://www.acpjournals.org/na101/home/literatum/publisher/acp/journals/content/aim/0/aim.ahead-of-print/m20-6817/20201117/images/medium/m206817tt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acpjournals.org/na101/home/literatum/publisher/acp/journals/content/aim/0/aim.ahead-of-print/m20-6817/20201117/images/medium/m206817tt2.jp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759960" cy="2464435"/>
                          </a:xfrm>
                          <a:prstGeom prst="rect">
                            <a:avLst/>
                          </a:prstGeom>
                          <a:noFill/>
                          <a:ln>
                            <a:noFill/>
                          </a:ln>
                        </pic:spPr>
                      </pic:pic>
                    </a:graphicData>
                  </a:graphic>
                </wp:inline>
              </w:drawing>
            </w:r>
          </w:p>
        </w:tc>
      </w:tr>
    </w:tbl>
    <w:p w:rsidR="005859DB" w:rsidRPr="005859DB" w:rsidRDefault="005859DB" w:rsidP="005859DB">
      <w:pPr>
        <w:shd w:val="clear" w:color="auto" w:fill="FAFAFA"/>
        <w:spacing w:beforeAutospacing="1" w:after="100" w:afterAutospacing="1" w:line="570" w:lineRule="atLeast"/>
        <w:rPr>
          <w:rFonts w:ascii="Times New Roman" w:eastAsia="Times New Roman" w:hAnsi="Times New Roman" w:cs="Times New Roman"/>
          <w:color w:val="333333"/>
          <w:sz w:val="24"/>
          <w:szCs w:val="24"/>
        </w:rPr>
      </w:pPr>
      <w:r w:rsidRPr="005859DB">
        <w:rPr>
          <w:rFonts w:ascii="Times New Roman" w:eastAsia="Times New Roman" w:hAnsi="Times New Roman" w:cs="Times New Roman"/>
          <w:color w:val="333333"/>
          <w:sz w:val="24"/>
          <w:szCs w:val="24"/>
        </w:rPr>
        <w:t xml:space="preserve">In a per protocol analysis that excluded participants in the mask group who reported </w:t>
      </w:r>
      <w:proofErr w:type="spellStart"/>
      <w:r w:rsidRPr="005859DB">
        <w:rPr>
          <w:rFonts w:ascii="Times New Roman" w:eastAsia="Times New Roman" w:hAnsi="Times New Roman" w:cs="Times New Roman"/>
          <w:color w:val="333333"/>
          <w:sz w:val="24"/>
          <w:szCs w:val="24"/>
        </w:rPr>
        <w:t>nonadherence</w:t>
      </w:r>
      <w:proofErr w:type="spellEnd"/>
      <w:r w:rsidRPr="005859DB">
        <w:rPr>
          <w:rFonts w:ascii="Times New Roman" w:eastAsia="Times New Roman" w:hAnsi="Times New Roman" w:cs="Times New Roman"/>
          <w:color w:val="333333"/>
          <w:sz w:val="24"/>
          <w:szCs w:val="24"/>
        </w:rPr>
        <w:t xml:space="preserve"> (7%), SARS-CoV-2 infection occurred in 40 participants (1.8%) in the mask group and 53 (2.1%) in the control group (between-group difference, −0.4 percentage point [CI, −1.2 to 0.5 percentage point]; </w:t>
      </w:r>
      <w:r w:rsidRPr="005859DB">
        <w:rPr>
          <w:rFonts w:ascii="Times New Roman" w:eastAsia="Times New Roman" w:hAnsi="Times New Roman" w:cs="Times New Roman"/>
          <w:i/>
          <w:iCs/>
          <w:color w:val="333333"/>
          <w:sz w:val="24"/>
          <w:szCs w:val="24"/>
        </w:rPr>
        <w:t>P</w:t>
      </w:r>
      <w:r w:rsidRPr="005859DB">
        <w:rPr>
          <w:rFonts w:ascii="Times New Roman" w:eastAsia="Times New Roman" w:hAnsi="Times New Roman" w:cs="Times New Roman"/>
          <w:color w:val="333333"/>
          <w:sz w:val="24"/>
          <w:szCs w:val="24"/>
        </w:rPr>
        <w:t> = 0.40) (OR, 0.84 [CI, 0.55 to 1.26]; </w:t>
      </w:r>
      <w:r w:rsidRPr="005859DB">
        <w:rPr>
          <w:rFonts w:ascii="Times New Roman" w:eastAsia="Times New Roman" w:hAnsi="Times New Roman" w:cs="Times New Roman"/>
          <w:i/>
          <w:iCs/>
          <w:color w:val="333333"/>
          <w:sz w:val="24"/>
          <w:szCs w:val="24"/>
        </w:rPr>
        <w:t>P</w:t>
      </w:r>
      <w:r w:rsidRPr="005859DB">
        <w:rPr>
          <w:rFonts w:ascii="Times New Roman" w:eastAsia="Times New Roman" w:hAnsi="Times New Roman" w:cs="Times New Roman"/>
          <w:color w:val="333333"/>
          <w:sz w:val="24"/>
          <w:szCs w:val="24"/>
        </w:rPr>
        <w:t> = 0.40). </w:t>
      </w:r>
      <w:hyperlink r:id="rId65" w:history="1">
        <w:r w:rsidRPr="005859DB">
          <w:rPr>
            <w:rFonts w:ascii="Times New Roman" w:eastAsia="Times New Roman" w:hAnsi="Times New Roman" w:cs="Times New Roman"/>
            <w:color w:val="1554B2"/>
            <w:sz w:val="24"/>
            <w:szCs w:val="24"/>
            <w:u w:val="single"/>
          </w:rPr>
          <w:t>Supplement Figure 2</w:t>
        </w:r>
      </w:hyperlink>
      <w:r w:rsidRPr="005859DB">
        <w:rPr>
          <w:rFonts w:ascii="Times New Roman" w:eastAsia="Times New Roman" w:hAnsi="Times New Roman" w:cs="Times New Roman"/>
          <w:color w:val="333333"/>
          <w:sz w:val="24"/>
          <w:szCs w:val="24"/>
        </w:rPr>
        <w:t xml:space="preserve"> provides results of the </w:t>
      </w:r>
      <w:proofErr w:type="spellStart"/>
      <w:r w:rsidRPr="005859DB">
        <w:rPr>
          <w:rFonts w:ascii="Times New Roman" w:eastAsia="Times New Roman" w:hAnsi="Times New Roman" w:cs="Times New Roman"/>
          <w:color w:val="333333"/>
          <w:sz w:val="24"/>
          <w:szCs w:val="24"/>
        </w:rPr>
        <w:t>prespecified</w:t>
      </w:r>
      <w:proofErr w:type="spellEnd"/>
      <w:r w:rsidRPr="005859DB">
        <w:rPr>
          <w:rFonts w:ascii="Times New Roman" w:eastAsia="Times New Roman" w:hAnsi="Times New Roman" w:cs="Times New Roman"/>
          <w:color w:val="333333"/>
          <w:sz w:val="24"/>
          <w:szCs w:val="24"/>
        </w:rPr>
        <w:t xml:space="preserve"> subgroup analyses of the primary composite end point. No statistically significant interactions were identified.</w:t>
      </w:r>
    </w:p>
    <w:p w:rsidR="005859DB" w:rsidRPr="005859DB" w:rsidRDefault="005859DB" w:rsidP="005859DB">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5859DB">
        <w:rPr>
          <w:rFonts w:ascii="Times New Roman" w:eastAsia="Times New Roman" w:hAnsi="Times New Roman" w:cs="Times New Roman"/>
          <w:color w:val="333333"/>
          <w:sz w:val="24"/>
          <w:szCs w:val="24"/>
        </w:rPr>
        <w:t>In the preplanned sensitivity analysis, those who had a positive result on an antibody test at 1 month but had not provided antibody results at baseline were considered to have had positive results at baseline (</w:t>
      </w:r>
      <w:r w:rsidRPr="005859DB">
        <w:rPr>
          <w:rFonts w:ascii="Times New Roman" w:eastAsia="Times New Roman" w:hAnsi="Times New Roman" w:cs="Times New Roman"/>
          <w:i/>
          <w:iCs/>
          <w:color w:val="333333"/>
          <w:sz w:val="24"/>
          <w:szCs w:val="24"/>
        </w:rPr>
        <w:t>n</w:t>
      </w:r>
      <w:r w:rsidRPr="005859DB">
        <w:rPr>
          <w:rFonts w:ascii="Times New Roman" w:eastAsia="Times New Roman" w:hAnsi="Times New Roman" w:cs="Times New Roman"/>
          <w:color w:val="333333"/>
          <w:sz w:val="24"/>
          <w:szCs w:val="24"/>
        </w:rPr>
        <w:t xml:space="preserve"> = 18)—that is, they were excluded from the analysis. In this analysis, the primary outcome occurred in 33 participants (1.4%) in the face mask group and 44 (1.8%) in the </w:t>
      </w:r>
      <w:r w:rsidRPr="005859DB">
        <w:rPr>
          <w:rFonts w:ascii="Times New Roman" w:eastAsia="Times New Roman" w:hAnsi="Times New Roman" w:cs="Times New Roman"/>
          <w:color w:val="333333"/>
          <w:sz w:val="24"/>
          <w:szCs w:val="24"/>
        </w:rPr>
        <w:lastRenderedPageBreak/>
        <w:t>control group (between-group difference, −0.4 percentage point [CI, −1.1 to 0.4 percentage point]; </w:t>
      </w:r>
      <w:r w:rsidRPr="005859DB">
        <w:rPr>
          <w:rFonts w:ascii="Times New Roman" w:eastAsia="Times New Roman" w:hAnsi="Times New Roman" w:cs="Times New Roman"/>
          <w:i/>
          <w:iCs/>
          <w:color w:val="333333"/>
          <w:sz w:val="24"/>
          <w:szCs w:val="24"/>
        </w:rPr>
        <w:t>P</w:t>
      </w:r>
      <w:r w:rsidRPr="005859DB">
        <w:rPr>
          <w:rFonts w:ascii="Times New Roman" w:eastAsia="Times New Roman" w:hAnsi="Times New Roman" w:cs="Times New Roman"/>
          <w:color w:val="333333"/>
          <w:sz w:val="24"/>
          <w:szCs w:val="24"/>
        </w:rPr>
        <w:t> = 0.22) (OR, 0.77 [CI, 0.49 to 1.22]; </w:t>
      </w:r>
      <w:r w:rsidRPr="005859DB">
        <w:rPr>
          <w:rFonts w:ascii="Times New Roman" w:eastAsia="Times New Roman" w:hAnsi="Times New Roman" w:cs="Times New Roman"/>
          <w:i/>
          <w:iCs/>
          <w:color w:val="333333"/>
          <w:sz w:val="24"/>
          <w:szCs w:val="24"/>
        </w:rPr>
        <w:t>P</w:t>
      </w:r>
      <w:r w:rsidRPr="005859DB">
        <w:rPr>
          <w:rFonts w:ascii="Times New Roman" w:eastAsia="Times New Roman" w:hAnsi="Times New Roman" w:cs="Times New Roman"/>
          <w:color w:val="333333"/>
          <w:sz w:val="24"/>
          <w:szCs w:val="24"/>
        </w:rPr>
        <w:t> = 0.26).</w:t>
      </w:r>
    </w:p>
    <w:p w:rsidR="005859DB" w:rsidRPr="005859DB" w:rsidRDefault="005859DB" w:rsidP="005859DB">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5859DB">
        <w:rPr>
          <w:rFonts w:ascii="Times New Roman" w:eastAsia="Times New Roman" w:hAnsi="Times New Roman" w:cs="Times New Roman"/>
          <w:color w:val="333333"/>
          <w:sz w:val="24"/>
          <w:szCs w:val="24"/>
        </w:rPr>
        <w:t>Three post hoc (not preplanned) analyses were done. In the first, which included only participants reporting wearing face masks “exactly as instructed,” infection (the primary outcome) occurred in 22 participants (2.0%) in the face mask group and 53 (2.1%) in the control group (between-group difference, −0.2 percentage point [CI, −1.3 to 0.9 percentage point]; </w:t>
      </w:r>
      <w:r w:rsidRPr="005859DB">
        <w:rPr>
          <w:rFonts w:ascii="Times New Roman" w:eastAsia="Times New Roman" w:hAnsi="Times New Roman" w:cs="Times New Roman"/>
          <w:i/>
          <w:iCs/>
          <w:color w:val="333333"/>
          <w:sz w:val="24"/>
          <w:szCs w:val="24"/>
        </w:rPr>
        <w:t>P</w:t>
      </w:r>
      <w:r w:rsidRPr="005859DB">
        <w:rPr>
          <w:rFonts w:ascii="Times New Roman" w:eastAsia="Times New Roman" w:hAnsi="Times New Roman" w:cs="Times New Roman"/>
          <w:color w:val="333333"/>
          <w:sz w:val="24"/>
          <w:szCs w:val="24"/>
        </w:rPr>
        <w:t> = 0.82) (OR, 0.93 [CI, 0.56 to 1.54]; </w:t>
      </w:r>
      <w:r w:rsidRPr="005859DB">
        <w:rPr>
          <w:rFonts w:ascii="Times New Roman" w:eastAsia="Times New Roman" w:hAnsi="Times New Roman" w:cs="Times New Roman"/>
          <w:i/>
          <w:iCs/>
          <w:color w:val="333333"/>
          <w:sz w:val="24"/>
          <w:szCs w:val="24"/>
        </w:rPr>
        <w:t>P</w:t>
      </w:r>
      <w:r w:rsidRPr="005859DB">
        <w:rPr>
          <w:rFonts w:ascii="Times New Roman" w:eastAsia="Times New Roman" w:hAnsi="Times New Roman" w:cs="Times New Roman"/>
          <w:color w:val="333333"/>
          <w:sz w:val="24"/>
          <w:szCs w:val="24"/>
        </w:rPr>
        <w:t> = 0.78). The second post hoc analysis excluded participants who did not provide antibody test results at baseline; infection occurred in 33 participants (1.7%) in the face mask group and 44 (2.1%) in the control group (between-group difference, −0.4 percentage point [CI, −1.4 to 0.4 percentage point]; </w:t>
      </w:r>
      <w:r w:rsidRPr="005859DB">
        <w:rPr>
          <w:rFonts w:ascii="Times New Roman" w:eastAsia="Times New Roman" w:hAnsi="Times New Roman" w:cs="Times New Roman"/>
          <w:i/>
          <w:iCs/>
          <w:color w:val="333333"/>
          <w:sz w:val="24"/>
          <w:szCs w:val="24"/>
        </w:rPr>
        <w:t>P</w:t>
      </w:r>
      <w:r w:rsidRPr="005859DB">
        <w:rPr>
          <w:rFonts w:ascii="Times New Roman" w:eastAsia="Times New Roman" w:hAnsi="Times New Roman" w:cs="Times New Roman"/>
          <w:color w:val="333333"/>
          <w:sz w:val="24"/>
          <w:szCs w:val="24"/>
        </w:rPr>
        <w:t> = 0.33) (OR, 0.80 [CI, 0.51 to 1.27]; </w:t>
      </w:r>
      <w:r w:rsidRPr="005859DB">
        <w:rPr>
          <w:rFonts w:ascii="Times New Roman" w:eastAsia="Times New Roman" w:hAnsi="Times New Roman" w:cs="Times New Roman"/>
          <w:i/>
          <w:iCs/>
          <w:color w:val="333333"/>
          <w:sz w:val="24"/>
          <w:szCs w:val="24"/>
        </w:rPr>
        <w:t>P</w:t>
      </w:r>
      <w:r w:rsidRPr="005859DB">
        <w:rPr>
          <w:rFonts w:ascii="Times New Roman" w:eastAsia="Times New Roman" w:hAnsi="Times New Roman" w:cs="Times New Roman"/>
          <w:color w:val="333333"/>
          <w:sz w:val="24"/>
          <w:szCs w:val="24"/>
        </w:rPr>
        <w:t> = 0.35). In the third post hoc analysis, which investigated constellations of patient characteristics, we did not find a subgroup where face masks were effective at conventional levels of statistical significance (data not shown).</w:t>
      </w:r>
    </w:p>
    <w:p w:rsidR="005859DB" w:rsidRPr="005859DB" w:rsidRDefault="005859DB" w:rsidP="005859DB">
      <w:pPr>
        <w:shd w:val="clear" w:color="auto" w:fill="FAFAFA"/>
        <w:spacing w:beforeAutospacing="1" w:after="100" w:afterAutospacing="1" w:line="570" w:lineRule="atLeast"/>
        <w:rPr>
          <w:rFonts w:ascii="Times New Roman" w:eastAsia="Times New Roman" w:hAnsi="Times New Roman" w:cs="Times New Roman"/>
          <w:color w:val="333333"/>
          <w:sz w:val="24"/>
          <w:szCs w:val="24"/>
        </w:rPr>
      </w:pPr>
      <w:r w:rsidRPr="005859DB">
        <w:rPr>
          <w:rFonts w:ascii="Times New Roman" w:eastAsia="Times New Roman" w:hAnsi="Times New Roman" w:cs="Times New Roman"/>
          <w:color w:val="333333"/>
          <w:sz w:val="24"/>
          <w:szCs w:val="24"/>
        </w:rPr>
        <w:t>A total of 52 participants in the mask group and 39 control participants reported COVID-19 in their household. Of these, 2 participants in the face mask group and 1 in the control group developed SARS-CoV-2 infection, suggesting that the source of most observed infections was outside the home. Reported symptoms did not differ between groups during the study period (</w:t>
      </w:r>
      <w:hyperlink r:id="rId66" w:history="1">
        <w:r w:rsidRPr="005859DB">
          <w:rPr>
            <w:rFonts w:ascii="Times New Roman" w:eastAsia="Times New Roman" w:hAnsi="Times New Roman" w:cs="Times New Roman"/>
            <w:color w:val="1554B2"/>
            <w:sz w:val="24"/>
            <w:szCs w:val="24"/>
            <w:u w:val="single"/>
          </w:rPr>
          <w:t>Supplement Table 3</w:t>
        </w:r>
      </w:hyperlink>
      <w:r w:rsidRPr="005859DB">
        <w:rPr>
          <w:rFonts w:ascii="Times New Roman" w:eastAsia="Times New Roman" w:hAnsi="Times New Roman" w:cs="Times New Roman"/>
          <w:color w:val="333333"/>
          <w:sz w:val="24"/>
          <w:szCs w:val="24"/>
        </w:rPr>
        <w:t>).</w:t>
      </w:r>
    </w:p>
    <w:p w:rsidR="005859DB" w:rsidRPr="005859DB" w:rsidRDefault="005859DB" w:rsidP="005859DB">
      <w:pPr>
        <w:pBdr>
          <w:top w:val="single" w:sz="6" w:space="18" w:color="D9D9D9"/>
        </w:pBdr>
        <w:shd w:val="clear" w:color="auto" w:fill="FAFAFA"/>
        <w:spacing w:before="360" w:after="240" w:line="240" w:lineRule="auto"/>
        <w:outlineLvl w:val="2"/>
        <w:rPr>
          <w:rFonts w:ascii="Arial" w:eastAsia="Times New Roman" w:hAnsi="Arial" w:cs="Arial"/>
          <w:b/>
          <w:bCs/>
          <w:color w:val="000000"/>
          <w:sz w:val="27"/>
          <w:szCs w:val="27"/>
        </w:rPr>
      </w:pPr>
      <w:r w:rsidRPr="005859DB">
        <w:rPr>
          <w:rFonts w:ascii="Arial" w:eastAsia="Times New Roman" w:hAnsi="Arial" w:cs="Arial"/>
          <w:b/>
          <w:bCs/>
          <w:color w:val="000000"/>
          <w:sz w:val="27"/>
          <w:szCs w:val="27"/>
        </w:rPr>
        <w:t>Secondary Outcomes</w:t>
      </w:r>
    </w:p>
    <w:p w:rsidR="005859DB" w:rsidRPr="005859DB" w:rsidRDefault="005859DB" w:rsidP="005859DB">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5859DB">
        <w:rPr>
          <w:rFonts w:ascii="Times New Roman" w:eastAsia="Times New Roman" w:hAnsi="Times New Roman" w:cs="Times New Roman"/>
          <w:color w:val="333333"/>
          <w:sz w:val="24"/>
          <w:szCs w:val="24"/>
        </w:rPr>
        <w:lastRenderedPageBreak/>
        <w:t>In the mask group, 9 participants (0.5%) were positive for 1 or more of the 11 respiratory viruses other than SARS-CoV-2, compared with 11 participants (0.6%) in the control group (between-group difference, −0.1 percentage point [CI, −0.6 to 0.4 percentage point]; </w:t>
      </w:r>
      <w:r w:rsidRPr="005859DB">
        <w:rPr>
          <w:rFonts w:ascii="Times New Roman" w:eastAsia="Times New Roman" w:hAnsi="Times New Roman" w:cs="Times New Roman"/>
          <w:i/>
          <w:iCs/>
          <w:color w:val="333333"/>
          <w:sz w:val="24"/>
          <w:szCs w:val="24"/>
        </w:rPr>
        <w:t>P</w:t>
      </w:r>
      <w:r w:rsidRPr="005859DB">
        <w:rPr>
          <w:rFonts w:ascii="Times New Roman" w:eastAsia="Times New Roman" w:hAnsi="Times New Roman" w:cs="Times New Roman"/>
          <w:color w:val="333333"/>
          <w:sz w:val="24"/>
          <w:szCs w:val="24"/>
        </w:rPr>
        <w:t> = 0.87) (OR, 0.84 [CI, 0.35 to 2.04]; </w:t>
      </w:r>
      <w:r w:rsidRPr="005859DB">
        <w:rPr>
          <w:rFonts w:ascii="Times New Roman" w:eastAsia="Times New Roman" w:hAnsi="Times New Roman" w:cs="Times New Roman"/>
          <w:i/>
          <w:iCs/>
          <w:color w:val="333333"/>
          <w:sz w:val="24"/>
          <w:szCs w:val="24"/>
        </w:rPr>
        <w:t>P</w:t>
      </w:r>
      <w:r w:rsidRPr="005859DB">
        <w:rPr>
          <w:rFonts w:ascii="Times New Roman" w:eastAsia="Times New Roman" w:hAnsi="Times New Roman" w:cs="Times New Roman"/>
          <w:color w:val="333333"/>
          <w:sz w:val="24"/>
          <w:szCs w:val="24"/>
        </w:rPr>
        <w:t> = 0.71). Positivity for any virus, including SARS-CoV-2, occurred in 9 mask participants (0.5%) versus 16 control participants (0.8%) (</w:t>
      </w:r>
      <w:proofErr w:type="gramStart"/>
      <w:r w:rsidRPr="005859DB">
        <w:rPr>
          <w:rFonts w:ascii="Times New Roman" w:eastAsia="Times New Roman" w:hAnsi="Times New Roman" w:cs="Times New Roman"/>
          <w:color w:val="333333"/>
          <w:sz w:val="24"/>
          <w:szCs w:val="24"/>
        </w:rPr>
        <w:t>between-group</w:t>
      </w:r>
      <w:proofErr w:type="gramEnd"/>
      <w:r w:rsidRPr="005859DB">
        <w:rPr>
          <w:rFonts w:ascii="Times New Roman" w:eastAsia="Times New Roman" w:hAnsi="Times New Roman" w:cs="Times New Roman"/>
          <w:color w:val="333333"/>
          <w:sz w:val="24"/>
          <w:szCs w:val="24"/>
        </w:rPr>
        <w:t xml:space="preserve"> difference, −0.3 percentage point [CI, −0.9 to 0.2 percentage point]; </w:t>
      </w:r>
      <w:r w:rsidRPr="005859DB">
        <w:rPr>
          <w:rFonts w:ascii="Times New Roman" w:eastAsia="Times New Roman" w:hAnsi="Times New Roman" w:cs="Times New Roman"/>
          <w:i/>
          <w:iCs/>
          <w:color w:val="333333"/>
          <w:sz w:val="24"/>
          <w:szCs w:val="24"/>
        </w:rPr>
        <w:t>P</w:t>
      </w:r>
      <w:r w:rsidRPr="005859DB">
        <w:rPr>
          <w:rFonts w:ascii="Times New Roman" w:eastAsia="Times New Roman" w:hAnsi="Times New Roman" w:cs="Times New Roman"/>
          <w:color w:val="333333"/>
          <w:sz w:val="24"/>
          <w:szCs w:val="24"/>
        </w:rPr>
        <w:t> = 0.26) (OR, 0.58 [CI, 0.25 to 1.31]; </w:t>
      </w:r>
      <w:r w:rsidRPr="005859DB">
        <w:rPr>
          <w:rFonts w:ascii="Times New Roman" w:eastAsia="Times New Roman" w:hAnsi="Times New Roman" w:cs="Times New Roman"/>
          <w:i/>
          <w:iCs/>
          <w:color w:val="333333"/>
          <w:sz w:val="24"/>
          <w:szCs w:val="24"/>
        </w:rPr>
        <w:t>P</w:t>
      </w:r>
      <w:r w:rsidRPr="005859DB">
        <w:rPr>
          <w:rFonts w:ascii="Times New Roman" w:eastAsia="Times New Roman" w:hAnsi="Times New Roman" w:cs="Times New Roman"/>
          <w:color w:val="333333"/>
          <w:sz w:val="24"/>
          <w:szCs w:val="24"/>
        </w:rPr>
        <w:t> = 0.19).</w:t>
      </w:r>
    </w:p>
    <w:p w:rsidR="005859DB" w:rsidRPr="005859DB" w:rsidRDefault="005859DB" w:rsidP="005859DB">
      <w:pPr>
        <w:pBdr>
          <w:top w:val="single" w:sz="6" w:space="0" w:color="D9D9D9"/>
        </w:pBdr>
        <w:shd w:val="clear" w:color="auto" w:fill="FAFAFA"/>
        <w:spacing w:before="100" w:beforeAutospacing="1" w:after="240" w:line="240" w:lineRule="auto"/>
        <w:outlineLvl w:val="1"/>
        <w:rPr>
          <w:rFonts w:ascii="Arial" w:eastAsia="Times New Roman" w:hAnsi="Arial" w:cs="Arial"/>
          <w:b/>
          <w:bCs/>
          <w:color w:val="333333"/>
          <w:sz w:val="36"/>
          <w:szCs w:val="36"/>
        </w:rPr>
      </w:pPr>
      <w:r w:rsidRPr="005859DB">
        <w:rPr>
          <w:rFonts w:ascii="Arial" w:eastAsia="Times New Roman" w:hAnsi="Arial" w:cs="Arial"/>
          <w:b/>
          <w:bCs/>
          <w:color w:val="333333"/>
          <w:sz w:val="36"/>
          <w:szCs w:val="36"/>
        </w:rPr>
        <w:t>Discussion</w:t>
      </w:r>
    </w:p>
    <w:p w:rsidR="005859DB" w:rsidRPr="005859DB" w:rsidRDefault="005859DB" w:rsidP="005859DB">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5859DB">
        <w:rPr>
          <w:rFonts w:ascii="Times New Roman" w:eastAsia="Times New Roman" w:hAnsi="Times New Roman" w:cs="Times New Roman"/>
          <w:color w:val="333333"/>
          <w:sz w:val="24"/>
          <w:szCs w:val="24"/>
        </w:rPr>
        <w:t xml:space="preserve">In this community-based, randomized controlled trial conducted in a setting where mask wearing was uncommon and was not among other recommended public health measures related to COVID-19, a recommendation to wear a surgical mask when outside the home among others did not reduce, at conventional levels of statistical significance, incident SARS-CoV-2 infection compared with no mask recommendation. We designed the study to detect a reduction in infection rate from 2% to 1%. Although no statistically significant difference in SARS-CoV-2 incidence was observed, the 95% CIs are compatible with a possible 46% reduction to 23% increase in infection among mask wearers. These findings do offer evidence about the degree of protection mask wearers can anticipate in a setting where others are not wearing masks and where other public health measures, including social distancing, are in effect. The findings, however, should not be used to conclude that a recommendation for everyone to wear masks in the community would not be effective in reducing SARS-CoV-2 infections, because the trial did not test the role of masks in source control of SARS-CoV-2 infection. During the study period, authorities did not recommend face mask use outside hospital settings and mask use was rare in </w:t>
      </w:r>
      <w:r w:rsidRPr="005859DB">
        <w:rPr>
          <w:rFonts w:ascii="Times New Roman" w:eastAsia="Times New Roman" w:hAnsi="Times New Roman" w:cs="Times New Roman"/>
          <w:color w:val="333333"/>
          <w:sz w:val="24"/>
          <w:szCs w:val="24"/>
        </w:rPr>
        <w:lastRenderedPageBreak/>
        <w:t>community settings (</w:t>
      </w:r>
      <w:hyperlink r:id="rId67" w:anchor="r22-M206817" w:history="1">
        <w:r w:rsidRPr="005859DB">
          <w:rPr>
            <w:rFonts w:ascii="Times New Roman" w:eastAsia="Times New Roman" w:hAnsi="Times New Roman" w:cs="Times New Roman"/>
            <w:color w:val="1554B2"/>
            <w:sz w:val="24"/>
            <w:szCs w:val="24"/>
            <w:u w:val="single"/>
          </w:rPr>
          <w:t>22</w:t>
        </w:r>
      </w:hyperlink>
      <w:r w:rsidRPr="005859DB">
        <w:rPr>
          <w:rFonts w:ascii="Times New Roman" w:eastAsia="Times New Roman" w:hAnsi="Times New Roman" w:cs="Times New Roman"/>
          <w:color w:val="333333"/>
          <w:sz w:val="24"/>
          <w:szCs w:val="24"/>
        </w:rPr>
        <w:t>). This means that study participants' exposure was overwhelmingly to persons not wearing masks.</w:t>
      </w:r>
    </w:p>
    <w:p w:rsidR="005859DB" w:rsidRPr="005859DB" w:rsidRDefault="005859DB" w:rsidP="005859DB">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5859DB">
        <w:rPr>
          <w:rFonts w:ascii="Times New Roman" w:eastAsia="Times New Roman" w:hAnsi="Times New Roman" w:cs="Times New Roman"/>
          <w:color w:val="333333"/>
          <w:sz w:val="24"/>
          <w:szCs w:val="24"/>
        </w:rPr>
        <w:t>The observed infection rate was similar to that reported in other large Danish studies during the study period (</w:t>
      </w:r>
      <w:hyperlink r:id="rId68" w:anchor="r26-M206817" w:history="1">
        <w:r w:rsidRPr="005859DB">
          <w:rPr>
            <w:rFonts w:ascii="Times New Roman" w:eastAsia="Times New Roman" w:hAnsi="Times New Roman" w:cs="Times New Roman"/>
            <w:color w:val="1554B2"/>
            <w:sz w:val="24"/>
            <w:szCs w:val="24"/>
            <w:u w:val="single"/>
          </w:rPr>
          <w:t>26</w:t>
        </w:r>
      </w:hyperlink>
      <w:r w:rsidRPr="005859DB">
        <w:rPr>
          <w:rFonts w:ascii="Times New Roman" w:eastAsia="Times New Roman" w:hAnsi="Times New Roman" w:cs="Times New Roman"/>
          <w:color w:val="333333"/>
          <w:sz w:val="24"/>
          <w:szCs w:val="24"/>
        </w:rPr>
        <w:t>, </w:t>
      </w:r>
      <w:hyperlink r:id="rId69" w:anchor="r30-M206817" w:history="1">
        <w:r w:rsidRPr="005859DB">
          <w:rPr>
            <w:rFonts w:ascii="Times New Roman" w:eastAsia="Times New Roman" w:hAnsi="Times New Roman" w:cs="Times New Roman"/>
            <w:color w:val="1554B2"/>
            <w:sz w:val="24"/>
            <w:szCs w:val="24"/>
            <w:u w:val="single"/>
          </w:rPr>
          <w:t>30</w:t>
        </w:r>
      </w:hyperlink>
      <w:r w:rsidRPr="005859DB">
        <w:rPr>
          <w:rFonts w:ascii="Times New Roman" w:eastAsia="Times New Roman" w:hAnsi="Times New Roman" w:cs="Times New Roman"/>
          <w:color w:val="333333"/>
          <w:sz w:val="24"/>
          <w:szCs w:val="24"/>
        </w:rPr>
        <w:t>). Of note, the observed incidence of SARS-CoV-2 infection was higher than we had estimated when planning a sample size that would ensure more than 80% power to detect a 50% decrease in infection. The intervention lasted only 1 month and was carried out during a period when Danish authorities recommended quarantine of diagnosed patients, physical distancing, and hand hygiene as general protective means against SARS-CoV-2 transmission (</w:t>
      </w:r>
      <w:hyperlink r:id="rId70" w:anchor="r23-M206817" w:history="1">
        <w:r w:rsidRPr="005859DB">
          <w:rPr>
            <w:rFonts w:ascii="Times New Roman" w:eastAsia="Times New Roman" w:hAnsi="Times New Roman" w:cs="Times New Roman"/>
            <w:color w:val="1554B2"/>
            <w:sz w:val="24"/>
            <w:szCs w:val="24"/>
            <w:u w:val="single"/>
          </w:rPr>
          <w:t>23</w:t>
        </w:r>
      </w:hyperlink>
      <w:r w:rsidRPr="005859DB">
        <w:rPr>
          <w:rFonts w:ascii="Times New Roman" w:eastAsia="Times New Roman" w:hAnsi="Times New Roman" w:cs="Times New Roman"/>
          <w:color w:val="333333"/>
          <w:sz w:val="24"/>
          <w:szCs w:val="24"/>
        </w:rPr>
        <w:t>). Cafés and restaurants were closed through 18 May, but follow-up of the second randomized group continued through 2 June.</w:t>
      </w:r>
    </w:p>
    <w:p w:rsidR="005859DB" w:rsidRPr="005859DB" w:rsidRDefault="005859DB" w:rsidP="005859DB">
      <w:pPr>
        <w:shd w:val="clear" w:color="auto" w:fill="FAFAFA"/>
        <w:spacing w:beforeAutospacing="1" w:after="100" w:afterAutospacing="1" w:line="570" w:lineRule="atLeast"/>
        <w:rPr>
          <w:rFonts w:ascii="Times New Roman" w:eastAsia="Times New Roman" w:hAnsi="Times New Roman" w:cs="Times New Roman"/>
          <w:color w:val="333333"/>
          <w:sz w:val="24"/>
          <w:szCs w:val="24"/>
        </w:rPr>
      </w:pPr>
      <w:r w:rsidRPr="005859DB">
        <w:rPr>
          <w:rFonts w:ascii="Times New Roman" w:eastAsia="Times New Roman" w:hAnsi="Times New Roman" w:cs="Times New Roman"/>
          <w:color w:val="333333"/>
          <w:sz w:val="24"/>
          <w:szCs w:val="24"/>
        </w:rPr>
        <w:t>The first randomized group was followed while the Danish society was under lockdown. Reopening occurred (18 May 2020) during follow-up of the second group of participants, but it was not reflected in the outcome because infection rates were similar between groups (</w:t>
      </w:r>
      <w:hyperlink r:id="rId71" w:history="1">
        <w:r w:rsidRPr="005859DB">
          <w:rPr>
            <w:rFonts w:ascii="Times New Roman" w:eastAsia="Times New Roman" w:hAnsi="Times New Roman" w:cs="Times New Roman"/>
            <w:color w:val="1554B2"/>
            <w:sz w:val="24"/>
            <w:szCs w:val="24"/>
            <w:u w:val="single"/>
          </w:rPr>
          <w:t>Supplement Figure 2</w:t>
        </w:r>
      </w:hyperlink>
      <w:r w:rsidRPr="005859DB">
        <w:rPr>
          <w:rFonts w:ascii="Times New Roman" w:eastAsia="Times New Roman" w:hAnsi="Times New Roman" w:cs="Times New Roman"/>
          <w:color w:val="333333"/>
          <w:sz w:val="24"/>
          <w:szCs w:val="24"/>
        </w:rPr>
        <w:t>). The relative infection rate between mask wearers and those not wearing masks would most likely be affected by changes in applied protective means or in the virulence of SARS-CoV-2, whereas the rate difference between the 2 groups would probably not be affected solely by a higher—or lower—number of infected citizens.</w:t>
      </w:r>
    </w:p>
    <w:p w:rsidR="005859DB" w:rsidRPr="005859DB" w:rsidRDefault="005859DB" w:rsidP="005859DB">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5859DB">
        <w:rPr>
          <w:rFonts w:ascii="Times New Roman" w:eastAsia="Times New Roman" w:hAnsi="Times New Roman" w:cs="Times New Roman"/>
          <w:color w:val="333333"/>
          <w:sz w:val="24"/>
          <w:szCs w:val="24"/>
        </w:rPr>
        <w:t>Although we saw no statistically significant difference in presence of other respiratory viruses, the study was not sufficiently powered to draw definite conclusions about the protective effect of masks for other viral infections. Likewise, the study had limited power for any of the subgroup analyses.</w:t>
      </w:r>
    </w:p>
    <w:p w:rsidR="005859DB" w:rsidRPr="005859DB" w:rsidRDefault="005859DB" w:rsidP="005859DB">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5859DB">
        <w:rPr>
          <w:rFonts w:ascii="Times New Roman" w:eastAsia="Times New Roman" w:hAnsi="Times New Roman" w:cs="Times New Roman"/>
          <w:color w:val="333333"/>
          <w:sz w:val="24"/>
          <w:szCs w:val="24"/>
        </w:rPr>
        <w:lastRenderedPageBreak/>
        <w:t>The primary outcome was mainly defined by antibodies against SARS-CoV-2. This definition was chosen because the viral load of infected patients may be only transiently detectable (</w:t>
      </w:r>
      <w:hyperlink r:id="rId72" w:anchor="r31-M206817" w:history="1">
        <w:r w:rsidRPr="005859DB">
          <w:rPr>
            <w:rFonts w:ascii="Times New Roman" w:eastAsia="Times New Roman" w:hAnsi="Times New Roman" w:cs="Times New Roman"/>
            <w:color w:val="1554B2"/>
            <w:sz w:val="24"/>
            <w:szCs w:val="24"/>
            <w:u w:val="single"/>
          </w:rPr>
          <w:t>31</w:t>
        </w:r>
      </w:hyperlink>
      <w:r w:rsidRPr="005859DB">
        <w:rPr>
          <w:rFonts w:ascii="Times New Roman" w:eastAsia="Times New Roman" w:hAnsi="Times New Roman" w:cs="Times New Roman"/>
          <w:color w:val="333333"/>
          <w:sz w:val="24"/>
          <w:szCs w:val="24"/>
        </w:rPr>
        <w:t>, </w:t>
      </w:r>
      <w:hyperlink r:id="rId73" w:anchor="r32-M206817" w:history="1">
        <w:r w:rsidRPr="005859DB">
          <w:rPr>
            <w:rFonts w:ascii="Times New Roman" w:eastAsia="Times New Roman" w:hAnsi="Times New Roman" w:cs="Times New Roman"/>
            <w:color w:val="1554B2"/>
            <w:sz w:val="24"/>
            <w:szCs w:val="24"/>
            <w:u w:val="single"/>
          </w:rPr>
          <w:t>32</w:t>
        </w:r>
      </w:hyperlink>
      <w:r w:rsidRPr="005859DB">
        <w:rPr>
          <w:rFonts w:ascii="Times New Roman" w:eastAsia="Times New Roman" w:hAnsi="Times New Roman" w:cs="Times New Roman"/>
          <w:color w:val="333333"/>
          <w:sz w:val="24"/>
          <w:szCs w:val="24"/>
        </w:rPr>
        <w:t>) and because approximately half of persons infected with SARS-CoV-2 are asymptomatic (</w:t>
      </w:r>
      <w:hyperlink r:id="rId74" w:anchor="r33-M206817" w:history="1">
        <w:r w:rsidRPr="005859DB">
          <w:rPr>
            <w:rFonts w:ascii="Times New Roman" w:eastAsia="Times New Roman" w:hAnsi="Times New Roman" w:cs="Times New Roman"/>
            <w:color w:val="1554B2"/>
            <w:sz w:val="24"/>
            <w:szCs w:val="24"/>
            <w:u w:val="single"/>
          </w:rPr>
          <w:t>33</w:t>
        </w:r>
      </w:hyperlink>
      <w:r w:rsidRPr="005859DB">
        <w:rPr>
          <w:rFonts w:ascii="Times New Roman" w:eastAsia="Times New Roman" w:hAnsi="Times New Roman" w:cs="Times New Roman"/>
          <w:color w:val="333333"/>
          <w:sz w:val="24"/>
          <w:szCs w:val="24"/>
        </w:rPr>
        <w:t>, </w:t>
      </w:r>
      <w:hyperlink r:id="rId75" w:anchor="r26-M206817" w:history="1">
        <w:r w:rsidRPr="005859DB">
          <w:rPr>
            <w:rFonts w:ascii="Times New Roman" w:eastAsia="Times New Roman" w:hAnsi="Times New Roman" w:cs="Times New Roman"/>
            <w:color w:val="1554B2"/>
            <w:sz w:val="24"/>
            <w:szCs w:val="24"/>
            <w:u w:val="single"/>
          </w:rPr>
          <w:t>26</w:t>
        </w:r>
      </w:hyperlink>
      <w:r w:rsidRPr="005859DB">
        <w:rPr>
          <w:rFonts w:ascii="Times New Roman" w:eastAsia="Times New Roman" w:hAnsi="Times New Roman" w:cs="Times New Roman"/>
          <w:color w:val="333333"/>
          <w:sz w:val="24"/>
          <w:szCs w:val="24"/>
        </w:rPr>
        <w:t>). Masks have been hypothesized to reduce inoculum size (</w:t>
      </w:r>
      <w:hyperlink r:id="rId76" w:anchor="r34-M206817" w:history="1">
        <w:r w:rsidRPr="005859DB">
          <w:rPr>
            <w:rFonts w:ascii="Times New Roman" w:eastAsia="Times New Roman" w:hAnsi="Times New Roman" w:cs="Times New Roman"/>
            <w:color w:val="1554B2"/>
            <w:sz w:val="24"/>
            <w:szCs w:val="24"/>
            <w:u w:val="single"/>
          </w:rPr>
          <w:t>34</w:t>
        </w:r>
      </w:hyperlink>
      <w:r w:rsidRPr="005859DB">
        <w:rPr>
          <w:rFonts w:ascii="Times New Roman" w:eastAsia="Times New Roman" w:hAnsi="Times New Roman" w:cs="Times New Roman"/>
          <w:color w:val="333333"/>
          <w:sz w:val="24"/>
          <w:szCs w:val="24"/>
        </w:rPr>
        <w:t>) and could increase the likelihood that infected mask users are asymptomatic, but this hypothesis has been challenged (</w:t>
      </w:r>
      <w:hyperlink r:id="rId77" w:anchor="r35-M206817" w:history="1">
        <w:r w:rsidRPr="005859DB">
          <w:rPr>
            <w:rFonts w:ascii="Times New Roman" w:eastAsia="Times New Roman" w:hAnsi="Times New Roman" w:cs="Times New Roman"/>
            <w:color w:val="1554B2"/>
            <w:sz w:val="24"/>
            <w:szCs w:val="24"/>
            <w:u w:val="single"/>
          </w:rPr>
          <w:t>35</w:t>
        </w:r>
      </w:hyperlink>
      <w:r w:rsidRPr="005859DB">
        <w:rPr>
          <w:rFonts w:ascii="Times New Roman" w:eastAsia="Times New Roman" w:hAnsi="Times New Roman" w:cs="Times New Roman"/>
          <w:color w:val="333333"/>
          <w:sz w:val="24"/>
          <w:szCs w:val="24"/>
        </w:rPr>
        <w:t>). For these reasons, we did not rely solely on identification of SARS-CoV-2 in oropharyngeal/nasal swab samples. As mentioned in the Methods section, an internal validation study estimated that the point-of-care test has 82.5% sensitivity and 99.5% specificity (</w:t>
      </w:r>
      <w:hyperlink r:id="rId78" w:anchor="r26-M206817" w:history="1">
        <w:r w:rsidRPr="005859DB">
          <w:rPr>
            <w:rFonts w:ascii="Times New Roman" w:eastAsia="Times New Roman" w:hAnsi="Times New Roman" w:cs="Times New Roman"/>
            <w:color w:val="1554B2"/>
            <w:sz w:val="24"/>
            <w:szCs w:val="24"/>
            <w:u w:val="single"/>
          </w:rPr>
          <w:t>26</w:t>
        </w:r>
      </w:hyperlink>
      <w:r w:rsidRPr="005859DB">
        <w:rPr>
          <w:rFonts w:ascii="Times New Roman" w:eastAsia="Times New Roman" w:hAnsi="Times New Roman" w:cs="Times New Roman"/>
          <w:color w:val="333333"/>
          <w:sz w:val="24"/>
          <w:szCs w:val="24"/>
        </w:rPr>
        <w:t>).</w:t>
      </w:r>
    </w:p>
    <w:p w:rsidR="005859DB" w:rsidRPr="005859DB" w:rsidRDefault="005859DB" w:rsidP="005859DB">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5859DB">
        <w:rPr>
          <w:rFonts w:ascii="Times New Roman" w:eastAsia="Times New Roman" w:hAnsi="Times New Roman" w:cs="Times New Roman"/>
          <w:color w:val="333333"/>
          <w:sz w:val="24"/>
          <w:szCs w:val="24"/>
        </w:rPr>
        <w:t xml:space="preserve">The observed rate of incident SARS-CoV-2 infection was similar to what was estimated during trial design. These rates were based on thorough screening of all participants using antibody measurements combined with PCR, whereas the observed official infection rates relied solely on PCR test–based estimates during the period. In addition, authorities tested only a small subset of primarily symptomatic citizens of the entire population, yielding low incidence rates. On this basis, the infection rates we report here are not comparable with the official SARS-CoV-2 infection rates in the Danish population. The eligibility requirement of at least 3 hours of exposure to other persons outside the home would add to this difference. Between 6 April and 9 May 2020, we found a similar </w:t>
      </w:r>
      <w:proofErr w:type="spellStart"/>
      <w:r w:rsidRPr="005859DB">
        <w:rPr>
          <w:rFonts w:ascii="Times New Roman" w:eastAsia="Times New Roman" w:hAnsi="Times New Roman" w:cs="Times New Roman"/>
          <w:color w:val="333333"/>
          <w:sz w:val="24"/>
          <w:szCs w:val="24"/>
        </w:rPr>
        <w:t>seroprevalence</w:t>
      </w:r>
      <w:proofErr w:type="spellEnd"/>
      <w:r w:rsidRPr="005859DB">
        <w:rPr>
          <w:rFonts w:ascii="Times New Roman" w:eastAsia="Times New Roman" w:hAnsi="Times New Roman" w:cs="Times New Roman"/>
          <w:color w:val="333333"/>
          <w:sz w:val="24"/>
          <w:szCs w:val="24"/>
        </w:rPr>
        <w:t xml:space="preserve"> of SARS-CoV-2 of 1.9% (CI, 0.8% to 2.3%) in Danish blood donors using the </w:t>
      </w:r>
      <w:proofErr w:type="spellStart"/>
      <w:r w:rsidRPr="005859DB">
        <w:rPr>
          <w:rFonts w:ascii="Times New Roman" w:eastAsia="Times New Roman" w:hAnsi="Times New Roman" w:cs="Times New Roman"/>
          <w:color w:val="333333"/>
          <w:sz w:val="24"/>
          <w:szCs w:val="24"/>
        </w:rPr>
        <w:t>Livzon</w:t>
      </w:r>
      <w:proofErr w:type="spellEnd"/>
      <w:r w:rsidRPr="005859DB">
        <w:rPr>
          <w:rFonts w:ascii="Times New Roman" w:eastAsia="Times New Roman" w:hAnsi="Times New Roman" w:cs="Times New Roman"/>
          <w:color w:val="333333"/>
          <w:sz w:val="24"/>
          <w:szCs w:val="24"/>
        </w:rPr>
        <w:t xml:space="preserve"> point-of-care test and assessed by laboratory technicians (</w:t>
      </w:r>
      <w:hyperlink r:id="rId79" w:anchor="r36-M206817" w:history="1">
        <w:r w:rsidRPr="005859DB">
          <w:rPr>
            <w:rFonts w:ascii="Times New Roman" w:eastAsia="Times New Roman" w:hAnsi="Times New Roman" w:cs="Times New Roman"/>
            <w:color w:val="1554B2"/>
            <w:sz w:val="24"/>
            <w:szCs w:val="24"/>
            <w:u w:val="single"/>
          </w:rPr>
          <w:t>36</w:t>
        </w:r>
      </w:hyperlink>
      <w:r w:rsidRPr="005859DB">
        <w:rPr>
          <w:rFonts w:ascii="Times New Roman" w:eastAsia="Times New Roman" w:hAnsi="Times New Roman" w:cs="Times New Roman"/>
          <w:color w:val="333333"/>
          <w:sz w:val="24"/>
          <w:szCs w:val="24"/>
        </w:rPr>
        <w:t>). Testing at the end of follow-up, however, may not have captured any infections contracted during the last part of the study period, but this would have been true in both the mask and control groups and was not expected to influence the overall findings.</w:t>
      </w:r>
    </w:p>
    <w:p w:rsidR="005859DB" w:rsidRPr="005859DB" w:rsidRDefault="005859DB" w:rsidP="005859DB">
      <w:pPr>
        <w:shd w:val="clear" w:color="auto" w:fill="FAFAFA"/>
        <w:spacing w:beforeAutospacing="1" w:after="100" w:afterAutospacing="1" w:line="570" w:lineRule="atLeast"/>
        <w:rPr>
          <w:rFonts w:ascii="Times New Roman" w:eastAsia="Times New Roman" w:hAnsi="Times New Roman" w:cs="Times New Roman"/>
          <w:color w:val="333333"/>
          <w:sz w:val="24"/>
          <w:szCs w:val="24"/>
        </w:rPr>
      </w:pPr>
      <w:r w:rsidRPr="005859DB">
        <w:rPr>
          <w:rFonts w:ascii="Times New Roman" w:eastAsia="Times New Roman" w:hAnsi="Times New Roman" w:cs="Times New Roman"/>
          <w:color w:val="333333"/>
          <w:sz w:val="24"/>
          <w:szCs w:val="24"/>
        </w:rPr>
        <w:lastRenderedPageBreak/>
        <w:t>The face masks provided to participants were high-quality surgical masks with a filtration rate of 98% (</w:t>
      </w:r>
      <w:hyperlink r:id="rId80" w:anchor="r37-M206817" w:history="1">
        <w:r w:rsidRPr="005859DB">
          <w:rPr>
            <w:rFonts w:ascii="Times New Roman" w:eastAsia="Times New Roman" w:hAnsi="Times New Roman" w:cs="Times New Roman"/>
            <w:color w:val="1554B2"/>
            <w:sz w:val="24"/>
            <w:szCs w:val="24"/>
            <w:u w:val="single"/>
          </w:rPr>
          <w:t>37</w:t>
        </w:r>
      </w:hyperlink>
      <w:r w:rsidRPr="005859DB">
        <w:rPr>
          <w:rFonts w:ascii="Times New Roman" w:eastAsia="Times New Roman" w:hAnsi="Times New Roman" w:cs="Times New Roman"/>
          <w:color w:val="333333"/>
          <w:sz w:val="24"/>
          <w:szCs w:val="24"/>
        </w:rPr>
        <w:t>). A published meta-analysis found no statistically significant difference in preventing influenza in health care workers between respirators (N95 [American standard] or FFP2 [European standard]) and surgical face masks (</w:t>
      </w:r>
      <w:hyperlink r:id="rId81" w:anchor="r38-M206817" w:history="1">
        <w:r w:rsidRPr="005859DB">
          <w:rPr>
            <w:rFonts w:ascii="Times New Roman" w:eastAsia="Times New Roman" w:hAnsi="Times New Roman" w:cs="Times New Roman"/>
            <w:color w:val="1554B2"/>
            <w:sz w:val="24"/>
            <w:szCs w:val="24"/>
            <w:u w:val="single"/>
          </w:rPr>
          <w:t>38</w:t>
        </w:r>
      </w:hyperlink>
      <w:r w:rsidRPr="005859DB">
        <w:rPr>
          <w:rFonts w:ascii="Times New Roman" w:eastAsia="Times New Roman" w:hAnsi="Times New Roman" w:cs="Times New Roman"/>
          <w:color w:val="333333"/>
          <w:sz w:val="24"/>
          <w:szCs w:val="24"/>
        </w:rPr>
        <w:t>). Adherence to mask use may be higher than observed in this study in settings where mask use is common. Some mask group participants (14%) reported adverse reactions from other citizens (</w:t>
      </w:r>
      <w:hyperlink r:id="rId82" w:history="1">
        <w:r w:rsidRPr="005859DB">
          <w:rPr>
            <w:rFonts w:ascii="Times New Roman" w:eastAsia="Times New Roman" w:hAnsi="Times New Roman" w:cs="Times New Roman"/>
            <w:color w:val="1554B2"/>
            <w:sz w:val="24"/>
            <w:szCs w:val="24"/>
            <w:u w:val="single"/>
          </w:rPr>
          <w:t>Supplement Table 4</w:t>
        </w:r>
      </w:hyperlink>
      <w:r w:rsidRPr="005859DB">
        <w:rPr>
          <w:rFonts w:ascii="Times New Roman" w:eastAsia="Times New Roman" w:hAnsi="Times New Roman" w:cs="Times New Roman"/>
          <w:color w:val="333333"/>
          <w:sz w:val="24"/>
          <w:szCs w:val="24"/>
        </w:rPr>
        <w:t>). Although adherence may influence the protective effect of masks, sensitivity analyses had similar results across reported adherence.</w:t>
      </w:r>
    </w:p>
    <w:p w:rsidR="005859DB" w:rsidRPr="005859DB" w:rsidRDefault="005859DB" w:rsidP="005859DB">
      <w:pPr>
        <w:shd w:val="clear" w:color="auto" w:fill="FAFAFA"/>
        <w:spacing w:beforeAutospacing="1" w:after="100" w:afterAutospacing="1" w:line="570" w:lineRule="atLeast"/>
        <w:rPr>
          <w:rFonts w:ascii="Times New Roman" w:eastAsia="Times New Roman" w:hAnsi="Times New Roman" w:cs="Times New Roman"/>
          <w:color w:val="333333"/>
          <w:sz w:val="24"/>
          <w:szCs w:val="24"/>
        </w:rPr>
      </w:pPr>
      <w:r w:rsidRPr="005859DB">
        <w:rPr>
          <w:rFonts w:ascii="Times New Roman" w:eastAsia="Times New Roman" w:hAnsi="Times New Roman" w:cs="Times New Roman"/>
          <w:color w:val="333333"/>
          <w:sz w:val="24"/>
          <w:szCs w:val="24"/>
        </w:rPr>
        <w:t xml:space="preserve">How SARS-CoV-2 is transmitted—via respiratory droplets, aerosols, or (to a lesser extent) fomites—is not firmly established. Droplets are larger and rapidly fall to the ground, whereas aerosols are smaller (≤5 </w:t>
      </w:r>
      <w:proofErr w:type="spellStart"/>
      <w:r w:rsidRPr="005859DB">
        <w:rPr>
          <w:rFonts w:ascii="Times New Roman" w:eastAsia="Times New Roman" w:hAnsi="Times New Roman" w:cs="Times New Roman"/>
          <w:color w:val="333333"/>
          <w:sz w:val="24"/>
          <w:szCs w:val="24"/>
        </w:rPr>
        <w:t>μm</w:t>
      </w:r>
      <w:proofErr w:type="spellEnd"/>
      <w:r w:rsidRPr="005859DB">
        <w:rPr>
          <w:rFonts w:ascii="Times New Roman" w:eastAsia="Times New Roman" w:hAnsi="Times New Roman" w:cs="Times New Roman"/>
          <w:color w:val="333333"/>
          <w:sz w:val="24"/>
          <w:szCs w:val="24"/>
        </w:rPr>
        <w:t>) and may evaporate and remain in the air for hours (</w:t>
      </w:r>
      <w:hyperlink r:id="rId83" w:anchor="r39-M206817" w:history="1">
        <w:r w:rsidRPr="005859DB">
          <w:rPr>
            <w:rFonts w:ascii="Times New Roman" w:eastAsia="Times New Roman" w:hAnsi="Times New Roman" w:cs="Times New Roman"/>
            <w:color w:val="1554B2"/>
            <w:sz w:val="24"/>
            <w:szCs w:val="24"/>
            <w:u w:val="single"/>
          </w:rPr>
          <w:t>39</w:t>
        </w:r>
      </w:hyperlink>
      <w:r w:rsidRPr="005859DB">
        <w:rPr>
          <w:rFonts w:ascii="Times New Roman" w:eastAsia="Times New Roman" w:hAnsi="Times New Roman" w:cs="Times New Roman"/>
          <w:color w:val="333333"/>
          <w:sz w:val="24"/>
          <w:szCs w:val="24"/>
        </w:rPr>
        <w:t>). Transmission of SARS-CoV-2 may take place through multiple routes. It has been argued that for the primary route of SARS-CoV-2 spread—that is, via droplets—face masks would be considered effective, whereas masks would not be effective against spread via aerosols, which might penetrate or circumnavigate a face mask (</w:t>
      </w:r>
      <w:hyperlink r:id="rId84" w:anchor="r37-M206817" w:history="1">
        <w:r w:rsidRPr="005859DB">
          <w:rPr>
            <w:rFonts w:ascii="Times New Roman" w:eastAsia="Times New Roman" w:hAnsi="Times New Roman" w:cs="Times New Roman"/>
            <w:color w:val="1554B2"/>
            <w:sz w:val="24"/>
            <w:szCs w:val="24"/>
            <w:u w:val="single"/>
          </w:rPr>
          <w:t>37</w:t>
        </w:r>
      </w:hyperlink>
      <w:r w:rsidRPr="005859DB">
        <w:rPr>
          <w:rFonts w:ascii="Times New Roman" w:eastAsia="Times New Roman" w:hAnsi="Times New Roman" w:cs="Times New Roman"/>
          <w:color w:val="333333"/>
          <w:sz w:val="24"/>
          <w:szCs w:val="24"/>
        </w:rPr>
        <w:t>, </w:t>
      </w:r>
      <w:hyperlink r:id="rId85" w:anchor="r39-M206817" w:history="1">
        <w:r w:rsidRPr="005859DB">
          <w:rPr>
            <w:rFonts w:ascii="Times New Roman" w:eastAsia="Times New Roman" w:hAnsi="Times New Roman" w:cs="Times New Roman"/>
            <w:color w:val="1554B2"/>
            <w:sz w:val="24"/>
            <w:szCs w:val="24"/>
            <w:u w:val="single"/>
          </w:rPr>
          <w:t>39</w:t>
        </w:r>
      </w:hyperlink>
      <w:r w:rsidRPr="005859DB">
        <w:rPr>
          <w:rFonts w:ascii="Times New Roman" w:eastAsia="Times New Roman" w:hAnsi="Times New Roman" w:cs="Times New Roman"/>
          <w:color w:val="333333"/>
          <w:sz w:val="24"/>
          <w:szCs w:val="24"/>
        </w:rPr>
        <w:t>). Thus, spread of SARS-CoV-2 via aerosols would at least partially explain the present findings. Lack of eye protection may also have been of importance, and use of face shields also covering the eyes (rather than face masks only) has been advocated to halt the conjunctival route of transmission (</w:t>
      </w:r>
      <w:hyperlink r:id="rId86" w:anchor="r40-M206817" w:history="1">
        <w:r w:rsidRPr="005859DB">
          <w:rPr>
            <w:rFonts w:ascii="Times New Roman" w:eastAsia="Times New Roman" w:hAnsi="Times New Roman" w:cs="Times New Roman"/>
            <w:color w:val="1554B2"/>
            <w:sz w:val="24"/>
            <w:szCs w:val="24"/>
            <w:u w:val="single"/>
          </w:rPr>
          <w:t>40</w:t>
        </w:r>
      </w:hyperlink>
      <w:r w:rsidRPr="005859DB">
        <w:rPr>
          <w:rFonts w:ascii="Times New Roman" w:eastAsia="Times New Roman" w:hAnsi="Times New Roman" w:cs="Times New Roman"/>
          <w:color w:val="333333"/>
          <w:sz w:val="24"/>
          <w:szCs w:val="24"/>
        </w:rPr>
        <w:t>, </w:t>
      </w:r>
      <w:hyperlink r:id="rId87" w:anchor="r41-M206817" w:history="1">
        <w:r w:rsidRPr="005859DB">
          <w:rPr>
            <w:rFonts w:ascii="Times New Roman" w:eastAsia="Times New Roman" w:hAnsi="Times New Roman" w:cs="Times New Roman"/>
            <w:color w:val="1554B2"/>
            <w:sz w:val="24"/>
            <w:szCs w:val="24"/>
            <w:u w:val="single"/>
          </w:rPr>
          <w:t>41</w:t>
        </w:r>
      </w:hyperlink>
      <w:r w:rsidRPr="005859DB">
        <w:rPr>
          <w:rFonts w:ascii="Times New Roman" w:eastAsia="Times New Roman" w:hAnsi="Times New Roman" w:cs="Times New Roman"/>
          <w:color w:val="333333"/>
          <w:sz w:val="24"/>
          <w:szCs w:val="24"/>
        </w:rPr>
        <w:t xml:space="preserve">). We observed no statistically significant interaction between wearers and </w:t>
      </w:r>
      <w:proofErr w:type="spellStart"/>
      <w:r w:rsidRPr="005859DB">
        <w:rPr>
          <w:rFonts w:ascii="Times New Roman" w:eastAsia="Times New Roman" w:hAnsi="Times New Roman" w:cs="Times New Roman"/>
          <w:color w:val="333333"/>
          <w:sz w:val="24"/>
          <w:szCs w:val="24"/>
        </w:rPr>
        <w:t>nonwearers</w:t>
      </w:r>
      <w:proofErr w:type="spellEnd"/>
      <w:r w:rsidRPr="005859DB">
        <w:rPr>
          <w:rFonts w:ascii="Times New Roman" w:eastAsia="Times New Roman" w:hAnsi="Times New Roman" w:cs="Times New Roman"/>
          <w:color w:val="333333"/>
          <w:sz w:val="24"/>
          <w:szCs w:val="24"/>
        </w:rPr>
        <w:t xml:space="preserve"> of eyeglasses (</w:t>
      </w:r>
      <w:hyperlink r:id="rId88" w:history="1">
        <w:r w:rsidRPr="005859DB">
          <w:rPr>
            <w:rFonts w:ascii="Times New Roman" w:eastAsia="Times New Roman" w:hAnsi="Times New Roman" w:cs="Times New Roman"/>
            <w:color w:val="1554B2"/>
            <w:sz w:val="24"/>
            <w:szCs w:val="24"/>
            <w:u w:val="single"/>
          </w:rPr>
          <w:t>Supplement Figure 2</w:t>
        </w:r>
      </w:hyperlink>
      <w:r w:rsidRPr="005859DB">
        <w:rPr>
          <w:rFonts w:ascii="Times New Roman" w:eastAsia="Times New Roman" w:hAnsi="Times New Roman" w:cs="Times New Roman"/>
          <w:color w:val="333333"/>
          <w:sz w:val="24"/>
          <w:szCs w:val="24"/>
        </w:rPr>
        <w:t>). Recent reports indicate that transmission of SARS-CoV-2 via fomites is unusual (</w:t>
      </w:r>
      <w:hyperlink r:id="rId89" w:anchor="r42-M206817" w:history="1">
        <w:r w:rsidRPr="005859DB">
          <w:rPr>
            <w:rFonts w:ascii="Times New Roman" w:eastAsia="Times New Roman" w:hAnsi="Times New Roman" w:cs="Times New Roman"/>
            <w:color w:val="1554B2"/>
            <w:sz w:val="24"/>
            <w:szCs w:val="24"/>
            <w:u w:val="single"/>
          </w:rPr>
          <w:t>42</w:t>
        </w:r>
      </w:hyperlink>
      <w:r w:rsidRPr="005859DB">
        <w:rPr>
          <w:rFonts w:ascii="Times New Roman" w:eastAsia="Times New Roman" w:hAnsi="Times New Roman" w:cs="Times New Roman"/>
          <w:color w:val="333333"/>
          <w:sz w:val="24"/>
          <w:szCs w:val="24"/>
        </w:rPr>
        <w:t>), but masks may alter behavior and potentially affect fomite transmission.</w:t>
      </w:r>
    </w:p>
    <w:p w:rsidR="005859DB" w:rsidRPr="005859DB" w:rsidRDefault="005859DB" w:rsidP="005859DB">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5859DB">
        <w:rPr>
          <w:rFonts w:ascii="Times New Roman" w:eastAsia="Times New Roman" w:hAnsi="Times New Roman" w:cs="Times New Roman"/>
          <w:color w:val="333333"/>
          <w:sz w:val="24"/>
          <w:szCs w:val="24"/>
        </w:rPr>
        <w:lastRenderedPageBreak/>
        <w:t>The present findings are compatible with the findings of a review of randomized controlled trials of the efficacy of face masks for prevention (as personal protective equipment) against influenza virus (</w:t>
      </w:r>
      <w:hyperlink r:id="rId90" w:anchor="r18-M206817" w:history="1">
        <w:r w:rsidRPr="005859DB">
          <w:rPr>
            <w:rFonts w:ascii="Times New Roman" w:eastAsia="Times New Roman" w:hAnsi="Times New Roman" w:cs="Times New Roman"/>
            <w:color w:val="1554B2"/>
            <w:sz w:val="24"/>
            <w:szCs w:val="24"/>
            <w:u w:val="single"/>
          </w:rPr>
          <w:t>18</w:t>
        </w:r>
      </w:hyperlink>
      <w:r w:rsidRPr="005859DB">
        <w:rPr>
          <w:rFonts w:ascii="Times New Roman" w:eastAsia="Times New Roman" w:hAnsi="Times New Roman" w:cs="Times New Roman"/>
          <w:color w:val="333333"/>
          <w:sz w:val="24"/>
          <w:szCs w:val="24"/>
        </w:rPr>
        <w:t>). A recent meta-analysis that suggested a protective effect of face masks in the non–health care setting was based on 3 observational studies that included a total of 725 participants and focused on transmission of SARS-CoV-1 rather than SARS-CoV-2 (</w:t>
      </w:r>
      <w:hyperlink r:id="rId91" w:anchor="r12-M206817" w:history="1">
        <w:r w:rsidRPr="005859DB">
          <w:rPr>
            <w:rFonts w:ascii="Times New Roman" w:eastAsia="Times New Roman" w:hAnsi="Times New Roman" w:cs="Times New Roman"/>
            <w:color w:val="1554B2"/>
            <w:sz w:val="24"/>
            <w:szCs w:val="24"/>
            <w:u w:val="single"/>
          </w:rPr>
          <w:t>12</w:t>
        </w:r>
      </w:hyperlink>
      <w:r w:rsidRPr="005859DB">
        <w:rPr>
          <w:rFonts w:ascii="Times New Roman" w:eastAsia="Times New Roman" w:hAnsi="Times New Roman" w:cs="Times New Roman"/>
          <w:color w:val="333333"/>
          <w:sz w:val="24"/>
          <w:szCs w:val="24"/>
        </w:rPr>
        <w:t>). Of 725 participants, 138 (19%) were infected, so the transmission rate seems to be higher than for SARS-CoV-2. Further, these studies focused on prevention of infection in healthy mask wearers from patients with a known, diagnosed infection rather than prevention of transmission from persons in their surroundings in general. In addition, identified comparators (control participants) not wearing masks may also have missed other protective means. Recent observational studies that indicate a protective association between mandated mask use in the community and SARS-CoV-2 transmission are limited by study design and simultaneous introduction of other public health interventions (</w:t>
      </w:r>
      <w:hyperlink r:id="rId92" w:anchor="r14-M206817" w:history="1">
        <w:r w:rsidRPr="005859DB">
          <w:rPr>
            <w:rFonts w:ascii="Times New Roman" w:eastAsia="Times New Roman" w:hAnsi="Times New Roman" w:cs="Times New Roman"/>
            <w:color w:val="1554B2"/>
            <w:sz w:val="24"/>
            <w:szCs w:val="24"/>
            <w:u w:val="single"/>
          </w:rPr>
          <w:t>14</w:t>
        </w:r>
      </w:hyperlink>
      <w:r w:rsidRPr="005859DB">
        <w:rPr>
          <w:rFonts w:ascii="Times New Roman" w:eastAsia="Times New Roman" w:hAnsi="Times New Roman" w:cs="Times New Roman"/>
          <w:color w:val="333333"/>
          <w:sz w:val="24"/>
          <w:szCs w:val="24"/>
        </w:rPr>
        <w:t>, </w:t>
      </w:r>
      <w:hyperlink r:id="rId93" w:anchor="r43-M206817" w:history="1">
        <w:r w:rsidRPr="005859DB">
          <w:rPr>
            <w:rFonts w:ascii="Times New Roman" w:eastAsia="Times New Roman" w:hAnsi="Times New Roman" w:cs="Times New Roman"/>
            <w:color w:val="1554B2"/>
            <w:sz w:val="24"/>
            <w:szCs w:val="24"/>
            <w:u w:val="single"/>
          </w:rPr>
          <w:t>43</w:t>
        </w:r>
      </w:hyperlink>
      <w:r w:rsidRPr="005859DB">
        <w:rPr>
          <w:rFonts w:ascii="Times New Roman" w:eastAsia="Times New Roman" w:hAnsi="Times New Roman" w:cs="Times New Roman"/>
          <w:color w:val="333333"/>
          <w:sz w:val="24"/>
          <w:szCs w:val="24"/>
        </w:rPr>
        <w:t>).</w:t>
      </w:r>
    </w:p>
    <w:p w:rsidR="005859DB" w:rsidRPr="005859DB" w:rsidRDefault="005859DB" w:rsidP="005859DB">
      <w:pPr>
        <w:shd w:val="clear" w:color="auto" w:fill="FAFAFA"/>
        <w:spacing w:beforeAutospacing="1" w:after="100" w:afterAutospacing="1" w:line="570" w:lineRule="atLeast"/>
        <w:rPr>
          <w:rFonts w:ascii="Times New Roman" w:eastAsia="Times New Roman" w:hAnsi="Times New Roman" w:cs="Times New Roman"/>
          <w:color w:val="333333"/>
          <w:sz w:val="24"/>
          <w:szCs w:val="24"/>
        </w:rPr>
      </w:pPr>
      <w:r w:rsidRPr="005859DB">
        <w:rPr>
          <w:rFonts w:ascii="Times New Roman" w:eastAsia="Times New Roman" w:hAnsi="Times New Roman" w:cs="Times New Roman"/>
          <w:color w:val="333333"/>
          <w:sz w:val="24"/>
          <w:szCs w:val="24"/>
        </w:rPr>
        <w:t xml:space="preserve">Several challenges regarding wearing disposable face masks in the community exist. These include practical aspects, such as potential incorrect wearing, reduced adherence, </w:t>
      </w:r>
      <w:proofErr w:type="gramStart"/>
      <w:r w:rsidRPr="005859DB">
        <w:rPr>
          <w:rFonts w:ascii="Times New Roman" w:eastAsia="Times New Roman" w:hAnsi="Times New Roman" w:cs="Times New Roman"/>
          <w:color w:val="333333"/>
          <w:sz w:val="24"/>
          <w:szCs w:val="24"/>
        </w:rPr>
        <w:t>reduced</w:t>
      </w:r>
      <w:proofErr w:type="gramEnd"/>
      <w:r w:rsidRPr="005859DB">
        <w:rPr>
          <w:rFonts w:ascii="Times New Roman" w:eastAsia="Times New Roman" w:hAnsi="Times New Roman" w:cs="Times New Roman"/>
          <w:color w:val="333333"/>
          <w:sz w:val="24"/>
          <w:szCs w:val="24"/>
        </w:rPr>
        <w:t xml:space="preserve"> durability of the mask depending on type of mask and occupation, and weather. Such circumstances may necessitate the use of multiple face masks during the day. In our study, participants used a mean of 1.7 masks per weekday and 1.3 per weekend day (</w:t>
      </w:r>
      <w:hyperlink r:id="rId94" w:history="1">
        <w:r w:rsidRPr="005859DB">
          <w:rPr>
            <w:rFonts w:ascii="Times New Roman" w:eastAsia="Times New Roman" w:hAnsi="Times New Roman" w:cs="Times New Roman"/>
            <w:color w:val="1554B2"/>
            <w:sz w:val="24"/>
            <w:szCs w:val="24"/>
            <w:u w:val="single"/>
          </w:rPr>
          <w:t>Supplement Table 4</w:t>
        </w:r>
      </w:hyperlink>
      <w:r w:rsidRPr="005859DB">
        <w:rPr>
          <w:rFonts w:ascii="Times New Roman" w:eastAsia="Times New Roman" w:hAnsi="Times New Roman" w:cs="Times New Roman"/>
          <w:color w:val="333333"/>
          <w:sz w:val="24"/>
          <w:szCs w:val="24"/>
        </w:rPr>
        <w:t>). Wearing a face mask may be physically unpleasant, and psychological barriers and other side effects have been described (</w:t>
      </w:r>
      <w:hyperlink r:id="rId95" w:anchor="r44-M206817" w:history="1">
        <w:r w:rsidRPr="005859DB">
          <w:rPr>
            <w:rFonts w:ascii="Times New Roman" w:eastAsia="Times New Roman" w:hAnsi="Times New Roman" w:cs="Times New Roman"/>
            <w:color w:val="1554B2"/>
            <w:sz w:val="24"/>
            <w:szCs w:val="24"/>
            <w:u w:val="single"/>
          </w:rPr>
          <w:t>44</w:t>
        </w:r>
      </w:hyperlink>
      <w:r w:rsidRPr="005859DB">
        <w:rPr>
          <w:rFonts w:ascii="Times New Roman" w:eastAsia="Times New Roman" w:hAnsi="Times New Roman" w:cs="Times New Roman"/>
          <w:color w:val="333333"/>
          <w:sz w:val="24"/>
          <w:szCs w:val="24"/>
        </w:rPr>
        <w:t>). “Face mask policing” between citizens might reinforce use of masks but may be challenging. In addition, the wearer of a face mask may change to a less cautious behavior because of a false sense of security, as pointed out by WHO (</w:t>
      </w:r>
      <w:hyperlink r:id="rId96" w:anchor="r17-M206817" w:history="1">
        <w:r w:rsidRPr="005859DB">
          <w:rPr>
            <w:rFonts w:ascii="Times New Roman" w:eastAsia="Times New Roman" w:hAnsi="Times New Roman" w:cs="Times New Roman"/>
            <w:color w:val="1554B2"/>
            <w:sz w:val="24"/>
            <w:szCs w:val="24"/>
            <w:u w:val="single"/>
          </w:rPr>
          <w:t>17</w:t>
        </w:r>
      </w:hyperlink>
      <w:r w:rsidRPr="005859DB">
        <w:rPr>
          <w:rFonts w:ascii="Times New Roman" w:eastAsia="Times New Roman" w:hAnsi="Times New Roman" w:cs="Times New Roman"/>
          <w:color w:val="333333"/>
          <w:sz w:val="24"/>
          <w:szCs w:val="24"/>
        </w:rPr>
        <w:t xml:space="preserve">); accordingly, </w:t>
      </w:r>
      <w:r w:rsidRPr="005859DB">
        <w:rPr>
          <w:rFonts w:ascii="Times New Roman" w:eastAsia="Times New Roman" w:hAnsi="Times New Roman" w:cs="Times New Roman"/>
          <w:color w:val="333333"/>
          <w:sz w:val="24"/>
          <w:szCs w:val="24"/>
        </w:rPr>
        <w:lastRenderedPageBreak/>
        <w:t>our face mask group seemed less worried (</w:t>
      </w:r>
      <w:hyperlink r:id="rId97" w:history="1">
        <w:r w:rsidRPr="005859DB">
          <w:rPr>
            <w:rFonts w:ascii="Times New Roman" w:eastAsia="Times New Roman" w:hAnsi="Times New Roman" w:cs="Times New Roman"/>
            <w:color w:val="1554B2"/>
            <w:sz w:val="24"/>
            <w:szCs w:val="24"/>
            <w:u w:val="single"/>
          </w:rPr>
          <w:t>Supplement Table 4</w:t>
        </w:r>
      </w:hyperlink>
      <w:r w:rsidRPr="005859DB">
        <w:rPr>
          <w:rFonts w:ascii="Times New Roman" w:eastAsia="Times New Roman" w:hAnsi="Times New Roman" w:cs="Times New Roman"/>
          <w:color w:val="333333"/>
          <w:sz w:val="24"/>
          <w:szCs w:val="24"/>
        </w:rPr>
        <w:t>), which may explain their increased willingness to wear face masks in the future (</w:t>
      </w:r>
      <w:hyperlink r:id="rId98" w:history="1">
        <w:r w:rsidRPr="005859DB">
          <w:rPr>
            <w:rFonts w:ascii="Times New Roman" w:eastAsia="Times New Roman" w:hAnsi="Times New Roman" w:cs="Times New Roman"/>
            <w:color w:val="1554B2"/>
            <w:sz w:val="24"/>
            <w:szCs w:val="24"/>
            <w:u w:val="single"/>
          </w:rPr>
          <w:t>Supplement Table 5</w:t>
        </w:r>
      </w:hyperlink>
      <w:r w:rsidRPr="005859DB">
        <w:rPr>
          <w:rFonts w:ascii="Times New Roman" w:eastAsia="Times New Roman" w:hAnsi="Times New Roman" w:cs="Times New Roman"/>
          <w:color w:val="333333"/>
          <w:sz w:val="24"/>
          <w:szCs w:val="24"/>
        </w:rPr>
        <w:t>). These challenges, including costs and availability, may reduce the efficacy of face masks to prevent SARS-CoV-2 infection.</w:t>
      </w:r>
    </w:p>
    <w:p w:rsidR="005859DB" w:rsidRPr="005859DB" w:rsidRDefault="005859DB" w:rsidP="005859DB">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5859DB">
        <w:rPr>
          <w:rFonts w:ascii="Times New Roman" w:eastAsia="Times New Roman" w:hAnsi="Times New Roman" w:cs="Times New Roman"/>
          <w:color w:val="333333"/>
          <w:sz w:val="24"/>
          <w:szCs w:val="24"/>
        </w:rPr>
        <w:t>The potential benefits of a community-wide recommendation to wear masks include combined prevention and source control for symptomatic and asymptomatic persons, improved attention, and reduced potential stigmatization of persons wearing masks to prevent infection of others (</w:t>
      </w:r>
      <w:hyperlink r:id="rId99" w:anchor="r17-M206817" w:history="1">
        <w:r w:rsidRPr="005859DB">
          <w:rPr>
            <w:rFonts w:ascii="Times New Roman" w:eastAsia="Times New Roman" w:hAnsi="Times New Roman" w:cs="Times New Roman"/>
            <w:color w:val="1554B2"/>
            <w:sz w:val="24"/>
            <w:szCs w:val="24"/>
            <w:u w:val="single"/>
          </w:rPr>
          <w:t>17</w:t>
        </w:r>
      </w:hyperlink>
      <w:r w:rsidRPr="005859DB">
        <w:rPr>
          <w:rFonts w:ascii="Times New Roman" w:eastAsia="Times New Roman" w:hAnsi="Times New Roman" w:cs="Times New Roman"/>
          <w:color w:val="333333"/>
          <w:sz w:val="24"/>
          <w:szCs w:val="24"/>
        </w:rPr>
        <w:t>). Although masks may also have served as source control in SARS-CoV-2–infected participants, the study was not designed to determine the effectiveness of source control.</w:t>
      </w:r>
    </w:p>
    <w:p w:rsidR="005859DB" w:rsidRPr="005859DB" w:rsidRDefault="005859DB" w:rsidP="005859DB">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5859DB">
        <w:rPr>
          <w:rFonts w:ascii="Times New Roman" w:eastAsia="Times New Roman" w:hAnsi="Times New Roman" w:cs="Times New Roman"/>
          <w:color w:val="333333"/>
          <w:sz w:val="24"/>
          <w:szCs w:val="24"/>
        </w:rPr>
        <w:t>The most important limitation is that the findings are inconclusive, with CIs compatible with a 46% decrease to a 23% increase in infection. Other limitations include the following. Participants may have been more cautious and focused on hygiene than the general population; however, the observed infection rate was similar to findings of other studies in Denmark (</w:t>
      </w:r>
      <w:hyperlink r:id="rId100" w:anchor="r26-M206817" w:history="1">
        <w:r w:rsidRPr="005859DB">
          <w:rPr>
            <w:rFonts w:ascii="Times New Roman" w:eastAsia="Times New Roman" w:hAnsi="Times New Roman" w:cs="Times New Roman"/>
            <w:color w:val="1554B2"/>
            <w:sz w:val="24"/>
            <w:szCs w:val="24"/>
            <w:u w:val="single"/>
          </w:rPr>
          <w:t>26</w:t>
        </w:r>
      </w:hyperlink>
      <w:r w:rsidRPr="005859DB">
        <w:rPr>
          <w:rFonts w:ascii="Times New Roman" w:eastAsia="Times New Roman" w:hAnsi="Times New Roman" w:cs="Times New Roman"/>
          <w:color w:val="333333"/>
          <w:sz w:val="24"/>
          <w:szCs w:val="24"/>
        </w:rPr>
        <w:t>, </w:t>
      </w:r>
      <w:hyperlink r:id="rId101" w:anchor="r30-M206817" w:history="1">
        <w:r w:rsidRPr="005859DB">
          <w:rPr>
            <w:rFonts w:ascii="Times New Roman" w:eastAsia="Times New Roman" w:hAnsi="Times New Roman" w:cs="Times New Roman"/>
            <w:color w:val="1554B2"/>
            <w:sz w:val="24"/>
            <w:szCs w:val="24"/>
            <w:u w:val="single"/>
          </w:rPr>
          <w:t>30</w:t>
        </w:r>
      </w:hyperlink>
      <w:r w:rsidRPr="005859DB">
        <w:rPr>
          <w:rFonts w:ascii="Times New Roman" w:eastAsia="Times New Roman" w:hAnsi="Times New Roman" w:cs="Times New Roman"/>
          <w:color w:val="333333"/>
          <w:sz w:val="24"/>
          <w:szCs w:val="24"/>
        </w:rPr>
        <w:t>). Loss to follow-up was 19%, but results of multiple imputation accounting for missing data were similar to the main results. In addition, we relied on patient-reported findings on home antibody tests, and blinding to the intervention was not possible. Finally, a randomized controlled trial provides high-level evidence for treatment effects but can be prone to reduced external validity.</w:t>
      </w:r>
    </w:p>
    <w:p w:rsidR="005859DB" w:rsidRPr="005859DB" w:rsidRDefault="005859DB" w:rsidP="005859DB">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5859DB">
        <w:rPr>
          <w:rFonts w:ascii="Times New Roman" w:eastAsia="Times New Roman" w:hAnsi="Times New Roman" w:cs="Times New Roman"/>
          <w:color w:val="333333"/>
          <w:sz w:val="24"/>
          <w:szCs w:val="24"/>
        </w:rPr>
        <w:t xml:space="preserve">Our results suggest that the recommendation to wear a surgical mask when outside the home among others did not reduce, at conventional levels of statistical significance, the incidence of SARS-CoV-2 infection in mask wearers in a setting where social distancing and other public </w:t>
      </w:r>
      <w:r w:rsidRPr="005859DB">
        <w:rPr>
          <w:rFonts w:ascii="Times New Roman" w:eastAsia="Times New Roman" w:hAnsi="Times New Roman" w:cs="Times New Roman"/>
          <w:color w:val="333333"/>
          <w:sz w:val="24"/>
          <w:szCs w:val="24"/>
        </w:rPr>
        <w:lastRenderedPageBreak/>
        <w:t>health measures were in effect, mask recommendations were not among those measures, and community use of masks was uncommon. Yet, the findings were inconclusive and cannot definitively exclude a 46% reduction to a 23% increase in infection of mask wearers in such a setting. It is important to emphasize that this trial did not address the effects of masks as source control or as protection in settings where social distancing and other public health measures are not in effect.</w:t>
      </w:r>
    </w:p>
    <w:p w:rsidR="005859DB" w:rsidRPr="005859DB" w:rsidRDefault="005859DB" w:rsidP="005859DB">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5859DB">
        <w:rPr>
          <w:rFonts w:ascii="Times New Roman" w:eastAsia="Times New Roman" w:hAnsi="Times New Roman" w:cs="Times New Roman"/>
          <w:color w:val="333333"/>
          <w:sz w:val="24"/>
          <w:szCs w:val="24"/>
        </w:rPr>
        <w:t>Reduction in release of virus from infected persons into the environment may be the mechanism for mitigation of transmission in communities where mask use is common or mandated, as noted in observational studies. Thus, these findings do not provide data on the effectiveness of widespread mask wearing in the community in reducing SARS-CoV-2 infections. They do, however, offer evidence about the degree of protection mask wearers can anticipate in a setting where others are not wearing masks and where other public health measures, including social distancing, are in effect. The findings also suggest that persons should not abandon other COVID-19 safety measures regardless of the use of masks. While we await additional data to inform mask recommendations, communities must balance the seriousness of COVID-19, uncertainty about the degree of source control and protective effect, and the absence of data suggesting serious adverse effects of masks (</w:t>
      </w:r>
      <w:hyperlink r:id="rId102" w:anchor="r45-M206817" w:history="1">
        <w:r w:rsidRPr="005859DB">
          <w:rPr>
            <w:rFonts w:ascii="Times New Roman" w:eastAsia="Times New Roman" w:hAnsi="Times New Roman" w:cs="Times New Roman"/>
            <w:color w:val="1554B2"/>
            <w:sz w:val="24"/>
            <w:szCs w:val="24"/>
            <w:u w:val="single"/>
          </w:rPr>
          <w:t>45</w:t>
        </w:r>
      </w:hyperlink>
      <w:r w:rsidRPr="005859DB">
        <w:rPr>
          <w:rFonts w:ascii="Times New Roman" w:eastAsia="Times New Roman" w:hAnsi="Times New Roman" w:cs="Times New Roman"/>
          <w:color w:val="333333"/>
          <w:sz w:val="24"/>
          <w:szCs w:val="24"/>
        </w:rPr>
        <w:t>).</w:t>
      </w:r>
    </w:p>
    <w:p w:rsidR="005859DB" w:rsidRPr="005859DB" w:rsidRDefault="005859DB" w:rsidP="005859DB">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5859DB">
        <w:rPr>
          <w:rFonts w:ascii="Times New Roman" w:eastAsia="Times New Roman" w:hAnsi="Times New Roman" w:cs="Times New Roman"/>
          <w:color w:val="333333"/>
          <w:sz w:val="24"/>
          <w:szCs w:val="24"/>
        </w:rPr>
        <w:t>This article was published at Annals.org on 18 November 2020</w:t>
      </w:r>
    </w:p>
    <w:p w:rsidR="006617A2" w:rsidRDefault="006617A2">
      <w:bookmarkStart w:id="0" w:name="_GoBack"/>
      <w:bookmarkEnd w:id="0"/>
    </w:p>
    <w:sectPr w:rsidR="006617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83B4F"/>
    <w:multiLevelType w:val="multilevel"/>
    <w:tmpl w:val="1144C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0501DE"/>
    <w:multiLevelType w:val="multilevel"/>
    <w:tmpl w:val="AF503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9DB"/>
    <w:rsid w:val="005859DB"/>
    <w:rsid w:val="006617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F35A79-748A-432C-BAE6-F1ED03348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5859D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5859D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859D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9D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5859D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859DB"/>
    <w:rPr>
      <w:rFonts w:ascii="Times New Roman" w:eastAsia="Times New Roman" w:hAnsi="Times New Roman" w:cs="Times New Roman"/>
      <w:b/>
      <w:bCs/>
      <w:sz w:val="27"/>
      <w:szCs w:val="27"/>
    </w:rPr>
  </w:style>
  <w:style w:type="character" w:customStyle="1" w:styleId="citationaccesstype">
    <w:name w:val="citation__access__type"/>
    <w:basedOn w:val="DefaultParagraphFont"/>
    <w:rsid w:val="005859DB"/>
  </w:style>
  <w:style w:type="character" w:styleId="Hyperlink">
    <w:name w:val="Hyperlink"/>
    <w:basedOn w:val="DefaultParagraphFont"/>
    <w:uiPriority w:val="99"/>
    <w:semiHidden/>
    <w:unhideWhenUsed/>
    <w:rsid w:val="005859DB"/>
    <w:rPr>
      <w:color w:val="0000FF"/>
      <w:u w:val="single"/>
    </w:rPr>
  </w:style>
  <w:style w:type="character" w:customStyle="1" w:styleId="ellipsis">
    <w:name w:val="ellipsis"/>
    <w:basedOn w:val="DefaultParagraphFont"/>
    <w:rsid w:val="005859DB"/>
  </w:style>
  <w:style w:type="paragraph" w:styleId="NormalWeb">
    <w:name w:val="Normal (Web)"/>
    <w:basedOn w:val="Normal"/>
    <w:uiPriority w:val="99"/>
    <w:semiHidden/>
    <w:unhideWhenUsed/>
    <w:rsid w:val="005859D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859DB"/>
    <w:rPr>
      <w:b/>
      <w:bCs/>
    </w:rPr>
  </w:style>
  <w:style w:type="character" w:customStyle="1" w:styleId="figurecaption">
    <w:name w:val="figure__caption"/>
    <w:basedOn w:val="DefaultParagraphFont"/>
    <w:rsid w:val="005859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9063966">
      <w:bodyDiv w:val="1"/>
      <w:marLeft w:val="0"/>
      <w:marRight w:val="0"/>
      <w:marTop w:val="0"/>
      <w:marBottom w:val="0"/>
      <w:divBdr>
        <w:top w:val="none" w:sz="0" w:space="0" w:color="auto"/>
        <w:left w:val="none" w:sz="0" w:space="0" w:color="auto"/>
        <w:bottom w:val="none" w:sz="0" w:space="0" w:color="auto"/>
        <w:right w:val="none" w:sz="0" w:space="0" w:color="auto"/>
      </w:divBdr>
      <w:divsChild>
        <w:div w:id="780759032">
          <w:marLeft w:val="0"/>
          <w:marRight w:val="0"/>
          <w:marTop w:val="0"/>
          <w:marBottom w:val="0"/>
          <w:divBdr>
            <w:top w:val="none" w:sz="0" w:space="0" w:color="auto"/>
            <w:left w:val="none" w:sz="0" w:space="0" w:color="auto"/>
            <w:bottom w:val="none" w:sz="0" w:space="0" w:color="auto"/>
            <w:right w:val="none" w:sz="0" w:space="0" w:color="auto"/>
          </w:divBdr>
          <w:divsChild>
            <w:div w:id="820078087">
              <w:marLeft w:val="0"/>
              <w:marRight w:val="0"/>
              <w:marTop w:val="0"/>
              <w:marBottom w:val="0"/>
              <w:divBdr>
                <w:top w:val="none" w:sz="0" w:space="0" w:color="auto"/>
                <w:left w:val="none" w:sz="0" w:space="0" w:color="auto"/>
                <w:bottom w:val="none" w:sz="0" w:space="0" w:color="auto"/>
                <w:right w:val="none" w:sz="0" w:space="0" w:color="auto"/>
              </w:divBdr>
            </w:div>
            <w:div w:id="998926532">
              <w:marLeft w:val="0"/>
              <w:marRight w:val="0"/>
              <w:marTop w:val="0"/>
              <w:marBottom w:val="0"/>
              <w:divBdr>
                <w:top w:val="none" w:sz="0" w:space="0" w:color="auto"/>
                <w:left w:val="none" w:sz="0" w:space="0" w:color="auto"/>
                <w:bottom w:val="none" w:sz="0" w:space="0" w:color="auto"/>
                <w:right w:val="none" w:sz="0" w:space="0" w:color="auto"/>
              </w:divBdr>
            </w:div>
            <w:div w:id="395796">
              <w:marLeft w:val="0"/>
              <w:marRight w:val="0"/>
              <w:marTop w:val="0"/>
              <w:marBottom w:val="0"/>
              <w:divBdr>
                <w:top w:val="none" w:sz="0" w:space="0" w:color="auto"/>
                <w:left w:val="none" w:sz="0" w:space="0" w:color="auto"/>
                <w:bottom w:val="none" w:sz="0" w:space="0" w:color="auto"/>
                <w:right w:val="none" w:sz="0" w:space="0" w:color="auto"/>
              </w:divBdr>
              <w:divsChild>
                <w:div w:id="194386339">
                  <w:marLeft w:val="0"/>
                  <w:marRight w:val="0"/>
                  <w:marTop w:val="0"/>
                  <w:marBottom w:val="0"/>
                  <w:divBdr>
                    <w:top w:val="none" w:sz="0" w:space="0" w:color="auto"/>
                    <w:left w:val="none" w:sz="0" w:space="0" w:color="auto"/>
                    <w:bottom w:val="none" w:sz="0" w:space="0" w:color="auto"/>
                    <w:right w:val="none" w:sz="0" w:space="0" w:color="auto"/>
                  </w:divBdr>
                  <w:divsChild>
                    <w:div w:id="633481876">
                      <w:marLeft w:val="0"/>
                      <w:marRight w:val="0"/>
                      <w:marTop w:val="0"/>
                      <w:marBottom w:val="0"/>
                      <w:divBdr>
                        <w:top w:val="none" w:sz="0" w:space="0" w:color="auto"/>
                        <w:left w:val="none" w:sz="0" w:space="0" w:color="auto"/>
                        <w:bottom w:val="none" w:sz="0" w:space="0" w:color="auto"/>
                        <w:right w:val="none" w:sz="0" w:space="0" w:color="auto"/>
                      </w:divBdr>
                      <w:divsChild>
                        <w:div w:id="290749122">
                          <w:marLeft w:val="0"/>
                          <w:marRight w:val="0"/>
                          <w:marTop w:val="0"/>
                          <w:marBottom w:val="0"/>
                          <w:divBdr>
                            <w:top w:val="none" w:sz="0" w:space="0" w:color="auto"/>
                            <w:left w:val="none" w:sz="0" w:space="0" w:color="auto"/>
                            <w:bottom w:val="none" w:sz="0" w:space="0" w:color="auto"/>
                            <w:right w:val="none" w:sz="0" w:space="0" w:color="auto"/>
                          </w:divBdr>
                        </w:div>
                        <w:div w:id="34729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2785891">
          <w:marLeft w:val="0"/>
          <w:marRight w:val="0"/>
          <w:marTop w:val="240"/>
          <w:marBottom w:val="0"/>
          <w:divBdr>
            <w:top w:val="none" w:sz="0" w:space="0" w:color="auto"/>
            <w:left w:val="none" w:sz="0" w:space="0" w:color="auto"/>
            <w:bottom w:val="none" w:sz="0" w:space="0" w:color="auto"/>
            <w:right w:val="none" w:sz="0" w:space="0" w:color="auto"/>
          </w:divBdr>
          <w:divsChild>
            <w:div w:id="605380619">
              <w:marLeft w:val="0"/>
              <w:marRight w:val="0"/>
              <w:marTop w:val="0"/>
              <w:marBottom w:val="0"/>
              <w:divBdr>
                <w:top w:val="none" w:sz="0" w:space="0" w:color="auto"/>
                <w:left w:val="none" w:sz="0" w:space="0" w:color="auto"/>
                <w:bottom w:val="none" w:sz="0" w:space="0" w:color="auto"/>
                <w:right w:val="none" w:sz="0" w:space="0" w:color="auto"/>
              </w:divBdr>
            </w:div>
            <w:div w:id="528837008">
              <w:marLeft w:val="0"/>
              <w:marRight w:val="0"/>
              <w:marTop w:val="0"/>
              <w:marBottom w:val="0"/>
              <w:divBdr>
                <w:top w:val="none" w:sz="0" w:space="0" w:color="auto"/>
                <w:left w:val="none" w:sz="0" w:space="0" w:color="auto"/>
                <w:bottom w:val="none" w:sz="0" w:space="0" w:color="auto"/>
                <w:right w:val="none" w:sz="0" w:space="0" w:color="auto"/>
              </w:divBdr>
            </w:div>
          </w:divsChild>
        </w:div>
        <w:div w:id="974599189">
          <w:marLeft w:val="0"/>
          <w:marRight w:val="0"/>
          <w:marTop w:val="0"/>
          <w:marBottom w:val="360"/>
          <w:divBdr>
            <w:top w:val="none" w:sz="0" w:space="0" w:color="auto"/>
            <w:left w:val="none" w:sz="0" w:space="0" w:color="auto"/>
            <w:bottom w:val="none" w:sz="0" w:space="0" w:color="auto"/>
            <w:right w:val="none" w:sz="0" w:space="0" w:color="auto"/>
          </w:divBdr>
          <w:divsChild>
            <w:div w:id="291182141">
              <w:marLeft w:val="0"/>
              <w:marRight w:val="0"/>
              <w:marTop w:val="0"/>
              <w:marBottom w:val="0"/>
              <w:divBdr>
                <w:top w:val="none" w:sz="0" w:space="0" w:color="auto"/>
                <w:left w:val="none" w:sz="0" w:space="0" w:color="auto"/>
                <w:bottom w:val="none" w:sz="0" w:space="0" w:color="auto"/>
                <w:right w:val="none" w:sz="0" w:space="0" w:color="auto"/>
              </w:divBdr>
              <w:divsChild>
                <w:div w:id="271590591">
                  <w:marLeft w:val="0"/>
                  <w:marRight w:val="0"/>
                  <w:marTop w:val="0"/>
                  <w:marBottom w:val="0"/>
                  <w:divBdr>
                    <w:top w:val="none" w:sz="0" w:space="0" w:color="auto"/>
                    <w:left w:val="none" w:sz="0" w:space="0" w:color="auto"/>
                    <w:bottom w:val="none" w:sz="0" w:space="0" w:color="auto"/>
                    <w:right w:val="none" w:sz="0" w:space="0" w:color="auto"/>
                  </w:divBdr>
                </w:div>
                <w:div w:id="1416048309">
                  <w:marLeft w:val="0"/>
                  <w:marRight w:val="0"/>
                  <w:marTop w:val="0"/>
                  <w:marBottom w:val="0"/>
                  <w:divBdr>
                    <w:top w:val="none" w:sz="0" w:space="0" w:color="auto"/>
                    <w:left w:val="none" w:sz="0" w:space="0" w:color="auto"/>
                    <w:bottom w:val="none" w:sz="0" w:space="0" w:color="auto"/>
                    <w:right w:val="none" w:sz="0" w:space="0" w:color="auto"/>
                  </w:divBdr>
                </w:div>
                <w:div w:id="1533836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422097">
          <w:marLeft w:val="0"/>
          <w:marRight w:val="0"/>
          <w:marTop w:val="240"/>
          <w:marBottom w:val="0"/>
          <w:divBdr>
            <w:top w:val="none" w:sz="0" w:space="0" w:color="auto"/>
            <w:left w:val="none" w:sz="0" w:space="0" w:color="auto"/>
            <w:bottom w:val="none" w:sz="0" w:space="0" w:color="auto"/>
            <w:right w:val="none" w:sz="0" w:space="0" w:color="auto"/>
          </w:divBdr>
          <w:divsChild>
            <w:div w:id="811873870">
              <w:marLeft w:val="0"/>
              <w:marRight w:val="0"/>
              <w:marTop w:val="360"/>
              <w:marBottom w:val="0"/>
              <w:divBdr>
                <w:top w:val="single" w:sz="6" w:space="0" w:color="D9D9D9"/>
                <w:left w:val="none" w:sz="0" w:space="0" w:color="auto"/>
                <w:bottom w:val="none" w:sz="0" w:space="0" w:color="auto"/>
                <w:right w:val="none" w:sz="0" w:space="0" w:color="auto"/>
              </w:divBdr>
              <w:divsChild>
                <w:div w:id="536814408">
                  <w:marLeft w:val="0"/>
                  <w:marRight w:val="0"/>
                  <w:marTop w:val="0"/>
                  <w:marBottom w:val="240"/>
                  <w:divBdr>
                    <w:top w:val="single" w:sz="6" w:space="0" w:color="D9D9D9"/>
                    <w:left w:val="single" w:sz="6" w:space="0" w:color="D9D9D9"/>
                    <w:bottom w:val="single" w:sz="6" w:space="0" w:color="D9D9D9"/>
                    <w:right w:val="single" w:sz="6" w:space="0" w:color="D9D9D9"/>
                  </w:divBdr>
                </w:div>
                <w:div w:id="123088953">
                  <w:marLeft w:val="0"/>
                  <w:marRight w:val="0"/>
                  <w:marTop w:val="240"/>
                  <w:marBottom w:val="0"/>
                  <w:divBdr>
                    <w:top w:val="none" w:sz="0" w:space="0" w:color="auto"/>
                    <w:left w:val="none" w:sz="0" w:space="0" w:color="auto"/>
                    <w:bottom w:val="none" w:sz="0" w:space="0" w:color="auto"/>
                    <w:right w:val="none" w:sz="0" w:space="0" w:color="auto"/>
                  </w:divBdr>
                </w:div>
                <w:div w:id="1206286763">
                  <w:marLeft w:val="0"/>
                  <w:marRight w:val="0"/>
                  <w:marTop w:val="0"/>
                  <w:marBottom w:val="0"/>
                  <w:divBdr>
                    <w:top w:val="none" w:sz="0" w:space="0" w:color="auto"/>
                    <w:left w:val="none" w:sz="0" w:space="0" w:color="auto"/>
                    <w:bottom w:val="none" w:sz="0" w:space="0" w:color="auto"/>
                    <w:right w:val="none" w:sz="0" w:space="0" w:color="auto"/>
                  </w:divBdr>
                  <w:divsChild>
                    <w:div w:id="297151256">
                      <w:marLeft w:val="0"/>
                      <w:marRight w:val="0"/>
                      <w:marTop w:val="0"/>
                      <w:marBottom w:val="225"/>
                      <w:divBdr>
                        <w:top w:val="none" w:sz="0" w:space="0" w:color="auto"/>
                        <w:left w:val="single" w:sz="6" w:space="0" w:color="D9D9D9"/>
                        <w:bottom w:val="single" w:sz="6" w:space="0" w:color="D9D9D9"/>
                        <w:right w:val="single" w:sz="6" w:space="0" w:color="D9D9D9"/>
                      </w:divBdr>
                      <w:divsChild>
                        <w:div w:id="894194244">
                          <w:marLeft w:val="0"/>
                          <w:marRight w:val="0"/>
                          <w:marTop w:val="0"/>
                          <w:marBottom w:val="0"/>
                          <w:divBdr>
                            <w:top w:val="none" w:sz="0" w:space="0" w:color="auto"/>
                            <w:left w:val="none" w:sz="0" w:space="0" w:color="auto"/>
                            <w:bottom w:val="none" w:sz="0" w:space="0" w:color="auto"/>
                            <w:right w:val="none" w:sz="0" w:space="0" w:color="auto"/>
                          </w:divBdr>
                          <w:divsChild>
                            <w:div w:id="1432121907">
                              <w:marLeft w:val="0"/>
                              <w:marRight w:val="0"/>
                              <w:marTop w:val="0"/>
                              <w:marBottom w:val="0"/>
                              <w:divBdr>
                                <w:top w:val="none" w:sz="0" w:space="0" w:color="auto"/>
                                <w:left w:val="none" w:sz="0" w:space="0" w:color="auto"/>
                                <w:bottom w:val="none" w:sz="0" w:space="0" w:color="auto"/>
                                <w:right w:val="none" w:sz="0" w:space="0" w:color="auto"/>
                              </w:divBdr>
                              <w:divsChild>
                                <w:div w:id="62603958">
                                  <w:marLeft w:val="0"/>
                                  <w:marRight w:val="0"/>
                                  <w:marTop w:val="0"/>
                                  <w:marBottom w:val="240"/>
                                  <w:divBdr>
                                    <w:top w:val="single" w:sz="6" w:space="0" w:color="D9D9D9"/>
                                    <w:left w:val="single" w:sz="6" w:space="0" w:color="D9D9D9"/>
                                    <w:bottom w:val="single" w:sz="6" w:space="0" w:color="D9D9D9"/>
                                    <w:right w:val="single" w:sz="6" w:space="0" w:color="D9D9D9"/>
                                  </w:divBdr>
                                </w:div>
                              </w:divsChild>
                            </w:div>
                          </w:divsChild>
                        </w:div>
                      </w:divsChild>
                    </w:div>
                  </w:divsChild>
                </w:div>
                <w:div w:id="2097096723">
                  <w:marLeft w:val="0"/>
                  <w:marRight w:val="0"/>
                  <w:marTop w:val="0"/>
                  <w:marBottom w:val="0"/>
                  <w:divBdr>
                    <w:top w:val="none" w:sz="0" w:space="0" w:color="auto"/>
                    <w:left w:val="none" w:sz="0" w:space="0" w:color="auto"/>
                    <w:bottom w:val="none" w:sz="0" w:space="0" w:color="auto"/>
                    <w:right w:val="none" w:sz="0" w:space="0" w:color="auto"/>
                  </w:divBdr>
                  <w:divsChild>
                    <w:div w:id="1103575671">
                      <w:marLeft w:val="0"/>
                      <w:marRight w:val="0"/>
                      <w:marTop w:val="0"/>
                      <w:marBottom w:val="225"/>
                      <w:divBdr>
                        <w:top w:val="none" w:sz="0" w:space="0" w:color="auto"/>
                        <w:left w:val="single" w:sz="6" w:space="0" w:color="D9D9D9"/>
                        <w:bottom w:val="single" w:sz="6" w:space="0" w:color="D9D9D9"/>
                        <w:right w:val="single" w:sz="6" w:space="0" w:color="D9D9D9"/>
                      </w:divBdr>
                      <w:divsChild>
                        <w:div w:id="1964531510">
                          <w:marLeft w:val="0"/>
                          <w:marRight w:val="0"/>
                          <w:marTop w:val="0"/>
                          <w:marBottom w:val="0"/>
                          <w:divBdr>
                            <w:top w:val="none" w:sz="0" w:space="0" w:color="auto"/>
                            <w:left w:val="none" w:sz="0" w:space="0" w:color="auto"/>
                            <w:bottom w:val="none" w:sz="0" w:space="0" w:color="auto"/>
                            <w:right w:val="none" w:sz="0" w:space="0" w:color="auto"/>
                          </w:divBdr>
                          <w:divsChild>
                            <w:div w:id="386605823">
                              <w:marLeft w:val="0"/>
                              <w:marRight w:val="0"/>
                              <w:marTop w:val="0"/>
                              <w:marBottom w:val="0"/>
                              <w:divBdr>
                                <w:top w:val="none" w:sz="0" w:space="0" w:color="auto"/>
                                <w:left w:val="none" w:sz="0" w:space="0" w:color="auto"/>
                                <w:bottom w:val="none" w:sz="0" w:space="0" w:color="auto"/>
                                <w:right w:val="none" w:sz="0" w:space="0" w:color="auto"/>
                              </w:divBdr>
                              <w:divsChild>
                                <w:div w:id="1159007000">
                                  <w:marLeft w:val="0"/>
                                  <w:marRight w:val="0"/>
                                  <w:marTop w:val="0"/>
                                  <w:marBottom w:val="240"/>
                                  <w:divBdr>
                                    <w:top w:val="single" w:sz="6" w:space="0" w:color="D9D9D9"/>
                                    <w:left w:val="single" w:sz="6" w:space="0" w:color="D9D9D9"/>
                                    <w:bottom w:val="single" w:sz="6" w:space="0" w:color="D9D9D9"/>
                                    <w:right w:val="single" w:sz="6" w:space="0" w:color="D9D9D9"/>
                                  </w:divBdr>
                                </w:div>
                              </w:divsChild>
                            </w:div>
                          </w:divsChild>
                        </w:div>
                      </w:divsChild>
                    </w:div>
                  </w:divsChild>
                </w:div>
                <w:div w:id="117335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cpjournals.org/doi/10.7326/M20-6817" TargetMode="External"/><Relationship Id="rId21" Type="http://schemas.openxmlformats.org/officeDocument/2006/relationships/hyperlink" Target="https://www.acpjournals.org/doi/10.7326/M20-6817" TargetMode="External"/><Relationship Id="rId42" Type="http://schemas.openxmlformats.org/officeDocument/2006/relationships/hyperlink" Target="https://www.acpjournals.org/doi/suppl/10.7326/M20-6817/suppl_file/M20-6817_Supplement.pdf" TargetMode="External"/><Relationship Id="rId47" Type="http://schemas.openxmlformats.org/officeDocument/2006/relationships/hyperlink" Target="https://www.acpjournals.org/doi/suppl/10.7326/M20-6817/suppl_file/M20-6817_Supplement.pdf" TargetMode="External"/><Relationship Id="rId63" Type="http://schemas.openxmlformats.org/officeDocument/2006/relationships/hyperlink" Target="https://www.acpjournals.org/doi/10.7326/M20-6817" TargetMode="External"/><Relationship Id="rId68" Type="http://schemas.openxmlformats.org/officeDocument/2006/relationships/hyperlink" Target="https://www.acpjournals.org/doi/10.7326/M20-6817" TargetMode="External"/><Relationship Id="rId84" Type="http://schemas.openxmlformats.org/officeDocument/2006/relationships/hyperlink" Target="https://www.acpjournals.org/doi/10.7326/M20-6817" TargetMode="External"/><Relationship Id="rId89" Type="http://schemas.openxmlformats.org/officeDocument/2006/relationships/hyperlink" Target="https://www.acpjournals.org/doi/10.7326/M20-6817" TargetMode="External"/><Relationship Id="rId7" Type="http://schemas.openxmlformats.org/officeDocument/2006/relationships/hyperlink" Target="javascript:void(0)" TargetMode="External"/><Relationship Id="rId71" Type="http://schemas.openxmlformats.org/officeDocument/2006/relationships/hyperlink" Target="https://www.acpjournals.org/doi/suppl/10.7326/M20-6817/suppl_file/M20-6817_Supplement.pdf" TargetMode="External"/><Relationship Id="rId92" Type="http://schemas.openxmlformats.org/officeDocument/2006/relationships/hyperlink" Target="https://www.acpjournals.org/doi/10.7326/M20-6817" TargetMode="External"/><Relationship Id="rId2" Type="http://schemas.openxmlformats.org/officeDocument/2006/relationships/styles" Target="styles.xml"/><Relationship Id="rId16" Type="http://schemas.openxmlformats.org/officeDocument/2006/relationships/hyperlink" Target="https://www.acpjournals.org/doi/10.7326/M20-6817" TargetMode="External"/><Relationship Id="rId29" Type="http://schemas.openxmlformats.org/officeDocument/2006/relationships/hyperlink" Target="https://www.acpjournals.org/doi/10.7326/M20-6817" TargetMode="External"/><Relationship Id="rId11" Type="http://schemas.openxmlformats.org/officeDocument/2006/relationships/hyperlink" Target="https://www.acpjournals.org/doi/10.7326/M20-6817" TargetMode="External"/><Relationship Id="rId24" Type="http://schemas.openxmlformats.org/officeDocument/2006/relationships/hyperlink" Target="https://www.acpjournals.org/doi/10.7326/M20-6817" TargetMode="External"/><Relationship Id="rId32" Type="http://schemas.openxmlformats.org/officeDocument/2006/relationships/hyperlink" Target="https://www.acpjournals.org/doi/10.7326/M20-6817" TargetMode="External"/><Relationship Id="rId37" Type="http://schemas.openxmlformats.org/officeDocument/2006/relationships/hyperlink" Target="https://www.acpjournals.org/doi/10.7326/M20-6817" TargetMode="External"/><Relationship Id="rId40" Type="http://schemas.openxmlformats.org/officeDocument/2006/relationships/hyperlink" Target="https://www.acpjournals.org/doi/10.7326/M20-6817" TargetMode="External"/><Relationship Id="rId45" Type="http://schemas.openxmlformats.org/officeDocument/2006/relationships/hyperlink" Target="https://www.acpjournals.org/doi/suppl/10.7326/M20-6817/suppl_file/M20-6817_Supplement.pdf" TargetMode="External"/><Relationship Id="rId53" Type="http://schemas.openxmlformats.org/officeDocument/2006/relationships/hyperlink" Target="https://www.acpjournals.org/doi/suppl/10.7326/M20-6817/suppl_file/M20-6817_Supplement.pdf" TargetMode="External"/><Relationship Id="rId58" Type="http://schemas.openxmlformats.org/officeDocument/2006/relationships/image" Target="media/image1.jpeg"/><Relationship Id="rId66" Type="http://schemas.openxmlformats.org/officeDocument/2006/relationships/hyperlink" Target="https://www.acpjournals.org/doi/suppl/10.7326/M20-6817/suppl_file/M20-6817_Supplement.pdf" TargetMode="External"/><Relationship Id="rId74" Type="http://schemas.openxmlformats.org/officeDocument/2006/relationships/hyperlink" Target="https://www.acpjournals.org/doi/10.7326/M20-6817" TargetMode="External"/><Relationship Id="rId79" Type="http://schemas.openxmlformats.org/officeDocument/2006/relationships/hyperlink" Target="https://www.acpjournals.org/doi/10.7326/M20-6817" TargetMode="External"/><Relationship Id="rId87" Type="http://schemas.openxmlformats.org/officeDocument/2006/relationships/hyperlink" Target="https://www.acpjournals.org/doi/10.7326/M20-6817" TargetMode="External"/><Relationship Id="rId102" Type="http://schemas.openxmlformats.org/officeDocument/2006/relationships/hyperlink" Target="https://www.acpjournals.org/doi/10.7326/M20-6817" TargetMode="External"/><Relationship Id="rId5" Type="http://schemas.openxmlformats.org/officeDocument/2006/relationships/hyperlink" Target="https://www.acpjournals.org/doi/10.7326/M20-6817" TargetMode="External"/><Relationship Id="rId61" Type="http://schemas.openxmlformats.org/officeDocument/2006/relationships/image" Target="media/image2.jpeg"/><Relationship Id="rId82" Type="http://schemas.openxmlformats.org/officeDocument/2006/relationships/hyperlink" Target="https://www.acpjournals.org/doi/suppl/10.7326/M20-6817/suppl_file/M20-6817_Supplement.pdf" TargetMode="External"/><Relationship Id="rId90" Type="http://schemas.openxmlformats.org/officeDocument/2006/relationships/hyperlink" Target="https://www.acpjournals.org/doi/10.7326/M20-6817" TargetMode="External"/><Relationship Id="rId95" Type="http://schemas.openxmlformats.org/officeDocument/2006/relationships/hyperlink" Target="https://www.acpjournals.org/doi/10.7326/M20-6817" TargetMode="External"/><Relationship Id="rId19" Type="http://schemas.openxmlformats.org/officeDocument/2006/relationships/hyperlink" Target="https://www.acpjournals.org/doi/10.7326/M20-6817" TargetMode="External"/><Relationship Id="rId14" Type="http://schemas.openxmlformats.org/officeDocument/2006/relationships/hyperlink" Target="https://www.acpjournals.org/doi/10.7326/M20-6817" TargetMode="External"/><Relationship Id="rId22" Type="http://schemas.openxmlformats.org/officeDocument/2006/relationships/hyperlink" Target="https://www.acpjournals.org/doi/10.7326/M20-6817" TargetMode="External"/><Relationship Id="rId27" Type="http://schemas.openxmlformats.org/officeDocument/2006/relationships/hyperlink" Target="https://www.acpjournals.org/doi/10.7326/M20-6817" TargetMode="External"/><Relationship Id="rId30" Type="http://schemas.openxmlformats.org/officeDocument/2006/relationships/hyperlink" Target="https://www.acpjournals.org/doi/10.7326/M20-6817" TargetMode="External"/><Relationship Id="rId35" Type="http://schemas.openxmlformats.org/officeDocument/2006/relationships/hyperlink" Target="https://www.acpjournals.org/doi/10.7326/M20-6817" TargetMode="External"/><Relationship Id="rId43" Type="http://schemas.openxmlformats.org/officeDocument/2006/relationships/hyperlink" Target="https://www.acpjournals.org/doi/suppl/10.7326/M20-6817/suppl_file/M20-6817_Supplement.pdf" TargetMode="External"/><Relationship Id="rId48" Type="http://schemas.openxmlformats.org/officeDocument/2006/relationships/hyperlink" Target="https://www.acpjournals.org/doi/10.7326/M20-6817" TargetMode="External"/><Relationship Id="rId56" Type="http://schemas.openxmlformats.org/officeDocument/2006/relationships/hyperlink" Target="https://www.acpjournals.org/doi/10.7326/M20-6817" TargetMode="External"/><Relationship Id="rId64" Type="http://schemas.openxmlformats.org/officeDocument/2006/relationships/image" Target="media/image3.jpeg"/><Relationship Id="rId69" Type="http://schemas.openxmlformats.org/officeDocument/2006/relationships/hyperlink" Target="https://www.acpjournals.org/doi/10.7326/M20-6817" TargetMode="External"/><Relationship Id="rId77" Type="http://schemas.openxmlformats.org/officeDocument/2006/relationships/hyperlink" Target="https://www.acpjournals.org/doi/10.7326/M20-6817" TargetMode="External"/><Relationship Id="rId100" Type="http://schemas.openxmlformats.org/officeDocument/2006/relationships/hyperlink" Target="https://www.acpjournals.org/doi/10.7326/M20-6817" TargetMode="External"/><Relationship Id="rId8" Type="http://schemas.openxmlformats.org/officeDocument/2006/relationships/hyperlink" Target="https://www.acpjournals.org/doi/10.7326/M20-6817" TargetMode="External"/><Relationship Id="rId51" Type="http://schemas.openxmlformats.org/officeDocument/2006/relationships/hyperlink" Target="https://www.acpjournals.org/doi/10.7326/M20-6817" TargetMode="External"/><Relationship Id="rId72" Type="http://schemas.openxmlformats.org/officeDocument/2006/relationships/hyperlink" Target="https://www.acpjournals.org/doi/10.7326/M20-6817" TargetMode="External"/><Relationship Id="rId80" Type="http://schemas.openxmlformats.org/officeDocument/2006/relationships/hyperlink" Target="https://www.acpjournals.org/doi/10.7326/M20-6817" TargetMode="External"/><Relationship Id="rId85" Type="http://schemas.openxmlformats.org/officeDocument/2006/relationships/hyperlink" Target="https://www.acpjournals.org/doi/10.7326/M20-6817" TargetMode="External"/><Relationship Id="rId93" Type="http://schemas.openxmlformats.org/officeDocument/2006/relationships/hyperlink" Target="https://www.acpjournals.org/doi/10.7326/M20-6817" TargetMode="External"/><Relationship Id="rId98" Type="http://schemas.openxmlformats.org/officeDocument/2006/relationships/hyperlink" Target="https://www.acpjournals.org/doi/suppl/10.7326/M20-6817/suppl_file/M20-6817_Supplement.pdf" TargetMode="External"/><Relationship Id="rId3" Type="http://schemas.openxmlformats.org/officeDocument/2006/relationships/settings" Target="settings.xml"/><Relationship Id="rId12" Type="http://schemas.openxmlformats.org/officeDocument/2006/relationships/hyperlink" Target="https://www.acpjournals.org/doi/10.7326/M20-6817" TargetMode="External"/><Relationship Id="rId17" Type="http://schemas.openxmlformats.org/officeDocument/2006/relationships/hyperlink" Target="https://www.acpjournals.org/doi/10.7326/M20-6817" TargetMode="External"/><Relationship Id="rId25" Type="http://schemas.openxmlformats.org/officeDocument/2006/relationships/hyperlink" Target="https://www.acpjournals.org/doi/10.7326/M20-6817" TargetMode="External"/><Relationship Id="rId33" Type="http://schemas.openxmlformats.org/officeDocument/2006/relationships/hyperlink" Target="https://www.acpjournals.org/doi/10.7326/M20-6817" TargetMode="External"/><Relationship Id="rId38" Type="http://schemas.openxmlformats.org/officeDocument/2006/relationships/hyperlink" Target="https://www.acpjournals.org/doi/suppl/10.7326/M20-6817/suppl_file/M20-6817_Supplement.pdf" TargetMode="External"/><Relationship Id="rId46" Type="http://schemas.openxmlformats.org/officeDocument/2006/relationships/hyperlink" Target="https://www.acpjournals.org/doi/suppl/10.7326/M20-6817/suppl_file/M20-6817_Supplement.pdf" TargetMode="External"/><Relationship Id="rId59" Type="http://schemas.openxmlformats.org/officeDocument/2006/relationships/hyperlink" Target="https://www.acpjournals.org/na101/home/literatum/publisher/acp/journals/content/aim/0/aim.ahead-of-print/m20-6817/20201117/images/large/m206817ff1.jpeg" TargetMode="External"/><Relationship Id="rId67" Type="http://schemas.openxmlformats.org/officeDocument/2006/relationships/hyperlink" Target="https://www.acpjournals.org/doi/10.7326/M20-6817" TargetMode="External"/><Relationship Id="rId103" Type="http://schemas.openxmlformats.org/officeDocument/2006/relationships/fontTable" Target="fontTable.xml"/><Relationship Id="rId20" Type="http://schemas.openxmlformats.org/officeDocument/2006/relationships/hyperlink" Target="https://www.acpjournals.org/doi/10.7326/M20-6817" TargetMode="External"/><Relationship Id="rId41" Type="http://schemas.openxmlformats.org/officeDocument/2006/relationships/hyperlink" Target="https://www.acpjournals.org/doi/10.7326/M20-6817" TargetMode="External"/><Relationship Id="rId54" Type="http://schemas.openxmlformats.org/officeDocument/2006/relationships/hyperlink" Target="https://www.acpjournals.org/doi/suppl/10.7326/M20-6817/suppl_file/M20-6817_Supplement.pdf" TargetMode="External"/><Relationship Id="rId62" Type="http://schemas.openxmlformats.org/officeDocument/2006/relationships/hyperlink" Target="https://www.acpjournals.org/doi/suppl/10.7326/M20-6817/suppl_file/M20-6817_Supplement.pdf" TargetMode="External"/><Relationship Id="rId70" Type="http://schemas.openxmlformats.org/officeDocument/2006/relationships/hyperlink" Target="https://www.acpjournals.org/doi/10.7326/M20-6817" TargetMode="External"/><Relationship Id="rId75" Type="http://schemas.openxmlformats.org/officeDocument/2006/relationships/hyperlink" Target="https://www.acpjournals.org/doi/10.7326/M20-6817" TargetMode="External"/><Relationship Id="rId83" Type="http://schemas.openxmlformats.org/officeDocument/2006/relationships/hyperlink" Target="https://www.acpjournals.org/doi/10.7326/M20-6817" TargetMode="External"/><Relationship Id="rId88" Type="http://schemas.openxmlformats.org/officeDocument/2006/relationships/hyperlink" Target="https://www.acpjournals.org/doi/suppl/10.7326/M20-6817/suppl_file/M20-6817_Supplement.pdf" TargetMode="External"/><Relationship Id="rId91" Type="http://schemas.openxmlformats.org/officeDocument/2006/relationships/hyperlink" Target="https://www.acpjournals.org/doi/10.7326/M20-6817" TargetMode="External"/><Relationship Id="rId96" Type="http://schemas.openxmlformats.org/officeDocument/2006/relationships/hyperlink" Target="https://www.acpjournals.org/doi/10.7326/M20-6817" TargetMode="External"/><Relationship Id="rId1" Type="http://schemas.openxmlformats.org/officeDocument/2006/relationships/numbering" Target="numbering.xml"/><Relationship Id="rId6" Type="http://schemas.openxmlformats.org/officeDocument/2006/relationships/hyperlink" Target="https://www.acpjournals.org/doi/10.7326/M20-6817" TargetMode="External"/><Relationship Id="rId15" Type="http://schemas.openxmlformats.org/officeDocument/2006/relationships/hyperlink" Target="https://www.acpjournals.org/doi/10.7326/M20-6817" TargetMode="External"/><Relationship Id="rId23" Type="http://schemas.openxmlformats.org/officeDocument/2006/relationships/hyperlink" Target="https://www.acpjournals.org/doi/10.7326/M20-6817" TargetMode="External"/><Relationship Id="rId28" Type="http://schemas.openxmlformats.org/officeDocument/2006/relationships/hyperlink" Target="https://www.acpjournals.org/doi/10.7326/M20-6817" TargetMode="External"/><Relationship Id="rId36" Type="http://schemas.openxmlformats.org/officeDocument/2006/relationships/hyperlink" Target="https://www.acpjournals.org/doi/suppl/10.7326/M20-6817/suppl_file/M20-6817_Supplement.pdf" TargetMode="External"/><Relationship Id="rId49" Type="http://schemas.openxmlformats.org/officeDocument/2006/relationships/hyperlink" Target="https://www.acpjournals.org/doi/10.7326/M20-6817" TargetMode="External"/><Relationship Id="rId57" Type="http://schemas.openxmlformats.org/officeDocument/2006/relationships/hyperlink" Target="https://www.acpjournals.org/doi/10.7326/M20-6817" TargetMode="External"/><Relationship Id="rId10" Type="http://schemas.openxmlformats.org/officeDocument/2006/relationships/hyperlink" Target="https://www.acpjournals.org/journal/aim/about-poc" TargetMode="External"/><Relationship Id="rId31" Type="http://schemas.openxmlformats.org/officeDocument/2006/relationships/hyperlink" Target="https://www.acpjournals.org/doi/10.7326/M20-6817" TargetMode="External"/><Relationship Id="rId44" Type="http://schemas.openxmlformats.org/officeDocument/2006/relationships/hyperlink" Target="https://www.acpjournals.org/doi/10.7326/M20-6817" TargetMode="External"/><Relationship Id="rId52" Type="http://schemas.openxmlformats.org/officeDocument/2006/relationships/hyperlink" Target="https://www.acpjournals.org/doi/suppl/10.7326/M20-6817/suppl_file/M20-6817_Supplement.pdf" TargetMode="External"/><Relationship Id="rId60" Type="http://schemas.openxmlformats.org/officeDocument/2006/relationships/hyperlink" Target="https://www.acpjournals.org/action/downloadFigures?doi=10.7326/M20-6817&amp;id=f1-M206817" TargetMode="External"/><Relationship Id="rId65" Type="http://schemas.openxmlformats.org/officeDocument/2006/relationships/hyperlink" Target="https://www.acpjournals.org/doi/suppl/10.7326/M20-6817/suppl_file/M20-6817_Supplement.pdf" TargetMode="External"/><Relationship Id="rId73" Type="http://schemas.openxmlformats.org/officeDocument/2006/relationships/hyperlink" Target="https://www.acpjournals.org/doi/10.7326/M20-6817" TargetMode="External"/><Relationship Id="rId78" Type="http://schemas.openxmlformats.org/officeDocument/2006/relationships/hyperlink" Target="https://www.acpjournals.org/doi/10.7326/M20-6817" TargetMode="External"/><Relationship Id="rId81" Type="http://schemas.openxmlformats.org/officeDocument/2006/relationships/hyperlink" Target="https://www.acpjournals.org/doi/10.7326/M20-6817" TargetMode="External"/><Relationship Id="rId86" Type="http://schemas.openxmlformats.org/officeDocument/2006/relationships/hyperlink" Target="https://www.acpjournals.org/doi/10.7326/M20-6817" TargetMode="External"/><Relationship Id="rId94" Type="http://schemas.openxmlformats.org/officeDocument/2006/relationships/hyperlink" Target="https://www.acpjournals.org/doi/suppl/10.7326/M20-6817/suppl_file/M20-6817_Supplement.pdf" TargetMode="External"/><Relationship Id="rId99" Type="http://schemas.openxmlformats.org/officeDocument/2006/relationships/hyperlink" Target="https://www.acpjournals.org/doi/10.7326/M20-6817" TargetMode="External"/><Relationship Id="rId101" Type="http://schemas.openxmlformats.org/officeDocument/2006/relationships/hyperlink" Target="https://www.acpjournals.org/doi/10.7326/M20-6817" TargetMode="External"/><Relationship Id="rId4" Type="http://schemas.openxmlformats.org/officeDocument/2006/relationships/webSettings" Target="webSettings.xml"/><Relationship Id="rId9" Type="http://schemas.openxmlformats.org/officeDocument/2006/relationships/hyperlink" Target="https://doi.org/10.7326/M20-6817" TargetMode="External"/><Relationship Id="rId13" Type="http://schemas.openxmlformats.org/officeDocument/2006/relationships/hyperlink" Target="https://www.acpjournals.org/doi/abs/10.7326/M20-6817" TargetMode="External"/><Relationship Id="rId18" Type="http://schemas.openxmlformats.org/officeDocument/2006/relationships/hyperlink" Target="https://www.acpjournals.org/doi/10.7326/M20-6817" TargetMode="External"/><Relationship Id="rId39" Type="http://schemas.openxmlformats.org/officeDocument/2006/relationships/hyperlink" Target="https://www.acpjournals.org/doi/10.7326/M20-6817" TargetMode="External"/><Relationship Id="rId34" Type="http://schemas.openxmlformats.org/officeDocument/2006/relationships/hyperlink" Target="https://www.acpjournals.org/doi/10.7326/M20-6817" TargetMode="External"/><Relationship Id="rId50" Type="http://schemas.openxmlformats.org/officeDocument/2006/relationships/hyperlink" Target="https://www.acpjournals.org/doi/10.7326/M20-6817" TargetMode="External"/><Relationship Id="rId55" Type="http://schemas.openxmlformats.org/officeDocument/2006/relationships/hyperlink" Target="https://www.acpjournals.org/doi/10.7326/M20-6817" TargetMode="External"/><Relationship Id="rId76" Type="http://schemas.openxmlformats.org/officeDocument/2006/relationships/hyperlink" Target="https://www.acpjournals.org/doi/10.7326/M20-6817" TargetMode="External"/><Relationship Id="rId97" Type="http://schemas.openxmlformats.org/officeDocument/2006/relationships/hyperlink" Target="https://www.acpjournals.org/doi/suppl/10.7326/M20-6817/suppl_file/M20-6817_Supplement.pdf" TargetMode="External"/><Relationship Id="rId10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21</Pages>
  <Words>5893</Words>
  <Characters>33592</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State of Minnesota</Company>
  <LinksUpToDate>false</LinksUpToDate>
  <CharactersWithSpaces>39407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Danila, Richard (MDH)</dc:creator>
  <cp:keywords/>
  <dc:description/>
  <cp:lastModifiedBy>Danila, Richard (MDH)</cp:lastModifiedBy>
  <cp:revision>1</cp:revision>
  <dcterms:created xsi:type="dcterms:W3CDTF">2020-11-19T00:14:00Z</dcterms:created>
  <dcterms:modified xsi:type="dcterms:W3CDTF">2020-11-19T00:15:00Z</dcterms:modified>
</cp:coreProperties>
</file>