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14A" w:rsidRDefault="00417FD2" w:rsidP="00145E11">
      <w:pPr>
        <w:spacing w:after="0"/>
      </w:pPr>
      <w:r>
        <w:t>CSTE Data Standardization Workgroup</w:t>
      </w:r>
    </w:p>
    <w:p w:rsidR="00145E11" w:rsidRDefault="00145E11" w:rsidP="00145E11">
      <w:pPr>
        <w:spacing w:after="0"/>
      </w:pPr>
    </w:p>
    <w:p w:rsidR="00417FD2" w:rsidRPr="00145E11" w:rsidRDefault="00417FD2" w:rsidP="00145E11">
      <w:pPr>
        <w:spacing w:after="0"/>
        <w:rPr>
          <w:b/>
        </w:rPr>
      </w:pPr>
      <w:r w:rsidRPr="00145E11">
        <w:rPr>
          <w:b/>
        </w:rPr>
        <w:t>Discussion: Diagnosis Date</w:t>
      </w:r>
      <w:bookmarkStart w:id="0" w:name="_GoBack"/>
      <w:bookmarkEnd w:id="0"/>
    </w:p>
    <w:p w:rsidR="00417FD2" w:rsidRDefault="00417FD2" w:rsidP="00145E11">
      <w:pPr>
        <w:spacing w:after="0"/>
      </w:pPr>
      <w:r>
        <w:t>Responses from California programs</w:t>
      </w:r>
    </w:p>
    <w:p w:rsidR="00145E11" w:rsidRDefault="00145E11">
      <w:pPr>
        <w:rPr>
          <w:b/>
          <w:u w:val="single"/>
        </w:rPr>
      </w:pPr>
    </w:p>
    <w:p w:rsidR="00417FD2" w:rsidRDefault="00417FD2">
      <w:pPr>
        <w:rPr>
          <w:b/>
          <w:u w:val="single"/>
        </w:rPr>
      </w:pPr>
      <w:r w:rsidRPr="00417FD2">
        <w:rPr>
          <w:b/>
          <w:u w:val="single"/>
        </w:rPr>
        <w:t>TB Program</w:t>
      </w:r>
    </w:p>
    <w:p w:rsidR="00417FD2" w:rsidRDefault="00417FD2" w:rsidP="00417FD2">
      <w:pPr>
        <w:rPr>
          <w:rFonts w:ascii="Arial" w:hAnsi="Arial" w:cs="Arial"/>
          <w:b/>
          <w:bCs/>
          <w:sz w:val="20"/>
          <w:szCs w:val="20"/>
        </w:rPr>
      </w:pPr>
      <w:r>
        <w:rPr>
          <w:b/>
          <w:bCs/>
        </w:rPr>
        <w:t>Diagnosis date for Tuberculosis, California</w:t>
      </w:r>
    </w:p>
    <w:p w:rsidR="00417FD2" w:rsidRDefault="00417FD2" w:rsidP="00417FD2">
      <w:r>
        <w:t>The TB case report form has two dates that may be relevant for this.</w:t>
      </w:r>
    </w:p>
    <w:p w:rsidR="00417FD2" w:rsidRDefault="00417FD2" w:rsidP="00417FD2">
      <w:r>
        <w:rPr>
          <w:u w:val="single"/>
        </w:rPr>
        <w:t>Report Date</w:t>
      </w:r>
      <w:r>
        <w:t xml:space="preserve">:  This is the date that a suspected case of TB is brought to the attention of a local health department, so in most instances the case is probably not yet confirmed (diagnosed).  </w:t>
      </w:r>
    </w:p>
    <w:p w:rsidR="00417FD2" w:rsidRDefault="00417FD2" w:rsidP="00417FD2">
      <w:r>
        <w:t xml:space="preserve">More relevant for diagnosis is </w:t>
      </w:r>
      <w:r>
        <w:rPr>
          <w:u w:val="single"/>
        </w:rPr>
        <w:t>Count Date</w:t>
      </w:r>
      <w:r>
        <w:t xml:space="preserve">.  For culture confirmed cases (80-85%) this will be the date the culture or NAAT results become available to the HD/provider. For clinically confirmed cases (15-20%) there is not such a well-defined date.  It may be the when the chest x-ray improves on TB meds for example, and is usually accompanied by review and sign-off of the local TB controller that the person does have TB.   </w:t>
      </w:r>
    </w:p>
    <w:p w:rsidR="00417FD2" w:rsidRDefault="00417FD2" w:rsidP="00417FD2">
      <w:r>
        <w:t xml:space="preserve">TB is generally considered difficult to diagnose as there is not always a definitive culture or blood test, so sometimes have to rely on a constellation of sign and symptoms of TB.  </w:t>
      </w:r>
    </w:p>
    <w:p w:rsidR="00417FD2" w:rsidRDefault="00417FD2" w:rsidP="00417FD2"/>
    <w:p w:rsidR="00417FD2" w:rsidRDefault="00417FD2" w:rsidP="00417FD2">
      <w:pPr>
        <w:rPr>
          <w:b/>
          <w:u w:val="single"/>
        </w:rPr>
      </w:pPr>
      <w:r>
        <w:rPr>
          <w:b/>
          <w:u w:val="single"/>
        </w:rPr>
        <w:t>Immunization Branch</w:t>
      </w:r>
    </w:p>
    <w:p w:rsidR="00417FD2" w:rsidRDefault="00417FD2" w:rsidP="00417FD2">
      <w:r w:rsidRPr="00417FD2">
        <w:t>Diagnosis date has not typically been a useful date, on its own, for surveillance of vaccine preventable diseases.  The only way that diagnosis date is used for our surveillance purposes is as one of the dates in the hierarchy of episode date.  We’ve never used this date for analysis purposes or public health action (ex. Prophylaxis of exposed individuals or quarantine).</w:t>
      </w:r>
    </w:p>
    <w:p w:rsidR="00417FD2" w:rsidRDefault="00417FD2" w:rsidP="00417FD2"/>
    <w:p w:rsidR="00417FD2" w:rsidRPr="00417FD2" w:rsidRDefault="00417FD2" w:rsidP="00417FD2">
      <w:pPr>
        <w:rPr>
          <w:b/>
          <w:u w:val="single"/>
        </w:rPr>
      </w:pPr>
      <w:r w:rsidRPr="00417FD2">
        <w:rPr>
          <w:b/>
          <w:u w:val="single"/>
        </w:rPr>
        <w:t>Infectious Diseases Branch</w:t>
      </w:r>
    </w:p>
    <w:p w:rsidR="00417FD2" w:rsidRPr="00417FD2" w:rsidRDefault="00417FD2" w:rsidP="00417FD2">
      <w:pPr>
        <w:pStyle w:val="ListParagraph"/>
        <w:numPr>
          <w:ilvl w:val="0"/>
          <w:numId w:val="1"/>
        </w:numPr>
      </w:pPr>
      <w:r w:rsidRPr="00417FD2">
        <w:t>The conditions that constitute a diagnosis—and thereby the date thereof—are highly variable across the spectrum of notifiable diseases and an attempt to construct a global definition to encompass that myriad of diseases would be challenging, if not ultimately futile.</w:t>
      </w:r>
    </w:p>
    <w:p w:rsidR="00417FD2" w:rsidRPr="00417FD2" w:rsidRDefault="00417FD2" w:rsidP="00417FD2">
      <w:pPr>
        <w:pStyle w:val="ListParagraph"/>
        <w:numPr>
          <w:ilvl w:val="0"/>
          <w:numId w:val="1"/>
        </w:numPr>
      </w:pPr>
      <w:r w:rsidRPr="00417FD2">
        <w:t>To date, we have rarely, if ever, found Diagnosis Date either useful for immediate public health actions or epidemiologically tenable for surveillance analyses and reports.</w:t>
      </w:r>
    </w:p>
    <w:p w:rsidR="00417FD2" w:rsidRPr="00417FD2" w:rsidRDefault="00417FD2" w:rsidP="00417FD2">
      <w:pPr>
        <w:pStyle w:val="ListParagraph"/>
        <w:numPr>
          <w:ilvl w:val="0"/>
          <w:numId w:val="1"/>
        </w:numPr>
      </w:pPr>
      <w:r w:rsidRPr="00417FD2">
        <w:t xml:space="preserve">While Diagnosis Date is a field available in our </w:t>
      </w:r>
      <w:proofErr w:type="spellStart"/>
      <w:r w:rsidRPr="00417FD2">
        <w:t>CalREDIE</w:t>
      </w:r>
      <w:proofErr w:type="spellEnd"/>
      <w:r w:rsidRPr="00417FD2">
        <w:t xml:space="preserve"> case report forms, there is no guidance for how providers or local health departments should interpret and complete this field. In one review of several of our </w:t>
      </w:r>
      <w:proofErr w:type="spellStart"/>
      <w:r w:rsidRPr="00417FD2">
        <w:t>enterics</w:t>
      </w:r>
      <w:proofErr w:type="spellEnd"/>
      <w:r w:rsidRPr="00417FD2">
        <w:t xml:space="preserve"> diseases, approximately 45% had data entered under Diagnosis Date, but we have no understanding of what these dates represent.</w:t>
      </w:r>
    </w:p>
    <w:p w:rsidR="00417FD2" w:rsidRPr="00417FD2" w:rsidRDefault="00417FD2" w:rsidP="00417FD2">
      <w:pPr>
        <w:pStyle w:val="ListParagraph"/>
        <w:numPr>
          <w:ilvl w:val="0"/>
          <w:numId w:val="1"/>
        </w:numPr>
      </w:pPr>
      <w:r w:rsidRPr="00417FD2">
        <w:t>The closest proxy to Diagnosis Date that we could identify was Lab Report Date. However, there is no one-to-one correspondence as each case of each disease could have multiple compatible laboratory test results and it would prove complicated to attempt to identify a single—or even coherent set of—results to constitute the proxy Diagnosis Date.</w:t>
      </w:r>
    </w:p>
    <w:p w:rsidR="00417FD2" w:rsidRDefault="00417FD2" w:rsidP="00417FD2"/>
    <w:p w:rsidR="00417FD2" w:rsidRDefault="00417FD2" w:rsidP="00417FD2">
      <w:pPr>
        <w:rPr>
          <w:b/>
          <w:u w:val="single"/>
        </w:rPr>
      </w:pPr>
      <w:r>
        <w:rPr>
          <w:b/>
          <w:u w:val="single"/>
        </w:rPr>
        <w:lastRenderedPageBreak/>
        <w:t>Sexually Transmitted Diseases Branch</w:t>
      </w:r>
    </w:p>
    <w:p w:rsidR="00417FD2" w:rsidRPr="00417FD2" w:rsidRDefault="00417FD2" w:rsidP="00417FD2">
      <w:r w:rsidRPr="00417FD2">
        <w:t xml:space="preserve">For STD, diagnosis date is usually based on a BEST DATE approach starting with the specimen collection date, then test positive date, and then diagnosis date if provided by a clinician on the CMR especially if no test was done and the patient was treated presumptively. </w:t>
      </w:r>
    </w:p>
    <w:p w:rsidR="00417FD2" w:rsidRPr="00417FD2" w:rsidRDefault="00417FD2" w:rsidP="00417FD2"/>
    <w:p w:rsidR="00417FD2" w:rsidRPr="00417FD2" w:rsidRDefault="00417FD2" w:rsidP="00417FD2"/>
    <w:sectPr w:rsidR="00417FD2" w:rsidRPr="00417F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B73998"/>
    <w:multiLevelType w:val="hybridMultilevel"/>
    <w:tmpl w:val="E55224F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D2"/>
    <w:rsid w:val="00145E11"/>
    <w:rsid w:val="00417FD2"/>
    <w:rsid w:val="00B1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4F23"/>
  <w15:chartTrackingRefBased/>
  <w15:docId w15:val="{8E37E99E-E5DE-48DB-89AD-E7DE0590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FD2"/>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8453">
      <w:bodyDiv w:val="1"/>
      <w:marLeft w:val="0"/>
      <w:marRight w:val="0"/>
      <w:marTop w:val="0"/>
      <w:marBottom w:val="0"/>
      <w:divBdr>
        <w:top w:val="none" w:sz="0" w:space="0" w:color="auto"/>
        <w:left w:val="none" w:sz="0" w:space="0" w:color="auto"/>
        <w:bottom w:val="none" w:sz="0" w:space="0" w:color="auto"/>
        <w:right w:val="none" w:sz="0" w:space="0" w:color="auto"/>
      </w:divBdr>
    </w:div>
    <w:div w:id="1017006764">
      <w:bodyDiv w:val="1"/>
      <w:marLeft w:val="0"/>
      <w:marRight w:val="0"/>
      <w:marTop w:val="0"/>
      <w:marBottom w:val="0"/>
      <w:divBdr>
        <w:top w:val="none" w:sz="0" w:space="0" w:color="auto"/>
        <w:left w:val="none" w:sz="0" w:space="0" w:color="auto"/>
        <w:bottom w:val="none" w:sz="0" w:space="0" w:color="auto"/>
        <w:right w:val="none" w:sz="0" w:space="0" w:color="auto"/>
      </w:divBdr>
    </w:div>
    <w:div w:id="150277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CDPH</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Naguit, Marijoyce (CDPH-CID-DCDC-CDER)</dc:creator>
  <cp:keywords/>
  <dc:description/>
  <cp:lastModifiedBy>Naguit, Marijoyce (CDPH-CID-DCDC-CDER)</cp:lastModifiedBy>
  <cp:revision>2</cp:revision>
  <dcterms:created xsi:type="dcterms:W3CDTF">2018-04-11T22:32:00Z</dcterms:created>
  <dcterms:modified xsi:type="dcterms:W3CDTF">2018-04-11T22:40:00Z</dcterms:modified>
</cp:coreProperties>
</file>