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Svetlana Smorodinsky, Jason Wilken, Mary Anne Duncan,</w:t>
      </w:r>
      <w:r w:rsidR="005449E9" w:rsidRPr="00D5129F">
        <w:rPr>
          <w:rFonts w:eastAsia="Times New Roman"/>
          <w:sz w:val="20"/>
          <w:szCs w:val="20"/>
          <w:lang w:val="en"/>
        </w:rPr>
        <w:t xml:space="preserve"> Alice </w:t>
      </w:r>
      <w:proofErr w:type="spellStart"/>
      <w:r w:rsidR="005449E9" w:rsidRPr="00D5129F">
        <w:rPr>
          <w:rFonts w:eastAsia="Times New Roman"/>
          <w:sz w:val="20"/>
          <w:szCs w:val="20"/>
          <w:lang w:val="en"/>
        </w:rPr>
        <w:t>Schumate</w:t>
      </w:r>
      <w:proofErr w:type="spellEnd"/>
      <w:r w:rsidR="005449E9" w:rsidRPr="00D5129F">
        <w:rPr>
          <w:rFonts w:eastAsia="Times New Roman"/>
          <w:sz w:val="20"/>
          <w:szCs w:val="20"/>
          <w:lang w:val="en"/>
        </w:rPr>
        <w:t>,</w:t>
      </w:r>
      <w:r w:rsidRPr="00D5129F">
        <w:rPr>
          <w:rFonts w:eastAsia="Times New Roman"/>
          <w:sz w:val="20"/>
          <w:szCs w:val="20"/>
          <w:lang w:val="en"/>
        </w:rPr>
        <w:t xml:space="preserve"> Erica Thomasson</w:t>
      </w:r>
      <w:r w:rsidR="00F40613">
        <w:rPr>
          <w:rFonts w:eastAsia="Times New Roman"/>
          <w:sz w:val="20"/>
          <w:szCs w:val="20"/>
          <w:lang w:val="en"/>
        </w:rPr>
        <w:t>, Joy Hsu</w:t>
      </w:r>
    </w:p>
    <w:p w:rsidR="009E3974" w:rsidRPr="00D5129F" w:rsidRDefault="009E3974" w:rsidP="005254BB">
      <w:pPr>
        <w:spacing w:after="0" w:line="240" w:lineRule="auto"/>
        <w:rPr>
          <w:rFonts w:eastAsia="Times New Roman"/>
          <w:sz w:val="20"/>
          <w:szCs w:val="20"/>
          <w:lang w:val="en"/>
        </w:rPr>
      </w:pPr>
    </w:p>
    <w:p w:rsidR="009E3974" w:rsidRPr="00D5129F" w:rsidRDefault="009E3974" w:rsidP="005254BB">
      <w:pPr>
        <w:spacing w:after="0" w:line="240" w:lineRule="auto"/>
        <w:rPr>
          <w:rFonts w:eastAsia="Times New Roman"/>
          <w:i/>
          <w:sz w:val="20"/>
          <w:szCs w:val="20"/>
          <w:lang w:val="en"/>
        </w:rPr>
      </w:pPr>
      <w:r w:rsidRPr="00D5129F">
        <w:rPr>
          <w:rFonts w:eastAsia="Times New Roman"/>
          <w:i/>
          <w:sz w:val="20"/>
          <w:szCs w:val="20"/>
          <w:lang w:val="en"/>
        </w:rPr>
        <w:t>Dedicated to Mary Anne Duncan</w:t>
      </w:r>
    </w:p>
    <w:p w:rsidR="00467B4A" w:rsidRPr="00D5129F" w:rsidRDefault="00467B4A" w:rsidP="005254BB">
      <w:pPr>
        <w:spacing w:after="0" w:line="240" w:lineRule="auto"/>
        <w:rPr>
          <w:b/>
          <w:sz w:val="20"/>
          <w:szCs w:val="20"/>
        </w:rPr>
      </w:pPr>
    </w:p>
    <w:p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rsidR="00467B4A" w:rsidRPr="00D5129F" w:rsidRDefault="00467B4A"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rsidR="003778A5" w:rsidRPr="00D5129F" w:rsidRDefault="003778A5"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In 2010, the Agency for Toxic Substances and Disease Registry developed the Assessment of Chemical Exposures (ACE) program to assist local/state health agencies to respond to acute chemical incidents. The program developed the ACE toolkit (</w:t>
      </w:r>
      <w:hyperlink r:id="rId6" w:history="1">
        <w:r w:rsidR="00674BF6" w:rsidRPr="00371F9B">
          <w:rPr>
            <w:rStyle w:val="Hyperlink"/>
            <w:sz w:val="20"/>
            <w:szCs w:val="20"/>
          </w:rPr>
          <w:t>https://www.atsdr.cdc.gov/ntsip/ace_toolkit.html)—surveys</w:t>
        </w:r>
      </w:hyperlink>
      <w:r w:rsidR="00674BF6">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Data collected from ACE investigations has been used to:</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 to future mass-casualty incidents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7" w:history="1">
        <w:r w:rsidR="003778A5" w:rsidRPr="00D5129F">
          <w:rPr>
            <w:rStyle w:val="Hyperlink"/>
            <w:sz w:val="20"/>
            <w:szCs w:val="20"/>
          </w:rPr>
          <w:t>https://cdc.train.org/DesktopModules/eLearning/CourseDetails/CourseDetailsForm.aspx?courseId=1060828</w:t>
        </w:r>
      </w:hyperlink>
      <w:r w:rsidRPr="00D5129F">
        <w:rPr>
          <w:sz w:val="20"/>
          <w:szCs w:val="20"/>
        </w:rPr>
        <w:t>), and a day-long in-person ACE course.</w:t>
      </w:r>
    </w:p>
    <w:p w:rsidR="00652871" w:rsidRPr="00D5129F" w:rsidRDefault="00652871" w:rsidP="005254BB">
      <w:pPr>
        <w:spacing w:after="0" w:line="240" w:lineRule="auto"/>
        <w:rPr>
          <w:rFonts w:eastAsia="Times New Roman"/>
          <w:iCs/>
          <w:sz w:val="20"/>
          <w:szCs w:val="20"/>
          <w:lang w:val="en"/>
        </w:rPr>
      </w:pPr>
    </w:p>
    <w:p w:rsidR="003778A5" w:rsidRPr="00D5129F" w:rsidRDefault="003778A5" w:rsidP="001B0664">
      <w:pPr>
        <w:pStyle w:val="Heading2"/>
        <w:rPr>
          <w:rFonts w:eastAsia="Times New Roman"/>
          <w:lang w:val="en"/>
        </w:rPr>
      </w:pPr>
      <w:r w:rsidRPr="00674BF6">
        <w:rPr>
          <w:rFonts w:eastAsia="Times New Roman"/>
          <w:color w:val="0070C0"/>
          <w:lang w:val="en"/>
        </w:rPr>
        <w:t>Case Studies</w:t>
      </w:r>
    </w:p>
    <w:p w:rsidR="00C71F17" w:rsidRPr="00D5129F" w:rsidRDefault="00C71F17" w:rsidP="005254BB">
      <w:pPr>
        <w:spacing w:after="0" w:line="240" w:lineRule="auto"/>
        <w:rPr>
          <w:rFonts w:eastAsia="Times New Roman"/>
          <w:b/>
          <w:iCs/>
          <w:sz w:val="20"/>
          <w:szCs w:val="20"/>
          <w:lang w:val="en"/>
        </w:rPr>
      </w:pPr>
    </w:p>
    <w:p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w:t>
      </w:r>
      <w:r>
        <w:rPr>
          <w:sz w:val="20"/>
          <w:szCs w:val="20"/>
        </w:rPr>
        <w:t>and h</w:t>
      </w:r>
      <w:r w:rsidRPr="00D5129F">
        <w:rPr>
          <w:sz w:val="20"/>
          <w:szCs w:val="20"/>
        </w:rPr>
        <w:t xml:space="preserve">ospital emergency departments reported hundreds of visits by persons reporting exposure to contaminated water.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understand why people were seeking care at the emergency department following reported exposure to the contaminated water and to determine if the symptoms were serious.</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w:t>
      </w:r>
      <w:r>
        <w:rPr>
          <w:sz w:val="20"/>
          <w:szCs w:val="20"/>
        </w:rPr>
        <w:t xml:space="preserve"> reviewed</w:t>
      </w:r>
      <w:r w:rsidRPr="00D5129F">
        <w:rPr>
          <w:sz w:val="20"/>
          <w:szCs w:val="20"/>
        </w:rPr>
        <w:t>.</w:t>
      </w:r>
      <w:r>
        <w:rPr>
          <w:sz w:val="20"/>
          <w:szCs w:val="20"/>
        </w:rPr>
        <w:t xml:space="preserve"> Exclusion criteria were created to eliminate medical records not related to the chemical spill. </w:t>
      </w:r>
      <w:r w:rsidRPr="00D5129F">
        <w:rPr>
          <w:sz w:val="20"/>
          <w:szCs w:val="20"/>
        </w:rPr>
        <w:t>Records were excluded when a patient left without being seen by a physician, no exposure was recorded in the record, an alternate diagnosis was more likely to have caused a patient’s symptoms, no symptoms were reported</w:t>
      </w:r>
      <w:r>
        <w:rPr>
          <w:sz w:val="20"/>
          <w:szCs w:val="20"/>
        </w:rPr>
        <w:t xml:space="preserve"> by the patient (i.e. emergency department visit was because of concern)</w:t>
      </w:r>
      <w:r w:rsidRPr="00D5129F">
        <w:rPr>
          <w:sz w:val="20"/>
          <w:szCs w:val="20"/>
        </w:rPr>
        <w:t xml:space="preserve">, and </w:t>
      </w:r>
      <w:r>
        <w:rPr>
          <w:sz w:val="20"/>
          <w:szCs w:val="20"/>
        </w:rPr>
        <w:t xml:space="preserve">when </w:t>
      </w:r>
      <w:r w:rsidRPr="00D5129F">
        <w:rPr>
          <w:sz w:val="20"/>
          <w:szCs w:val="20"/>
        </w:rPr>
        <w:t xml:space="preserve">a patient was already seen in the emergency department for this same event. </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r>
        <w:rPr>
          <w:sz w:val="20"/>
          <w:szCs w:val="20"/>
        </w:rPr>
        <w:t xml:space="preserve">was abstracted </w:t>
      </w:r>
      <w:r w:rsidRPr="00D5129F">
        <w:rPr>
          <w:sz w:val="20"/>
          <w:szCs w:val="20"/>
        </w:rPr>
        <w:t xml:space="preserve">from the medical records: patient demographics, prior medical history, routes of exposure, reported symptoms, test outcomes, diagnoses, and treatment. Data were managed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were published in </w:t>
      </w:r>
      <w:r w:rsidRPr="00D5129F">
        <w:rPr>
          <w:i/>
          <w:sz w:val="20"/>
          <w:szCs w:val="20"/>
        </w:rPr>
        <w:t>Public Health Reports</w:t>
      </w:r>
      <w:r w:rsidRPr="00D5129F">
        <w:rPr>
          <w:sz w:val="20"/>
          <w:szCs w:val="20"/>
        </w:rPr>
        <w:t xml:space="preserve"> (</w:t>
      </w:r>
      <w:hyperlink r:id="rId8" w:history="1">
        <w:r w:rsidRPr="00D5129F">
          <w:rPr>
            <w:rStyle w:val="Hyperlink"/>
            <w:sz w:val="20"/>
            <w:szCs w:val="20"/>
          </w:rPr>
          <w:t>http://dx.doi.org/10.1177/0033354917691257</w:t>
        </w:r>
      </w:hyperlink>
      <w:r w:rsidRPr="00D5129F">
        <w:rPr>
          <w:sz w:val="20"/>
          <w:szCs w:val="20"/>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Pr>
          <w:sz w:val="20"/>
          <w:szCs w:val="20"/>
        </w:rPr>
        <w:t>The survey included questions from the ACE toolkit’s Hospital Survey and was conducted approximately two weeks after the chemical spill, involving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Because of winter weather, surveys were administered either in person or by phone, depending on the road conditions for each day. Survey data were analyzed using Microsoft Excel.</w:t>
      </w:r>
    </w:p>
    <w:p w:rsidR="00C42A39" w:rsidRDefault="00C42A39" w:rsidP="00C42A39">
      <w:pPr>
        <w:autoSpaceDE w:val="0"/>
        <w:autoSpaceDN w:val="0"/>
        <w:adjustRightInd w:val="0"/>
        <w:spacing w:after="0" w:line="240" w:lineRule="auto"/>
        <w:rPr>
          <w:sz w:val="20"/>
          <w:szCs w:val="20"/>
        </w:rPr>
      </w:pPr>
    </w:p>
    <w:p w:rsidR="00C42A39" w:rsidRPr="00CE3406" w:rsidRDefault="00C42A39" w:rsidP="00C42A39">
      <w:pPr>
        <w:autoSpaceDE w:val="0"/>
        <w:autoSpaceDN w:val="0"/>
        <w:adjustRightInd w:val="0"/>
        <w:spacing w:after="0" w:line="240" w:lineRule="auto"/>
        <w:rPr>
          <w:sz w:val="20"/>
          <w:szCs w:val="20"/>
        </w:rPr>
      </w:pPr>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r w:rsidRPr="00451181">
        <w:rPr>
          <w:sz w:val="20"/>
          <w:szCs w:val="20"/>
        </w:rPr>
        <w:t>https://www.cdc.gov/hai/organisms/cdiff/cdiff_faqs_hcp.html</w:t>
      </w:r>
      <w:r>
        <w:rPr>
          <w:sz w:val="20"/>
          <w:szCs w:val="20"/>
        </w:rPr>
        <w:t>]</w:t>
      </w:r>
      <w:r w:rsidRPr="005918B3">
        <w:rPr>
          <w:sz w:val="20"/>
          <w:szCs w:val="20"/>
        </w:rPr>
        <w:t>).</w:t>
      </w:r>
      <w:r>
        <w:rPr>
          <w:sz w:val="20"/>
          <w:szCs w:val="20"/>
        </w:rPr>
        <w:t xml:space="preserve"> The complete results of this investigation were published in </w:t>
      </w:r>
      <w:r>
        <w:rPr>
          <w:i/>
          <w:sz w:val="20"/>
          <w:szCs w:val="20"/>
        </w:rPr>
        <w:t xml:space="preserve">Disaster Medicine and Public Health Preparedness </w:t>
      </w:r>
      <w:r>
        <w:rPr>
          <w:sz w:val="20"/>
          <w:szCs w:val="20"/>
        </w:rPr>
        <w:t>(</w:t>
      </w:r>
      <w:hyperlink r:id="rId9" w:tgtFrame="_blank" w:history="1">
        <w:r w:rsidRPr="00CE3406">
          <w:rPr>
            <w:rStyle w:val="Hyperlink"/>
            <w:sz w:val="20"/>
            <w:szCs w:val="20"/>
            <w:lang w:val="en"/>
          </w:rPr>
          <w:t>https://doi.org/10.1017/dmp.2016.193</w:t>
        </w:r>
      </w:hyperlink>
      <w:r>
        <w:rPr>
          <w:sz w:val="20"/>
          <w:szCs w:val="20"/>
        </w:rPr>
        <w:t>).</w:t>
      </w:r>
    </w:p>
    <w:p w:rsidR="00C42A39" w:rsidRDefault="00C42A39" w:rsidP="00C42A39">
      <w:pPr>
        <w:autoSpaceDE w:val="0"/>
        <w:autoSpaceDN w:val="0"/>
        <w:adjustRightInd w:val="0"/>
        <w:spacing w:after="0" w:line="240" w:lineRule="auto"/>
        <w:rPr>
          <w:b/>
          <w:sz w:val="20"/>
          <w:szCs w:val="20"/>
        </w:rPr>
      </w:pPr>
    </w:p>
    <w:p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rsidR="00212D99" w:rsidRDefault="00212D99" w:rsidP="00C42A39">
      <w:pPr>
        <w:autoSpaceDE w:val="0"/>
        <w:autoSpaceDN w:val="0"/>
        <w:adjustRightInd w:val="0"/>
        <w:spacing w:after="0" w:line="240" w:lineRule="auto"/>
        <w:rPr>
          <w:b/>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large scale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xml:space="preserve">. Medical chart reviews are time and labor intensive and a clear case definition would help narrow the scope of the review and enable the investigation to be conducted in a timely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health 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Pr="00D5129F">
        <w:rPr>
          <w:sz w:val="20"/>
          <w:szCs w:val="20"/>
        </w:rPr>
        <w:t>A standardized clinical case definition should be utilized to identify exposed persons when toxicological data for a chemical are available.</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 xml:space="preserve">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rsidR="00C42A39" w:rsidRDefault="00C42A39" w:rsidP="00C42A39">
      <w:pPr>
        <w:autoSpaceDE w:val="0"/>
        <w:autoSpaceDN w:val="0"/>
        <w:adjustRightInd w:val="0"/>
        <w:spacing w:after="0" w:line="240" w:lineRule="auto"/>
        <w:rPr>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r w:rsidRPr="00451181">
        <w:rPr>
          <w:sz w:val="20"/>
          <w:szCs w:val="20"/>
        </w:rPr>
        <w:t>https://www.cdc.gov/healthywater/pdf/emergency/emergency-water-supply-planning-guide.pdf</w:t>
      </w:r>
      <w:r>
        <w:rPr>
          <w:sz w:val="20"/>
          <w:szCs w:val="20"/>
        </w:rPr>
        <w:t xml:space="preserve">].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more multifaceted picture of the acute health effects associated with this chemical spill.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10" w:history="1">
        <w:r w:rsidRPr="00D5129F">
          <w:rPr>
            <w:rStyle w:val="Hyperlink"/>
            <w:sz w:val="20"/>
            <w:szCs w:val="20"/>
          </w:rPr>
          <w:t>http://dx.doi.org/10.1177/0033354916689606</w:t>
        </w:r>
      </w:hyperlink>
      <w:r w:rsidRPr="00D5129F">
        <w:rPr>
          <w:sz w:val="20"/>
          <w:szCs w:val="20"/>
        </w:rPr>
        <w:t>).</w:t>
      </w:r>
      <w:r>
        <w:rPr>
          <w:sz w:val="20"/>
          <w:szCs w:val="20"/>
        </w:rPr>
        <w:t xml:space="preserve">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 xml:space="preserve">t the time of this incident, there was limited infrastructure in place to conduct investigations such as ACE and minimal awareness of disaster epidemiology utility in emergency response. Establishing collaboration across multiple disciplines and across multiple levels of government and securing buy-in from stakeholder leadership (first response organizations, healthcare, public health, </w:t>
      </w:r>
      <w:proofErr w:type="spellStart"/>
      <w:r>
        <w:rPr>
          <w:sz w:val="20"/>
          <w:szCs w:val="20"/>
        </w:rPr>
        <w:t>etc</w:t>
      </w:r>
      <w:proofErr w:type="spellEnd"/>
      <w:r>
        <w:rPr>
          <w:sz w:val="20"/>
          <w:szCs w:val="20"/>
        </w:rPr>
        <w:t xml:space="preserve">) is crucial for effective response to emergencies such as MCHM spill.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sz w:val="20"/>
          <w:szCs w:val="20"/>
        </w:rPr>
      </w:pPr>
      <w:r w:rsidRPr="00D5129F">
        <w:rPr>
          <w:sz w:val="20"/>
          <w:szCs w:val="20"/>
        </w:rPr>
        <w:t xml:space="preserve">State or local jurisdictions should consider conducting training in disaster epidemiology methods to build capacity and raise awareness and utilization of these tools among epidemiologists and personnel involved in emergency response, including hospital emergency response coordinators. </w:t>
      </w:r>
      <w:r>
        <w:rPr>
          <w:sz w:val="20"/>
          <w:szCs w:val="20"/>
        </w:rPr>
        <w:t xml:space="preserve">Since the investigation, the WVBPH coordinated with CDC/ATSDR and NIOSH to host a 3-day disaster epidemiology training, with participation </w:t>
      </w:r>
      <w:proofErr w:type="gramStart"/>
      <w:r>
        <w:rPr>
          <w:sz w:val="20"/>
          <w:szCs w:val="20"/>
        </w:rPr>
        <w:t>of about 70 responder,</w:t>
      </w:r>
      <w:proofErr w:type="gramEnd"/>
      <w:r>
        <w:rPr>
          <w:sz w:val="20"/>
          <w:szCs w:val="20"/>
        </w:rPr>
        <w:t xml:space="preserve"> healthcare, and public health staff from across the state.</w:t>
      </w:r>
    </w:p>
    <w:p w:rsidR="00C42A39" w:rsidRDefault="00C42A39" w:rsidP="00C42A39">
      <w:pPr>
        <w:autoSpaceDE w:val="0"/>
        <w:autoSpaceDN w:val="0"/>
        <w:adjustRightInd w:val="0"/>
        <w:spacing w:after="0" w:line="240" w:lineRule="auto"/>
        <w:rPr>
          <w:b/>
          <w:sz w:val="20"/>
          <w:szCs w:val="20"/>
        </w:rPr>
      </w:pPr>
    </w:p>
    <w:p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11" w:history="1">
        <w:r w:rsidRPr="00D5129F">
          <w:rPr>
            <w:rStyle w:val="Hyperlink"/>
            <w:sz w:val="20"/>
            <w:szCs w:val="20"/>
          </w:rPr>
          <w:t>http://dx.doi.org/10.1177/0033354917691257</w:t>
        </w:r>
      </w:hyperlink>
      <w:r w:rsidRPr="00D5129F">
        <w:rPr>
          <w:sz w:val="20"/>
          <w:szCs w:val="20"/>
        </w:rPr>
        <w:t>)</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2" w:history="1">
        <w:r w:rsidRPr="00D5129F">
          <w:rPr>
            <w:rStyle w:val="Hyperlink"/>
            <w:sz w:val="20"/>
            <w:szCs w:val="20"/>
          </w:rPr>
          <w:t>http://dx.doi.org/10.1177/0033354916689606</w:t>
        </w:r>
      </w:hyperlink>
      <w:r w:rsidRPr="00D5129F">
        <w:rPr>
          <w:sz w:val="20"/>
          <w:szCs w:val="20"/>
        </w:rPr>
        <w:t>)</w:t>
      </w:r>
    </w:p>
    <w:p w:rsidR="00C42A39"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 xml:space="preserve">Hospital Impact </w:t>
      </w:r>
      <w:proofErr w:type="gramStart"/>
      <w:r>
        <w:rPr>
          <w:sz w:val="20"/>
          <w:szCs w:val="20"/>
        </w:rPr>
        <w:t>After</w:t>
      </w:r>
      <w:proofErr w:type="gramEnd"/>
      <w:r>
        <w:rPr>
          <w:sz w:val="20"/>
          <w:szCs w:val="20"/>
        </w:rPr>
        <w:t xml:space="preserve"> a Chemical Spill That Compromised the Potable Water Supply: West Virginia, January 2014 (</w:t>
      </w:r>
      <w:hyperlink r:id="rId13" w:tgtFrame="_blank" w:history="1">
        <w:r w:rsidRPr="00CE3406">
          <w:rPr>
            <w:rStyle w:val="Hyperlink"/>
            <w:sz w:val="20"/>
            <w:szCs w:val="20"/>
            <w:lang w:val="en"/>
          </w:rPr>
          <w:t>https://doi.org/10.1017/dmp.2016.193</w:t>
        </w:r>
      </w:hyperlink>
      <w:r>
        <w:rPr>
          <w:sz w:val="20"/>
          <w:szCs w:val="20"/>
        </w:rPr>
        <w:t>)</w:t>
      </w:r>
    </w:p>
    <w:p w:rsidR="00C42A39" w:rsidRPr="00D5129F" w:rsidRDefault="00C42A39" w:rsidP="00C42A39">
      <w:pPr>
        <w:autoSpaceDE w:val="0"/>
        <w:autoSpaceDN w:val="0"/>
        <w:adjustRightInd w:val="0"/>
        <w:spacing w:after="0" w:line="240" w:lineRule="auto"/>
        <w:rPr>
          <w:sz w:val="20"/>
          <w:szCs w:val="20"/>
        </w:rPr>
      </w:pPr>
    </w:p>
    <w:p w:rsidR="00674BF6" w:rsidRDefault="00674BF6" w:rsidP="005254BB">
      <w:pPr>
        <w:autoSpaceDE w:val="0"/>
        <w:autoSpaceDN w:val="0"/>
        <w:adjustRightInd w:val="0"/>
        <w:spacing w:after="0" w:line="240" w:lineRule="auto"/>
        <w:rPr>
          <w:rStyle w:val="Heading3Char"/>
        </w:rPr>
      </w:pPr>
    </w:p>
    <w:p w:rsidR="00C42A39" w:rsidRDefault="00C42A39">
      <w:pPr>
        <w:rPr>
          <w:rStyle w:val="Heading3Char"/>
        </w:rPr>
      </w:pPr>
      <w:r>
        <w:rPr>
          <w:rStyle w:val="Heading3Char"/>
        </w:rPr>
        <w:br w:type="page"/>
      </w:r>
    </w:p>
    <w:p w:rsidR="00C71F17" w:rsidRPr="00D5129F" w:rsidRDefault="00C71F17" w:rsidP="005254BB">
      <w:pPr>
        <w:autoSpaceDE w:val="0"/>
        <w:autoSpaceDN w:val="0"/>
        <w:adjustRightInd w:val="0"/>
        <w:spacing w:after="0" w:line="240" w:lineRule="auto"/>
        <w:rPr>
          <w:sz w:val="20"/>
          <w:szCs w:val="20"/>
        </w:rPr>
      </w:pPr>
      <w:r w:rsidRPr="001B0664">
        <w:rPr>
          <w:rStyle w:val="Heading3Char"/>
        </w:rPr>
        <w:lastRenderedPageBreak/>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rsidR="00C71F17" w:rsidRPr="00D5129F" w:rsidRDefault="00C71F17" w:rsidP="005254BB">
      <w:pPr>
        <w:spacing w:after="0" w:line="240" w:lineRule="auto"/>
        <w:rPr>
          <w:rFonts w:eastAsia="Times New Roman"/>
          <w:b/>
          <w:sz w:val="20"/>
          <w:szCs w:val="20"/>
          <w:lang w:val="en"/>
        </w:rPr>
      </w:pPr>
    </w:p>
    <w:p w:rsidR="00F247B7" w:rsidRPr="00D5129F" w:rsidRDefault="00F247B7" w:rsidP="005254BB">
      <w:pPr>
        <w:spacing w:after="0" w:line="240" w:lineRule="auto"/>
        <w:rPr>
          <w:b/>
          <w:sz w:val="20"/>
          <w:szCs w:val="20"/>
        </w:rPr>
      </w:pPr>
      <w:r w:rsidRPr="00D5129F">
        <w:rPr>
          <w:b/>
          <w:sz w:val="20"/>
          <w:szCs w:val="20"/>
        </w:rPr>
        <w:t>Background</w:t>
      </w:r>
    </w:p>
    <w:p w:rsidR="00F247B7"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rsidR="00F247B7" w:rsidRPr="00D5129F" w:rsidRDefault="00F247B7" w:rsidP="005254BB">
      <w:pPr>
        <w:spacing w:after="0" w:line="240" w:lineRule="auto"/>
        <w:rPr>
          <w:b/>
          <w:sz w:val="20"/>
          <w:szCs w:val="20"/>
        </w:rPr>
      </w:pPr>
    </w:p>
    <w:p w:rsidR="00F247B7" w:rsidRPr="00D5129F" w:rsidRDefault="00F247B7" w:rsidP="005254BB">
      <w:pPr>
        <w:spacing w:after="0" w:line="240" w:lineRule="auto"/>
        <w:rPr>
          <w:b/>
          <w:sz w:val="20"/>
          <w:szCs w:val="20"/>
        </w:rPr>
      </w:pPr>
      <w:r w:rsidRPr="00D5129F">
        <w:rPr>
          <w:b/>
          <w:sz w:val="20"/>
          <w:szCs w:val="20"/>
        </w:rPr>
        <w:t>ACE implementation</w:t>
      </w:r>
    </w:p>
    <w:p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4" w:history="1">
        <w:r w:rsidRPr="00D5129F">
          <w:rPr>
            <w:rStyle w:val="Hyperlink"/>
            <w:sz w:val="20"/>
            <w:szCs w:val="20"/>
          </w:rPr>
          <w:t>https://stacks.cdc.gov/view/cdc/29040</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w:t>
      </w:r>
      <w:proofErr w:type="gramStart"/>
      <w:r w:rsidRPr="00D5129F">
        <w:rPr>
          <w:i/>
          <w:sz w:val="20"/>
          <w:szCs w:val="20"/>
        </w:rPr>
        <w:t>Toxicological profile for chlorine.</w:t>
      </w:r>
      <w:proofErr w:type="gramEnd"/>
      <w:r w:rsidRPr="00D5129F">
        <w:rPr>
          <w:i/>
          <w:sz w:val="20"/>
          <w:szCs w:val="20"/>
        </w:rPr>
        <w:t xml:space="preserve"> Atlanta: U.S. Department of Health and Human Services; 2010 Nov. </w:t>
      </w:r>
      <w:proofErr w:type="gramStart"/>
      <w:r w:rsidRPr="00D5129F">
        <w:rPr>
          <w:i/>
          <w:sz w:val="20"/>
          <w:szCs w:val="20"/>
        </w:rPr>
        <w:t>Accessible  online</w:t>
      </w:r>
      <w:proofErr w:type="gramEnd"/>
      <w:r w:rsidRPr="00D5129F">
        <w:rPr>
          <w:i/>
          <w:sz w:val="20"/>
          <w:szCs w:val="20"/>
        </w:rPr>
        <w:t xml:space="preserve"> at: </w:t>
      </w:r>
      <w:hyperlink r:id="rId15" w:history="1">
        <w:r w:rsidRPr="00D5129F">
          <w:rPr>
            <w:rStyle w:val="Hyperlink"/>
            <w:i/>
            <w:sz w:val="20"/>
            <w:szCs w:val="20"/>
          </w:rPr>
          <w:t>https://www.atsdr.cdc.gov/toxprofiles/tp172.pdf</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proofErr w:type="gramStart"/>
      <w:r w:rsidRPr="00D5129F">
        <w:rPr>
          <w:sz w:val="20"/>
          <w:szCs w:val="20"/>
        </w:rPr>
        <w:t>Figure 1.</w:t>
      </w:r>
      <w:proofErr w:type="gramEnd"/>
      <w:r w:rsidRPr="00D5129F">
        <w:rPr>
          <w:sz w:val="20"/>
          <w:szCs w:val="20"/>
        </w:rPr>
        <w:t xml:space="preserve"> Schematic of chlorine gas release at a metal recycling facility (from Kelsey et al., MMWR, 60(28):951–4).  </w:t>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noProof/>
          <w:sz w:val="20"/>
          <w:szCs w:val="20"/>
        </w:rPr>
        <w:lastRenderedPageBreak/>
        <w:drawing>
          <wp:inline distT="0" distB="0" distL="0" distR="0" wp14:anchorId="7E0DCB70" wp14:editId="72429693">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rsidR="00F247B7" w:rsidRPr="00D5129F" w:rsidRDefault="00F247B7" w:rsidP="005254BB">
      <w:pPr>
        <w:spacing w:after="0" w:line="240" w:lineRule="auto"/>
        <w:rPr>
          <w:sz w:val="20"/>
          <w:szCs w:val="20"/>
        </w:rPr>
      </w:pPr>
    </w:p>
    <w:p w:rsidR="00F247B7" w:rsidRDefault="00F247B7" w:rsidP="005254BB">
      <w:pPr>
        <w:spacing w:after="0" w:line="240" w:lineRule="auto"/>
        <w:rPr>
          <w:sz w:val="20"/>
          <w:szCs w:val="20"/>
        </w:rPr>
      </w:pPr>
      <w:r w:rsidRPr="00D5129F">
        <w:rPr>
          <w:sz w:val="20"/>
          <w:szCs w:val="20"/>
        </w:rPr>
        <w:t>At the conclusion of the investigation, CDPH created and distributed a Chemical Release Alert (</w:t>
      </w:r>
      <w:hyperlink r:id="rId17" w:history="1">
        <w:r w:rsidRPr="00D5129F">
          <w:rPr>
            <w:rStyle w:val="Hyperlink"/>
            <w:sz w:val="20"/>
            <w:szCs w:val="20"/>
          </w:rPr>
          <w:t>https://www.cdph.ca.gov/programs/ept/Documents/ChlorineReleaseAlert.pdf</w:t>
        </w:r>
      </w:hyperlink>
      <w:r w:rsidRPr="00D5129F">
        <w:rPr>
          <w:sz w:val="20"/>
          <w:szCs w:val="20"/>
        </w:rPr>
        <w:t xml:space="preserve"> </w:t>
      </w:r>
      <w:r w:rsidRPr="00D5129F">
        <w:rPr>
          <w:i/>
          <w:color w:val="FF0000"/>
          <w:sz w:val="20"/>
          <w:szCs w:val="20"/>
        </w:rPr>
        <w:t>URL TO BE UPDATED once ADA-compliant doc is posted</w:t>
      </w:r>
      <w:r w:rsidRPr="00D5129F">
        <w:rPr>
          <w:sz w:val="20"/>
          <w:szCs w:val="20"/>
        </w:rPr>
        <w:t xml:space="preserve">) to &gt;1,200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b/>
          <w:sz w:val="20"/>
          <w:szCs w:val="20"/>
        </w:rPr>
      </w:pPr>
      <w:r w:rsidRPr="00D5129F">
        <w:rPr>
          <w:b/>
          <w:sz w:val="20"/>
          <w:szCs w:val="20"/>
        </w:rPr>
        <w:t>Lessons learned</w:t>
      </w:r>
    </w:p>
    <w:p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ATSDR’s Rapid Response Registry tool (</w:t>
      </w:r>
      <w:hyperlink r:id="rId18" w:history="1">
        <w:r w:rsidRPr="00D5129F">
          <w:rPr>
            <w:rStyle w:val="Hyperlink"/>
            <w:sz w:val="20"/>
            <w:szCs w:val="20"/>
          </w:rPr>
          <w:t>https://www.atsdr.cdc.gov/rapidresponse/</w:t>
        </w:r>
      </w:hyperlink>
      <w:r w:rsidRPr="00D5129F">
        <w:rPr>
          <w:sz w:val="20"/>
          <w:szCs w:val="20"/>
        </w:rPr>
        <w:t xml:space="preserve">) for a smaller scale event. </w:t>
      </w:r>
    </w:p>
    <w:p w:rsidR="00E53385" w:rsidRPr="00D5129F" w:rsidRDefault="00E53385" w:rsidP="005254BB">
      <w:pPr>
        <w:spacing w:after="0" w:line="240" w:lineRule="auto"/>
        <w:rPr>
          <w:sz w:val="20"/>
          <w:szCs w:val="20"/>
        </w:rPr>
      </w:pPr>
    </w:p>
    <w:p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lastRenderedPageBreak/>
        <w:t>Improving workplace health and safety</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emergency planning at the facilities and among first responders</w:t>
      </w:r>
    </w:p>
    <w:p w:rsidR="00E53385" w:rsidRPr="00D5129F" w:rsidRDefault="00E53385"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rsidR="00E53385" w:rsidRPr="00D5129F" w:rsidRDefault="00E53385" w:rsidP="005254BB">
      <w:pPr>
        <w:spacing w:after="0" w:line="240" w:lineRule="auto"/>
        <w:rPr>
          <w:sz w:val="20"/>
          <w:szCs w:val="20"/>
        </w:rPr>
      </w:pPr>
    </w:p>
    <w:p w:rsidR="00674BF6" w:rsidRDefault="00674BF6" w:rsidP="005254BB">
      <w:pPr>
        <w:spacing w:after="0" w:line="240" w:lineRule="auto"/>
        <w:rPr>
          <w:rStyle w:val="Heading3Char"/>
        </w:rPr>
      </w:pPr>
    </w:p>
    <w:p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C71F17" w:rsidRPr="007F27CC">
        <w:rPr>
          <w:rFonts w:eastAsia="Times New Roman"/>
          <w:i/>
          <w:sz w:val="20"/>
          <w:szCs w:val="20"/>
          <w:lang w:val="en"/>
        </w:rPr>
        <w:t xml:space="preserve">Alice </w:t>
      </w:r>
      <w:proofErr w:type="spellStart"/>
      <w:r w:rsidR="00C71F17" w:rsidRPr="007F27CC">
        <w:rPr>
          <w:rFonts w:eastAsia="Times New Roman"/>
          <w:i/>
          <w:sz w:val="20"/>
          <w:szCs w:val="20"/>
          <w:lang w:val="en"/>
        </w:rPr>
        <w:t>Schumate</w:t>
      </w:r>
      <w:proofErr w:type="spellEnd"/>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rsidR="00C32E81" w:rsidRPr="00D5129F" w:rsidRDefault="00C32E81" w:rsidP="005254BB">
      <w:pPr>
        <w:spacing w:after="0" w:line="240" w:lineRule="auto"/>
        <w:rPr>
          <w:rFonts w:eastAsia="Times New Roman"/>
          <w:sz w:val="20"/>
          <w:szCs w:val="20"/>
          <w:lang w:val="en"/>
        </w:rPr>
      </w:pPr>
    </w:p>
    <w:p w:rsidR="007F27CC" w:rsidRPr="007A3EFE" w:rsidRDefault="007F27CC" w:rsidP="007F27CC">
      <w:pPr>
        <w:spacing w:after="120" w:line="240" w:lineRule="auto"/>
        <w:rPr>
          <w:b/>
          <w:sz w:val="20"/>
          <w:szCs w:val="20"/>
        </w:rPr>
      </w:pPr>
      <w:r w:rsidRPr="007A3EFE">
        <w:rPr>
          <w:b/>
          <w:sz w:val="20"/>
          <w:szCs w:val="20"/>
        </w:rPr>
        <w:t>Background</w:t>
      </w:r>
    </w:p>
    <w:p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Shumate AM et al., Medical response to a vinyl chloride release from a train derailment: New Jersey, 2012. Disaster Med Public Health Prep. 2017, Mar 6:1–7 </w:t>
      </w:r>
      <w:proofErr w:type="spellStart"/>
      <w:r w:rsidRPr="004344EF">
        <w:rPr>
          <w:iCs/>
          <w:sz w:val="20"/>
          <w:szCs w:val="20"/>
        </w:rPr>
        <w:t>epub</w:t>
      </w:r>
      <w:proofErr w:type="spellEnd"/>
      <w:r w:rsidRPr="004344EF">
        <w:rPr>
          <w:iCs/>
          <w:sz w:val="20"/>
          <w:szCs w:val="20"/>
        </w:rPr>
        <w:t xml:space="preserve"> ahead of print. </w:t>
      </w:r>
      <w:r w:rsidRPr="004344EF">
        <w:rPr>
          <w:sz w:val="20"/>
          <w:szCs w:val="20"/>
        </w:rPr>
        <w:t>(</w:t>
      </w:r>
      <w:hyperlink r:id="rId19" w:history="1">
        <w:r w:rsidRPr="00371F9B">
          <w:rPr>
            <w:rStyle w:val="Hyperlink"/>
            <w:sz w:val="20"/>
            <w:szCs w:val="20"/>
          </w:rPr>
          <w:t>https://www.ncbi.nlm.nih.gov/pubmed/28260558</w:t>
        </w:r>
      </w:hyperlink>
      <w:r w:rsidRPr="004344EF">
        <w:rPr>
          <w:sz w:val="20"/>
          <w:szCs w:val="20"/>
        </w:rPr>
        <w:t>)</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20" w:history="1">
        <w:r w:rsidRPr="004344EF">
          <w:rPr>
            <w:rStyle w:val="Hyperlink"/>
            <w:sz w:val="20"/>
            <w:szCs w:val="20"/>
          </w:rPr>
          <w:t>https://www.cdc.gov/mmwr/preview/mmwrhtml/mm6353a1.htm</w:t>
        </w:r>
      </w:hyperlink>
      <w:r w:rsidRPr="004344EF">
        <w:rPr>
          <w:sz w:val="20"/>
          <w:szCs w:val="20"/>
        </w:rPr>
        <w:t>)</w:t>
      </w:r>
    </w:p>
    <w:p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66BAA962" wp14:editId="2200F749">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2" r:qs="rId23" r:cs="rId24"/>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v:textbox>
                <w10:wrap type="square" anchorx="margin"/>
              </v:shape>
            </w:pict>
          </mc:Fallback>
        </mc:AlternateContent>
      </w:r>
      <w:r w:rsidR="007F27CC" w:rsidRPr="004344EF">
        <w:rPr>
          <w:iCs/>
          <w:sz w:val="20"/>
          <w:szCs w:val="20"/>
        </w:rPr>
        <w:t xml:space="preserve">Wilken JA et al., Exposures and symptoms among workers after an offsite train derailment and vinyl chloride release. </w:t>
      </w:r>
      <w:proofErr w:type="gramStart"/>
      <w:r w:rsidR="007F27CC" w:rsidRPr="004344EF">
        <w:rPr>
          <w:iCs/>
          <w:sz w:val="20"/>
          <w:szCs w:val="20"/>
        </w:rPr>
        <w:t>Am</w:t>
      </w:r>
      <w:proofErr w:type="gramEnd"/>
      <w:r w:rsidR="007F27CC" w:rsidRPr="004344EF">
        <w:rPr>
          <w:iCs/>
          <w:sz w:val="20"/>
          <w:szCs w:val="20"/>
        </w:rPr>
        <w:t xml:space="preserve"> J Disaster Med, 2015, 10(2): 153–65.</w:t>
      </w:r>
      <w:r w:rsidR="007F27CC" w:rsidRPr="004344EF">
        <w:rPr>
          <w:i/>
          <w:iCs/>
          <w:sz w:val="20"/>
          <w:szCs w:val="20"/>
        </w:rPr>
        <w:t xml:space="preserve"> </w:t>
      </w:r>
      <w:r w:rsidR="007F27CC" w:rsidRPr="004344EF">
        <w:rPr>
          <w:i/>
          <w:iCs/>
          <w:color w:val="004A7F"/>
          <w:sz w:val="20"/>
          <w:szCs w:val="20"/>
        </w:rPr>
        <w:t>(</w:t>
      </w:r>
      <w:hyperlink r:id="rId27" w:history="1">
        <w:r w:rsidR="007F27CC" w:rsidRPr="004344EF">
          <w:rPr>
            <w:rStyle w:val="Hyperlink"/>
            <w:sz w:val="20"/>
            <w:szCs w:val="20"/>
          </w:rPr>
          <w:t>https://www.ncbi.nlm.nih.gov/pmc/articles/PMC4705857/pdf/nihms748362.pdf</w:t>
        </w:r>
      </w:hyperlink>
      <w:r w:rsidR="007F27CC" w:rsidRPr="004344EF">
        <w:rPr>
          <w:sz w:val="20"/>
          <w:szCs w:val="20"/>
        </w:rPr>
        <w:t>)</w:t>
      </w:r>
    </w:p>
    <w:p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 time, and evacuation status (Figure 1)</w:t>
      </w:r>
      <w:r w:rsidRPr="00865CB1">
        <w:rPr>
          <w:sz w:val="20"/>
          <w:szCs w:val="20"/>
        </w:rPr>
        <w:t xml:space="preserve">. Household surveys were designed to capture information on exposure, health effects, </w:t>
      </w:r>
      <w:proofErr w:type="gramStart"/>
      <w:r w:rsidRPr="00865CB1">
        <w:rPr>
          <w:sz w:val="20"/>
          <w:szCs w:val="20"/>
        </w:rPr>
        <w:t>communication</w:t>
      </w:r>
      <w:proofErr w:type="gramEnd"/>
      <w:r>
        <w:rPr>
          <w:sz w:val="20"/>
          <w:szCs w:val="20"/>
        </w:rPr>
        <w:t xml:space="preserve"> during the incident</w:t>
      </w:r>
      <w:r w:rsidRPr="00865CB1">
        <w:rPr>
          <w:sz w:val="20"/>
          <w:szCs w:val="20"/>
        </w:rPr>
        <w:t xml:space="preserve">, and preferred methods of communication. </w:t>
      </w:r>
    </w:p>
    <w:p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 xml:space="preserve">Surveys captured information on all household members who were at home for any amount of </w:t>
      </w:r>
      <w:r w:rsidRPr="00984723">
        <w:rPr>
          <w:sz w:val="20"/>
          <w:szCs w:val="20"/>
        </w:rPr>
        <w:lastRenderedPageBreak/>
        <w:t>time in the seven days immediately following the incident an</w:t>
      </w:r>
      <w:r w:rsidRPr="004727D1">
        <w:rPr>
          <w:sz w:val="20"/>
          <w:szCs w:val="20"/>
        </w:rPr>
        <w:t>d 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rsidR="007F27CC" w:rsidRDefault="007F27CC" w:rsidP="007F27CC">
      <w:pPr>
        <w:spacing w:after="120" w:line="240" w:lineRule="auto"/>
        <w:rPr>
          <w:sz w:val="20"/>
          <w:szCs w:val="20"/>
        </w:rPr>
      </w:pPr>
      <w:r w:rsidRPr="00984723">
        <w:rPr>
          <w:sz w:val="20"/>
          <w:szCs w:val="20"/>
        </w:rPr>
        <w:t xml:space="preserve">Fifty-eight percent of town </w:t>
      </w:r>
      <w:proofErr w:type="gramStart"/>
      <w:r w:rsidRPr="00984723">
        <w:rPr>
          <w:sz w:val="20"/>
          <w:szCs w:val="20"/>
        </w:rPr>
        <w:t>residents</w:t>
      </w:r>
      <w:proofErr w:type="gramEnd"/>
      <w:r w:rsidRPr="00984723">
        <w:rPr>
          <w:sz w:val="20"/>
          <w:szCs w:val="20"/>
        </w:rPr>
        <w:t xml:space="preserve">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t>
      </w:r>
      <w:proofErr w:type="gramStart"/>
      <w:r w:rsidRPr="007A3EFE">
        <w:rPr>
          <w:sz w:val="20"/>
          <w:szCs w:val="20"/>
        </w:rPr>
        <w:t>who</w:t>
      </w:r>
      <w:proofErr w:type="gramEnd"/>
      <w:r w:rsidRPr="007A3EFE">
        <w:rPr>
          <w:sz w:val="20"/>
          <w:szCs w:val="20"/>
        </w:rPr>
        <w:t xml:space="preserve">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2C3D37FE" wp14:editId="4399E14B">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8">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9">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The ACE toolkit includes a Hospital Survey designed to help capture the medical response and lessons learned</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rsidR="005C595C" w:rsidRDefault="005C595C" w:rsidP="007F27CC">
      <w:pPr>
        <w:spacing w:after="120" w:line="240" w:lineRule="auto"/>
        <w:rPr>
          <w:b/>
          <w:sz w:val="20"/>
          <w:szCs w:val="20"/>
        </w:rPr>
      </w:pPr>
    </w:p>
    <w:p w:rsidR="004F52D1" w:rsidRDefault="004F52D1" w:rsidP="007F27CC">
      <w:pPr>
        <w:spacing w:after="120" w:line="240" w:lineRule="auto"/>
        <w:rPr>
          <w:b/>
          <w:sz w:val="20"/>
          <w:szCs w:val="20"/>
        </w:rPr>
      </w:pPr>
      <w:bookmarkStart w:id="0" w:name="_GoBack"/>
      <w:bookmarkEnd w:id="0"/>
    </w:p>
    <w:p w:rsidR="007F27CC" w:rsidRPr="00E23FB7" w:rsidRDefault="005C595C" w:rsidP="007F27CC">
      <w:pPr>
        <w:spacing w:after="120" w:line="240" w:lineRule="auto"/>
        <w:rPr>
          <w:b/>
          <w:sz w:val="20"/>
          <w:szCs w:val="20"/>
        </w:rPr>
      </w:pPr>
      <w:r>
        <w:rPr>
          <w:b/>
          <w:sz w:val="20"/>
          <w:szCs w:val="20"/>
        </w:rPr>
        <w:lastRenderedPageBreak/>
        <w:t xml:space="preserve">ACE implementation – </w:t>
      </w:r>
      <w:r w:rsidR="007F27CC" w:rsidRPr="00E23FB7">
        <w:rPr>
          <w:b/>
          <w:sz w:val="20"/>
          <w:szCs w:val="20"/>
        </w:rPr>
        <w:t>First responder survey</w:t>
      </w:r>
    </w:p>
    <w:p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rsidR="007F27CC" w:rsidRDefault="007F27CC" w:rsidP="007F27CC">
      <w:pPr>
        <w:spacing w:after="0" w:line="240" w:lineRule="auto"/>
        <w:rPr>
          <w:rFonts w:eastAsia="Times New Roman"/>
          <w:bCs/>
          <w:sz w:val="20"/>
          <w:szCs w:val="20"/>
        </w:rPr>
      </w:pPr>
    </w:p>
    <w:p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rsidR="005C595C" w:rsidRPr="00C67AF2" w:rsidRDefault="005C595C" w:rsidP="007F27CC">
      <w:pPr>
        <w:spacing w:after="0" w:line="240" w:lineRule="auto"/>
        <w:rPr>
          <w:rFonts w:eastAsia="Times New Roman"/>
          <w:bCs/>
          <w:sz w:val="20"/>
          <w:szCs w:val="20"/>
        </w:rPr>
      </w:pPr>
    </w:p>
    <w:p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rsidR="007F27CC" w:rsidRDefault="007F27CC" w:rsidP="007F27CC">
      <w:pPr>
        <w:spacing w:after="120" w:line="240" w:lineRule="auto"/>
        <w:rPr>
          <w:sz w:val="20"/>
          <w:szCs w:val="20"/>
        </w:rPr>
      </w:pPr>
      <w:r>
        <w:rPr>
          <w:sz w:val="20"/>
          <w:szCs w:val="20"/>
        </w:rPr>
        <w:t xml:space="preserve">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w:t>
      </w:r>
      <w:proofErr w:type="gramStart"/>
      <w:r>
        <w:rPr>
          <w:sz w:val="20"/>
          <w:szCs w:val="20"/>
        </w:rPr>
        <w:t>a</w:t>
      </w:r>
      <w:r w:rsidR="005C595C">
        <w:rPr>
          <w:sz w:val="20"/>
          <w:szCs w:val="20"/>
        </w:rPr>
        <w:t xml:space="preserve"> </w:t>
      </w:r>
      <w:r>
        <w:rPr>
          <w:sz w:val="20"/>
          <w:szCs w:val="20"/>
        </w:rPr>
        <w:t>handful were</w:t>
      </w:r>
      <w:proofErr w:type="gramEnd"/>
      <w:r>
        <w:rPr>
          <w:sz w:val="20"/>
          <w:szCs w:val="20"/>
        </w:rPr>
        <w:t xml:space="preserve"> returned by mail, underscoring the importance of direct contact between investigators and survey respondents.  Scheduling meetings with responders (and providing opportunities to complete the survey) at different times of the day improved capture across work shifts. </w:t>
      </w:r>
    </w:p>
    <w:p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rsidR="007F27CC" w:rsidRPr="004E486D" w:rsidRDefault="007F27CC" w:rsidP="007F27CC">
      <w:pPr>
        <w:spacing w:after="120" w:line="240" w:lineRule="auto"/>
        <w:rPr>
          <w:b/>
          <w:sz w:val="20"/>
          <w:szCs w:val="20"/>
        </w:rPr>
      </w:pPr>
      <w:r w:rsidRPr="00614F78">
        <w:rPr>
          <w:b/>
          <w:sz w:val="20"/>
          <w:szCs w:val="20"/>
        </w:rPr>
        <w:t>Lessons learned</w:t>
      </w:r>
    </w:p>
    <w:p w:rsidR="007F27CC" w:rsidRDefault="007F27CC" w:rsidP="007F27CC">
      <w:pPr>
        <w:spacing w:after="120" w:line="240" w:lineRule="auto"/>
        <w:rPr>
          <w:sz w:val="20"/>
          <w:szCs w:val="20"/>
        </w:rPr>
      </w:pPr>
      <w:proofErr w:type="gramStart"/>
      <w:r w:rsidRPr="00EA6540">
        <w:rPr>
          <w:i/>
          <w:sz w:val="20"/>
          <w:szCs w:val="20"/>
        </w:rPr>
        <w:t>Community Survey</w:t>
      </w:r>
      <w:r>
        <w:rPr>
          <w:i/>
          <w:sz w:val="20"/>
          <w:szCs w:val="20"/>
        </w:rPr>
        <w:t>.</w:t>
      </w:r>
      <w:proofErr w:type="gramEnd"/>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 xml:space="preserve">sponders as well as local health agencies. Interviewers </w:t>
      </w:r>
      <w:r w:rsidRPr="00E23FB7">
        <w:rPr>
          <w:sz w:val="20"/>
          <w:szCs w:val="20"/>
        </w:rPr>
        <w:lastRenderedPageBreak/>
        <w:t>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rsidR="007F27CC" w:rsidRDefault="007F27CC" w:rsidP="007F27CC">
      <w:pPr>
        <w:spacing w:after="120" w:line="240" w:lineRule="auto"/>
        <w:rPr>
          <w:sz w:val="20"/>
          <w:szCs w:val="20"/>
        </w:rPr>
      </w:pPr>
      <w:proofErr w:type="gramStart"/>
      <w:r w:rsidRPr="00CF0D55">
        <w:rPr>
          <w:i/>
          <w:sz w:val="20"/>
          <w:szCs w:val="20"/>
        </w:rPr>
        <w:t xml:space="preserve">Hospital </w:t>
      </w:r>
      <w:r>
        <w:rPr>
          <w:i/>
          <w:sz w:val="20"/>
          <w:szCs w:val="20"/>
        </w:rPr>
        <w:t>S</w:t>
      </w:r>
      <w:r w:rsidRPr="00CF0D55">
        <w:rPr>
          <w:i/>
          <w:sz w:val="20"/>
          <w:szCs w:val="20"/>
        </w:rPr>
        <w:t>tudy</w:t>
      </w:r>
      <w:r>
        <w:rPr>
          <w:i/>
          <w:sz w:val="20"/>
          <w:szCs w:val="20"/>
        </w:rPr>
        <w:t>.</w:t>
      </w:r>
      <w:proofErr w:type="gramEnd"/>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rsidR="007F27CC" w:rsidRPr="00C67AF2" w:rsidRDefault="007F27CC" w:rsidP="007F27CC">
      <w:pPr>
        <w:spacing w:after="120" w:line="240" w:lineRule="auto"/>
        <w:rPr>
          <w:i/>
          <w:sz w:val="20"/>
          <w:szCs w:val="20"/>
        </w:rPr>
      </w:pPr>
      <w:proofErr w:type="gramStart"/>
      <w:r w:rsidRPr="00EA6540">
        <w:rPr>
          <w:i/>
          <w:sz w:val="20"/>
          <w:szCs w:val="20"/>
        </w:rPr>
        <w:t xml:space="preserve">First </w:t>
      </w:r>
      <w:r>
        <w:rPr>
          <w:i/>
          <w:sz w:val="20"/>
          <w:szCs w:val="20"/>
        </w:rPr>
        <w:t>R</w:t>
      </w:r>
      <w:r w:rsidRPr="00EA6540">
        <w:rPr>
          <w:i/>
          <w:sz w:val="20"/>
          <w:szCs w:val="20"/>
        </w:rPr>
        <w:t>esponder</w:t>
      </w:r>
      <w:r>
        <w:rPr>
          <w:i/>
          <w:sz w:val="20"/>
          <w:szCs w:val="20"/>
        </w:rPr>
        <w:t xml:space="preserve"> Survey.</w:t>
      </w:r>
      <w:proofErr w:type="gramEnd"/>
      <w:r>
        <w:rPr>
          <w:i/>
          <w:sz w:val="20"/>
          <w:szCs w:val="20"/>
        </w:rPr>
        <w:t xml:space="preserve">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30"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rsidR="007F27CC" w:rsidRDefault="007F27CC" w:rsidP="007F27CC">
      <w:pPr>
        <w:autoSpaceDE w:val="0"/>
        <w:autoSpaceDN w:val="0"/>
        <w:adjustRightInd w:val="0"/>
        <w:spacing w:after="0" w:line="240" w:lineRule="auto"/>
        <w:rPr>
          <w:sz w:val="20"/>
          <w:szCs w:val="20"/>
        </w:rPr>
      </w:pPr>
      <w:proofErr w:type="gramStart"/>
      <w:r w:rsidRPr="00EA6540">
        <w:rPr>
          <w:i/>
          <w:sz w:val="20"/>
          <w:szCs w:val="20"/>
        </w:rPr>
        <w:t>Refinery Survey</w:t>
      </w:r>
      <w:r>
        <w:rPr>
          <w:i/>
          <w:sz w:val="20"/>
          <w:szCs w:val="20"/>
        </w:rPr>
        <w:t>.</w:t>
      </w:r>
      <w:proofErr w:type="gramEnd"/>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rsidR="007F27CC" w:rsidRPr="00E70B60" w:rsidRDefault="007F27CC" w:rsidP="007F27CC">
      <w:pPr>
        <w:autoSpaceDE w:val="0"/>
        <w:autoSpaceDN w:val="0"/>
        <w:adjustRightInd w:val="0"/>
        <w:spacing w:after="0" w:line="240" w:lineRule="auto"/>
        <w:rPr>
          <w:b/>
          <w:sz w:val="20"/>
          <w:szCs w:val="20"/>
        </w:rPr>
      </w:pPr>
    </w:p>
    <w:p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rsidR="004C125B" w:rsidRPr="00D5129F" w:rsidRDefault="007F27CC" w:rsidP="00674BF6">
      <w:pPr>
        <w:spacing w:after="120" w:line="240" w:lineRule="auto"/>
        <w:rPr>
          <w:rFonts w:eastAsia="Times New Roman"/>
          <w:b/>
          <w:bCs/>
          <w:kern w:val="36"/>
          <w:sz w:val="20"/>
          <w:szCs w:val="20"/>
          <w:lang w:val="en"/>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surveys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rsidR="00C32E81" w:rsidRPr="00D5129F" w:rsidRDefault="00C32E81" w:rsidP="001B0664">
      <w:pPr>
        <w:pStyle w:val="Heading3"/>
        <w:rPr>
          <w:rFonts w:eastAsia="Times New Roman"/>
          <w:lang w:val="en"/>
        </w:rPr>
      </w:pPr>
      <w:r w:rsidRPr="00D5129F">
        <w:rPr>
          <w:rFonts w:eastAsia="Times New Roman"/>
          <w:lang w:val="en"/>
        </w:rPr>
        <w:lastRenderedPageBreak/>
        <w:t>Summary</w:t>
      </w:r>
    </w:p>
    <w:p w:rsidR="00E95F7C" w:rsidRPr="00D5129F" w:rsidRDefault="00E95F7C" w:rsidP="00E95F7C">
      <w:pPr>
        <w:spacing w:after="0" w:line="240" w:lineRule="auto"/>
        <w:outlineLvl w:val="1"/>
        <w:rPr>
          <w:rFonts w:eastAsia="Times New Roman"/>
          <w:sz w:val="20"/>
          <w:szCs w:val="20"/>
          <w:lang w:val="en"/>
        </w:rPr>
      </w:pPr>
    </w:p>
    <w:p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rsidR="006702F9" w:rsidRPr="00D5129F" w:rsidRDefault="006702F9" w:rsidP="00D71D13">
      <w:pPr>
        <w:spacing w:after="0" w:line="240" w:lineRule="auto"/>
        <w:outlineLvl w:val="1"/>
        <w:rPr>
          <w:rFonts w:eastAsia="Times New Roman"/>
          <w:sz w:val="20"/>
          <w:szCs w:val="20"/>
          <w:lang w:val="en"/>
        </w:rPr>
      </w:pPr>
    </w:p>
    <w:p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 xml:space="preserve">An ACE investigation may fit in either the response or recovery phases of 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rsidR="00E31136" w:rsidRPr="00D5129F" w:rsidRDefault="00E31136" w:rsidP="00D71D13">
      <w:pPr>
        <w:spacing w:after="0" w:line="240" w:lineRule="auto"/>
        <w:outlineLvl w:val="1"/>
        <w:rPr>
          <w:rFonts w:eastAsia="Times New Roman"/>
          <w:sz w:val="20"/>
          <w:szCs w:val="20"/>
          <w:lang w:val="en"/>
        </w:rPr>
      </w:pPr>
    </w:p>
    <w:p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rsidR="00E95F7C" w:rsidRPr="00D5129F" w:rsidRDefault="00E95F7C" w:rsidP="00E95F7C">
      <w:pPr>
        <w:pStyle w:val="ListParagraph"/>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rsidR="004C125B" w:rsidRPr="00D5129F" w:rsidRDefault="004C125B" w:rsidP="004C125B">
      <w:pPr>
        <w:spacing w:after="0" w:line="240" w:lineRule="auto"/>
        <w:rPr>
          <w:sz w:val="20"/>
          <w:szCs w:val="20"/>
        </w:rPr>
      </w:pPr>
    </w:p>
    <w:p w:rsidR="002A3ECC" w:rsidRPr="00D5129F" w:rsidRDefault="004C125B" w:rsidP="004C125B">
      <w:pPr>
        <w:spacing w:after="0" w:line="240" w:lineRule="auto"/>
        <w:rPr>
          <w:sz w:val="20"/>
          <w:szCs w:val="20"/>
        </w:rPr>
      </w:pPr>
      <w:r w:rsidRPr="00D5129F">
        <w:rPr>
          <w:sz w:val="20"/>
          <w:szCs w:val="20"/>
        </w:rPr>
        <w:t>ACE Website</w:t>
      </w:r>
    </w:p>
    <w:p w:rsidR="004C125B" w:rsidRPr="00D5129F" w:rsidRDefault="004F52D1" w:rsidP="004C125B">
      <w:pPr>
        <w:spacing w:after="0" w:line="240" w:lineRule="auto"/>
        <w:rPr>
          <w:sz w:val="20"/>
          <w:szCs w:val="20"/>
        </w:rPr>
      </w:pPr>
      <w:hyperlink r:id="rId31" w:history="1">
        <w:r w:rsidR="004C125B" w:rsidRPr="00D5129F">
          <w:rPr>
            <w:rStyle w:val="Hyperlink"/>
            <w:sz w:val="20"/>
            <w:szCs w:val="20"/>
          </w:rPr>
          <w:t>https://www.atsdr.cdc.gov/ntsip/ace.html</w:t>
        </w:r>
      </w:hyperlink>
      <w:r w:rsidR="004C125B" w:rsidRPr="00D5129F">
        <w:rPr>
          <w:sz w:val="20"/>
          <w:szCs w:val="20"/>
        </w:rPr>
        <w:t xml:space="preserve"> </w:t>
      </w:r>
    </w:p>
    <w:p w:rsidR="00D531BF" w:rsidRPr="00D5129F" w:rsidRDefault="00D531BF" w:rsidP="004C125B">
      <w:pPr>
        <w:spacing w:after="0" w:line="240" w:lineRule="auto"/>
        <w:rPr>
          <w:sz w:val="20"/>
          <w:szCs w:val="20"/>
        </w:rPr>
      </w:pPr>
    </w:p>
    <w:p w:rsidR="00467B4A" w:rsidRPr="00D5129F" w:rsidRDefault="004C125B" w:rsidP="004C125B">
      <w:pPr>
        <w:spacing w:after="0" w:line="240" w:lineRule="auto"/>
        <w:rPr>
          <w:sz w:val="20"/>
          <w:szCs w:val="20"/>
        </w:rPr>
      </w:pPr>
      <w:r w:rsidRPr="00D5129F">
        <w:rPr>
          <w:sz w:val="20"/>
          <w:szCs w:val="20"/>
        </w:rPr>
        <w:t>ATSDR ACE workbook</w:t>
      </w:r>
    </w:p>
    <w:p w:rsidR="004C125B" w:rsidRPr="00D5129F" w:rsidRDefault="004F52D1" w:rsidP="004C125B">
      <w:pPr>
        <w:spacing w:after="0" w:line="240" w:lineRule="auto"/>
        <w:rPr>
          <w:sz w:val="20"/>
          <w:szCs w:val="20"/>
        </w:rPr>
      </w:pPr>
      <w:hyperlink r:id="rId32" w:history="1">
        <w:r w:rsidR="004C125B" w:rsidRPr="00D5129F">
          <w:rPr>
            <w:rStyle w:val="Hyperlink"/>
            <w:sz w:val="20"/>
            <w:szCs w:val="20"/>
          </w:rPr>
          <w:t>https://www.atsdr.cdc.gov/ntsip/ACE_ToolKit/docs/ACE%20Workbook.pdf</w:t>
        </w:r>
      </w:hyperlink>
      <w:r w:rsidR="004C125B" w:rsidRPr="00D5129F">
        <w:rPr>
          <w:sz w:val="20"/>
          <w:szCs w:val="20"/>
        </w:rPr>
        <w:t xml:space="preserve"> </w:t>
      </w:r>
    </w:p>
    <w:p w:rsidR="004C125B" w:rsidRPr="00D5129F" w:rsidRDefault="004C125B" w:rsidP="004C125B">
      <w:pPr>
        <w:spacing w:after="0" w:line="240" w:lineRule="auto"/>
        <w:rPr>
          <w:sz w:val="20"/>
          <w:szCs w:val="20"/>
        </w:rPr>
      </w:pPr>
    </w:p>
    <w:p w:rsidR="00762398" w:rsidRPr="00D5129F"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sectPr w:rsidR="00762398" w:rsidRPr="00D5129F" w:rsidSect="00467B4A">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B6EC2"/>
    <w:rsid w:val="001B0664"/>
    <w:rsid w:val="002057D8"/>
    <w:rsid w:val="00212D99"/>
    <w:rsid w:val="002802BA"/>
    <w:rsid w:val="002A3ECC"/>
    <w:rsid w:val="002C2495"/>
    <w:rsid w:val="002C4A2C"/>
    <w:rsid w:val="003778A5"/>
    <w:rsid w:val="00467B4A"/>
    <w:rsid w:val="004C125B"/>
    <w:rsid w:val="004D70B2"/>
    <w:rsid w:val="004F52D1"/>
    <w:rsid w:val="005254BB"/>
    <w:rsid w:val="005449E9"/>
    <w:rsid w:val="00573EEA"/>
    <w:rsid w:val="005C595C"/>
    <w:rsid w:val="00652871"/>
    <w:rsid w:val="006702F9"/>
    <w:rsid w:val="00674BF6"/>
    <w:rsid w:val="00684540"/>
    <w:rsid w:val="00762398"/>
    <w:rsid w:val="00784768"/>
    <w:rsid w:val="007F27CC"/>
    <w:rsid w:val="00937873"/>
    <w:rsid w:val="009E3974"/>
    <w:rsid w:val="00B02683"/>
    <w:rsid w:val="00B16CA4"/>
    <w:rsid w:val="00C32E81"/>
    <w:rsid w:val="00C42A39"/>
    <w:rsid w:val="00C71F17"/>
    <w:rsid w:val="00CD3A53"/>
    <w:rsid w:val="00D5129F"/>
    <w:rsid w:val="00D531BF"/>
    <w:rsid w:val="00D71D13"/>
    <w:rsid w:val="00E31136"/>
    <w:rsid w:val="00E35A3F"/>
    <w:rsid w:val="00E477A7"/>
    <w:rsid w:val="00E53385"/>
    <w:rsid w:val="00E95F7C"/>
    <w:rsid w:val="00F247B7"/>
    <w:rsid w:val="00F40613"/>
    <w:rsid w:val="00F9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77/0033354917691257" TargetMode="External"/><Relationship Id="rId13" Type="http://schemas.openxmlformats.org/officeDocument/2006/relationships/hyperlink" Target="https://doi.org/10.1017/dmp.2016.193" TargetMode="External"/><Relationship Id="rId18" Type="http://schemas.openxmlformats.org/officeDocument/2006/relationships/hyperlink" Target="https://www.atsdr.cdc.gov/rapidresponse/" TargetMode="External"/><Relationship Id="rId26" Type="http://schemas.openxmlformats.org/officeDocument/2006/relationships/diagramData" Target="diagrams/data2.xml"/><Relationship Id="rId3" Type="http://schemas.microsoft.com/office/2007/relationships/stylesWithEffects" Target="stylesWithEffects.xml"/><Relationship Id="rId21" Type="http://schemas.openxmlformats.org/officeDocument/2006/relationships/diagramData" Target="diagrams/data1.xml"/><Relationship Id="rId34" Type="http://schemas.openxmlformats.org/officeDocument/2006/relationships/theme" Target="theme/theme1.xml"/><Relationship Id="rId7" Type="http://schemas.openxmlformats.org/officeDocument/2006/relationships/hyperlink" Target="https://cdc.train.org/DesktopModules/eLearning/CourseDetails/CourseDetailsForm.aspx?courseId=1060828" TargetMode="External"/><Relationship Id="rId12" Type="http://schemas.openxmlformats.org/officeDocument/2006/relationships/hyperlink" Target="http://dx.doi.org/10.1177/0033354916689606" TargetMode="External"/><Relationship Id="rId17" Type="http://schemas.openxmlformats.org/officeDocument/2006/relationships/hyperlink" Target="https://www.cdph.ca.gov/programs/ept/Documents/ChlorineReleaseAlert.pdf" TargetMode="External"/><Relationship Id="rId25" Type="http://schemas.microsoft.com/office/2007/relationships/diagramDrawing" Target="diagrams/drawing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www.cdc.gov/mmwr/preview/mmwrhtml/mm6353a1.htm" TargetMode="External"/><Relationship Id="rId29" Type="http://schemas.openxmlformats.org/officeDocument/2006/relationships/image" Target="media/image20.jpg"/><Relationship Id="rId1" Type="http://schemas.openxmlformats.org/officeDocument/2006/relationships/numbering" Target="numbering.xml"/><Relationship Id="rId6" Type="http://schemas.openxmlformats.org/officeDocument/2006/relationships/hyperlink" Target="https://www.atsdr.cdc.gov/ntsip/ace_toolkit.html)&#8212;surveys" TargetMode="External"/><Relationship Id="rId11" Type="http://schemas.openxmlformats.org/officeDocument/2006/relationships/hyperlink" Target="http://dx.doi.org/10.1177/0033354917691257" TargetMode="External"/><Relationship Id="rId24" Type="http://schemas.openxmlformats.org/officeDocument/2006/relationships/diagramColors" Target="diagrams/colors1.xml"/><Relationship Id="rId32" Type="http://schemas.openxmlformats.org/officeDocument/2006/relationships/hyperlink" Target="https://www.atsdr.cdc.gov/ntsip/ACE_ToolKit/docs/ACE%20Workbook.pdf" TargetMode="External"/><Relationship Id="rId5" Type="http://schemas.openxmlformats.org/officeDocument/2006/relationships/webSettings" Target="webSettings.xml"/><Relationship Id="rId15" Type="http://schemas.openxmlformats.org/officeDocument/2006/relationships/hyperlink" Target="https://www.atsdr.cdc.gov/toxprofiles/tp172.pdf" TargetMode="External"/><Relationship Id="rId23" Type="http://schemas.openxmlformats.org/officeDocument/2006/relationships/diagramQuickStyle" Target="diagrams/quickStyle1.xml"/><Relationship Id="rId28" Type="http://schemas.openxmlformats.org/officeDocument/2006/relationships/image" Target="media/image2.jpg"/><Relationship Id="rId10" Type="http://schemas.openxmlformats.org/officeDocument/2006/relationships/hyperlink" Target="http://dx.doi.org/10.1177/0033354916689606" TargetMode="External"/><Relationship Id="rId19" Type="http://schemas.openxmlformats.org/officeDocument/2006/relationships/hyperlink" Target="https://www.ncbi.nlm.nih.gov/pubmed/28260558" TargetMode="External"/><Relationship Id="rId31" Type="http://schemas.openxmlformats.org/officeDocument/2006/relationships/hyperlink" Target="https://www.atsdr.cdc.gov/ntsip/ace.html" TargetMode="External"/><Relationship Id="rId4" Type="http://schemas.openxmlformats.org/officeDocument/2006/relationships/settings" Target="settings.xml"/><Relationship Id="rId9" Type="http://schemas.openxmlformats.org/officeDocument/2006/relationships/hyperlink" Target="https://doi.org/10.1017/dmp.2016.193" TargetMode="External"/><Relationship Id="rId14" Type="http://schemas.openxmlformats.org/officeDocument/2006/relationships/hyperlink" Target="https://stacks.cdc.gov/view/cdc/29040" TargetMode="External"/><Relationship Id="rId22" Type="http://schemas.openxmlformats.org/officeDocument/2006/relationships/diagramLayout" Target="diagrams/layout1.xml"/><Relationship Id="rId27" Type="http://schemas.openxmlformats.org/officeDocument/2006/relationships/hyperlink" Target="https://www.ncbi.nlm.nih.gov/pmc/articles/PMC4705857/pdf/nihms748362.pdf" TargetMode="External"/><Relationship Id="rId30" Type="http://schemas.openxmlformats.org/officeDocument/2006/relationships/hyperlink" Target="http://www.cdc.gov/niosh/topics/erhm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10</Pages>
  <Words>6294</Words>
  <Characters>35881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 (CDPH-DEODC-OHB)</cp:lastModifiedBy>
  <cp:revision>36</cp:revision>
  <dcterms:created xsi:type="dcterms:W3CDTF">2017-04-28T00:30:00Z</dcterms:created>
  <dcterms:modified xsi:type="dcterms:W3CDTF">2017-08-16T23:03:00Z</dcterms:modified>
</cp:coreProperties>
</file>