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15C973" w14:textId="77777777" w:rsidR="002B4C72" w:rsidRDefault="00232346" w:rsidP="007E5309">
      <w:pPr>
        <w:pStyle w:val="Heading1"/>
        <w:tabs>
          <w:tab w:val="left" w:pos="609"/>
        </w:tabs>
        <w:spacing w:before="200"/>
        <w:ind w:left="0"/>
        <w:jc w:val="both"/>
        <w:rPr>
          <w:rFonts w:ascii="Garamond" w:hAnsi="Garamond"/>
          <w:sz w:val="24"/>
        </w:rPr>
      </w:pPr>
      <w:r w:rsidRPr="00232346">
        <w:rPr>
          <w:rFonts w:ascii="Garamond" w:hAnsi="Garamond"/>
          <w:sz w:val="24"/>
        </w:rPr>
        <w:t xml:space="preserve">Background on the NIH Disaster Research Response </w:t>
      </w:r>
      <w:commentRangeStart w:id="0"/>
      <w:r w:rsidR="00611403">
        <w:rPr>
          <w:rFonts w:ascii="Garamond" w:hAnsi="Garamond"/>
          <w:sz w:val="24"/>
        </w:rPr>
        <w:t xml:space="preserve">(DR2) </w:t>
      </w:r>
      <w:r w:rsidRPr="00232346">
        <w:rPr>
          <w:rFonts w:ascii="Garamond" w:hAnsi="Garamond"/>
          <w:sz w:val="24"/>
        </w:rPr>
        <w:t>Program</w:t>
      </w:r>
      <w:commentRangeEnd w:id="0"/>
      <w:r w:rsidR="00992DA2">
        <w:rPr>
          <w:rStyle w:val="CommentReference"/>
          <w:rFonts w:asciiTheme="minorHAnsi" w:eastAsiaTheme="minorHAnsi" w:hAnsiTheme="minorHAnsi"/>
          <w:b w:val="0"/>
          <w:bCs w:val="0"/>
        </w:rPr>
        <w:commentReference w:id="0"/>
      </w:r>
    </w:p>
    <w:p w14:paraId="29DE221C" w14:textId="77777777" w:rsidR="005C6DE1" w:rsidRDefault="00984AE6" w:rsidP="007E5309">
      <w:pPr>
        <w:pStyle w:val="Heading1"/>
        <w:tabs>
          <w:tab w:val="left" w:pos="609"/>
        </w:tabs>
        <w:spacing w:before="200"/>
        <w:ind w:left="0"/>
        <w:jc w:val="both"/>
        <w:rPr>
          <w:rFonts w:ascii="Garamond" w:hAnsi="Garamond"/>
          <w:spacing w:val="-6"/>
          <w:sz w:val="22"/>
        </w:rPr>
      </w:pPr>
      <w:r>
        <w:rPr>
          <w:rFonts w:ascii="Garamond" w:hAnsi="Garamond"/>
          <w:b w:val="0"/>
          <w:sz w:val="24"/>
        </w:rPr>
        <w:t>Epidemiolog</w:t>
      </w:r>
      <w:r w:rsidR="002E5FED">
        <w:rPr>
          <w:rFonts w:ascii="Garamond" w:hAnsi="Garamond"/>
          <w:b w:val="0"/>
          <w:sz w:val="24"/>
        </w:rPr>
        <w:t>ical methods</w:t>
      </w:r>
      <w:r w:rsidR="00022A0D">
        <w:rPr>
          <w:rFonts w:ascii="Garamond" w:hAnsi="Garamond"/>
          <w:b w:val="0"/>
          <w:sz w:val="24"/>
        </w:rPr>
        <w:t xml:space="preserve"> have played a key role in the </w:t>
      </w:r>
      <w:r w:rsidR="006E7682">
        <w:rPr>
          <w:rFonts w:ascii="Garamond" w:hAnsi="Garamond"/>
          <w:b w:val="0"/>
          <w:sz w:val="24"/>
        </w:rPr>
        <w:t xml:space="preserve">public health </w:t>
      </w:r>
      <w:r w:rsidR="00022A0D">
        <w:rPr>
          <w:rFonts w:ascii="Garamond" w:hAnsi="Garamond"/>
          <w:b w:val="0"/>
          <w:sz w:val="24"/>
        </w:rPr>
        <w:t>response to disasters</w:t>
      </w:r>
      <w:r w:rsidR="00511E2F">
        <w:rPr>
          <w:rFonts w:ascii="Garamond" w:hAnsi="Garamond"/>
          <w:b w:val="0"/>
          <w:sz w:val="24"/>
        </w:rPr>
        <w:t xml:space="preserve"> including</w:t>
      </w:r>
      <w:r w:rsidR="005C6DE1">
        <w:rPr>
          <w:rFonts w:ascii="Garamond" w:hAnsi="Garamond"/>
          <w:b w:val="0"/>
          <w:sz w:val="24"/>
        </w:rPr>
        <w:t xml:space="preserve"> such applied </w:t>
      </w:r>
      <w:r w:rsidR="00022A0D">
        <w:rPr>
          <w:rFonts w:ascii="Garamond" w:hAnsi="Garamond"/>
          <w:b w:val="0"/>
          <w:sz w:val="24"/>
        </w:rPr>
        <w:t>methods as rapid needs assessments, health surveillance</w:t>
      </w:r>
      <w:r w:rsidR="002E5FED">
        <w:rPr>
          <w:rFonts w:ascii="Garamond" w:hAnsi="Garamond"/>
          <w:b w:val="0"/>
          <w:sz w:val="24"/>
        </w:rPr>
        <w:t xml:space="preserve"> and</w:t>
      </w:r>
      <w:r w:rsidR="00022A0D">
        <w:rPr>
          <w:rFonts w:ascii="Garamond" w:hAnsi="Garamond"/>
          <w:b w:val="0"/>
          <w:sz w:val="24"/>
        </w:rPr>
        <w:t xml:space="preserve"> disaster registries</w:t>
      </w:r>
      <w:r w:rsidR="002E5FED">
        <w:rPr>
          <w:rFonts w:ascii="Garamond" w:hAnsi="Garamond"/>
          <w:b w:val="0"/>
          <w:sz w:val="24"/>
        </w:rPr>
        <w:t xml:space="preserve">. </w:t>
      </w:r>
      <w:r w:rsidR="00022A0D">
        <w:rPr>
          <w:rFonts w:ascii="Garamond" w:hAnsi="Garamond"/>
          <w:b w:val="0"/>
          <w:sz w:val="24"/>
        </w:rPr>
        <w:t xml:space="preserve"> </w:t>
      </w:r>
      <w:r w:rsidR="002E5FED">
        <w:rPr>
          <w:rFonts w:ascii="Garamond" w:hAnsi="Garamond"/>
          <w:b w:val="0"/>
          <w:sz w:val="24"/>
        </w:rPr>
        <w:t xml:space="preserve">While the application of epidemiologic principles to disasters </w:t>
      </w:r>
      <w:r w:rsidR="006E7682">
        <w:rPr>
          <w:rFonts w:ascii="Garamond" w:hAnsi="Garamond"/>
          <w:b w:val="0"/>
          <w:sz w:val="24"/>
        </w:rPr>
        <w:t xml:space="preserve">by public health practitioners </w:t>
      </w:r>
      <w:r w:rsidR="002E5FED">
        <w:rPr>
          <w:rFonts w:ascii="Garamond" w:hAnsi="Garamond"/>
          <w:b w:val="0"/>
          <w:sz w:val="24"/>
        </w:rPr>
        <w:t xml:space="preserve">provides actionable information for decision-makers to reduce the immediate and short-term health impact on the </w:t>
      </w:r>
      <w:r w:rsidR="00693959">
        <w:rPr>
          <w:rFonts w:ascii="Garamond" w:hAnsi="Garamond"/>
          <w:b w:val="0"/>
          <w:sz w:val="24"/>
        </w:rPr>
        <w:t xml:space="preserve">affected </w:t>
      </w:r>
      <w:r w:rsidR="002E5FED">
        <w:rPr>
          <w:rFonts w:ascii="Garamond" w:hAnsi="Garamond"/>
          <w:b w:val="0"/>
          <w:sz w:val="24"/>
        </w:rPr>
        <w:t xml:space="preserve">population, it often does not provide generalizable knowledge necessary to </w:t>
      </w:r>
      <w:r w:rsidR="005C6DE1">
        <w:rPr>
          <w:rFonts w:ascii="Garamond" w:hAnsi="Garamond"/>
          <w:b w:val="0"/>
          <w:sz w:val="24"/>
        </w:rPr>
        <w:t xml:space="preserve">understand, </w:t>
      </w:r>
      <w:r w:rsidR="002E5FED">
        <w:rPr>
          <w:rFonts w:ascii="Garamond" w:hAnsi="Garamond"/>
          <w:b w:val="0"/>
          <w:sz w:val="24"/>
        </w:rPr>
        <w:t>prevent</w:t>
      </w:r>
      <w:r w:rsidR="005C6DE1">
        <w:rPr>
          <w:rFonts w:ascii="Garamond" w:hAnsi="Garamond"/>
          <w:b w:val="0"/>
          <w:sz w:val="24"/>
        </w:rPr>
        <w:t>,</w:t>
      </w:r>
      <w:r w:rsidR="002E5FED">
        <w:rPr>
          <w:rFonts w:ascii="Garamond" w:hAnsi="Garamond"/>
          <w:b w:val="0"/>
          <w:sz w:val="24"/>
        </w:rPr>
        <w:t xml:space="preserve"> and reduce the impact of future disasters.  Disaster research is an essential component of the response/recovery framework t</w:t>
      </w:r>
      <w:r w:rsidR="00611403">
        <w:rPr>
          <w:rFonts w:ascii="Garamond" w:hAnsi="Garamond"/>
          <w:b w:val="0"/>
          <w:sz w:val="24"/>
        </w:rPr>
        <w:t>hat can uniquely identify hazards in the post-disaster setting and strategies to prevent them.  The benefits of disaster research are legion and include better characterizing the scope and nature of acute and chronic disaster-related exposures, identifying vulnerable populations, improving responder safety and practice, increasing individual and community resilience, assessing the safety and efficacy of medical countermeasures,</w:t>
      </w:r>
      <w:r w:rsidR="007B5339">
        <w:rPr>
          <w:rFonts w:ascii="Garamond" w:hAnsi="Garamond"/>
          <w:b w:val="0"/>
          <w:sz w:val="24"/>
        </w:rPr>
        <w:t xml:space="preserve"> and</w:t>
      </w:r>
      <w:r w:rsidR="00611403">
        <w:rPr>
          <w:rFonts w:ascii="Garamond" w:hAnsi="Garamond"/>
          <w:b w:val="0"/>
          <w:sz w:val="24"/>
        </w:rPr>
        <w:t xml:space="preserve"> improving health system preparedness, response and recovery for future events.</w:t>
      </w:r>
      <w:r w:rsidR="000F0842">
        <w:rPr>
          <w:rFonts w:ascii="Garamond" w:hAnsi="Garamond"/>
          <w:b w:val="0"/>
          <w:sz w:val="24"/>
        </w:rPr>
        <w:t xml:space="preserve">  Yet, there are significant hurdles to initiating disaster research </w:t>
      </w:r>
      <w:r w:rsidR="00395EEB">
        <w:rPr>
          <w:rFonts w:ascii="Garamond" w:hAnsi="Garamond"/>
          <w:b w:val="0"/>
          <w:sz w:val="24"/>
        </w:rPr>
        <w:t>studies, particularly those studies</w:t>
      </w:r>
      <w:r w:rsidR="000F0842">
        <w:rPr>
          <w:rFonts w:ascii="Garamond" w:hAnsi="Garamond"/>
          <w:b w:val="0"/>
          <w:sz w:val="24"/>
        </w:rPr>
        <w:t xml:space="preserve"> launched in the immediate af</w:t>
      </w:r>
      <w:r w:rsidR="00981FC8">
        <w:rPr>
          <w:rFonts w:ascii="Garamond" w:hAnsi="Garamond"/>
          <w:b w:val="0"/>
          <w:sz w:val="24"/>
        </w:rPr>
        <w:t>termath of disasters.  For example, d</w:t>
      </w:r>
      <w:r w:rsidR="000F0842">
        <w:rPr>
          <w:rFonts w:ascii="Garamond" w:hAnsi="Garamond"/>
          <w:b w:val="0"/>
          <w:sz w:val="24"/>
        </w:rPr>
        <w:t xml:space="preserve">isaster studies must be coordinated and integrated with the existing disaster response </w:t>
      </w:r>
      <w:r w:rsidR="00395EEB">
        <w:rPr>
          <w:rFonts w:ascii="Garamond" w:hAnsi="Garamond"/>
          <w:b w:val="0"/>
          <w:sz w:val="24"/>
        </w:rPr>
        <w:t>framework at a time</w:t>
      </w:r>
      <w:r w:rsidR="00981FC8">
        <w:rPr>
          <w:rFonts w:ascii="Garamond" w:hAnsi="Garamond"/>
          <w:b w:val="0"/>
          <w:sz w:val="24"/>
        </w:rPr>
        <w:t xml:space="preserve"> when the focus of the response agencies is on the preservation of life and property not on studying the impacts for future generations.  Additionally, there are challenges for disaster researchers in quickly deploying to the field due to a myriad of factors including funding, staffing, regulatory hurdles (e.g., IRB and</w:t>
      </w:r>
      <w:r w:rsidR="00511E2F">
        <w:rPr>
          <w:rFonts w:ascii="Garamond" w:hAnsi="Garamond"/>
          <w:b w:val="0"/>
          <w:sz w:val="24"/>
        </w:rPr>
        <w:t>/or</w:t>
      </w:r>
      <w:r w:rsidR="00981FC8">
        <w:rPr>
          <w:rFonts w:ascii="Garamond" w:hAnsi="Garamond"/>
          <w:b w:val="0"/>
          <w:sz w:val="24"/>
        </w:rPr>
        <w:t xml:space="preserve"> OMB reviews) and lack of access to easily customizable research tools such as data collection instruments and research protocols.  </w:t>
      </w:r>
      <w:r w:rsidR="00395EEB">
        <w:rPr>
          <w:rFonts w:ascii="Garamond" w:hAnsi="Garamond"/>
          <w:b w:val="0"/>
          <w:sz w:val="24"/>
        </w:rPr>
        <w:t xml:space="preserve"> </w:t>
      </w:r>
      <w:r w:rsidR="005C6DE1">
        <w:rPr>
          <w:rFonts w:ascii="Garamond" w:hAnsi="Garamond"/>
          <w:b w:val="0"/>
          <w:sz w:val="24"/>
        </w:rPr>
        <w:t xml:space="preserve">In response to these challenges, the </w:t>
      </w:r>
      <w:r w:rsidR="005C6DE1" w:rsidRPr="005C6DE1">
        <w:rPr>
          <w:rFonts w:ascii="Garamond" w:hAnsi="Garamond"/>
          <w:b w:val="0"/>
          <w:sz w:val="24"/>
        </w:rPr>
        <w:t xml:space="preserve">National Institutes of Health (NIH) initiated a program </w:t>
      </w:r>
      <w:r w:rsidR="005C6DE1">
        <w:rPr>
          <w:rFonts w:ascii="Garamond" w:hAnsi="Garamond"/>
          <w:b w:val="0"/>
          <w:sz w:val="24"/>
        </w:rPr>
        <w:t xml:space="preserve">in September 2013 </w:t>
      </w:r>
      <w:r w:rsidR="005C6DE1" w:rsidRPr="005C6DE1">
        <w:rPr>
          <w:rFonts w:ascii="Garamond" w:hAnsi="Garamond"/>
          <w:b w:val="0"/>
          <w:sz w:val="24"/>
        </w:rPr>
        <w:t xml:space="preserve">that serves as a </w:t>
      </w:r>
      <w:r w:rsidR="005C6DE1">
        <w:rPr>
          <w:rFonts w:ascii="Garamond" w:hAnsi="Garamond"/>
          <w:b w:val="0"/>
          <w:sz w:val="24"/>
        </w:rPr>
        <w:t xml:space="preserve">national </w:t>
      </w:r>
      <w:r w:rsidR="005C6DE1" w:rsidRPr="005C6DE1">
        <w:rPr>
          <w:rFonts w:ascii="Garamond" w:hAnsi="Garamond"/>
          <w:b w:val="0"/>
          <w:sz w:val="24"/>
        </w:rPr>
        <w:t>model for disaster research programs.</w:t>
      </w:r>
      <w:r w:rsidR="005C6DE1" w:rsidRPr="00232346">
        <w:rPr>
          <w:rFonts w:ascii="Garamond" w:hAnsi="Garamond"/>
          <w:spacing w:val="-6"/>
          <w:sz w:val="22"/>
        </w:rPr>
        <w:t xml:space="preserve"> </w:t>
      </w:r>
    </w:p>
    <w:p w14:paraId="49CF6423" w14:textId="6F504C68" w:rsidR="002B4C72" w:rsidRDefault="002B4C72" w:rsidP="007E5309">
      <w:pPr>
        <w:pStyle w:val="Heading1"/>
        <w:tabs>
          <w:tab w:val="left" w:pos="609"/>
        </w:tabs>
        <w:spacing w:before="200"/>
        <w:ind w:left="0"/>
        <w:jc w:val="both"/>
      </w:pPr>
      <w:r w:rsidRPr="005C6DE1">
        <w:rPr>
          <w:rFonts w:ascii="Garamond" w:hAnsi="Garamond"/>
          <w:b w:val="0"/>
          <w:sz w:val="24"/>
        </w:rPr>
        <w:t>The NIH Disaster Research Response Program (DR2) began as a pilot project sponsored by the National Institute of Environmental Health Sciences (NIEHS) and the National Library of Medicine (NLM).</w:t>
      </w:r>
      <w:r w:rsidR="005C6DE1">
        <w:rPr>
          <w:rFonts w:ascii="Garamond" w:hAnsi="Garamond"/>
          <w:b w:val="0"/>
          <w:sz w:val="24"/>
        </w:rPr>
        <w:t xml:space="preserve"> </w:t>
      </w:r>
      <w:r w:rsidRPr="005C6DE1">
        <w:rPr>
          <w:rFonts w:ascii="Garamond" w:hAnsi="Garamond"/>
          <w:b w:val="0"/>
          <w:sz w:val="24"/>
        </w:rPr>
        <w:t xml:space="preserve"> Based on the gaps in, and challenges to, the conduct of disaster research described above, DR2 focuses on six key objectives to enable more timely disaster research while also facilitating a broader discussion to advance our national disaster research capabilities. The key objectives include: (1)</w:t>
      </w:r>
      <w:r w:rsidR="00F42A91">
        <w:rPr>
          <w:rFonts w:ascii="Garamond" w:hAnsi="Garamond"/>
          <w:b w:val="0"/>
          <w:sz w:val="24"/>
        </w:rPr>
        <w:t xml:space="preserve"> timely</w:t>
      </w:r>
      <w:r w:rsidRPr="005C6DE1">
        <w:rPr>
          <w:rFonts w:ascii="Garamond" w:hAnsi="Garamond"/>
          <w:b w:val="0"/>
          <w:sz w:val="24"/>
        </w:rPr>
        <w:t xml:space="preserve"> identification of important research questions and priorities; (2) improved access to data collection tools for researchers; (3) improved</w:t>
      </w:r>
      <w:r w:rsidR="00F42A91">
        <w:rPr>
          <w:rFonts w:ascii="Garamond" w:hAnsi="Garamond"/>
          <w:b w:val="0"/>
          <w:sz w:val="24"/>
        </w:rPr>
        <w:t xml:space="preserve"> </w:t>
      </w:r>
      <w:r w:rsidRPr="005C6DE1">
        <w:rPr>
          <w:rFonts w:ascii="Garamond" w:hAnsi="Garamond"/>
          <w:b w:val="0"/>
          <w:sz w:val="24"/>
        </w:rPr>
        <w:t>capability</w:t>
      </w:r>
      <w:r w:rsidR="00F42A91">
        <w:rPr>
          <w:rFonts w:ascii="Garamond" w:hAnsi="Garamond"/>
          <w:b w:val="0"/>
          <w:sz w:val="24"/>
        </w:rPr>
        <w:t xml:space="preserve"> of researchers</w:t>
      </w:r>
      <w:r w:rsidRPr="005C6DE1">
        <w:rPr>
          <w:rFonts w:ascii="Garamond" w:hAnsi="Garamond"/>
          <w:b w:val="0"/>
          <w:sz w:val="24"/>
        </w:rPr>
        <w:t xml:space="preserve"> to quickly collect data;</w:t>
      </w:r>
      <w:r w:rsidR="005C6DE1">
        <w:rPr>
          <w:rFonts w:ascii="Garamond" w:hAnsi="Garamond"/>
          <w:b w:val="0"/>
          <w:sz w:val="24"/>
        </w:rPr>
        <w:t xml:space="preserve"> </w:t>
      </w:r>
      <w:r w:rsidRPr="005C6DE1">
        <w:rPr>
          <w:rFonts w:ascii="Garamond" w:hAnsi="Garamond"/>
          <w:b w:val="0"/>
          <w:sz w:val="24"/>
        </w:rPr>
        <w:t xml:space="preserve">(4) trained researchers versed in disaster tools; (5) </w:t>
      </w:r>
      <w:r w:rsidR="00693959" w:rsidRPr="005C6DE1">
        <w:rPr>
          <w:rFonts w:ascii="Garamond" w:hAnsi="Garamond"/>
          <w:b w:val="0"/>
          <w:sz w:val="24"/>
        </w:rPr>
        <w:t>research processes that include public health, academia, and impacted workers and communities</w:t>
      </w:r>
      <w:r w:rsidR="00693959">
        <w:rPr>
          <w:rFonts w:ascii="Garamond" w:hAnsi="Garamond"/>
          <w:b w:val="0"/>
          <w:sz w:val="24"/>
        </w:rPr>
        <w:t xml:space="preserve">; and </w:t>
      </w:r>
      <w:r w:rsidR="00511E2F">
        <w:rPr>
          <w:rFonts w:ascii="Garamond" w:hAnsi="Garamond"/>
          <w:b w:val="0"/>
          <w:sz w:val="24"/>
        </w:rPr>
        <w:t xml:space="preserve">(6) </w:t>
      </w:r>
      <w:r w:rsidRPr="005C6DE1">
        <w:rPr>
          <w:rFonts w:ascii="Garamond" w:hAnsi="Garamond"/>
          <w:b w:val="0"/>
          <w:sz w:val="24"/>
        </w:rPr>
        <w:t>integration into preparedness, resp</w:t>
      </w:r>
      <w:r w:rsidR="00511E2F">
        <w:rPr>
          <w:rFonts w:ascii="Garamond" w:hAnsi="Garamond"/>
          <w:b w:val="0"/>
          <w:sz w:val="24"/>
        </w:rPr>
        <w:t>onse, and recovery systems</w:t>
      </w:r>
      <w:r w:rsidRPr="005C6DE1">
        <w:rPr>
          <w:rFonts w:ascii="Garamond" w:hAnsi="Garamond"/>
          <w:b w:val="0"/>
          <w:sz w:val="24"/>
        </w:rPr>
        <w:t>.</w:t>
      </w:r>
    </w:p>
    <w:p w14:paraId="344175FF" w14:textId="77777777" w:rsidR="00315D51" w:rsidRDefault="002B4C72" w:rsidP="007E5309">
      <w:pPr>
        <w:pStyle w:val="ListParagraph"/>
        <w:widowControl/>
        <w:numPr>
          <w:ilvl w:val="0"/>
          <w:numId w:val="12"/>
        </w:numPr>
        <w:spacing w:before="200"/>
        <w:contextualSpacing/>
      </w:pPr>
      <w:r w:rsidRPr="007E5309">
        <w:rPr>
          <w:rFonts w:ascii="Garamond" w:eastAsia="Book Antiqua" w:hAnsi="Garamond"/>
          <w:b/>
          <w:i/>
          <w:sz w:val="24"/>
          <w:szCs w:val="20"/>
        </w:rPr>
        <w:t>Rapid identification of imp</w:t>
      </w:r>
      <w:r w:rsidR="005C6DE1" w:rsidRPr="007E5309">
        <w:rPr>
          <w:rFonts w:ascii="Garamond" w:eastAsia="Book Antiqua" w:hAnsi="Garamond"/>
          <w:b/>
          <w:i/>
          <w:sz w:val="24"/>
          <w:szCs w:val="20"/>
        </w:rPr>
        <w:t>ortant</w:t>
      </w:r>
      <w:r w:rsidRPr="007E5309">
        <w:rPr>
          <w:rFonts w:ascii="Garamond" w:eastAsia="Book Antiqua" w:hAnsi="Garamond"/>
          <w:b/>
          <w:i/>
          <w:sz w:val="24"/>
          <w:szCs w:val="20"/>
        </w:rPr>
        <w:t xml:space="preserve"> research questions and priorities</w:t>
      </w:r>
    </w:p>
    <w:p w14:paraId="4E5884F6" w14:textId="0F9721E9" w:rsidR="0018599D" w:rsidRDefault="00C23C05" w:rsidP="007E5309">
      <w:pPr>
        <w:pStyle w:val="BodyText"/>
        <w:spacing w:before="200"/>
        <w:ind w:left="0" w:right="148" w:firstLine="0"/>
        <w:rPr>
          <w:rFonts w:ascii="Garamond" w:hAnsi="Garamond"/>
          <w:bCs/>
          <w:sz w:val="24"/>
        </w:rPr>
      </w:pPr>
      <w:r>
        <w:rPr>
          <w:rFonts w:ascii="Garamond" w:hAnsi="Garamond"/>
          <w:bCs/>
          <w:sz w:val="24"/>
        </w:rPr>
        <w:t>NIEHS</w:t>
      </w:r>
      <w:r w:rsidR="007B5339">
        <w:rPr>
          <w:rFonts w:ascii="Garamond" w:hAnsi="Garamond"/>
          <w:bCs/>
          <w:sz w:val="24"/>
        </w:rPr>
        <w:t xml:space="preserve"> has </w:t>
      </w:r>
      <w:r>
        <w:rPr>
          <w:rFonts w:ascii="Garamond" w:hAnsi="Garamond"/>
          <w:bCs/>
          <w:sz w:val="24"/>
        </w:rPr>
        <w:t xml:space="preserve">worked in partnership with HHS and others to develop </w:t>
      </w:r>
      <w:r w:rsidR="00315D51" w:rsidRPr="005C6DE1">
        <w:rPr>
          <w:rFonts w:ascii="Garamond" w:hAnsi="Garamond"/>
          <w:bCs/>
          <w:sz w:val="24"/>
        </w:rPr>
        <w:t>new models for identifying data gaps and researc</w:t>
      </w:r>
      <w:r w:rsidR="007B5339">
        <w:rPr>
          <w:rFonts w:ascii="Garamond" w:hAnsi="Garamond"/>
          <w:bCs/>
          <w:sz w:val="24"/>
        </w:rPr>
        <w:t>h priorities such as providing support for</w:t>
      </w:r>
      <w:r w:rsidR="00315D51" w:rsidRPr="005C6DE1">
        <w:rPr>
          <w:rFonts w:ascii="Garamond" w:hAnsi="Garamond"/>
          <w:bCs/>
          <w:sz w:val="24"/>
        </w:rPr>
        <w:t xml:space="preserve"> workshops hosted by the National Academies of Sciences, Engineering, and Medicine to discuss health issues related to the </w:t>
      </w:r>
      <w:proofErr w:type="spellStart"/>
      <w:r w:rsidR="00315D51" w:rsidRPr="005C6DE1">
        <w:rPr>
          <w:rFonts w:ascii="Garamond" w:hAnsi="Garamond"/>
          <w:bCs/>
          <w:sz w:val="24"/>
        </w:rPr>
        <w:t>Deepwater</w:t>
      </w:r>
      <w:proofErr w:type="spellEnd"/>
      <w:r w:rsidR="00315D51" w:rsidRPr="005C6DE1">
        <w:rPr>
          <w:rFonts w:ascii="Garamond" w:hAnsi="Garamond"/>
          <w:bCs/>
          <w:sz w:val="24"/>
        </w:rPr>
        <w:t xml:space="preserve"> Horizon Oil Spill and the </w:t>
      </w:r>
      <w:proofErr w:type="spellStart"/>
      <w:r w:rsidR="005C6DE1">
        <w:rPr>
          <w:rFonts w:ascii="Garamond" w:hAnsi="Garamond"/>
          <w:bCs/>
          <w:sz w:val="24"/>
        </w:rPr>
        <w:t>Zika</w:t>
      </w:r>
      <w:proofErr w:type="spellEnd"/>
      <w:r w:rsidR="005C6DE1">
        <w:rPr>
          <w:rFonts w:ascii="Garamond" w:hAnsi="Garamond"/>
          <w:bCs/>
          <w:sz w:val="24"/>
        </w:rPr>
        <w:t xml:space="preserve"> outbreak</w:t>
      </w:r>
      <w:r w:rsidR="00315D51" w:rsidRPr="005C6DE1">
        <w:rPr>
          <w:rFonts w:ascii="Garamond" w:hAnsi="Garamond"/>
          <w:bCs/>
          <w:sz w:val="24"/>
        </w:rPr>
        <w:t xml:space="preserve">. </w:t>
      </w:r>
      <w:r w:rsidR="005C6DE1">
        <w:rPr>
          <w:rFonts w:ascii="Garamond" w:hAnsi="Garamond"/>
          <w:bCs/>
          <w:sz w:val="24"/>
        </w:rPr>
        <w:t xml:space="preserve"> </w:t>
      </w:r>
    </w:p>
    <w:p w14:paraId="34F1BC97" w14:textId="77777777" w:rsidR="0018599D" w:rsidRDefault="00A334C7" w:rsidP="007E5309">
      <w:pPr>
        <w:pStyle w:val="BodyText"/>
        <w:numPr>
          <w:ilvl w:val="0"/>
          <w:numId w:val="10"/>
        </w:numPr>
        <w:spacing w:before="200"/>
        <w:ind w:right="148"/>
        <w:rPr>
          <w:rFonts w:ascii="Garamond" w:hAnsi="Garamond"/>
          <w:bCs/>
          <w:sz w:val="24"/>
        </w:rPr>
      </w:pPr>
      <w:hyperlink r:id="rId7" w:history="1">
        <w:r w:rsidR="0018599D" w:rsidRPr="00FA0C9F">
          <w:rPr>
            <w:rStyle w:val="Hyperlink"/>
            <w:rFonts w:ascii="Garamond" w:hAnsi="Garamond"/>
            <w:bCs/>
            <w:sz w:val="24"/>
          </w:rPr>
          <w:t>Human Health Effects of the Gulf of Mexico Oil Spill Workshop Report (2010</w:t>
        </w:r>
        <w:proofErr w:type="gramStart"/>
        <w:r w:rsidR="0018599D" w:rsidRPr="00FA0C9F">
          <w:rPr>
            <w:rStyle w:val="Hyperlink"/>
            <w:rFonts w:ascii="Garamond" w:hAnsi="Garamond"/>
            <w:bCs/>
            <w:sz w:val="24"/>
          </w:rPr>
          <w:t xml:space="preserve">)  </w:t>
        </w:r>
        <w:proofErr w:type="gramEnd"/>
      </w:hyperlink>
      <w:r w:rsidR="0018599D">
        <w:rPr>
          <w:rFonts w:ascii="Garamond" w:hAnsi="Garamond"/>
          <w:bCs/>
          <w:sz w:val="24"/>
        </w:rPr>
        <w:t xml:space="preserve"> </w:t>
      </w:r>
    </w:p>
    <w:p w14:paraId="38DCC3EC" w14:textId="77777777" w:rsidR="005C6DE1" w:rsidRDefault="00A334C7" w:rsidP="007E5309">
      <w:pPr>
        <w:pStyle w:val="BodyText"/>
        <w:numPr>
          <w:ilvl w:val="0"/>
          <w:numId w:val="10"/>
        </w:numPr>
        <w:spacing w:before="200"/>
        <w:ind w:right="148"/>
        <w:rPr>
          <w:rFonts w:ascii="Garamond" w:hAnsi="Garamond"/>
          <w:bCs/>
          <w:sz w:val="24"/>
        </w:rPr>
      </w:pPr>
      <w:hyperlink r:id="rId8" w:history="1">
        <w:r w:rsidR="0018599D" w:rsidRPr="00FA0C9F">
          <w:rPr>
            <w:rStyle w:val="Hyperlink"/>
            <w:rFonts w:ascii="Garamond" w:hAnsi="Garamond"/>
            <w:bCs/>
            <w:sz w:val="24"/>
          </w:rPr>
          <w:t xml:space="preserve">Research Priorities to Inform Public Health for Domestic </w:t>
        </w:r>
        <w:proofErr w:type="spellStart"/>
        <w:r w:rsidR="0018599D" w:rsidRPr="00FA0C9F">
          <w:rPr>
            <w:rStyle w:val="Hyperlink"/>
            <w:rFonts w:ascii="Garamond" w:hAnsi="Garamond"/>
            <w:bCs/>
            <w:sz w:val="24"/>
          </w:rPr>
          <w:t>Zika</w:t>
        </w:r>
        <w:proofErr w:type="spellEnd"/>
        <w:r w:rsidR="0018599D" w:rsidRPr="00FA0C9F">
          <w:rPr>
            <w:rStyle w:val="Hyperlink"/>
            <w:rFonts w:ascii="Garamond" w:hAnsi="Garamond"/>
            <w:bCs/>
            <w:sz w:val="24"/>
          </w:rPr>
          <w:t xml:space="preserve"> Virus (2016)</w:t>
        </w:r>
      </w:hyperlink>
      <w:r w:rsidR="0018599D">
        <w:rPr>
          <w:rFonts w:ascii="Garamond" w:hAnsi="Garamond"/>
          <w:bCs/>
          <w:sz w:val="24"/>
        </w:rPr>
        <w:t xml:space="preserve"> </w:t>
      </w:r>
    </w:p>
    <w:p w14:paraId="08551120" w14:textId="2AEB8117" w:rsidR="006B6163" w:rsidRDefault="006B6163" w:rsidP="007E5309">
      <w:pPr>
        <w:pStyle w:val="BodyText"/>
        <w:spacing w:before="200"/>
        <w:ind w:left="0" w:right="148" w:firstLine="0"/>
        <w:rPr>
          <w:rFonts w:ascii="Garamond" w:hAnsi="Garamond"/>
          <w:bCs/>
          <w:sz w:val="24"/>
        </w:rPr>
      </w:pPr>
      <w:r>
        <w:rPr>
          <w:rFonts w:ascii="Garamond" w:hAnsi="Garamond"/>
          <w:bCs/>
          <w:sz w:val="24"/>
        </w:rPr>
        <w:t>NIEHS also hosted a national disaster research workshop jointly sponsored by the Institute of Medicine (now known as the National Academies)</w:t>
      </w:r>
      <w:r w:rsidR="00C23C05">
        <w:rPr>
          <w:rFonts w:ascii="Garamond" w:hAnsi="Garamond"/>
          <w:bCs/>
          <w:sz w:val="24"/>
        </w:rPr>
        <w:t>, CDC,</w:t>
      </w:r>
      <w:r>
        <w:rPr>
          <w:rFonts w:ascii="Garamond" w:hAnsi="Garamond"/>
          <w:bCs/>
          <w:sz w:val="24"/>
        </w:rPr>
        <w:t xml:space="preserve"> and DHHS</w:t>
      </w:r>
      <w:r w:rsidR="00C23C05">
        <w:rPr>
          <w:rFonts w:ascii="Garamond" w:hAnsi="Garamond"/>
          <w:bCs/>
          <w:sz w:val="24"/>
        </w:rPr>
        <w:t>/ASPR</w:t>
      </w:r>
      <w:r w:rsidR="008303FD">
        <w:rPr>
          <w:rFonts w:ascii="Garamond" w:hAnsi="Garamond"/>
          <w:bCs/>
          <w:sz w:val="24"/>
        </w:rPr>
        <w:t xml:space="preserve"> that investigated </w:t>
      </w:r>
      <w:r>
        <w:rPr>
          <w:rFonts w:ascii="Garamond" w:hAnsi="Garamond"/>
          <w:bCs/>
          <w:sz w:val="24"/>
        </w:rPr>
        <w:t xml:space="preserve">broader </w:t>
      </w:r>
      <w:r w:rsidR="008303FD">
        <w:rPr>
          <w:rFonts w:ascii="Garamond" w:hAnsi="Garamond"/>
          <w:bCs/>
          <w:sz w:val="24"/>
        </w:rPr>
        <w:t>issues of research priorities and operations</w:t>
      </w:r>
      <w:r>
        <w:rPr>
          <w:rFonts w:ascii="Garamond" w:hAnsi="Garamond"/>
          <w:bCs/>
          <w:sz w:val="24"/>
        </w:rPr>
        <w:t xml:space="preserve"> after disasters to overcome longstanding challenges.   </w:t>
      </w:r>
    </w:p>
    <w:p w14:paraId="427EAAAD" w14:textId="77777777" w:rsidR="00315D51" w:rsidRDefault="00A334C7" w:rsidP="007E5309">
      <w:pPr>
        <w:pStyle w:val="BodyText"/>
        <w:spacing w:before="200"/>
        <w:ind w:left="0" w:right="148" w:firstLine="720"/>
      </w:pPr>
      <w:hyperlink r:id="rId9" w:history="1">
        <w:r w:rsidR="006B6163" w:rsidRPr="007E5309">
          <w:rPr>
            <w:rStyle w:val="Hyperlink"/>
            <w:rFonts w:ascii="Garamond" w:hAnsi="Garamond"/>
            <w:bCs/>
            <w:sz w:val="24"/>
          </w:rPr>
          <w:t>Enabling Rapid and Sustainable Public Health Research during Disasters (2014)</w:t>
        </w:r>
      </w:hyperlink>
    </w:p>
    <w:p w14:paraId="10669594" w14:textId="77777777" w:rsidR="00315D51" w:rsidRDefault="002D3A39" w:rsidP="007E5309">
      <w:pPr>
        <w:pStyle w:val="ListParagraph"/>
        <w:widowControl/>
        <w:numPr>
          <w:ilvl w:val="0"/>
          <w:numId w:val="12"/>
        </w:numPr>
        <w:spacing w:before="200"/>
        <w:contextualSpacing/>
      </w:pPr>
      <w:r w:rsidRPr="007E5309">
        <w:rPr>
          <w:rFonts w:ascii="Garamond" w:eastAsia="Book Antiqua" w:hAnsi="Garamond"/>
          <w:b/>
          <w:i/>
          <w:sz w:val="24"/>
          <w:szCs w:val="20"/>
        </w:rPr>
        <w:t>Improved</w:t>
      </w:r>
      <w:r w:rsidR="002B4C72" w:rsidRPr="007E5309">
        <w:rPr>
          <w:rFonts w:ascii="Garamond" w:eastAsia="Book Antiqua" w:hAnsi="Garamond"/>
          <w:b/>
          <w:i/>
          <w:sz w:val="24"/>
          <w:szCs w:val="20"/>
        </w:rPr>
        <w:t xml:space="preserve"> access to data collection tools for researchers</w:t>
      </w:r>
      <w:r w:rsidR="008303FD" w:rsidRPr="007E5309">
        <w:rPr>
          <w:rFonts w:ascii="Garamond" w:eastAsia="Book Antiqua" w:hAnsi="Garamond"/>
          <w:b/>
          <w:i/>
          <w:sz w:val="24"/>
          <w:szCs w:val="20"/>
        </w:rPr>
        <w:t xml:space="preserve"> </w:t>
      </w:r>
    </w:p>
    <w:p w14:paraId="4A85035D" w14:textId="655C4A6E" w:rsidR="008303FD"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One of the key principles of DR2 is to empower state and local responders to conduct and sustain research efforts within their jurisdiction, especially in those disasters that do not require </w:t>
      </w:r>
      <w:r w:rsidRPr="008303FD">
        <w:rPr>
          <w:rFonts w:ascii="Garamond" w:hAnsi="Garamond"/>
          <w:bCs/>
          <w:sz w:val="24"/>
        </w:rPr>
        <w:lastRenderedPageBreak/>
        <w:t>federal involvement. This approach is exemplified by the creation of a publicly accessible repository of data collection tools and research protocols, as well as other information to support disaster research, hosted by the NLM on an evolving NIH DR2 website that was initiated in January 2015.</w:t>
      </w:r>
      <w:r w:rsidR="002D3A39">
        <w:rPr>
          <w:rFonts w:ascii="Garamond" w:hAnsi="Garamond"/>
          <w:bCs/>
          <w:sz w:val="24"/>
        </w:rPr>
        <w:t xml:space="preserve"> </w:t>
      </w:r>
      <w:r w:rsidRPr="008303FD">
        <w:rPr>
          <w:rFonts w:ascii="Garamond" w:hAnsi="Garamond"/>
          <w:bCs/>
          <w:sz w:val="24"/>
        </w:rPr>
        <w:t>This information is intended to help researchers from any community to rapidly obtain various data collection tools that have been used previously in research efforts. Researchers can use or modify these instruments in accordance with their needs.</w:t>
      </w:r>
    </w:p>
    <w:p w14:paraId="6BDEF441" w14:textId="77777777" w:rsidR="002D3A39"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The development of the DR2 repository was initiated by a literature search of over 10,000 peer-reviewed articles and numerous websites to identify questionnaires, surveys, and other instruments used to support disaster research. The review process revealed tools that were acceptable for inclusion into the DR2 repository. Specific metadata were then generated for each of the data collection tools, using various descriptive fields for the information, to help standardize and improve the selection of an appropriate tool by the research </w:t>
      </w:r>
      <w:r w:rsidR="008303FD">
        <w:rPr>
          <w:rFonts w:ascii="Garamond" w:hAnsi="Garamond"/>
          <w:bCs/>
          <w:sz w:val="24"/>
        </w:rPr>
        <w:t>community</w:t>
      </w:r>
      <w:r w:rsidRPr="008303FD">
        <w:rPr>
          <w:rFonts w:ascii="Garamond" w:hAnsi="Garamond"/>
          <w:bCs/>
          <w:sz w:val="24"/>
        </w:rPr>
        <w:t xml:space="preserve">. Additionally, filters were created to allow the refinement of search results to facilitate easy identification of these tools. Currently, the NIH DR2 website hosts data collection instruments used to measure post-disaster impacts in eight research categories including: environmental exposures, lifestyle and quality of life, mental health and cognitive function, occupational health, preparedness, social support and resiliency, specific body systems, and disaster-specific health concerns. Since the disaster research landscape is ever changing, new tools (or links to copyrighted tools) are periodically being added to the repository as they become available. To date, the DR2 website hosts </w:t>
      </w:r>
      <w:r w:rsidR="008303FD">
        <w:rPr>
          <w:rFonts w:ascii="Garamond" w:hAnsi="Garamond"/>
          <w:bCs/>
          <w:sz w:val="24"/>
        </w:rPr>
        <w:t>approximately 350 tools</w:t>
      </w:r>
      <w:r w:rsidRPr="008303FD">
        <w:rPr>
          <w:rFonts w:ascii="Garamond" w:hAnsi="Garamond"/>
          <w:bCs/>
          <w:sz w:val="24"/>
        </w:rPr>
        <w:t>.</w:t>
      </w:r>
    </w:p>
    <w:p w14:paraId="634D49E9" w14:textId="77777777" w:rsidR="002D3A39" w:rsidRDefault="00A334C7" w:rsidP="007E5309">
      <w:pPr>
        <w:pStyle w:val="BodyText"/>
        <w:numPr>
          <w:ilvl w:val="0"/>
          <w:numId w:val="11"/>
        </w:numPr>
        <w:spacing w:before="200"/>
        <w:ind w:right="148"/>
        <w:rPr>
          <w:rFonts w:ascii="Garamond" w:hAnsi="Garamond"/>
          <w:bCs/>
          <w:sz w:val="24"/>
        </w:rPr>
      </w:pPr>
      <w:hyperlink r:id="rId10" w:history="1">
        <w:r w:rsidR="002D3A39" w:rsidRPr="007E5309">
          <w:rPr>
            <w:rStyle w:val="Hyperlink"/>
            <w:rFonts w:ascii="Garamond" w:hAnsi="Garamond"/>
            <w:bCs/>
            <w:sz w:val="24"/>
          </w:rPr>
          <w:t>Direct link to the NIEHS/NLM DR2 tools repository</w:t>
        </w:r>
      </w:hyperlink>
    </w:p>
    <w:p w14:paraId="271969DB" w14:textId="77777777" w:rsidR="00315D51" w:rsidRDefault="00693959" w:rsidP="007E5309">
      <w:pPr>
        <w:pStyle w:val="ListParagraph"/>
        <w:widowControl/>
        <w:numPr>
          <w:ilvl w:val="0"/>
          <w:numId w:val="12"/>
        </w:numPr>
        <w:spacing w:before="200"/>
        <w:contextualSpacing/>
      </w:pPr>
      <w:r w:rsidRPr="007E5309">
        <w:rPr>
          <w:rFonts w:ascii="Garamond" w:eastAsia="Book Antiqua" w:hAnsi="Garamond"/>
          <w:b/>
          <w:i/>
          <w:sz w:val="24"/>
          <w:szCs w:val="20"/>
        </w:rPr>
        <w:t>Improved capability to quickly collect data - R</w:t>
      </w:r>
      <w:r w:rsidR="002B4C72" w:rsidRPr="007E5309">
        <w:rPr>
          <w:rFonts w:ascii="Garamond" w:eastAsia="Book Antiqua" w:hAnsi="Garamond"/>
          <w:b/>
          <w:i/>
          <w:sz w:val="24"/>
          <w:szCs w:val="20"/>
        </w:rPr>
        <w:t>apid acquisition of pre-and post-incident disaster data</w:t>
      </w:r>
      <w:r w:rsidRPr="007E5309">
        <w:rPr>
          <w:rFonts w:ascii="Garamond" w:eastAsia="Book Antiqua" w:hAnsi="Garamond"/>
          <w:b/>
          <w:i/>
          <w:sz w:val="24"/>
          <w:szCs w:val="20"/>
        </w:rPr>
        <w:t xml:space="preserve"> (RAPIDD)</w:t>
      </w:r>
    </w:p>
    <w:p w14:paraId="14FEB3DA" w14:textId="77777777" w:rsidR="00315D51" w:rsidRPr="008303FD" w:rsidRDefault="00315D51" w:rsidP="007E5309">
      <w:pPr>
        <w:spacing w:before="200"/>
        <w:rPr>
          <w:rFonts w:ascii="Garamond" w:eastAsia="Book Antiqua" w:hAnsi="Garamond"/>
          <w:bCs/>
          <w:sz w:val="24"/>
          <w:szCs w:val="20"/>
        </w:rPr>
      </w:pPr>
      <w:r w:rsidRPr="008303FD">
        <w:rPr>
          <w:rFonts w:ascii="Garamond" w:hAnsi="Garamond"/>
          <w:bCs/>
          <w:sz w:val="24"/>
        </w:rPr>
        <w:t>A scalable research protocol, called “Rapid Acquisition of Pre-and Post-Incident Disaster Data” (RAPIDD), was developed by NIEHS to facilitate the collection of epidemiologic information, laboratory test results, and the collection</w:t>
      </w:r>
      <w:r w:rsidR="008303FD" w:rsidRPr="008303FD">
        <w:rPr>
          <w:rFonts w:ascii="Garamond" w:hAnsi="Garamond"/>
          <w:bCs/>
          <w:sz w:val="24"/>
        </w:rPr>
        <w:t xml:space="preserve"> and storage of human </w:t>
      </w:r>
      <w:proofErr w:type="spellStart"/>
      <w:r w:rsidR="008303FD" w:rsidRPr="008303FD">
        <w:rPr>
          <w:rFonts w:ascii="Garamond" w:hAnsi="Garamond"/>
          <w:bCs/>
          <w:sz w:val="24"/>
        </w:rPr>
        <w:t>bio</w:t>
      </w:r>
      <w:r w:rsidRPr="008303FD">
        <w:rPr>
          <w:rFonts w:ascii="Garamond" w:hAnsi="Garamond"/>
          <w:bCs/>
          <w:sz w:val="24"/>
        </w:rPr>
        <w:t>specimens</w:t>
      </w:r>
      <w:proofErr w:type="spellEnd"/>
      <w:r w:rsidRPr="008303FD">
        <w:rPr>
          <w:rFonts w:ascii="Garamond" w:hAnsi="Garamond"/>
          <w:bCs/>
          <w:sz w:val="24"/>
        </w:rPr>
        <w:t xml:space="preserve">. RAPIDD was based, in-part, on the NIEHS </w:t>
      </w:r>
      <w:proofErr w:type="spellStart"/>
      <w:r w:rsidRPr="008303FD">
        <w:rPr>
          <w:rFonts w:ascii="Garamond" w:hAnsi="Garamond"/>
          <w:bCs/>
          <w:sz w:val="24"/>
        </w:rPr>
        <w:t>GuLF</w:t>
      </w:r>
      <w:proofErr w:type="spellEnd"/>
      <w:r w:rsidRPr="008303FD">
        <w:rPr>
          <w:rFonts w:ascii="Garamond" w:hAnsi="Garamond"/>
          <w:bCs/>
          <w:sz w:val="24"/>
        </w:rPr>
        <w:t xml:space="preserve"> STUDY protocol used for environmental health research of over 32,000 disaster </w:t>
      </w:r>
      <w:proofErr w:type="spellStart"/>
      <w:r w:rsidRPr="008303FD">
        <w:rPr>
          <w:rFonts w:ascii="Garamond" w:hAnsi="Garamond"/>
          <w:bCs/>
          <w:sz w:val="24"/>
        </w:rPr>
        <w:t>clean-up</w:t>
      </w:r>
      <w:proofErr w:type="spellEnd"/>
      <w:r w:rsidRPr="008303FD">
        <w:rPr>
          <w:rFonts w:ascii="Garamond" w:hAnsi="Garamond"/>
          <w:bCs/>
          <w:sz w:val="24"/>
        </w:rPr>
        <w:t xml:space="preserve"> workers who responded to the 2010 </w:t>
      </w:r>
      <w:proofErr w:type="spellStart"/>
      <w:r w:rsidRPr="008303FD">
        <w:rPr>
          <w:rFonts w:ascii="Garamond" w:hAnsi="Garamond"/>
          <w:bCs/>
          <w:sz w:val="24"/>
        </w:rPr>
        <w:t>Deepwater</w:t>
      </w:r>
      <w:proofErr w:type="spellEnd"/>
      <w:r w:rsidRPr="008303FD">
        <w:rPr>
          <w:rFonts w:ascii="Garamond" w:hAnsi="Garamond"/>
          <w:bCs/>
          <w:sz w:val="24"/>
        </w:rPr>
        <w:t xml:space="preserve"> Horizon Oil Spill. Prior to release, the RAPIDD protocol underwent peer and scientific review and was submitted to the NIEHS IRB for approval. The peer-review process consisted of discussions, and one training exercise, with various stakeholders including academic researchers, public health, emergency management, and first responders. After reviewing the protocol, exercise participants were asked to comment on incentives and barriers for participating in the protocol, the informed consent process, and the ease of use of the protocol. All feedback was incorporated into the protocol, and it was submitted to the NIEHS IRB, which provisionally approved the RAPIDD protocol in May 2015 for use in post-disaster settings.</w:t>
      </w:r>
    </w:p>
    <w:p w14:paraId="0A467C01" w14:textId="77777777" w:rsidR="004D669F" w:rsidRDefault="00315D51" w:rsidP="00511E2F">
      <w:pPr>
        <w:spacing w:before="200"/>
        <w:rPr>
          <w:rFonts w:ascii="Garamond" w:hAnsi="Garamond"/>
          <w:bCs/>
          <w:sz w:val="24"/>
        </w:rPr>
      </w:pPr>
      <w:r w:rsidRPr="008303FD">
        <w:rPr>
          <w:rFonts w:ascii="Garamond" w:hAnsi="Garamond"/>
          <w:bCs/>
          <w:sz w:val="24"/>
        </w:rPr>
        <w:t xml:space="preserve">Final approval </w:t>
      </w:r>
      <w:r w:rsidR="00511E2F">
        <w:rPr>
          <w:rFonts w:ascii="Garamond" w:hAnsi="Garamond"/>
          <w:bCs/>
          <w:sz w:val="24"/>
        </w:rPr>
        <w:t xml:space="preserve">of RAPIDD </w:t>
      </w:r>
      <w:r w:rsidRPr="008303FD">
        <w:rPr>
          <w:rFonts w:ascii="Garamond" w:hAnsi="Garamond"/>
          <w:bCs/>
          <w:sz w:val="24"/>
        </w:rPr>
        <w:t>will be based on an expedited amendment</w:t>
      </w:r>
      <w:r w:rsidR="002D3A39">
        <w:rPr>
          <w:rFonts w:ascii="Garamond" w:hAnsi="Garamond"/>
          <w:bCs/>
          <w:sz w:val="24"/>
        </w:rPr>
        <w:t xml:space="preserve">, initiated after a disaster of research interest, </w:t>
      </w:r>
      <w:r w:rsidR="002D3A39" w:rsidRPr="008303FD">
        <w:rPr>
          <w:rFonts w:ascii="Garamond" w:hAnsi="Garamond"/>
          <w:bCs/>
          <w:sz w:val="24"/>
        </w:rPr>
        <w:t>which</w:t>
      </w:r>
      <w:r w:rsidRPr="008303FD">
        <w:rPr>
          <w:rFonts w:ascii="Garamond" w:hAnsi="Garamond"/>
          <w:bCs/>
          <w:sz w:val="24"/>
        </w:rPr>
        <w:t xml:space="preserve"> includes clarification of the disaster type, target sample size, exposures and potential health effects of interest, specific questionnaires, and proce</w:t>
      </w:r>
      <w:r w:rsidR="004D669F">
        <w:rPr>
          <w:rFonts w:ascii="Garamond" w:hAnsi="Garamond"/>
          <w:bCs/>
          <w:sz w:val="24"/>
        </w:rPr>
        <w:t xml:space="preserve">dures that will be implemented. </w:t>
      </w:r>
    </w:p>
    <w:p w14:paraId="699EEE3A" w14:textId="77777777" w:rsidR="00A276EC" w:rsidRDefault="00315D51" w:rsidP="00511E2F">
      <w:pPr>
        <w:spacing w:before="200"/>
        <w:rPr>
          <w:rFonts w:ascii="Garamond" w:hAnsi="Garamond"/>
          <w:bCs/>
          <w:sz w:val="24"/>
        </w:rPr>
      </w:pPr>
      <w:r w:rsidRPr="008303FD">
        <w:rPr>
          <w:rFonts w:ascii="Garamond" w:hAnsi="Garamond"/>
          <w:bCs/>
          <w:sz w:val="24"/>
        </w:rPr>
        <w:t xml:space="preserve">Additionally, the DR2 team is providing </w:t>
      </w:r>
      <w:r w:rsidR="001C738B">
        <w:rPr>
          <w:rFonts w:ascii="Garamond" w:hAnsi="Garamond"/>
          <w:bCs/>
          <w:sz w:val="24"/>
        </w:rPr>
        <w:t xml:space="preserve">ongoing </w:t>
      </w:r>
      <w:r w:rsidRPr="008303FD">
        <w:rPr>
          <w:rFonts w:ascii="Garamond" w:hAnsi="Garamond"/>
          <w:bCs/>
          <w:sz w:val="24"/>
        </w:rPr>
        <w:t>technical assistance to extramural researchers</w:t>
      </w:r>
      <w:r w:rsidR="001C738B">
        <w:rPr>
          <w:rFonts w:ascii="Garamond" w:hAnsi="Garamond"/>
          <w:bCs/>
          <w:sz w:val="24"/>
        </w:rPr>
        <w:t>, and other partners,</w:t>
      </w:r>
      <w:r w:rsidRPr="008303FD">
        <w:rPr>
          <w:rFonts w:ascii="Garamond" w:hAnsi="Garamond"/>
          <w:bCs/>
          <w:sz w:val="24"/>
        </w:rPr>
        <w:t xml:space="preserve"> interested in developing their own protocols or implementing a research response to local disasters. For instance, during recent</w:t>
      </w:r>
      <w:r w:rsidR="004D669F">
        <w:rPr>
          <w:rFonts w:ascii="Garamond" w:hAnsi="Garamond"/>
          <w:bCs/>
          <w:sz w:val="24"/>
        </w:rPr>
        <w:t xml:space="preserve"> hurricanes (Hurricane Harvey, Irma and Maria),</w:t>
      </w:r>
      <w:r w:rsidRPr="008303FD">
        <w:rPr>
          <w:rFonts w:ascii="Garamond" w:hAnsi="Garamond"/>
          <w:bCs/>
          <w:sz w:val="24"/>
        </w:rPr>
        <w:t xml:space="preserve"> flooding, oil and gas releases, </w:t>
      </w:r>
      <w:r w:rsidR="004D669F">
        <w:rPr>
          <w:rFonts w:ascii="Garamond" w:hAnsi="Garamond"/>
          <w:bCs/>
          <w:sz w:val="24"/>
        </w:rPr>
        <w:t xml:space="preserve">water contamination incidents </w:t>
      </w:r>
      <w:r w:rsidRPr="008303FD">
        <w:rPr>
          <w:rFonts w:ascii="Garamond" w:hAnsi="Garamond"/>
          <w:bCs/>
          <w:sz w:val="24"/>
        </w:rPr>
        <w:t>and factory fires, DR2 team members helped academic an</w:t>
      </w:r>
      <w:r w:rsidR="007A2042">
        <w:rPr>
          <w:rFonts w:ascii="Garamond" w:hAnsi="Garamond"/>
          <w:bCs/>
          <w:sz w:val="24"/>
        </w:rPr>
        <w:t>d public health researchers obtain</w:t>
      </w:r>
      <w:r w:rsidRPr="008303FD">
        <w:rPr>
          <w:rFonts w:ascii="Garamond" w:hAnsi="Garamond"/>
          <w:bCs/>
          <w:sz w:val="24"/>
        </w:rPr>
        <w:t xml:space="preserve"> access to relevant questionnaires and tools, provided guidance on using the RAPIDD protocol, and assisted with IRB-related matters. The DR2 team now tracks all requests for assistance, support provided, and final disposition of the request to help guide further improvements. </w:t>
      </w:r>
    </w:p>
    <w:p w14:paraId="3C94F462" w14:textId="77777777" w:rsidR="00315D51" w:rsidRPr="007E5309" w:rsidRDefault="002B4C72" w:rsidP="007E5309">
      <w:pPr>
        <w:pStyle w:val="ListParagraph"/>
        <w:widowControl/>
        <w:numPr>
          <w:ilvl w:val="0"/>
          <w:numId w:val="12"/>
        </w:numPr>
        <w:spacing w:before="200"/>
        <w:contextualSpacing/>
        <w:rPr>
          <w:rFonts w:ascii="Garamond" w:hAnsi="Garamond"/>
          <w:i/>
          <w:sz w:val="24"/>
        </w:rPr>
      </w:pPr>
      <w:r w:rsidRPr="007E5309">
        <w:rPr>
          <w:rFonts w:ascii="Garamond" w:eastAsia="Book Antiqua" w:hAnsi="Garamond"/>
          <w:b/>
          <w:i/>
          <w:sz w:val="24"/>
          <w:szCs w:val="20"/>
        </w:rPr>
        <w:t>Training a network of</w:t>
      </w:r>
      <w:r w:rsidR="00693959" w:rsidRPr="007E5309">
        <w:rPr>
          <w:rFonts w:ascii="Garamond" w:eastAsia="Book Antiqua" w:hAnsi="Garamond"/>
          <w:b/>
          <w:i/>
          <w:sz w:val="24"/>
          <w:szCs w:val="20"/>
        </w:rPr>
        <w:t xml:space="preserve"> </w:t>
      </w:r>
      <w:r w:rsidR="003F5181" w:rsidRPr="007E5309">
        <w:rPr>
          <w:rFonts w:ascii="Garamond" w:eastAsia="Book Antiqua" w:hAnsi="Garamond"/>
          <w:b/>
          <w:i/>
          <w:sz w:val="24"/>
          <w:szCs w:val="20"/>
        </w:rPr>
        <w:t>researchers for disaster research</w:t>
      </w:r>
    </w:p>
    <w:p w14:paraId="3970383B" w14:textId="522CF47D" w:rsidR="003F5181" w:rsidRDefault="00315D51" w:rsidP="00511E2F">
      <w:pPr>
        <w:spacing w:before="200"/>
        <w:rPr>
          <w:rFonts w:ascii="Garamond" w:hAnsi="Garamond"/>
          <w:bCs/>
          <w:sz w:val="24"/>
        </w:rPr>
      </w:pPr>
      <w:r w:rsidRPr="003F5181">
        <w:rPr>
          <w:rFonts w:ascii="Garamond" w:hAnsi="Garamond"/>
          <w:bCs/>
          <w:sz w:val="24"/>
        </w:rPr>
        <w:t xml:space="preserve">Training a network of environmental health researchers that can effectively and safely contribute </w:t>
      </w:r>
      <w:r w:rsidRPr="003F5181">
        <w:rPr>
          <w:rFonts w:ascii="Garamond" w:hAnsi="Garamond"/>
          <w:bCs/>
          <w:sz w:val="24"/>
        </w:rPr>
        <w:lastRenderedPageBreak/>
        <w:t xml:space="preserve">to post-disaster research efforts has been a </w:t>
      </w:r>
      <w:proofErr w:type="gramStart"/>
      <w:r w:rsidRPr="003F5181">
        <w:rPr>
          <w:rFonts w:ascii="Garamond" w:hAnsi="Garamond"/>
          <w:bCs/>
          <w:sz w:val="24"/>
        </w:rPr>
        <w:t>cross-cutting</w:t>
      </w:r>
      <w:proofErr w:type="gramEnd"/>
      <w:r w:rsidRPr="003F5181">
        <w:rPr>
          <w:rFonts w:ascii="Garamond" w:hAnsi="Garamond"/>
          <w:bCs/>
          <w:sz w:val="24"/>
        </w:rPr>
        <w:t xml:space="preserve"> imperative of the DR2 program. Central to this effort has been the execution of </w:t>
      </w:r>
      <w:r w:rsidR="006378C2">
        <w:rPr>
          <w:rFonts w:ascii="Garamond" w:hAnsi="Garamond"/>
          <w:bCs/>
          <w:sz w:val="24"/>
        </w:rPr>
        <w:t xml:space="preserve">one-day </w:t>
      </w:r>
      <w:r w:rsidRPr="003F5181">
        <w:rPr>
          <w:rFonts w:ascii="Garamond" w:hAnsi="Garamond"/>
          <w:bCs/>
          <w:sz w:val="24"/>
        </w:rPr>
        <w:t>tabletop exercises</w:t>
      </w:r>
      <w:r w:rsidR="00A276EC">
        <w:rPr>
          <w:rFonts w:ascii="Garamond" w:hAnsi="Garamond"/>
          <w:bCs/>
          <w:sz w:val="24"/>
        </w:rPr>
        <w:t xml:space="preserve"> involving over 300 participants</w:t>
      </w:r>
      <w:r w:rsidRPr="003F5181">
        <w:rPr>
          <w:rFonts w:ascii="Garamond" w:hAnsi="Garamond"/>
          <w:bCs/>
          <w:sz w:val="24"/>
        </w:rPr>
        <w:t xml:space="preserve"> in </w:t>
      </w:r>
      <w:r w:rsidR="004D669F" w:rsidRPr="003F5181">
        <w:rPr>
          <w:rFonts w:ascii="Garamond" w:hAnsi="Garamond"/>
          <w:bCs/>
          <w:sz w:val="24"/>
        </w:rPr>
        <w:t>three</w:t>
      </w:r>
      <w:r w:rsidRPr="003F5181">
        <w:rPr>
          <w:rFonts w:ascii="Garamond" w:hAnsi="Garamond"/>
          <w:bCs/>
          <w:sz w:val="24"/>
        </w:rPr>
        <w:t xml:space="preserve"> </w:t>
      </w:r>
      <w:r w:rsidR="004D669F" w:rsidRPr="003F5181">
        <w:rPr>
          <w:rFonts w:ascii="Garamond" w:hAnsi="Garamond"/>
          <w:bCs/>
          <w:sz w:val="24"/>
        </w:rPr>
        <w:t>locations</w:t>
      </w:r>
      <w:r w:rsidRPr="003F5181">
        <w:rPr>
          <w:rFonts w:ascii="Garamond" w:hAnsi="Garamond"/>
          <w:bCs/>
          <w:sz w:val="24"/>
        </w:rPr>
        <w:t xml:space="preserve"> </w:t>
      </w:r>
      <w:r w:rsidR="004D669F" w:rsidRPr="003F5181">
        <w:rPr>
          <w:rFonts w:ascii="Garamond" w:hAnsi="Garamond"/>
          <w:bCs/>
          <w:sz w:val="24"/>
        </w:rPr>
        <w:t>(</w:t>
      </w:r>
      <w:r w:rsidRPr="003F5181">
        <w:rPr>
          <w:rFonts w:ascii="Garamond" w:hAnsi="Garamond"/>
          <w:bCs/>
          <w:sz w:val="24"/>
        </w:rPr>
        <w:t xml:space="preserve">Los </w:t>
      </w:r>
      <w:r w:rsidR="004D669F" w:rsidRPr="003F5181">
        <w:rPr>
          <w:rFonts w:ascii="Garamond" w:hAnsi="Garamond"/>
          <w:bCs/>
          <w:sz w:val="24"/>
        </w:rPr>
        <w:t xml:space="preserve">Angeles, </w:t>
      </w:r>
      <w:r w:rsidRPr="003F5181">
        <w:rPr>
          <w:rFonts w:ascii="Garamond" w:hAnsi="Garamond"/>
          <w:bCs/>
          <w:sz w:val="24"/>
        </w:rPr>
        <w:t>Houston,</w:t>
      </w:r>
      <w:r w:rsidR="004D669F" w:rsidRPr="003F5181">
        <w:rPr>
          <w:rFonts w:ascii="Garamond" w:hAnsi="Garamond"/>
          <w:bCs/>
          <w:sz w:val="24"/>
        </w:rPr>
        <w:t xml:space="preserve"> and Boston)</w:t>
      </w:r>
      <w:r w:rsidRPr="003F5181">
        <w:rPr>
          <w:rFonts w:ascii="Garamond" w:hAnsi="Garamond"/>
          <w:bCs/>
          <w:sz w:val="24"/>
        </w:rPr>
        <w:t xml:space="preserve"> that used scenarios based on local hazards and vulnerabilities. </w:t>
      </w:r>
      <w:r w:rsidR="004D669F" w:rsidRPr="003F5181">
        <w:rPr>
          <w:rFonts w:ascii="Garamond" w:hAnsi="Garamond"/>
          <w:bCs/>
          <w:sz w:val="24"/>
        </w:rPr>
        <w:t xml:space="preserve"> A fourth exercise, which will be novel in that it will test both public health and health</w:t>
      </w:r>
      <w:r w:rsidR="00A276EC">
        <w:rPr>
          <w:rFonts w:ascii="Garamond" w:hAnsi="Garamond"/>
          <w:bCs/>
          <w:sz w:val="24"/>
        </w:rPr>
        <w:t xml:space="preserve"> care</w:t>
      </w:r>
      <w:r w:rsidR="004D669F" w:rsidRPr="003F5181">
        <w:rPr>
          <w:rFonts w:ascii="Garamond" w:hAnsi="Garamond"/>
          <w:bCs/>
          <w:sz w:val="24"/>
        </w:rPr>
        <w:t xml:space="preserve"> system research preparedness and response, is planned for September 2018 in Tucson, AZ.  </w:t>
      </w:r>
      <w:r w:rsidR="003F5181">
        <w:rPr>
          <w:rFonts w:ascii="Garamond" w:hAnsi="Garamond"/>
          <w:bCs/>
          <w:sz w:val="24"/>
        </w:rPr>
        <w:t>In each of these exercises, l</w:t>
      </w:r>
      <w:r w:rsidRPr="003F5181">
        <w:rPr>
          <w:rFonts w:ascii="Garamond" w:hAnsi="Garamond"/>
          <w:bCs/>
          <w:sz w:val="24"/>
        </w:rPr>
        <w:t>ocal public health</w:t>
      </w:r>
      <w:r w:rsidR="00A276EC">
        <w:rPr>
          <w:rFonts w:ascii="Garamond" w:hAnsi="Garamond"/>
          <w:bCs/>
          <w:sz w:val="24"/>
        </w:rPr>
        <w:t>, emergency responders and management, health care, community organizations, industry,</w:t>
      </w:r>
      <w:r w:rsidRPr="003F5181">
        <w:rPr>
          <w:rFonts w:ascii="Garamond" w:hAnsi="Garamond"/>
          <w:bCs/>
          <w:sz w:val="24"/>
        </w:rPr>
        <w:t xml:space="preserve"> and academic organizations were asked to participate in the planning process. Prior to each exercise, DR2 team members met with </w:t>
      </w:r>
      <w:r w:rsidR="00A276EC">
        <w:rPr>
          <w:rFonts w:ascii="Garamond" w:hAnsi="Garamond"/>
          <w:bCs/>
          <w:sz w:val="24"/>
        </w:rPr>
        <w:t xml:space="preserve">local area representatives </w:t>
      </w:r>
      <w:r w:rsidRPr="003F5181">
        <w:rPr>
          <w:rFonts w:ascii="Garamond" w:hAnsi="Garamond"/>
          <w:bCs/>
          <w:sz w:val="24"/>
        </w:rPr>
        <w:t>to develop exercise objectives, conduct site visits to the “affected” areas, and discussed key issues in the exercise scenario. There was an average of 90 exercise participants per exercise representing state, local, and federal partners from, public health, emergency management, public safety, academic centers, private industry, and community activists. Each exercise underwent an evaluation of its effectiveness in raisin</w:t>
      </w:r>
      <w:r w:rsidR="007B5339">
        <w:rPr>
          <w:rFonts w:ascii="Garamond" w:hAnsi="Garamond"/>
          <w:bCs/>
          <w:sz w:val="24"/>
        </w:rPr>
        <w:t>g awareness of the need for disa</w:t>
      </w:r>
      <w:r w:rsidRPr="003F5181">
        <w:rPr>
          <w:rFonts w:ascii="Garamond" w:hAnsi="Garamond"/>
          <w:bCs/>
          <w:sz w:val="24"/>
        </w:rPr>
        <w:t>ster research. The exercises demonstrated the need for all stakeholders to collaborate before an event, as many of the potential disaster research responders had not met prior to the exercises. DR2 exercises also highlighted the importance of research efforts supporting public health practice and disaster response and recovery efforts.</w:t>
      </w:r>
      <w:r w:rsidR="00A276EC">
        <w:rPr>
          <w:rFonts w:ascii="Garamond" w:hAnsi="Garamond"/>
          <w:bCs/>
          <w:sz w:val="24"/>
        </w:rPr>
        <w:t xml:space="preserve">  Additionally, a</w:t>
      </w:r>
      <w:r w:rsidR="006378C2">
        <w:rPr>
          <w:rFonts w:ascii="Garamond" w:hAnsi="Garamond"/>
          <w:bCs/>
          <w:sz w:val="24"/>
        </w:rPr>
        <w:t xml:space="preserve"> follow-up</w:t>
      </w:r>
      <w:r w:rsidR="00A276EC">
        <w:rPr>
          <w:rFonts w:ascii="Garamond" w:hAnsi="Garamond"/>
          <w:bCs/>
          <w:sz w:val="24"/>
        </w:rPr>
        <w:t xml:space="preserve"> evaluation of all three exercises was conducted i</w:t>
      </w:r>
      <w:r w:rsidR="006378C2">
        <w:rPr>
          <w:rFonts w:ascii="Garamond" w:hAnsi="Garamond"/>
          <w:bCs/>
          <w:sz w:val="24"/>
        </w:rPr>
        <w:t xml:space="preserve">n 2017 to determine what types of downstream effects, behavioral changes, and activities occurred as a result of each of the exercises individually and collectively.  The DR2 team was pleased to learn that a number of efforts and relationships were spawned as a result of these one-day exercises including the development of DR2 Programs at </w:t>
      </w:r>
      <w:hyperlink r:id="rId11" w:history="1">
        <w:r w:rsidR="006378C2" w:rsidRPr="007347E9">
          <w:rPr>
            <w:rStyle w:val="Hyperlink"/>
            <w:rFonts w:ascii="Garamond" w:hAnsi="Garamond"/>
            <w:bCs/>
            <w:sz w:val="24"/>
          </w:rPr>
          <w:t>UTMB</w:t>
        </w:r>
      </w:hyperlink>
      <w:r w:rsidR="006378C2">
        <w:rPr>
          <w:rFonts w:ascii="Garamond" w:hAnsi="Garamond"/>
          <w:bCs/>
          <w:sz w:val="24"/>
        </w:rPr>
        <w:t xml:space="preserve">, </w:t>
      </w:r>
      <w:hyperlink r:id="rId12" w:history="1">
        <w:r w:rsidR="006378C2" w:rsidRPr="007347E9">
          <w:rPr>
            <w:rStyle w:val="Hyperlink"/>
            <w:rFonts w:ascii="Garamond" w:hAnsi="Garamond"/>
            <w:bCs/>
            <w:sz w:val="24"/>
          </w:rPr>
          <w:t>MIT</w:t>
        </w:r>
      </w:hyperlink>
      <w:r w:rsidR="006378C2">
        <w:rPr>
          <w:rFonts w:ascii="Garamond" w:hAnsi="Garamond"/>
          <w:bCs/>
          <w:sz w:val="24"/>
        </w:rPr>
        <w:t xml:space="preserve">, </w:t>
      </w:r>
      <w:r w:rsidR="00576B06">
        <w:rPr>
          <w:rFonts w:ascii="Garamond" w:hAnsi="Garamond"/>
          <w:bCs/>
          <w:sz w:val="24"/>
        </w:rPr>
        <w:t xml:space="preserve">and the development of IRB approved RAPIDD-type protocols by </w:t>
      </w:r>
      <w:hyperlink r:id="rId13" w:history="1">
        <w:r w:rsidR="00576B06" w:rsidRPr="007347E9">
          <w:rPr>
            <w:rStyle w:val="Hyperlink"/>
            <w:rFonts w:ascii="Garamond" w:hAnsi="Garamond"/>
            <w:bCs/>
            <w:sz w:val="24"/>
          </w:rPr>
          <w:t>UTMB</w:t>
        </w:r>
      </w:hyperlink>
      <w:r w:rsidR="00576B06">
        <w:rPr>
          <w:rFonts w:ascii="Garamond" w:hAnsi="Garamond"/>
          <w:bCs/>
          <w:sz w:val="24"/>
        </w:rPr>
        <w:t xml:space="preserve"> and the </w:t>
      </w:r>
      <w:hyperlink r:id="rId14" w:history="1">
        <w:r w:rsidR="00576B06" w:rsidRPr="007347E9">
          <w:rPr>
            <w:rStyle w:val="Hyperlink"/>
            <w:rFonts w:ascii="Garamond" w:hAnsi="Garamond"/>
            <w:bCs/>
            <w:sz w:val="24"/>
          </w:rPr>
          <w:t>University of Iowa</w:t>
        </w:r>
      </w:hyperlink>
      <w:r w:rsidR="00576B06">
        <w:rPr>
          <w:rFonts w:ascii="Garamond" w:hAnsi="Garamond"/>
          <w:bCs/>
          <w:sz w:val="24"/>
        </w:rPr>
        <w:t xml:space="preserve">. </w:t>
      </w:r>
      <w:r w:rsidR="006378C2">
        <w:rPr>
          <w:rFonts w:ascii="Garamond" w:hAnsi="Garamond"/>
          <w:bCs/>
          <w:sz w:val="24"/>
        </w:rPr>
        <w:t xml:space="preserve">   </w:t>
      </w:r>
    </w:p>
    <w:p w14:paraId="212A071A" w14:textId="3D983FF1" w:rsidR="00E85620" w:rsidRDefault="00576B06" w:rsidP="00511E2F">
      <w:pPr>
        <w:spacing w:before="200"/>
        <w:rPr>
          <w:rFonts w:ascii="Garamond" w:hAnsi="Garamond"/>
          <w:bCs/>
          <w:sz w:val="24"/>
        </w:rPr>
      </w:pPr>
      <w:r>
        <w:rPr>
          <w:rFonts w:ascii="Garamond" w:hAnsi="Garamond"/>
          <w:bCs/>
          <w:sz w:val="24"/>
        </w:rPr>
        <w:t>Furthermore, the h</w:t>
      </w:r>
      <w:r w:rsidR="00315D51" w:rsidRPr="003F5181">
        <w:rPr>
          <w:rFonts w:ascii="Garamond" w:hAnsi="Garamond"/>
          <w:bCs/>
          <w:sz w:val="24"/>
        </w:rPr>
        <w:t>ealth and safety considerations regarding the deployment of researchers to impacted areas also need to be addressed and included in any protocols and response efforts. The DR2 Program has worked to address this issue by making available relevant information on the NIH DR2 website along with links to situation specific NLM resources, as well as actual on-site training materials and guidance through th</w:t>
      </w:r>
      <w:r w:rsidR="00E85620">
        <w:rPr>
          <w:rFonts w:ascii="Garamond" w:hAnsi="Garamond"/>
          <w:bCs/>
          <w:sz w:val="24"/>
        </w:rPr>
        <w:t xml:space="preserve">e NIEHS Worker Training Program </w:t>
      </w:r>
      <w:r>
        <w:rPr>
          <w:rFonts w:ascii="Garamond" w:hAnsi="Garamond"/>
          <w:bCs/>
          <w:sz w:val="24"/>
        </w:rPr>
        <w:t xml:space="preserve">(WTP) </w:t>
      </w:r>
      <w:r w:rsidR="00E85620">
        <w:rPr>
          <w:rFonts w:ascii="Garamond" w:hAnsi="Garamond"/>
          <w:bCs/>
          <w:sz w:val="24"/>
        </w:rPr>
        <w:t>and its national clearing</w:t>
      </w:r>
      <w:r w:rsidR="00315D51" w:rsidRPr="003F5181">
        <w:rPr>
          <w:rFonts w:ascii="Garamond" w:hAnsi="Garamond"/>
          <w:bCs/>
          <w:sz w:val="24"/>
        </w:rPr>
        <w:t>house of educa</w:t>
      </w:r>
      <w:r w:rsidR="00E85620">
        <w:rPr>
          <w:rFonts w:ascii="Garamond" w:hAnsi="Garamond"/>
          <w:bCs/>
          <w:sz w:val="24"/>
        </w:rPr>
        <w:t>tional and training information</w:t>
      </w:r>
      <w:r w:rsidR="00315D51" w:rsidRPr="003F5181">
        <w:rPr>
          <w:rFonts w:ascii="Garamond" w:hAnsi="Garamond"/>
          <w:bCs/>
          <w:sz w:val="24"/>
        </w:rPr>
        <w:t xml:space="preserve">. </w:t>
      </w:r>
      <w:r>
        <w:rPr>
          <w:rFonts w:ascii="Garamond" w:hAnsi="Garamond"/>
          <w:bCs/>
          <w:sz w:val="24"/>
        </w:rPr>
        <w:t>The WTP quickly produces helpful information and training materials</w:t>
      </w:r>
      <w:r w:rsidR="00C171CB">
        <w:rPr>
          <w:rFonts w:ascii="Garamond" w:hAnsi="Garamond"/>
          <w:bCs/>
          <w:sz w:val="24"/>
        </w:rPr>
        <w:t>,</w:t>
      </w:r>
      <w:r w:rsidR="00C171CB" w:rsidRPr="00C171CB">
        <w:rPr>
          <w:rFonts w:ascii="Garamond" w:hAnsi="Garamond"/>
          <w:bCs/>
          <w:sz w:val="24"/>
        </w:rPr>
        <w:t xml:space="preserve"> </w:t>
      </w:r>
      <w:r w:rsidR="00C171CB">
        <w:rPr>
          <w:rFonts w:ascii="Garamond" w:hAnsi="Garamond"/>
          <w:bCs/>
          <w:sz w:val="24"/>
        </w:rPr>
        <w:t xml:space="preserve">sometimes in several languages, </w:t>
      </w:r>
      <w:r>
        <w:rPr>
          <w:rFonts w:ascii="Garamond" w:hAnsi="Garamond"/>
          <w:bCs/>
          <w:sz w:val="24"/>
        </w:rPr>
        <w:t>in response to disaster situations</w:t>
      </w:r>
      <w:r w:rsidR="00C171CB">
        <w:rPr>
          <w:rFonts w:ascii="Garamond" w:hAnsi="Garamond"/>
          <w:bCs/>
          <w:sz w:val="24"/>
        </w:rPr>
        <w:t xml:space="preserve"> that can be used to help workers and others understand health risks and promote safety.  For example, helpful information was quickly developed and disseminated for the Gulf Oil Spill, Hurricane Sandy, </w:t>
      </w:r>
      <w:r w:rsidR="00A55FFC">
        <w:rPr>
          <w:rFonts w:ascii="Garamond" w:hAnsi="Garamond"/>
          <w:bCs/>
          <w:sz w:val="24"/>
        </w:rPr>
        <w:t xml:space="preserve">and </w:t>
      </w:r>
      <w:r w:rsidR="00C171CB">
        <w:rPr>
          <w:rFonts w:ascii="Garamond" w:hAnsi="Garamond"/>
          <w:bCs/>
          <w:sz w:val="24"/>
        </w:rPr>
        <w:t xml:space="preserve">the Ebola outbreak. </w:t>
      </w:r>
      <w:r>
        <w:rPr>
          <w:rFonts w:ascii="Garamond" w:hAnsi="Garamond"/>
          <w:bCs/>
          <w:sz w:val="24"/>
        </w:rPr>
        <w:t xml:space="preserve"> </w:t>
      </w:r>
      <w:r w:rsidR="00315D51" w:rsidRPr="003F5181">
        <w:rPr>
          <w:rFonts w:ascii="Garamond" w:hAnsi="Garamond"/>
          <w:bCs/>
          <w:sz w:val="24"/>
        </w:rPr>
        <w:t>The mental health impact on responders must also be considered in the health and safety considerations. The Worker Training Program has developed a behavioral health resiliency curriculum that is available to responders who can assist in preparation for deployment. Mental health considerations are an essential component to any deployment curriculum.</w:t>
      </w:r>
    </w:p>
    <w:p w14:paraId="50A2A246" w14:textId="24FB4AAC" w:rsidR="00260A02" w:rsidRPr="008211ED" w:rsidRDefault="00A334C7" w:rsidP="008211ED">
      <w:pPr>
        <w:pStyle w:val="ListParagraph"/>
        <w:numPr>
          <w:ilvl w:val="0"/>
          <w:numId w:val="11"/>
        </w:numPr>
        <w:spacing w:before="200"/>
        <w:rPr>
          <w:rFonts w:ascii="Garamond" w:hAnsi="Garamond"/>
          <w:bCs/>
          <w:sz w:val="24"/>
        </w:rPr>
      </w:pPr>
      <w:hyperlink r:id="rId15" w:history="1">
        <w:r w:rsidR="00260A02" w:rsidRPr="00260A02">
          <w:rPr>
            <w:rStyle w:val="Hyperlink"/>
            <w:rFonts w:ascii="Garamond" w:hAnsi="Garamond"/>
            <w:bCs/>
            <w:sz w:val="24"/>
          </w:rPr>
          <w:t>NIEHS Disaster Research Response Tabletop Exercise Assessment</w:t>
        </w:r>
      </w:hyperlink>
      <w:r w:rsidR="00260A02">
        <w:rPr>
          <w:rFonts w:ascii="Garamond" w:hAnsi="Garamond"/>
          <w:bCs/>
          <w:sz w:val="24"/>
        </w:rPr>
        <w:t xml:space="preserve"> </w:t>
      </w:r>
    </w:p>
    <w:p w14:paraId="6901E1F9" w14:textId="6659A6B7" w:rsidR="00576B06" w:rsidRPr="008211ED" w:rsidRDefault="00A334C7" w:rsidP="008211ED">
      <w:pPr>
        <w:pStyle w:val="ListParagraph"/>
        <w:numPr>
          <w:ilvl w:val="0"/>
          <w:numId w:val="11"/>
        </w:numPr>
        <w:spacing w:before="200"/>
        <w:rPr>
          <w:rFonts w:ascii="Garamond" w:hAnsi="Garamond"/>
          <w:bCs/>
          <w:sz w:val="24"/>
        </w:rPr>
      </w:pPr>
      <w:hyperlink r:id="rId16" w:history="1">
        <w:r w:rsidR="00260A02" w:rsidRPr="007347E9">
          <w:rPr>
            <w:rStyle w:val="Hyperlink"/>
            <w:rFonts w:ascii="Garamond" w:hAnsi="Garamond"/>
            <w:bCs/>
            <w:sz w:val="24"/>
          </w:rPr>
          <w:t xml:space="preserve">NIEHS </w:t>
        </w:r>
        <w:r w:rsidR="00576B06" w:rsidRPr="008211ED">
          <w:rPr>
            <w:rStyle w:val="Hyperlink"/>
            <w:rFonts w:ascii="Garamond" w:hAnsi="Garamond"/>
            <w:bCs/>
            <w:sz w:val="24"/>
          </w:rPr>
          <w:t>Researcher Deployment Guide</w:t>
        </w:r>
      </w:hyperlink>
      <w:r w:rsidR="00576B06" w:rsidRPr="008211ED">
        <w:rPr>
          <w:rFonts w:ascii="Garamond" w:hAnsi="Garamond"/>
          <w:bCs/>
          <w:sz w:val="24"/>
        </w:rPr>
        <w:t xml:space="preserve"> </w:t>
      </w:r>
    </w:p>
    <w:p w14:paraId="645F37DA" w14:textId="77777777" w:rsidR="00E85620" w:rsidRDefault="00A334C7" w:rsidP="007E5309">
      <w:pPr>
        <w:pStyle w:val="BodyText"/>
        <w:numPr>
          <w:ilvl w:val="0"/>
          <w:numId w:val="11"/>
        </w:numPr>
        <w:spacing w:before="200"/>
        <w:ind w:right="144"/>
        <w:jc w:val="both"/>
        <w:rPr>
          <w:rFonts w:ascii="Garamond" w:hAnsi="Garamond"/>
          <w:bCs/>
          <w:sz w:val="24"/>
        </w:rPr>
      </w:pPr>
      <w:hyperlink r:id="rId17" w:history="1">
        <w:r w:rsidR="00E85620" w:rsidRPr="007E5309">
          <w:rPr>
            <w:rStyle w:val="Hyperlink"/>
            <w:rFonts w:ascii="Garamond" w:hAnsi="Garamond"/>
            <w:bCs/>
            <w:sz w:val="24"/>
          </w:rPr>
          <w:t>NIEHS Worker Training Program</w:t>
        </w:r>
      </w:hyperlink>
    </w:p>
    <w:p w14:paraId="33EE8402" w14:textId="77777777" w:rsidR="007E5309" w:rsidRDefault="00A334C7" w:rsidP="007E5309">
      <w:pPr>
        <w:pStyle w:val="BodyText"/>
        <w:numPr>
          <w:ilvl w:val="0"/>
          <w:numId w:val="11"/>
        </w:numPr>
        <w:spacing w:before="200"/>
        <w:ind w:right="144"/>
        <w:jc w:val="both"/>
        <w:rPr>
          <w:rFonts w:ascii="Garamond" w:hAnsi="Garamond"/>
          <w:bCs/>
          <w:sz w:val="24"/>
        </w:rPr>
      </w:pPr>
      <w:hyperlink r:id="rId18" w:history="1">
        <w:r w:rsidR="007E5309" w:rsidRPr="007E5309">
          <w:rPr>
            <w:rStyle w:val="Hyperlink"/>
            <w:rFonts w:ascii="Garamond" w:hAnsi="Garamond"/>
            <w:bCs/>
            <w:sz w:val="24"/>
          </w:rPr>
          <w:t>National Clearinghouse for Worker Safety and Health Training</w:t>
        </w:r>
      </w:hyperlink>
    </w:p>
    <w:p w14:paraId="604B0416" w14:textId="77777777" w:rsidR="00315D51" w:rsidRPr="007E5309" w:rsidRDefault="002B4C72" w:rsidP="007E5309">
      <w:pPr>
        <w:pStyle w:val="BodyText"/>
        <w:numPr>
          <w:ilvl w:val="0"/>
          <w:numId w:val="12"/>
        </w:numPr>
        <w:spacing w:before="200"/>
        <w:ind w:right="144"/>
        <w:jc w:val="both"/>
        <w:rPr>
          <w:rFonts w:ascii="Garamond" w:hAnsi="Garamond"/>
          <w:b/>
          <w:bCs/>
          <w:sz w:val="24"/>
        </w:rPr>
      </w:pPr>
      <w:r w:rsidRPr="007E5309">
        <w:rPr>
          <w:rFonts w:ascii="Garamond" w:hAnsi="Garamond"/>
          <w:b/>
          <w:i/>
          <w:sz w:val="24"/>
        </w:rPr>
        <w:t>Creating research plans and processes that assist emergency response and appropriately include public health</w:t>
      </w:r>
      <w:proofErr w:type="gramStart"/>
      <w:r w:rsidRPr="007E5309">
        <w:rPr>
          <w:rFonts w:ascii="Garamond" w:hAnsi="Garamond"/>
          <w:b/>
          <w:i/>
          <w:sz w:val="24"/>
        </w:rPr>
        <w:t xml:space="preserve">, </w:t>
      </w:r>
      <w:r w:rsidR="00B90ECE" w:rsidRPr="007E5309">
        <w:rPr>
          <w:rFonts w:ascii="Garamond" w:hAnsi="Garamond"/>
          <w:b/>
          <w:i/>
          <w:sz w:val="24"/>
        </w:rPr>
        <w:t xml:space="preserve">  </w:t>
      </w:r>
      <w:r w:rsidRPr="007E5309">
        <w:rPr>
          <w:rFonts w:ascii="Garamond" w:hAnsi="Garamond"/>
          <w:b/>
          <w:i/>
          <w:sz w:val="24"/>
        </w:rPr>
        <w:t>academic</w:t>
      </w:r>
      <w:proofErr w:type="gramEnd"/>
      <w:r w:rsidRPr="007E5309">
        <w:rPr>
          <w:rFonts w:ascii="Garamond" w:hAnsi="Garamond"/>
          <w:b/>
          <w:i/>
          <w:sz w:val="24"/>
        </w:rPr>
        <w:t xml:space="preserve"> partners as well as community groups and other relevant stakeholders</w:t>
      </w:r>
    </w:p>
    <w:p w14:paraId="38E8A525" w14:textId="77777777" w:rsidR="00E85620" w:rsidRDefault="00315D51" w:rsidP="00511E2F">
      <w:pPr>
        <w:spacing w:before="200"/>
        <w:rPr>
          <w:rFonts w:ascii="Garamond" w:hAnsi="Garamond"/>
          <w:bCs/>
          <w:sz w:val="24"/>
        </w:rPr>
      </w:pPr>
      <w:r w:rsidRPr="003F5181">
        <w:rPr>
          <w:rFonts w:ascii="Garamond" w:hAnsi="Garamond"/>
          <w:bCs/>
          <w:sz w:val="24"/>
        </w:rPr>
        <w:t>Communities may be wary of research when a disaster occurs, so ensuring that researchers work to assist public health in their various missions is crucial for gaining credibility and acceptance from the affected populations. Public health officials and researchers need to clarify the public’s understanding of the importance of research in assisting emergency responders, medical personnel, and public health departments in their various roles.</w:t>
      </w:r>
      <w:r w:rsidR="007B5339">
        <w:rPr>
          <w:rFonts w:ascii="Garamond" w:hAnsi="Garamond"/>
          <w:bCs/>
          <w:sz w:val="24"/>
        </w:rPr>
        <w:t xml:space="preserve">  The inclusion of the community in planning to research the</w:t>
      </w:r>
      <w:r w:rsidR="000E6348">
        <w:rPr>
          <w:rFonts w:ascii="Garamond" w:hAnsi="Garamond"/>
          <w:bCs/>
          <w:sz w:val="24"/>
        </w:rPr>
        <w:t xml:space="preserve"> health consequences of disasters </w:t>
      </w:r>
      <w:r w:rsidR="007B5339">
        <w:rPr>
          <w:rFonts w:ascii="Garamond" w:hAnsi="Garamond"/>
          <w:bCs/>
          <w:sz w:val="24"/>
        </w:rPr>
        <w:t>can enhance the full spectru</w:t>
      </w:r>
      <w:r w:rsidR="000E6348">
        <w:rPr>
          <w:rFonts w:ascii="Garamond" w:hAnsi="Garamond"/>
          <w:bCs/>
          <w:sz w:val="24"/>
        </w:rPr>
        <w:t>m of response and recovery activities.  More importantly, community input h</w:t>
      </w:r>
      <w:r w:rsidR="007B5339">
        <w:rPr>
          <w:rFonts w:ascii="Garamond" w:hAnsi="Garamond"/>
          <w:bCs/>
          <w:sz w:val="24"/>
        </w:rPr>
        <w:t xml:space="preserve">elps prioritize research </w:t>
      </w:r>
      <w:r w:rsidR="007B5339">
        <w:rPr>
          <w:rFonts w:ascii="Garamond" w:hAnsi="Garamond"/>
          <w:bCs/>
          <w:sz w:val="24"/>
        </w:rPr>
        <w:lastRenderedPageBreak/>
        <w:t>activities and pro</w:t>
      </w:r>
      <w:r w:rsidR="000E6348">
        <w:rPr>
          <w:rFonts w:ascii="Garamond" w:hAnsi="Garamond"/>
          <w:bCs/>
          <w:sz w:val="24"/>
        </w:rPr>
        <w:t>v</w:t>
      </w:r>
      <w:r w:rsidR="007B5339">
        <w:rPr>
          <w:rFonts w:ascii="Garamond" w:hAnsi="Garamond"/>
          <w:bCs/>
          <w:sz w:val="24"/>
        </w:rPr>
        <w:t>i</w:t>
      </w:r>
      <w:r w:rsidR="000E6348">
        <w:rPr>
          <w:rFonts w:ascii="Garamond" w:hAnsi="Garamond"/>
          <w:bCs/>
          <w:sz w:val="24"/>
        </w:rPr>
        <w:t xml:space="preserve">des the opportunity </w:t>
      </w:r>
      <w:r w:rsidR="007B5339">
        <w:rPr>
          <w:rFonts w:ascii="Garamond" w:hAnsi="Garamond"/>
          <w:bCs/>
          <w:sz w:val="24"/>
        </w:rPr>
        <w:t>for the research to address community concerns.  Local</w:t>
      </w:r>
      <w:r w:rsidR="000E6348">
        <w:rPr>
          <w:rFonts w:ascii="Garamond" w:hAnsi="Garamond"/>
          <w:bCs/>
          <w:sz w:val="24"/>
        </w:rPr>
        <w:t xml:space="preserve"> community organizations have a significant role in determining the resilience to a disaster and are essential to developing preparedness plans, response activities, and recovery priorities.  As the DR2 exercises revealed, community advocacy </w:t>
      </w:r>
      <w:r w:rsidR="005E003A">
        <w:rPr>
          <w:rFonts w:ascii="Garamond" w:hAnsi="Garamond"/>
          <w:bCs/>
          <w:sz w:val="24"/>
        </w:rPr>
        <w:t>groups are often not consulted or invited to participate in preparedness and response activities, although the</w:t>
      </w:r>
      <w:r w:rsidR="007B5339">
        <w:rPr>
          <w:rFonts w:ascii="Garamond" w:hAnsi="Garamond"/>
          <w:bCs/>
          <w:sz w:val="24"/>
        </w:rPr>
        <w:t>y</w:t>
      </w:r>
      <w:r w:rsidR="005E003A">
        <w:rPr>
          <w:rFonts w:ascii="Garamond" w:hAnsi="Garamond"/>
          <w:bCs/>
          <w:sz w:val="24"/>
        </w:rPr>
        <w:t xml:space="preserve"> may represent the most vulnerable populations.  </w:t>
      </w:r>
    </w:p>
    <w:p w14:paraId="50145E86" w14:textId="77777777" w:rsidR="00D62B5D" w:rsidRDefault="007B5339" w:rsidP="00511E2F">
      <w:pPr>
        <w:spacing w:before="200"/>
        <w:rPr>
          <w:rFonts w:ascii="Garamond" w:hAnsi="Garamond"/>
          <w:bCs/>
          <w:sz w:val="24"/>
        </w:rPr>
      </w:pPr>
      <w:r>
        <w:rPr>
          <w:rFonts w:ascii="Garamond" w:hAnsi="Garamond"/>
          <w:bCs/>
          <w:sz w:val="24"/>
        </w:rPr>
        <w:t>To help en</w:t>
      </w:r>
      <w:r w:rsidR="005E003A">
        <w:rPr>
          <w:rFonts w:ascii="Garamond" w:hAnsi="Garamond"/>
          <w:bCs/>
          <w:sz w:val="24"/>
        </w:rPr>
        <w:t>s</w:t>
      </w:r>
      <w:r>
        <w:rPr>
          <w:rFonts w:ascii="Garamond" w:hAnsi="Garamond"/>
          <w:bCs/>
          <w:sz w:val="24"/>
        </w:rPr>
        <w:t xml:space="preserve">ure that the affected </w:t>
      </w:r>
      <w:proofErr w:type="gramStart"/>
      <w:r>
        <w:rPr>
          <w:rFonts w:ascii="Garamond" w:hAnsi="Garamond"/>
          <w:bCs/>
          <w:sz w:val="24"/>
        </w:rPr>
        <w:t>community</w:t>
      </w:r>
      <w:r w:rsidR="005E003A">
        <w:rPr>
          <w:rFonts w:ascii="Garamond" w:hAnsi="Garamond"/>
          <w:bCs/>
          <w:sz w:val="24"/>
        </w:rPr>
        <w:t>, as well as other stakeholders are</w:t>
      </w:r>
      <w:proofErr w:type="gramEnd"/>
      <w:r w:rsidR="005E003A">
        <w:rPr>
          <w:rFonts w:ascii="Garamond" w:hAnsi="Garamond"/>
          <w:bCs/>
          <w:sz w:val="24"/>
        </w:rPr>
        <w:t xml:space="preserve"> included in the DR2 efforts, NIEHS has capitalize</w:t>
      </w:r>
      <w:r w:rsidR="003B53CC">
        <w:rPr>
          <w:rFonts w:ascii="Garamond" w:hAnsi="Garamond"/>
          <w:bCs/>
          <w:sz w:val="24"/>
        </w:rPr>
        <w:t>d on its intramural</w:t>
      </w:r>
      <w:r w:rsidR="005E003A">
        <w:rPr>
          <w:rFonts w:ascii="Garamond" w:hAnsi="Garamond"/>
          <w:bCs/>
          <w:sz w:val="24"/>
        </w:rPr>
        <w:t xml:space="preserve"> scientists and extramural academic research centers to establish the Environmental Health Network (EHN).  The EHN is intended to help collectively further the goals of the DR2 program through constructive input on the disaster research agenda, repository development, protocol reviews, training materials, and research operations.  </w:t>
      </w:r>
    </w:p>
    <w:p w14:paraId="387B0B9A" w14:textId="77777777" w:rsidR="00B90ECE" w:rsidRDefault="00E85620" w:rsidP="00511E2F">
      <w:pPr>
        <w:spacing w:before="200"/>
        <w:rPr>
          <w:rFonts w:ascii="Garamond" w:hAnsi="Garamond"/>
          <w:bCs/>
          <w:sz w:val="24"/>
        </w:rPr>
      </w:pPr>
      <w:r>
        <w:rPr>
          <w:rFonts w:ascii="Garamond" w:hAnsi="Garamond"/>
          <w:bCs/>
          <w:sz w:val="24"/>
        </w:rPr>
        <w:t>The</w:t>
      </w:r>
      <w:r w:rsidR="00D62B5D">
        <w:rPr>
          <w:rFonts w:ascii="Garamond" w:hAnsi="Garamond"/>
          <w:bCs/>
          <w:sz w:val="24"/>
        </w:rPr>
        <w:t xml:space="preserve"> DR2 program also spearheade</w:t>
      </w:r>
      <w:r>
        <w:rPr>
          <w:rFonts w:ascii="Garamond" w:hAnsi="Garamond"/>
          <w:bCs/>
          <w:sz w:val="24"/>
        </w:rPr>
        <w:t>d a forum for</w:t>
      </w:r>
      <w:r w:rsidR="00D62B5D">
        <w:rPr>
          <w:rFonts w:ascii="Garamond" w:hAnsi="Garamond"/>
          <w:bCs/>
          <w:sz w:val="24"/>
        </w:rPr>
        <w:t xml:space="preserve"> the</w:t>
      </w:r>
      <w:r>
        <w:rPr>
          <w:rFonts w:ascii="Garamond" w:hAnsi="Garamond"/>
          <w:bCs/>
          <w:sz w:val="24"/>
        </w:rPr>
        <w:t xml:space="preserve"> disaster </w:t>
      </w:r>
      <w:r w:rsidR="00D62B5D">
        <w:rPr>
          <w:rFonts w:ascii="Garamond" w:hAnsi="Garamond"/>
          <w:bCs/>
          <w:sz w:val="24"/>
        </w:rPr>
        <w:t xml:space="preserve">and research </w:t>
      </w:r>
      <w:r>
        <w:rPr>
          <w:rFonts w:ascii="Garamond" w:hAnsi="Garamond"/>
          <w:bCs/>
          <w:sz w:val="24"/>
        </w:rPr>
        <w:t>communities</w:t>
      </w:r>
      <w:r w:rsidR="00D62B5D">
        <w:rPr>
          <w:rFonts w:ascii="Garamond" w:hAnsi="Garamond"/>
          <w:bCs/>
          <w:sz w:val="24"/>
        </w:rPr>
        <w:t xml:space="preserve"> </w:t>
      </w:r>
      <w:r>
        <w:rPr>
          <w:rFonts w:ascii="Garamond" w:hAnsi="Garamond"/>
          <w:bCs/>
          <w:sz w:val="24"/>
        </w:rPr>
        <w:t>to discuss ethical issues</w:t>
      </w:r>
      <w:r w:rsidR="00D62B5D">
        <w:rPr>
          <w:rFonts w:ascii="Garamond" w:hAnsi="Garamond"/>
          <w:bCs/>
          <w:sz w:val="24"/>
        </w:rPr>
        <w:t xml:space="preserve"> and concerns around research participant vulnerability and burdens that may be addressed through Institutional Review Board (IRB) review.  In 2015, the NIEHS Office of Human Research Compliance formed a Best Practices Working Group for Special IRB Considerations in the Review of Disaster Related Research.  This multi-disciplinary working group consisted of 60 members from 23 US states who were recruited through a </w:t>
      </w:r>
      <w:r w:rsidR="00D62B5D" w:rsidRPr="00D62B5D">
        <w:rPr>
          <w:rFonts w:ascii="Garamond" w:hAnsi="Garamond"/>
          <w:bCs/>
          <w:sz w:val="24"/>
        </w:rPr>
        <w:t>nomination process that sought to assemble a diverse group of stakeholders, including academic researchers; bioethicists; disaster responders; local, state, and federal officials; disaster survivors; community advocates; and IRB/regulatory experts, and officials. The diverse nature of the group reflects the fact that disaster research is often a collaborative venture and the recognition that complex disaster issues cannot be adequately addressed through the lens of a single discipline but requires multidisc</w:t>
      </w:r>
      <w:r w:rsidR="00D62B5D">
        <w:rPr>
          <w:rFonts w:ascii="Garamond" w:hAnsi="Garamond"/>
          <w:bCs/>
          <w:sz w:val="24"/>
        </w:rPr>
        <w:t>iplinary expertise</w:t>
      </w:r>
      <w:r w:rsidR="00D62B5D" w:rsidRPr="00D62B5D">
        <w:rPr>
          <w:rFonts w:ascii="Garamond" w:hAnsi="Garamond"/>
          <w:bCs/>
          <w:sz w:val="24"/>
        </w:rPr>
        <w:t>. The multi-sector working group was formed with the objective of developing IRB disaster-related research recommendations for the human research protection, IRB/regulatory, and disaster research, and response communities.</w:t>
      </w:r>
      <w:r w:rsidR="00D62B5D">
        <w:rPr>
          <w:rFonts w:ascii="Garamond" w:hAnsi="Garamond"/>
          <w:bCs/>
          <w:sz w:val="24"/>
        </w:rPr>
        <w:t xml:space="preserve"> </w:t>
      </w:r>
      <w:r>
        <w:rPr>
          <w:rFonts w:ascii="Garamond" w:hAnsi="Garamond"/>
          <w:bCs/>
          <w:sz w:val="24"/>
        </w:rPr>
        <w:t xml:space="preserve">  </w:t>
      </w:r>
      <w:r w:rsidR="00D62B5D">
        <w:rPr>
          <w:rFonts w:ascii="Garamond" w:hAnsi="Garamond"/>
          <w:bCs/>
          <w:sz w:val="24"/>
        </w:rPr>
        <w:t xml:space="preserve">The working group met in July 2016 and identified 15 recommendations that are instrumental in preparing IRBs to review protocols related to public health emergencies and disasters.  </w:t>
      </w:r>
    </w:p>
    <w:p w14:paraId="6378F360" w14:textId="77777777" w:rsidR="00693959" w:rsidRDefault="00A334C7" w:rsidP="007E5309">
      <w:pPr>
        <w:pStyle w:val="BodyText"/>
        <w:numPr>
          <w:ilvl w:val="0"/>
          <w:numId w:val="11"/>
        </w:numPr>
        <w:spacing w:before="200"/>
        <w:ind w:right="144"/>
        <w:jc w:val="both"/>
        <w:rPr>
          <w:rFonts w:ascii="Garamond" w:hAnsi="Garamond"/>
          <w:bCs/>
          <w:sz w:val="24"/>
        </w:rPr>
      </w:pPr>
      <w:hyperlink r:id="rId19" w:history="1">
        <w:r w:rsidR="00D62B5D" w:rsidRPr="007E5309">
          <w:rPr>
            <w:rStyle w:val="Hyperlink"/>
            <w:rFonts w:ascii="Garamond" w:hAnsi="Garamond"/>
            <w:bCs/>
            <w:sz w:val="24"/>
          </w:rPr>
          <w:t>Conducting Science in Disasters: Recommendations from the NIEHS Working Group for Special IRB Considerations in the Review of Disaster Related Research</w:t>
        </w:r>
      </w:hyperlink>
    </w:p>
    <w:p w14:paraId="321DA150" w14:textId="77777777" w:rsidR="00B90ECE" w:rsidRPr="007E5309" w:rsidRDefault="00A334C7" w:rsidP="007E5309">
      <w:pPr>
        <w:pStyle w:val="BodyText"/>
        <w:numPr>
          <w:ilvl w:val="0"/>
          <w:numId w:val="12"/>
        </w:numPr>
        <w:spacing w:before="200"/>
        <w:ind w:right="144"/>
        <w:jc w:val="both"/>
        <w:rPr>
          <w:rFonts w:ascii="Garamond" w:hAnsi="Garamond"/>
          <w:b/>
          <w:i/>
          <w:sz w:val="24"/>
        </w:rPr>
      </w:pPr>
      <w:hyperlink w:history="1"/>
      <w:r w:rsidR="00A71020" w:rsidRPr="007E5309">
        <w:rPr>
          <w:rFonts w:ascii="Garamond" w:hAnsi="Garamond"/>
          <w:b/>
          <w:i/>
          <w:sz w:val="24"/>
        </w:rPr>
        <w:t>I</w:t>
      </w:r>
      <w:r w:rsidR="00B90ECE" w:rsidRPr="007E5309">
        <w:rPr>
          <w:rFonts w:ascii="Garamond" w:hAnsi="Garamond"/>
          <w:b/>
          <w:i/>
          <w:sz w:val="24"/>
        </w:rPr>
        <w:t xml:space="preserve">ntegrating the DR program into preparedness planning, response </w:t>
      </w:r>
      <w:r w:rsidR="003B53CC" w:rsidRPr="007E5309">
        <w:rPr>
          <w:rFonts w:ascii="Garamond" w:hAnsi="Garamond"/>
          <w:b/>
          <w:i/>
          <w:sz w:val="24"/>
        </w:rPr>
        <w:t>a</w:t>
      </w:r>
      <w:r w:rsidR="00B90ECE" w:rsidRPr="007E5309">
        <w:rPr>
          <w:rFonts w:ascii="Garamond" w:hAnsi="Garamond"/>
          <w:b/>
          <w:i/>
          <w:sz w:val="24"/>
        </w:rPr>
        <w:t>nd recovery systems from local to federal levels</w:t>
      </w:r>
    </w:p>
    <w:p w14:paraId="35C24212" w14:textId="4297DBCA" w:rsidR="00693959" w:rsidRDefault="000E6348" w:rsidP="00511E2F">
      <w:pPr>
        <w:spacing w:before="200"/>
        <w:rPr>
          <w:rFonts w:ascii="Garamond" w:hAnsi="Garamond"/>
          <w:bCs/>
          <w:sz w:val="24"/>
        </w:rPr>
      </w:pPr>
      <w:r>
        <w:rPr>
          <w:rFonts w:ascii="Garamond" w:hAnsi="Garamond"/>
          <w:bCs/>
          <w:sz w:val="24"/>
        </w:rPr>
        <w:t>Integration with existing preparedness</w:t>
      </w:r>
      <w:r w:rsidR="003B53CC">
        <w:rPr>
          <w:rFonts w:ascii="Garamond" w:hAnsi="Garamond"/>
          <w:bCs/>
          <w:sz w:val="24"/>
        </w:rPr>
        <w:t xml:space="preserve"> and response organizations is </w:t>
      </w:r>
      <w:r>
        <w:rPr>
          <w:rFonts w:ascii="Garamond" w:hAnsi="Garamond"/>
          <w:bCs/>
          <w:sz w:val="24"/>
        </w:rPr>
        <w:t>essential for the acceptance and s</w:t>
      </w:r>
      <w:r w:rsidR="003B53CC">
        <w:rPr>
          <w:rFonts w:ascii="Garamond" w:hAnsi="Garamond"/>
          <w:bCs/>
          <w:sz w:val="24"/>
        </w:rPr>
        <w:t>uccess of disaster research.  No</w:t>
      </w:r>
      <w:r>
        <w:rPr>
          <w:rFonts w:ascii="Garamond" w:hAnsi="Garamond"/>
          <w:bCs/>
          <w:sz w:val="24"/>
        </w:rPr>
        <w:t xml:space="preserve"> function should have precedence over life-saving and worker safety activities.  However, with proper preparations, disaster resear</w:t>
      </w:r>
      <w:r w:rsidR="003B53CC">
        <w:rPr>
          <w:rFonts w:ascii="Garamond" w:hAnsi="Garamond"/>
          <w:bCs/>
          <w:sz w:val="24"/>
        </w:rPr>
        <w:t>ch can be safely conducted earl</w:t>
      </w:r>
      <w:r>
        <w:rPr>
          <w:rFonts w:ascii="Garamond" w:hAnsi="Garamond"/>
          <w:bCs/>
          <w:sz w:val="24"/>
        </w:rPr>
        <w:t>y in the disaster response timeframe.  Emergency managers who coordinate disaster response and recovery activities have a</w:t>
      </w:r>
      <w:r w:rsidR="003B53CC">
        <w:rPr>
          <w:rFonts w:ascii="Garamond" w:hAnsi="Garamond"/>
          <w:bCs/>
          <w:sz w:val="24"/>
        </w:rPr>
        <w:t xml:space="preserve"> requirement to account for res</w:t>
      </w:r>
      <w:r>
        <w:rPr>
          <w:rFonts w:ascii="Garamond" w:hAnsi="Garamond"/>
          <w:bCs/>
          <w:sz w:val="24"/>
        </w:rPr>
        <w:t>ources being used for every response-related activity.  Likewise, public health officials need</w:t>
      </w:r>
      <w:r w:rsidR="003B53CC">
        <w:rPr>
          <w:rFonts w:ascii="Garamond" w:hAnsi="Garamond"/>
          <w:bCs/>
          <w:sz w:val="24"/>
        </w:rPr>
        <w:t xml:space="preserve"> to know what health related ac</w:t>
      </w:r>
      <w:r>
        <w:rPr>
          <w:rFonts w:ascii="Garamond" w:hAnsi="Garamond"/>
          <w:bCs/>
          <w:sz w:val="24"/>
        </w:rPr>
        <w:t xml:space="preserve">tivities are being performed during the response.  Disaster researchers must understand the safety issues resulting from working in the disaster setting, as well as the established response structure.  </w:t>
      </w:r>
      <w:r w:rsidRPr="000E6348">
        <w:rPr>
          <w:rFonts w:ascii="Garamond" w:hAnsi="Garamond"/>
          <w:bCs/>
          <w:sz w:val="24"/>
        </w:rPr>
        <w:t>All groups share responsibility to prioritize and coordinate activities; manage resources; and to</w:t>
      </w:r>
      <w:r>
        <w:rPr>
          <w:rFonts w:ascii="Garamond" w:hAnsi="Garamond"/>
          <w:bCs/>
          <w:sz w:val="24"/>
        </w:rPr>
        <w:t xml:space="preserve"> </w:t>
      </w:r>
      <w:r w:rsidRPr="000E6348">
        <w:rPr>
          <w:rFonts w:ascii="Garamond" w:hAnsi="Garamond"/>
          <w:bCs/>
          <w:sz w:val="24"/>
        </w:rPr>
        <w:t xml:space="preserve">integrate information for decision-making and public communications. In the U.S., the use of the existing response and recovery infrastructure is currently the most effective way of coordinating efforts and sharing information across disciplines and jurisdictions and ensures that communications with community stakeholders are delivered in a timely </w:t>
      </w:r>
      <w:r>
        <w:rPr>
          <w:rFonts w:ascii="Garamond" w:hAnsi="Garamond"/>
          <w:bCs/>
          <w:sz w:val="24"/>
        </w:rPr>
        <w:t xml:space="preserve">manner. DR2 program </w:t>
      </w:r>
      <w:proofErr w:type="gramStart"/>
      <w:r>
        <w:rPr>
          <w:rFonts w:ascii="Garamond" w:hAnsi="Garamond"/>
          <w:bCs/>
          <w:sz w:val="24"/>
        </w:rPr>
        <w:t xml:space="preserve">staff </w:t>
      </w:r>
      <w:r w:rsidRPr="000E6348">
        <w:rPr>
          <w:rFonts w:ascii="Garamond" w:hAnsi="Garamond"/>
          <w:bCs/>
          <w:sz w:val="24"/>
        </w:rPr>
        <w:t>have</w:t>
      </w:r>
      <w:proofErr w:type="gramEnd"/>
      <w:r w:rsidRPr="000E6348">
        <w:rPr>
          <w:rFonts w:ascii="Garamond" w:hAnsi="Garamond"/>
          <w:bCs/>
          <w:sz w:val="24"/>
        </w:rPr>
        <w:t xml:space="preserve"> met with the various emergency management groups to inform them of the benefits of conducting research after disasters and educating them on how staff is being trained to operate in the disaster environment. DR2 program staff have also conducted briefings to federal agency partners on an annual basis, keeping them informed of DR2 program progress and has recently opened the discussion </w:t>
      </w:r>
      <w:r w:rsidR="00977492">
        <w:rPr>
          <w:rFonts w:ascii="Garamond" w:hAnsi="Garamond"/>
          <w:bCs/>
          <w:sz w:val="24"/>
        </w:rPr>
        <w:t xml:space="preserve">with other senior federal agency officials </w:t>
      </w:r>
      <w:r w:rsidRPr="000E6348">
        <w:rPr>
          <w:rFonts w:ascii="Garamond" w:hAnsi="Garamond"/>
          <w:bCs/>
          <w:sz w:val="24"/>
        </w:rPr>
        <w:t xml:space="preserve">about developing a </w:t>
      </w:r>
      <w:r w:rsidR="00977492">
        <w:rPr>
          <w:rFonts w:ascii="Garamond" w:hAnsi="Garamond"/>
          <w:bCs/>
          <w:sz w:val="24"/>
        </w:rPr>
        <w:t>“</w:t>
      </w:r>
      <w:r w:rsidRPr="000E6348">
        <w:rPr>
          <w:rFonts w:ascii="Garamond" w:hAnsi="Garamond"/>
          <w:bCs/>
          <w:sz w:val="24"/>
        </w:rPr>
        <w:t>national framework for disaster research</w:t>
      </w:r>
      <w:r w:rsidR="00977492">
        <w:rPr>
          <w:rFonts w:ascii="Garamond" w:hAnsi="Garamond"/>
          <w:bCs/>
          <w:sz w:val="24"/>
        </w:rPr>
        <w:t>”</w:t>
      </w:r>
      <w:r w:rsidRPr="000E6348">
        <w:rPr>
          <w:rFonts w:ascii="Garamond" w:hAnsi="Garamond"/>
          <w:bCs/>
          <w:sz w:val="24"/>
        </w:rPr>
        <w:t>, much like the national framew</w:t>
      </w:r>
      <w:r w:rsidR="003B53CC">
        <w:rPr>
          <w:rFonts w:ascii="Garamond" w:hAnsi="Garamond"/>
          <w:bCs/>
          <w:sz w:val="24"/>
        </w:rPr>
        <w:t>orks for response and recovery</w:t>
      </w:r>
      <w:r w:rsidRPr="000E6348">
        <w:rPr>
          <w:rFonts w:ascii="Garamond" w:hAnsi="Garamond"/>
          <w:bCs/>
          <w:sz w:val="24"/>
        </w:rPr>
        <w:t xml:space="preserve">. These meetings have been an important venue for the coordination of efforts and the prevention </w:t>
      </w:r>
      <w:r w:rsidRPr="000E6348">
        <w:rPr>
          <w:rFonts w:ascii="Garamond" w:hAnsi="Garamond"/>
          <w:bCs/>
          <w:sz w:val="24"/>
        </w:rPr>
        <w:lastRenderedPageBreak/>
        <w:t xml:space="preserve">of duplicative </w:t>
      </w:r>
      <w:r w:rsidR="00693959">
        <w:rPr>
          <w:rFonts w:ascii="Garamond" w:hAnsi="Garamond"/>
          <w:bCs/>
          <w:sz w:val="24"/>
        </w:rPr>
        <w:t>efforts.</w:t>
      </w:r>
    </w:p>
    <w:p w14:paraId="786D755E" w14:textId="77777777" w:rsidR="00A71020" w:rsidRPr="007E5309" w:rsidRDefault="002B4C72" w:rsidP="002D70E4">
      <w:pPr>
        <w:pStyle w:val="BodyText"/>
        <w:spacing w:before="200"/>
        <w:ind w:left="0" w:right="144" w:firstLine="0"/>
        <w:jc w:val="both"/>
        <w:rPr>
          <w:rFonts w:ascii="Garamond" w:hAnsi="Garamond"/>
          <w:b/>
          <w:i/>
          <w:sz w:val="24"/>
        </w:rPr>
      </w:pPr>
      <w:r w:rsidRPr="007E5309">
        <w:rPr>
          <w:rFonts w:ascii="Garamond" w:hAnsi="Garamond"/>
          <w:b/>
          <w:i/>
          <w:sz w:val="24"/>
        </w:rPr>
        <w:t>Brief examples of funded DR</w:t>
      </w:r>
      <w:r w:rsidR="003B53CC" w:rsidRPr="007E5309">
        <w:rPr>
          <w:rFonts w:ascii="Garamond" w:hAnsi="Garamond"/>
          <w:b/>
          <w:i/>
          <w:sz w:val="24"/>
        </w:rPr>
        <w:t>2</w:t>
      </w:r>
      <w:r w:rsidRPr="007E5309">
        <w:rPr>
          <w:rFonts w:ascii="Garamond" w:hAnsi="Garamond"/>
          <w:b/>
          <w:i/>
          <w:sz w:val="24"/>
        </w:rPr>
        <w:t xml:space="preserve"> activities</w:t>
      </w:r>
    </w:p>
    <w:p w14:paraId="1A3C8645" w14:textId="09B024B4" w:rsidR="00FA0C9F" w:rsidRPr="00C94955" w:rsidRDefault="00FA0C9F" w:rsidP="00C94955">
      <w:pPr>
        <w:pStyle w:val="BodyText"/>
        <w:spacing w:before="179" w:line="260" w:lineRule="auto"/>
        <w:ind w:left="0" w:right="140" w:firstLine="0"/>
        <w:jc w:val="both"/>
        <w:rPr>
          <w:rFonts w:ascii="Garamond" w:hAnsi="Garamond"/>
          <w:b/>
          <w:i/>
          <w:sz w:val="24"/>
          <w:u w:val="single"/>
        </w:rPr>
      </w:pPr>
      <w:r w:rsidRPr="00C94955">
        <w:rPr>
          <w:rFonts w:ascii="Garamond" w:hAnsi="Garamond"/>
          <w:b/>
          <w:sz w:val="24"/>
          <w:u w:val="single"/>
        </w:rPr>
        <w:t>Coordination of research activities in Texas after hurricanes</w:t>
      </w:r>
    </w:p>
    <w:p w14:paraId="5BD52E91" w14:textId="638F6C4F" w:rsidR="00F40027" w:rsidRDefault="00977492" w:rsidP="002D70E4">
      <w:pPr>
        <w:spacing w:before="200"/>
        <w:rPr>
          <w:rFonts w:ascii="Garamond" w:hAnsi="Garamond"/>
          <w:bCs/>
          <w:sz w:val="24"/>
        </w:rPr>
      </w:pPr>
      <w:r w:rsidRPr="002D70E4">
        <w:rPr>
          <w:rFonts w:ascii="Garamond" w:hAnsi="Garamond"/>
          <w:bCs/>
          <w:sz w:val="24"/>
        </w:rPr>
        <w:t xml:space="preserve">As discussed above, NIEHS has been working to develop tools, platforms, and coordination with multiple partners to empower timely research responses to situations.  The response to Hurricane Harvey </w:t>
      </w:r>
      <w:r w:rsidR="007347E9">
        <w:rPr>
          <w:rFonts w:ascii="Garamond" w:hAnsi="Garamond"/>
          <w:bCs/>
          <w:sz w:val="24"/>
        </w:rPr>
        <w:t xml:space="preserve">in 2017 </w:t>
      </w:r>
      <w:r w:rsidRPr="002D70E4">
        <w:rPr>
          <w:rFonts w:ascii="Garamond" w:hAnsi="Garamond"/>
          <w:bCs/>
          <w:sz w:val="24"/>
        </w:rPr>
        <w:t xml:space="preserve">serves as a good example of how these efforts can come together to bear on a situation.  After Hurricane Harvey hit Houston there were a number of concerns identified which included the health and exposure risks to workers and residents living in impacted areas.  In response, NIEHS funded centers and grantees </w:t>
      </w:r>
      <w:r w:rsidR="00F40027" w:rsidRPr="002D70E4">
        <w:rPr>
          <w:rFonts w:ascii="Garamond" w:hAnsi="Garamond"/>
          <w:bCs/>
          <w:sz w:val="24"/>
        </w:rPr>
        <w:t xml:space="preserve">(e.g., UTMB, Baylor, University of Texas-Houston, Rice, Texas A&amp;M) </w:t>
      </w:r>
      <w:r w:rsidRPr="002D70E4">
        <w:rPr>
          <w:rFonts w:ascii="Garamond" w:hAnsi="Garamond"/>
          <w:bCs/>
          <w:sz w:val="24"/>
        </w:rPr>
        <w:t>quickly</w:t>
      </w:r>
      <w:r w:rsidR="00E2154D" w:rsidRPr="002D70E4">
        <w:rPr>
          <w:rFonts w:ascii="Garamond" w:hAnsi="Garamond"/>
          <w:bCs/>
          <w:sz w:val="24"/>
        </w:rPr>
        <w:t>, within days,</w:t>
      </w:r>
      <w:r w:rsidR="00F40027" w:rsidRPr="002D70E4">
        <w:rPr>
          <w:rFonts w:ascii="Garamond" w:hAnsi="Garamond"/>
          <w:bCs/>
          <w:sz w:val="24"/>
        </w:rPr>
        <w:t xml:space="preserve"> began forming partnerships with each other, as well a</w:t>
      </w:r>
      <w:r w:rsidR="007347E9">
        <w:rPr>
          <w:rFonts w:ascii="Garamond" w:hAnsi="Garamond"/>
          <w:bCs/>
          <w:sz w:val="24"/>
        </w:rPr>
        <w:t>s</w:t>
      </w:r>
      <w:r w:rsidR="00F40027" w:rsidRPr="002D70E4">
        <w:rPr>
          <w:rFonts w:ascii="Garamond" w:hAnsi="Garamond"/>
          <w:bCs/>
          <w:sz w:val="24"/>
        </w:rPr>
        <w:t xml:space="preserve"> Houston and Harris County Public Health Departments to perform needed investigations.  Local universities we</w:t>
      </w:r>
      <w:r w:rsidR="007347E9">
        <w:rPr>
          <w:rFonts w:ascii="Garamond" w:hAnsi="Garamond"/>
          <w:bCs/>
          <w:sz w:val="24"/>
        </w:rPr>
        <w:t>re</w:t>
      </w:r>
      <w:r w:rsidR="00F40027" w:rsidRPr="002D70E4">
        <w:rPr>
          <w:rFonts w:ascii="Garamond" w:hAnsi="Garamond"/>
          <w:bCs/>
          <w:sz w:val="24"/>
        </w:rPr>
        <w:t xml:space="preserve"> able to leverage longstanding community relationships, pre-exi</w:t>
      </w:r>
      <w:r w:rsidR="007347E9">
        <w:rPr>
          <w:rFonts w:ascii="Garamond" w:hAnsi="Garamond"/>
          <w:bCs/>
          <w:sz w:val="24"/>
        </w:rPr>
        <w:t>s</w:t>
      </w:r>
      <w:r w:rsidR="00F40027" w:rsidRPr="002D70E4">
        <w:rPr>
          <w:rFonts w:ascii="Garamond" w:hAnsi="Garamond"/>
          <w:bCs/>
          <w:sz w:val="24"/>
        </w:rPr>
        <w:t>ting cohorts in impacted neighborhoods, and prior baseline data of the area to help residents and decision-makers.</w:t>
      </w:r>
      <w:r w:rsidR="000237DC" w:rsidRPr="002D70E4">
        <w:rPr>
          <w:rFonts w:ascii="Garamond" w:hAnsi="Garamond"/>
          <w:bCs/>
          <w:sz w:val="24"/>
        </w:rPr>
        <w:t xml:space="preserve"> For example</w:t>
      </w:r>
      <w:r w:rsidR="007347E9">
        <w:rPr>
          <w:rFonts w:ascii="Garamond" w:hAnsi="Garamond"/>
          <w:bCs/>
          <w:sz w:val="24"/>
        </w:rPr>
        <w:t>,</w:t>
      </w:r>
      <w:r w:rsidR="000237DC" w:rsidRPr="002D70E4">
        <w:rPr>
          <w:rFonts w:ascii="Garamond" w:hAnsi="Garamond"/>
          <w:bCs/>
          <w:sz w:val="24"/>
        </w:rPr>
        <w:t xml:space="preserve"> Texas A&amp;M researchers (an NIEHS funded Superfund Research Center focused on disasters) were able to quickly re-evaluate health and exposures in a Houston neighborhood</w:t>
      </w:r>
      <w:r w:rsidR="007347E9">
        <w:rPr>
          <w:rFonts w:ascii="Garamond" w:hAnsi="Garamond"/>
          <w:bCs/>
          <w:sz w:val="24"/>
        </w:rPr>
        <w:t xml:space="preserve"> </w:t>
      </w:r>
      <w:r w:rsidR="000237DC" w:rsidRPr="002D70E4">
        <w:rPr>
          <w:rFonts w:ascii="Garamond" w:hAnsi="Garamond"/>
          <w:bCs/>
          <w:sz w:val="24"/>
        </w:rPr>
        <w:t>that they had evalua</w:t>
      </w:r>
      <w:r w:rsidR="002D70E4">
        <w:rPr>
          <w:rFonts w:ascii="Garamond" w:hAnsi="Garamond"/>
          <w:bCs/>
          <w:sz w:val="24"/>
        </w:rPr>
        <w:t>ted in 2016</w:t>
      </w:r>
      <w:r w:rsidR="000237DC" w:rsidRPr="002D70E4">
        <w:rPr>
          <w:rFonts w:ascii="Garamond" w:hAnsi="Garamond"/>
          <w:bCs/>
          <w:sz w:val="24"/>
        </w:rPr>
        <w:t xml:space="preserve">. </w:t>
      </w:r>
      <w:r w:rsidR="00E2154D" w:rsidRPr="002D70E4">
        <w:rPr>
          <w:rFonts w:ascii="Garamond" w:hAnsi="Garamond"/>
          <w:bCs/>
          <w:sz w:val="24"/>
        </w:rPr>
        <w:t>The research responses by the local universities included use of available surveys and tools available on the NIH DR2 Website to quickly develop new protocols and implement field studies within a few weeks of the storm. Additionally, UTMB partnered with other universities to work together under reliance-agreements using the IRB approve</w:t>
      </w:r>
      <w:r w:rsidR="002D70E4">
        <w:rPr>
          <w:rFonts w:ascii="Garamond" w:hAnsi="Garamond"/>
          <w:bCs/>
          <w:sz w:val="24"/>
        </w:rPr>
        <w:t>d</w:t>
      </w:r>
      <w:r w:rsidR="00E2154D" w:rsidRPr="002D70E4">
        <w:rPr>
          <w:rFonts w:ascii="Garamond" w:hAnsi="Garamond"/>
          <w:bCs/>
          <w:sz w:val="24"/>
        </w:rPr>
        <w:t xml:space="preserve"> UTMB RAPIDD protocol, as well as collaborating with other NIEHS funded centers and grantees from outside the area.  For example, Oregon State University </w:t>
      </w:r>
      <w:r w:rsidR="000237DC" w:rsidRPr="002D70E4">
        <w:rPr>
          <w:rFonts w:ascii="Garamond" w:hAnsi="Garamond"/>
          <w:bCs/>
          <w:sz w:val="24"/>
        </w:rPr>
        <w:t xml:space="preserve">(OSU) </w:t>
      </w:r>
      <w:r w:rsidR="00E2154D" w:rsidRPr="002D70E4">
        <w:rPr>
          <w:rFonts w:ascii="Garamond" w:hAnsi="Garamond"/>
          <w:bCs/>
          <w:sz w:val="24"/>
        </w:rPr>
        <w:t>researchers partnered with Baylor (</w:t>
      </w:r>
      <w:r w:rsidR="000237DC" w:rsidRPr="002D70E4">
        <w:rPr>
          <w:rFonts w:ascii="Garamond" w:hAnsi="Garamond"/>
          <w:bCs/>
          <w:sz w:val="24"/>
        </w:rPr>
        <w:t>using a pre-an OSU pre-approved protocol</w:t>
      </w:r>
      <w:r w:rsidR="00E2154D" w:rsidRPr="002D70E4">
        <w:rPr>
          <w:rFonts w:ascii="Garamond" w:hAnsi="Garamond"/>
          <w:bCs/>
          <w:sz w:val="24"/>
        </w:rPr>
        <w:t xml:space="preserve">) to </w:t>
      </w:r>
      <w:r w:rsidR="000237DC" w:rsidRPr="002D70E4">
        <w:rPr>
          <w:rFonts w:ascii="Garamond" w:hAnsi="Garamond"/>
          <w:bCs/>
          <w:sz w:val="24"/>
        </w:rPr>
        <w:t xml:space="preserve">help </w:t>
      </w:r>
      <w:r w:rsidR="00E2154D" w:rsidRPr="002D70E4">
        <w:rPr>
          <w:rFonts w:ascii="Garamond" w:hAnsi="Garamond"/>
          <w:bCs/>
          <w:sz w:val="24"/>
        </w:rPr>
        <w:t xml:space="preserve">collect exposure data </w:t>
      </w:r>
      <w:r w:rsidR="000237DC" w:rsidRPr="002D70E4">
        <w:rPr>
          <w:rFonts w:ascii="Garamond" w:hAnsi="Garamond"/>
          <w:bCs/>
          <w:sz w:val="24"/>
        </w:rPr>
        <w:t xml:space="preserve">as part of an exposure and health study of over 150 impacted community participants.  </w:t>
      </w:r>
      <w:r w:rsidR="00201D32" w:rsidRPr="002D70E4">
        <w:rPr>
          <w:rFonts w:ascii="Garamond" w:hAnsi="Garamond"/>
          <w:bCs/>
          <w:sz w:val="24"/>
        </w:rPr>
        <w:t xml:space="preserve"> T</w:t>
      </w:r>
      <w:r w:rsidR="000237DC" w:rsidRPr="002D70E4">
        <w:rPr>
          <w:rFonts w:ascii="Garamond" w:hAnsi="Garamond"/>
          <w:bCs/>
          <w:sz w:val="24"/>
        </w:rPr>
        <w:t xml:space="preserve">he </w:t>
      </w:r>
      <w:r w:rsidR="0039165E" w:rsidRPr="002D70E4">
        <w:rPr>
          <w:rFonts w:ascii="Garamond" w:hAnsi="Garamond"/>
          <w:bCs/>
          <w:sz w:val="24"/>
        </w:rPr>
        <w:t xml:space="preserve">local </w:t>
      </w:r>
      <w:r w:rsidR="000237DC" w:rsidRPr="002D70E4">
        <w:rPr>
          <w:rFonts w:ascii="Garamond" w:hAnsi="Garamond"/>
          <w:bCs/>
          <w:sz w:val="24"/>
        </w:rPr>
        <w:t>universities</w:t>
      </w:r>
      <w:r w:rsidR="0039165E" w:rsidRPr="002D70E4">
        <w:rPr>
          <w:rFonts w:ascii="Garamond" w:hAnsi="Garamond"/>
          <w:bCs/>
          <w:sz w:val="24"/>
        </w:rPr>
        <w:t xml:space="preserve"> also</w:t>
      </w:r>
      <w:r w:rsidR="000237DC" w:rsidRPr="002D70E4">
        <w:rPr>
          <w:rFonts w:ascii="Garamond" w:hAnsi="Garamond"/>
          <w:bCs/>
          <w:sz w:val="24"/>
        </w:rPr>
        <w:t xml:space="preserve"> provided needed </w:t>
      </w:r>
      <w:proofErr w:type="gramStart"/>
      <w:r w:rsidR="000237DC" w:rsidRPr="002D70E4">
        <w:rPr>
          <w:rFonts w:ascii="Garamond" w:hAnsi="Garamond"/>
          <w:bCs/>
          <w:sz w:val="24"/>
        </w:rPr>
        <w:t>man-power</w:t>
      </w:r>
      <w:proofErr w:type="gramEnd"/>
      <w:r w:rsidR="000237DC" w:rsidRPr="002D70E4">
        <w:rPr>
          <w:rFonts w:ascii="Garamond" w:hAnsi="Garamond"/>
          <w:bCs/>
          <w:sz w:val="24"/>
        </w:rPr>
        <w:t xml:space="preserve">, expertise, and support to the Houston Health Department to help collect data in areas of concern, such as around schools and play areas, etc.  </w:t>
      </w:r>
      <w:r w:rsidR="0039165E" w:rsidRPr="002D70E4">
        <w:rPr>
          <w:rFonts w:ascii="Garamond" w:hAnsi="Garamond"/>
          <w:bCs/>
          <w:sz w:val="24"/>
        </w:rPr>
        <w:t xml:space="preserve">Lastly, NIEHS helped to coordinate the response with other federal agencies including the National Science Foundation, National Institute of Standards and Technology, Department of Homeland Security, and the CDC to help facilitate ongoing communications, collaborations, and funding support between grantees and centers, federal agencies, and other stakeholders.  </w:t>
      </w:r>
    </w:p>
    <w:p w14:paraId="2311A5DE" w14:textId="6951909E" w:rsidR="002D70E4" w:rsidRPr="002D70E4" w:rsidRDefault="00A334C7" w:rsidP="002D70E4">
      <w:pPr>
        <w:pStyle w:val="BodyText"/>
        <w:numPr>
          <w:ilvl w:val="0"/>
          <w:numId w:val="11"/>
        </w:numPr>
        <w:spacing w:before="179" w:line="260" w:lineRule="auto"/>
        <w:ind w:right="140"/>
        <w:jc w:val="both"/>
        <w:rPr>
          <w:rFonts w:ascii="Garamond" w:eastAsiaTheme="minorHAnsi" w:hAnsi="Garamond"/>
          <w:bCs/>
          <w:sz w:val="24"/>
          <w:szCs w:val="22"/>
        </w:rPr>
      </w:pPr>
      <w:hyperlink r:id="rId20" w:history="1">
        <w:r w:rsidR="002D70E4" w:rsidRPr="002D70E4">
          <w:rPr>
            <w:rStyle w:val="Hyperlink"/>
            <w:rFonts w:ascii="Garamond" w:eastAsiaTheme="minorHAnsi" w:hAnsi="Garamond"/>
            <w:bCs/>
            <w:sz w:val="24"/>
            <w:szCs w:val="22"/>
          </w:rPr>
          <w:t>Texas A&amp;M Study of Residential Contamination in a Houston environmental justice neighborhood before and after Hurricane Harvey</w:t>
        </w:r>
      </w:hyperlink>
    </w:p>
    <w:p w14:paraId="1EF7C6EE" w14:textId="67FA5775" w:rsidR="00FA0C9F" w:rsidRPr="00C94955" w:rsidRDefault="00C94955" w:rsidP="00C94955">
      <w:pPr>
        <w:pStyle w:val="BodyText"/>
        <w:spacing w:before="179" w:line="260" w:lineRule="auto"/>
        <w:ind w:left="0" w:right="140" w:firstLine="0"/>
        <w:jc w:val="both"/>
        <w:rPr>
          <w:rFonts w:ascii="Garamond" w:hAnsi="Garamond"/>
          <w:b/>
          <w:i/>
          <w:sz w:val="24"/>
          <w:u w:val="single"/>
        </w:rPr>
      </w:pPr>
      <w:r w:rsidRPr="00C94955">
        <w:rPr>
          <w:rFonts w:ascii="Garamond" w:hAnsi="Garamond"/>
          <w:b/>
          <w:sz w:val="24"/>
          <w:u w:val="single"/>
        </w:rPr>
        <w:t xml:space="preserve">National Toxicology Program </w:t>
      </w:r>
      <w:r>
        <w:rPr>
          <w:rFonts w:ascii="Garamond" w:hAnsi="Garamond"/>
          <w:b/>
          <w:sz w:val="24"/>
          <w:u w:val="single"/>
        </w:rPr>
        <w:t xml:space="preserve">(NTP) </w:t>
      </w:r>
      <w:r w:rsidRPr="00C94955">
        <w:rPr>
          <w:rFonts w:ascii="Garamond" w:hAnsi="Garamond"/>
          <w:b/>
          <w:sz w:val="24"/>
          <w:u w:val="single"/>
        </w:rPr>
        <w:t>Studies</w:t>
      </w:r>
    </w:p>
    <w:p w14:paraId="3157F093" w14:textId="0BF1A243" w:rsidR="00414E5C" w:rsidRDefault="00414E5C" w:rsidP="00414E5C">
      <w:pPr>
        <w:spacing w:before="200"/>
        <w:rPr>
          <w:rFonts w:ascii="Garamond" w:hAnsi="Garamond"/>
          <w:bCs/>
          <w:sz w:val="24"/>
        </w:rPr>
      </w:pPr>
      <w:r w:rsidRPr="00FA5695">
        <w:rPr>
          <w:rFonts w:ascii="Garamond" w:hAnsi="Garamond"/>
          <w:bCs/>
          <w:sz w:val="24"/>
        </w:rPr>
        <w:t xml:space="preserve">In collaboration with </w:t>
      </w:r>
      <w:r w:rsidR="00C94955" w:rsidRPr="00FA5695">
        <w:rPr>
          <w:rFonts w:ascii="Garamond" w:hAnsi="Garamond"/>
          <w:bCs/>
          <w:sz w:val="24"/>
        </w:rPr>
        <w:t xml:space="preserve">DR2, NTP </w:t>
      </w:r>
      <w:r w:rsidRPr="00FA5695">
        <w:rPr>
          <w:rFonts w:ascii="Garamond" w:hAnsi="Garamond"/>
          <w:bCs/>
          <w:sz w:val="24"/>
        </w:rPr>
        <w:t>has been making new inroads to applying various toxicology tools and assets to improve its capacity and capability, from rapidly assessing the available toxicology literature</w:t>
      </w:r>
      <w:r w:rsidRPr="008303FD">
        <w:rPr>
          <w:rFonts w:ascii="Garamond" w:hAnsi="Garamond"/>
          <w:bCs/>
          <w:sz w:val="24"/>
        </w:rPr>
        <w:t xml:space="preserve">, to coordinating the identification of toxicology research issues and gaps, as was done in response to the </w:t>
      </w:r>
      <w:proofErr w:type="spellStart"/>
      <w:r w:rsidRPr="008303FD">
        <w:rPr>
          <w:rFonts w:ascii="Garamond" w:hAnsi="Garamond"/>
          <w:bCs/>
          <w:sz w:val="24"/>
        </w:rPr>
        <w:t>Deepwater</w:t>
      </w:r>
      <w:proofErr w:type="spellEnd"/>
      <w:r w:rsidRPr="008303FD">
        <w:rPr>
          <w:rFonts w:ascii="Garamond" w:hAnsi="Garamond"/>
          <w:bCs/>
          <w:sz w:val="24"/>
        </w:rPr>
        <w:t xml:space="preserve"> Horizon Oil Spill and the Elk River chemical spill</w:t>
      </w:r>
      <w:r w:rsidR="00C94955">
        <w:rPr>
          <w:rFonts w:ascii="Garamond" w:hAnsi="Garamond"/>
          <w:bCs/>
          <w:sz w:val="24"/>
        </w:rPr>
        <w:t xml:space="preserve"> in West Virginia</w:t>
      </w:r>
      <w:r w:rsidRPr="008303FD">
        <w:rPr>
          <w:rFonts w:ascii="Garamond" w:hAnsi="Garamond"/>
          <w:bCs/>
          <w:sz w:val="24"/>
        </w:rPr>
        <w:t>. In the latter example, the NTP conducted a number of short-term studies to provide information relevant to exposures of local residents to 4-methylcyc</w:t>
      </w:r>
      <w:r>
        <w:rPr>
          <w:rFonts w:ascii="Garamond" w:hAnsi="Garamond"/>
          <w:bCs/>
          <w:sz w:val="24"/>
        </w:rPr>
        <w:t xml:space="preserve">lohexanemethanol for government officials and decision-makers. </w:t>
      </w:r>
    </w:p>
    <w:p w14:paraId="6DDC5BB2" w14:textId="4BA21583" w:rsidR="00414E5C" w:rsidRPr="00C94955" w:rsidRDefault="00A334C7" w:rsidP="00C94955">
      <w:pPr>
        <w:pStyle w:val="BodyText"/>
        <w:numPr>
          <w:ilvl w:val="0"/>
          <w:numId w:val="11"/>
        </w:numPr>
        <w:spacing w:before="200"/>
        <w:ind w:right="144"/>
        <w:jc w:val="both"/>
        <w:rPr>
          <w:rFonts w:ascii="Garamond" w:hAnsi="Garamond"/>
          <w:bCs/>
          <w:sz w:val="24"/>
        </w:rPr>
      </w:pPr>
      <w:hyperlink r:id="rId21" w:history="1">
        <w:r w:rsidR="00414E5C" w:rsidRPr="007E5309">
          <w:rPr>
            <w:rStyle w:val="Hyperlink"/>
            <w:rFonts w:ascii="Garamond" w:hAnsi="Garamond"/>
            <w:bCs/>
            <w:sz w:val="24"/>
          </w:rPr>
          <w:t>NTP Studies associated with the Elk River spill in WV</w:t>
        </w:r>
      </w:hyperlink>
    </w:p>
    <w:p w14:paraId="6884736E" w14:textId="77777777" w:rsidR="00C94955" w:rsidRDefault="00C94955" w:rsidP="002D70E4">
      <w:pPr>
        <w:pStyle w:val="BodyText"/>
        <w:spacing w:before="200"/>
        <w:ind w:left="0" w:right="144" w:firstLine="0"/>
        <w:jc w:val="both"/>
        <w:rPr>
          <w:rFonts w:ascii="Garamond" w:hAnsi="Garamond"/>
          <w:b/>
          <w:i/>
          <w:sz w:val="24"/>
        </w:rPr>
      </w:pPr>
    </w:p>
    <w:p w14:paraId="7A24FECA" w14:textId="77777777" w:rsidR="00C94955" w:rsidRDefault="00C94955" w:rsidP="002D70E4">
      <w:pPr>
        <w:pStyle w:val="BodyText"/>
        <w:spacing w:before="200"/>
        <w:ind w:left="0" w:right="144" w:firstLine="0"/>
        <w:jc w:val="both"/>
        <w:rPr>
          <w:rFonts w:ascii="Garamond" w:hAnsi="Garamond"/>
          <w:b/>
          <w:i/>
          <w:sz w:val="24"/>
        </w:rPr>
      </w:pPr>
    </w:p>
    <w:p w14:paraId="1EBC0A77" w14:textId="77777777" w:rsidR="00C94955" w:rsidRDefault="00C94955" w:rsidP="002D70E4">
      <w:pPr>
        <w:pStyle w:val="BodyText"/>
        <w:spacing w:before="200"/>
        <w:ind w:left="0" w:right="144" w:firstLine="0"/>
        <w:jc w:val="both"/>
        <w:rPr>
          <w:rFonts w:ascii="Garamond" w:hAnsi="Garamond"/>
          <w:b/>
          <w:i/>
          <w:sz w:val="24"/>
        </w:rPr>
      </w:pPr>
    </w:p>
    <w:p w14:paraId="6B7D5081" w14:textId="77777777" w:rsidR="00C94955" w:rsidRDefault="00C94955" w:rsidP="002D70E4">
      <w:pPr>
        <w:pStyle w:val="BodyText"/>
        <w:spacing w:before="200"/>
        <w:ind w:left="0" w:right="144" w:firstLine="0"/>
        <w:jc w:val="both"/>
        <w:rPr>
          <w:rFonts w:ascii="Garamond" w:hAnsi="Garamond"/>
          <w:b/>
          <w:i/>
          <w:sz w:val="24"/>
        </w:rPr>
      </w:pPr>
    </w:p>
    <w:p w14:paraId="5BC90FF5" w14:textId="77777777" w:rsidR="00C94955" w:rsidRDefault="00C94955" w:rsidP="002D70E4">
      <w:pPr>
        <w:pStyle w:val="BodyText"/>
        <w:spacing w:before="200"/>
        <w:ind w:left="0" w:right="144" w:firstLine="0"/>
        <w:jc w:val="both"/>
        <w:rPr>
          <w:rFonts w:ascii="Garamond" w:hAnsi="Garamond"/>
          <w:b/>
          <w:i/>
          <w:sz w:val="24"/>
        </w:rPr>
      </w:pPr>
    </w:p>
    <w:p w14:paraId="09A96534" w14:textId="77777777" w:rsidR="00C94955" w:rsidRDefault="00C94955" w:rsidP="002D70E4">
      <w:pPr>
        <w:pStyle w:val="BodyText"/>
        <w:spacing w:before="200"/>
        <w:ind w:left="0" w:right="144" w:firstLine="0"/>
        <w:jc w:val="both"/>
        <w:rPr>
          <w:rFonts w:ascii="Garamond" w:hAnsi="Garamond"/>
          <w:b/>
          <w:i/>
          <w:sz w:val="24"/>
        </w:rPr>
      </w:pPr>
    </w:p>
    <w:p w14:paraId="7EFCC1DB" w14:textId="77777777" w:rsidR="00C94955" w:rsidRDefault="00C94955" w:rsidP="002D70E4">
      <w:pPr>
        <w:pStyle w:val="BodyText"/>
        <w:spacing w:before="200"/>
        <w:ind w:left="0" w:right="144" w:firstLine="0"/>
        <w:jc w:val="both"/>
        <w:rPr>
          <w:rFonts w:ascii="Garamond" w:hAnsi="Garamond"/>
          <w:b/>
          <w:i/>
          <w:sz w:val="24"/>
        </w:rPr>
      </w:pPr>
    </w:p>
    <w:p w14:paraId="22976557" w14:textId="42EDEA66" w:rsidR="00B94FCC" w:rsidRPr="007E5309" w:rsidRDefault="002B4C72" w:rsidP="002D70E4">
      <w:pPr>
        <w:pStyle w:val="BodyText"/>
        <w:spacing w:before="200"/>
        <w:ind w:left="0" w:right="144" w:firstLine="0"/>
        <w:jc w:val="both"/>
        <w:rPr>
          <w:rFonts w:ascii="Garamond" w:hAnsi="Garamond"/>
          <w:b/>
          <w:i/>
          <w:sz w:val="24"/>
        </w:rPr>
      </w:pPr>
      <w:r w:rsidRPr="007E5309">
        <w:rPr>
          <w:rFonts w:ascii="Garamond" w:hAnsi="Garamond"/>
          <w:b/>
          <w:i/>
          <w:sz w:val="24"/>
        </w:rPr>
        <w:t>Future directions</w:t>
      </w:r>
    </w:p>
    <w:p w14:paraId="10FD9540" w14:textId="6F54F6DD" w:rsidR="006D770A" w:rsidRDefault="00DE784B" w:rsidP="00511E2F">
      <w:pPr>
        <w:spacing w:before="200"/>
        <w:rPr>
          <w:rFonts w:ascii="Garamond" w:hAnsi="Garamond"/>
          <w:bCs/>
          <w:sz w:val="24"/>
        </w:rPr>
      </w:pPr>
      <w:r w:rsidRPr="00511E2F">
        <w:rPr>
          <w:rFonts w:ascii="Garamond" w:hAnsi="Garamond"/>
          <w:bCs/>
          <w:sz w:val="24"/>
        </w:rPr>
        <w:t xml:space="preserve">The NIEHS DR2 Program will continue to enhance its offering of disaster research tools and </w:t>
      </w:r>
      <w:r w:rsidR="00C43CC0">
        <w:rPr>
          <w:rFonts w:ascii="Garamond" w:hAnsi="Garamond"/>
          <w:bCs/>
          <w:sz w:val="24"/>
        </w:rPr>
        <w:t xml:space="preserve">cultivate </w:t>
      </w:r>
      <w:r w:rsidRPr="00511E2F">
        <w:rPr>
          <w:rFonts w:ascii="Garamond" w:hAnsi="Garamond"/>
          <w:bCs/>
          <w:sz w:val="24"/>
        </w:rPr>
        <w:t>relationships that help to eliminate long-standing barriers to the rapid conduct of disaster science. The DR2 Program has engaged local communities around the United States</w:t>
      </w:r>
      <w:r w:rsidR="00977492">
        <w:rPr>
          <w:rFonts w:ascii="Garamond" w:hAnsi="Garamond"/>
          <w:bCs/>
          <w:sz w:val="24"/>
        </w:rPr>
        <w:t xml:space="preserve">, as well as new efforts working internationally with </w:t>
      </w:r>
      <w:r w:rsidRPr="00511E2F">
        <w:rPr>
          <w:rFonts w:ascii="Garamond" w:hAnsi="Garamond"/>
          <w:bCs/>
          <w:sz w:val="24"/>
        </w:rPr>
        <w:t>foreign governments</w:t>
      </w:r>
      <w:r w:rsidR="00977492">
        <w:rPr>
          <w:rFonts w:ascii="Garamond" w:hAnsi="Garamond"/>
          <w:bCs/>
          <w:sz w:val="24"/>
        </w:rPr>
        <w:t>,</w:t>
      </w:r>
      <w:r w:rsidRPr="00511E2F">
        <w:rPr>
          <w:rFonts w:ascii="Garamond" w:hAnsi="Garamond"/>
          <w:bCs/>
          <w:sz w:val="24"/>
        </w:rPr>
        <w:t xml:space="preserve"> </w:t>
      </w:r>
      <w:r w:rsidR="00977492">
        <w:rPr>
          <w:rFonts w:ascii="Garamond" w:hAnsi="Garamond"/>
          <w:bCs/>
          <w:sz w:val="24"/>
        </w:rPr>
        <w:t>including</w:t>
      </w:r>
      <w:r w:rsidRPr="00511E2F">
        <w:rPr>
          <w:rFonts w:ascii="Garamond" w:hAnsi="Garamond"/>
          <w:bCs/>
          <w:sz w:val="24"/>
        </w:rPr>
        <w:t xml:space="preserve"> Japan and Canada</w:t>
      </w:r>
      <w:proofErr w:type="gramStart"/>
      <w:r w:rsidR="00977492">
        <w:rPr>
          <w:rFonts w:ascii="Garamond" w:hAnsi="Garamond"/>
          <w:bCs/>
          <w:sz w:val="24"/>
        </w:rPr>
        <w:t>,</w:t>
      </w:r>
      <w:r w:rsidR="00C51FF1" w:rsidRPr="00511E2F">
        <w:rPr>
          <w:rFonts w:ascii="Garamond" w:hAnsi="Garamond"/>
          <w:bCs/>
          <w:sz w:val="24"/>
        </w:rPr>
        <w:t xml:space="preserve"> </w:t>
      </w:r>
      <w:r w:rsidR="00C43CC0">
        <w:rPr>
          <w:rFonts w:ascii="Garamond" w:hAnsi="Garamond"/>
          <w:bCs/>
          <w:sz w:val="24"/>
        </w:rPr>
        <w:t xml:space="preserve">that </w:t>
      </w:r>
      <w:r w:rsidR="00977492">
        <w:rPr>
          <w:rFonts w:ascii="Garamond" w:hAnsi="Garamond"/>
          <w:bCs/>
          <w:sz w:val="24"/>
        </w:rPr>
        <w:t xml:space="preserve">have partnered with NIEHS and </w:t>
      </w:r>
      <w:r w:rsidR="00C43CC0">
        <w:rPr>
          <w:rFonts w:ascii="Garamond" w:hAnsi="Garamond"/>
          <w:bCs/>
          <w:sz w:val="24"/>
        </w:rPr>
        <w:t>are</w:t>
      </w:r>
      <w:r w:rsidR="00C51FF1" w:rsidRPr="00511E2F">
        <w:rPr>
          <w:rFonts w:ascii="Garamond" w:hAnsi="Garamond"/>
          <w:bCs/>
          <w:sz w:val="24"/>
        </w:rPr>
        <w:t xml:space="preserve"> beginning t</w:t>
      </w:r>
      <w:r w:rsidR="00C43CC0">
        <w:rPr>
          <w:rFonts w:ascii="Garamond" w:hAnsi="Garamond"/>
          <w:bCs/>
          <w:sz w:val="24"/>
        </w:rPr>
        <w:t xml:space="preserve">o lay the </w:t>
      </w:r>
      <w:r w:rsidR="007A2042">
        <w:rPr>
          <w:rFonts w:ascii="Garamond" w:hAnsi="Garamond"/>
          <w:bCs/>
          <w:sz w:val="24"/>
        </w:rPr>
        <w:t>groundwork</w:t>
      </w:r>
      <w:r w:rsidR="00C43CC0">
        <w:rPr>
          <w:rFonts w:ascii="Garamond" w:hAnsi="Garamond"/>
          <w:bCs/>
          <w:sz w:val="24"/>
        </w:rPr>
        <w:t xml:space="preserve"> for </w:t>
      </w:r>
      <w:r w:rsidR="00C51FF1" w:rsidRPr="00511E2F">
        <w:rPr>
          <w:rFonts w:ascii="Garamond" w:hAnsi="Garamond"/>
          <w:bCs/>
          <w:sz w:val="24"/>
        </w:rPr>
        <w:t>parallel disaster research response</w:t>
      </w:r>
      <w:r w:rsidR="00977492">
        <w:rPr>
          <w:rFonts w:ascii="Garamond" w:hAnsi="Garamond"/>
          <w:bCs/>
          <w:sz w:val="24"/>
        </w:rPr>
        <w:t xml:space="preserve"> (DR2)</w:t>
      </w:r>
      <w:r w:rsidR="00C51FF1" w:rsidRPr="00511E2F">
        <w:rPr>
          <w:rFonts w:ascii="Garamond" w:hAnsi="Garamond"/>
          <w:bCs/>
          <w:sz w:val="24"/>
        </w:rPr>
        <w:t xml:space="preserve"> programs</w:t>
      </w:r>
      <w:proofErr w:type="gramEnd"/>
      <w:r w:rsidR="00C51FF1" w:rsidRPr="00511E2F">
        <w:rPr>
          <w:rFonts w:ascii="Garamond" w:hAnsi="Garamond"/>
          <w:bCs/>
          <w:sz w:val="24"/>
        </w:rPr>
        <w:t xml:space="preserve">. </w:t>
      </w:r>
      <w:r w:rsidRPr="00511E2F">
        <w:rPr>
          <w:rFonts w:ascii="Garamond" w:hAnsi="Garamond"/>
          <w:bCs/>
          <w:sz w:val="24"/>
        </w:rPr>
        <w:t xml:space="preserve"> As the program evolves, additional harmonization across multiple disciplines will be realized using </w:t>
      </w:r>
      <w:hyperlink r:id="rId22" w:history="1">
        <w:r w:rsidRPr="00511E2F">
          <w:rPr>
            <w:rFonts w:ascii="Garamond" w:hAnsi="Garamond"/>
            <w:bCs/>
            <w:sz w:val="24"/>
          </w:rPr>
          <w:t>Common Data Elements (CDE)</w:t>
        </w:r>
      </w:hyperlink>
      <w:r w:rsidRPr="00511E2F">
        <w:rPr>
          <w:rFonts w:ascii="Garamond" w:hAnsi="Garamond"/>
          <w:bCs/>
          <w:sz w:val="24"/>
        </w:rPr>
        <w:t xml:space="preserve"> and standardized databases</w:t>
      </w:r>
      <w:r w:rsidR="00C94955">
        <w:rPr>
          <w:rFonts w:ascii="Garamond" w:hAnsi="Garamond"/>
          <w:bCs/>
          <w:sz w:val="24"/>
        </w:rPr>
        <w:t xml:space="preserve">.  </w:t>
      </w:r>
      <w:r w:rsidRPr="00511E2F">
        <w:rPr>
          <w:rFonts w:ascii="Garamond" w:hAnsi="Garamond"/>
          <w:bCs/>
          <w:sz w:val="24"/>
        </w:rPr>
        <w:t>Collaborators in the DR2 Program have a wide breadth of expertise including novel laboratory methodologies, exposure assessment, sensor technology, social science, epidemiology, environmental and occupational health, and community engagement, among others. The diversity of this network enables efficient and integrated collection of information after disasters when environmental conditions</w:t>
      </w:r>
      <w:r w:rsidR="00C43CC0">
        <w:rPr>
          <w:rFonts w:ascii="Garamond" w:hAnsi="Garamond"/>
          <w:bCs/>
          <w:sz w:val="24"/>
        </w:rPr>
        <w:t xml:space="preserve"> and exposures</w:t>
      </w:r>
      <w:r w:rsidRPr="00511E2F">
        <w:rPr>
          <w:rFonts w:ascii="Garamond" w:hAnsi="Garamond"/>
          <w:bCs/>
          <w:sz w:val="24"/>
        </w:rPr>
        <w:t xml:space="preserve"> may be poorly understood and will help to quickly characterize the cohorts of interest and </w:t>
      </w:r>
      <w:r w:rsidR="00C43CC0">
        <w:rPr>
          <w:rFonts w:ascii="Garamond" w:hAnsi="Garamond"/>
          <w:bCs/>
          <w:sz w:val="24"/>
        </w:rPr>
        <w:t xml:space="preserve">the </w:t>
      </w:r>
      <w:r w:rsidRPr="00511E2F">
        <w:rPr>
          <w:rFonts w:ascii="Garamond" w:hAnsi="Garamond"/>
          <w:bCs/>
          <w:sz w:val="24"/>
        </w:rPr>
        <w:t>collection of important data.</w:t>
      </w:r>
      <w:r w:rsidR="00C51FF1" w:rsidRPr="00511E2F">
        <w:rPr>
          <w:rFonts w:ascii="Garamond" w:hAnsi="Garamond"/>
          <w:bCs/>
          <w:sz w:val="24"/>
        </w:rPr>
        <w:t xml:space="preserve"> </w:t>
      </w:r>
    </w:p>
    <w:p w14:paraId="7043360C" w14:textId="17CBE807" w:rsidR="00002E25" w:rsidRPr="00511E2F" w:rsidRDefault="00A06CAD" w:rsidP="00511E2F">
      <w:pPr>
        <w:spacing w:before="200"/>
        <w:rPr>
          <w:rFonts w:ascii="Garamond" w:hAnsi="Garamond"/>
          <w:bCs/>
          <w:sz w:val="24"/>
        </w:rPr>
      </w:pPr>
      <w:r>
        <w:rPr>
          <w:rFonts w:ascii="Garamond" w:hAnsi="Garamond"/>
          <w:bCs/>
          <w:sz w:val="24"/>
        </w:rPr>
        <w:t>It is also anticipated that</w:t>
      </w:r>
      <w:r w:rsidR="00002E25">
        <w:rPr>
          <w:rFonts w:ascii="Garamond" w:hAnsi="Garamond"/>
          <w:bCs/>
          <w:sz w:val="24"/>
        </w:rPr>
        <w:t xml:space="preserve"> NIEHS DR2 Program </w:t>
      </w:r>
      <w:r>
        <w:rPr>
          <w:rFonts w:ascii="Garamond" w:hAnsi="Garamond"/>
          <w:bCs/>
          <w:sz w:val="24"/>
        </w:rPr>
        <w:t xml:space="preserve">researchers </w:t>
      </w:r>
      <w:r w:rsidR="00002E25">
        <w:rPr>
          <w:rFonts w:ascii="Garamond" w:hAnsi="Garamond"/>
          <w:bCs/>
          <w:sz w:val="24"/>
        </w:rPr>
        <w:t>will work with applied public health partners at the local, state, tribal and federal level, as well as community members to share findings from the research efforts</w:t>
      </w:r>
      <w:r>
        <w:rPr>
          <w:rFonts w:ascii="Garamond" w:hAnsi="Garamond"/>
          <w:bCs/>
          <w:sz w:val="24"/>
        </w:rPr>
        <w:t xml:space="preserve">.  The intent of this sharing is to enable public health practitioners </w:t>
      </w:r>
      <w:r w:rsidR="004A79E8">
        <w:rPr>
          <w:rFonts w:ascii="Garamond" w:hAnsi="Garamond"/>
          <w:bCs/>
          <w:sz w:val="24"/>
        </w:rPr>
        <w:t xml:space="preserve">to </w:t>
      </w:r>
      <w:r>
        <w:rPr>
          <w:rFonts w:ascii="Garamond" w:hAnsi="Garamond"/>
          <w:bCs/>
          <w:sz w:val="24"/>
        </w:rPr>
        <w:t xml:space="preserve">learn from the </w:t>
      </w:r>
      <w:r w:rsidR="001E64EA">
        <w:rPr>
          <w:rFonts w:ascii="Garamond" w:hAnsi="Garamond"/>
          <w:bCs/>
          <w:sz w:val="24"/>
        </w:rPr>
        <w:t xml:space="preserve">generalizable </w:t>
      </w:r>
      <w:r>
        <w:rPr>
          <w:rFonts w:ascii="Garamond" w:hAnsi="Garamond"/>
          <w:bCs/>
          <w:sz w:val="24"/>
        </w:rPr>
        <w:t xml:space="preserve">research findings and begin to identify possible </w:t>
      </w:r>
      <w:r w:rsidR="001E64EA">
        <w:rPr>
          <w:rFonts w:ascii="Garamond" w:hAnsi="Garamond"/>
          <w:bCs/>
          <w:sz w:val="24"/>
        </w:rPr>
        <w:t>actions</w:t>
      </w:r>
      <w:r>
        <w:rPr>
          <w:rFonts w:ascii="Garamond" w:hAnsi="Garamond"/>
          <w:bCs/>
          <w:sz w:val="24"/>
        </w:rPr>
        <w:t xml:space="preserve"> that could mitigate and reduce the impacts of future </w:t>
      </w:r>
      <w:r w:rsidR="001E64EA">
        <w:rPr>
          <w:rFonts w:ascii="Garamond" w:hAnsi="Garamond"/>
          <w:bCs/>
          <w:sz w:val="24"/>
        </w:rPr>
        <w:t>disasters to improve the resilience among populations at risk.</w:t>
      </w:r>
      <w:r w:rsidR="004A79E8">
        <w:rPr>
          <w:rFonts w:ascii="Garamond" w:hAnsi="Garamond"/>
          <w:bCs/>
          <w:sz w:val="24"/>
        </w:rPr>
        <w:t xml:space="preserve"> The dissemination of disaster research results to those who are most capable of addressing identified risks and hazards is imperative and the NIEHS DR2 Program is in a unique position to improve this data sharing because it has strong links with both the disaster research and public health practice communities. The coordination of </w:t>
      </w:r>
      <w:r w:rsidR="00BC4C31">
        <w:rPr>
          <w:rFonts w:ascii="Garamond" w:hAnsi="Garamond"/>
          <w:bCs/>
          <w:sz w:val="24"/>
        </w:rPr>
        <w:t xml:space="preserve">Hurricane Harvey </w:t>
      </w:r>
      <w:r w:rsidR="004A79E8">
        <w:rPr>
          <w:rFonts w:ascii="Garamond" w:hAnsi="Garamond"/>
          <w:bCs/>
          <w:sz w:val="24"/>
        </w:rPr>
        <w:t>research ac</w:t>
      </w:r>
      <w:r w:rsidR="00BC4C31">
        <w:rPr>
          <w:rFonts w:ascii="Garamond" w:hAnsi="Garamond"/>
          <w:bCs/>
          <w:sz w:val="24"/>
        </w:rPr>
        <w:t>tivities described abo</w:t>
      </w:r>
      <w:r w:rsidR="00694CC3">
        <w:rPr>
          <w:rFonts w:ascii="Garamond" w:hAnsi="Garamond"/>
          <w:bCs/>
          <w:sz w:val="24"/>
        </w:rPr>
        <w:t>ve is an excellent example.  T</w:t>
      </w:r>
      <w:r w:rsidR="00BC4C31">
        <w:rPr>
          <w:rFonts w:ascii="Garamond" w:hAnsi="Garamond"/>
          <w:bCs/>
          <w:sz w:val="24"/>
        </w:rPr>
        <w:t xml:space="preserve">he NIEHS DR2 Program </w:t>
      </w:r>
      <w:r w:rsidR="00694CC3">
        <w:rPr>
          <w:rFonts w:ascii="Garamond" w:hAnsi="Garamond"/>
          <w:bCs/>
          <w:sz w:val="24"/>
        </w:rPr>
        <w:t>is planning</w:t>
      </w:r>
      <w:r w:rsidR="00BC4C31">
        <w:rPr>
          <w:rFonts w:ascii="Garamond" w:hAnsi="Garamond"/>
          <w:bCs/>
          <w:sz w:val="24"/>
        </w:rPr>
        <w:t xml:space="preserve"> to </w:t>
      </w:r>
      <w:r w:rsidR="00694CC3">
        <w:rPr>
          <w:rFonts w:ascii="Garamond" w:hAnsi="Garamond"/>
          <w:bCs/>
          <w:sz w:val="24"/>
        </w:rPr>
        <w:t>be proactive in</w:t>
      </w:r>
      <w:r w:rsidR="00BC4C31">
        <w:rPr>
          <w:rFonts w:ascii="Garamond" w:hAnsi="Garamond"/>
          <w:bCs/>
          <w:sz w:val="24"/>
        </w:rPr>
        <w:t xml:space="preserve"> </w:t>
      </w:r>
      <w:r w:rsidR="00694CC3">
        <w:rPr>
          <w:rFonts w:ascii="Garamond" w:hAnsi="Garamond"/>
          <w:bCs/>
          <w:sz w:val="24"/>
        </w:rPr>
        <w:t>formalizing</w:t>
      </w:r>
      <w:r w:rsidR="00BC4C31">
        <w:rPr>
          <w:rFonts w:ascii="Garamond" w:hAnsi="Garamond"/>
          <w:bCs/>
          <w:sz w:val="24"/>
        </w:rPr>
        <w:t xml:space="preserve"> </w:t>
      </w:r>
      <w:r w:rsidR="00694CC3">
        <w:rPr>
          <w:rFonts w:ascii="Garamond" w:hAnsi="Garamond"/>
          <w:bCs/>
          <w:sz w:val="24"/>
        </w:rPr>
        <w:t xml:space="preserve">such </w:t>
      </w:r>
      <w:r w:rsidR="00BC4C31">
        <w:rPr>
          <w:rFonts w:ascii="Garamond" w:hAnsi="Garamond"/>
          <w:bCs/>
          <w:sz w:val="24"/>
        </w:rPr>
        <w:t>interactions between researchers and practitioners through an established forum that will allow a free exchange of ideas and transparency in disaster research practices and goals.  I</w:t>
      </w:r>
      <w:r w:rsidR="00694CC3">
        <w:rPr>
          <w:rFonts w:ascii="Garamond" w:hAnsi="Garamond"/>
          <w:bCs/>
          <w:sz w:val="24"/>
        </w:rPr>
        <w:t xml:space="preserve">n this way, disaster research delivers a return on investment by improving preparedness and enhancing resilience for future disasters.   </w:t>
      </w:r>
    </w:p>
    <w:p w14:paraId="6B536C06" w14:textId="77777777" w:rsidR="00232346" w:rsidRPr="00FA0C9F" w:rsidRDefault="00232346" w:rsidP="00232346">
      <w:pPr>
        <w:pStyle w:val="Heading1"/>
        <w:tabs>
          <w:tab w:val="left" w:pos="609"/>
        </w:tabs>
        <w:ind w:left="0"/>
        <w:jc w:val="both"/>
        <w:rPr>
          <w:rFonts w:ascii="Garamond" w:hAnsi="Garamond"/>
          <w:b w:val="0"/>
          <w:sz w:val="24"/>
        </w:rPr>
      </w:pPr>
    </w:p>
    <w:p w14:paraId="7A640FB9" w14:textId="14041D9A" w:rsidR="003B53CC" w:rsidRPr="002D70E4" w:rsidRDefault="00260A02">
      <w:pPr>
        <w:widowControl/>
        <w:contextualSpacing/>
        <w:rPr>
          <w:rFonts w:ascii="Garamond" w:eastAsia="Book Antiqua" w:hAnsi="Garamond"/>
          <w:b/>
          <w:bCs/>
          <w:sz w:val="24"/>
          <w:szCs w:val="20"/>
        </w:rPr>
      </w:pPr>
      <w:r w:rsidRPr="002D70E4">
        <w:rPr>
          <w:rFonts w:ascii="Garamond" w:eastAsia="Book Antiqua" w:hAnsi="Garamond"/>
          <w:b/>
          <w:bCs/>
          <w:sz w:val="24"/>
          <w:szCs w:val="20"/>
        </w:rPr>
        <w:t>References</w:t>
      </w:r>
    </w:p>
    <w:p w14:paraId="7CF05942" w14:textId="63E425A2" w:rsidR="00260A02" w:rsidRDefault="00260A02">
      <w:pPr>
        <w:widowControl/>
        <w:contextualSpacing/>
        <w:rPr>
          <w:rFonts w:ascii="Garamond" w:eastAsia="Book Antiqua" w:hAnsi="Garamond"/>
          <w:bCs/>
          <w:sz w:val="24"/>
          <w:szCs w:val="20"/>
        </w:rPr>
      </w:pPr>
    </w:p>
    <w:p w14:paraId="0968F2CC" w14:textId="4897A5F4" w:rsidR="004A79E8" w:rsidRDefault="00260A02">
      <w:pPr>
        <w:widowControl/>
        <w:contextualSpacing/>
        <w:rPr>
          <w:rFonts w:ascii="Garamond" w:eastAsia="Book Antiqua" w:hAnsi="Garamond"/>
          <w:bCs/>
          <w:sz w:val="24"/>
          <w:szCs w:val="20"/>
        </w:rPr>
      </w:pPr>
      <w:r w:rsidRPr="00260A02">
        <w:rPr>
          <w:rFonts w:ascii="Garamond" w:hAnsi="Garamond"/>
          <w:bCs/>
          <w:sz w:val="24"/>
        </w:rPr>
        <w:t xml:space="preserve">Miller A, </w:t>
      </w:r>
      <w:proofErr w:type="spellStart"/>
      <w:r w:rsidRPr="00260A02">
        <w:rPr>
          <w:rFonts w:ascii="Garamond" w:hAnsi="Garamond"/>
          <w:bCs/>
          <w:sz w:val="24"/>
        </w:rPr>
        <w:t>Yeskey</w:t>
      </w:r>
      <w:proofErr w:type="spellEnd"/>
      <w:r w:rsidRPr="00260A02">
        <w:rPr>
          <w:rFonts w:ascii="Garamond" w:hAnsi="Garamond"/>
          <w:bCs/>
          <w:sz w:val="24"/>
        </w:rPr>
        <w:t xml:space="preserve"> K, </w:t>
      </w:r>
      <w:proofErr w:type="spellStart"/>
      <w:r w:rsidRPr="00260A02">
        <w:rPr>
          <w:rFonts w:ascii="Garamond" w:hAnsi="Garamond"/>
          <w:bCs/>
          <w:sz w:val="24"/>
        </w:rPr>
        <w:t>Garantziotis</w:t>
      </w:r>
      <w:proofErr w:type="spellEnd"/>
      <w:r w:rsidRPr="00260A02">
        <w:rPr>
          <w:rFonts w:ascii="Garamond" w:hAnsi="Garamond"/>
          <w:bCs/>
          <w:sz w:val="24"/>
        </w:rPr>
        <w:t xml:space="preserve"> S, </w:t>
      </w:r>
      <w:proofErr w:type="gramStart"/>
      <w:r w:rsidRPr="00260A02">
        <w:rPr>
          <w:rFonts w:ascii="Garamond" w:hAnsi="Garamond"/>
          <w:bCs/>
          <w:sz w:val="24"/>
        </w:rPr>
        <w:t>et</w:t>
      </w:r>
      <w:proofErr w:type="gramEnd"/>
      <w:r w:rsidRPr="00260A02">
        <w:rPr>
          <w:rFonts w:ascii="Garamond" w:hAnsi="Garamond"/>
          <w:bCs/>
          <w:sz w:val="24"/>
        </w:rPr>
        <w:t xml:space="preserve"> al. Integrating Health Research into Disaster Response: The New NIH Disaster Research Response Program. Blake D, Johnston DM, MacDonald C, </w:t>
      </w:r>
      <w:proofErr w:type="gramStart"/>
      <w:r w:rsidRPr="00260A02">
        <w:rPr>
          <w:rFonts w:ascii="Garamond" w:hAnsi="Garamond"/>
          <w:bCs/>
          <w:sz w:val="24"/>
        </w:rPr>
        <w:t>eds</w:t>
      </w:r>
      <w:proofErr w:type="gramEnd"/>
      <w:r w:rsidRPr="00260A02">
        <w:rPr>
          <w:rFonts w:ascii="Garamond" w:hAnsi="Garamond"/>
          <w:bCs/>
          <w:sz w:val="24"/>
        </w:rPr>
        <w:t>. </w:t>
      </w:r>
      <w:proofErr w:type="gramStart"/>
      <w:r w:rsidRPr="00260A02">
        <w:rPr>
          <w:rFonts w:ascii="Garamond" w:hAnsi="Garamond"/>
          <w:bCs/>
          <w:sz w:val="24"/>
        </w:rPr>
        <w:t>International Journal of Environmental Research and Public Health.</w:t>
      </w:r>
      <w:proofErr w:type="gramEnd"/>
      <w:r w:rsidRPr="00260A02">
        <w:rPr>
          <w:rFonts w:ascii="Garamond" w:hAnsi="Garamond"/>
          <w:bCs/>
          <w:sz w:val="24"/>
        </w:rPr>
        <w:t xml:space="preserve"> 2016</w:t>
      </w:r>
      <w:proofErr w:type="gramStart"/>
      <w:r w:rsidRPr="00260A02">
        <w:rPr>
          <w:rFonts w:ascii="Garamond" w:hAnsi="Garamond"/>
          <w:bCs/>
          <w:sz w:val="24"/>
        </w:rPr>
        <w:t>;13</w:t>
      </w:r>
      <w:proofErr w:type="gramEnd"/>
      <w:r w:rsidRPr="00260A02">
        <w:rPr>
          <w:rFonts w:ascii="Garamond" w:hAnsi="Garamond"/>
          <w:bCs/>
          <w:sz w:val="24"/>
        </w:rPr>
        <w:t xml:space="preserve">(7):676. </w:t>
      </w:r>
      <w:proofErr w:type="gramStart"/>
      <w:r w:rsidRPr="00260A02">
        <w:rPr>
          <w:rFonts w:ascii="Garamond" w:hAnsi="Garamond"/>
          <w:bCs/>
          <w:sz w:val="24"/>
        </w:rPr>
        <w:t>doi:10.3390</w:t>
      </w:r>
      <w:proofErr w:type="gramEnd"/>
      <w:r w:rsidRPr="00260A02">
        <w:rPr>
          <w:rFonts w:ascii="Garamond" w:hAnsi="Garamond"/>
          <w:bCs/>
          <w:sz w:val="24"/>
        </w:rPr>
        <w:t>/ijerph13070676.</w:t>
      </w:r>
    </w:p>
    <w:p w14:paraId="4FB3DB7C" w14:textId="77777777" w:rsidR="004A79E8" w:rsidRPr="00FA0C9F" w:rsidRDefault="004A79E8">
      <w:pPr>
        <w:widowControl/>
        <w:contextualSpacing/>
        <w:rPr>
          <w:rFonts w:ascii="Garamond" w:eastAsia="Book Antiqua" w:hAnsi="Garamond"/>
          <w:bCs/>
          <w:sz w:val="24"/>
          <w:szCs w:val="20"/>
        </w:rPr>
      </w:pPr>
    </w:p>
    <w:sectPr w:rsidR="004A79E8" w:rsidRPr="00FA0C9F" w:rsidSect="00232346">
      <w:pgSz w:w="11910" w:h="16840"/>
      <w:pgMar w:top="1280" w:right="1380" w:bottom="280" w:left="1380" w:header="1089" w:footer="0"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ichael Heumann" w:date="2018-06-29T17:35:00Z" w:initials="MH">
    <w:p w14:paraId="02C9B67A" w14:textId="72643030" w:rsidR="00992DA2" w:rsidRDefault="00992DA2">
      <w:pPr>
        <w:pStyle w:val="CommentText"/>
      </w:pPr>
      <w:r>
        <w:rPr>
          <w:rStyle w:val="CommentReference"/>
        </w:rPr>
        <w:annotationRef/>
      </w:r>
      <w:r>
        <w:t>We need to add the list of authors for this chapter.  Otherwise, it is good to go.</w:t>
      </w:r>
      <w:bookmarkStart w:id="1" w:name="_GoBack"/>
      <w:bookmarkEnd w:id="1"/>
    </w:p>
  </w:comment>
</w:comments>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9BD24A" w16cid:durableId="1E9D3C75"/>
  <w16cid:commentId w16cid:paraId="7FFB6E31" w16cid:durableId="1E9D3C76"/>
  <w16cid:commentId w16cid:paraId="3B298B59" w16cid:durableId="1E9D3C77"/>
  <w16cid:commentId w16cid:paraId="44B234F8" w16cid:durableId="1E9D3C78"/>
  <w16cid:commentId w16cid:paraId="2A10E6E0" w16cid:durableId="1E9D3C79"/>
  <w16cid:commentId w16cid:paraId="7D4B248C" w16cid:durableId="1E9D3C7A"/>
  <w16cid:commentId w16cid:paraId="6575E50E" w16cid:durableId="1E9D3C7B"/>
  <w16cid:commentId w16cid:paraId="2EF68076" w16cid:durableId="1E9D3C7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Segoe UI">
    <w:altName w:val="Calibri"/>
    <w:charset w:val="00"/>
    <w:family w:val="swiss"/>
    <w:pitch w:val="variable"/>
    <w:sig w:usb0="E4002EFF" w:usb1="C000E47F" w:usb2="00000009" w:usb3="00000000" w:csb0="000001FF"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3FE6"/>
    <w:multiLevelType w:val="hybridMultilevel"/>
    <w:tmpl w:val="158AAD44"/>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
    <w:nsid w:val="1FB63707"/>
    <w:multiLevelType w:val="hybridMultilevel"/>
    <w:tmpl w:val="A9C46364"/>
    <w:lvl w:ilvl="0" w:tplc="78D64688">
      <w:start w:val="1"/>
      <w:numFmt w:val="decimal"/>
      <w:lvlText w:val="%1"/>
      <w:lvlJc w:val="left"/>
      <w:pPr>
        <w:ind w:left="548" w:hanging="304"/>
      </w:pPr>
      <w:rPr>
        <w:rFonts w:ascii="Book Antiqua" w:eastAsia="Book Antiqua" w:hAnsi="Book Antiqua" w:hint="default"/>
        <w:w w:val="99"/>
        <w:position w:val="7"/>
        <w:sz w:val="14"/>
        <w:szCs w:val="14"/>
      </w:rPr>
    </w:lvl>
    <w:lvl w:ilvl="1" w:tplc="1B7CAE2C">
      <w:start w:val="1"/>
      <w:numFmt w:val="bullet"/>
      <w:lvlText w:val="•"/>
      <w:lvlJc w:val="left"/>
      <w:pPr>
        <w:ind w:left="1404" w:hanging="304"/>
      </w:pPr>
      <w:rPr>
        <w:rFonts w:hint="default"/>
      </w:rPr>
    </w:lvl>
    <w:lvl w:ilvl="2" w:tplc="38D4A59C">
      <w:start w:val="1"/>
      <w:numFmt w:val="bullet"/>
      <w:lvlText w:val="•"/>
      <w:lvlJc w:val="left"/>
      <w:pPr>
        <w:ind w:left="2260" w:hanging="304"/>
      </w:pPr>
      <w:rPr>
        <w:rFonts w:hint="default"/>
      </w:rPr>
    </w:lvl>
    <w:lvl w:ilvl="3" w:tplc="D94CC494">
      <w:start w:val="1"/>
      <w:numFmt w:val="bullet"/>
      <w:lvlText w:val="•"/>
      <w:lvlJc w:val="left"/>
      <w:pPr>
        <w:ind w:left="3115" w:hanging="304"/>
      </w:pPr>
      <w:rPr>
        <w:rFonts w:hint="default"/>
      </w:rPr>
    </w:lvl>
    <w:lvl w:ilvl="4" w:tplc="F1A00E18">
      <w:start w:val="1"/>
      <w:numFmt w:val="bullet"/>
      <w:lvlText w:val="•"/>
      <w:lvlJc w:val="left"/>
      <w:pPr>
        <w:ind w:left="3971" w:hanging="304"/>
      </w:pPr>
      <w:rPr>
        <w:rFonts w:hint="default"/>
      </w:rPr>
    </w:lvl>
    <w:lvl w:ilvl="5" w:tplc="24C2AB06">
      <w:start w:val="1"/>
      <w:numFmt w:val="bullet"/>
      <w:lvlText w:val="•"/>
      <w:lvlJc w:val="left"/>
      <w:pPr>
        <w:ind w:left="4827" w:hanging="304"/>
      </w:pPr>
      <w:rPr>
        <w:rFonts w:hint="default"/>
      </w:rPr>
    </w:lvl>
    <w:lvl w:ilvl="6" w:tplc="78D85D34">
      <w:start w:val="1"/>
      <w:numFmt w:val="bullet"/>
      <w:lvlText w:val="•"/>
      <w:lvlJc w:val="left"/>
      <w:pPr>
        <w:ind w:left="5682" w:hanging="304"/>
      </w:pPr>
      <w:rPr>
        <w:rFonts w:hint="default"/>
      </w:rPr>
    </w:lvl>
    <w:lvl w:ilvl="7" w:tplc="1102DB82">
      <w:start w:val="1"/>
      <w:numFmt w:val="bullet"/>
      <w:lvlText w:val="•"/>
      <w:lvlJc w:val="left"/>
      <w:pPr>
        <w:ind w:left="6538" w:hanging="304"/>
      </w:pPr>
      <w:rPr>
        <w:rFonts w:hint="default"/>
      </w:rPr>
    </w:lvl>
    <w:lvl w:ilvl="8" w:tplc="A692AA08">
      <w:start w:val="1"/>
      <w:numFmt w:val="bullet"/>
      <w:lvlText w:val="•"/>
      <w:lvlJc w:val="left"/>
      <w:pPr>
        <w:ind w:left="7394" w:hanging="304"/>
      </w:pPr>
      <w:rPr>
        <w:rFonts w:hint="default"/>
      </w:rPr>
    </w:lvl>
  </w:abstractNum>
  <w:abstractNum w:abstractNumId="2">
    <w:nsid w:val="259E5308"/>
    <w:multiLevelType w:val="hybridMultilevel"/>
    <w:tmpl w:val="44F28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3249B6"/>
    <w:multiLevelType w:val="hybridMultilevel"/>
    <w:tmpl w:val="BE3A56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DA1243D"/>
    <w:multiLevelType w:val="hybridMultilevel"/>
    <w:tmpl w:val="E4D69906"/>
    <w:lvl w:ilvl="0" w:tplc="F0348D0C">
      <w:start w:val="1"/>
      <w:numFmt w:val="decimal"/>
      <w:lvlText w:val="%1."/>
      <w:lvlJc w:val="left"/>
      <w:pPr>
        <w:ind w:left="541" w:hanging="431"/>
      </w:pPr>
      <w:rPr>
        <w:rFonts w:ascii="Book Antiqua" w:eastAsia="Book Antiqua" w:hAnsi="Book Antiqua" w:hint="default"/>
        <w:w w:val="99"/>
        <w:sz w:val="18"/>
        <w:szCs w:val="18"/>
      </w:rPr>
    </w:lvl>
    <w:lvl w:ilvl="1" w:tplc="7EA4CEEA">
      <w:start w:val="1"/>
      <w:numFmt w:val="bullet"/>
      <w:lvlText w:val="•"/>
      <w:lvlJc w:val="left"/>
      <w:pPr>
        <w:ind w:left="1397" w:hanging="431"/>
      </w:pPr>
      <w:rPr>
        <w:rFonts w:hint="default"/>
      </w:rPr>
    </w:lvl>
    <w:lvl w:ilvl="2" w:tplc="852EA0CA">
      <w:start w:val="1"/>
      <w:numFmt w:val="bullet"/>
      <w:lvlText w:val="•"/>
      <w:lvlJc w:val="left"/>
      <w:pPr>
        <w:ind w:left="2253" w:hanging="431"/>
      </w:pPr>
      <w:rPr>
        <w:rFonts w:hint="default"/>
      </w:rPr>
    </w:lvl>
    <w:lvl w:ilvl="3" w:tplc="F6940BDA">
      <w:start w:val="1"/>
      <w:numFmt w:val="bullet"/>
      <w:lvlText w:val="•"/>
      <w:lvlJc w:val="left"/>
      <w:pPr>
        <w:ind w:left="3110" w:hanging="431"/>
      </w:pPr>
      <w:rPr>
        <w:rFonts w:hint="default"/>
      </w:rPr>
    </w:lvl>
    <w:lvl w:ilvl="4" w:tplc="FA9CFFF6">
      <w:start w:val="1"/>
      <w:numFmt w:val="bullet"/>
      <w:lvlText w:val="•"/>
      <w:lvlJc w:val="left"/>
      <w:pPr>
        <w:ind w:left="3966" w:hanging="431"/>
      </w:pPr>
      <w:rPr>
        <w:rFonts w:hint="default"/>
      </w:rPr>
    </w:lvl>
    <w:lvl w:ilvl="5" w:tplc="07C0CF9E">
      <w:start w:val="1"/>
      <w:numFmt w:val="bullet"/>
      <w:lvlText w:val="•"/>
      <w:lvlJc w:val="left"/>
      <w:pPr>
        <w:ind w:left="4823" w:hanging="431"/>
      </w:pPr>
      <w:rPr>
        <w:rFonts w:hint="default"/>
      </w:rPr>
    </w:lvl>
    <w:lvl w:ilvl="6" w:tplc="742AD244">
      <w:start w:val="1"/>
      <w:numFmt w:val="bullet"/>
      <w:lvlText w:val="•"/>
      <w:lvlJc w:val="left"/>
      <w:pPr>
        <w:ind w:left="5679" w:hanging="431"/>
      </w:pPr>
      <w:rPr>
        <w:rFonts w:hint="default"/>
      </w:rPr>
    </w:lvl>
    <w:lvl w:ilvl="7" w:tplc="12382FFC">
      <w:start w:val="1"/>
      <w:numFmt w:val="bullet"/>
      <w:lvlText w:val="•"/>
      <w:lvlJc w:val="left"/>
      <w:pPr>
        <w:ind w:left="6536" w:hanging="431"/>
      </w:pPr>
      <w:rPr>
        <w:rFonts w:hint="default"/>
      </w:rPr>
    </w:lvl>
    <w:lvl w:ilvl="8" w:tplc="231AEA86">
      <w:start w:val="1"/>
      <w:numFmt w:val="bullet"/>
      <w:lvlText w:val="•"/>
      <w:lvlJc w:val="left"/>
      <w:pPr>
        <w:ind w:left="7392" w:hanging="431"/>
      </w:pPr>
      <w:rPr>
        <w:rFonts w:hint="default"/>
      </w:rPr>
    </w:lvl>
  </w:abstractNum>
  <w:abstractNum w:abstractNumId="5">
    <w:nsid w:val="67223FC9"/>
    <w:multiLevelType w:val="hybridMultilevel"/>
    <w:tmpl w:val="A0E6162C"/>
    <w:lvl w:ilvl="0" w:tplc="F95AA6D6">
      <w:start w:val="1"/>
      <w:numFmt w:val="decimal"/>
      <w:lvlText w:val="(%1)"/>
      <w:lvlJc w:val="left"/>
      <w:pPr>
        <w:ind w:left="608" w:hanging="509"/>
      </w:pPr>
      <w:rPr>
        <w:rFonts w:ascii="Book Antiqua" w:eastAsia="Book Antiqua" w:hAnsi="Book Antiqua" w:hint="default"/>
        <w:b/>
        <w:bCs/>
        <w:w w:val="99"/>
        <w:sz w:val="20"/>
        <w:szCs w:val="20"/>
      </w:rPr>
    </w:lvl>
    <w:lvl w:ilvl="1" w:tplc="CC8CBDEE">
      <w:start w:val="1"/>
      <w:numFmt w:val="bullet"/>
      <w:lvlText w:val="•"/>
      <w:lvlJc w:val="left"/>
      <w:pPr>
        <w:ind w:left="1462" w:hanging="509"/>
      </w:pPr>
      <w:rPr>
        <w:rFonts w:hint="default"/>
      </w:rPr>
    </w:lvl>
    <w:lvl w:ilvl="2" w:tplc="08528DCA">
      <w:start w:val="1"/>
      <w:numFmt w:val="bullet"/>
      <w:lvlText w:val="•"/>
      <w:lvlJc w:val="left"/>
      <w:pPr>
        <w:ind w:left="2316" w:hanging="509"/>
      </w:pPr>
      <w:rPr>
        <w:rFonts w:hint="default"/>
      </w:rPr>
    </w:lvl>
    <w:lvl w:ilvl="3" w:tplc="1352B786">
      <w:start w:val="1"/>
      <w:numFmt w:val="bullet"/>
      <w:lvlText w:val="•"/>
      <w:lvlJc w:val="left"/>
      <w:pPr>
        <w:ind w:left="3169" w:hanging="509"/>
      </w:pPr>
      <w:rPr>
        <w:rFonts w:hint="default"/>
      </w:rPr>
    </w:lvl>
    <w:lvl w:ilvl="4" w:tplc="346429C2">
      <w:start w:val="1"/>
      <w:numFmt w:val="bullet"/>
      <w:lvlText w:val="•"/>
      <w:lvlJc w:val="left"/>
      <w:pPr>
        <w:ind w:left="4023" w:hanging="509"/>
      </w:pPr>
      <w:rPr>
        <w:rFonts w:hint="default"/>
      </w:rPr>
    </w:lvl>
    <w:lvl w:ilvl="5" w:tplc="69E620CA">
      <w:start w:val="1"/>
      <w:numFmt w:val="bullet"/>
      <w:lvlText w:val="•"/>
      <w:lvlJc w:val="left"/>
      <w:pPr>
        <w:ind w:left="4877" w:hanging="509"/>
      </w:pPr>
      <w:rPr>
        <w:rFonts w:hint="default"/>
      </w:rPr>
    </w:lvl>
    <w:lvl w:ilvl="6" w:tplc="3DA67C04">
      <w:start w:val="1"/>
      <w:numFmt w:val="bullet"/>
      <w:lvlText w:val="•"/>
      <w:lvlJc w:val="left"/>
      <w:pPr>
        <w:ind w:left="5730" w:hanging="509"/>
      </w:pPr>
      <w:rPr>
        <w:rFonts w:hint="default"/>
      </w:rPr>
    </w:lvl>
    <w:lvl w:ilvl="7" w:tplc="394A3098">
      <w:start w:val="1"/>
      <w:numFmt w:val="bullet"/>
      <w:lvlText w:val="•"/>
      <w:lvlJc w:val="left"/>
      <w:pPr>
        <w:ind w:left="6584" w:hanging="509"/>
      </w:pPr>
      <w:rPr>
        <w:rFonts w:hint="default"/>
      </w:rPr>
    </w:lvl>
    <w:lvl w:ilvl="8" w:tplc="993C390C">
      <w:start w:val="1"/>
      <w:numFmt w:val="bullet"/>
      <w:lvlText w:val="•"/>
      <w:lvlJc w:val="left"/>
      <w:pPr>
        <w:ind w:left="7438" w:hanging="509"/>
      </w:pPr>
      <w:rPr>
        <w:rFonts w:hint="default"/>
      </w:rPr>
    </w:lvl>
  </w:abstractNum>
  <w:abstractNum w:abstractNumId="6">
    <w:nsid w:val="6FB0718D"/>
    <w:multiLevelType w:val="hybridMultilevel"/>
    <w:tmpl w:val="D7CC40BE"/>
    <w:lvl w:ilvl="0" w:tplc="2B7801C6">
      <w:start w:val="3"/>
      <w:numFmt w:val="decimal"/>
      <w:lvlText w:val="%1."/>
      <w:lvlJc w:val="left"/>
      <w:pPr>
        <w:ind w:left="423" w:hanging="273"/>
      </w:pPr>
      <w:rPr>
        <w:rFonts w:ascii="Book Antiqua" w:eastAsia="Book Antiqua" w:hAnsi="Book Antiqua" w:hint="default"/>
        <w:b/>
        <w:bCs/>
        <w:w w:val="99"/>
        <w:sz w:val="20"/>
        <w:szCs w:val="20"/>
      </w:rPr>
    </w:lvl>
    <w:lvl w:ilvl="1" w:tplc="5F52674C">
      <w:start w:val="1"/>
      <w:numFmt w:val="bullet"/>
      <w:lvlText w:val="•"/>
      <w:lvlJc w:val="left"/>
      <w:pPr>
        <w:ind w:left="1295" w:hanging="273"/>
      </w:pPr>
      <w:rPr>
        <w:rFonts w:hint="default"/>
      </w:rPr>
    </w:lvl>
    <w:lvl w:ilvl="2" w:tplc="5672E5BE">
      <w:start w:val="1"/>
      <w:numFmt w:val="bullet"/>
      <w:lvlText w:val="•"/>
      <w:lvlJc w:val="left"/>
      <w:pPr>
        <w:ind w:left="2168" w:hanging="273"/>
      </w:pPr>
      <w:rPr>
        <w:rFonts w:hint="default"/>
      </w:rPr>
    </w:lvl>
    <w:lvl w:ilvl="3" w:tplc="5240B2D6">
      <w:start w:val="1"/>
      <w:numFmt w:val="bullet"/>
      <w:lvlText w:val="•"/>
      <w:lvlJc w:val="left"/>
      <w:pPr>
        <w:ind w:left="3040" w:hanging="273"/>
      </w:pPr>
      <w:rPr>
        <w:rFonts w:hint="default"/>
      </w:rPr>
    </w:lvl>
    <w:lvl w:ilvl="4" w:tplc="4F469CF6">
      <w:start w:val="1"/>
      <w:numFmt w:val="bullet"/>
      <w:lvlText w:val="•"/>
      <w:lvlJc w:val="left"/>
      <w:pPr>
        <w:ind w:left="3912" w:hanging="273"/>
      </w:pPr>
      <w:rPr>
        <w:rFonts w:hint="default"/>
      </w:rPr>
    </w:lvl>
    <w:lvl w:ilvl="5" w:tplc="12BC246E">
      <w:start w:val="1"/>
      <w:numFmt w:val="bullet"/>
      <w:lvlText w:val="•"/>
      <w:lvlJc w:val="left"/>
      <w:pPr>
        <w:ind w:left="4784" w:hanging="273"/>
      </w:pPr>
      <w:rPr>
        <w:rFonts w:hint="default"/>
      </w:rPr>
    </w:lvl>
    <w:lvl w:ilvl="6" w:tplc="DE8E6E5C">
      <w:start w:val="1"/>
      <w:numFmt w:val="bullet"/>
      <w:lvlText w:val="•"/>
      <w:lvlJc w:val="left"/>
      <w:pPr>
        <w:ind w:left="5656" w:hanging="273"/>
      </w:pPr>
      <w:rPr>
        <w:rFonts w:hint="default"/>
      </w:rPr>
    </w:lvl>
    <w:lvl w:ilvl="7" w:tplc="5A3AD55A">
      <w:start w:val="1"/>
      <w:numFmt w:val="bullet"/>
      <w:lvlText w:val="•"/>
      <w:lvlJc w:val="left"/>
      <w:pPr>
        <w:ind w:left="6528" w:hanging="273"/>
      </w:pPr>
      <w:rPr>
        <w:rFonts w:hint="default"/>
      </w:rPr>
    </w:lvl>
    <w:lvl w:ilvl="8" w:tplc="6E46EB8C">
      <w:start w:val="1"/>
      <w:numFmt w:val="bullet"/>
      <w:lvlText w:val="•"/>
      <w:lvlJc w:val="left"/>
      <w:pPr>
        <w:ind w:left="7401" w:hanging="273"/>
      </w:pPr>
      <w:rPr>
        <w:rFonts w:hint="default"/>
      </w:rPr>
    </w:lvl>
  </w:abstractNum>
  <w:abstractNum w:abstractNumId="7">
    <w:nsid w:val="730A1258"/>
    <w:multiLevelType w:val="hybridMultilevel"/>
    <w:tmpl w:val="D5827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2B08C6"/>
    <w:multiLevelType w:val="multilevel"/>
    <w:tmpl w:val="EE3CF584"/>
    <w:lvl w:ilvl="0">
      <w:start w:val="2"/>
      <w:numFmt w:val="decimal"/>
      <w:lvlText w:val="%1"/>
      <w:lvlJc w:val="left"/>
      <w:pPr>
        <w:ind w:left="471" w:hanging="361"/>
      </w:pPr>
      <w:rPr>
        <w:rFonts w:hint="default"/>
      </w:rPr>
    </w:lvl>
    <w:lvl w:ilvl="1">
      <w:start w:val="3"/>
      <w:numFmt w:val="decimal"/>
      <w:lvlText w:val="%1.%2."/>
      <w:lvlJc w:val="left"/>
      <w:pPr>
        <w:ind w:left="471" w:hanging="361"/>
      </w:pPr>
      <w:rPr>
        <w:rFonts w:ascii="Book Antiqua" w:eastAsia="Book Antiqua" w:hAnsi="Book Antiqua" w:hint="default"/>
        <w:i/>
        <w:w w:val="99"/>
        <w:sz w:val="20"/>
        <w:szCs w:val="20"/>
      </w:rPr>
    </w:lvl>
    <w:lvl w:ilvl="2">
      <w:start w:val="1"/>
      <w:numFmt w:val="bullet"/>
      <w:lvlText w:val="•"/>
      <w:lvlJc w:val="left"/>
      <w:pPr>
        <w:ind w:left="2198" w:hanging="361"/>
      </w:pPr>
      <w:rPr>
        <w:rFonts w:hint="default"/>
      </w:rPr>
    </w:lvl>
    <w:lvl w:ilvl="3">
      <w:start w:val="1"/>
      <w:numFmt w:val="bullet"/>
      <w:lvlText w:val="•"/>
      <w:lvlJc w:val="left"/>
      <w:pPr>
        <w:ind w:left="3061" w:hanging="361"/>
      </w:pPr>
      <w:rPr>
        <w:rFonts w:hint="default"/>
      </w:rPr>
    </w:lvl>
    <w:lvl w:ilvl="4">
      <w:start w:val="1"/>
      <w:numFmt w:val="bullet"/>
      <w:lvlText w:val="•"/>
      <w:lvlJc w:val="left"/>
      <w:pPr>
        <w:ind w:left="3925" w:hanging="361"/>
      </w:pPr>
      <w:rPr>
        <w:rFonts w:hint="default"/>
      </w:rPr>
    </w:lvl>
    <w:lvl w:ilvl="5">
      <w:start w:val="1"/>
      <w:numFmt w:val="bullet"/>
      <w:lvlText w:val="•"/>
      <w:lvlJc w:val="left"/>
      <w:pPr>
        <w:ind w:left="4788" w:hanging="361"/>
      </w:pPr>
      <w:rPr>
        <w:rFonts w:hint="default"/>
      </w:rPr>
    </w:lvl>
    <w:lvl w:ilvl="6">
      <w:start w:val="1"/>
      <w:numFmt w:val="bullet"/>
      <w:lvlText w:val="•"/>
      <w:lvlJc w:val="left"/>
      <w:pPr>
        <w:ind w:left="5651" w:hanging="361"/>
      </w:pPr>
      <w:rPr>
        <w:rFonts w:hint="default"/>
      </w:rPr>
    </w:lvl>
    <w:lvl w:ilvl="7">
      <w:start w:val="1"/>
      <w:numFmt w:val="bullet"/>
      <w:lvlText w:val="•"/>
      <w:lvlJc w:val="left"/>
      <w:pPr>
        <w:ind w:left="6515" w:hanging="361"/>
      </w:pPr>
      <w:rPr>
        <w:rFonts w:hint="default"/>
      </w:rPr>
    </w:lvl>
    <w:lvl w:ilvl="8">
      <w:start w:val="1"/>
      <w:numFmt w:val="bullet"/>
      <w:lvlText w:val="•"/>
      <w:lvlJc w:val="left"/>
      <w:pPr>
        <w:ind w:left="7378" w:hanging="361"/>
      </w:pPr>
      <w:rPr>
        <w:rFonts w:hint="default"/>
      </w:rPr>
    </w:lvl>
  </w:abstractNum>
  <w:abstractNum w:abstractNumId="9">
    <w:nsid w:val="75A93552"/>
    <w:multiLevelType w:val="hybridMultilevel"/>
    <w:tmpl w:val="412E0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A816F9"/>
    <w:multiLevelType w:val="hybridMultilevel"/>
    <w:tmpl w:val="9F6A3E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9D3037"/>
    <w:multiLevelType w:val="hybridMultilevel"/>
    <w:tmpl w:val="EC8094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5"/>
  </w:num>
  <w:num w:numId="3">
    <w:abstractNumId w:val="6"/>
  </w:num>
  <w:num w:numId="4">
    <w:abstractNumId w:val="8"/>
  </w:num>
  <w:num w:numId="5">
    <w:abstractNumId w:val="1"/>
  </w:num>
  <w:num w:numId="6">
    <w:abstractNumId w:val="0"/>
  </w:num>
  <w:num w:numId="7">
    <w:abstractNumId w:val="11"/>
  </w:num>
  <w:num w:numId="8">
    <w:abstractNumId w:val="9"/>
  </w:num>
  <w:num w:numId="9">
    <w:abstractNumId w:val="7"/>
  </w:num>
  <w:num w:numId="10">
    <w:abstractNumId w:val="2"/>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346"/>
    <w:rsid w:val="00002E25"/>
    <w:rsid w:val="000151F2"/>
    <w:rsid w:val="00022A0D"/>
    <w:rsid w:val="000237DC"/>
    <w:rsid w:val="000D6E1E"/>
    <w:rsid w:val="000E6348"/>
    <w:rsid w:val="000F0842"/>
    <w:rsid w:val="0018599D"/>
    <w:rsid w:val="001C738B"/>
    <w:rsid w:val="001D22C6"/>
    <w:rsid w:val="001E64EA"/>
    <w:rsid w:val="00201D32"/>
    <w:rsid w:val="00214CE3"/>
    <w:rsid w:val="00232346"/>
    <w:rsid w:val="00246389"/>
    <w:rsid w:val="00260A02"/>
    <w:rsid w:val="002B4C72"/>
    <w:rsid w:val="002D3A39"/>
    <w:rsid w:val="002D70E4"/>
    <w:rsid w:val="002E5FED"/>
    <w:rsid w:val="00315D51"/>
    <w:rsid w:val="003864E1"/>
    <w:rsid w:val="0039165E"/>
    <w:rsid w:val="00395EEB"/>
    <w:rsid w:val="003B53CC"/>
    <w:rsid w:val="003F5181"/>
    <w:rsid w:val="004064E0"/>
    <w:rsid w:val="0041181B"/>
    <w:rsid w:val="00414E5C"/>
    <w:rsid w:val="004A79E8"/>
    <w:rsid w:val="004B4A89"/>
    <w:rsid w:val="004D669F"/>
    <w:rsid w:val="00511E2F"/>
    <w:rsid w:val="00576B06"/>
    <w:rsid w:val="005C6DE1"/>
    <w:rsid w:val="005E003A"/>
    <w:rsid w:val="00611403"/>
    <w:rsid w:val="00632C4A"/>
    <w:rsid w:val="006378C2"/>
    <w:rsid w:val="00693959"/>
    <w:rsid w:val="00694CC3"/>
    <w:rsid w:val="006B6163"/>
    <w:rsid w:val="006D770A"/>
    <w:rsid w:val="006E7682"/>
    <w:rsid w:val="007347E9"/>
    <w:rsid w:val="00742601"/>
    <w:rsid w:val="007A2042"/>
    <w:rsid w:val="007B2661"/>
    <w:rsid w:val="007B5339"/>
    <w:rsid w:val="007E5309"/>
    <w:rsid w:val="00805354"/>
    <w:rsid w:val="008211ED"/>
    <w:rsid w:val="008303FD"/>
    <w:rsid w:val="00966D24"/>
    <w:rsid w:val="00977492"/>
    <w:rsid w:val="00981FC8"/>
    <w:rsid w:val="00984AE6"/>
    <w:rsid w:val="00992DA2"/>
    <w:rsid w:val="00A06CAD"/>
    <w:rsid w:val="00A12091"/>
    <w:rsid w:val="00A276EC"/>
    <w:rsid w:val="00A55FFC"/>
    <w:rsid w:val="00A71020"/>
    <w:rsid w:val="00AF2E9A"/>
    <w:rsid w:val="00B768B8"/>
    <w:rsid w:val="00B90ECE"/>
    <w:rsid w:val="00B94FCC"/>
    <w:rsid w:val="00BC4C31"/>
    <w:rsid w:val="00C171CB"/>
    <w:rsid w:val="00C23C05"/>
    <w:rsid w:val="00C43CC0"/>
    <w:rsid w:val="00C51FF1"/>
    <w:rsid w:val="00C94955"/>
    <w:rsid w:val="00D1288B"/>
    <w:rsid w:val="00D62B5D"/>
    <w:rsid w:val="00DE784B"/>
    <w:rsid w:val="00E2154D"/>
    <w:rsid w:val="00E85620"/>
    <w:rsid w:val="00EA136D"/>
    <w:rsid w:val="00F40027"/>
    <w:rsid w:val="00F42A91"/>
    <w:rsid w:val="00FA0C9F"/>
    <w:rsid w:val="00FA5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144A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60" w:after="60"/>
        <w:ind w:left="360" w:hanging="360"/>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32346"/>
    <w:pPr>
      <w:widowControl w:val="0"/>
      <w:spacing w:before="0" w:after="0"/>
      <w:ind w:left="0" w:firstLine="0"/>
    </w:pPr>
  </w:style>
  <w:style w:type="paragraph" w:styleId="Heading1">
    <w:name w:val="heading 1"/>
    <w:basedOn w:val="Normal"/>
    <w:link w:val="Heading1Char"/>
    <w:uiPriority w:val="1"/>
    <w:qFormat/>
    <w:rsid w:val="00232346"/>
    <w:pPr>
      <w:ind w:left="130"/>
      <w:outlineLvl w:val="0"/>
    </w:pPr>
    <w:rPr>
      <w:rFonts w:ascii="Book Antiqua" w:eastAsia="Book Antiqua" w:hAnsi="Book Antiqu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32346"/>
    <w:rPr>
      <w:rFonts w:ascii="Book Antiqua" w:eastAsia="Book Antiqua" w:hAnsi="Book Antiqua"/>
      <w:b/>
      <w:bCs/>
      <w:sz w:val="20"/>
      <w:szCs w:val="20"/>
    </w:rPr>
  </w:style>
  <w:style w:type="paragraph" w:styleId="BodyText">
    <w:name w:val="Body Text"/>
    <w:basedOn w:val="Normal"/>
    <w:link w:val="BodyTextChar"/>
    <w:uiPriority w:val="1"/>
    <w:qFormat/>
    <w:rsid w:val="00232346"/>
    <w:pPr>
      <w:ind w:left="110" w:firstLine="425"/>
    </w:pPr>
    <w:rPr>
      <w:rFonts w:ascii="Book Antiqua" w:eastAsia="Book Antiqua" w:hAnsi="Book Antiqua"/>
      <w:sz w:val="20"/>
      <w:szCs w:val="20"/>
    </w:rPr>
  </w:style>
  <w:style w:type="character" w:customStyle="1" w:styleId="BodyTextChar">
    <w:name w:val="Body Text Char"/>
    <w:basedOn w:val="DefaultParagraphFont"/>
    <w:link w:val="BodyText"/>
    <w:uiPriority w:val="1"/>
    <w:rsid w:val="00232346"/>
    <w:rPr>
      <w:rFonts w:ascii="Book Antiqua" w:eastAsia="Book Antiqua" w:hAnsi="Book Antiqua"/>
      <w:sz w:val="20"/>
      <w:szCs w:val="20"/>
    </w:rPr>
  </w:style>
  <w:style w:type="paragraph" w:styleId="ListParagraph">
    <w:name w:val="List Paragraph"/>
    <w:basedOn w:val="Normal"/>
    <w:uiPriority w:val="34"/>
    <w:qFormat/>
    <w:rsid w:val="00232346"/>
  </w:style>
  <w:style w:type="paragraph" w:customStyle="1" w:styleId="TableParagraph">
    <w:name w:val="Table Paragraph"/>
    <w:basedOn w:val="Normal"/>
    <w:uiPriority w:val="1"/>
    <w:qFormat/>
    <w:rsid w:val="00232346"/>
  </w:style>
  <w:style w:type="character" w:styleId="Hyperlink">
    <w:name w:val="Hyperlink"/>
    <w:basedOn w:val="DefaultParagraphFont"/>
    <w:uiPriority w:val="99"/>
    <w:unhideWhenUsed/>
    <w:rsid w:val="005C6DE1"/>
    <w:rPr>
      <w:color w:val="0563C1" w:themeColor="hyperlink"/>
      <w:u w:val="single"/>
    </w:rPr>
  </w:style>
  <w:style w:type="character" w:styleId="FollowedHyperlink">
    <w:name w:val="FollowedHyperlink"/>
    <w:basedOn w:val="DefaultParagraphFont"/>
    <w:uiPriority w:val="99"/>
    <w:semiHidden/>
    <w:unhideWhenUsed/>
    <w:rsid w:val="0018599D"/>
    <w:rPr>
      <w:color w:val="954F72" w:themeColor="followedHyperlink"/>
      <w:u w:val="single"/>
    </w:rPr>
  </w:style>
  <w:style w:type="character" w:styleId="CommentReference">
    <w:name w:val="annotation reference"/>
    <w:basedOn w:val="DefaultParagraphFont"/>
    <w:uiPriority w:val="99"/>
    <w:semiHidden/>
    <w:unhideWhenUsed/>
    <w:rsid w:val="004D669F"/>
    <w:rPr>
      <w:sz w:val="16"/>
      <w:szCs w:val="16"/>
    </w:rPr>
  </w:style>
  <w:style w:type="paragraph" w:styleId="CommentText">
    <w:name w:val="annotation text"/>
    <w:basedOn w:val="Normal"/>
    <w:link w:val="CommentTextChar"/>
    <w:uiPriority w:val="99"/>
    <w:semiHidden/>
    <w:unhideWhenUsed/>
    <w:rsid w:val="004D669F"/>
    <w:rPr>
      <w:sz w:val="20"/>
      <w:szCs w:val="20"/>
    </w:rPr>
  </w:style>
  <w:style w:type="character" w:customStyle="1" w:styleId="CommentTextChar">
    <w:name w:val="Comment Text Char"/>
    <w:basedOn w:val="DefaultParagraphFont"/>
    <w:link w:val="CommentText"/>
    <w:uiPriority w:val="99"/>
    <w:semiHidden/>
    <w:rsid w:val="004D669F"/>
    <w:rPr>
      <w:sz w:val="20"/>
      <w:szCs w:val="20"/>
    </w:rPr>
  </w:style>
  <w:style w:type="paragraph" w:styleId="CommentSubject">
    <w:name w:val="annotation subject"/>
    <w:basedOn w:val="CommentText"/>
    <w:next w:val="CommentText"/>
    <w:link w:val="CommentSubjectChar"/>
    <w:uiPriority w:val="99"/>
    <w:semiHidden/>
    <w:unhideWhenUsed/>
    <w:rsid w:val="004D669F"/>
    <w:rPr>
      <w:b/>
      <w:bCs/>
    </w:rPr>
  </w:style>
  <w:style w:type="character" w:customStyle="1" w:styleId="CommentSubjectChar">
    <w:name w:val="Comment Subject Char"/>
    <w:basedOn w:val="CommentTextChar"/>
    <w:link w:val="CommentSubject"/>
    <w:uiPriority w:val="99"/>
    <w:semiHidden/>
    <w:rsid w:val="004D669F"/>
    <w:rPr>
      <w:b/>
      <w:bCs/>
      <w:sz w:val="20"/>
      <w:szCs w:val="20"/>
    </w:rPr>
  </w:style>
  <w:style w:type="paragraph" w:styleId="BalloonText">
    <w:name w:val="Balloon Text"/>
    <w:basedOn w:val="Normal"/>
    <w:link w:val="BalloonTextChar"/>
    <w:uiPriority w:val="99"/>
    <w:semiHidden/>
    <w:unhideWhenUsed/>
    <w:rsid w:val="004D6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69F"/>
    <w:rPr>
      <w:rFonts w:ascii="Segoe UI" w:hAnsi="Segoe UI" w:cs="Segoe UI"/>
      <w:sz w:val="18"/>
      <w:szCs w:val="18"/>
    </w:rPr>
  </w:style>
  <w:style w:type="character" w:customStyle="1" w:styleId="UnresolvedMention">
    <w:name w:val="Unresolved Mention"/>
    <w:basedOn w:val="DefaultParagraphFont"/>
    <w:uiPriority w:val="99"/>
    <w:semiHidden/>
    <w:unhideWhenUsed/>
    <w:rsid w:val="006378C2"/>
    <w:rPr>
      <w:color w:val="808080"/>
      <w:shd w:val="clear" w:color="auto" w:fill="E6E6E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60" w:after="60"/>
        <w:ind w:left="360" w:hanging="360"/>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32346"/>
    <w:pPr>
      <w:widowControl w:val="0"/>
      <w:spacing w:before="0" w:after="0"/>
      <w:ind w:left="0" w:firstLine="0"/>
    </w:pPr>
  </w:style>
  <w:style w:type="paragraph" w:styleId="Heading1">
    <w:name w:val="heading 1"/>
    <w:basedOn w:val="Normal"/>
    <w:link w:val="Heading1Char"/>
    <w:uiPriority w:val="1"/>
    <w:qFormat/>
    <w:rsid w:val="00232346"/>
    <w:pPr>
      <w:ind w:left="130"/>
      <w:outlineLvl w:val="0"/>
    </w:pPr>
    <w:rPr>
      <w:rFonts w:ascii="Book Antiqua" w:eastAsia="Book Antiqua" w:hAnsi="Book Antiqu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32346"/>
    <w:rPr>
      <w:rFonts w:ascii="Book Antiqua" w:eastAsia="Book Antiqua" w:hAnsi="Book Antiqua"/>
      <w:b/>
      <w:bCs/>
      <w:sz w:val="20"/>
      <w:szCs w:val="20"/>
    </w:rPr>
  </w:style>
  <w:style w:type="paragraph" w:styleId="BodyText">
    <w:name w:val="Body Text"/>
    <w:basedOn w:val="Normal"/>
    <w:link w:val="BodyTextChar"/>
    <w:uiPriority w:val="1"/>
    <w:qFormat/>
    <w:rsid w:val="00232346"/>
    <w:pPr>
      <w:ind w:left="110" w:firstLine="425"/>
    </w:pPr>
    <w:rPr>
      <w:rFonts w:ascii="Book Antiqua" w:eastAsia="Book Antiqua" w:hAnsi="Book Antiqua"/>
      <w:sz w:val="20"/>
      <w:szCs w:val="20"/>
    </w:rPr>
  </w:style>
  <w:style w:type="character" w:customStyle="1" w:styleId="BodyTextChar">
    <w:name w:val="Body Text Char"/>
    <w:basedOn w:val="DefaultParagraphFont"/>
    <w:link w:val="BodyText"/>
    <w:uiPriority w:val="1"/>
    <w:rsid w:val="00232346"/>
    <w:rPr>
      <w:rFonts w:ascii="Book Antiqua" w:eastAsia="Book Antiqua" w:hAnsi="Book Antiqua"/>
      <w:sz w:val="20"/>
      <w:szCs w:val="20"/>
    </w:rPr>
  </w:style>
  <w:style w:type="paragraph" w:styleId="ListParagraph">
    <w:name w:val="List Paragraph"/>
    <w:basedOn w:val="Normal"/>
    <w:uiPriority w:val="34"/>
    <w:qFormat/>
    <w:rsid w:val="00232346"/>
  </w:style>
  <w:style w:type="paragraph" w:customStyle="1" w:styleId="TableParagraph">
    <w:name w:val="Table Paragraph"/>
    <w:basedOn w:val="Normal"/>
    <w:uiPriority w:val="1"/>
    <w:qFormat/>
    <w:rsid w:val="00232346"/>
  </w:style>
  <w:style w:type="character" w:styleId="Hyperlink">
    <w:name w:val="Hyperlink"/>
    <w:basedOn w:val="DefaultParagraphFont"/>
    <w:uiPriority w:val="99"/>
    <w:unhideWhenUsed/>
    <w:rsid w:val="005C6DE1"/>
    <w:rPr>
      <w:color w:val="0563C1" w:themeColor="hyperlink"/>
      <w:u w:val="single"/>
    </w:rPr>
  </w:style>
  <w:style w:type="character" w:styleId="FollowedHyperlink">
    <w:name w:val="FollowedHyperlink"/>
    <w:basedOn w:val="DefaultParagraphFont"/>
    <w:uiPriority w:val="99"/>
    <w:semiHidden/>
    <w:unhideWhenUsed/>
    <w:rsid w:val="0018599D"/>
    <w:rPr>
      <w:color w:val="954F72" w:themeColor="followedHyperlink"/>
      <w:u w:val="single"/>
    </w:rPr>
  </w:style>
  <w:style w:type="character" w:styleId="CommentReference">
    <w:name w:val="annotation reference"/>
    <w:basedOn w:val="DefaultParagraphFont"/>
    <w:uiPriority w:val="99"/>
    <w:semiHidden/>
    <w:unhideWhenUsed/>
    <w:rsid w:val="004D669F"/>
    <w:rPr>
      <w:sz w:val="16"/>
      <w:szCs w:val="16"/>
    </w:rPr>
  </w:style>
  <w:style w:type="paragraph" w:styleId="CommentText">
    <w:name w:val="annotation text"/>
    <w:basedOn w:val="Normal"/>
    <w:link w:val="CommentTextChar"/>
    <w:uiPriority w:val="99"/>
    <w:semiHidden/>
    <w:unhideWhenUsed/>
    <w:rsid w:val="004D669F"/>
    <w:rPr>
      <w:sz w:val="20"/>
      <w:szCs w:val="20"/>
    </w:rPr>
  </w:style>
  <w:style w:type="character" w:customStyle="1" w:styleId="CommentTextChar">
    <w:name w:val="Comment Text Char"/>
    <w:basedOn w:val="DefaultParagraphFont"/>
    <w:link w:val="CommentText"/>
    <w:uiPriority w:val="99"/>
    <w:semiHidden/>
    <w:rsid w:val="004D669F"/>
    <w:rPr>
      <w:sz w:val="20"/>
      <w:szCs w:val="20"/>
    </w:rPr>
  </w:style>
  <w:style w:type="paragraph" w:styleId="CommentSubject">
    <w:name w:val="annotation subject"/>
    <w:basedOn w:val="CommentText"/>
    <w:next w:val="CommentText"/>
    <w:link w:val="CommentSubjectChar"/>
    <w:uiPriority w:val="99"/>
    <w:semiHidden/>
    <w:unhideWhenUsed/>
    <w:rsid w:val="004D669F"/>
    <w:rPr>
      <w:b/>
      <w:bCs/>
    </w:rPr>
  </w:style>
  <w:style w:type="character" w:customStyle="1" w:styleId="CommentSubjectChar">
    <w:name w:val="Comment Subject Char"/>
    <w:basedOn w:val="CommentTextChar"/>
    <w:link w:val="CommentSubject"/>
    <w:uiPriority w:val="99"/>
    <w:semiHidden/>
    <w:rsid w:val="004D669F"/>
    <w:rPr>
      <w:b/>
      <w:bCs/>
      <w:sz w:val="20"/>
      <w:szCs w:val="20"/>
    </w:rPr>
  </w:style>
  <w:style w:type="paragraph" w:styleId="BalloonText">
    <w:name w:val="Balloon Text"/>
    <w:basedOn w:val="Normal"/>
    <w:link w:val="BalloonTextChar"/>
    <w:uiPriority w:val="99"/>
    <w:semiHidden/>
    <w:unhideWhenUsed/>
    <w:rsid w:val="004D6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69F"/>
    <w:rPr>
      <w:rFonts w:ascii="Segoe UI" w:hAnsi="Segoe UI" w:cs="Segoe UI"/>
      <w:sz w:val="18"/>
      <w:szCs w:val="18"/>
    </w:rPr>
  </w:style>
  <w:style w:type="character" w:customStyle="1" w:styleId="UnresolvedMention">
    <w:name w:val="Unresolved Mention"/>
    <w:basedOn w:val="DefaultParagraphFont"/>
    <w:uiPriority w:val="99"/>
    <w:semiHidden/>
    <w:unhideWhenUsed/>
    <w:rsid w:val="006378C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144126">
      <w:bodyDiv w:val="1"/>
      <w:marLeft w:val="0"/>
      <w:marRight w:val="0"/>
      <w:marTop w:val="0"/>
      <w:marBottom w:val="0"/>
      <w:divBdr>
        <w:top w:val="none" w:sz="0" w:space="0" w:color="auto"/>
        <w:left w:val="none" w:sz="0" w:space="0" w:color="auto"/>
        <w:bottom w:val="none" w:sz="0" w:space="0" w:color="auto"/>
        <w:right w:val="none" w:sz="0" w:space="0" w:color="auto"/>
      </w:divBdr>
    </w:div>
    <w:div w:id="1079211588">
      <w:bodyDiv w:val="1"/>
      <w:marLeft w:val="0"/>
      <w:marRight w:val="0"/>
      <w:marTop w:val="0"/>
      <w:marBottom w:val="0"/>
      <w:divBdr>
        <w:top w:val="none" w:sz="0" w:space="0" w:color="auto"/>
        <w:left w:val="none" w:sz="0" w:space="0" w:color="auto"/>
        <w:bottom w:val="none" w:sz="0" w:space="0" w:color="auto"/>
        <w:right w:val="none" w:sz="0" w:space="0" w:color="auto"/>
      </w:divBdr>
    </w:div>
    <w:div w:id="124348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ncbi.nlm.nih.gov/pubmed/25411682" TargetMode="External"/><Relationship Id="rId20" Type="http://schemas.openxmlformats.org/officeDocument/2006/relationships/hyperlink" Target="http://journals.plos.org/plosone/article?id=10.1371/journal.pone.0192660" TargetMode="External"/><Relationship Id="rId21" Type="http://schemas.openxmlformats.org/officeDocument/2006/relationships/hyperlink" Target="https://ntp.niehs.nih.gov/results/areas/wvspill/studies/index.html" TargetMode="External"/><Relationship Id="rId22" Type="http://schemas.openxmlformats.org/officeDocument/2006/relationships/hyperlink" Target="https://cde.nlm.nih.gov/home" TargetMode="External"/><Relationship Id="rId23" Type="http://schemas.openxmlformats.org/officeDocument/2006/relationships/fontTable" Target="fontTable.xml"/><Relationship Id="rId24" Type="http://schemas.openxmlformats.org/officeDocument/2006/relationships/theme" Target="theme/theme1.xml"/><Relationship Id="rId25" Type="http://schemas.microsoft.com/office/2016/09/relationships/commentsIds" Target="commentsIds.xml"/><Relationship Id="rId10" Type="http://schemas.openxmlformats.org/officeDocument/2006/relationships/hyperlink" Target="https://dr2.nlm.nih.gov/search" TargetMode="External"/><Relationship Id="rId11" Type="http://schemas.openxmlformats.org/officeDocument/2006/relationships/hyperlink" Target="https://its.utmb.edu/involving-communities/our-communities/disaster-research-response" TargetMode="External"/><Relationship Id="rId12" Type="http://schemas.openxmlformats.org/officeDocument/2006/relationships/hyperlink" Target="http://dr2.mit.edu" TargetMode="External"/><Relationship Id="rId13" Type="http://schemas.openxmlformats.org/officeDocument/2006/relationships/hyperlink" Target="https://dr2.nlm.nih.gov/protocols" TargetMode="External"/><Relationship Id="rId14" Type="http://schemas.openxmlformats.org/officeDocument/2006/relationships/hyperlink" Target="https://dr2.nlm.nih.gov/protocols" TargetMode="External"/><Relationship Id="rId15" Type="http://schemas.openxmlformats.org/officeDocument/2006/relationships/hyperlink" Target="https://disasterlit.nlm.nih.gov/resources/content/public/files/AssessementReportAppendixAandB.pdf" TargetMode="External"/><Relationship Id="rId16" Type="http://schemas.openxmlformats.org/officeDocument/2006/relationships/hyperlink" Target="https://tools.niehs.nih.gov/wetp/public/hasl_get_blob.cfm?ID=11006" TargetMode="External"/><Relationship Id="rId17" Type="http://schemas.openxmlformats.org/officeDocument/2006/relationships/hyperlink" Target="https://www.niehs.nih.gov/careers/hazmat/about_wetp/index.cfm" TargetMode="External"/><Relationship Id="rId18" Type="http://schemas.openxmlformats.org/officeDocument/2006/relationships/hyperlink" Target="https://tools.niehs.nih.gov/wetp/" TargetMode="External"/><Relationship Id="rId19" Type="http://schemas.openxmlformats.org/officeDocument/2006/relationships/hyperlink" Target="https://ehp.niehs.nih.gov/ehp2378/"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comments" Target="comments.xml"/><Relationship Id="rId7" Type="http://schemas.openxmlformats.org/officeDocument/2006/relationships/hyperlink" Target="https://www.nap.edu/read/12949/chapter/1" TargetMode="External"/><Relationship Id="rId8" Type="http://schemas.openxmlformats.org/officeDocument/2006/relationships/hyperlink" Target="http://nationalacademies.org/hmd/Reports/2016/Zika-Research-WIB.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3704</Words>
  <Characters>21118</Characters>
  <Application>Microsoft Macintosh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Social &amp; Scientific Systems, Inc.</Company>
  <LinksUpToDate>false</LinksUpToDate>
  <CharactersWithSpaces>24773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Rosselli, Richard</dc:creator>
  <cp:keywords/>
  <dc:description/>
  <cp:lastModifiedBy>Michael Heumann</cp:lastModifiedBy>
  <cp:revision>2</cp:revision>
  <dcterms:created xsi:type="dcterms:W3CDTF">2018-06-30T00:38:00Z</dcterms:created>
  <dcterms:modified xsi:type="dcterms:W3CDTF">2018-06-30T00:38:00Z</dcterms:modified>
</cp:coreProperties>
</file>