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89AD3B" w14:textId="77777777" w:rsidR="003B5D2C" w:rsidRPr="001A07A4" w:rsidRDefault="003B5D2C" w:rsidP="003B5D2C">
      <w:pPr>
        <w:pStyle w:val="Heading1"/>
      </w:pPr>
      <w:r w:rsidRPr="00DA3AC7">
        <w:t>Disaster Epidemiology</w:t>
      </w:r>
      <w:r>
        <w:t xml:space="preserve"> </w:t>
      </w:r>
      <w:bookmarkStart w:id="0" w:name="_GoBack"/>
      <w:bookmarkEnd w:id="0"/>
      <w:r>
        <w:t>Organizations and</w:t>
      </w:r>
      <w:r w:rsidRPr="00DA3AC7">
        <w:t xml:space="preserve"> Tool Repositories</w:t>
      </w:r>
    </w:p>
    <w:p w14:paraId="4CC79729" w14:textId="77777777" w:rsidR="003B5D2C" w:rsidRDefault="003B5D2C" w:rsidP="003B5D2C">
      <w:pPr>
        <w:spacing w:after="0" w:line="240" w:lineRule="auto"/>
        <w:rPr>
          <w:rFonts w:cstheme="minorHAnsi"/>
        </w:rPr>
      </w:pPr>
    </w:p>
    <w:p w14:paraId="1FFEDADC" w14:textId="77777777" w:rsidR="003B5D2C" w:rsidRPr="009F70CF" w:rsidRDefault="003B5D2C" w:rsidP="003B5D2C">
      <w:pPr>
        <w:rPr>
          <w:rStyle w:val="apple-converted-space"/>
          <w:rFonts w:cstheme="minorHAnsi"/>
          <w:shd w:val="clear" w:color="auto" w:fill="FFFFFF"/>
        </w:rPr>
      </w:pPr>
      <w:r>
        <w:t>This chapter describes disaster epidemiology organizations and tool repositories made available by</w:t>
      </w:r>
      <w:r>
        <w:rPr>
          <w:rStyle w:val="CommentReference"/>
        </w:rPr>
        <w:t xml:space="preserve"> </w:t>
      </w:r>
      <w:r>
        <w:t xml:space="preserve">CDC, CSTE, and the National Institutes of Health (NIH). It also describes an inventory of tools developed by the Preparedness and Emergency Response Research Centers (PERRCs). </w:t>
      </w:r>
      <w:r>
        <w:rPr>
          <w:rStyle w:val="apple-converted-space"/>
          <w:rFonts w:cstheme="minorHAnsi"/>
          <w:shd w:val="clear" w:color="auto" w:fill="FFFFFF"/>
        </w:rPr>
        <w:t>These freely-available repositories house m</w:t>
      </w:r>
      <w:r>
        <w:rPr>
          <w:rFonts w:cstheme="minorHAnsi"/>
        </w:rPr>
        <w:t xml:space="preserve">any of the </w:t>
      </w:r>
      <w:r>
        <w:rPr>
          <w:rFonts w:cstheme="minorHAnsi"/>
          <w:shd w:val="clear" w:color="auto" w:fill="FFFFFF"/>
        </w:rPr>
        <w:t xml:space="preserve">disaster epidemiology tools that </w:t>
      </w:r>
      <w:r>
        <w:rPr>
          <w:rStyle w:val="apple-converted-space"/>
          <w:rFonts w:cstheme="minorHAnsi"/>
          <w:shd w:val="clear" w:color="auto" w:fill="FFFFFF"/>
        </w:rPr>
        <w:t>are available for local, state, and federal epidemiologists to use throughout the disaster lifecycle.</w:t>
      </w:r>
      <w:r>
        <w:t xml:space="preserve"> The tools can be modified or used “off the shelf.” The repositories and disaster organizations discussed below provide a mechanism for </w:t>
      </w:r>
      <w:r w:rsidRPr="00DA3AC7">
        <w:rPr>
          <w:rStyle w:val="apple-converted-space"/>
          <w:rFonts w:cstheme="minorHAnsi"/>
          <w:shd w:val="clear" w:color="auto" w:fill="FFFFFF"/>
        </w:rPr>
        <w:t>local, state, and federal epidemiologists to share disaster</w:t>
      </w:r>
      <w:r>
        <w:rPr>
          <w:rStyle w:val="apple-converted-space"/>
          <w:rFonts w:cstheme="minorHAnsi"/>
          <w:shd w:val="clear" w:color="auto" w:fill="FFFFFF"/>
        </w:rPr>
        <w:t xml:space="preserve"> epidemiology </w:t>
      </w:r>
      <w:r w:rsidRPr="00DA3AC7">
        <w:rPr>
          <w:rStyle w:val="apple-converted-space"/>
          <w:rFonts w:cstheme="minorHAnsi"/>
          <w:shd w:val="clear" w:color="auto" w:fill="FFFFFF"/>
        </w:rPr>
        <w:t xml:space="preserve">methods, tools, </w:t>
      </w:r>
      <w:r>
        <w:rPr>
          <w:rStyle w:val="apple-converted-space"/>
          <w:rFonts w:cstheme="minorHAnsi"/>
          <w:shd w:val="clear" w:color="auto" w:fill="FFFFFF"/>
        </w:rPr>
        <w:t xml:space="preserve">evaluations, </w:t>
      </w:r>
      <w:r w:rsidRPr="00DA3AC7">
        <w:rPr>
          <w:rStyle w:val="apple-converted-space"/>
          <w:rFonts w:cstheme="minorHAnsi"/>
          <w:shd w:val="clear" w:color="auto" w:fill="FFFFFF"/>
        </w:rPr>
        <w:t xml:space="preserve">and lessons learned. </w:t>
      </w:r>
    </w:p>
    <w:p w14:paraId="0F1EF108" w14:textId="77777777" w:rsidR="003B5D2C" w:rsidRDefault="003B5D2C" w:rsidP="003B5D2C">
      <w:pPr>
        <w:spacing w:after="0" w:line="240" w:lineRule="auto"/>
        <w:rPr>
          <w:rFonts w:cstheme="minorHAnsi"/>
          <w:shd w:val="clear" w:color="auto" w:fill="FFFFFF"/>
        </w:rPr>
      </w:pPr>
    </w:p>
    <w:p w14:paraId="311181D8" w14:textId="77777777" w:rsidR="003B5D2C" w:rsidRPr="00DA3AC7" w:rsidRDefault="003B5D2C" w:rsidP="003B5D2C">
      <w:pPr>
        <w:spacing w:after="0" w:line="240" w:lineRule="auto"/>
        <w:rPr>
          <w:rFonts w:eastAsia="Times New Roman" w:cstheme="minorHAnsi"/>
        </w:rPr>
      </w:pPr>
      <w:r w:rsidRPr="00DA3AC7">
        <w:rPr>
          <w:rFonts w:eastAsia="Times New Roman" w:cstheme="minorHAnsi"/>
          <w:b/>
          <w:bCs/>
        </w:rPr>
        <w:t>CDC</w:t>
      </w:r>
      <w:r>
        <w:rPr>
          <w:rFonts w:eastAsia="Times New Roman" w:cstheme="minorHAnsi"/>
          <w:b/>
          <w:bCs/>
        </w:rPr>
        <w:t xml:space="preserve"> </w:t>
      </w:r>
      <w:r w:rsidRPr="00DA3AC7">
        <w:rPr>
          <w:rFonts w:eastAsia="Times New Roman" w:cstheme="minorHAnsi"/>
          <w:b/>
          <w:bCs/>
        </w:rPr>
        <w:t>Disaster Epidemiology Community of Practice (DECoP)</w:t>
      </w:r>
      <w:r w:rsidRPr="00DA3AC7">
        <w:rPr>
          <w:rFonts w:eastAsia="Times New Roman" w:cstheme="minorHAnsi"/>
        </w:rPr>
        <w:br/>
      </w:r>
      <w:r>
        <w:rPr>
          <w:rFonts w:eastAsia="Times New Roman" w:cstheme="minorHAnsi"/>
        </w:rPr>
        <w:t>The Disaster Epidemiology Community of Practice (DECoP) is housed in the CDC’s National Center for Environmental Health (NCEH). F</w:t>
      </w:r>
      <w:r w:rsidRPr="00DA3AC7">
        <w:rPr>
          <w:rFonts w:eastAsia="Times New Roman" w:cstheme="minorHAnsi"/>
        </w:rPr>
        <w:t xml:space="preserve">ormally known as the Disaster Surveillance Workgroup (DSWG), </w:t>
      </w:r>
      <w:r>
        <w:rPr>
          <w:rFonts w:eastAsia="Times New Roman" w:cstheme="minorHAnsi"/>
        </w:rPr>
        <w:t>this</w:t>
      </w:r>
      <w:r w:rsidRPr="00DA3AC7">
        <w:rPr>
          <w:rFonts w:eastAsia="Times New Roman" w:cstheme="minorHAnsi"/>
        </w:rPr>
        <w:t xml:space="preserve"> collaborative group</w:t>
      </w:r>
      <w:r>
        <w:rPr>
          <w:rFonts w:eastAsia="Times New Roman" w:cstheme="minorHAnsi"/>
        </w:rPr>
        <w:t xml:space="preserve"> is made up</w:t>
      </w:r>
      <w:r w:rsidRPr="00DA3AC7">
        <w:rPr>
          <w:rFonts w:eastAsia="Times New Roman" w:cstheme="minorHAnsi"/>
        </w:rPr>
        <w:t xml:space="preserve"> of CDC</w:t>
      </w:r>
      <w:r>
        <w:rPr>
          <w:rFonts w:eastAsia="Times New Roman" w:cstheme="minorHAnsi"/>
        </w:rPr>
        <w:t xml:space="preserve"> employees and</w:t>
      </w:r>
      <w:r w:rsidRPr="00DA3AC7">
        <w:rPr>
          <w:rFonts w:eastAsia="Times New Roman" w:cstheme="minorHAnsi"/>
        </w:rPr>
        <w:t xml:space="preserve"> other federal</w:t>
      </w:r>
      <w:r>
        <w:rPr>
          <w:rFonts w:eastAsia="Times New Roman" w:cstheme="minorHAnsi"/>
        </w:rPr>
        <w:t>,</w:t>
      </w:r>
      <w:r w:rsidRPr="00DA3AC7">
        <w:rPr>
          <w:rFonts w:eastAsia="Times New Roman" w:cstheme="minorHAnsi"/>
        </w:rPr>
        <w:t xml:space="preserve"> state</w:t>
      </w:r>
      <w:r>
        <w:rPr>
          <w:rFonts w:eastAsia="Times New Roman" w:cstheme="minorHAnsi"/>
        </w:rPr>
        <w:t>, tribal, local, territorial, and academic</w:t>
      </w:r>
      <w:r w:rsidRPr="00DA3AC7">
        <w:rPr>
          <w:rFonts w:eastAsia="Times New Roman" w:cstheme="minorHAnsi"/>
        </w:rPr>
        <w:t xml:space="preserve"> partners. The</w:t>
      </w:r>
      <w:r>
        <w:rPr>
          <w:rFonts w:eastAsia="Times New Roman" w:cstheme="minorHAnsi"/>
        </w:rPr>
        <w:t xml:space="preserve"> DECoP’s purpose is </w:t>
      </w:r>
      <w:r w:rsidRPr="00DA3AC7">
        <w:rPr>
          <w:rFonts w:eastAsia="Times New Roman" w:cstheme="minorHAnsi"/>
        </w:rPr>
        <w:t>to provide technical resources to</w:t>
      </w:r>
      <w:r>
        <w:rPr>
          <w:rFonts w:eastAsia="Times New Roman" w:cstheme="minorHAnsi"/>
        </w:rPr>
        <w:t xml:space="preserve"> members</w:t>
      </w:r>
      <w:r w:rsidRPr="00DA3AC7">
        <w:rPr>
          <w:rFonts w:eastAsia="Times New Roman" w:cstheme="minorHAnsi"/>
        </w:rPr>
        <w:t xml:space="preserve">, </w:t>
      </w:r>
      <w:r>
        <w:rPr>
          <w:rFonts w:eastAsia="Times New Roman" w:cstheme="minorHAnsi"/>
        </w:rPr>
        <w:t xml:space="preserve">to </w:t>
      </w:r>
      <w:r w:rsidRPr="00DA3AC7">
        <w:rPr>
          <w:rFonts w:eastAsia="Times New Roman" w:cstheme="minorHAnsi"/>
        </w:rPr>
        <w:t xml:space="preserve">expand the use of disaster </w:t>
      </w:r>
      <w:r>
        <w:rPr>
          <w:rFonts w:eastAsia="Times New Roman" w:cstheme="minorHAnsi"/>
        </w:rPr>
        <w:t xml:space="preserve">public health </w:t>
      </w:r>
      <w:r w:rsidRPr="00DA3AC7">
        <w:rPr>
          <w:rFonts w:eastAsia="Times New Roman" w:cstheme="minorHAnsi"/>
        </w:rPr>
        <w:t>surveillance</w:t>
      </w:r>
      <w:r>
        <w:rPr>
          <w:rStyle w:val="CommentReference"/>
        </w:rPr>
        <w:t xml:space="preserve"> </w:t>
      </w:r>
      <w:r>
        <w:rPr>
          <w:rFonts w:eastAsia="Times New Roman" w:cstheme="minorHAnsi"/>
        </w:rPr>
        <w:t>too</w:t>
      </w:r>
      <w:r w:rsidRPr="00DA3AC7">
        <w:rPr>
          <w:rFonts w:eastAsia="Times New Roman" w:cstheme="minorHAnsi"/>
        </w:rPr>
        <w:t xml:space="preserve">ls, and </w:t>
      </w:r>
      <w:r>
        <w:rPr>
          <w:rFonts w:eastAsia="Times New Roman" w:cstheme="minorHAnsi"/>
        </w:rPr>
        <w:t xml:space="preserve">to </w:t>
      </w:r>
      <w:r w:rsidRPr="00DA3AC7">
        <w:rPr>
          <w:rFonts w:eastAsia="Times New Roman" w:cstheme="minorHAnsi"/>
        </w:rPr>
        <w:t>evaluate tools and guidelines to improve situational awareness and response activities. During a major disaster, it is critical for public health</w:t>
      </w:r>
      <w:r>
        <w:rPr>
          <w:rFonts w:eastAsia="Times New Roman" w:cstheme="minorHAnsi"/>
        </w:rPr>
        <w:t xml:space="preserve"> practitioners t</w:t>
      </w:r>
      <w:r w:rsidRPr="00DA3AC7">
        <w:rPr>
          <w:rFonts w:eastAsia="Times New Roman" w:cstheme="minorHAnsi"/>
        </w:rPr>
        <w:t xml:space="preserve">o have the capacity to </w:t>
      </w:r>
      <w:r>
        <w:rPr>
          <w:rFonts w:eastAsia="Times New Roman" w:cstheme="minorHAnsi"/>
        </w:rPr>
        <w:t>conduct d</w:t>
      </w:r>
      <w:r w:rsidRPr="00DA3AC7">
        <w:rPr>
          <w:rFonts w:eastAsia="Times New Roman" w:cstheme="minorHAnsi"/>
        </w:rPr>
        <w:t>isaster epidemiology activities</w:t>
      </w:r>
      <w:r>
        <w:rPr>
          <w:rFonts w:eastAsia="Times New Roman" w:cstheme="minorHAnsi"/>
        </w:rPr>
        <w:t xml:space="preserve"> (e.g.,</w:t>
      </w:r>
      <w:r w:rsidRPr="00DA3AC7">
        <w:rPr>
          <w:rFonts w:eastAsia="Times New Roman" w:cstheme="minorHAnsi"/>
        </w:rPr>
        <w:t xml:space="preserve"> surveillance</w:t>
      </w:r>
      <w:r>
        <w:rPr>
          <w:rFonts w:eastAsia="Times New Roman" w:cstheme="minorHAnsi"/>
        </w:rPr>
        <w:t xml:space="preserve">, </w:t>
      </w:r>
      <w:r w:rsidRPr="00DA3AC7">
        <w:rPr>
          <w:rFonts w:eastAsia="Times New Roman" w:cstheme="minorHAnsi"/>
        </w:rPr>
        <w:t>assessments</w:t>
      </w:r>
      <w:r>
        <w:rPr>
          <w:rFonts w:eastAsia="Times New Roman" w:cstheme="minorHAnsi"/>
        </w:rPr>
        <w:t xml:space="preserve">) – </w:t>
      </w:r>
      <w:r w:rsidRPr="00DA3AC7">
        <w:rPr>
          <w:rFonts w:eastAsia="Times New Roman" w:cstheme="minorHAnsi"/>
        </w:rPr>
        <w:t xml:space="preserve">the DECoP provides tools and resources to support these activities. </w:t>
      </w:r>
      <w:r>
        <w:rPr>
          <w:rFonts w:eastAsia="Times New Roman" w:cstheme="minorHAnsi"/>
        </w:rPr>
        <w:t>Since the inception of this group in 2005, m</w:t>
      </w:r>
      <w:r w:rsidRPr="00DA3AC7">
        <w:rPr>
          <w:rFonts w:eastAsia="Times New Roman" w:cstheme="minorHAnsi"/>
        </w:rPr>
        <w:t>embers</w:t>
      </w:r>
      <w:r>
        <w:rPr>
          <w:rFonts w:eastAsia="Times New Roman" w:cstheme="minorHAnsi"/>
        </w:rPr>
        <w:t xml:space="preserve"> have</w:t>
      </w:r>
      <w:r w:rsidRPr="00DA3AC7">
        <w:rPr>
          <w:rFonts w:eastAsia="Times New Roman" w:cstheme="minorHAnsi"/>
        </w:rPr>
        <w:t xml:space="preserve"> </w:t>
      </w:r>
      <w:r>
        <w:rPr>
          <w:rFonts w:eastAsia="Times New Roman" w:cstheme="minorHAnsi"/>
        </w:rPr>
        <w:t xml:space="preserve">provided technical assistance for </w:t>
      </w:r>
      <w:r w:rsidRPr="00DA3AC7">
        <w:rPr>
          <w:rFonts w:eastAsia="Times New Roman" w:cstheme="minorHAnsi"/>
        </w:rPr>
        <w:t xml:space="preserve">every natural disaster </w:t>
      </w:r>
      <w:r>
        <w:rPr>
          <w:rFonts w:eastAsia="Times New Roman" w:cstheme="minorHAnsi"/>
        </w:rPr>
        <w:t>to</w:t>
      </w:r>
      <w:r w:rsidRPr="00DA3AC7">
        <w:rPr>
          <w:rFonts w:eastAsia="Times New Roman" w:cstheme="minorHAnsi"/>
        </w:rPr>
        <w:t xml:space="preserve"> which CDC has responded</w:t>
      </w:r>
      <w:r>
        <w:rPr>
          <w:rFonts w:eastAsia="Times New Roman" w:cstheme="minorHAnsi"/>
        </w:rPr>
        <w:t>, whether in</w:t>
      </w:r>
      <w:r w:rsidRPr="00DA3AC7">
        <w:rPr>
          <w:rFonts w:eastAsia="Times New Roman" w:cstheme="minorHAnsi"/>
        </w:rPr>
        <w:t xml:space="preserve"> the field</w:t>
      </w:r>
      <w:r>
        <w:rPr>
          <w:rFonts w:eastAsia="Times New Roman" w:cstheme="minorHAnsi"/>
        </w:rPr>
        <w:t xml:space="preserve"> or </w:t>
      </w:r>
      <w:r w:rsidRPr="00DA3AC7">
        <w:rPr>
          <w:rFonts w:eastAsia="Times New Roman" w:cstheme="minorHAnsi"/>
        </w:rPr>
        <w:t>at</w:t>
      </w:r>
      <w:r>
        <w:rPr>
          <w:rFonts w:eastAsia="Times New Roman" w:cstheme="minorHAnsi"/>
        </w:rPr>
        <w:t xml:space="preserve"> CDC’s</w:t>
      </w:r>
      <w:r w:rsidRPr="00DA3AC7">
        <w:rPr>
          <w:rFonts w:eastAsia="Times New Roman" w:cstheme="minorHAnsi"/>
        </w:rPr>
        <w:t xml:space="preserve"> headquarters in Atlanta</w:t>
      </w:r>
      <w:r>
        <w:rPr>
          <w:rFonts w:eastAsia="Times New Roman" w:cstheme="minorHAnsi"/>
        </w:rPr>
        <w:t xml:space="preserve"> in</w:t>
      </w:r>
      <w:r w:rsidRPr="00DA3AC7">
        <w:rPr>
          <w:rFonts w:eastAsia="Times New Roman" w:cstheme="minorHAnsi"/>
        </w:rPr>
        <w:t xml:space="preserve"> the Emergency Operations Center. </w:t>
      </w:r>
      <w:r>
        <w:rPr>
          <w:rFonts w:eastAsia="Times New Roman" w:cstheme="minorHAnsi"/>
        </w:rPr>
        <w:t>T</w:t>
      </w:r>
      <w:r w:rsidRPr="00DA3AC7">
        <w:rPr>
          <w:rFonts w:eastAsia="Times New Roman" w:cstheme="minorHAnsi"/>
        </w:rPr>
        <w:t xml:space="preserve">he DECoP hosts quarterly </w:t>
      </w:r>
      <w:r>
        <w:rPr>
          <w:rFonts w:eastAsia="Times New Roman" w:cstheme="minorHAnsi"/>
        </w:rPr>
        <w:t>conference calls for</w:t>
      </w:r>
      <w:r w:rsidRPr="00DA3AC7">
        <w:rPr>
          <w:rFonts w:eastAsia="Times New Roman" w:cstheme="minorHAnsi"/>
        </w:rPr>
        <w:t xml:space="preserve"> members </w:t>
      </w:r>
      <w:r>
        <w:rPr>
          <w:rFonts w:eastAsia="Times New Roman" w:cstheme="minorHAnsi"/>
        </w:rPr>
        <w:t xml:space="preserve">to </w:t>
      </w:r>
      <w:r w:rsidRPr="00DA3AC7">
        <w:rPr>
          <w:rFonts w:eastAsia="Times New Roman" w:cstheme="minorHAnsi"/>
        </w:rPr>
        <w:t xml:space="preserve">present and share information about activities they are conducting, tools they have developed, and their </w:t>
      </w:r>
      <w:r>
        <w:rPr>
          <w:rFonts w:eastAsia="Times New Roman" w:cstheme="minorHAnsi"/>
        </w:rPr>
        <w:t xml:space="preserve">areas of </w:t>
      </w:r>
      <w:r w:rsidRPr="00DA3AC7">
        <w:rPr>
          <w:rFonts w:eastAsia="Times New Roman" w:cstheme="minorHAnsi"/>
        </w:rPr>
        <w:t>expertise.</w:t>
      </w:r>
    </w:p>
    <w:p w14:paraId="07AF0F51" w14:textId="77777777" w:rsidR="003B5D2C" w:rsidRDefault="003B5D2C" w:rsidP="003B5D2C">
      <w:pPr>
        <w:spacing w:after="0" w:line="240" w:lineRule="auto"/>
        <w:rPr>
          <w:rFonts w:eastAsia="Times New Roman" w:cstheme="minorHAnsi"/>
        </w:rPr>
      </w:pPr>
    </w:p>
    <w:p w14:paraId="61EB53B7" w14:textId="77777777" w:rsidR="003B5D2C" w:rsidRPr="000F5C1C" w:rsidRDefault="003B5D2C" w:rsidP="003B5D2C">
      <w:pPr>
        <w:spacing w:after="0" w:line="240" w:lineRule="auto"/>
        <w:ind w:left="720"/>
        <w:rPr>
          <w:rFonts w:eastAsia="Times New Roman" w:cstheme="minorHAnsi"/>
          <w:i/>
        </w:rPr>
      </w:pPr>
      <w:r w:rsidRPr="000F5C1C">
        <w:rPr>
          <w:rFonts w:eastAsia="Times New Roman" w:cstheme="minorHAnsi"/>
          <w:i/>
        </w:rPr>
        <w:t>CDC DECoP Sharepoint</w:t>
      </w:r>
      <w:r>
        <w:rPr>
          <w:rFonts w:eastAsia="Times New Roman" w:cstheme="minorHAnsi"/>
          <w:i/>
        </w:rPr>
        <w:t>©</w:t>
      </w:r>
    </w:p>
    <w:p w14:paraId="1BF783A7" w14:textId="77777777" w:rsidR="003B5D2C" w:rsidRDefault="003B5D2C" w:rsidP="003B5D2C">
      <w:pPr>
        <w:spacing w:after="0" w:line="240" w:lineRule="auto"/>
        <w:ind w:left="720"/>
        <w:rPr>
          <w:rFonts w:eastAsia="Times New Roman" w:cstheme="minorHAnsi"/>
        </w:rPr>
      </w:pPr>
      <w:r w:rsidRPr="00DA3AC7">
        <w:rPr>
          <w:rFonts w:eastAsia="Times New Roman" w:cstheme="minorHAnsi"/>
        </w:rPr>
        <w:t xml:space="preserve">As part of the DECoP, members have access to </w:t>
      </w:r>
      <w:r>
        <w:rPr>
          <w:rFonts w:eastAsia="Times New Roman" w:cstheme="minorHAnsi"/>
        </w:rPr>
        <w:t xml:space="preserve">an online SharePoint© website, which serves as a one-stop-shop for a variety of disaster epidemiology tools and resources. Members are encouraged to </w:t>
      </w:r>
      <w:r w:rsidRPr="00760F65">
        <w:rPr>
          <w:rFonts w:eastAsia="Times New Roman" w:cstheme="minorHAnsi"/>
        </w:rPr>
        <w:t>share tools and resources and participat</w:t>
      </w:r>
      <w:r>
        <w:rPr>
          <w:rFonts w:eastAsia="Times New Roman" w:cstheme="minorHAnsi"/>
        </w:rPr>
        <w:t>e</w:t>
      </w:r>
      <w:r w:rsidRPr="00760F65">
        <w:rPr>
          <w:rFonts w:eastAsia="Times New Roman" w:cstheme="minorHAnsi"/>
        </w:rPr>
        <w:t xml:space="preserve"> in discussions concerning disaster epidemiology-related information. This fosters collaboration among the partners between the dates of the quarterly calls. </w:t>
      </w:r>
      <w:r>
        <w:rPr>
          <w:rFonts w:eastAsia="Times New Roman" w:cstheme="minorHAnsi"/>
        </w:rPr>
        <w:t>Some t</w:t>
      </w:r>
      <w:r w:rsidRPr="000F5C1C">
        <w:rPr>
          <w:rFonts w:eastAsia="Times New Roman" w:cstheme="minorHAnsi"/>
        </w:rPr>
        <w:t>ools and guidance documents currently available for download on the site include</w:t>
      </w:r>
      <w:r>
        <w:rPr>
          <w:rFonts w:eastAsia="Times New Roman" w:cstheme="minorHAnsi"/>
        </w:rPr>
        <w:t xml:space="preserve"> the</w:t>
      </w:r>
      <w:r w:rsidRPr="000F5C1C">
        <w:rPr>
          <w:rFonts w:eastAsia="Times New Roman" w:cstheme="minorHAnsi"/>
        </w:rPr>
        <w:t xml:space="preserve"> Community Assessment for Public Health Emergency Response (CASPER), Emergency Responder Health Monitoring and Surveillance (ERHMS), </w:t>
      </w:r>
      <w:r>
        <w:rPr>
          <w:rFonts w:eastAsia="Times New Roman" w:cstheme="minorHAnsi"/>
        </w:rPr>
        <w:t>m</w:t>
      </w:r>
      <w:r w:rsidRPr="000F5C1C">
        <w:rPr>
          <w:rFonts w:eastAsia="Times New Roman" w:cstheme="minorHAnsi"/>
        </w:rPr>
        <w:t>orbidity/</w:t>
      </w:r>
      <w:r>
        <w:rPr>
          <w:rFonts w:eastAsia="Times New Roman" w:cstheme="minorHAnsi"/>
        </w:rPr>
        <w:t xml:space="preserve"> and m</w:t>
      </w:r>
      <w:r w:rsidRPr="000F5C1C">
        <w:rPr>
          <w:rFonts w:eastAsia="Times New Roman" w:cstheme="minorHAnsi"/>
        </w:rPr>
        <w:t xml:space="preserve">ortality </w:t>
      </w:r>
      <w:r>
        <w:rPr>
          <w:rFonts w:eastAsia="Times New Roman" w:cstheme="minorHAnsi"/>
        </w:rPr>
        <w:t>s</w:t>
      </w:r>
      <w:r w:rsidRPr="000F5C1C">
        <w:rPr>
          <w:rFonts w:eastAsia="Times New Roman" w:cstheme="minorHAnsi"/>
        </w:rPr>
        <w:t>urveillance</w:t>
      </w:r>
      <w:r>
        <w:rPr>
          <w:rFonts w:eastAsia="Times New Roman" w:cstheme="minorHAnsi"/>
        </w:rPr>
        <w:t xml:space="preserve"> forms, and the Assessment for Chemical Exposure (ACE)</w:t>
      </w:r>
      <w:r w:rsidRPr="000F5C1C">
        <w:rPr>
          <w:rFonts w:eastAsia="Times New Roman" w:cstheme="minorHAnsi"/>
        </w:rPr>
        <w:t xml:space="preserve">. </w:t>
      </w:r>
      <w:r>
        <w:rPr>
          <w:rFonts w:eastAsia="Times New Roman" w:cstheme="minorHAnsi"/>
        </w:rPr>
        <w:t>Members also have access to foundational disaster epidemiology information to increase their knowledge about the field.</w:t>
      </w:r>
      <w:r w:rsidRPr="00DA3AC7">
        <w:rPr>
          <w:rFonts w:eastAsia="Times New Roman" w:cstheme="minorHAnsi"/>
        </w:rPr>
        <w:t xml:space="preserve"> </w:t>
      </w:r>
    </w:p>
    <w:p w14:paraId="01824DED" w14:textId="77777777" w:rsidR="003B5D2C" w:rsidRDefault="003B5D2C" w:rsidP="003B5D2C">
      <w:pPr>
        <w:spacing w:after="0" w:line="240" w:lineRule="auto"/>
        <w:rPr>
          <w:rFonts w:eastAsia="Times New Roman" w:cstheme="minorHAnsi"/>
        </w:rPr>
      </w:pPr>
    </w:p>
    <w:p w14:paraId="7EF42FAC" w14:textId="77777777" w:rsidR="003B5D2C" w:rsidRPr="00DA3AC7" w:rsidRDefault="003B5D2C" w:rsidP="003B5D2C">
      <w:pPr>
        <w:spacing w:after="0" w:line="240" w:lineRule="auto"/>
        <w:rPr>
          <w:rFonts w:eastAsia="Times New Roman" w:cstheme="minorHAnsi"/>
          <w:color w:val="575757"/>
        </w:rPr>
      </w:pPr>
      <w:r w:rsidRPr="00760F65">
        <w:rPr>
          <w:rFonts w:eastAsia="Times New Roman" w:cstheme="minorHAnsi"/>
        </w:rPr>
        <w:t xml:space="preserve">If </w:t>
      </w:r>
      <w:r>
        <w:rPr>
          <w:rFonts w:eastAsia="Times New Roman" w:cstheme="minorHAnsi"/>
        </w:rPr>
        <w:t xml:space="preserve">interested in </w:t>
      </w:r>
      <w:r w:rsidRPr="00760F65">
        <w:rPr>
          <w:rFonts w:eastAsia="Times New Roman" w:cstheme="minorHAnsi"/>
        </w:rPr>
        <w:t>join</w:t>
      </w:r>
      <w:r>
        <w:rPr>
          <w:rFonts w:eastAsia="Times New Roman" w:cstheme="minorHAnsi"/>
        </w:rPr>
        <w:t>ing</w:t>
      </w:r>
      <w:r w:rsidRPr="00760F65">
        <w:rPr>
          <w:rFonts w:eastAsia="Times New Roman" w:cstheme="minorHAnsi"/>
        </w:rPr>
        <w:t xml:space="preserve"> the DECoP and its SharePoint</w:t>
      </w:r>
      <w:r>
        <w:rPr>
          <w:rFonts w:eastAsia="Times New Roman" w:cstheme="minorHAnsi"/>
        </w:rPr>
        <w:t>©</w:t>
      </w:r>
      <w:r w:rsidRPr="00760F65">
        <w:rPr>
          <w:rFonts w:eastAsia="Times New Roman" w:cstheme="minorHAnsi"/>
        </w:rPr>
        <w:t xml:space="preserve"> site, </w:t>
      </w:r>
      <w:r w:rsidRPr="000F5C1C">
        <w:rPr>
          <w:rFonts w:eastAsia="Times New Roman" w:cstheme="minorHAnsi"/>
        </w:rPr>
        <w:t xml:space="preserve">please request access by emailing your </w:t>
      </w:r>
      <w:r w:rsidRPr="000F5C1C">
        <w:rPr>
          <w:rFonts w:eastAsia="Times New Roman" w:cstheme="minorHAnsi"/>
          <w:b/>
          <w:bCs/>
        </w:rPr>
        <w:t>full name, and preferred email address</w:t>
      </w:r>
      <w:r w:rsidRPr="000F5C1C">
        <w:rPr>
          <w:rFonts w:eastAsia="Times New Roman" w:cstheme="minorHAnsi"/>
        </w:rPr>
        <w:t xml:space="preserve"> to </w:t>
      </w:r>
      <w:r>
        <w:rPr>
          <w:rFonts w:eastAsia="Times New Roman" w:cstheme="minorHAnsi"/>
        </w:rPr>
        <w:t>DECoP@cdc.gov</w:t>
      </w:r>
      <w:r w:rsidRPr="000F5C1C">
        <w:rPr>
          <w:rFonts w:eastAsia="Times New Roman" w:cstheme="minorHAnsi"/>
        </w:rPr>
        <w:t xml:space="preserve">. </w:t>
      </w:r>
    </w:p>
    <w:p w14:paraId="78D5CAA0" w14:textId="77777777" w:rsidR="003B5D2C" w:rsidRDefault="003B5D2C" w:rsidP="003B5D2C">
      <w:pPr>
        <w:spacing w:after="0" w:line="240" w:lineRule="auto"/>
        <w:rPr>
          <w:rFonts w:cstheme="minorHAnsi"/>
          <w:shd w:val="clear" w:color="auto" w:fill="FFFFFF"/>
        </w:rPr>
      </w:pPr>
    </w:p>
    <w:p w14:paraId="3CCB4C25" w14:textId="77777777" w:rsidR="003B5D2C" w:rsidRDefault="003B5D2C" w:rsidP="003B5D2C">
      <w:pPr>
        <w:spacing w:after="0" w:line="240" w:lineRule="auto"/>
        <w:rPr>
          <w:rFonts w:cstheme="minorHAnsi"/>
          <w:b/>
          <w:shd w:val="clear" w:color="auto" w:fill="FFFFFF"/>
        </w:rPr>
      </w:pPr>
      <w:r w:rsidRPr="00DA3AC7">
        <w:rPr>
          <w:rFonts w:cstheme="minorHAnsi"/>
          <w:b/>
          <w:shd w:val="clear" w:color="auto" w:fill="FFFFFF"/>
        </w:rPr>
        <w:t>CSTE Disaster Epidemiology Subcommittee</w:t>
      </w:r>
    </w:p>
    <w:p w14:paraId="5E34F032" w14:textId="77777777" w:rsidR="003B5D2C" w:rsidRDefault="003B5D2C" w:rsidP="003B5D2C">
      <w:pPr>
        <w:spacing w:after="0" w:line="240" w:lineRule="auto"/>
        <w:rPr>
          <w:rFonts w:cstheme="minorHAnsi"/>
          <w:shd w:val="clear" w:color="auto" w:fill="FFFFFF"/>
        </w:rPr>
      </w:pPr>
      <w:r>
        <w:rPr>
          <w:rFonts w:cstheme="minorHAnsi"/>
          <w:shd w:val="clear" w:color="auto" w:fill="FFFFFF"/>
        </w:rPr>
        <w:t xml:space="preserve">The CSTE Disaster Epidemiology Subcommittee brings together epidemiologists from across subject disciplines to share best practices and collaborate on the use of epidemiologic approaches to improve all-hazard preparedness and response capacities.  </w:t>
      </w:r>
    </w:p>
    <w:p w14:paraId="2FEF9651" w14:textId="77777777" w:rsidR="003B5D2C" w:rsidRPr="00A94A47" w:rsidRDefault="003B5D2C" w:rsidP="003B5D2C">
      <w:pPr>
        <w:spacing w:after="0" w:line="240" w:lineRule="auto"/>
        <w:ind w:left="720"/>
        <w:rPr>
          <w:rFonts w:cstheme="minorHAnsi"/>
          <w:i/>
          <w:u w:val="single"/>
          <w:shd w:val="clear" w:color="auto" w:fill="FFFFFF"/>
        </w:rPr>
      </w:pPr>
      <w:r w:rsidRPr="00A94A47">
        <w:rPr>
          <w:rFonts w:cstheme="minorHAnsi"/>
          <w:i/>
          <w:u w:val="single"/>
          <w:shd w:val="clear" w:color="auto" w:fill="FFFFFF"/>
        </w:rPr>
        <w:lastRenderedPageBreak/>
        <w:t>CSTE Disaster Epidemiology Resource Repository</w:t>
      </w:r>
    </w:p>
    <w:p w14:paraId="15666756" w14:textId="77777777" w:rsidR="003B5D2C" w:rsidRDefault="003B5D2C" w:rsidP="003B5D2C">
      <w:pPr>
        <w:spacing w:after="0" w:line="240" w:lineRule="auto"/>
        <w:ind w:left="720"/>
        <w:rPr>
          <w:rFonts w:cstheme="minorHAnsi"/>
        </w:rPr>
      </w:pPr>
      <w:r>
        <w:rPr>
          <w:rFonts w:cstheme="minorHAnsi"/>
          <w:shd w:val="clear" w:color="auto" w:fill="FFFFFF"/>
        </w:rPr>
        <w:t>In 2015, the</w:t>
      </w:r>
      <w:r w:rsidRPr="00DA3AC7">
        <w:rPr>
          <w:rFonts w:cstheme="minorHAnsi"/>
          <w:shd w:val="clear" w:color="auto" w:fill="FFFFFF"/>
        </w:rPr>
        <w:t xml:space="preserve"> CSTE Disaster Epidemiology </w:t>
      </w:r>
      <w:r>
        <w:rPr>
          <w:rFonts w:cstheme="minorHAnsi"/>
          <w:shd w:val="clear" w:color="auto" w:fill="FFFFFF"/>
        </w:rPr>
        <w:t>S</w:t>
      </w:r>
      <w:r w:rsidRPr="00DA3AC7">
        <w:rPr>
          <w:rFonts w:cstheme="minorHAnsi"/>
          <w:shd w:val="clear" w:color="auto" w:fill="FFFFFF"/>
        </w:rPr>
        <w:t xml:space="preserve">ubcommittee </w:t>
      </w:r>
      <w:r>
        <w:rPr>
          <w:rFonts w:cstheme="minorHAnsi"/>
          <w:shd w:val="clear" w:color="auto" w:fill="FFFFFF"/>
        </w:rPr>
        <w:t xml:space="preserve">identified the need to share resources and information among federal, state, and local partners, and subsequently, members of the subcommittee </w:t>
      </w:r>
      <w:r w:rsidRPr="00DA3AC7">
        <w:rPr>
          <w:rFonts w:cstheme="minorHAnsi"/>
          <w:shd w:val="clear" w:color="auto" w:fill="FFFFFF"/>
        </w:rPr>
        <w:t>developed a repository of disaster epidemiology</w:t>
      </w:r>
      <w:r>
        <w:rPr>
          <w:rFonts w:cstheme="minorHAnsi"/>
          <w:shd w:val="clear" w:color="auto" w:fill="FFFFFF"/>
        </w:rPr>
        <w:t xml:space="preserve"> resources and</w:t>
      </w:r>
      <w:r w:rsidRPr="00DA3AC7">
        <w:rPr>
          <w:rFonts w:cstheme="minorHAnsi"/>
          <w:shd w:val="clear" w:color="auto" w:fill="FFFFFF"/>
        </w:rPr>
        <w:t xml:space="preserve"> tools.  The repository </w:t>
      </w:r>
      <w:r>
        <w:rPr>
          <w:rFonts w:cstheme="minorHAnsi"/>
          <w:shd w:val="clear" w:color="auto" w:fill="FFFFFF"/>
        </w:rPr>
        <w:t xml:space="preserve">compiles member-shared </w:t>
      </w:r>
      <w:r w:rsidRPr="00DA3AC7">
        <w:rPr>
          <w:rFonts w:cstheme="minorHAnsi"/>
          <w:shd w:val="clear" w:color="auto" w:fill="FFFFFF"/>
        </w:rPr>
        <w:t>forms, surveys, and other tools developed by state and federal partner agencies</w:t>
      </w:r>
      <w:r>
        <w:rPr>
          <w:rFonts w:cstheme="minorHAnsi"/>
          <w:shd w:val="clear" w:color="auto" w:fill="FFFFFF"/>
        </w:rPr>
        <w:t>. Tools currently available address topics including sh</w:t>
      </w:r>
      <w:r w:rsidRPr="00DA3AC7">
        <w:rPr>
          <w:rFonts w:cstheme="minorHAnsi"/>
          <w:shd w:val="clear" w:color="auto" w:fill="FFFFFF"/>
        </w:rPr>
        <w:t xml:space="preserve">elter surveillance, syndromic surveillance, mortality surveillance, morbidity surveillance, </w:t>
      </w:r>
      <w:r>
        <w:rPr>
          <w:rFonts w:cstheme="minorHAnsi"/>
          <w:shd w:val="clear" w:color="auto" w:fill="FFFFFF"/>
        </w:rPr>
        <w:t xml:space="preserve">and </w:t>
      </w:r>
      <w:r w:rsidRPr="00DA3AC7">
        <w:rPr>
          <w:rFonts w:cstheme="minorHAnsi"/>
          <w:shd w:val="clear" w:color="auto" w:fill="FFFFFF"/>
        </w:rPr>
        <w:t>community health impacts rapid needs assessments (</w:t>
      </w:r>
      <w:r>
        <w:rPr>
          <w:rFonts w:cstheme="minorHAnsi"/>
          <w:shd w:val="clear" w:color="auto" w:fill="FFFFFF"/>
        </w:rPr>
        <w:t xml:space="preserve">e.g., </w:t>
      </w:r>
      <w:r w:rsidRPr="00DA3AC7">
        <w:rPr>
          <w:rFonts w:cstheme="minorHAnsi"/>
          <w:shd w:val="clear" w:color="auto" w:fill="FFFFFF"/>
        </w:rPr>
        <w:t>CASPER</w:t>
      </w:r>
      <w:r>
        <w:rPr>
          <w:rFonts w:cstheme="minorHAnsi"/>
          <w:shd w:val="clear" w:color="auto" w:fill="FFFFFF"/>
        </w:rPr>
        <w:t xml:space="preserve"> methodology guidance</w:t>
      </w:r>
      <w:r w:rsidRPr="00DA3AC7">
        <w:rPr>
          <w:rFonts w:cstheme="minorHAnsi"/>
          <w:shd w:val="clear" w:color="auto" w:fill="FFFFFF"/>
        </w:rPr>
        <w:t>)</w:t>
      </w:r>
      <w:r>
        <w:rPr>
          <w:rFonts w:cstheme="minorHAnsi"/>
          <w:shd w:val="clear" w:color="auto" w:fill="FFFFFF"/>
        </w:rPr>
        <w:t xml:space="preserve">. The sharing of methods and tools via this interactive process benefits everyone who applies epidemiologic methods to disaster planning, </w:t>
      </w:r>
      <w:r w:rsidRPr="0059029B">
        <w:rPr>
          <w:rFonts w:cstheme="minorHAnsi"/>
          <w:shd w:val="clear" w:color="auto" w:fill="FFFFFF"/>
        </w:rPr>
        <w:t>response,</w:t>
      </w:r>
      <w:r w:rsidRPr="006A74F5">
        <w:rPr>
          <w:rFonts w:cstheme="minorHAnsi"/>
          <w:shd w:val="clear" w:color="auto" w:fill="FFFFFF"/>
        </w:rPr>
        <w:t xml:space="preserve"> and recovery. </w:t>
      </w:r>
      <w:r w:rsidRPr="00DA3AC7">
        <w:rPr>
          <w:rFonts w:cstheme="minorHAnsi"/>
          <w:shd w:val="clear" w:color="auto" w:fill="FFFFFF"/>
        </w:rPr>
        <w:t xml:space="preserve">The repository </w:t>
      </w:r>
      <w:r>
        <w:rPr>
          <w:rFonts w:cstheme="minorHAnsi"/>
          <w:shd w:val="clear" w:color="auto" w:fill="FFFFFF"/>
        </w:rPr>
        <w:t xml:space="preserve">is accessible </w:t>
      </w:r>
      <w:hyperlink r:id="rId5" w:history="1">
        <w:r w:rsidRPr="00AA277C">
          <w:rPr>
            <w:rStyle w:val="Hyperlink"/>
            <w:rFonts w:cstheme="minorHAnsi"/>
            <w:shd w:val="clear" w:color="auto" w:fill="FFFFFF"/>
          </w:rPr>
          <w:t>here</w:t>
        </w:r>
      </w:hyperlink>
      <w:r>
        <w:rPr>
          <w:rFonts w:cstheme="minorHAnsi"/>
        </w:rPr>
        <w:t>.</w:t>
      </w:r>
    </w:p>
    <w:p w14:paraId="149713C7" w14:textId="77777777" w:rsidR="003B5D2C" w:rsidRPr="00DA3AC7" w:rsidRDefault="003B5D2C" w:rsidP="003B5D2C">
      <w:pPr>
        <w:spacing w:after="0" w:line="240" w:lineRule="auto"/>
        <w:ind w:left="720"/>
        <w:rPr>
          <w:rFonts w:cstheme="minorHAnsi"/>
          <w:shd w:val="clear" w:color="auto" w:fill="FFFFFF"/>
        </w:rPr>
      </w:pPr>
    </w:p>
    <w:p w14:paraId="02DE825A" w14:textId="77777777" w:rsidR="003B5D2C" w:rsidRDefault="003B5D2C" w:rsidP="003B5D2C">
      <w:pPr>
        <w:spacing w:after="0" w:line="240" w:lineRule="auto"/>
        <w:ind w:left="720"/>
        <w:rPr>
          <w:rFonts w:cstheme="minorHAnsi"/>
          <w:shd w:val="clear" w:color="auto" w:fill="FFFFFF"/>
        </w:rPr>
      </w:pPr>
      <w:r>
        <w:rPr>
          <w:rFonts w:cstheme="minorHAnsi"/>
          <w:shd w:val="clear" w:color="auto" w:fill="FFFFFF"/>
        </w:rPr>
        <w:t xml:space="preserve">CSTE anticipates these resources and tools will be downloaded and modified for situations specific to jurisdictions.  If you or your state modify a tool, CSTE is interested in hearing how well it worked for the specific need and how it was modified for the situation. </w:t>
      </w:r>
    </w:p>
    <w:p w14:paraId="2D3B6DFE" w14:textId="77777777" w:rsidR="003B5D2C" w:rsidRDefault="003B5D2C" w:rsidP="003B5D2C">
      <w:pPr>
        <w:spacing w:after="0" w:line="240" w:lineRule="auto"/>
        <w:rPr>
          <w:rFonts w:cstheme="minorHAnsi"/>
          <w:shd w:val="clear" w:color="auto" w:fill="FFFFFF"/>
        </w:rPr>
      </w:pPr>
    </w:p>
    <w:p w14:paraId="5BF78510" w14:textId="77777777" w:rsidR="003B5D2C" w:rsidRPr="00DA3AC7" w:rsidRDefault="003B5D2C" w:rsidP="003B5D2C">
      <w:pPr>
        <w:spacing w:after="0" w:line="240" w:lineRule="auto"/>
        <w:rPr>
          <w:rFonts w:cstheme="minorHAnsi"/>
          <w:shd w:val="clear" w:color="auto" w:fill="FFFFFF"/>
        </w:rPr>
      </w:pPr>
    </w:p>
    <w:p w14:paraId="41B894D9" w14:textId="77777777" w:rsidR="003B5D2C" w:rsidRDefault="003B5D2C" w:rsidP="003B5D2C">
      <w:pPr>
        <w:spacing w:after="0" w:line="240" w:lineRule="auto"/>
        <w:rPr>
          <w:rFonts w:cstheme="minorHAnsi"/>
          <w:shd w:val="clear" w:color="auto" w:fill="FFFFFF"/>
        </w:rPr>
      </w:pPr>
      <w:r>
        <w:rPr>
          <w:rFonts w:cstheme="minorHAnsi"/>
          <w:shd w:val="clear" w:color="auto" w:fill="FFFFFF"/>
        </w:rPr>
        <w:t>The</w:t>
      </w:r>
      <w:r w:rsidRPr="00DA3AC7">
        <w:rPr>
          <w:rFonts w:cstheme="minorHAnsi"/>
          <w:shd w:val="clear" w:color="auto" w:fill="FFFFFF"/>
        </w:rPr>
        <w:t xml:space="preserve"> CSTE </w:t>
      </w:r>
      <w:r>
        <w:rPr>
          <w:rFonts w:cstheme="minorHAnsi"/>
          <w:shd w:val="clear" w:color="auto" w:fill="FFFFFF"/>
        </w:rPr>
        <w:t>Disaster</w:t>
      </w:r>
      <w:r w:rsidRPr="00DA3AC7">
        <w:rPr>
          <w:rFonts w:cstheme="minorHAnsi"/>
          <w:shd w:val="clear" w:color="auto" w:fill="FFFFFF"/>
        </w:rPr>
        <w:t xml:space="preserve"> Epidemiology </w:t>
      </w:r>
      <w:r>
        <w:rPr>
          <w:rFonts w:cstheme="minorHAnsi"/>
          <w:shd w:val="clear" w:color="auto" w:fill="FFFFFF"/>
        </w:rPr>
        <w:t>S</w:t>
      </w:r>
      <w:r w:rsidRPr="00DA3AC7">
        <w:rPr>
          <w:rFonts w:cstheme="minorHAnsi"/>
          <w:shd w:val="clear" w:color="auto" w:fill="FFFFFF"/>
        </w:rPr>
        <w:t>ubcommittee convenes monthly</w:t>
      </w:r>
      <w:r>
        <w:rPr>
          <w:rFonts w:cstheme="minorHAnsi"/>
          <w:shd w:val="clear" w:color="auto" w:fill="FFFFFF"/>
        </w:rPr>
        <w:t xml:space="preserve"> </w:t>
      </w:r>
      <w:r w:rsidRPr="00DA3AC7">
        <w:rPr>
          <w:rFonts w:cstheme="minorHAnsi"/>
          <w:shd w:val="clear" w:color="auto" w:fill="FFFFFF"/>
        </w:rPr>
        <w:t>conference calls</w:t>
      </w:r>
      <w:r>
        <w:rPr>
          <w:rFonts w:cstheme="minorHAnsi"/>
          <w:shd w:val="clear" w:color="auto" w:fill="FFFFFF"/>
        </w:rPr>
        <w:t xml:space="preserve"> to continue its efforts. To stay up-to-date on subcommittee calls, activities, and workshops, become a CSTE member and join the </w:t>
      </w:r>
      <w:r w:rsidRPr="00725DAB">
        <w:rPr>
          <w:rFonts w:cstheme="minorHAnsi"/>
          <w:shd w:val="clear" w:color="auto" w:fill="FFFFFF"/>
        </w:rPr>
        <w:t xml:space="preserve">Disaster Epidemiology </w:t>
      </w:r>
      <w:r>
        <w:rPr>
          <w:rFonts w:cstheme="minorHAnsi"/>
          <w:shd w:val="clear" w:color="auto" w:fill="FFFFFF"/>
        </w:rPr>
        <w:t xml:space="preserve">Subcommittee – by doing so, you will receive all CSTE Disaster Epidemiology Subcommittee communications. If you would like more information about being a CSTE member, visit the </w:t>
      </w:r>
      <w:hyperlink r:id="rId6" w:history="1">
        <w:r w:rsidRPr="001F799B">
          <w:rPr>
            <w:rStyle w:val="Hyperlink"/>
            <w:rFonts w:cstheme="minorHAnsi"/>
            <w:shd w:val="clear" w:color="auto" w:fill="FFFFFF"/>
          </w:rPr>
          <w:t>CSTE Member Website Page</w:t>
        </w:r>
      </w:hyperlink>
      <w:r>
        <w:rPr>
          <w:rFonts w:cstheme="minorHAnsi"/>
          <w:shd w:val="clear" w:color="auto" w:fill="FFFFFF"/>
        </w:rPr>
        <w:t xml:space="preserve">.  </w:t>
      </w:r>
    </w:p>
    <w:p w14:paraId="61332119" w14:textId="77777777" w:rsidR="003B5D2C" w:rsidRDefault="003B5D2C" w:rsidP="003B5D2C">
      <w:pPr>
        <w:rPr>
          <w:rFonts w:cstheme="minorHAnsi"/>
          <w:shd w:val="clear" w:color="auto" w:fill="FFFFFF"/>
        </w:rPr>
      </w:pPr>
    </w:p>
    <w:p w14:paraId="018994E0" w14:textId="77777777" w:rsidR="003B5D2C" w:rsidRDefault="003B5D2C" w:rsidP="003B5D2C">
      <w:pPr>
        <w:rPr>
          <w:rFonts w:cstheme="minorHAnsi"/>
          <w:shd w:val="clear" w:color="auto" w:fill="FFFFFF"/>
        </w:rPr>
      </w:pPr>
      <w:r>
        <w:rPr>
          <w:rFonts w:cstheme="minorHAnsi"/>
          <w:shd w:val="clear" w:color="auto" w:fill="FFFFFF"/>
        </w:rPr>
        <w:t>I</w:t>
      </w:r>
      <w:r w:rsidRPr="00DA3AC7">
        <w:rPr>
          <w:rFonts w:cstheme="minorHAnsi"/>
          <w:shd w:val="clear" w:color="auto" w:fill="FFFFFF"/>
        </w:rPr>
        <w:t>f you or your state would like to share disaster epidemiology-related tools and activities or</w:t>
      </w:r>
      <w:r>
        <w:rPr>
          <w:rFonts w:cstheme="minorHAnsi"/>
          <w:shd w:val="clear" w:color="auto" w:fill="FFFFFF"/>
        </w:rPr>
        <w:t xml:space="preserve"> have questions on how to become involved with CSTE, please email Hayleigh McCall</w:t>
      </w:r>
      <w:r w:rsidRPr="00DA3AC7">
        <w:rPr>
          <w:rFonts w:cstheme="minorHAnsi"/>
          <w:shd w:val="clear" w:color="auto" w:fill="FFFFFF"/>
        </w:rPr>
        <w:t xml:space="preserve"> at </w:t>
      </w:r>
      <w:hyperlink r:id="rId7" w:history="1">
        <w:r w:rsidRPr="00BE26D0">
          <w:rPr>
            <w:rStyle w:val="Hyperlink"/>
            <w:rFonts w:cstheme="minorHAnsi"/>
            <w:shd w:val="clear" w:color="auto" w:fill="FFFFFF"/>
          </w:rPr>
          <w:t>HMcCall@cste.org</w:t>
        </w:r>
      </w:hyperlink>
      <w:r w:rsidRPr="00DA3AC7">
        <w:rPr>
          <w:rFonts w:cstheme="minorHAnsi"/>
          <w:shd w:val="clear" w:color="auto" w:fill="FFFFFF"/>
        </w:rPr>
        <w:t xml:space="preserve">. </w:t>
      </w:r>
    </w:p>
    <w:p w14:paraId="16211238" w14:textId="77777777" w:rsidR="003B5D2C" w:rsidRPr="004155F7" w:rsidRDefault="003B5D2C" w:rsidP="003B5D2C">
      <w:pPr>
        <w:rPr>
          <w:b/>
        </w:rPr>
      </w:pPr>
      <w:r w:rsidRPr="004155F7">
        <w:rPr>
          <w:rStyle w:val="apple-converted-space"/>
          <w:rFonts w:cstheme="minorHAnsi"/>
          <w:b/>
          <w:shd w:val="clear" w:color="auto" w:fill="FFFFFF"/>
        </w:rPr>
        <w:t>Disaster Research Response (DR2)</w:t>
      </w:r>
      <w:r w:rsidRPr="004155F7" w:rsidDel="00015D72">
        <w:rPr>
          <w:b/>
        </w:rPr>
        <w:t xml:space="preserve"> </w:t>
      </w:r>
      <w:r w:rsidRPr="004155F7">
        <w:rPr>
          <w:b/>
        </w:rPr>
        <w:t>Repository</w:t>
      </w:r>
    </w:p>
    <w:p w14:paraId="0DC4B4B5" w14:textId="77777777" w:rsidR="003B5D2C" w:rsidRPr="001955F4" w:rsidRDefault="003B5D2C" w:rsidP="003B5D2C">
      <w:pPr>
        <w:rPr>
          <w:rFonts w:cstheme="minorHAnsi"/>
          <w:color w:val="000000" w:themeColor="text1"/>
        </w:rPr>
      </w:pPr>
      <w:r w:rsidRPr="000F5C1C">
        <w:t>The National Institutes of Health (NIH) Disaster Research Response program (DR2) began in 2013 as a pilot project sponsored by the National Institute of Environmental Health Sciences (NIEHS) and the National Library of Me</w:t>
      </w:r>
      <w:r>
        <w:t xml:space="preserve">dicine (NLM). </w:t>
      </w:r>
      <w:r w:rsidRPr="001955F4">
        <w:rPr>
          <w:color w:val="000000" w:themeColor="text1"/>
        </w:rPr>
        <w:t xml:space="preserve">The DR2 Program </w:t>
      </w:r>
      <w:r w:rsidRPr="001955F4">
        <w:rPr>
          <w:rFonts w:cstheme="minorHAnsi"/>
          <w:color w:val="000000" w:themeColor="text1"/>
          <w:shd w:val="clear" w:color="auto" w:fill="FFFFFF"/>
        </w:rPr>
        <w:t>provides data collection tools, research protocols, IRB guidance, and training materials to advance timely research in response to disasters and public health emergencies. The DR2 Program, is helping to respond to critical needs identified by senior officials, agencies, and NGO’s to support disaster science through readily available tools and resources, trained investigators, funding, trans-disciplinary coordination, and integration with national disaster frameworks to further response, recovery, and future preparedness</w:t>
      </w:r>
      <w:r w:rsidRPr="001955F4">
        <w:rPr>
          <w:rFonts w:cstheme="minorHAnsi"/>
          <w:color w:val="000000" w:themeColor="text1"/>
        </w:rPr>
        <w:t>.</w:t>
      </w:r>
      <w:r w:rsidRPr="00334E1B">
        <w:rPr>
          <w:rFonts w:cstheme="minorHAnsi"/>
          <w:color w:val="000000" w:themeColor="text1"/>
        </w:rPr>
        <w:t xml:space="preserve"> </w:t>
      </w:r>
    </w:p>
    <w:p w14:paraId="4E5531DF" w14:textId="77777777" w:rsidR="003B5D2C" w:rsidRPr="004155F7" w:rsidRDefault="003B5D2C" w:rsidP="003B5D2C">
      <w:r>
        <w:t>One of the</w:t>
      </w:r>
      <w:r w:rsidRPr="000F5C1C">
        <w:t xml:space="preserve"> main goal of the DR2 program is to create an environmental health disaster research system that will provide a suite of ready-to-go data collection tools, surveys, forms and research tools to empower state and local responders to conduct and sustain research efforts within their jurisdiction, especially in those disasters that do not require federal involvement.</w:t>
      </w:r>
      <w:r>
        <w:t xml:space="preserve"> </w:t>
      </w:r>
    </w:p>
    <w:p w14:paraId="35671D5A" w14:textId="77777777" w:rsidR="003B5D2C" w:rsidRDefault="003B5D2C" w:rsidP="003B5D2C">
      <w:r w:rsidRPr="001955F4">
        <w:rPr>
          <w:color w:val="000000" w:themeColor="text1"/>
        </w:rPr>
        <w:t xml:space="preserve">As part of this system, the DR2 Program has developed a </w:t>
      </w:r>
      <w:r w:rsidRPr="004155F7">
        <w:t>Data Collection Tools &amp; Resources repository</w:t>
      </w:r>
      <w:r>
        <w:t xml:space="preserve"> which</w:t>
      </w:r>
      <w:r w:rsidRPr="004155F7">
        <w:t xml:space="preserve"> hosts over 300 tools </w:t>
      </w:r>
      <w:r>
        <w:t xml:space="preserve">intended for use in disaster-related research. </w:t>
      </w:r>
      <w:r w:rsidRPr="004155F7">
        <w:t>These tools include surveys, surveillance forms, research protocols and biospecime</w:t>
      </w:r>
      <w:r>
        <w:t>n collection methods</w:t>
      </w:r>
      <w:r w:rsidRPr="004155F7">
        <w:t xml:space="preserve">, and </w:t>
      </w:r>
      <w:r>
        <w:t xml:space="preserve">environmental sampling tools.  </w:t>
      </w:r>
      <w:r w:rsidRPr="004155F7">
        <w:t xml:space="preserve">An extensive literature search of over 10,000 peer-reviewed articles </w:t>
      </w:r>
      <w:r>
        <w:t xml:space="preserve">was used to create the repository. </w:t>
      </w:r>
      <w:r w:rsidRPr="004155F7">
        <w:t>Metadata on each of the data collection tools (e.g., mode of administration, population of interest, languages, reading leve</w:t>
      </w:r>
      <w:r>
        <w:t>l</w:t>
      </w:r>
      <w:r w:rsidRPr="004155F7">
        <w:t xml:space="preserve">) were collected to help standardize and improve the selection of an </w:t>
      </w:r>
      <w:r w:rsidRPr="004155F7">
        <w:lastRenderedPageBreak/>
        <w:t>appropriate too</w:t>
      </w:r>
      <w:r>
        <w:t>l by the research community. T</w:t>
      </w:r>
      <w:r w:rsidRPr="004155F7">
        <w:t xml:space="preserve">he website </w:t>
      </w:r>
      <w:r>
        <w:t xml:space="preserve">features newly-developed filters </w:t>
      </w:r>
      <w:r w:rsidRPr="004155F7">
        <w:t>to facilitate the rapid identificati</w:t>
      </w:r>
      <w:r>
        <w:t>on of disaster research tools. T</w:t>
      </w:r>
      <w:r w:rsidRPr="004155F7">
        <w:t>he NIH DR2 website hosts data collection instruments used to measure pre- and post-disaster impacts in eight research categories</w:t>
      </w:r>
      <w:r>
        <w:t>,</w:t>
      </w:r>
      <w:r w:rsidRPr="004155F7">
        <w:t xml:space="preserve"> including </w:t>
      </w:r>
      <w:r>
        <w:t>e</w:t>
      </w:r>
      <w:r w:rsidRPr="004155F7">
        <w:t xml:space="preserve">nvironmental </w:t>
      </w:r>
      <w:r>
        <w:t>e</w:t>
      </w:r>
      <w:r w:rsidRPr="004155F7">
        <w:t xml:space="preserve">xposure, </w:t>
      </w:r>
      <w:r>
        <w:t>l</w:t>
      </w:r>
      <w:r w:rsidRPr="004155F7">
        <w:t xml:space="preserve">ifestyle and </w:t>
      </w:r>
      <w:r>
        <w:t>q</w:t>
      </w:r>
      <w:r w:rsidRPr="004155F7">
        <w:t xml:space="preserve">uality of </w:t>
      </w:r>
      <w:r>
        <w:t>l</w:t>
      </w:r>
      <w:r w:rsidRPr="004155F7">
        <w:t xml:space="preserve">ife, </w:t>
      </w:r>
      <w:r>
        <w:t>m</w:t>
      </w:r>
      <w:r w:rsidRPr="004155F7">
        <w:t xml:space="preserve">ental </w:t>
      </w:r>
      <w:r>
        <w:t>h</w:t>
      </w:r>
      <w:r w:rsidRPr="004155F7">
        <w:t xml:space="preserve">ealth and </w:t>
      </w:r>
      <w:r>
        <w:t>c</w:t>
      </w:r>
      <w:r w:rsidRPr="004155F7">
        <w:t xml:space="preserve">ognitive </w:t>
      </w:r>
      <w:r>
        <w:t>f</w:t>
      </w:r>
      <w:r w:rsidRPr="004155F7">
        <w:t xml:space="preserve">unction, </w:t>
      </w:r>
      <w:r>
        <w:t>o</w:t>
      </w:r>
      <w:r w:rsidRPr="004155F7">
        <w:t xml:space="preserve">ccupational </w:t>
      </w:r>
      <w:r>
        <w:t>h</w:t>
      </w:r>
      <w:r w:rsidRPr="004155F7">
        <w:t xml:space="preserve">ealth, </w:t>
      </w:r>
      <w:r>
        <w:t>p</w:t>
      </w:r>
      <w:r w:rsidRPr="004155F7">
        <w:t xml:space="preserve">reparedness, </w:t>
      </w:r>
      <w:r>
        <w:t>s</w:t>
      </w:r>
      <w:r w:rsidRPr="004155F7">
        <w:t xml:space="preserve">ocial </w:t>
      </w:r>
      <w:r>
        <w:t>s</w:t>
      </w:r>
      <w:r w:rsidRPr="004155F7">
        <w:t xml:space="preserve">upport and </w:t>
      </w:r>
      <w:r>
        <w:t>r</w:t>
      </w:r>
      <w:r w:rsidRPr="004155F7">
        <w:t xml:space="preserve">esiliency, </w:t>
      </w:r>
      <w:r>
        <w:t>s</w:t>
      </w:r>
      <w:r w:rsidRPr="004155F7">
        <w:t xml:space="preserve">pecific </w:t>
      </w:r>
      <w:r>
        <w:t>b</w:t>
      </w:r>
      <w:r w:rsidRPr="004155F7">
        <w:t xml:space="preserve">ody </w:t>
      </w:r>
      <w:r>
        <w:t xml:space="preserve">systems and specific disasters. </w:t>
      </w:r>
      <w:r w:rsidRPr="004155F7">
        <w:t>Since the disaster research landscape is dynamic, new tools are periodically added to the repos</w:t>
      </w:r>
      <w:r>
        <w:t>itory as they become available.</w:t>
      </w:r>
      <w:r w:rsidRPr="004155F7">
        <w:t xml:space="preserve"> The DR2 program also developed and highlighted curated sets of research tools for just-in-time use </w:t>
      </w:r>
      <w:r>
        <w:t>in response to</w:t>
      </w:r>
      <w:r w:rsidRPr="004155F7">
        <w:t xml:space="preserve"> specific disaster events</w:t>
      </w:r>
      <w:r>
        <w:t>,</w:t>
      </w:r>
      <w:r w:rsidRPr="004155F7">
        <w:t xml:space="preserve"> such as Hurricane</w:t>
      </w:r>
      <w:r>
        <w:t>s</w:t>
      </w:r>
      <w:r w:rsidRPr="004155F7">
        <w:t xml:space="preserve"> Harvey, Irma and Maria in 2017.  </w:t>
      </w:r>
    </w:p>
    <w:p w14:paraId="4FDDE60D" w14:textId="77777777" w:rsidR="003B5D2C" w:rsidRPr="001955F4" w:rsidRDefault="003B5D2C" w:rsidP="003B5D2C">
      <w:pPr>
        <w:rPr>
          <w:color w:val="000000" w:themeColor="text1"/>
        </w:rPr>
      </w:pPr>
      <w:r w:rsidRPr="001955F4">
        <w:rPr>
          <w:color w:val="000000" w:themeColor="text1"/>
        </w:rPr>
        <w:t xml:space="preserve">The publicly accessible DR2 Program information and repository of disaster research tools (see Data Collection Tools &amp; Resources tab) is available at </w:t>
      </w:r>
      <w:hyperlink r:id="rId8" w:history="1">
        <w:r w:rsidRPr="001955F4">
          <w:rPr>
            <w:rStyle w:val="Hyperlink"/>
            <w:color w:val="000000" w:themeColor="text1"/>
          </w:rPr>
          <w:t>http://dr2.nlm.nih.gov</w:t>
        </w:r>
      </w:hyperlink>
      <w:r w:rsidRPr="001955F4">
        <w:rPr>
          <w:color w:val="000000" w:themeColor="text1"/>
        </w:rPr>
        <w:t>.</w:t>
      </w:r>
    </w:p>
    <w:p w14:paraId="0ECF7131" w14:textId="77777777" w:rsidR="003B5D2C" w:rsidRDefault="003B5D2C" w:rsidP="003B5D2C">
      <w:pPr>
        <w:rPr>
          <w:b/>
        </w:rPr>
      </w:pPr>
      <w:bookmarkStart w:id="1" w:name="_Hlk527543870"/>
      <w:r w:rsidRPr="00E07FAF">
        <w:rPr>
          <w:b/>
        </w:rPr>
        <w:t>Preparedness and Emergency Response Research Centers</w:t>
      </w:r>
      <w:bookmarkEnd w:id="1"/>
      <w:r>
        <w:rPr>
          <w:b/>
        </w:rPr>
        <w:t xml:space="preserve">’ Tools </w:t>
      </w:r>
    </w:p>
    <w:p w14:paraId="473630EE" w14:textId="77777777" w:rsidR="003B5D2C" w:rsidRDefault="008F1DBB" w:rsidP="003B5D2C">
      <w:hyperlink r:id="rId9" w:history="1">
        <w:r w:rsidR="003B5D2C" w:rsidRPr="00BA67FD">
          <w:rPr>
            <w:rStyle w:val="Hyperlink"/>
          </w:rPr>
          <w:t>The Preparedness and Emergency Response Research Centers (PERRCs)</w:t>
        </w:r>
      </w:hyperlink>
      <w:r w:rsidR="003B5D2C" w:rsidRPr="00D66F67">
        <w:t xml:space="preserve"> were established through the </w:t>
      </w:r>
      <w:r w:rsidR="003B5D2C">
        <w:t xml:space="preserve">Pandemic and </w:t>
      </w:r>
      <w:r w:rsidR="003B5D2C" w:rsidRPr="00D66F67">
        <w:t>All-Hazards Preparedness Act of 2006</w:t>
      </w:r>
      <w:r w:rsidR="003B5D2C">
        <w:t>, which called for research to improve federal, state, local, and tribal public health preparedness and response systems. These academic centers conducted research to focus on the most critical elements needed to enhance preparedness for all hazards and close gaps in public health preparedness and response services. An integral part of this research focused on translating the results to public health practice. Although the PERRC program is no longer supported, much of the PERRC research was translated into tools designed to assist state and local health agencies in preparedness efforts. The Emergency Preparedness, Research, Evaluation &amp; Practice Program at the Harvard T.H. Chan School of Public Health developed an inventory of these tools with the aim of disseminating the research findings and promising practices to enhance preparedness efforts and strengthen the competence of the public health workforce. Some of these tools are stand-alone disaster epidemiology tools and others may be used in conjunction with disaster epidemiology tools to facilitate planning, disseminate messaging, conduct evaluations, and support exercises. The tools are provided in an inventory and include the following topics:</w:t>
      </w:r>
    </w:p>
    <w:p w14:paraId="04FFE2EC" w14:textId="77777777" w:rsidR="003B5D2C" w:rsidRDefault="003B5D2C" w:rsidP="003B5D2C">
      <w:pPr>
        <w:pStyle w:val="ListParagraph"/>
        <w:numPr>
          <w:ilvl w:val="0"/>
          <w:numId w:val="1"/>
        </w:numPr>
      </w:pPr>
      <w:r>
        <w:t>Tools to Support Mental Preparedness Efforts</w:t>
      </w:r>
    </w:p>
    <w:p w14:paraId="67B11DA5" w14:textId="77777777" w:rsidR="003B5D2C" w:rsidRDefault="003B5D2C" w:rsidP="003B5D2C">
      <w:pPr>
        <w:pStyle w:val="ListParagraph"/>
        <w:numPr>
          <w:ilvl w:val="0"/>
          <w:numId w:val="1"/>
        </w:numPr>
      </w:pPr>
      <w:r>
        <w:t>Tools to Support Legal Preparedness Efforts</w:t>
      </w:r>
    </w:p>
    <w:p w14:paraId="10CB3FB3" w14:textId="77777777" w:rsidR="003B5D2C" w:rsidRDefault="003B5D2C" w:rsidP="003B5D2C">
      <w:pPr>
        <w:pStyle w:val="ListParagraph"/>
        <w:numPr>
          <w:ilvl w:val="0"/>
          <w:numId w:val="1"/>
        </w:numPr>
      </w:pPr>
      <w:r>
        <w:t>Tools to Enhance Leadership</w:t>
      </w:r>
    </w:p>
    <w:p w14:paraId="60577A10" w14:textId="77777777" w:rsidR="003B5D2C" w:rsidRDefault="003B5D2C" w:rsidP="003B5D2C">
      <w:pPr>
        <w:pStyle w:val="ListParagraph"/>
        <w:numPr>
          <w:ilvl w:val="0"/>
          <w:numId w:val="1"/>
        </w:numPr>
      </w:pPr>
      <w:r>
        <w:t>Tools to Support Communications to the Public</w:t>
      </w:r>
    </w:p>
    <w:p w14:paraId="16F28EF5" w14:textId="77777777" w:rsidR="003B5D2C" w:rsidRDefault="003B5D2C" w:rsidP="003B5D2C">
      <w:pPr>
        <w:pStyle w:val="ListParagraph"/>
        <w:numPr>
          <w:ilvl w:val="0"/>
          <w:numId w:val="1"/>
        </w:numPr>
      </w:pPr>
      <w:r>
        <w:t>Tools to Support Educational Activities Directed to the Public</w:t>
      </w:r>
    </w:p>
    <w:p w14:paraId="726309FE" w14:textId="77777777" w:rsidR="003B5D2C" w:rsidRDefault="003B5D2C" w:rsidP="003B5D2C">
      <w:pPr>
        <w:pStyle w:val="ListParagraph"/>
        <w:numPr>
          <w:ilvl w:val="0"/>
          <w:numId w:val="1"/>
        </w:numPr>
      </w:pPr>
      <w:r>
        <w:t>Tools to Support Planning Efforts</w:t>
      </w:r>
    </w:p>
    <w:p w14:paraId="5C834FEE" w14:textId="77777777" w:rsidR="003B5D2C" w:rsidRDefault="003B5D2C" w:rsidP="003B5D2C">
      <w:pPr>
        <w:pStyle w:val="ListParagraph"/>
        <w:numPr>
          <w:ilvl w:val="0"/>
          <w:numId w:val="1"/>
        </w:numPr>
      </w:pPr>
      <w:r>
        <w:t>Tools to Support Evaluation Efforts</w:t>
      </w:r>
    </w:p>
    <w:p w14:paraId="349E44A3" w14:textId="77777777" w:rsidR="003B5D2C" w:rsidRDefault="003B5D2C" w:rsidP="003B5D2C">
      <w:pPr>
        <w:pStyle w:val="ListParagraph"/>
        <w:numPr>
          <w:ilvl w:val="0"/>
          <w:numId w:val="1"/>
        </w:numPr>
      </w:pPr>
      <w:r>
        <w:t>Tools to Support the Implementation of Emergency Preparedness Exercises</w:t>
      </w:r>
    </w:p>
    <w:p w14:paraId="36BBFFA0" w14:textId="77777777" w:rsidR="003B5D2C" w:rsidRDefault="003B5D2C" w:rsidP="003B5D2C">
      <w:r>
        <w:t xml:space="preserve">The tools listed in the inventory are freely available for use and can be implemented with limited support from the toolkit developers. The inventory includes a brief description of each of the toolkits, toolkit source, contact information, and links to the toolkits. The inventory can be found at: </w:t>
      </w:r>
      <w:hyperlink r:id="rId10" w:history="1">
        <w:r w:rsidRPr="001604A1">
          <w:rPr>
            <w:rStyle w:val="Hyperlink"/>
          </w:rPr>
          <w:t>https://cdn1.sph.harvard.edu/wp-content/uploads/sites/1609/2017/03/PERRC-Toolkit-Inventory.pdf</w:t>
        </w:r>
      </w:hyperlink>
    </w:p>
    <w:p w14:paraId="654A71DE" w14:textId="77777777" w:rsidR="003B5D2C" w:rsidRDefault="003B5D2C" w:rsidP="003B5D2C"/>
    <w:p w14:paraId="73FF3C32" w14:textId="77777777" w:rsidR="00FC70C6" w:rsidRDefault="00FC70C6"/>
    <w:sectPr w:rsidR="00FC70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9C2E12"/>
    <w:multiLevelType w:val="hybridMultilevel"/>
    <w:tmpl w:val="49549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D2C"/>
    <w:rsid w:val="003B5D2C"/>
    <w:rsid w:val="008F1DBB"/>
    <w:rsid w:val="00C526D7"/>
    <w:rsid w:val="00D26908"/>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D9C12"/>
  <w15:chartTrackingRefBased/>
  <w15:docId w15:val="{609222A8-697B-41F9-A087-8AA5ED850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D2C"/>
  </w:style>
  <w:style w:type="paragraph" w:styleId="Heading1">
    <w:name w:val="heading 1"/>
    <w:basedOn w:val="Normal"/>
    <w:next w:val="Normal"/>
    <w:link w:val="Heading1Char"/>
    <w:uiPriority w:val="9"/>
    <w:qFormat/>
    <w:rsid w:val="003B5D2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5D2C"/>
    <w:rPr>
      <w:rFonts w:asciiTheme="majorHAnsi" w:eastAsiaTheme="majorEastAsia" w:hAnsiTheme="majorHAnsi" w:cstheme="majorBidi"/>
      <w:color w:val="2E74B5" w:themeColor="accent1" w:themeShade="BF"/>
      <w:sz w:val="32"/>
      <w:szCs w:val="32"/>
    </w:rPr>
  </w:style>
  <w:style w:type="character" w:customStyle="1" w:styleId="apple-converted-space">
    <w:name w:val="apple-converted-space"/>
    <w:basedOn w:val="DefaultParagraphFont"/>
    <w:rsid w:val="003B5D2C"/>
  </w:style>
  <w:style w:type="character" w:styleId="Hyperlink">
    <w:name w:val="Hyperlink"/>
    <w:basedOn w:val="DefaultParagraphFont"/>
    <w:uiPriority w:val="99"/>
    <w:unhideWhenUsed/>
    <w:rsid w:val="003B5D2C"/>
    <w:rPr>
      <w:color w:val="0000FF"/>
      <w:u w:val="single"/>
    </w:rPr>
  </w:style>
  <w:style w:type="character" w:styleId="CommentReference">
    <w:name w:val="annotation reference"/>
    <w:basedOn w:val="DefaultParagraphFont"/>
    <w:uiPriority w:val="99"/>
    <w:semiHidden/>
    <w:unhideWhenUsed/>
    <w:rsid w:val="003B5D2C"/>
    <w:rPr>
      <w:sz w:val="18"/>
      <w:szCs w:val="18"/>
    </w:rPr>
  </w:style>
  <w:style w:type="paragraph" w:styleId="CommentText">
    <w:name w:val="annotation text"/>
    <w:basedOn w:val="Normal"/>
    <w:link w:val="CommentTextChar"/>
    <w:uiPriority w:val="99"/>
    <w:semiHidden/>
    <w:unhideWhenUsed/>
    <w:rsid w:val="003B5D2C"/>
    <w:pPr>
      <w:spacing w:line="240" w:lineRule="auto"/>
    </w:pPr>
    <w:rPr>
      <w:sz w:val="24"/>
      <w:szCs w:val="24"/>
    </w:rPr>
  </w:style>
  <w:style w:type="character" w:customStyle="1" w:styleId="CommentTextChar">
    <w:name w:val="Comment Text Char"/>
    <w:basedOn w:val="DefaultParagraphFont"/>
    <w:link w:val="CommentText"/>
    <w:uiPriority w:val="99"/>
    <w:semiHidden/>
    <w:rsid w:val="003B5D2C"/>
    <w:rPr>
      <w:sz w:val="24"/>
      <w:szCs w:val="24"/>
    </w:rPr>
  </w:style>
  <w:style w:type="paragraph" w:styleId="ListParagraph">
    <w:name w:val="List Paragraph"/>
    <w:basedOn w:val="Normal"/>
    <w:uiPriority w:val="34"/>
    <w:qFormat/>
    <w:rsid w:val="003B5D2C"/>
    <w:pPr>
      <w:ind w:left="720"/>
      <w:contextualSpacing/>
    </w:pPr>
  </w:style>
  <w:style w:type="paragraph" w:styleId="BalloonText">
    <w:name w:val="Balloon Text"/>
    <w:basedOn w:val="Normal"/>
    <w:link w:val="BalloonTextChar"/>
    <w:uiPriority w:val="99"/>
    <w:semiHidden/>
    <w:unhideWhenUsed/>
    <w:rsid w:val="003B5D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5D2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526D7"/>
    <w:rPr>
      <w:b/>
      <w:bCs/>
      <w:sz w:val="20"/>
      <w:szCs w:val="20"/>
    </w:rPr>
  </w:style>
  <w:style w:type="character" w:customStyle="1" w:styleId="CommentSubjectChar">
    <w:name w:val="Comment Subject Char"/>
    <w:basedOn w:val="CommentTextChar"/>
    <w:link w:val="CommentSubject"/>
    <w:uiPriority w:val="99"/>
    <w:semiHidden/>
    <w:rsid w:val="00C526D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r2.nlm.nih.gov" TargetMode="External"/><Relationship Id="rId3" Type="http://schemas.openxmlformats.org/officeDocument/2006/relationships/settings" Target="settings.xml"/><Relationship Id="rId7" Type="http://schemas.openxmlformats.org/officeDocument/2006/relationships/hyperlink" Target="mailto:HMcCall@cste.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ste.org/page/WhyJoin" TargetMode="External"/><Relationship Id="rId11" Type="http://schemas.openxmlformats.org/officeDocument/2006/relationships/fontTable" Target="fontTable.xml"/><Relationship Id="rId5" Type="http://schemas.openxmlformats.org/officeDocument/2006/relationships/hyperlink" Target="http://resources.cste.org/epidisaster" TargetMode="External"/><Relationship Id="rId10" Type="http://schemas.openxmlformats.org/officeDocument/2006/relationships/hyperlink" Target="https://cdn1.sph.harvard.edu/wp-content/uploads/sites/1609/2017/03/PERRC-Toolkit-Inventory.pdf" TargetMode="External"/><Relationship Id="rId4" Type="http://schemas.openxmlformats.org/officeDocument/2006/relationships/webSettings" Target="webSettings.xml"/><Relationship Id="rId9" Type="http://schemas.openxmlformats.org/officeDocument/2006/relationships/hyperlink" Target="https://www.cdc.gov/cpr/perlc.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1559</Words>
  <Characters>8890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Cardoza, Jacqueline (CDC/ONDIEH/NCEH)</dc:creator>
  <cp:keywords/>
  <dc:description/>
  <cp:lastModifiedBy>omo9</cp:lastModifiedBy>
  <cp:revision>2</cp:revision>
  <dcterms:created xsi:type="dcterms:W3CDTF">2019-01-30T16:46:00Z</dcterms:created>
  <dcterms:modified xsi:type="dcterms:W3CDTF">2019-01-30T16:46:00Z</dcterms:modified>
</cp:coreProperties>
</file>