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790858" w14:textId="6EE29D11" w:rsidR="003C362C" w:rsidRDefault="003C362C">
      <w:r w:rsidRPr="001144AF">
        <w:rPr>
          <w:b/>
        </w:rPr>
        <w:t>Toolkit Content Area:</w:t>
      </w:r>
      <w:r w:rsidR="00D043FB">
        <w:t xml:space="preserve"> Forming Partnerships</w:t>
      </w:r>
    </w:p>
    <w:p w14:paraId="4D60B963" w14:textId="1D107A83" w:rsidR="003C362C" w:rsidRDefault="003C362C" w:rsidP="003C362C">
      <w:r w:rsidRPr="001144AF">
        <w:rPr>
          <w:b/>
        </w:rPr>
        <w:t>Toolkit Document Title:</w:t>
      </w:r>
      <w:r w:rsidR="00D043FB">
        <w:t xml:space="preserve"> eCR Stakeholders</w:t>
      </w:r>
    </w:p>
    <w:p w14:paraId="64D152C2" w14:textId="12B4EDCC" w:rsidR="003C362C" w:rsidRDefault="003C362C"/>
    <w:p w14:paraId="50063BF4" w14:textId="30DD4821" w:rsidR="003C362C" w:rsidRDefault="003C362C">
      <w:r w:rsidRPr="001144AF">
        <w:rPr>
          <w:b/>
        </w:rPr>
        <w:t>Introductory Text</w:t>
      </w:r>
      <w:r w:rsidR="004D21A4" w:rsidRPr="001144AF">
        <w:rPr>
          <w:b/>
        </w:rPr>
        <w:t>:</w:t>
      </w:r>
      <w:r w:rsidR="004D21A4">
        <w:t xml:space="preserve">  </w:t>
      </w:r>
      <w:r w:rsidR="00D043FB">
        <w:t>The following table represents the minimum</w:t>
      </w:r>
      <w:r w:rsidR="00D043FB" w:rsidRPr="00D043FB">
        <w:t xml:space="preserve"> key stakeholder gr</w:t>
      </w:r>
      <w:r w:rsidR="00D043FB">
        <w:t>oups that are interested in eICR Use Case.  This table was developed for the HL7 eICR Implementation Guide.</w:t>
      </w:r>
      <w:bookmarkStart w:id="0" w:name="_GoBack"/>
      <w:bookmarkEnd w:id="0"/>
      <w:r w:rsidR="00D043FB">
        <w:t xml:space="preserve"> </w:t>
      </w:r>
    </w:p>
    <w:p w14:paraId="01AD08BC" w14:textId="6634B8C9" w:rsidR="003C362C" w:rsidRDefault="003C362C"/>
    <w:p w14:paraId="0FA1E279" w14:textId="5079F234" w:rsidR="003C362C" w:rsidRDefault="003C362C"/>
    <w:p w14:paraId="714DA235" w14:textId="10071D06" w:rsidR="003C362C" w:rsidRPr="001144AF" w:rsidRDefault="001144AF">
      <w:pPr>
        <w:rPr>
          <w:b/>
        </w:rPr>
      </w:pPr>
      <w:r>
        <w:rPr>
          <w:b/>
        </w:rPr>
        <w:t xml:space="preserve">Toolkit </w:t>
      </w:r>
      <w:r w:rsidR="003C362C" w:rsidRPr="001144AF">
        <w:rPr>
          <w:b/>
        </w:rPr>
        <w:t>Content:</w:t>
      </w:r>
    </w:p>
    <w:p w14:paraId="3D635B83" w14:textId="0618A684" w:rsidR="003C362C" w:rsidRDefault="003C362C"/>
    <w:tbl>
      <w:tblPr>
        <w:tblStyle w:val="TableGrid"/>
        <w:tblW w:w="9810" w:type="dxa"/>
        <w:tblLayout w:type="fixed"/>
        <w:tblLook w:val="0000" w:firstRow="0" w:lastRow="0" w:firstColumn="0" w:lastColumn="0" w:noHBand="0" w:noVBand="0"/>
      </w:tblPr>
      <w:tblGrid>
        <w:gridCol w:w="4905"/>
        <w:gridCol w:w="4905"/>
      </w:tblGrid>
      <w:tr w:rsidR="00A01189" w:rsidRPr="00A01189" w14:paraId="52F14675" w14:textId="77777777" w:rsidTr="00D043FB">
        <w:trPr>
          <w:trHeight w:val="93"/>
        </w:trPr>
        <w:tc>
          <w:tcPr>
            <w:tcW w:w="4905" w:type="dxa"/>
          </w:tcPr>
          <w:p w14:paraId="532D6619" w14:textId="77777777" w:rsidR="00A01189" w:rsidRPr="00A01189" w:rsidRDefault="00A01189" w:rsidP="00A01189">
            <w:r w:rsidRPr="00A01189">
              <w:rPr>
                <w:b/>
                <w:bCs/>
              </w:rPr>
              <w:t xml:space="preserve">Stakeholders </w:t>
            </w:r>
          </w:p>
        </w:tc>
        <w:tc>
          <w:tcPr>
            <w:tcW w:w="4905" w:type="dxa"/>
          </w:tcPr>
          <w:p w14:paraId="0FB2A1AE" w14:textId="77777777" w:rsidR="00A01189" w:rsidRPr="00A01189" w:rsidRDefault="00A01189" w:rsidP="00A01189">
            <w:r w:rsidRPr="00A01189">
              <w:rPr>
                <w:b/>
                <w:bCs/>
              </w:rPr>
              <w:t xml:space="preserve">Description </w:t>
            </w:r>
          </w:p>
        </w:tc>
      </w:tr>
      <w:tr w:rsidR="00A01189" w:rsidRPr="00A01189" w14:paraId="2CC7821D" w14:textId="77777777" w:rsidTr="00D043FB">
        <w:trPr>
          <w:trHeight w:val="971"/>
        </w:trPr>
        <w:tc>
          <w:tcPr>
            <w:tcW w:w="4905" w:type="dxa"/>
          </w:tcPr>
          <w:p w14:paraId="0D28E3D4" w14:textId="77777777" w:rsidR="00A01189" w:rsidRPr="00A01189" w:rsidRDefault="00A01189" w:rsidP="00A01189">
            <w:r w:rsidRPr="00A01189">
              <w:t xml:space="preserve">Electronic Health Record (EHR) / </w:t>
            </w:r>
          </w:p>
          <w:p w14:paraId="74B8F003" w14:textId="77777777" w:rsidR="00A01189" w:rsidRPr="00A01189" w:rsidRDefault="00A01189" w:rsidP="00A01189">
            <w:r w:rsidRPr="00A01189">
              <w:t xml:space="preserve">Electronic Medical Record (EMR) </w:t>
            </w:r>
          </w:p>
        </w:tc>
        <w:tc>
          <w:tcPr>
            <w:tcW w:w="4905" w:type="dxa"/>
          </w:tcPr>
          <w:p w14:paraId="75DCA589" w14:textId="77777777" w:rsidR="00A01189" w:rsidRPr="00A01189" w:rsidRDefault="00A01189" w:rsidP="00A01189">
            <w:r w:rsidRPr="00A01189">
              <w:t xml:space="preserve">The Electronic Health Record (EHR) is a longitudinal electronic record of patient health information generated by one or more encounters in any care delivery setting. Included in this information are patient demographics, progress notes, problems, medications, vital signs, past medical history, immunizations, laboratory data and radiology reports. Source: http://www.himss.org/ASP/topics_ehr.asp. For purposes of this IG, EHR can also be interpreted to refer to applications that some vendors may call an Electronic Medical Record (EMR). </w:t>
            </w:r>
          </w:p>
        </w:tc>
      </w:tr>
      <w:tr w:rsidR="00A01189" w:rsidRPr="00A01189" w14:paraId="6E74C317" w14:textId="77777777" w:rsidTr="00D043FB">
        <w:trPr>
          <w:trHeight w:val="418"/>
        </w:trPr>
        <w:tc>
          <w:tcPr>
            <w:tcW w:w="4905" w:type="dxa"/>
          </w:tcPr>
          <w:p w14:paraId="7CD76A6C" w14:textId="77777777" w:rsidR="00A01189" w:rsidRPr="00A01189" w:rsidRDefault="00A01189" w:rsidP="00A01189">
            <w:r w:rsidRPr="00A01189">
              <w:t xml:space="preserve">Healthcare Provider </w:t>
            </w:r>
          </w:p>
        </w:tc>
        <w:tc>
          <w:tcPr>
            <w:tcW w:w="4905" w:type="dxa"/>
          </w:tcPr>
          <w:p w14:paraId="6F1AB3E8" w14:textId="77777777" w:rsidR="00A01189" w:rsidRPr="00A01189" w:rsidRDefault="00A01189" w:rsidP="00A01189">
            <w:r w:rsidRPr="00A01189">
              <w:t xml:space="preserve">Any supplier of a healthcare service, i.e., a person or organization that furnishes, bills, or is paid for healthcare in the normal course of business. Includes physicians and healthcare provider staff, as well as ancillary healthcare personnel (e.g., laboratory personnel). </w:t>
            </w:r>
          </w:p>
        </w:tc>
      </w:tr>
      <w:tr w:rsidR="00A01189" w:rsidRPr="00A01189" w14:paraId="41884813" w14:textId="77777777" w:rsidTr="00D043FB">
        <w:trPr>
          <w:trHeight w:val="306"/>
        </w:trPr>
        <w:tc>
          <w:tcPr>
            <w:tcW w:w="4905" w:type="dxa"/>
          </w:tcPr>
          <w:p w14:paraId="106D3448" w14:textId="77777777" w:rsidR="00A01189" w:rsidRPr="00A01189" w:rsidRDefault="00A01189" w:rsidP="00A01189">
            <w:r w:rsidRPr="00A01189">
              <w:t xml:space="preserve">Health IT Vendor </w:t>
            </w:r>
          </w:p>
        </w:tc>
        <w:tc>
          <w:tcPr>
            <w:tcW w:w="4905" w:type="dxa"/>
          </w:tcPr>
          <w:p w14:paraId="487B696D" w14:textId="77777777" w:rsidR="00A01189" w:rsidRPr="00A01189" w:rsidRDefault="00A01189" w:rsidP="00A01189">
            <w:r w:rsidRPr="00A01189">
              <w:t xml:space="preserve">A vendor or supplier is a company/consortium that provides health information technology products and/or services, in this case, for supporting health or healthcare. </w:t>
            </w:r>
          </w:p>
        </w:tc>
      </w:tr>
      <w:tr w:rsidR="00D043FB" w14:paraId="4E50AF14" w14:textId="77777777" w:rsidTr="00D043FB">
        <w:trPr>
          <w:trHeight w:val="306"/>
        </w:trPr>
        <w:tc>
          <w:tcPr>
            <w:tcW w:w="4905" w:type="dxa"/>
          </w:tcPr>
          <w:p w14:paraId="79321C59" w14:textId="77777777" w:rsidR="00D043FB" w:rsidRPr="00D043FB" w:rsidRDefault="00D043FB" w:rsidP="00D043FB">
            <w:r w:rsidRPr="00D043FB">
              <w:t xml:space="preserve">Intermediary System </w:t>
            </w:r>
          </w:p>
        </w:tc>
        <w:tc>
          <w:tcPr>
            <w:tcW w:w="4905" w:type="dxa"/>
          </w:tcPr>
          <w:p w14:paraId="12766ED5" w14:textId="77777777" w:rsidR="00D043FB" w:rsidRPr="00D043FB" w:rsidRDefault="00D043FB" w:rsidP="00D043FB">
            <w:r w:rsidRPr="00D043FB">
              <w:t xml:space="preserve">System that sits between EHR systems and Public Health Information Systems to facilitate exchange and routing of messages. </w:t>
            </w:r>
          </w:p>
          <w:p w14:paraId="64869574" w14:textId="77777777" w:rsidR="00D043FB" w:rsidRPr="00D043FB" w:rsidRDefault="00D043FB" w:rsidP="00D043FB">
            <w:r w:rsidRPr="00D043FB">
              <w:t xml:space="preserve">Examples: </w:t>
            </w:r>
          </w:p>
          <w:p w14:paraId="67FD6AF2" w14:textId="5E02B591" w:rsidR="00D043FB" w:rsidRPr="00D043FB" w:rsidRDefault="00D043FB" w:rsidP="00D043FB">
            <w:pPr>
              <w:pStyle w:val="Default"/>
              <w:numPr>
                <w:ilvl w:val="0"/>
                <w:numId w:val="2"/>
              </w:numPr>
              <w:ind w:left="470"/>
              <w:rPr>
                <w:rFonts w:asciiTheme="minorHAnsi" w:hAnsiTheme="minorHAnsi" w:cstheme="minorBidi"/>
                <w:color w:val="auto"/>
              </w:rPr>
            </w:pPr>
            <w:r w:rsidRPr="00D043FB">
              <w:rPr>
                <w:rFonts w:asciiTheme="minorHAnsi" w:hAnsiTheme="minorHAnsi" w:cstheme="minorBidi"/>
                <w:color w:val="auto"/>
              </w:rPr>
              <w:t xml:space="preserve">Health Information Exchange (HIE) Organizations (HIEs) - Organizations, including state Designated Entities for Health Information Exchange, as well as other organizations, that manage health </w:t>
            </w:r>
            <w:r w:rsidRPr="00D043FB">
              <w:rPr>
                <w:rFonts w:asciiTheme="minorHAnsi" w:hAnsiTheme="minorHAnsi" w:cstheme="minorBidi"/>
                <w:color w:val="auto"/>
              </w:rPr>
              <w:lastRenderedPageBreak/>
              <w:t xml:space="preserve">information exchange among different corporate entities. Includes Regional Health Information Organizations (RHIOs). Public Health Community Platform (PHCP) Integration Engine </w:t>
            </w:r>
          </w:p>
          <w:p w14:paraId="7FFCBD7F" w14:textId="719360CA" w:rsidR="00D043FB" w:rsidRPr="00D043FB" w:rsidRDefault="00D043FB" w:rsidP="00D043FB">
            <w:pPr>
              <w:pStyle w:val="Default"/>
              <w:numPr>
                <w:ilvl w:val="0"/>
                <w:numId w:val="2"/>
              </w:numPr>
              <w:ind w:left="470"/>
              <w:rPr>
                <w:rFonts w:asciiTheme="minorHAnsi" w:hAnsiTheme="minorHAnsi" w:cstheme="minorBidi"/>
                <w:color w:val="auto"/>
              </w:rPr>
            </w:pPr>
            <w:r w:rsidRPr="00D043FB">
              <w:rPr>
                <w:rFonts w:asciiTheme="minorHAnsi" w:hAnsiTheme="minorHAnsi" w:cstheme="minorBidi"/>
                <w:color w:val="auto"/>
              </w:rPr>
              <w:t xml:space="preserve">An application that receives messages from the EHR system and parses, and routes messages to a PHA or public health decision support. </w:t>
            </w:r>
          </w:p>
          <w:p w14:paraId="1DFEAD72" w14:textId="77777777" w:rsidR="00D043FB" w:rsidRPr="00D043FB" w:rsidRDefault="00D043FB" w:rsidP="00D043FB"/>
        </w:tc>
      </w:tr>
      <w:tr w:rsidR="00D043FB" w14:paraId="3F9DA8BE" w14:textId="77777777" w:rsidTr="00D043FB">
        <w:trPr>
          <w:trHeight w:val="306"/>
        </w:trPr>
        <w:tc>
          <w:tcPr>
            <w:tcW w:w="4905" w:type="dxa"/>
          </w:tcPr>
          <w:p w14:paraId="085962BE" w14:textId="77777777" w:rsidR="00D043FB" w:rsidRPr="00D043FB" w:rsidRDefault="00D043FB" w:rsidP="00D043FB">
            <w:r w:rsidRPr="00D043FB">
              <w:lastRenderedPageBreak/>
              <w:t xml:space="preserve">Laboratory </w:t>
            </w:r>
          </w:p>
        </w:tc>
        <w:tc>
          <w:tcPr>
            <w:tcW w:w="4905" w:type="dxa"/>
          </w:tcPr>
          <w:p w14:paraId="682DC9A5" w14:textId="77777777" w:rsidR="00D043FB" w:rsidRPr="00D043FB" w:rsidRDefault="00D043FB" w:rsidP="00D043FB">
            <w:r w:rsidRPr="00D043FB">
              <w:t xml:space="preserve">The laboratory is a producer of laboratory test results (filler or, at times, placer of a laboratory order). </w:t>
            </w:r>
          </w:p>
        </w:tc>
      </w:tr>
      <w:tr w:rsidR="00D043FB" w14:paraId="3EF432B2" w14:textId="77777777" w:rsidTr="00D043FB">
        <w:trPr>
          <w:trHeight w:val="306"/>
        </w:trPr>
        <w:tc>
          <w:tcPr>
            <w:tcW w:w="4905" w:type="dxa"/>
          </w:tcPr>
          <w:p w14:paraId="1E5F46C9" w14:textId="77777777" w:rsidR="00D043FB" w:rsidRPr="00D043FB" w:rsidRDefault="00D043FB" w:rsidP="00D043FB">
            <w:r w:rsidRPr="00D043FB">
              <w:t xml:space="preserve">Laboratory Information System (LIS) </w:t>
            </w:r>
          </w:p>
        </w:tc>
        <w:tc>
          <w:tcPr>
            <w:tcW w:w="4905" w:type="dxa"/>
          </w:tcPr>
          <w:p w14:paraId="482B449E" w14:textId="77777777" w:rsidR="00D043FB" w:rsidRPr="00D043FB" w:rsidRDefault="00D043FB" w:rsidP="00D043FB">
            <w:r w:rsidRPr="00D043FB">
              <w:t xml:space="preserve">An application to streamline the management of laboratory processes including data collection, workflow management, and report generation. May provide an automatic interface to laboratory analytical instruments to transfer verified results to nurse stations, chart carts, and remote physician offices. Also referred to as a Laboratory Information Management System. </w:t>
            </w:r>
          </w:p>
        </w:tc>
      </w:tr>
      <w:tr w:rsidR="00D043FB" w14:paraId="168554AE" w14:textId="77777777" w:rsidTr="00D043FB">
        <w:trPr>
          <w:trHeight w:val="306"/>
        </w:trPr>
        <w:tc>
          <w:tcPr>
            <w:tcW w:w="4905" w:type="dxa"/>
          </w:tcPr>
          <w:p w14:paraId="3949B393" w14:textId="77777777" w:rsidR="00D043FB" w:rsidRPr="00D043FB" w:rsidRDefault="00D043FB" w:rsidP="00D043FB">
            <w:r w:rsidRPr="00D043FB">
              <w:t xml:space="preserve">Public Health Agency (PHA) </w:t>
            </w:r>
          </w:p>
        </w:tc>
        <w:tc>
          <w:tcPr>
            <w:tcW w:w="4905" w:type="dxa"/>
          </w:tcPr>
          <w:p w14:paraId="5B7AF13B" w14:textId="77777777" w:rsidR="00D043FB" w:rsidRPr="00D043FB" w:rsidRDefault="00D043FB" w:rsidP="00D043FB">
            <w:r w:rsidRPr="00D043FB">
              <w:t xml:space="preserve">For the purposes of this IG, a PHA is a governmental entity at the federal, state, territorial, local or tribal level that is legally entitled to establish public health case reporting requirements and receive case reports. </w:t>
            </w:r>
          </w:p>
        </w:tc>
      </w:tr>
      <w:tr w:rsidR="00D043FB" w14:paraId="5541CF98" w14:textId="77777777" w:rsidTr="00D043FB">
        <w:trPr>
          <w:trHeight w:val="306"/>
        </w:trPr>
        <w:tc>
          <w:tcPr>
            <w:tcW w:w="4905" w:type="dxa"/>
          </w:tcPr>
          <w:p w14:paraId="140E4E70" w14:textId="77777777" w:rsidR="00D043FB" w:rsidRPr="00D043FB" w:rsidRDefault="00D043FB" w:rsidP="00D043FB">
            <w:r w:rsidRPr="00D043FB">
              <w:t xml:space="preserve">Public Health Decision Support (PHDS) </w:t>
            </w:r>
          </w:p>
        </w:tc>
        <w:tc>
          <w:tcPr>
            <w:tcW w:w="4905" w:type="dxa"/>
          </w:tcPr>
          <w:p w14:paraId="03E3CD26" w14:textId="77777777" w:rsidR="00D043FB" w:rsidRPr="00D043FB" w:rsidRDefault="00D043FB" w:rsidP="00D043FB">
            <w:r w:rsidRPr="00D043FB">
              <w:t xml:space="preserve">For the purposes on this IG, PHDS provides clinicians, staff and public health practitioners with knowledge about reporting cases to public health and information about the condition that has been identified. Examples include the Reportable Conditions Knowledge Management System (RCKMS), the Notifiable Condition Detector (NCD), and Electronic Support for Public Health (ESP). </w:t>
            </w:r>
          </w:p>
        </w:tc>
      </w:tr>
      <w:tr w:rsidR="00D043FB" w14:paraId="05096B45" w14:textId="77777777" w:rsidTr="00D043FB">
        <w:trPr>
          <w:trHeight w:val="306"/>
        </w:trPr>
        <w:tc>
          <w:tcPr>
            <w:tcW w:w="4905" w:type="dxa"/>
          </w:tcPr>
          <w:p w14:paraId="58C5DB2D" w14:textId="77777777" w:rsidR="00D043FB" w:rsidRPr="00D043FB" w:rsidRDefault="00D043FB" w:rsidP="00D043FB">
            <w:r w:rsidRPr="00D043FB">
              <w:t xml:space="preserve">Public Health System </w:t>
            </w:r>
          </w:p>
        </w:tc>
        <w:tc>
          <w:tcPr>
            <w:tcW w:w="4905" w:type="dxa"/>
          </w:tcPr>
          <w:p w14:paraId="397628D6" w14:textId="77777777" w:rsidR="00D043FB" w:rsidRPr="00D043FB" w:rsidRDefault="00D043FB" w:rsidP="00D043FB">
            <w:r w:rsidRPr="00D043FB">
              <w:t xml:space="preserve">Jurisdictional information systems that may, among other things, receive public health case reports. </w:t>
            </w:r>
          </w:p>
        </w:tc>
      </w:tr>
      <w:tr w:rsidR="00D043FB" w14:paraId="23611F01" w14:textId="77777777" w:rsidTr="00D043FB">
        <w:trPr>
          <w:trHeight w:val="306"/>
        </w:trPr>
        <w:tc>
          <w:tcPr>
            <w:tcW w:w="4905" w:type="dxa"/>
          </w:tcPr>
          <w:p w14:paraId="5564DB28" w14:textId="77777777" w:rsidR="00D043FB" w:rsidRPr="00D043FB" w:rsidRDefault="00D043FB" w:rsidP="00D043FB">
            <w:r w:rsidRPr="00D043FB">
              <w:t xml:space="preserve">Standards Development Organization </w:t>
            </w:r>
          </w:p>
        </w:tc>
        <w:tc>
          <w:tcPr>
            <w:tcW w:w="4905" w:type="dxa"/>
          </w:tcPr>
          <w:p w14:paraId="19386400" w14:textId="77777777" w:rsidR="00D043FB" w:rsidRPr="00D043FB" w:rsidRDefault="00D043FB" w:rsidP="00D043FB">
            <w:r w:rsidRPr="00D043FB">
              <w:t xml:space="preserve">An organization that identifies the need for, locates interested parties, and writes specifications that all parties in a particular field </w:t>
            </w:r>
            <w:r w:rsidRPr="00D043FB">
              <w:lastRenderedPageBreak/>
              <w:t xml:space="preserve">of human endeavor can use to their mutual benefit. For the purpose of this document, the field is health or health interoperability and recognition by the American National Standards Institute (ANSI) or the International Standards Organization (ISO) is accepted as evidence that a particular organization is a SDO. </w:t>
            </w:r>
          </w:p>
        </w:tc>
      </w:tr>
    </w:tbl>
    <w:p w14:paraId="7AB8C262" w14:textId="77777777" w:rsidR="003C362C" w:rsidRDefault="003C362C"/>
    <w:p w14:paraId="589C7A9C" w14:textId="77777777" w:rsidR="003C362C" w:rsidRDefault="003C362C"/>
    <w:p w14:paraId="5AE14739" w14:textId="77777777" w:rsidR="00D043FB" w:rsidRPr="00613D58" w:rsidRDefault="00D043FB" w:rsidP="00D043FB">
      <w:pPr>
        <w:rPr>
          <w:i/>
        </w:rPr>
      </w:pPr>
      <w:r w:rsidRPr="00613D58">
        <w:rPr>
          <w:i/>
        </w:rPr>
        <w:t xml:space="preserve">Citation: </w:t>
      </w:r>
    </w:p>
    <w:p w14:paraId="0F76498D" w14:textId="68331443" w:rsidR="00D043FB" w:rsidRDefault="00D043FB" w:rsidP="00D043FB">
      <w:pPr>
        <w:rPr>
          <w:i/>
          <w:iCs/>
        </w:rPr>
      </w:pPr>
      <w:r>
        <w:t>HL7 International (2017)</w:t>
      </w:r>
      <w:r w:rsidRPr="00613D58">
        <w:t xml:space="preserve">. </w:t>
      </w:r>
      <w:r w:rsidRPr="00D043FB">
        <w:rPr>
          <w:i/>
          <w:iCs/>
        </w:rPr>
        <w:t>HL7 Implementation Guide for CDA® Release 2: HL7 CDA® R2 Implementation Guide: Public Health Case Report, Release 2, Standard for Trial Use Release 1.1</w:t>
      </w:r>
    </w:p>
    <w:p w14:paraId="0A9D4794" w14:textId="05009FEE" w:rsidR="00D043FB" w:rsidRDefault="00D043FB" w:rsidP="00D043FB">
      <w:hyperlink r:id="rId5" w:history="1">
        <w:r w:rsidRPr="00571218">
          <w:rPr>
            <w:rStyle w:val="Hyperlink"/>
          </w:rPr>
          <w:t>http://www.hl7.org/implement/standards/product_brief.cfm?product_id=436</w:t>
        </w:r>
      </w:hyperlink>
    </w:p>
    <w:p w14:paraId="646F85BD" w14:textId="77777777" w:rsidR="00D043FB" w:rsidRPr="00613D58" w:rsidRDefault="00D043FB" w:rsidP="00D043FB"/>
    <w:p w14:paraId="372FF43C" w14:textId="77777777" w:rsidR="003C362C" w:rsidRDefault="003C362C"/>
    <w:sectPr w:rsidR="003C362C" w:rsidSect="00DC2A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altName w:val="Calibri"/>
    <w:panose1 w:val="020F0502020204030204"/>
    <w:charset w:val="00"/>
    <w:family w:val="swiss"/>
    <w:pitch w:val="variable"/>
    <w:sig w:usb0="A00002EF" w:usb1="4000207B" w:usb2="00000000" w:usb3="00000000" w:csb0="0000009F"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F47DF4"/>
    <w:multiLevelType w:val="hybridMultilevel"/>
    <w:tmpl w:val="8842E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981035"/>
    <w:multiLevelType w:val="hybridMultilevel"/>
    <w:tmpl w:val="378B42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62C"/>
    <w:rsid w:val="0009758E"/>
    <w:rsid w:val="001075EB"/>
    <w:rsid w:val="001144AF"/>
    <w:rsid w:val="00151661"/>
    <w:rsid w:val="002155A9"/>
    <w:rsid w:val="002A0522"/>
    <w:rsid w:val="002B3B1A"/>
    <w:rsid w:val="00327FFC"/>
    <w:rsid w:val="00332152"/>
    <w:rsid w:val="003435FB"/>
    <w:rsid w:val="003C362C"/>
    <w:rsid w:val="004117BF"/>
    <w:rsid w:val="00446378"/>
    <w:rsid w:val="004A17C8"/>
    <w:rsid w:val="004D21A4"/>
    <w:rsid w:val="004F0418"/>
    <w:rsid w:val="00560E82"/>
    <w:rsid w:val="00567A03"/>
    <w:rsid w:val="005E4E1E"/>
    <w:rsid w:val="006E4328"/>
    <w:rsid w:val="0071256D"/>
    <w:rsid w:val="00737B2B"/>
    <w:rsid w:val="007C17AD"/>
    <w:rsid w:val="00815D9A"/>
    <w:rsid w:val="00883FF5"/>
    <w:rsid w:val="008E71DE"/>
    <w:rsid w:val="0091528F"/>
    <w:rsid w:val="009B6432"/>
    <w:rsid w:val="00A01189"/>
    <w:rsid w:val="00A105D7"/>
    <w:rsid w:val="00A115A3"/>
    <w:rsid w:val="00AA4668"/>
    <w:rsid w:val="00B00A05"/>
    <w:rsid w:val="00B2295F"/>
    <w:rsid w:val="00B268D8"/>
    <w:rsid w:val="00BA21E8"/>
    <w:rsid w:val="00C9253C"/>
    <w:rsid w:val="00CB6EB4"/>
    <w:rsid w:val="00CC1C74"/>
    <w:rsid w:val="00CD6987"/>
    <w:rsid w:val="00D043FB"/>
    <w:rsid w:val="00D17FF5"/>
    <w:rsid w:val="00D403A5"/>
    <w:rsid w:val="00DB068C"/>
    <w:rsid w:val="00DC2A71"/>
    <w:rsid w:val="00E87B7A"/>
    <w:rsid w:val="00EB1670"/>
    <w:rsid w:val="00EB7E5A"/>
    <w:rsid w:val="00EC5AB4"/>
    <w:rsid w:val="00F106CE"/>
    <w:rsid w:val="00F5445F"/>
    <w:rsid w:val="00FB79BC"/>
    <w:rsid w:val="00FD4B42"/>
    <w:rsid w:val="00FD5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AF8BAC"/>
  <w14:defaultImageDpi w14:val="32767"/>
  <w15:chartTrackingRefBased/>
  <w15:docId w15:val="{83A5E293-AA95-AA42-AC4C-1B594B5F6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36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043FB"/>
    <w:pPr>
      <w:autoSpaceDE w:val="0"/>
      <w:autoSpaceDN w:val="0"/>
      <w:adjustRightInd w:val="0"/>
    </w:pPr>
    <w:rPr>
      <w:rFonts w:ascii="Bookman Old Style" w:hAnsi="Bookman Old Style" w:cs="Bookman Old Style"/>
      <w:color w:val="000000"/>
    </w:rPr>
  </w:style>
  <w:style w:type="character" w:styleId="Hyperlink">
    <w:name w:val="Hyperlink"/>
    <w:basedOn w:val="DefaultParagraphFont"/>
    <w:uiPriority w:val="99"/>
    <w:unhideWhenUsed/>
    <w:rsid w:val="00D043FB"/>
    <w:rPr>
      <w:color w:val="0563C1" w:themeColor="hyperlink"/>
      <w:u w:val="single"/>
    </w:rPr>
  </w:style>
  <w:style w:type="character" w:styleId="UnresolvedMention">
    <w:name w:val="Unresolved Mention"/>
    <w:basedOn w:val="DefaultParagraphFont"/>
    <w:uiPriority w:val="99"/>
    <w:rsid w:val="00D04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hl7.org/implement/standards/product_brief.cfm?product_id=43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634</Words>
  <Characters>3615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Chester</dc:creator>
  <cp:keywords/>
  <dc:description/>
  <cp:lastModifiedBy>Kelley Chester</cp:lastModifiedBy>
  <cp:revision>3</cp:revision>
  <dcterms:created xsi:type="dcterms:W3CDTF">2018-06-18T20:34:00Z</dcterms:created>
  <dcterms:modified xsi:type="dcterms:W3CDTF">2018-06-18T20:41:00Z</dcterms:modified>
</cp:coreProperties>
</file>