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F38" w:rsidRPr="00162F38" w:rsidRDefault="00162F38" w:rsidP="00162F38">
      <w:pPr>
        <w:rPr>
          <w:sz w:val="28"/>
          <w:szCs w:val="28"/>
        </w:rPr>
      </w:pPr>
      <w:r>
        <w:rPr>
          <w:sz w:val="28"/>
          <w:szCs w:val="28"/>
        </w:rPr>
        <w:t xml:space="preserve">CSTE </w:t>
      </w:r>
      <w:bookmarkStart w:id="0" w:name="_GoBack"/>
      <w:bookmarkEnd w:id="0"/>
      <w:r>
        <w:rPr>
          <w:sz w:val="28"/>
          <w:szCs w:val="28"/>
        </w:rPr>
        <w:t xml:space="preserve">EH in Schools </w:t>
      </w:r>
      <w:r w:rsidRPr="00162F38">
        <w:rPr>
          <w:sz w:val="28"/>
          <w:szCs w:val="28"/>
        </w:rPr>
        <w:t>Assessment Findings</w:t>
      </w:r>
    </w:p>
    <w:p w:rsidR="00162F38" w:rsidRDefault="00162F38" w:rsidP="00162F38">
      <w:r>
        <w:t>To date, the CSTE Environmental Health in Schools Workgroup has received 24 responses from its assessment. Thirteen of those 24 respondents indicated some type of environmental health monitoring. Of those reporting some environmental health related tracking, monitoring lead in drinking water was the most common response. Five respondents reported monitoring lead in drinking water, with one state (Illinois) also reported monitoring lead in paint and materials.</w:t>
      </w:r>
    </w:p>
    <w:p w:rsidR="00162F38" w:rsidRDefault="00162F38"/>
    <w:tbl>
      <w:tblPr>
        <w:tblW w:w="6534" w:type="dxa"/>
        <w:tblInd w:w="93" w:type="dxa"/>
        <w:tblLook w:val="04A0" w:firstRow="1" w:lastRow="0" w:firstColumn="1" w:lastColumn="0" w:noHBand="0" w:noVBand="1"/>
      </w:tblPr>
      <w:tblGrid>
        <w:gridCol w:w="3275"/>
        <w:gridCol w:w="266"/>
        <w:gridCol w:w="2993"/>
      </w:tblGrid>
      <w:tr w:rsidR="00162F38" w:rsidTr="00162F38">
        <w:trPr>
          <w:trHeight w:val="555"/>
        </w:trPr>
        <w:tc>
          <w:tcPr>
            <w:tcW w:w="6534" w:type="dxa"/>
            <w:gridSpan w:val="3"/>
            <w:tcBorders>
              <w:top w:val="single" w:sz="4" w:space="0" w:color="auto"/>
              <w:left w:val="single" w:sz="4" w:space="0" w:color="auto"/>
              <w:bottom w:val="single" w:sz="4" w:space="0" w:color="auto"/>
              <w:right w:val="single" w:sz="4" w:space="0" w:color="auto"/>
            </w:tcBorders>
            <w:vAlign w:val="bottom"/>
            <w:hideMark/>
          </w:tcPr>
          <w:p w:rsidR="00162F38" w:rsidRDefault="00162F38">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Respondents to the CSTE in Schools Environmental Health Assessment</w:t>
            </w:r>
          </w:p>
        </w:tc>
      </w:tr>
      <w:tr w:rsidR="00162F38" w:rsidTr="00162F38">
        <w:trPr>
          <w:trHeight w:val="300"/>
        </w:trPr>
        <w:tc>
          <w:tcPr>
            <w:tcW w:w="6534"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Some EH Surveillance Reported</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No EH Surveillance Reported</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Colorado</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Alabama</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Connecticut</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Arizona</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Delaware</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Florida</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Illinois</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Georgia</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Indiana</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Guam</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Maryland</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Mississippi</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New York City</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Montana</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North Carolina</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New Mexico</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Oregon</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Northern Mariana Islands</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Texas</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Pennsylvania</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Tennessee</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Utah</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Vermont</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162F38" w:rsidTr="00162F38">
        <w:trPr>
          <w:trHeight w:val="300"/>
        </w:trPr>
        <w:tc>
          <w:tcPr>
            <w:tcW w:w="3275" w:type="dxa"/>
            <w:tcBorders>
              <w:top w:val="nil"/>
              <w:left w:val="single" w:sz="4" w:space="0" w:color="auto"/>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Virginia</w:t>
            </w:r>
          </w:p>
        </w:tc>
        <w:tc>
          <w:tcPr>
            <w:tcW w:w="266"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noWrap/>
            <w:vAlign w:val="bottom"/>
            <w:hideMark/>
          </w:tcPr>
          <w:p w:rsidR="00162F38" w:rsidRDefault="00162F38">
            <w:pPr>
              <w:spacing w:after="0" w:line="240" w:lineRule="auto"/>
              <w:rPr>
                <w:rFonts w:ascii="Calibri" w:eastAsia="Times New Roman" w:hAnsi="Calibri" w:cs="Calibri"/>
                <w:color w:val="000000"/>
              </w:rPr>
            </w:pPr>
            <w:r>
              <w:rPr>
                <w:rFonts w:ascii="Calibri" w:eastAsia="Times New Roman" w:hAnsi="Calibri" w:cs="Calibri"/>
                <w:color w:val="000000"/>
              </w:rPr>
              <w:t> </w:t>
            </w:r>
          </w:p>
        </w:tc>
      </w:tr>
    </w:tbl>
    <w:p w:rsidR="00162F38" w:rsidRDefault="00162F38" w:rsidP="00162F38"/>
    <w:p w:rsidR="00162F38" w:rsidRDefault="00162F38" w:rsidP="00162F38">
      <w:r>
        <w:rPr>
          <w:u w:val="single"/>
        </w:rPr>
        <w:t>Lead in Drinking Water</w:t>
      </w:r>
      <w:r>
        <w:t>:  Illinois, New York City, North Carolina, Oregon, Virginia</w:t>
      </w:r>
    </w:p>
    <w:p w:rsidR="00162F38" w:rsidRDefault="00162F38" w:rsidP="00162F38">
      <w:r>
        <w:rPr>
          <w:u w:val="single"/>
        </w:rPr>
        <w:t>Lead in Paint/Materials</w:t>
      </w:r>
      <w:r>
        <w:t>: Illinois</w:t>
      </w:r>
    </w:p>
    <w:p w:rsidR="00162F38" w:rsidRDefault="00162F38" w:rsidP="00162F38">
      <w:r>
        <w:rPr>
          <w:u w:val="single"/>
        </w:rPr>
        <w:t>Radon</w:t>
      </w:r>
      <w:r>
        <w:t>: Colorado</w:t>
      </w:r>
    </w:p>
    <w:p w:rsidR="00162F38" w:rsidRDefault="00162F38" w:rsidP="00162F38">
      <w:r>
        <w:rPr>
          <w:u w:val="single"/>
        </w:rPr>
        <w:t>Bacteria:</w:t>
      </w:r>
      <w:r>
        <w:t xml:space="preserve"> North Carolina</w:t>
      </w:r>
    </w:p>
    <w:p w:rsidR="00162F38" w:rsidRDefault="00162F38" w:rsidP="00162F38">
      <w:r>
        <w:rPr>
          <w:u w:val="single"/>
        </w:rPr>
        <w:t>Asbestos</w:t>
      </w:r>
      <w:r>
        <w:t>: Illinois</w:t>
      </w:r>
    </w:p>
    <w:p w:rsidR="00162F38" w:rsidRDefault="00162F38" w:rsidP="00162F38">
      <w:r>
        <w:rPr>
          <w:u w:val="single"/>
        </w:rPr>
        <w:t>Complaints</w:t>
      </w:r>
      <w:r>
        <w:t>: Texas, Delaware</w:t>
      </w:r>
    </w:p>
    <w:p w:rsidR="00162F38" w:rsidRDefault="00162F38" w:rsidP="00162F38">
      <w:r>
        <w:rPr>
          <w:u w:val="single"/>
        </w:rPr>
        <w:t>Reporting of Sentinel Health Events</w:t>
      </w:r>
      <w:r>
        <w:t>: Texas</w:t>
      </w:r>
    </w:p>
    <w:p w:rsidR="00162F38" w:rsidRDefault="00162F38" w:rsidP="00162F38">
      <w:r>
        <w:rPr>
          <w:u w:val="single"/>
        </w:rPr>
        <w:t>Reporting of Incident Reports on Evacuations</w:t>
      </w:r>
      <w:r>
        <w:t>: Texas</w:t>
      </w:r>
    </w:p>
    <w:p w:rsidR="00162F38" w:rsidRDefault="00162F38" w:rsidP="00162F38">
      <w:r>
        <w:rPr>
          <w:u w:val="single"/>
        </w:rPr>
        <w:lastRenderedPageBreak/>
        <w:t>Indoor Environmental Quality</w:t>
      </w:r>
      <w:r>
        <w:t>: Indiana</w:t>
      </w:r>
    </w:p>
    <w:p w:rsidR="00162F38" w:rsidRDefault="00162F38" w:rsidP="00162F38">
      <w:r>
        <w:rPr>
          <w:u w:val="single"/>
        </w:rPr>
        <w:t>Reporting of basic indoor environmental data</w:t>
      </w:r>
      <w:r>
        <w:t>: Vermont (for schools participating in Envision walkthroughs)</w:t>
      </w:r>
    </w:p>
    <w:p w:rsidR="00162F38" w:rsidRDefault="00162F38" w:rsidP="00162F38">
      <w:r>
        <w:rPr>
          <w:u w:val="single"/>
        </w:rPr>
        <w:t>Potential future monitoring activities</w:t>
      </w:r>
      <w:r>
        <w:t>: Texas, Tennessee (Lead in Drinking Water); Delaware (Indoor environmental quality); Vermont, Connecticut (Radon)</w:t>
      </w:r>
    </w:p>
    <w:p w:rsidR="00162F38" w:rsidRDefault="00162F38" w:rsidP="00162F38">
      <w:r>
        <w:t xml:space="preserve">These findings provide evidence of a wide variety of environmental health tracking activities throughout the country. They also point to </w:t>
      </w:r>
      <w:proofErr w:type="gramStart"/>
      <w:r>
        <w:t>important areas</w:t>
      </w:r>
      <w:proofErr w:type="gramEnd"/>
      <w:r>
        <w:t xml:space="preserve"> for follow-up and continued dialogue. For example, Illinois has reported a relatively broad range of environmental health tracking activities that could be a model for other state programs. It has also established a lead in drinking water action level of 5 parts per billion for notification purposes, which is lower than the standard criterion of 15 parts per billion (from the EPA’s Lead and Copper Rule (</w:t>
      </w:r>
      <w:hyperlink r:id="rId7" w:history="1">
        <w:r>
          <w:rPr>
            <w:rStyle w:val="Hyperlink"/>
          </w:rPr>
          <w:t>https://www.epa.gov/dwreginfo/lead-and-copper-rule</w:t>
        </w:r>
      </w:hyperlink>
      <w:r>
        <w:t>) .</w:t>
      </w:r>
      <w:r>
        <w:rPr>
          <w:rStyle w:val="FootnoteReference"/>
        </w:rPr>
        <w:footnoteReference w:id="1"/>
      </w:r>
      <w:r>
        <w:t xml:space="preserve"> In addition, the impacts of disseminating lead in water test results on school web sites can be further explored. Further follow up is indicated regarding proposed indoor environmental quality programs and details regarding complaints, sentinel events, and incident reports on evacuations. Finally, the CSTE workgroup can further engage with those states that are contemplating additional environmental public health tracking activities. Collectively, these activities can be further developed under the auspices of a CSTE-sponsored Steering Committee.</w:t>
      </w:r>
    </w:p>
    <w:p w:rsidR="00162F38" w:rsidRDefault="00162F38" w:rsidP="00162F38">
      <w:r>
        <w:t xml:space="preserve">Beyond the environmental health tracking activities, though, the assessment did identify significant interest on the part of the respondents to further engage with CSTE.  Many respondents (listed below) volunteered to review the assessment findings, this brief, or both. </w:t>
      </w:r>
    </w:p>
    <w:p w:rsidR="00162F38" w:rsidRDefault="00162F38" w:rsidP="00162F38">
      <w:r>
        <w:rPr>
          <w:u w:val="single"/>
        </w:rPr>
        <w:t>Review of Assessment Findings</w:t>
      </w:r>
      <w:r>
        <w:t>: Connecticut, North Carolina, Delaware, Virginia, Illinois, Colorado, Tennessee, Virginia, New Mexico, Arizona, Utah</w:t>
      </w:r>
    </w:p>
    <w:p w:rsidR="00162F38" w:rsidRDefault="00162F38" w:rsidP="00162F38">
      <w:r>
        <w:rPr>
          <w:u w:val="single"/>
        </w:rPr>
        <w:t>Review of Brief Draft</w:t>
      </w:r>
      <w:r>
        <w:t>: Connecticut, Virginia, New Mexico, Arizona, Utah, Georgia, Indiana, Colorado, Louisiana, Illinois, North Carolina, Delaware</w:t>
      </w:r>
    </w:p>
    <w:p w:rsidR="00162F38" w:rsidRDefault="00162F38" w:rsidP="00162F38">
      <w:r>
        <w:t xml:space="preserve">It is hoped that these initial assessment responses can provide an impetus for participation from others involved with children’s environmental health in school activities. Further, this assessment should provide a useful model for </w:t>
      </w:r>
      <w:proofErr w:type="gramStart"/>
      <w:r>
        <w:t>a possible future</w:t>
      </w:r>
      <w:proofErr w:type="gramEnd"/>
      <w:r>
        <w:t xml:space="preserve"> assessment focused on day care centers. In this respect, it is hoped that the assessment can be implemented as an ongoing activity, as we identify more partners and stakeholders.</w:t>
      </w:r>
    </w:p>
    <w:p w:rsidR="00402E9C" w:rsidRDefault="00402E9C"/>
    <w:sectPr w:rsidR="00402E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F38" w:rsidRDefault="00162F38" w:rsidP="00162F38">
      <w:pPr>
        <w:spacing w:after="0" w:line="240" w:lineRule="auto"/>
      </w:pPr>
      <w:r>
        <w:separator/>
      </w:r>
    </w:p>
  </w:endnote>
  <w:endnote w:type="continuationSeparator" w:id="0">
    <w:p w:rsidR="00162F38" w:rsidRDefault="00162F38" w:rsidP="00162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F38" w:rsidRDefault="00162F38" w:rsidP="00162F38">
      <w:pPr>
        <w:spacing w:after="0" w:line="240" w:lineRule="auto"/>
      </w:pPr>
      <w:r>
        <w:separator/>
      </w:r>
    </w:p>
  </w:footnote>
  <w:footnote w:type="continuationSeparator" w:id="0">
    <w:p w:rsidR="00162F38" w:rsidRDefault="00162F38" w:rsidP="00162F38">
      <w:pPr>
        <w:spacing w:after="0" w:line="240" w:lineRule="auto"/>
      </w:pPr>
      <w:r>
        <w:continuationSeparator/>
      </w:r>
    </w:p>
  </w:footnote>
  <w:footnote w:id="1">
    <w:p w:rsidR="00162F38" w:rsidRDefault="00162F38" w:rsidP="00162F38">
      <w:pPr>
        <w:pStyle w:val="FootnoteText"/>
      </w:pPr>
      <w:r>
        <w:rPr>
          <w:rStyle w:val="FootnoteReference"/>
        </w:rPr>
        <w:footnoteRef/>
      </w:r>
      <w:r>
        <w:t xml:space="preserve"> In addition, the US Environmental Protection Agency has s recommended, non-enforceable action level for of 20 ppb for schools and child care facilities.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D33A2"/>
    <w:multiLevelType w:val="hybridMultilevel"/>
    <w:tmpl w:val="E81E89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F38"/>
    <w:rsid w:val="00162F38"/>
    <w:rsid w:val="00292649"/>
    <w:rsid w:val="00402E9C"/>
    <w:rsid w:val="00B23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40229"/>
  <w15:chartTrackingRefBased/>
  <w15:docId w15:val="{509FC076-BEEB-4E99-941B-910890E1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2F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2F38"/>
    <w:rPr>
      <w:color w:val="0563C1" w:themeColor="hyperlink"/>
      <w:u w:val="single"/>
    </w:rPr>
  </w:style>
  <w:style w:type="paragraph" w:styleId="FootnoteText">
    <w:name w:val="footnote text"/>
    <w:basedOn w:val="Normal"/>
    <w:link w:val="FootnoteTextChar"/>
    <w:uiPriority w:val="99"/>
    <w:semiHidden/>
    <w:unhideWhenUsed/>
    <w:rsid w:val="00162F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2F38"/>
    <w:rPr>
      <w:sz w:val="20"/>
      <w:szCs w:val="20"/>
    </w:rPr>
  </w:style>
  <w:style w:type="character" w:styleId="FootnoteReference">
    <w:name w:val="footnote reference"/>
    <w:basedOn w:val="DefaultParagraphFont"/>
    <w:uiPriority w:val="99"/>
    <w:semiHidden/>
    <w:unhideWhenUsed/>
    <w:rsid w:val="00162F38"/>
    <w:rPr>
      <w:vertAlign w:val="superscript"/>
    </w:rPr>
  </w:style>
  <w:style w:type="paragraph" w:styleId="ListParagraph">
    <w:name w:val="List Paragraph"/>
    <w:basedOn w:val="Normal"/>
    <w:uiPriority w:val="34"/>
    <w:qFormat/>
    <w:rsid w:val="00162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32413">
      <w:bodyDiv w:val="1"/>
      <w:marLeft w:val="0"/>
      <w:marRight w:val="0"/>
      <w:marTop w:val="0"/>
      <w:marBottom w:val="0"/>
      <w:divBdr>
        <w:top w:val="none" w:sz="0" w:space="0" w:color="auto"/>
        <w:left w:val="none" w:sz="0" w:space="0" w:color="auto"/>
        <w:bottom w:val="none" w:sz="0" w:space="0" w:color="auto"/>
        <w:right w:val="none" w:sz="0" w:space="0" w:color="auto"/>
      </w:divBdr>
    </w:div>
    <w:div w:id="193076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pa.gov/dwreginfo/lead-and-copper-ru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2018-07-09T15:45:00Z</dcterms:created>
  <dcterms:modified xsi:type="dcterms:W3CDTF">2018-07-09T15:47:00Z</dcterms:modified>
</cp:coreProperties>
</file>