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381F" w:rsidRDefault="00B415B0">
      <w:bookmarkStart w:id="0" w:name="_GoBack"/>
      <w:bookmarkEnd w:id="0"/>
      <w:r>
        <w:t>White</w:t>
      </w:r>
      <w:r w:rsidR="00614793">
        <w:t xml:space="preserve"> Paper </w:t>
      </w:r>
      <w:r>
        <w:t xml:space="preserve">Issue </w:t>
      </w:r>
      <w:r w:rsidR="00614793">
        <w:t>#2</w:t>
      </w:r>
    </w:p>
    <w:p w:rsidR="00614793" w:rsidRDefault="004E213B">
      <w:r>
        <w:t>The Precautionary Approach to Establishing Acceptable Environmental Exposure Levels</w:t>
      </w:r>
    </w:p>
    <w:p w:rsidR="004E213B" w:rsidRDefault="004E213B">
      <w:r>
        <w:t>Several school environmental health recommendations call for the establishment of environmental standards to protect children’s health.</w:t>
      </w:r>
      <w:r w:rsidR="001E3589">
        <w:t xml:space="preserve"> While this approach has resulted in significant environmental improvements over the past few decades, the limitations of this approach have also become evident. </w:t>
      </w:r>
      <w:r w:rsidR="004129BB">
        <w:t xml:space="preserve">There are a number of reasons for this. </w:t>
      </w:r>
    </w:p>
    <w:p w:rsidR="00CE2FF4" w:rsidRDefault="00CE2FF4" w:rsidP="00CE2FF4">
      <w:pPr>
        <w:pStyle w:val="ListParagraph"/>
        <w:numPr>
          <w:ilvl w:val="0"/>
          <w:numId w:val="1"/>
        </w:numPr>
      </w:pPr>
      <w:r>
        <w:t>Many of the common pollutants of interest are either carcinogens (e.g., radon, asbestos, PCBs) or lack a clear threshold above background levels that can be considered safe (e.g., lead, particulates, ozone)</w:t>
      </w:r>
      <w:r w:rsidR="00746E0C">
        <w:t>.</w:t>
      </w:r>
    </w:p>
    <w:p w:rsidR="00D11268" w:rsidRDefault="00D11268" w:rsidP="00CE2FF4">
      <w:pPr>
        <w:pStyle w:val="ListParagraph"/>
        <w:numPr>
          <w:ilvl w:val="0"/>
          <w:numId w:val="1"/>
        </w:numPr>
      </w:pPr>
      <w:r>
        <w:t xml:space="preserve">In other cases, such as carbon monoxide, elevated levels may not pose an immediate health threat, but could be indicative of situations that could present serious problems (such as faulty combustion sources). </w:t>
      </w:r>
    </w:p>
    <w:p w:rsidR="00746E0C" w:rsidRDefault="00746E0C" w:rsidP="00CE2FF4">
      <w:pPr>
        <w:pStyle w:val="ListParagraph"/>
        <w:numPr>
          <w:ilvl w:val="0"/>
          <w:numId w:val="1"/>
        </w:numPr>
      </w:pPr>
      <w:r>
        <w:t xml:space="preserve">Acceptable ambient levels for most other pollutants are driven more by what we don’t know than by what we know (e.g., up to 10,000 fold uncertainty factors and low dose extrapolations). </w:t>
      </w:r>
    </w:p>
    <w:p w:rsidR="00746E0C" w:rsidRDefault="00022EF7" w:rsidP="00CE2FF4">
      <w:pPr>
        <w:pStyle w:val="ListParagraph"/>
        <w:numPr>
          <w:ilvl w:val="0"/>
          <w:numId w:val="1"/>
        </w:numPr>
      </w:pPr>
      <w:r>
        <w:t xml:space="preserve">There are many </w:t>
      </w:r>
      <w:r w:rsidR="002131C5">
        <w:t xml:space="preserve">critical health endpoints </w:t>
      </w:r>
      <w:r w:rsidR="00C40055">
        <w:t xml:space="preserve">for which the shape of the dose-response curve, the timing of exposures, and the characteristics of sensitive and vulnerable populations are poorly defined </w:t>
      </w:r>
      <w:r w:rsidR="002131C5">
        <w:t xml:space="preserve">(e.g., neurodevelopmental, neurodegenerative, </w:t>
      </w:r>
      <w:r w:rsidR="00C40055">
        <w:t>and sensitization).</w:t>
      </w:r>
    </w:p>
    <w:p w:rsidR="00C40055" w:rsidRDefault="00C40055" w:rsidP="00CE2FF4">
      <w:pPr>
        <w:pStyle w:val="ListParagraph"/>
        <w:numPr>
          <w:ilvl w:val="0"/>
          <w:numId w:val="1"/>
        </w:numPr>
      </w:pPr>
      <w:r>
        <w:t>Not surprisingly, environmental and occupational health standards have become progressively tighter over the past several decades as more info</w:t>
      </w:r>
      <w:r w:rsidR="007C3F14">
        <w:t>rmation has become available.</w:t>
      </w:r>
    </w:p>
    <w:p w:rsidR="007C3F14" w:rsidRDefault="005771CE" w:rsidP="007C3F14">
      <w:r>
        <w:t xml:space="preserve">In light of these factors, the preferred approach should not be that of deriving acceptable levels from levels that are known to be harmful, but rather ensuring that environmental concentrations do not rise significantly above background levels. In some cases, such as with lead exposures, </w:t>
      </w:r>
      <w:r w:rsidR="00D11268">
        <w:t>measures must even be taken to lower background concentrations.</w:t>
      </w:r>
    </w:p>
    <w:p w:rsidR="00D11268" w:rsidRDefault="00D11268" w:rsidP="007C3F14"/>
    <w:sectPr w:rsidR="00D1126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1EE4" w:rsidRDefault="00A01EE4" w:rsidP="0043261B">
      <w:pPr>
        <w:spacing w:after="0" w:line="240" w:lineRule="auto"/>
      </w:pPr>
      <w:r>
        <w:separator/>
      </w:r>
    </w:p>
  </w:endnote>
  <w:endnote w:type="continuationSeparator" w:id="0">
    <w:p w:rsidR="00A01EE4" w:rsidRDefault="00A01EE4" w:rsidP="004326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261B" w:rsidRDefault="0043261B" w:rsidP="0043261B">
    <w:pPr>
      <w:pStyle w:val="Footer"/>
    </w:pPr>
    <w:r>
      <w:t>Anderson – CSTE EH in Schools White Paper Project</w:t>
    </w:r>
  </w:p>
  <w:p w:rsidR="0043261B" w:rsidRDefault="0043261B" w:rsidP="0043261B">
    <w:pPr>
      <w:pStyle w:val="Footer"/>
    </w:pPr>
    <w:r>
      <w:t>Issues Paper #2</w:t>
    </w:r>
  </w:p>
  <w:p w:rsidR="0043261B" w:rsidRDefault="0043261B" w:rsidP="0043261B">
    <w:pPr>
      <w:pStyle w:val="Footer"/>
    </w:pPr>
    <w:r>
      <w:t>January 25, 2018</w:t>
    </w:r>
  </w:p>
  <w:p w:rsidR="0043261B" w:rsidRDefault="004326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1EE4" w:rsidRDefault="00A01EE4" w:rsidP="0043261B">
      <w:pPr>
        <w:spacing w:after="0" w:line="240" w:lineRule="auto"/>
      </w:pPr>
      <w:r>
        <w:separator/>
      </w:r>
    </w:p>
  </w:footnote>
  <w:footnote w:type="continuationSeparator" w:id="0">
    <w:p w:rsidR="00A01EE4" w:rsidRDefault="00A01EE4" w:rsidP="004326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01261E"/>
    <w:multiLevelType w:val="hybridMultilevel"/>
    <w:tmpl w:val="F92A6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4793"/>
    <w:rsid w:val="00022EF7"/>
    <w:rsid w:val="001E3589"/>
    <w:rsid w:val="002131C5"/>
    <w:rsid w:val="004129BB"/>
    <w:rsid w:val="0043261B"/>
    <w:rsid w:val="004E213B"/>
    <w:rsid w:val="005771CE"/>
    <w:rsid w:val="0058381F"/>
    <w:rsid w:val="005D2F8E"/>
    <w:rsid w:val="00614793"/>
    <w:rsid w:val="00746E0C"/>
    <w:rsid w:val="007C3F14"/>
    <w:rsid w:val="00A01EE4"/>
    <w:rsid w:val="00B415B0"/>
    <w:rsid w:val="00C40055"/>
    <w:rsid w:val="00CE2FF4"/>
    <w:rsid w:val="00D11268"/>
    <w:rsid w:val="00EB3D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6FD2C5-4E7C-4644-B1E4-BC229DA60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2FF4"/>
    <w:pPr>
      <w:ind w:left="720"/>
      <w:contextualSpacing/>
    </w:pPr>
  </w:style>
  <w:style w:type="paragraph" w:styleId="Header">
    <w:name w:val="header"/>
    <w:basedOn w:val="Normal"/>
    <w:link w:val="HeaderChar"/>
    <w:uiPriority w:val="99"/>
    <w:unhideWhenUsed/>
    <w:rsid w:val="004326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261B"/>
  </w:style>
  <w:style w:type="paragraph" w:styleId="Footer">
    <w:name w:val="footer"/>
    <w:basedOn w:val="Normal"/>
    <w:link w:val="FooterChar"/>
    <w:uiPriority w:val="99"/>
    <w:unhideWhenUsed/>
    <w:rsid w:val="004326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26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274</Words>
  <Characters>1564</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Norman Anderson</dc:creator>
  <cp:lastModifiedBy>Hayleigh McCall</cp:lastModifiedBy>
  <cp:revision>2</cp:revision>
  <dcterms:created xsi:type="dcterms:W3CDTF">2018-01-29T14:42:00Z</dcterms:created>
  <dcterms:modified xsi:type="dcterms:W3CDTF">2018-01-29T14:42:00Z</dcterms:modified>
</cp:coreProperties>
</file>