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7934F" w14:textId="57ECDCBE" w:rsidR="007C0318" w:rsidRDefault="007C031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1B3A74" w14:textId="77777777" w:rsidR="007C0318" w:rsidRDefault="007C0318">
      <w:pPr>
        <w:spacing w:before="2" w:line="110" w:lineRule="exact"/>
        <w:rPr>
          <w:sz w:val="11"/>
          <w:szCs w:val="11"/>
        </w:rPr>
      </w:pPr>
    </w:p>
    <w:p w14:paraId="3B9E5E9D" w14:textId="77777777" w:rsidR="007C0318" w:rsidRDefault="007C0318">
      <w:pPr>
        <w:spacing w:line="200" w:lineRule="exact"/>
        <w:rPr>
          <w:sz w:val="20"/>
          <w:szCs w:val="20"/>
        </w:rPr>
      </w:pPr>
    </w:p>
    <w:p w14:paraId="45A08B38" w14:textId="71C98062" w:rsidR="007C0318" w:rsidRDefault="00EB379F" w:rsidP="00B76640">
      <w:pPr>
        <w:pStyle w:val="Heading1"/>
        <w:spacing w:before="34"/>
        <w:ind w:left="0"/>
        <w:rPr>
          <w:b w:val="0"/>
          <w:bCs w:val="0"/>
          <w:u w:val="none"/>
        </w:rPr>
      </w:pPr>
      <w:r>
        <w:rPr>
          <w:color w:val="001F5F"/>
          <w:spacing w:val="-2"/>
          <w:u w:val="none"/>
        </w:rPr>
        <w:t>Electric Scooter</w:t>
      </w:r>
      <w:r w:rsidR="0098282B">
        <w:rPr>
          <w:color w:val="001F5F"/>
          <w:spacing w:val="-2"/>
          <w:u w:val="none"/>
        </w:rPr>
        <w:t xml:space="preserve"> (E-Scooter)</w:t>
      </w:r>
      <w:r>
        <w:rPr>
          <w:color w:val="001F5F"/>
          <w:spacing w:val="-2"/>
          <w:u w:val="none"/>
        </w:rPr>
        <w:t>-Related Emergency Department (ED) Visits</w:t>
      </w:r>
    </w:p>
    <w:p w14:paraId="3B09C98C" w14:textId="1AF02973" w:rsidR="007C0318" w:rsidRDefault="00B10EEF" w:rsidP="00B76640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>E-Scooter v1</w:t>
      </w:r>
    </w:p>
    <w:p w14:paraId="0185D069" w14:textId="77777777" w:rsidR="007C0318" w:rsidRDefault="007C0318">
      <w:pPr>
        <w:spacing w:before="12" w:line="200" w:lineRule="exact"/>
        <w:rPr>
          <w:sz w:val="20"/>
          <w:szCs w:val="20"/>
        </w:rPr>
      </w:pPr>
    </w:p>
    <w:p w14:paraId="37DA2BC8" w14:textId="0432ED8C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</w:p>
    <w:p w14:paraId="19FAC7C3" w14:textId="77777777" w:rsidR="00D71142" w:rsidRPr="00D71142" w:rsidRDefault="0098282B" w:rsidP="0017600A">
      <w:pPr>
        <w:pStyle w:val="Heading2"/>
        <w:numPr>
          <w:ilvl w:val="0"/>
          <w:numId w:val="8"/>
        </w:numPr>
      </w:pPr>
      <w:r>
        <w:rPr>
          <w:b w:val="0"/>
        </w:rPr>
        <w:t>To determine electric scooter (e-scooter)-related emergency department visits</w:t>
      </w:r>
      <w:r w:rsidR="00D71142">
        <w:rPr>
          <w:b w:val="0"/>
        </w:rPr>
        <w:t>.</w:t>
      </w:r>
    </w:p>
    <w:p w14:paraId="6A0F84DC" w14:textId="66DA99F8" w:rsidR="0017600A" w:rsidRPr="00992A00" w:rsidRDefault="00FC7480" w:rsidP="0017600A">
      <w:pPr>
        <w:pStyle w:val="Heading2"/>
        <w:numPr>
          <w:ilvl w:val="0"/>
          <w:numId w:val="8"/>
        </w:numPr>
      </w:pPr>
      <w:proofErr w:type="spellStart"/>
      <w:r>
        <w:rPr>
          <w:b w:val="0"/>
        </w:rPr>
        <w:t>Micro</w:t>
      </w:r>
      <w:r w:rsidR="00D71142">
        <w:rPr>
          <w:b w:val="0"/>
        </w:rPr>
        <w:t>mobility</w:t>
      </w:r>
      <w:proofErr w:type="spellEnd"/>
      <w:r w:rsidR="00D71142">
        <w:rPr>
          <w:b w:val="0"/>
        </w:rPr>
        <w:t xml:space="preserve"> is a mode of transportation that includes light, low-occupancy vehicles (e.g., </w:t>
      </w:r>
      <w:r w:rsidR="000F2C17">
        <w:rPr>
          <w:b w:val="0"/>
        </w:rPr>
        <w:t>e-scooters</w:t>
      </w:r>
      <w:r w:rsidR="00D71142">
        <w:rPr>
          <w:b w:val="0"/>
        </w:rPr>
        <w:t>, electric skateboards, shared bicycles, and electric pedal assisted bicycles (e-bikes</w:t>
      </w:r>
      <w:r w:rsidR="0010411A">
        <w:rPr>
          <w:b w:val="0"/>
        </w:rPr>
        <w:t>)</w:t>
      </w:r>
      <w:r w:rsidR="00D71142">
        <w:rPr>
          <w:b w:val="0"/>
        </w:rPr>
        <w:t>.</w:t>
      </w:r>
      <w:r w:rsidR="00715857">
        <w:rPr>
          <w:b w:val="0"/>
          <w:vertAlign w:val="superscript"/>
        </w:rPr>
        <w:t>1</w:t>
      </w:r>
      <w:r w:rsidR="00715857">
        <w:rPr>
          <w:b w:val="0"/>
        </w:rPr>
        <w:t xml:space="preserve"> While </w:t>
      </w:r>
      <w:proofErr w:type="spellStart"/>
      <w:r w:rsidR="00992A00">
        <w:rPr>
          <w:b w:val="0"/>
        </w:rPr>
        <w:t>micro</w:t>
      </w:r>
      <w:r w:rsidR="00715857">
        <w:rPr>
          <w:b w:val="0"/>
        </w:rPr>
        <w:t>mobility</w:t>
      </w:r>
      <w:proofErr w:type="spellEnd"/>
      <w:r w:rsidR="00715857">
        <w:rPr>
          <w:b w:val="0"/>
        </w:rPr>
        <w:t xml:space="preserve"> is an emerging mobility option, the definition of on what is considered micro mobility varies. </w:t>
      </w:r>
      <w:r w:rsidR="00715857">
        <w:rPr>
          <w:b w:val="0"/>
          <w:vertAlign w:val="superscript"/>
        </w:rPr>
        <w:t>2</w:t>
      </w:r>
      <w:r w:rsidR="00715857">
        <w:rPr>
          <w:b w:val="0"/>
        </w:rPr>
        <w:t xml:space="preserve"> </w:t>
      </w:r>
    </w:p>
    <w:p w14:paraId="0FDE090E" w14:textId="23421F23" w:rsidR="00992A00" w:rsidRDefault="00992A00" w:rsidP="0017600A">
      <w:pPr>
        <w:pStyle w:val="Heading2"/>
        <w:numPr>
          <w:ilvl w:val="0"/>
          <w:numId w:val="8"/>
        </w:numPr>
      </w:pPr>
      <w:r>
        <w:rPr>
          <w:b w:val="0"/>
        </w:rPr>
        <w:t xml:space="preserve">E-scooters are one of the most common </w:t>
      </w:r>
      <w:proofErr w:type="spellStart"/>
      <w:r>
        <w:rPr>
          <w:b w:val="0"/>
        </w:rPr>
        <w:t>micromobility</w:t>
      </w:r>
      <w:proofErr w:type="spellEnd"/>
      <w:r>
        <w:rPr>
          <w:b w:val="0"/>
        </w:rPr>
        <w:t xml:space="preserve"> systems.</w:t>
      </w:r>
      <w:r>
        <w:rPr>
          <w:b w:val="0"/>
          <w:vertAlign w:val="superscript"/>
        </w:rPr>
        <w:t>3</w:t>
      </w:r>
    </w:p>
    <w:p w14:paraId="4243012C" w14:textId="77777777" w:rsidR="0017600A" w:rsidRDefault="0017600A" w:rsidP="0017600A">
      <w:pPr>
        <w:pStyle w:val="Heading2"/>
        <w:ind w:left="0"/>
      </w:pPr>
    </w:p>
    <w:p w14:paraId="08818239" w14:textId="26F28E1F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r:</w:t>
      </w:r>
    </w:p>
    <w:p w14:paraId="63859F47" w14:textId="3CF5EC15" w:rsidR="00CF70F5" w:rsidRPr="008E5D23" w:rsidRDefault="001B54FA" w:rsidP="00B76640">
      <w:pPr>
        <w:pStyle w:val="BodyText"/>
        <w:numPr>
          <w:ilvl w:val="0"/>
          <w:numId w:val="6"/>
        </w:numPr>
        <w:rPr>
          <w:color w:val="2E5395"/>
          <w:u w:val="single" w:color="2E5395"/>
        </w:rPr>
      </w:pPr>
      <w:r>
        <w:t xml:space="preserve">ED visits occurring </w:t>
      </w:r>
      <w:r w:rsidR="00F51F89">
        <w:t>in the state (including non-residents).</w:t>
      </w:r>
      <w:r w:rsidR="008E5D23">
        <w:t xml:space="preserve"> </w:t>
      </w:r>
    </w:p>
    <w:p w14:paraId="416EB865" w14:textId="757E2AE3" w:rsidR="008E5D23" w:rsidRDefault="008E5D23" w:rsidP="00B76640">
      <w:pPr>
        <w:pStyle w:val="BodyText"/>
        <w:numPr>
          <w:ilvl w:val="0"/>
          <w:numId w:val="6"/>
        </w:numPr>
        <w:rPr>
          <w:color w:val="2E5395"/>
          <w:u w:val="single" w:color="2E5395"/>
        </w:rPr>
      </w:pPr>
      <w:r>
        <w:t>Select facilities that are emergency departments. This may vary by jurisdiction’s syndromic surveillance system (e.g., Emergency Room, Free Standing Emergency Department)</w:t>
      </w:r>
    </w:p>
    <w:p w14:paraId="1BA5C011" w14:textId="77777777" w:rsidR="00B76640" w:rsidRDefault="00B76640" w:rsidP="00B76640">
      <w:pPr>
        <w:pStyle w:val="BodyText"/>
        <w:ind w:left="0" w:firstLine="0"/>
        <w:rPr>
          <w:color w:val="2E5395"/>
          <w:u w:val="single" w:color="2E5395"/>
        </w:rPr>
      </w:pPr>
    </w:p>
    <w:p w14:paraId="039C88E2" w14:textId="724A6460" w:rsidR="007C0318" w:rsidRDefault="00676D00" w:rsidP="00B76640">
      <w:pPr>
        <w:pStyle w:val="BodyText"/>
        <w:ind w:left="0" w:firstLine="0"/>
      </w:pPr>
      <w:r>
        <w:rPr>
          <w:color w:val="2E5395"/>
          <w:u w:val="single" w:color="2E5395"/>
        </w:rPr>
        <w:t>Syndrome definition</w:t>
      </w:r>
      <w:r w:rsidR="00CF70F5">
        <w:rPr>
          <w:color w:val="2E5395"/>
          <w:u w:val="single" w:color="2E5395"/>
        </w:rPr>
        <w:t xml:space="preserve"> specific to this indicator</w:t>
      </w:r>
      <w:r w:rsidR="00112195">
        <w:rPr>
          <w:color w:val="2E5395"/>
          <w:u w:val="single" w:color="2E5395"/>
        </w:rPr>
        <w:t>*</w:t>
      </w:r>
    </w:p>
    <w:tbl>
      <w:tblPr>
        <w:tblW w:w="9450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50"/>
      </w:tblGrid>
      <w:tr w:rsidR="00676D00" w14:paraId="34776E22" w14:textId="77777777" w:rsidTr="00676D00">
        <w:trPr>
          <w:trHeight w:hRule="exact" w:val="3312"/>
        </w:trPr>
        <w:tc>
          <w:tcPr>
            <w:tcW w:w="9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292DC" w14:textId="77777777" w:rsidR="00567E81" w:rsidRDefault="00567E81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</w:p>
          <w:p w14:paraId="6461E84F" w14:textId="3D4F3676" w:rsidR="00567E81" w:rsidRDefault="001872D6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6C7E88">
              <w:rPr>
                <w:rFonts w:ascii="Calibri" w:eastAsia="Calibri" w:hAnsi="Calibri" w:cs="Calibri"/>
                <w:highlight w:val="yellow"/>
              </w:rPr>
              <w:t>Method?</w:t>
            </w:r>
          </w:p>
          <w:p w14:paraId="6B9CD723" w14:textId="0408E5BB" w:rsidR="00676D00" w:rsidRDefault="00567E81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567E81">
              <w:rPr>
                <w:rFonts w:ascii="Calibri" w:eastAsia="Calibri" w:hAnsi="Calibri" w:cs="Calibri"/>
              </w:rPr>
              <w:t>(,(,^scoot^,or,^scoter^,or,^skoot^,or,^scotter^,or,^schoot^,or,^sccot^,),and,(,^electric^,or,^elektric^,or,^electrick^,),),or,^escoot^,or,^elec scoot^,or,^</w:t>
            </w:r>
            <w:proofErr w:type="spellStart"/>
            <w:r w:rsidRPr="00567E81">
              <w:rPr>
                <w:rFonts w:ascii="Calibri" w:eastAsia="Calibri" w:hAnsi="Calibri" w:cs="Calibri"/>
              </w:rPr>
              <w:t>electr</w:t>
            </w:r>
            <w:proofErr w:type="spellEnd"/>
            <w:r w:rsidRPr="00567E81">
              <w:rPr>
                <w:rFonts w:ascii="Calibri" w:eastAsia="Calibri" w:hAnsi="Calibri" w:cs="Calibri"/>
              </w:rPr>
              <w:t xml:space="preserve"> scoot^,or,^</w:t>
            </w:r>
            <w:proofErr w:type="spellStart"/>
            <w:r w:rsidRPr="00567E81">
              <w:rPr>
                <w:rFonts w:ascii="Calibri" w:eastAsia="Calibri" w:hAnsi="Calibri" w:cs="Calibri"/>
              </w:rPr>
              <w:t>elek</w:t>
            </w:r>
            <w:proofErr w:type="spellEnd"/>
            <w:r w:rsidRPr="00567E8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67E81">
              <w:rPr>
                <w:rFonts w:ascii="Calibri" w:eastAsia="Calibri" w:hAnsi="Calibri" w:cs="Calibri"/>
              </w:rPr>
              <w:t>scoot^,or,^shared</w:t>
            </w:r>
            <w:proofErr w:type="spellEnd"/>
            <w:r w:rsidRPr="00567E81">
              <w:rPr>
                <w:rFonts w:ascii="Calibri" w:eastAsia="Calibri" w:hAnsi="Calibri" w:cs="Calibri"/>
              </w:rPr>
              <w:t xml:space="preserve"> electric scoot^,or,^V00031^,or,^V00.031^,or,^V00841^,or,^V00.841^,or,^V00842^,or,^V00.842^,or,^V01031^,or,^V01.031^,or,^V01131^,or,^V01.131^,or,^V01931^,or,^V01.931^,or,^V02031^,or,^V02.031^,or,^V02131^,or,^V02.131^,or,^V02931^,or,^V02.931^,or,^V03031^,or,^V03.031^,or,^V03131^,or,^V03.131^,or,^V03931^,or,^V03.931^,or,^V04031^,or,^V04.031^,or,^V04131^,or,^V04.131^,or,^V04931^,or,^V04.931^,or,^V05031^,or,^V05.031^,or,^V05131^,or,^V05.131^,or,^V05931^,or,^V05.931^,or,^V06031^,or,^V06.031^,or,^V06131^,or,^V06.131^,or,^V06931^,or,^V06.931^</w:t>
            </w:r>
          </w:p>
        </w:tc>
      </w:tr>
    </w:tbl>
    <w:p w14:paraId="0338AFAB" w14:textId="1BADB1EC" w:rsidR="007C0318" w:rsidRDefault="00112195" w:rsidP="00B76640">
      <w:pPr>
        <w:pStyle w:val="BodyText"/>
        <w:spacing w:line="267" w:lineRule="exact"/>
        <w:ind w:left="0" w:firstLine="0"/>
      </w:pPr>
      <w:r w:rsidRPr="00FA58E2">
        <w:rPr>
          <w:highlight w:val="yellow"/>
        </w:rPr>
        <w:t>*</w:t>
      </w:r>
      <w:r w:rsidR="00B76640" w:rsidRPr="00FA58E2">
        <w:rPr>
          <w:highlight w:val="yellow"/>
        </w:rPr>
        <w:t>Add footnotes</w:t>
      </w:r>
    </w:p>
    <w:p w14:paraId="0A61F922" w14:textId="457A125C" w:rsidR="00135762" w:rsidRDefault="00135762">
      <w:pPr>
        <w:rPr>
          <w:sz w:val="24"/>
          <w:szCs w:val="24"/>
        </w:rPr>
      </w:pPr>
    </w:p>
    <w:p w14:paraId="1F43C161" w14:textId="03BEC201" w:rsidR="0070474A" w:rsidRPr="00EC5130" w:rsidRDefault="0070474A" w:rsidP="0070474A">
      <w:pPr>
        <w:pStyle w:val="Heading2"/>
        <w:ind w:left="0"/>
        <w:rPr>
          <w:b w:val="0"/>
          <w:bCs w:val="0"/>
        </w:rPr>
      </w:pPr>
      <w:r w:rsidRPr="00EC5130">
        <w:t xml:space="preserve">Analysis </w:t>
      </w:r>
      <w:r w:rsidR="00285A27" w:rsidRPr="00EC5130">
        <w:t>Description</w:t>
      </w:r>
      <w:r w:rsidRPr="00EC5130">
        <w:t>:</w:t>
      </w:r>
    </w:p>
    <w:p w14:paraId="4E28485E" w14:textId="0F6C149B" w:rsidR="00135762" w:rsidRPr="00EC5130" w:rsidRDefault="00285A27">
      <w:r w:rsidRPr="00EC5130">
        <w:t xml:space="preserve">Four (4) states conducted analyses using their jurisdiction’s syndromic surveillance data. </w:t>
      </w:r>
      <w:r w:rsidR="00EC277B" w:rsidRPr="00EC5130">
        <w:t xml:space="preserve">Data starting in 2021 year </w:t>
      </w:r>
      <w:r w:rsidR="00E66176">
        <w:t>were</w:t>
      </w:r>
      <w:r w:rsidR="00EC277B" w:rsidRPr="00EC5130">
        <w:t xml:space="preserve"> used to examine monthly trends and </w:t>
      </w:r>
      <w:r w:rsidR="006E7C65">
        <w:t xml:space="preserve">demographic </w:t>
      </w:r>
      <w:r w:rsidR="00EC277B" w:rsidRPr="00EC5130">
        <w:t>factors such as race/ethnicity, age, and gender were examined. In addition, ICD-10-CM codes used in the data were examined</w:t>
      </w:r>
      <w:r w:rsidR="0048338D" w:rsidRPr="00EC5130">
        <w:t>. The two methods were examined in ass</w:t>
      </w:r>
      <w:r w:rsidR="00E54F6E">
        <w:t xml:space="preserve">essing </w:t>
      </w:r>
      <w:r w:rsidR="0048338D" w:rsidRPr="00EC5130">
        <w:t xml:space="preserve">the syndrome definition: the concatenated chief complaint and discharge diagnosis field (CCDD) and the discharge diagnosis with chief complaint </w:t>
      </w:r>
      <w:r w:rsidR="00D67E88" w:rsidRPr="00EC5130">
        <w:t xml:space="preserve">history </w:t>
      </w:r>
      <w:r w:rsidR="0048338D" w:rsidRPr="00EC5130">
        <w:t>and triage notes.</w:t>
      </w:r>
    </w:p>
    <w:p w14:paraId="47E4A392" w14:textId="77777777" w:rsidR="00135762" w:rsidRDefault="00135762">
      <w:pPr>
        <w:rPr>
          <w:sz w:val="24"/>
          <w:szCs w:val="24"/>
        </w:rPr>
      </w:pPr>
    </w:p>
    <w:p w14:paraId="59FDA51B" w14:textId="47A5F7DA" w:rsidR="00135762" w:rsidRDefault="00135762" w:rsidP="0070474A">
      <w:pPr>
        <w:pStyle w:val="Heading2"/>
        <w:ind w:left="0"/>
        <w:rPr>
          <w:b w:val="0"/>
          <w:sz w:val="18"/>
          <w:szCs w:val="18"/>
        </w:rPr>
      </w:pPr>
      <w:r>
        <w:rPr>
          <w:sz w:val="24"/>
          <w:szCs w:val="24"/>
          <w:vertAlign w:val="superscript"/>
        </w:rPr>
        <w:t>1</w:t>
      </w:r>
      <w:hyperlink r:id="rId7" w:history="1">
        <w:r w:rsidRPr="00135762">
          <w:rPr>
            <w:rStyle w:val="Hyperlink"/>
            <w:sz w:val="18"/>
            <w:szCs w:val="18"/>
          </w:rPr>
          <w:t>https://data.bts.gov/stories/s/Bikeshare-and-e-scooters-in-the-U-S-/fwcs-jprj/</w:t>
        </w:r>
      </w:hyperlink>
    </w:p>
    <w:p w14:paraId="7969EFE2" w14:textId="12E01C5C" w:rsidR="00135762" w:rsidRDefault="00135762" w:rsidP="0070474A">
      <w:pPr>
        <w:pStyle w:val="Heading2"/>
        <w:ind w:left="0"/>
        <w:rPr>
          <w:b w:val="0"/>
          <w:sz w:val="18"/>
          <w:szCs w:val="18"/>
        </w:rPr>
      </w:pPr>
      <w:r>
        <w:rPr>
          <w:sz w:val="24"/>
          <w:szCs w:val="24"/>
          <w:vertAlign w:val="superscript"/>
        </w:rPr>
        <w:t>2</w:t>
      </w:r>
      <w:hyperlink r:id="rId8" w:history="1">
        <w:r w:rsidRPr="00135762">
          <w:rPr>
            <w:rStyle w:val="Hyperlink"/>
            <w:sz w:val="18"/>
            <w:szCs w:val="18"/>
          </w:rPr>
          <w:t>https://highways.dot.gov/public-roads/spring-2021/micromobility-travel-mode-innovation</w:t>
        </w:r>
      </w:hyperlink>
    </w:p>
    <w:p w14:paraId="3AACB197" w14:textId="0DC20822" w:rsidR="009C377A" w:rsidRPr="009C377A" w:rsidRDefault="009C377A" w:rsidP="00FC1B3F">
      <w:pPr>
        <w:pStyle w:val="Heading2"/>
        <w:ind w:left="0"/>
        <w:rPr>
          <w:b w:val="0"/>
        </w:rPr>
      </w:pPr>
      <w:r w:rsidRPr="009C377A">
        <w:rPr>
          <w:sz w:val="24"/>
          <w:szCs w:val="24"/>
          <w:vertAlign w:val="superscript"/>
        </w:rPr>
        <w:t>3</w:t>
      </w:r>
      <w:hyperlink r:id="rId9" w:history="1">
        <w:r w:rsidR="0070474A" w:rsidRPr="00E94854">
          <w:rPr>
            <w:rStyle w:val="Hyperlink"/>
            <w:sz w:val="18"/>
            <w:szCs w:val="18"/>
          </w:rPr>
          <w:t>https://www.pedbikeinfo.org/cms/downloads/PBIC_Brief_MicromobilityMidsizeCitiesScan.pdf</w:t>
        </w:r>
      </w:hyperlink>
      <w:r>
        <w:rPr>
          <w:b w:val="0"/>
        </w:rPr>
        <w:t xml:space="preserve"> </w:t>
      </w:r>
    </w:p>
    <w:p w14:paraId="1B2510C2" w14:textId="7F66D52E" w:rsidR="00EC5130" w:rsidRDefault="00EC5130">
      <w:pPr>
        <w:rPr>
          <w:rFonts w:ascii="Calibri" w:eastAsia="Calibri" w:hAnsi="Calibri"/>
          <w:b/>
          <w:bCs/>
        </w:rPr>
      </w:pPr>
      <w:r>
        <w:br w:type="page"/>
      </w:r>
    </w:p>
    <w:p w14:paraId="270D4A7D" w14:textId="77777777" w:rsidR="00FC1B3F" w:rsidRDefault="00FC1B3F" w:rsidP="00B76640">
      <w:pPr>
        <w:pStyle w:val="Heading2"/>
        <w:ind w:left="0"/>
      </w:pPr>
    </w:p>
    <w:p w14:paraId="757CAB9E" w14:textId="67BEBB51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BEFD090" w14:textId="5356DF4C" w:rsidR="00B76640" w:rsidRPr="00B76640" w:rsidRDefault="00401EEA" w:rsidP="00B76640">
      <w:pPr>
        <w:pStyle w:val="Heading2"/>
        <w:numPr>
          <w:ilvl w:val="0"/>
          <w:numId w:val="6"/>
        </w:numPr>
        <w:rPr>
          <w:b w:val="0"/>
          <w:bCs w:val="0"/>
        </w:rPr>
      </w:pPr>
      <w:r>
        <w:rPr>
          <w:b w:val="0"/>
          <w:bCs w:val="0"/>
        </w:rPr>
        <w:t>Total number of ED visits by month or calendar year obtained from the jurisdiction’s syndromic surveillance system.</w:t>
      </w:r>
    </w:p>
    <w:p w14:paraId="0FCCBB2E" w14:textId="77777777" w:rsidR="00B76640" w:rsidRDefault="00B76640" w:rsidP="00B76640">
      <w:pPr>
        <w:pStyle w:val="Heading2"/>
        <w:ind w:left="0"/>
        <w:rPr>
          <w:spacing w:val="-1"/>
        </w:rPr>
      </w:pPr>
    </w:p>
    <w:p w14:paraId="69DAF835" w14:textId="7DC1D31B" w:rsidR="00B76640" w:rsidRDefault="00112195" w:rsidP="00B76640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 w:rsidR="00B76640"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y:</w:t>
      </w:r>
    </w:p>
    <w:p w14:paraId="2B5ED6E6" w14:textId="5674DEC2" w:rsidR="00B76640" w:rsidRDefault="006F02B8" w:rsidP="00B76640">
      <w:pPr>
        <w:pStyle w:val="Heading2"/>
        <w:numPr>
          <w:ilvl w:val="0"/>
          <w:numId w:val="6"/>
        </w:numPr>
      </w:pPr>
      <w:r>
        <w:rPr>
          <w:b w:val="0"/>
        </w:rPr>
        <w:t>Monthly or annual number of ED visits by age group, sex, race, and ethnicity</w:t>
      </w:r>
    </w:p>
    <w:p w14:paraId="5ED45C71" w14:textId="77777777" w:rsidR="00B76640" w:rsidRDefault="00B76640" w:rsidP="00B76640">
      <w:pPr>
        <w:pStyle w:val="Heading2"/>
        <w:ind w:left="0"/>
      </w:pPr>
    </w:p>
    <w:p w14:paraId="4E6E186C" w14:textId="27FE38C3" w:rsidR="00B76640" w:rsidRDefault="00112195" w:rsidP="00B76640">
      <w:pPr>
        <w:pStyle w:val="Heading2"/>
        <w:ind w:left="0"/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397F0D21" w14:textId="38BA71D3" w:rsidR="00B76640" w:rsidRDefault="006F02B8" w:rsidP="00B76640">
      <w:pPr>
        <w:pStyle w:val="Heading2"/>
        <w:numPr>
          <w:ilvl w:val="0"/>
          <w:numId w:val="6"/>
        </w:numPr>
        <w:rPr>
          <w:b w:val="0"/>
          <w:bCs w:val="0"/>
        </w:rPr>
      </w:pPr>
      <w:r>
        <w:rPr>
          <w:b w:val="0"/>
          <w:bCs w:val="0"/>
        </w:rPr>
        <w:t>Date of visit to the emergency department</w:t>
      </w:r>
    </w:p>
    <w:p w14:paraId="140B90A5" w14:textId="77777777" w:rsidR="00B76640" w:rsidRDefault="00B76640" w:rsidP="00B76640">
      <w:pPr>
        <w:pStyle w:val="Heading2"/>
        <w:ind w:left="0"/>
      </w:pPr>
    </w:p>
    <w:p w14:paraId="3570B51B" w14:textId="4671BA79" w:rsidR="00B76640" w:rsidRDefault="00112195" w:rsidP="00B76640">
      <w:pPr>
        <w:pStyle w:val="Heading2"/>
        <w:ind w:left="0"/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45F86E38" w14:textId="0462FA50" w:rsidR="00B76640" w:rsidRPr="00B76640" w:rsidRDefault="008E5D23" w:rsidP="00B76640">
      <w:pPr>
        <w:pStyle w:val="Heading2"/>
        <w:numPr>
          <w:ilvl w:val="0"/>
          <w:numId w:val="6"/>
        </w:numPr>
        <w:rPr>
          <w:b w:val="0"/>
          <w:bCs w:val="0"/>
        </w:rPr>
      </w:pPr>
      <w:r>
        <w:rPr>
          <w:b w:val="0"/>
          <w:bCs w:val="0"/>
        </w:rPr>
        <w:t>The indicator is not restricted to fatal or non-fatal injuries</w:t>
      </w:r>
      <w:r w:rsidR="006C7E88">
        <w:rPr>
          <w:b w:val="0"/>
          <w:bCs w:val="0"/>
        </w:rPr>
        <w:t xml:space="preserve"> and state residence</w:t>
      </w:r>
      <w:r>
        <w:rPr>
          <w:b w:val="0"/>
          <w:bCs w:val="0"/>
        </w:rPr>
        <w:t>.</w:t>
      </w:r>
    </w:p>
    <w:p w14:paraId="03580B5B" w14:textId="77777777" w:rsidR="00B76640" w:rsidRDefault="00B76640" w:rsidP="00B76640">
      <w:pPr>
        <w:pStyle w:val="Heading2"/>
        <w:ind w:left="0"/>
      </w:pPr>
    </w:p>
    <w:p w14:paraId="2AC2AAEF" w14:textId="66A92E09" w:rsidR="00CF70F5" w:rsidRPr="00CF70F5" w:rsidRDefault="00112195" w:rsidP="00B76640">
      <w:pPr>
        <w:pStyle w:val="Heading2"/>
        <w:ind w:left="0"/>
        <w:rPr>
          <w:b w:val="0"/>
          <w:bCs w:val="0"/>
        </w:rPr>
      </w:pPr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</w:p>
    <w:p w14:paraId="6CD0E86D" w14:textId="672FCBF7" w:rsidR="0017600A" w:rsidRPr="006C7E88" w:rsidRDefault="00D43758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 w:rsidRPr="006C7E88">
        <w:t>Each state’s syndromic surveillance system may be different</w:t>
      </w:r>
      <w:r w:rsidR="006C7E88">
        <w:t>. Some states utilized ESSENCE while others have a different syndromic surveillance system (e.g., NC Detect).</w:t>
      </w:r>
    </w:p>
    <w:p w14:paraId="6CB0A82E" w14:textId="74DD3589" w:rsidR="00D43758" w:rsidRPr="006C7E88" w:rsidRDefault="00D43758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 w:rsidRPr="006C7E88">
        <w:t>Number of facilities submitting data to syndromic surveillance system</w:t>
      </w:r>
      <w:r w:rsidR="006C7E88" w:rsidRPr="006C7E88">
        <w:t xml:space="preserve"> as not all hospital facilities submit data.</w:t>
      </w:r>
    </w:p>
    <w:p w14:paraId="634A4A7B" w14:textId="3B9F0FE3" w:rsidR="00D43758" w:rsidRDefault="006C7E88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>ED datasets from hospital billing and syndromic surveillance (</w:t>
      </w:r>
      <w:proofErr w:type="spellStart"/>
      <w:r>
        <w:t>SyS</w:t>
      </w:r>
      <w:proofErr w:type="spellEnd"/>
      <w:r>
        <w:t xml:space="preserve">) are not comparable. </w:t>
      </w:r>
      <w:proofErr w:type="spellStart"/>
      <w:r>
        <w:t>SyS</w:t>
      </w:r>
      <w:proofErr w:type="spellEnd"/>
      <w:r>
        <w:t xml:space="preserve"> ED data also collects chief complaint and triage notes information in the form of texts. </w:t>
      </w:r>
    </w:p>
    <w:p w14:paraId="3B59C776" w14:textId="73800ED9" w:rsidR="00720969" w:rsidRPr="005E3123" w:rsidRDefault="00720969" w:rsidP="00720969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 xml:space="preserve">ICD-10-CM codes for E-scooter/micro mobility devices were introduced in October 2020. Trends from </w:t>
      </w:r>
      <w:proofErr w:type="spellStart"/>
      <w:r w:rsidR="00814F9A">
        <w:t>SyS</w:t>
      </w:r>
      <w:proofErr w:type="spellEnd"/>
      <w:r>
        <w:t xml:space="preserve"> data starting in October may indicate as a data artifact. </w:t>
      </w:r>
    </w:p>
    <w:p w14:paraId="60313FC5" w14:textId="2BC66068" w:rsidR="0070474A" w:rsidRPr="00B21425" w:rsidRDefault="00F1400B" w:rsidP="00CF3320">
      <w:pPr>
        <w:pStyle w:val="BodyText"/>
        <w:numPr>
          <w:ilvl w:val="1"/>
          <w:numId w:val="8"/>
        </w:numPr>
        <w:tabs>
          <w:tab w:val="left" w:pos="820"/>
        </w:tabs>
        <w:ind w:right="250"/>
      </w:pPr>
      <w:r>
        <w:t>Classification of e-scooters in h</w:t>
      </w:r>
      <w:r w:rsidR="0070474A">
        <w:t xml:space="preserve">ospital billing data </w:t>
      </w:r>
      <w:r>
        <w:t>are available th</w:t>
      </w:r>
      <w:r w:rsidR="00CF3320">
        <w:t xml:space="preserve">rough ICD-10-CM codes, but </w:t>
      </w:r>
      <w:r>
        <w:t>they do</w:t>
      </w:r>
      <w:r w:rsidR="0070474A">
        <w:t xml:space="preserve"> not contain chief complaint and triage notes text fields.</w:t>
      </w:r>
    </w:p>
    <w:p w14:paraId="32ED906D" w14:textId="1A911080" w:rsidR="005E3123" w:rsidRPr="00CE01C7" w:rsidRDefault="009B1020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>Syndrome definition may potentially</w:t>
      </w:r>
      <w:r w:rsidR="00B36CF7">
        <w:t xml:space="preserve"> capture other non e-scooter ED visits (e.g., mobility scooter). </w:t>
      </w:r>
    </w:p>
    <w:p w14:paraId="70E188F0" w14:textId="01651488" w:rsidR="00CE01C7" w:rsidRDefault="00594924" w:rsidP="00CE01C7">
      <w:pPr>
        <w:pStyle w:val="BodyText"/>
        <w:numPr>
          <w:ilvl w:val="1"/>
          <w:numId w:val="8"/>
        </w:numPr>
        <w:tabs>
          <w:tab w:val="left" w:pos="820"/>
        </w:tabs>
        <w:ind w:right="250"/>
      </w:pPr>
      <w:r w:rsidRPr="00594924">
        <w:t>Possible m</w:t>
      </w:r>
      <w:r w:rsidR="00CE01C7" w:rsidRPr="00594924">
        <w:t xml:space="preserve">iscoding </w:t>
      </w:r>
      <w:r w:rsidRPr="00594924">
        <w:t xml:space="preserve">(e.g., </w:t>
      </w:r>
      <w:r w:rsidR="00CE01C7" w:rsidRPr="00594924">
        <w:t xml:space="preserve">collision with e-scooter </w:t>
      </w:r>
      <w:r w:rsidRPr="00594924">
        <w:t>among patients 65+ years of age).</w:t>
      </w:r>
    </w:p>
    <w:p w14:paraId="1DD14E05" w14:textId="2EDF9C1D" w:rsidR="00715857" w:rsidRPr="00594924" w:rsidRDefault="00715857" w:rsidP="00715857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proofErr w:type="spellStart"/>
      <w:r>
        <w:t>SyS</w:t>
      </w:r>
      <w:proofErr w:type="spellEnd"/>
      <w:r>
        <w:t xml:space="preserve"> ED data only captures a portion of the e-scooter injury burden. </w:t>
      </w:r>
    </w:p>
    <w:p w14:paraId="2EEB3F79" w14:textId="77777777" w:rsidR="00EE602E" w:rsidRDefault="00EE602E" w:rsidP="0017600A">
      <w:pPr>
        <w:pStyle w:val="Heading2"/>
        <w:ind w:left="0"/>
      </w:pPr>
    </w:p>
    <w:p w14:paraId="0FD434D9" w14:textId="5C7FD3BF" w:rsidR="0017600A" w:rsidRDefault="0017600A" w:rsidP="0017600A">
      <w:pPr>
        <w:pStyle w:val="Heading2"/>
        <w:ind w:left="0"/>
      </w:pPr>
      <w:r>
        <w:t>Corresponding death indicator</w:t>
      </w:r>
      <w:r w:rsidR="00F8478E">
        <w:t xml:space="preserve">: </w:t>
      </w:r>
    </w:p>
    <w:p w14:paraId="6A7A55C4" w14:textId="10E8867C" w:rsidR="0017600A" w:rsidRPr="00A1363F" w:rsidRDefault="00692E48" w:rsidP="00715857">
      <w:pPr>
        <w:pStyle w:val="Heading2"/>
        <w:numPr>
          <w:ilvl w:val="0"/>
          <w:numId w:val="9"/>
        </w:numPr>
      </w:pPr>
      <w:r>
        <w:rPr>
          <w:b w:val="0"/>
        </w:rPr>
        <w:t>T</w:t>
      </w:r>
      <w:r w:rsidR="00DE217E">
        <w:rPr>
          <w:b w:val="0"/>
        </w:rPr>
        <w:t xml:space="preserve">here are no ICD-10 codes indicating e-scooters and other </w:t>
      </w:r>
      <w:r w:rsidR="00DE1BB4">
        <w:rPr>
          <w:b w:val="0"/>
        </w:rPr>
        <w:t>micro mobility</w:t>
      </w:r>
      <w:r w:rsidR="00DE217E">
        <w:rPr>
          <w:b w:val="0"/>
        </w:rPr>
        <w:t xml:space="preserve"> devices</w:t>
      </w:r>
      <w:r w:rsidR="00926534">
        <w:rPr>
          <w:b w:val="0"/>
        </w:rPr>
        <w:t xml:space="preserve"> for death certificate data</w:t>
      </w:r>
      <w:r w:rsidR="00B71F79">
        <w:rPr>
          <w:b w:val="0"/>
        </w:rPr>
        <w:t>.</w:t>
      </w:r>
      <w:r w:rsidR="00926534">
        <w:rPr>
          <w:b w:val="0"/>
        </w:rPr>
        <w:t xml:space="preserve"> Text fields may be used to search for key terms related to e-scooters. </w:t>
      </w:r>
      <w:r w:rsidR="00DE1BB4">
        <w:rPr>
          <w:b w:val="0"/>
        </w:rPr>
        <w:t>Limited details</w:t>
      </w:r>
      <w:r w:rsidR="00926534">
        <w:rPr>
          <w:b w:val="0"/>
        </w:rPr>
        <w:t xml:space="preserve"> may be </w:t>
      </w:r>
      <w:r w:rsidR="00DE1BB4">
        <w:rPr>
          <w:b w:val="0"/>
        </w:rPr>
        <w:t>provided</w:t>
      </w:r>
      <w:r w:rsidR="00926534">
        <w:rPr>
          <w:b w:val="0"/>
        </w:rPr>
        <w:t>.</w:t>
      </w:r>
      <w:r w:rsidR="00B71F79">
        <w:rPr>
          <w:b w:val="0"/>
        </w:rPr>
        <w:t xml:space="preserve"> </w:t>
      </w:r>
      <w:r w:rsidR="00421FD3">
        <w:rPr>
          <w:b w:val="0"/>
        </w:rPr>
        <w:t xml:space="preserve">Other </w:t>
      </w:r>
      <w:r w:rsidR="00421FD3" w:rsidRPr="005C17A1">
        <w:rPr>
          <w:b w:val="0"/>
        </w:rPr>
        <w:t>p</w:t>
      </w:r>
      <w:r w:rsidR="002259E9" w:rsidRPr="005C17A1">
        <w:rPr>
          <w:b w:val="0"/>
        </w:rPr>
        <w:t>otential data sources</w:t>
      </w:r>
      <w:r w:rsidR="00421FD3" w:rsidRPr="005C17A1">
        <w:rPr>
          <w:b w:val="0"/>
        </w:rPr>
        <w:t xml:space="preserve"> to consider such as </w:t>
      </w:r>
      <w:r w:rsidR="002259E9" w:rsidRPr="005C17A1">
        <w:rPr>
          <w:b w:val="0"/>
        </w:rPr>
        <w:t>C</w:t>
      </w:r>
      <w:r w:rsidR="005C17A1" w:rsidRPr="005C17A1">
        <w:rPr>
          <w:b w:val="0"/>
        </w:rPr>
        <w:t xml:space="preserve">oroner/Medical Examiner </w:t>
      </w:r>
      <w:r w:rsidR="006B6B4B">
        <w:rPr>
          <w:b w:val="0"/>
        </w:rPr>
        <w:t>reports</w:t>
      </w:r>
      <w:bookmarkStart w:id="0" w:name="_GoBack"/>
      <w:bookmarkEnd w:id="0"/>
      <w:r w:rsidR="005C17A1" w:rsidRPr="005C17A1">
        <w:rPr>
          <w:b w:val="0"/>
        </w:rPr>
        <w:t xml:space="preserve"> and l</w:t>
      </w:r>
      <w:r w:rsidR="00FB5302">
        <w:rPr>
          <w:b w:val="0"/>
        </w:rPr>
        <w:t>inked crash/</w:t>
      </w:r>
      <w:r w:rsidR="007918A4" w:rsidRPr="005C17A1">
        <w:rPr>
          <w:b w:val="0"/>
        </w:rPr>
        <w:t>death data</w:t>
      </w:r>
      <w:r w:rsidR="005C17A1" w:rsidRPr="005C17A1">
        <w:rPr>
          <w:b w:val="0"/>
        </w:rPr>
        <w:t>.</w:t>
      </w:r>
    </w:p>
    <w:p w14:paraId="54F7A268" w14:textId="77777777" w:rsidR="00ED414A" w:rsidRDefault="00ED414A" w:rsidP="00ED414A">
      <w:pPr>
        <w:pStyle w:val="Heading2"/>
        <w:ind w:left="0"/>
      </w:pPr>
    </w:p>
    <w:p w14:paraId="2AE2FC4E" w14:textId="48ACACB2" w:rsidR="00ED414A" w:rsidRDefault="00ED414A" w:rsidP="00ED414A">
      <w:pPr>
        <w:pStyle w:val="Heading2"/>
        <w:ind w:left="0"/>
      </w:pPr>
      <w:r>
        <w:t xml:space="preserve">Corresponding </w:t>
      </w:r>
      <w:r w:rsidR="005C73C0">
        <w:t>ED/hospital i</w:t>
      </w:r>
      <w:r>
        <w:t xml:space="preserve">npatient indicators: </w:t>
      </w:r>
    </w:p>
    <w:p w14:paraId="61412948" w14:textId="586AF4B2" w:rsidR="00644002" w:rsidRPr="00644002" w:rsidRDefault="00644002" w:rsidP="00ED414A">
      <w:pPr>
        <w:pStyle w:val="Heading2"/>
        <w:numPr>
          <w:ilvl w:val="0"/>
          <w:numId w:val="9"/>
        </w:numPr>
      </w:pPr>
      <w:r>
        <w:rPr>
          <w:b w:val="0"/>
        </w:rPr>
        <w:t>Currently, standardized</w:t>
      </w:r>
      <w:r w:rsidR="00DB642F">
        <w:rPr>
          <w:b w:val="0"/>
        </w:rPr>
        <w:t xml:space="preserve"> e-scooter indicator</w:t>
      </w:r>
      <w:r w:rsidR="00D955C7">
        <w:rPr>
          <w:b w:val="0"/>
        </w:rPr>
        <w:t>s</w:t>
      </w:r>
      <w:r w:rsidR="00E36BC3">
        <w:rPr>
          <w:b w:val="0"/>
        </w:rPr>
        <w:t xml:space="preserve"> have not been</w:t>
      </w:r>
      <w:r w:rsidR="00DB642F">
        <w:rPr>
          <w:b w:val="0"/>
        </w:rPr>
        <w:t xml:space="preserve"> developed using hospital billing data.</w:t>
      </w:r>
    </w:p>
    <w:p w14:paraId="5BF5C873" w14:textId="77777777" w:rsidR="00644002" w:rsidRDefault="00644002" w:rsidP="00644002">
      <w:pPr>
        <w:pStyle w:val="Heading2"/>
        <w:ind w:left="720"/>
        <w:rPr>
          <w:b w:val="0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800"/>
        <w:gridCol w:w="6840"/>
      </w:tblGrid>
      <w:tr w:rsidR="00FC1B3F" w14:paraId="30CDE765" w14:textId="77777777" w:rsidTr="000F35AE">
        <w:tc>
          <w:tcPr>
            <w:tcW w:w="8640" w:type="dxa"/>
            <w:gridSpan w:val="2"/>
          </w:tcPr>
          <w:p w14:paraId="4B0242EA" w14:textId="7E45E04A" w:rsidR="00FC1B3F" w:rsidRPr="00FC1B3F" w:rsidRDefault="00FC1B3F" w:rsidP="00720969">
            <w:pPr>
              <w:pStyle w:val="Heading2"/>
              <w:ind w:left="0"/>
              <w:jc w:val="center"/>
            </w:pPr>
            <w:r w:rsidRPr="00FC1B3F">
              <w:t>E-Scooter ICD-10-CM Codes</w:t>
            </w:r>
          </w:p>
        </w:tc>
      </w:tr>
      <w:tr w:rsidR="00644002" w14:paraId="71A5813B" w14:textId="77777777" w:rsidTr="00405B02">
        <w:tc>
          <w:tcPr>
            <w:tcW w:w="1800" w:type="dxa"/>
          </w:tcPr>
          <w:p w14:paraId="71A8B191" w14:textId="020B660B" w:rsidR="00644002" w:rsidRDefault="00644002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Fall</w:t>
            </w:r>
          </w:p>
        </w:tc>
        <w:tc>
          <w:tcPr>
            <w:tcW w:w="6840" w:type="dxa"/>
          </w:tcPr>
          <w:p w14:paraId="6FB0EDF3" w14:textId="2ED8C458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V00.841</w:t>
            </w:r>
          </w:p>
        </w:tc>
      </w:tr>
      <w:tr w:rsidR="00644002" w14:paraId="0AD9C8C2" w14:textId="77777777" w:rsidTr="00405B02">
        <w:tc>
          <w:tcPr>
            <w:tcW w:w="1800" w:type="dxa"/>
          </w:tcPr>
          <w:p w14:paraId="755B9B4F" w14:textId="13A92067" w:rsidR="00644002" w:rsidRDefault="00644002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Traffic</w:t>
            </w:r>
          </w:p>
        </w:tc>
        <w:tc>
          <w:tcPr>
            <w:tcW w:w="6840" w:type="dxa"/>
          </w:tcPr>
          <w:p w14:paraId="56620EAC" w14:textId="5FE32229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V02.131, V02.931, V03.131, V03.931, V04.131, V04.931</w:t>
            </w:r>
          </w:p>
        </w:tc>
      </w:tr>
      <w:tr w:rsidR="00644002" w14:paraId="789CB519" w14:textId="77777777" w:rsidTr="00405B02">
        <w:tc>
          <w:tcPr>
            <w:tcW w:w="1800" w:type="dxa"/>
          </w:tcPr>
          <w:p w14:paraId="5FF78002" w14:textId="2DF9C313" w:rsidR="00644002" w:rsidRDefault="00AD65FB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Non-Traffic</w:t>
            </w:r>
          </w:p>
        </w:tc>
        <w:tc>
          <w:tcPr>
            <w:tcW w:w="6840" w:type="dxa"/>
          </w:tcPr>
          <w:p w14:paraId="34F6BC25" w14:textId="76A0BBE3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V01.031, V01.931, V02.031, V03.031, V04.031, V05.031, V05.131, V05.931, V06.031, V06.131, V06.931</w:t>
            </w:r>
          </w:p>
        </w:tc>
      </w:tr>
      <w:tr w:rsidR="00644002" w14:paraId="424BCC38" w14:textId="77777777" w:rsidTr="00405B02">
        <w:tc>
          <w:tcPr>
            <w:tcW w:w="1800" w:type="dxa"/>
          </w:tcPr>
          <w:p w14:paraId="2EDC823C" w14:textId="38D0A3CF" w:rsidR="00644002" w:rsidRDefault="00AD65FB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Struck By/Against</w:t>
            </w:r>
          </w:p>
        </w:tc>
        <w:tc>
          <w:tcPr>
            <w:tcW w:w="6840" w:type="dxa"/>
          </w:tcPr>
          <w:p w14:paraId="5C7CFEE7" w14:textId="5120EACE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V00.031, V00.842</w:t>
            </w:r>
          </w:p>
        </w:tc>
      </w:tr>
    </w:tbl>
    <w:p w14:paraId="60F61559" w14:textId="6103703D" w:rsidR="00ED414A" w:rsidRPr="00A1363F" w:rsidRDefault="00644002" w:rsidP="00644002">
      <w:pPr>
        <w:pStyle w:val="Heading2"/>
        <w:ind w:left="720"/>
      </w:pPr>
      <w:r>
        <w:rPr>
          <w:b w:val="0"/>
        </w:rPr>
        <w:t xml:space="preserve"> </w:t>
      </w:r>
    </w:p>
    <w:p w14:paraId="31DE09FE" w14:textId="77777777" w:rsidR="009C377A" w:rsidRPr="00715857" w:rsidRDefault="009C377A">
      <w:pPr>
        <w:pStyle w:val="Heading2"/>
        <w:ind w:left="0"/>
        <w:rPr>
          <w:b w:val="0"/>
        </w:rPr>
      </w:pPr>
    </w:p>
    <w:sectPr w:rsidR="009C377A" w:rsidRPr="007158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380" w:right="1520" w:bottom="940" w:left="13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B1EBC" w14:textId="77777777" w:rsidR="00600B11" w:rsidRDefault="00600B11">
      <w:r>
        <w:separator/>
      </w:r>
    </w:p>
  </w:endnote>
  <w:endnote w:type="continuationSeparator" w:id="0">
    <w:p w14:paraId="750F732E" w14:textId="77777777" w:rsidR="00600B11" w:rsidRDefault="0060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00C14" w14:textId="77777777" w:rsidR="00037B93" w:rsidRDefault="00037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399F5" w14:textId="77777777" w:rsidR="007C0318" w:rsidRDefault="00600B11">
    <w:pPr>
      <w:spacing w:line="200" w:lineRule="exact"/>
      <w:rPr>
        <w:sz w:val="20"/>
        <w:szCs w:val="20"/>
      </w:rPr>
    </w:pPr>
    <w:r>
      <w:pict w14:anchorId="6D81A67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43.8pt;width:392pt;height:13.05pt;z-index:-251658240;mso-position-horizontal-relative:page;mso-position-vertical-relative:page" filled="f" stroked="f">
          <v:textbox style="mso-next-textbox:#_x0000_s2049" inset="0,0,0,0">
            <w:txbxContent>
              <w:p w14:paraId="21DB560E" w14:textId="77777777" w:rsidR="007C0318" w:rsidRDefault="00112195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i/>
                  </w:rPr>
                  <w:t>This d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ment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was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</w:rPr>
                  <w:t>vel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p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ed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pa</w:t>
                </w:r>
                <w:r>
                  <w:rPr>
                    <w:rFonts w:ascii="Calibri" w:eastAsia="Calibri" w:hAnsi="Calibri" w:cs="Calibri"/>
                    <w:i/>
                  </w:rPr>
                  <w:t>rt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of t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h</w:t>
                </w:r>
                <w:r>
                  <w:rPr>
                    <w:rFonts w:ascii="Calibri" w:eastAsia="Calibri" w:hAnsi="Calibri" w:cs="Calibri"/>
                    <w:i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</w:rPr>
                  <w:t>TE I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2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</w:rPr>
                  <w:t>1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0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</w:rPr>
                  <w:t>M Inj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ry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rvei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n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ce 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T</w:t>
                </w:r>
                <w:r>
                  <w:rPr>
                    <w:rFonts w:ascii="Calibri" w:eastAsia="Calibri" w:hAnsi="Calibri" w:cs="Calibri"/>
                    <w:i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lkit.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838EC" w14:textId="77777777" w:rsidR="00037B93" w:rsidRDefault="00037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16BFC" w14:textId="77777777" w:rsidR="00600B11" w:rsidRDefault="00600B11">
      <w:r>
        <w:separator/>
      </w:r>
    </w:p>
  </w:footnote>
  <w:footnote w:type="continuationSeparator" w:id="0">
    <w:p w14:paraId="5FE6A103" w14:textId="77777777" w:rsidR="00600B11" w:rsidRDefault="00600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20171" w14:textId="5F16FEB5" w:rsidR="00037B93" w:rsidRDefault="00600B11">
    <w:pPr>
      <w:pStyle w:val="Header"/>
    </w:pPr>
    <w:r>
      <w:rPr>
        <w:noProof/>
      </w:rPr>
      <w:pict w14:anchorId="6ED79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7" o:spid="_x0000_s2052" type="#_x0000_t136" style="position:absolute;margin-left:0;margin-top:0;width:495.9pt;height:165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C8752" w14:textId="3F5C5BB9" w:rsidR="00B76640" w:rsidRDefault="00600B11">
    <w:pPr>
      <w:pStyle w:val="Header"/>
    </w:pPr>
    <w:r>
      <w:rPr>
        <w:noProof/>
      </w:rPr>
      <w:pict w14:anchorId="307CD0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8" o:spid="_x0000_s2053" type="#_x0000_t136" style="position:absolute;margin-left:0;margin-top:0;width:495.9pt;height:165.3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B76640">
      <w:rPr>
        <w:noProof/>
      </w:rPr>
      <w:drawing>
        <wp:anchor distT="0" distB="0" distL="114300" distR="114300" simplePos="0" relativeHeight="251657216" behindDoc="1" locked="0" layoutInCell="1" allowOverlap="1" wp14:anchorId="0672827D" wp14:editId="288B4C84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771628" cy="1266825"/>
          <wp:effectExtent l="0" t="0" r="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444" cy="1267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18B49" w14:textId="788142B0" w:rsidR="00037B93" w:rsidRDefault="00600B11">
    <w:pPr>
      <w:pStyle w:val="Header"/>
    </w:pPr>
    <w:r>
      <w:rPr>
        <w:noProof/>
      </w:rPr>
      <w:pict w14:anchorId="5E337E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6" o:spid="_x0000_s2051" type="#_x0000_t136" style="position:absolute;margin-left:0;margin-top:0;width:495.9pt;height:165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05D63"/>
    <w:multiLevelType w:val="hybridMultilevel"/>
    <w:tmpl w:val="F5FEB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D70EB"/>
    <w:multiLevelType w:val="hybridMultilevel"/>
    <w:tmpl w:val="5BC4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77F3C"/>
    <w:multiLevelType w:val="hybridMultilevel"/>
    <w:tmpl w:val="EE1E8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C0318"/>
    <w:rsid w:val="00037B93"/>
    <w:rsid w:val="00094050"/>
    <w:rsid w:val="000D6295"/>
    <w:rsid w:val="000F2C17"/>
    <w:rsid w:val="000F35AE"/>
    <w:rsid w:val="00100530"/>
    <w:rsid w:val="0010411A"/>
    <w:rsid w:val="0011079D"/>
    <w:rsid w:val="001116CA"/>
    <w:rsid w:val="00112195"/>
    <w:rsid w:val="00121171"/>
    <w:rsid w:val="00135762"/>
    <w:rsid w:val="0017600A"/>
    <w:rsid w:val="001872D6"/>
    <w:rsid w:val="001B54FA"/>
    <w:rsid w:val="001C7615"/>
    <w:rsid w:val="002259E9"/>
    <w:rsid w:val="00285A27"/>
    <w:rsid w:val="002E72FD"/>
    <w:rsid w:val="00331F7B"/>
    <w:rsid w:val="00401EEA"/>
    <w:rsid w:val="00405B02"/>
    <w:rsid w:val="004135D9"/>
    <w:rsid w:val="00421FD3"/>
    <w:rsid w:val="0048338D"/>
    <w:rsid w:val="00532C82"/>
    <w:rsid w:val="00567E81"/>
    <w:rsid w:val="00576FDA"/>
    <w:rsid w:val="00581F64"/>
    <w:rsid w:val="00594924"/>
    <w:rsid w:val="005A31E5"/>
    <w:rsid w:val="005C17A1"/>
    <w:rsid w:val="005C73C0"/>
    <w:rsid w:val="005E3123"/>
    <w:rsid w:val="00600B11"/>
    <w:rsid w:val="00615694"/>
    <w:rsid w:val="00644002"/>
    <w:rsid w:val="00676D00"/>
    <w:rsid w:val="00692E48"/>
    <w:rsid w:val="006B6B4B"/>
    <w:rsid w:val="006C7E88"/>
    <w:rsid w:val="006E7C65"/>
    <w:rsid w:val="006F02B8"/>
    <w:rsid w:val="0070474A"/>
    <w:rsid w:val="00715857"/>
    <w:rsid w:val="00720969"/>
    <w:rsid w:val="007918A4"/>
    <w:rsid w:val="007C0318"/>
    <w:rsid w:val="007F69BD"/>
    <w:rsid w:val="00814F9A"/>
    <w:rsid w:val="00820538"/>
    <w:rsid w:val="008E5D23"/>
    <w:rsid w:val="009177A0"/>
    <w:rsid w:val="00926534"/>
    <w:rsid w:val="00971B10"/>
    <w:rsid w:val="0098282B"/>
    <w:rsid w:val="00992A00"/>
    <w:rsid w:val="009B1020"/>
    <w:rsid w:val="009B6050"/>
    <w:rsid w:val="009C377A"/>
    <w:rsid w:val="00A1363F"/>
    <w:rsid w:val="00AD65FB"/>
    <w:rsid w:val="00B10EEF"/>
    <w:rsid w:val="00B21425"/>
    <w:rsid w:val="00B36CF7"/>
    <w:rsid w:val="00B63D9D"/>
    <w:rsid w:val="00B71F79"/>
    <w:rsid w:val="00B76640"/>
    <w:rsid w:val="00C16238"/>
    <w:rsid w:val="00CE01C7"/>
    <w:rsid w:val="00CF3320"/>
    <w:rsid w:val="00CF70F5"/>
    <w:rsid w:val="00D43758"/>
    <w:rsid w:val="00D50B0A"/>
    <w:rsid w:val="00D67E88"/>
    <w:rsid w:val="00D71142"/>
    <w:rsid w:val="00D955C7"/>
    <w:rsid w:val="00DB642F"/>
    <w:rsid w:val="00DE1BB4"/>
    <w:rsid w:val="00DE217E"/>
    <w:rsid w:val="00DE613F"/>
    <w:rsid w:val="00E03B6D"/>
    <w:rsid w:val="00E36BC3"/>
    <w:rsid w:val="00E54F6E"/>
    <w:rsid w:val="00E66176"/>
    <w:rsid w:val="00EB379F"/>
    <w:rsid w:val="00EC277B"/>
    <w:rsid w:val="00EC5130"/>
    <w:rsid w:val="00ED414A"/>
    <w:rsid w:val="00EE602E"/>
    <w:rsid w:val="00F1400B"/>
    <w:rsid w:val="00F32CA4"/>
    <w:rsid w:val="00F33440"/>
    <w:rsid w:val="00F51F89"/>
    <w:rsid w:val="00F8478E"/>
    <w:rsid w:val="00FA15D7"/>
    <w:rsid w:val="00FA58E2"/>
    <w:rsid w:val="00FA737B"/>
    <w:rsid w:val="00FB5302"/>
    <w:rsid w:val="00FC1B3F"/>
    <w:rsid w:val="00FC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  <w:style w:type="character" w:styleId="Hyperlink">
    <w:name w:val="Hyperlink"/>
    <w:basedOn w:val="DefaultParagraphFont"/>
    <w:uiPriority w:val="99"/>
    <w:unhideWhenUsed/>
    <w:rsid w:val="007158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857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644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ghways.dot.gov/public-roads/spring-2021/micromobility-travel-mode-innovatio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ata.bts.gov/stories/s/Bikeshare-and-e-scooters-in-the-U-S-/fwcs-jprj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edbikeinfo.org/cms/downloads/PBIC_Brief_MicromobilityMidsizeCitiesScan.pdf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Mai, Alan J</cp:lastModifiedBy>
  <cp:revision>70</cp:revision>
  <dcterms:created xsi:type="dcterms:W3CDTF">2019-07-25T19:01:00Z</dcterms:created>
  <dcterms:modified xsi:type="dcterms:W3CDTF">2022-05-06T12:55:00Z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