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9C98C" w14:textId="2F54E0CD" w:rsidR="007C0318" w:rsidRDefault="00EB379F" w:rsidP="00A856B3">
      <w:pPr>
        <w:pStyle w:val="Heading1"/>
        <w:spacing w:before="34"/>
        <w:ind w:left="0"/>
      </w:pPr>
      <w:r>
        <w:rPr>
          <w:color w:val="001F5F"/>
          <w:spacing w:val="-2"/>
          <w:u w:val="none"/>
        </w:rPr>
        <w:t>Electric Scooter</w:t>
      </w:r>
      <w:r w:rsidR="0098282B">
        <w:rPr>
          <w:color w:val="001F5F"/>
          <w:spacing w:val="-2"/>
          <w:u w:val="none"/>
        </w:rPr>
        <w:t xml:space="preserve"> (E-Scooter)</w:t>
      </w:r>
      <w:r>
        <w:rPr>
          <w:color w:val="001F5F"/>
          <w:spacing w:val="-2"/>
          <w:u w:val="none"/>
        </w:rPr>
        <w:t>-Related Emergency Department (ED) Visits</w:t>
      </w:r>
    </w:p>
    <w:p w14:paraId="37DA2BC8" w14:textId="2B36F546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  <w:r w:rsidR="00797C04">
        <w:t>:</w:t>
      </w:r>
    </w:p>
    <w:p w14:paraId="4ED8559C" w14:textId="77777777" w:rsidR="00AE41D9" w:rsidRDefault="0098282B" w:rsidP="00AE41D9">
      <w:pPr>
        <w:pStyle w:val="BodyText"/>
        <w:numPr>
          <w:ilvl w:val="0"/>
          <w:numId w:val="21"/>
        </w:numPr>
      </w:pPr>
      <w:r>
        <w:t xml:space="preserve">To </w:t>
      </w:r>
      <w:r w:rsidR="00797C04">
        <w:t>obtain</w:t>
      </w:r>
      <w:r w:rsidR="00797C04">
        <w:t xml:space="preserve"> </w:t>
      </w:r>
      <w:r w:rsidR="003068E0">
        <w:t>counts of</w:t>
      </w:r>
      <w:r>
        <w:t xml:space="preserve"> electric scooter (e-scooter)-related emergency department visits</w:t>
      </w:r>
      <w:r w:rsidR="00D71142">
        <w:t>.</w:t>
      </w:r>
      <w:r w:rsidR="00797C04">
        <w:t xml:space="preserve"> Counts are based on visits and not unique patients.</w:t>
      </w:r>
      <w:r w:rsidR="00BB6C52">
        <w:t xml:space="preserve"> ICD-10-CM codes for e-scooter and other micromobility injuries were activated on 10/1/2020</w:t>
      </w:r>
      <w:r w:rsidR="005C7EAF">
        <w:t xml:space="preserve">. </w:t>
      </w:r>
      <w:r w:rsidR="00546E68">
        <w:t>To</w:t>
      </w:r>
      <w:r w:rsidR="005C7EAF">
        <w:t xml:space="preserve"> </w:t>
      </w:r>
      <w:r w:rsidR="00C34C1C">
        <w:t>capture</w:t>
      </w:r>
      <w:r w:rsidR="00BB6C52">
        <w:t xml:space="preserve"> as many e-scooter </w:t>
      </w:r>
      <w:r w:rsidR="005C7EAF">
        <w:t>visits</w:t>
      </w:r>
      <w:r w:rsidR="00BB6C52">
        <w:t xml:space="preserve"> as possible, counts may include records that omit e-scooter-specific ICD-10-CM codes but that include various spellings of e-scooter brands or</w:t>
      </w:r>
      <w:r w:rsidR="00CB43CB">
        <w:t xml:space="preserve"> </w:t>
      </w:r>
      <w:r w:rsidR="00BB6C52">
        <w:t>variations</w:t>
      </w:r>
      <w:r w:rsidR="00BB7ED4">
        <w:t xml:space="preserve"> and misspellings</w:t>
      </w:r>
      <w:r w:rsidR="00BB6C52">
        <w:t xml:space="preserve"> of the words “electric scooter” (see syndrome definition below)</w:t>
      </w:r>
      <w:r w:rsidR="00CB43CB">
        <w:t>.</w:t>
      </w:r>
    </w:p>
    <w:p w14:paraId="53CAC93F" w14:textId="77777777" w:rsidR="00AE41D9" w:rsidRDefault="00FC7480" w:rsidP="00AE41D9">
      <w:pPr>
        <w:pStyle w:val="BodyText"/>
        <w:numPr>
          <w:ilvl w:val="0"/>
          <w:numId w:val="21"/>
        </w:numPr>
      </w:pPr>
      <w:r w:rsidRPr="00296AB1">
        <w:t>Micro</w:t>
      </w:r>
      <w:r w:rsidR="00D71142" w:rsidRPr="00296AB1">
        <w:t xml:space="preserve">mobility is a mode of transportation that includes light, low-occupancy vehicles (e.g., </w:t>
      </w:r>
      <w:r w:rsidR="000F2C17" w:rsidRPr="00296AB1">
        <w:t>e-</w:t>
      </w:r>
      <w:r w:rsidR="000F2C17">
        <w:t>scooters</w:t>
      </w:r>
      <w:r w:rsidR="00D71142">
        <w:t xml:space="preserve">, electric skateboards, shared bicycles, and electric pedal assisted bicycles </w:t>
      </w:r>
      <w:r w:rsidR="00781CC0">
        <w:t>[</w:t>
      </w:r>
      <w:r w:rsidR="00D71142">
        <w:t>e-bikes</w:t>
      </w:r>
      <w:r w:rsidR="00781CC0">
        <w:t>])</w:t>
      </w:r>
      <w:r w:rsidR="00D71142">
        <w:t>.</w:t>
      </w:r>
      <w:r w:rsidR="00715857" w:rsidRPr="00AE41D9">
        <w:rPr>
          <w:vertAlign w:val="superscript"/>
        </w:rPr>
        <w:t>1</w:t>
      </w:r>
      <w:r w:rsidR="00715857">
        <w:t xml:space="preserve"> While </w:t>
      </w:r>
      <w:r w:rsidR="00992A00">
        <w:t>micro</w:t>
      </w:r>
      <w:r w:rsidR="00715857">
        <w:t>mobility is an emerging mobility option, the definition of what is considered</w:t>
      </w:r>
      <w:r w:rsidR="00CB43CB">
        <w:t xml:space="preserve"> </w:t>
      </w:r>
      <w:r w:rsidR="00715857">
        <w:t xml:space="preserve">micromobility varies. </w:t>
      </w:r>
      <w:r w:rsidR="00715857" w:rsidRPr="00AE41D9">
        <w:rPr>
          <w:vertAlign w:val="superscript"/>
        </w:rPr>
        <w:t>2</w:t>
      </w:r>
      <w:r w:rsidR="00715857">
        <w:t xml:space="preserve"> </w:t>
      </w:r>
      <w:r w:rsidR="00992A00" w:rsidRPr="00CB43CB">
        <w:t>E-scooters are one of the most common micromobility systems.</w:t>
      </w:r>
      <w:r w:rsidR="00992A00" w:rsidRPr="00AE41D9">
        <w:rPr>
          <w:bCs/>
          <w:vertAlign w:val="superscript"/>
        </w:rPr>
        <w:t>3</w:t>
      </w:r>
    </w:p>
    <w:p w14:paraId="3394EA6F" w14:textId="4FCF039F" w:rsidR="00180166" w:rsidRPr="00AE41D9" w:rsidRDefault="00180166" w:rsidP="00AE41D9">
      <w:pPr>
        <w:pStyle w:val="BodyText"/>
        <w:numPr>
          <w:ilvl w:val="0"/>
          <w:numId w:val="21"/>
        </w:numPr>
      </w:pPr>
      <w:r w:rsidRPr="00AE41D9">
        <w:rPr>
          <w:bCs/>
        </w:rPr>
        <w:t xml:space="preserve">Four states conducted analyses using their jurisdiction’s syndromic surveillance data. Data starting in 2021 were used to examine monthly trends and demographic factors such as race/ethnicity, age, and gender. In addition, </w:t>
      </w:r>
      <w:r w:rsidR="00C34C1C" w:rsidRPr="00AE41D9">
        <w:rPr>
          <w:bCs/>
        </w:rPr>
        <w:t xml:space="preserve">use of newly activated </w:t>
      </w:r>
      <w:r w:rsidRPr="00AE41D9">
        <w:rPr>
          <w:bCs/>
        </w:rPr>
        <w:t xml:space="preserve">ICD-10-CM codes were examined. </w:t>
      </w:r>
      <w:r w:rsidR="00C34C1C" w:rsidRPr="00AE41D9">
        <w:rPr>
          <w:bCs/>
        </w:rPr>
        <w:t>Two</w:t>
      </w:r>
      <w:r w:rsidRPr="00AE41D9">
        <w:rPr>
          <w:bCs/>
        </w:rPr>
        <w:t xml:space="preserve"> methods were </w:t>
      </w:r>
      <w:r w:rsidR="00C34C1C" w:rsidRPr="00AE41D9">
        <w:rPr>
          <w:bCs/>
        </w:rPr>
        <w:t xml:space="preserve">used to </w:t>
      </w:r>
      <w:r w:rsidRPr="00AE41D9">
        <w:rPr>
          <w:bCs/>
        </w:rPr>
        <w:t xml:space="preserve">assess the syndrome definition: </w:t>
      </w:r>
      <w:r w:rsidR="00C34C1C" w:rsidRPr="00AE41D9">
        <w:rPr>
          <w:bCs/>
        </w:rPr>
        <w:t xml:space="preserve">searching </w:t>
      </w:r>
      <w:r w:rsidRPr="00AE41D9">
        <w:rPr>
          <w:bCs/>
        </w:rPr>
        <w:t xml:space="preserve">the concatenated chief complaint and discharge diagnosis field (CCDD) and </w:t>
      </w:r>
      <w:r w:rsidR="00C34C1C" w:rsidRPr="00AE41D9">
        <w:rPr>
          <w:bCs/>
        </w:rPr>
        <w:t xml:space="preserve">searching </w:t>
      </w:r>
      <w:r w:rsidRPr="00AE41D9">
        <w:rPr>
          <w:bCs/>
        </w:rPr>
        <w:t>the discharge diagnosis with chief complaint history and triage notes.</w:t>
      </w:r>
    </w:p>
    <w:p w14:paraId="724E4708" w14:textId="77777777" w:rsidR="00CB43CB" w:rsidRPr="00F8005A" w:rsidRDefault="00CB43CB" w:rsidP="00F8005A"/>
    <w:p w14:paraId="57E38BDE" w14:textId="2667AC6B" w:rsidR="00797C04" w:rsidRDefault="00797C04" w:rsidP="0017600A">
      <w:pPr>
        <w:pStyle w:val="Heading2"/>
        <w:ind w:left="0"/>
      </w:pPr>
      <w:r>
        <w:t>Methods:</w:t>
      </w:r>
    </w:p>
    <w:p w14:paraId="08818239" w14:textId="26F28E1F" w:rsidR="00CF70F5" w:rsidRPr="00B76640" w:rsidRDefault="00112195" w:rsidP="00A856B3">
      <w:pPr>
        <w:pStyle w:val="Heading2"/>
        <w:ind w:left="0" w:firstLine="36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63859F47" w14:textId="526D765C" w:rsidR="00CF70F5" w:rsidRPr="008E5D23" w:rsidRDefault="001B54FA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  <w:r>
        <w:t xml:space="preserve">ED visits occurring </w:t>
      </w:r>
      <w:r w:rsidR="00F51F89">
        <w:t xml:space="preserve">in the </w:t>
      </w:r>
      <w:r w:rsidR="00306CAC">
        <w:t>jurisdiction</w:t>
      </w:r>
      <w:r w:rsidR="00306CAC">
        <w:t xml:space="preserve"> </w:t>
      </w:r>
      <w:r w:rsidR="00F51F89">
        <w:t>(including non-residents).</w:t>
      </w:r>
      <w:r w:rsidR="008E5D23">
        <w:t xml:space="preserve"> </w:t>
      </w:r>
    </w:p>
    <w:p w14:paraId="416EB865" w14:textId="6C4D15D5" w:rsidR="008E5D23" w:rsidRPr="004F1FC8" w:rsidRDefault="008E5D23" w:rsidP="00B76640">
      <w:pPr>
        <w:pStyle w:val="BodyText"/>
        <w:numPr>
          <w:ilvl w:val="0"/>
          <w:numId w:val="6"/>
        </w:numPr>
        <w:rPr>
          <w:u w:val="single" w:color="2E5395"/>
        </w:rPr>
      </w:pPr>
      <w:r>
        <w:t xml:space="preserve">Select facilities </w:t>
      </w:r>
      <w:r w:rsidR="00306CAC">
        <w:t xml:space="preserve">within the jurisdiction </w:t>
      </w:r>
      <w:r>
        <w:t>that are emergency departments. This may vary by jurisdiction’s syndromic surveillance system (e.g., Emergency Room, Free Standing Emergency Department)</w:t>
      </w:r>
    </w:p>
    <w:p w14:paraId="1BA5C011" w14:textId="77777777" w:rsidR="00B76640" w:rsidRPr="004F1FC8" w:rsidRDefault="00B76640" w:rsidP="00B76640">
      <w:pPr>
        <w:pStyle w:val="BodyText"/>
        <w:ind w:left="0" w:firstLine="0"/>
        <w:rPr>
          <w:u w:val="single" w:color="2E5395"/>
        </w:rPr>
      </w:pPr>
    </w:p>
    <w:p w14:paraId="039C88E2" w14:textId="724A6460" w:rsidR="007C0318" w:rsidRPr="00A856B3" w:rsidRDefault="00676D00" w:rsidP="00B76640">
      <w:pPr>
        <w:pStyle w:val="BodyText"/>
        <w:ind w:left="0" w:firstLine="0"/>
        <w:rPr>
          <w:b/>
          <w:bCs/>
        </w:rPr>
      </w:pPr>
      <w:r w:rsidRPr="00A856B3">
        <w:rPr>
          <w:b/>
          <w:bCs/>
          <w:u w:val="single" w:color="2E5395"/>
        </w:rPr>
        <w:t>Syndrome definition</w:t>
      </w:r>
      <w:r w:rsidR="00CF70F5" w:rsidRPr="00A856B3">
        <w:rPr>
          <w:b/>
          <w:bCs/>
          <w:u w:val="single" w:color="2E5395"/>
        </w:rPr>
        <w:t xml:space="preserve"> specific to this indicator</w:t>
      </w:r>
      <w:r w:rsidR="00112195" w:rsidRPr="00A856B3">
        <w:rPr>
          <w:b/>
          <w:bCs/>
          <w:u w:val="single" w:color="2E5395"/>
        </w:rPr>
        <w:t>*</w:t>
      </w:r>
    </w:p>
    <w:tbl>
      <w:tblPr>
        <w:tblW w:w="9348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8"/>
        <w:gridCol w:w="3060"/>
      </w:tblGrid>
      <w:tr w:rsidR="005C7EAF" w:rsidRPr="00CB43CB" w14:paraId="34776E22" w14:textId="5C48AEB6" w:rsidTr="00145278">
        <w:trPr>
          <w:trHeight w:hRule="exact" w:val="270"/>
        </w:trPr>
        <w:tc>
          <w:tcPr>
            <w:tcW w:w="6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B9CD723" w14:textId="0DF3B7F5" w:rsidR="005C7EAF" w:rsidRPr="00A856B3" w:rsidRDefault="005C7EAF" w:rsidP="00A856B3">
            <w:pPr>
              <w:pStyle w:val="TableParagraph"/>
              <w:spacing w:before="2"/>
              <w:ind w:left="101" w:right="144"/>
              <w:rPr>
                <w:rFonts w:ascii="Calibri" w:eastAsia="Calibri" w:hAnsi="Calibri" w:cs="Calibri"/>
                <w:b/>
                <w:bCs/>
              </w:rPr>
            </w:pPr>
            <w:r w:rsidRPr="00A856B3">
              <w:rPr>
                <w:rFonts w:ascii="Calibri" w:eastAsia="Calibri" w:hAnsi="Calibri" w:cs="Calibri"/>
                <w:b/>
                <w:bCs/>
              </w:rPr>
              <w:t>Syndrome definition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B636CBB" w14:textId="2BC19DBC" w:rsidR="005C7EAF" w:rsidRPr="00A856B3" w:rsidRDefault="005C7EAF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  <w:b/>
                <w:bCs/>
              </w:rPr>
            </w:pPr>
            <w:r w:rsidRPr="00A856B3">
              <w:rPr>
                <w:rFonts w:ascii="Calibri" w:eastAsia="Calibri" w:hAnsi="Calibri" w:cs="Calibri"/>
                <w:b/>
                <w:bCs/>
              </w:rPr>
              <w:t>Description</w:t>
            </w:r>
          </w:p>
        </w:tc>
      </w:tr>
      <w:tr w:rsidR="005C7EAF" w14:paraId="436751D8" w14:textId="77777777" w:rsidTr="00145278">
        <w:trPr>
          <w:trHeight w:hRule="exact" w:val="3240"/>
        </w:trPr>
        <w:tc>
          <w:tcPr>
            <w:tcW w:w="6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6BDD1" w14:textId="5A262451" w:rsidR="005C7EAF" w:rsidRDefault="005C7EAF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567E81">
              <w:rPr>
                <w:rFonts w:ascii="Calibri" w:eastAsia="Calibri" w:hAnsi="Calibri" w:cs="Calibri"/>
              </w:rPr>
              <w:t>(,(,^scoot^,or,^scoter^,or,^skoot^,or,^scotter^,or,^schoot^,or,^sccot^,),and,(,^electric^,or,^elektric^,or,^electrick^,),),or,^escoot^,or,^elec scoot^,or,^electr scoot^,or,^elek scoot^,or,^shared electric scoot^,or,^V00031^,or,^V00.031^,or,^V00841^,or,^V00.841^,or,^V00842^,or,^V00.842^,or,^V01031^,or,^V01.031^,or,^V01131^,or,^V01.131^,or,^V01931^,or,^V01.931^,or,^V02031^,or,^V02.031^,or,^V02131^,or,^V02.131^,or,^V02931^,or,^V02.931^,or,^V03031^,or,^V03.031^,or,^V03131^,or,^V03.131^,or,^V03931^,or,^V03.931^,or,^V04031^,or,^V04.031^,or,^V04131^,or,^V04.131^,or,^V04931^,or,^V04.931^,or,^V05031^,or,^V05.031^,or,^V05131^,or,^V05.131^,or,^V05931^,or,^V05.931^,or,^V06031^,or,^V06.031^,or,^V06131^,or,^V06.131^,or,^V06931^,or,^V06.931^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CC3FC" w14:textId="071AC7BC" w:rsidR="005C7EAF" w:rsidRDefault="00C34C1C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syndrome definition provides alternate spellings of “e-scooter” and “electric scooter” and includes all e-scooter ICD-10-CM codes.</w:t>
            </w:r>
          </w:p>
        </w:tc>
      </w:tr>
    </w:tbl>
    <w:p w14:paraId="0338AFAB" w14:textId="59E4E780" w:rsidR="007C0318" w:rsidRDefault="00112195" w:rsidP="00B76640">
      <w:pPr>
        <w:pStyle w:val="BodyText"/>
        <w:spacing w:line="267" w:lineRule="exact"/>
        <w:ind w:left="0" w:firstLine="0"/>
      </w:pPr>
      <w:r w:rsidRPr="00A856B3">
        <w:t>*</w:t>
      </w:r>
      <w:r w:rsidR="00306CAC">
        <w:t xml:space="preserve">This definition can be modified to add e-scooter brands that are common within a specific jurisdiction. </w:t>
      </w:r>
    </w:p>
    <w:p w14:paraId="023C85C8" w14:textId="77777777" w:rsidR="00797C04" w:rsidRDefault="00797C04" w:rsidP="00B76640">
      <w:pPr>
        <w:pStyle w:val="BodyText"/>
        <w:spacing w:line="267" w:lineRule="exact"/>
        <w:ind w:left="0" w:firstLine="0"/>
      </w:pPr>
    </w:p>
    <w:p w14:paraId="3CB2D737" w14:textId="77777777" w:rsidR="00797C04" w:rsidRDefault="00797C04" w:rsidP="00A856B3">
      <w:pPr>
        <w:pStyle w:val="Heading2"/>
        <w:ind w:left="0" w:firstLine="36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33F71CDE" w14:textId="77777777" w:rsidR="00797C04" w:rsidRPr="00B76640" w:rsidRDefault="00797C04" w:rsidP="00F8005A">
      <w:pPr>
        <w:pStyle w:val="BodyText"/>
        <w:numPr>
          <w:ilvl w:val="0"/>
          <w:numId w:val="22"/>
        </w:numPr>
        <w:rPr>
          <w:b/>
          <w:bCs/>
        </w:rPr>
      </w:pPr>
      <w:r>
        <w:t>Total number of ED visits by month or calendar year obtained from the jurisdiction’s syndromic surveillance system.</w:t>
      </w:r>
    </w:p>
    <w:p w14:paraId="2A1B39DB" w14:textId="77777777" w:rsidR="00797C04" w:rsidRDefault="00797C04" w:rsidP="00F8005A"/>
    <w:p w14:paraId="71874BCA" w14:textId="77777777" w:rsidR="00797C04" w:rsidRDefault="00797C04" w:rsidP="00A856B3">
      <w:pPr>
        <w:pStyle w:val="Heading2"/>
        <w:ind w:left="0" w:firstLine="36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6E737E4A" w14:textId="606FFE7C" w:rsidR="00797C04" w:rsidRPr="00A856B3" w:rsidRDefault="00797C04" w:rsidP="00F8005A">
      <w:pPr>
        <w:pStyle w:val="BodyText"/>
        <w:numPr>
          <w:ilvl w:val="0"/>
          <w:numId w:val="22"/>
        </w:numPr>
        <w:rPr>
          <w:b/>
        </w:rPr>
      </w:pPr>
      <w:r>
        <w:lastRenderedPageBreak/>
        <w:t>Monthly or annual number of ED visits by age group, sex, race, and ethnicity</w:t>
      </w:r>
    </w:p>
    <w:p w14:paraId="4382BCE7" w14:textId="6FEB5581" w:rsidR="00EF5DEC" w:rsidRDefault="00EF5DEC" w:rsidP="00F8005A"/>
    <w:p w14:paraId="4EAB0D12" w14:textId="77777777" w:rsidR="00EF5DEC" w:rsidRPr="00EF5DEC" w:rsidRDefault="00EF5DEC" w:rsidP="00EF5DEC">
      <w:pPr>
        <w:outlineLvl w:val="1"/>
        <w:rPr>
          <w:rFonts w:ascii="Calibri" w:eastAsia="Calibri" w:hAnsi="Calibri" w:cs="Times New Roman"/>
          <w:b/>
          <w:bCs/>
        </w:rPr>
      </w:pPr>
      <w:r w:rsidRPr="00EF5DEC">
        <w:rPr>
          <w:rFonts w:ascii="Calibri" w:eastAsia="Calibri" w:hAnsi="Calibri" w:cs="Times New Roman"/>
          <w:b/>
          <w:bCs/>
        </w:rPr>
        <w:t>Peri</w:t>
      </w:r>
      <w:r w:rsidRPr="00EF5DEC">
        <w:rPr>
          <w:rFonts w:ascii="Calibri" w:eastAsia="Calibri" w:hAnsi="Calibri" w:cs="Times New Roman"/>
          <w:b/>
          <w:bCs/>
          <w:spacing w:val="-1"/>
        </w:rPr>
        <w:t>o</w:t>
      </w:r>
      <w:r w:rsidRPr="00EF5DEC">
        <w:rPr>
          <w:rFonts w:ascii="Calibri" w:eastAsia="Calibri" w:hAnsi="Calibri" w:cs="Times New Roman"/>
          <w:b/>
          <w:bCs/>
        </w:rPr>
        <w:t>d</w:t>
      </w:r>
      <w:r w:rsidRPr="00EF5DEC">
        <w:rPr>
          <w:rFonts w:ascii="Calibri" w:eastAsia="Calibri" w:hAnsi="Calibri" w:cs="Times New Roman"/>
          <w:b/>
          <w:bCs/>
          <w:spacing w:val="-1"/>
        </w:rPr>
        <w:t xml:space="preserve"> </w:t>
      </w:r>
      <w:r w:rsidRPr="00EF5DEC">
        <w:rPr>
          <w:rFonts w:ascii="Calibri" w:eastAsia="Calibri" w:hAnsi="Calibri" w:cs="Times New Roman"/>
          <w:b/>
          <w:bCs/>
        </w:rPr>
        <w:t>f</w:t>
      </w:r>
      <w:r w:rsidRPr="00EF5DEC">
        <w:rPr>
          <w:rFonts w:ascii="Calibri" w:eastAsia="Calibri" w:hAnsi="Calibri" w:cs="Times New Roman"/>
          <w:b/>
          <w:bCs/>
          <w:spacing w:val="-1"/>
        </w:rPr>
        <w:t>o</w:t>
      </w:r>
      <w:r w:rsidRPr="00EF5DEC">
        <w:rPr>
          <w:rFonts w:ascii="Calibri" w:eastAsia="Calibri" w:hAnsi="Calibri" w:cs="Times New Roman"/>
          <w:b/>
          <w:bCs/>
        </w:rPr>
        <w:t>r</w:t>
      </w:r>
      <w:r w:rsidRPr="00EF5DEC">
        <w:rPr>
          <w:rFonts w:ascii="Calibri" w:eastAsia="Calibri" w:hAnsi="Calibri" w:cs="Times New Roman"/>
          <w:b/>
          <w:bCs/>
          <w:spacing w:val="-2"/>
        </w:rPr>
        <w:t xml:space="preserve"> </w:t>
      </w:r>
      <w:r w:rsidRPr="00EF5DEC">
        <w:rPr>
          <w:rFonts w:ascii="Calibri" w:eastAsia="Calibri" w:hAnsi="Calibri" w:cs="Times New Roman"/>
          <w:b/>
          <w:bCs/>
          <w:spacing w:val="1"/>
        </w:rPr>
        <w:t>c</w:t>
      </w:r>
      <w:r w:rsidRPr="00EF5DEC">
        <w:rPr>
          <w:rFonts w:ascii="Calibri" w:eastAsia="Calibri" w:hAnsi="Calibri" w:cs="Times New Roman"/>
          <w:b/>
          <w:bCs/>
          <w:spacing w:val="-2"/>
        </w:rPr>
        <w:t>a</w:t>
      </w:r>
      <w:r w:rsidRPr="00EF5DEC">
        <w:rPr>
          <w:rFonts w:ascii="Calibri" w:eastAsia="Calibri" w:hAnsi="Calibri" w:cs="Times New Roman"/>
          <w:b/>
          <w:bCs/>
        </w:rPr>
        <w:t>se</w:t>
      </w:r>
      <w:r w:rsidRPr="00EF5DEC">
        <w:rPr>
          <w:rFonts w:ascii="Calibri" w:eastAsia="Calibri" w:hAnsi="Calibri" w:cs="Times New Roman"/>
          <w:b/>
          <w:bCs/>
          <w:spacing w:val="-1"/>
        </w:rPr>
        <w:t xml:space="preserve"> </w:t>
      </w:r>
      <w:r w:rsidRPr="00EF5DEC">
        <w:rPr>
          <w:rFonts w:ascii="Calibri" w:eastAsia="Calibri" w:hAnsi="Calibri" w:cs="Times New Roman"/>
          <w:b/>
          <w:bCs/>
        </w:rPr>
        <w:t>d</w:t>
      </w:r>
      <w:r w:rsidRPr="00EF5DEC">
        <w:rPr>
          <w:rFonts w:ascii="Calibri" w:eastAsia="Calibri" w:hAnsi="Calibri" w:cs="Times New Roman"/>
          <w:b/>
          <w:bCs/>
          <w:spacing w:val="-2"/>
        </w:rPr>
        <w:t>e</w:t>
      </w:r>
      <w:r w:rsidRPr="00EF5DEC">
        <w:rPr>
          <w:rFonts w:ascii="Calibri" w:eastAsia="Calibri" w:hAnsi="Calibri" w:cs="Times New Roman"/>
          <w:b/>
          <w:bCs/>
        </w:rPr>
        <w:t>fi</w:t>
      </w:r>
      <w:r w:rsidRPr="00EF5DEC">
        <w:rPr>
          <w:rFonts w:ascii="Calibri" w:eastAsia="Calibri" w:hAnsi="Calibri" w:cs="Times New Roman"/>
          <w:b/>
          <w:bCs/>
          <w:spacing w:val="-4"/>
        </w:rPr>
        <w:t>n</w:t>
      </w:r>
      <w:r w:rsidRPr="00EF5DEC">
        <w:rPr>
          <w:rFonts w:ascii="Calibri" w:eastAsia="Calibri" w:hAnsi="Calibri" w:cs="Times New Roman"/>
          <w:b/>
          <w:bCs/>
        </w:rPr>
        <w:t>it</w:t>
      </w:r>
      <w:r w:rsidRPr="00EF5DEC">
        <w:rPr>
          <w:rFonts w:ascii="Calibri" w:eastAsia="Calibri" w:hAnsi="Calibri" w:cs="Times New Roman"/>
          <w:b/>
          <w:bCs/>
          <w:spacing w:val="1"/>
        </w:rPr>
        <w:t>i</w:t>
      </w:r>
      <w:r w:rsidRPr="00EF5DEC">
        <w:rPr>
          <w:rFonts w:ascii="Calibri" w:eastAsia="Calibri" w:hAnsi="Calibri" w:cs="Times New Roman"/>
          <w:b/>
          <w:bCs/>
          <w:spacing w:val="-1"/>
        </w:rPr>
        <w:t>on</w:t>
      </w:r>
      <w:r w:rsidRPr="00EF5DEC">
        <w:rPr>
          <w:rFonts w:ascii="Calibri" w:eastAsia="Calibri" w:hAnsi="Calibri" w:cs="Times New Roman"/>
          <w:b/>
          <w:bCs/>
        </w:rPr>
        <w:t>:</w:t>
      </w:r>
    </w:p>
    <w:p w14:paraId="13214588" w14:textId="77777777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>Date of visit to the emergency department</w:t>
      </w:r>
    </w:p>
    <w:p w14:paraId="7E752BA6" w14:textId="77777777" w:rsidR="00EF5DEC" w:rsidRPr="00EF5DEC" w:rsidRDefault="00EF5DEC" w:rsidP="00F8005A"/>
    <w:p w14:paraId="701876D0" w14:textId="77777777" w:rsidR="00EF5DEC" w:rsidRPr="00EF5DEC" w:rsidRDefault="00EF5DEC" w:rsidP="00EF5DEC">
      <w:pPr>
        <w:outlineLvl w:val="1"/>
        <w:rPr>
          <w:rFonts w:ascii="Calibri" w:eastAsia="Calibri" w:hAnsi="Calibri" w:cs="Times New Roman"/>
          <w:b/>
          <w:bCs/>
        </w:rPr>
      </w:pPr>
      <w:r w:rsidRPr="00EF5DEC">
        <w:rPr>
          <w:rFonts w:ascii="Calibri" w:eastAsia="Calibri" w:hAnsi="Calibri" w:cs="Times New Roman"/>
          <w:b/>
          <w:bCs/>
        </w:rPr>
        <w:t>I</w:t>
      </w:r>
      <w:r w:rsidRPr="00EF5DEC">
        <w:rPr>
          <w:rFonts w:ascii="Calibri" w:eastAsia="Calibri" w:hAnsi="Calibri" w:cs="Times New Roman"/>
          <w:b/>
          <w:bCs/>
          <w:spacing w:val="-1"/>
        </w:rPr>
        <w:t>nd</w:t>
      </w:r>
      <w:r w:rsidRPr="00EF5DEC">
        <w:rPr>
          <w:rFonts w:ascii="Calibri" w:eastAsia="Calibri" w:hAnsi="Calibri" w:cs="Times New Roman"/>
          <w:b/>
          <w:bCs/>
        </w:rPr>
        <w:t>i</w:t>
      </w:r>
      <w:r w:rsidRPr="00EF5DEC">
        <w:rPr>
          <w:rFonts w:ascii="Calibri" w:eastAsia="Calibri" w:hAnsi="Calibri" w:cs="Times New Roman"/>
          <w:b/>
          <w:bCs/>
          <w:spacing w:val="1"/>
        </w:rPr>
        <w:t>c</w:t>
      </w:r>
      <w:r w:rsidRPr="00EF5DEC">
        <w:rPr>
          <w:rFonts w:ascii="Calibri" w:eastAsia="Calibri" w:hAnsi="Calibri" w:cs="Times New Roman"/>
          <w:b/>
          <w:bCs/>
          <w:spacing w:val="-2"/>
        </w:rPr>
        <w:t>a</w:t>
      </w:r>
      <w:r w:rsidRPr="00EF5DEC">
        <w:rPr>
          <w:rFonts w:ascii="Calibri" w:eastAsia="Calibri" w:hAnsi="Calibri" w:cs="Times New Roman"/>
          <w:b/>
          <w:bCs/>
        </w:rPr>
        <w:t>t</w:t>
      </w:r>
      <w:r w:rsidRPr="00EF5DEC">
        <w:rPr>
          <w:rFonts w:ascii="Calibri" w:eastAsia="Calibri" w:hAnsi="Calibri" w:cs="Times New Roman"/>
          <w:b/>
          <w:bCs/>
          <w:spacing w:val="-1"/>
        </w:rPr>
        <w:t>o</w:t>
      </w:r>
      <w:r w:rsidRPr="00EF5DEC">
        <w:rPr>
          <w:rFonts w:ascii="Calibri" w:eastAsia="Calibri" w:hAnsi="Calibri" w:cs="Times New Roman"/>
          <w:b/>
          <w:bCs/>
        </w:rPr>
        <w:t>r</w:t>
      </w:r>
      <w:r w:rsidRPr="00EF5DEC">
        <w:rPr>
          <w:rFonts w:ascii="Calibri" w:eastAsia="Calibri" w:hAnsi="Calibri" w:cs="Times New Roman"/>
          <w:b/>
          <w:bCs/>
          <w:spacing w:val="-2"/>
        </w:rPr>
        <w:t xml:space="preserve"> </w:t>
      </w:r>
      <w:r w:rsidRPr="00EF5DEC">
        <w:rPr>
          <w:rFonts w:ascii="Calibri" w:eastAsia="Calibri" w:hAnsi="Calibri" w:cs="Times New Roman"/>
          <w:b/>
          <w:bCs/>
        </w:rPr>
        <w:t>n</w:t>
      </w:r>
      <w:r w:rsidRPr="00EF5DEC">
        <w:rPr>
          <w:rFonts w:ascii="Calibri" w:eastAsia="Calibri" w:hAnsi="Calibri" w:cs="Times New Roman"/>
          <w:b/>
          <w:bCs/>
          <w:spacing w:val="-2"/>
        </w:rPr>
        <w:t>o</w:t>
      </w:r>
      <w:r w:rsidRPr="00EF5DEC">
        <w:rPr>
          <w:rFonts w:ascii="Calibri" w:eastAsia="Calibri" w:hAnsi="Calibri" w:cs="Times New Roman"/>
          <w:b/>
          <w:bCs/>
        </w:rPr>
        <w:t>tes:</w:t>
      </w:r>
    </w:p>
    <w:p w14:paraId="7592FEF9" w14:textId="5C12B989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The indicator is not restricted to fatal or non-fatal injuries </w:t>
      </w:r>
      <w:r w:rsidR="00C34C1C">
        <w:t>or</w:t>
      </w:r>
      <w:r w:rsidRPr="00EF5DEC">
        <w:t xml:space="preserve"> state residence.</w:t>
      </w:r>
    </w:p>
    <w:p w14:paraId="234C8893" w14:textId="77777777" w:rsidR="00EF5DEC" w:rsidRPr="00EF5DEC" w:rsidRDefault="00EF5DEC" w:rsidP="00F8005A"/>
    <w:p w14:paraId="4A203B74" w14:textId="77777777" w:rsidR="00EF5DEC" w:rsidRPr="00EF5DEC" w:rsidRDefault="00EF5DEC" w:rsidP="00EF5DEC">
      <w:pPr>
        <w:outlineLvl w:val="1"/>
        <w:rPr>
          <w:rFonts w:ascii="Calibri" w:eastAsia="Calibri" w:hAnsi="Calibri" w:cs="Times New Roman"/>
        </w:rPr>
      </w:pPr>
      <w:r w:rsidRPr="00EF5DEC">
        <w:rPr>
          <w:rFonts w:ascii="Calibri" w:eastAsia="Calibri" w:hAnsi="Calibri" w:cs="Times New Roman"/>
          <w:b/>
          <w:bCs/>
        </w:rPr>
        <w:t>L</w:t>
      </w:r>
      <w:r w:rsidRPr="00EF5DEC">
        <w:rPr>
          <w:rFonts w:ascii="Calibri" w:eastAsia="Calibri" w:hAnsi="Calibri" w:cs="Times New Roman"/>
          <w:b/>
          <w:bCs/>
          <w:spacing w:val="1"/>
        </w:rPr>
        <w:t>i</w:t>
      </w:r>
      <w:r w:rsidRPr="00EF5DEC">
        <w:rPr>
          <w:rFonts w:ascii="Calibri" w:eastAsia="Calibri" w:hAnsi="Calibri" w:cs="Times New Roman"/>
          <w:b/>
          <w:bCs/>
          <w:spacing w:val="-3"/>
        </w:rPr>
        <w:t>m</w:t>
      </w:r>
      <w:r w:rsidRPr="00EF5DEC">
        <w:rPr>
          <w:rFonts w:ascii="Calibri" w:eastAsia="Calibri" w:hAnsi="Calibri" w:cs="Times New Roman"/>
          <w:b/>
          <w:bCs/>
        </w:rPr>
        <w:t>it</w:t>
      </w:r>
      <w:r w:rsidRPr="00EF5DEC">
        <w:rPr>
          <w:rFonts w:ascii="Calibri" w:eastAsia="Calibri" w:hAnsi="Calibri" w:cs="Times New Roman"/>
          <w:b/>
          <w:bCs/>
          <w:spacing w:val="-1"/>
        </w:rPr>
        <w:t>a</w:t>
      </w:r>
      <w:r w:rsidRPr="00EF5DEC">
        <w:rPr>
          <w:rFonts w:ascii="Calibri" w:eastAsia="Calibri" w:hAnsi="Calibri" w:cs="Times New Roman"/>
          <w:b/>
          <w:bCs/>
        </w:rPr>
        <w:t>t</w:t>
      </w:r>
      <w:r w:rsidRPr="00EF5DEC">
        <w:rPr>
          <w:rFonts w:ascii="Calibri" w:eastAsia="Calibri" w:hAnsi="Calibri" w:cs="Times New Roman"/>
          <w:b/>
          <w:bCs/>
          <w:spacing w:val="1"/>
        </w:rPr>
        <w:t>i</w:t>
      </w:r>
      <w:r w:rsidRPr="00EF5DEC">
        <w:rPr>
          <w:rFonts w:ascii="Calibri" w:eastAsia="Calibri" w:hAnsi="Calibri" w:cs="Times New Roman"/>
          <w:b/>
          <w:bCs/>
          <w:spacing w:val="-1"/>
        </w:rPr>
        <w:t>on</w:t>
      </w:r>
      <w:r w:rsidRPr="00EF5DEC">
        <w:rPr>
          <w:rFonts w:ascii="Calibri" w:eastAsia="Calibri" w:hAnsi="Calibri" w:cs="Times New Roman"/>
          <w:b/>
          <w:bCs/>
        </w:rPr>
        <w:t>s</w:t>
      </w:r>
      <w:r w:rsidRPr="00EF5DEC">
        <w:rPr>
          <w:rFonts w:ascii="Calibri" w:eastAsia="Calibri" w:hAnsi="Calibri" w:cs="Times New Roman"/>
          <w:b/>
          <w:bCs/>
          <w:spacing w:val="-2"/>
        </w:rPr>
        <w:t xml:space="preserve"> </w:t>
      </w:r>
      <w:r w:rsidRPr="00EF5DEC">
        <w:rPr>
          <w:rFonts w:ascii="Calibri" w:eastAsia="Calibri" w:hAnsi="Calibri" w:cs="Times New Roman"/>
          <w:b/>
          <w:bCs/>
          <w:spacing w:val="-1"/>
        </w:rPr>
        <w:t>o</w:t>
      </w:r>
      <w:r w:rsidRPr="00EF5DEC">
        <w:rPr>
          <w:rFonts w:ascii="Calibri" w:eastAsia="Calibri" w:hAnsi="Calibri" w:cs="Times New Roman"/>
          <w:b/>
          <w:bCs/>
        </w:rPr>
        <w:t>f d</w:t>
      </w:r>
      <w:r w:rsidRPr="00EF5DEC">
        <w:rPr>
          <w:rFonts w:ascii="Calibri" w:eastAsia="Calibri" w:hAnsi="Calibri" w:cs="Times New Roman"/>
          <w:b/>
          <w:bCs/>
          <w:spacing w:val="-2"/>
        </w:rPr>
        <w:t>a</w:t>
      </w:r>
      <w:r w:rsidRPr="00EF5DEC">
        <w:rPr>
          <w:rFonts w:ascii="Calibri" w:eastAsia="Calibri" w:hAnsi="Calibri" w:cs="Times New Roman"/>
          <w:b/>
          <w:bCs/>
        </w:rPr>
        <w:t>ta</w:t>
      </w:r>
      <w:r w:rsidRPr="00EF5DEC">
        <w:rPr>
          <w:rFonts w:ascii="Calibri" w:eastAsia="Calibri" w:hAnsi="Calibri" w:cs="Times New Roman"/>
          <w:b/>
          <w:bCs/>
          <w:spacing w:val="-1"/>
        </w:rPr>
        <w:t xml:space="preserve"> </w:t>
      </w:r>
      <w:r w:rsidRPr="00EF5DEC">
        <w:rPr>
          <w:rFonts w:ascii="Calibri" w:eastAsia="Calibri" w:hAnsi="Calibri" w:cs="Times New Roman"/>
          <w:b/>
          <w:bCs/>
        </w:rPr>
        <w:t>s</w:t>
      </w:r>
      <w:r w:rsidRPr="00EF5DEC">
        <w:rPr>
          <w:rFonts w:ascii="Calibri" w:eastAsia="Calibri" w:hAnsi="Calibri" w:cs="Times New Roman"/>
          <w:b/>
          <w:bCs/>
          <w:spacing w:val="-1"/>
        </w:rPr>
        <w:t>ou</w:t>
      </w:r>
      <w:r w:rsidRPr="00EF5DEC">
        <w:rPr>
          <w:rFonts w:ascii="Calibri" w:eastAsia="Calibri" w:hAnsi="Calibri" w:cs="Times New Roman"/>
          <w:b/>
          <w:bCs/>
        </w:rPr>
        <w:t>r</w:t>
      </w:r>
      <w:r w:rsidRPr="00EF5DEC">
        <w:rPr>
          <w:rFonts w:ascii="Calibri" w:eastAsia="Calibri" w:hAnsi="Calibri" w:cs="Times New Roman"/>
          <w:b/>
          <w:bCs/>
          <w:spacing w:val="1"/>
        </w:rPr>
        <w:t>c</w:t>
      </w:r>
      <w:r w:rsidRPr="00EF5DEC">
        <w:rPr>
          <w:rFonts w:ascii="Calibri" w:eastAsia="Calibri" w:hAnsi="Calibri" w:cs="Times New Roman"/>
          <w:b/>
          <w:bCs/>
          <w:spacing w:val="-1"/>
        </w:rPr>
        <w:t>e</w:t>
      </w:r>
      <w:r w:rsidRPr="00EF5DEC">
        <w:rPr>
          <w:rFonts w:ascii="Calibri" w:eastAsia="Calibri" w:hAnsi="Calibri" w:cs="Times New Roman"/>
          <w:b/>
          <w:bCs/>
        </w:rPr>
        <w:t>:</w:t>
      </w:r>
    </w:p>
    <w:p w14:paraId="5195B8FE" w14:textId="7072D74A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>Each state’s syndromic surveillance system may be different</w:t>
      </w:r>
      <w:r w:rsidR="00145278">
        <w:t xml:space="preserve"> therefore methods may differ slightly</w:t>
      </w:r>
      <w:r w:rsidRPr="00EF5DEC">
        <w:t>. Some states utilized ESSENCE while others have a different syndromic surveillance system (e.g., NC Detect).</w:t>
      </w:r>
    </w:p>
    <w:p w14:paraId="77E6B8AB" w14:textId="4E0C442C" w:rsidR="00EF5DEC" w:rsidRPr="00EF5DEC" w:rsidRDefault="00145278" w:rsidP="00F8005A">
      <w:pPr>
        <w:pStyle w:val="BodyText"/>
        <w:numPr>
          <w:ilvl w:val="0"/>
          <w:numId w:val="22"/>
        </w:numPr>
      </w:pPr>
      <w:r>
        <w:t>Not all facilities may submit data to</w:t>
      </w:r>
      <w:r w:rsidR="00EF5DEC" w:rsidRPr="00EF5DEC">
        <w:t xml:space="preserve"> </w:t>
      </w:r>
      <w:r>
        <w:t xml:space="preserve">the </w:t>
      </w:r>
      <w:r w:rsidR="00EF5DEC" w:rsidRPr="00EF5DEC">
        <w:t>syndromic surveillance system</w:t>
      </w:r>
      <w:r>
        <w:t>.</w:t>
      </w:r>
    </w:p>
    <w:p w14:paraId="69477480" w14:textId="47A01869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ED datasets from hospital billing and syndromic surveillance (SyS) are not comparable. SyS ED data also collects chief complaint and triage notes information in the form of text. </w:t>
      </w:r>
    </w:p>
    <w:p w14:paraId="754D406B" w14:textId="77777777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ICD-10-CM codes for E-scooter/micro mobility devices were introduced in October 2020. Trends from SyS data starting in October may indicate as a data artifact. </w:t>
      </w:r>
    </w:p>
    <w:p w14:paraId="2FAD349F" w14:textId="77777777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>Classification of e-scooters in hospital billing data are available through ICD-10-CM codes, but they do not contain chief complaint and triage notes text fields.</w:t>
      </w:r>
    </w:p>
    <w:p w14:paraId="22C87308" w14:textId="0AAFFC1E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Syndrome definition may potentially capture other </w:t>
      </w:r>
      <w:r w:rsidR="00145278" w:rsidRPr="00EF5DEC">
        <w:t>non-e</w:t>
      </w:r>
      <w:r w:rsidRPr="00EF5DEC">
        <w:t xml:space="preserve">-scooter ED visits (e.g., mobility scooter). </w:t>
      </w:r>
    </w:p>
    <w:p w14:paraId="7EF1C761" w14:textId="22913279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Possible miscoding (e.g., collision with </w:t>
      </w:r>
      <w:r w:rsidR="00145278">
        <w:t xml:space="preserve">mobility </w:t>
      </w:r>
      <w:r w:rsidRPr="00EF5DEC">
        <w:t>scooter among patients 65+ years of age).</w:t>
      </w:r>
    </w:p>
    <w:p w14:paraId="1C7ACD66" w14:textId="77777777" w:rsidR="00EF5DEC" w:rsidRPr="00EF5DEC" w:rsidRDefault="00EF5DEC" w:rsidP="00F8005A">
      <w:pPr>
        <w:pStyle w:val="BodyText"/>
        <w:numPr>
          <w:ilvl w:val="0"/>
          <w:numId w:val="22"/>
        </w:numPr>
      </w:pPr>
      <w:r w:rsidRPr="00EF5DEC">
        <w:t xml:space="preserve">SyS ED data only captures a portion of the e-scooter injury burden. </w:t>
      </w:r>
    </w:p>
    <w:p w14:paraId="2E2690F5" w14:textId="77777777" w:rsidR="00EF5DEC" w:rsidRPr="00EF5DEC" w:rsidRDefault="00EF5DEC" w:rsidP="00F8005A"/>
    <w:p w14:paraId="1893C4BF" w14:textId="77777777" w:rsidR="00EF5DEC" w:rsidRPr="00EF5DEC" w:rsidRDefault="00EF5DEC" w:rsidP="00EF5DEC">
      <w:pPr>
        <w:outlineLvl w:val="1"/>
        <w:rPr>
          <w:rFonts w:ascii="Calibri" w:eastAsia="Calibri" w:hAnsi="Calibri" w:cs="Times New Roman"/>
          <w:b/>
          <w:bCs/>
        </w:rPr>
      </w:pPr>
      <w:r w:rsidRPr="00EF5DEC">
        <w:rPr>
          <w:rFonts w:ascii="Calibri" w:eastAsia="Calibri" w:hAnsi="Calibri" w:cs="Times New Roman"/>
          <w:b/>
          <w:bCs/>
        </w:rPr>
        <w:t xml:space="preserve">Corresponding death indicator: </w:t>
      </w:r>
    </w:p>
    <w:p w14:paraId="77EFA0A2" w14:textId="6E5BFF56" w:rsidR="00EF5DEC" w:rsidRPr="00EF5DEC" w:rsidRDefault="00EF5DEC" w:rsidP="00F8005A">
      <w:pPr>
        <w:pStyle w:val="BodyText"/>
        <w:numPr>
          <w:ilvl w:val="0"/>
          <w:numId w:val="23"/>
        </w:numPr>
        <w:ind w:left="720"/>
        <w:rPr>
          <w:b/>
        </w:rPr>
      </w:pPr>
      <w:r w:rsidRPr="00EF5DEC">
        <w:t>There are no ICD-10 codes indicating e-scooters and other micromobility devices for death certificate data. Text fields may be used to search for key terms related to e-scooters</w:t>
      </w:r>
      <w:r w:rsidR="001D31FE">
        <w:t>, however, l</w:t>
      </w:r>
      <w:r w:rsidRPr="00EF5DEC">
        <w:t xml:space="preserve">imited details may be provided. Other potential data sources to consider </w:t>
      </w:r>
      <w:r w:rsidR="001D31FE">
        <w:t>are</w:t>
      </w:r>
      <w:r w:rsidRPr="00EF5DEC">
        <w:t xml:space="preserve"> Coroner/Medical Examiner reports and linked crash</w:t>
      </w:r>
      <w:r w:rsidR="001D31FE">
        <w:t>-</w:t>
      </w:r>
      <w:r w:rsidRPr="00EF5DEC">
        <w:t>death data.</w:t>
      </w:r>
    </w:p>
    <w:p w14:paraId="3EF27178" w14:textId="77777777" w:rsidR="00EF5DEC" w:rsidRPr="00EF5DEC" w:rsidRDefault="00EF5DEC" w:rsidP="006940F6"/>
    <w:p w14:paraId="75F7E3EE" w14:textId="77777777" w:rsidR="00EF5DEC" w:rsidRPr="00EF5DEC" w:rsidRDefault="00EF5DEC" w:rsidP="00EF5DEC">
      <w:pPr>
        <w:outlineLvl w:val="1"/>
        <w:rPr>
          <w:rFonts w:ascii="Calibri" w:eastAsia="Calibri" w:hAnsi="Calibri" w:cs="Times New Roman"/>
          <w:b/>
          <w:bCs/>
        </w:rPr>
      </w:pPr>
      <w:r w:rsidRPr="00EF5DEC">
        <w:rPr>
          <w:rFonts w:ascii="Calibri" w:eastAsia="Calibri" w:hAnsi="Calibri" w:cs="Times New Roman"/>
          <w:b/>
          <w:bCs/>
        </w:rPr>
        <w:t xml:space="preserve">Corresponding ED/hospital inpatient indicators: </w:t>
      </w:r>
    </w:p>
    <w:p w14:paraId="30F28EFE" w14:textId="6BACC8A1" w:rsidR="00EF5DEC" w:rsidRPr="00A856B3" w:rsidRDefault="00EF5DEC" w:rsidP="00F8005A">
      <w:pPr>
        <w:pStyle w:val="BodyText"/>
        <w:numPr>
          <w:ilvl w:val="0"/>
          <w:numId w:val="23"/>
        </w:numPr>
        <w:ind w:left="720"/>
        <w:rPr>
          <w:b/>
        </w:rPr>
      </w:pPr>
      <w:r w:rsidRPr="00EF5DEC">
        <w:t>Currently, standardized e-scooter indicators have not been developed using hospital billing data.</w:t>
      </w:r>
    </w:p>
    <w:tbl>
      <w:tblPr>
        <w:tblStyle w:val="TableGrid1"/>
        <w:tblW w:w="8891" w:type="dxa"/>
        <w:jc w:val="center"/>
        <w:tblInd w:w="0" w:type="dxa"/>
        <w:tblLook w:val="04A0" w:firstRow="1" w:lastRow="0" w:firstColumn="1" w:lastColumn="0" w:noHBand="0" w:noVBand="1"/>
      </w:tblPr>
      <w:tblGrid>
        <w:gridCol w:w="1902"/>
        <w:gridCol w:w="6989"/>
      </w:tblGrid>
      <w:tr w:rsidR="00A856B3" w:rsidRPr="00EF5DEC" w14:paraId="5253F0D2" w14:textId="77777777" w:rsidTr="00F8005A">
        <w:trPr>
          <w:jc w:val="center"/>
        </w:trPr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6390" w14:textId="77777777" w:rsidR="00EF5DEC" w:rsidRPr="00EF5DEC" w:rsidRDefault="00EF5DEC" w:rsidP="00EF5DEC">
            <w:pPr>
              <w:jc w:val="center"/>
              <w:outlineLvl w:val="1"/>
              <w:rPr>
                <w:b/>
                <w:bCs/>
              </w:rPr>
            </w:pPr>
            <w:r w:rsidRPr="00EF5DEC">
              <w:rPr>
                <w:b/>
                <w:bCs/>
              </w:rPr>
              <w:t>E-Scooter ICD-10-CM Codes</w:t>
            </w:r>
          </w:p>
        </w:tc>
      </w:tr>
      <w:tr w:rsidR="00296AB1" w:rsidRPr="00EF5DEC" w14:paraId="4A8B23BD" w14:textId="77777777" w:rsidTr="00F8005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F44D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Fall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06E9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V00.841</w:t>
            </w:r>
          </w:p>
        </w:tc>
      </w:tr>
      <w:tr w:rsidR="00296AB1" w:rsidRPr="00EF5DEC" w14:paraId="74561509" w14:textId="77777777" w:rsidTr="00F8005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487F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Traffic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204F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V02.131, V02.931, V03.131, V03.931, V04.131, V04.931</w:t>
            </w:r>
          </w:p>
        </w:tc>
      </w:tr>
      <w:tr w:rsidR="00296AB1" w:rsidRPr="00EF5DEC" w14:paraId="235532E1" w14:textId="77777777" w:rsidTr="00F8005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3795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Non-Traffic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19E9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V01.031, V01.931, V02.031, V03.031, V04.031, V05.031, V05.131, V05.931, V06.031, V06.131, V06.931</w:t>
            </w:r>
          </w:p>
        </w:tc>
      </w:tr>
      <w:tr w:rsidR="00296AB1" w:rsidRPr="00EF5DEC" w14:paraId="16735BA9" w14:textId="77777777" w:rsidTr="00F8005A">
        <w:trPr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AB91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Struck By/Against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CFB1" w14:textId="77777777" w:rsidR="00EF5DEC" w:rsidRPr="00EF5DEC" w:rsidRDefault="00EF5DEC" w:rsidP="00EF5DEC">
            <w:pPr>
              <w:outlineLvl w:val="1"/>
              <w:rPr>
                <w:bCs/>
              </w:rPr>
            </w:pPr>
            <w:r w:rsidRPr="00EF5DEC">
              <w:rPr>
                <w:bCs/>
              </w:rPr>
              <w:t>V00.031, V00.842</w:t>
            </w:r>
          </w:p>
        </w:tc>
      </w:tr>
    </w:tbl>
    <w:p w14:paraId="59FDA51B" w14:textId="47A5F7DA" w:rsidR="00135762" w:rsidRPr="00CB43CB" w:rsidRDefault="00135762" w:rsidP="006940F6">
      <w:pPr>
        <w:pStyle w:val="NoSpacing"/>
        <w:rPr>
          <w:sz w:val="18"/>
          <w:szCs w:val="18"/>
        </w:rPr>
      </w:pPr>
      <w:r w:rsidRPr="00A856B3">
        <w:rPr>
          <w:sz w:val="24"/>
          <w:szCs w:val="24"/>
          <w:vertAlign w:val="superscript"/>
        </w:rPr>
        <w:t>1</w:t>
      </w:r>
      <w:hyperlink r:id="rId7" w:history="1">
        <w:r w:rsidRPr="00A856B3">
          <w:rPr>
            <w:rStyle w:val="Hyperlink"/>
            <w:sz w:val="18"/>
            <w:szCs w:val="18"/>
          </w:rPr>
          <w:t>https://data.bts.gov/stories/s/Bikeshare-and-e-scooters-in-the-U-S-/fwcs-jprj/</w:t>
        </w:r>
      </w:hyperlink>
    </w:p>
    <w:p w14:paraId="7969EFE2" w14:textId="12E01C5C" w:rsidR="00135762" w:rsidRPr="00CB43CB" w:rsidRDefault="00135762" w:rsidP="006940F6">
      <w:pPr>
        <w:pStyle w:val="NoSpacing"/>
        <w:rPr>
          <w:sz w:val="18"/>
          <w:szCs w:val="18"/>
        </w:rPr>
      </w:pPr>
      <w:r w:rsidRPr="00A856B3">
        <w:rPr>
          <w:sz w:val="24"/>
          <w:szCs w:val="24"/>
          <w:vertAlign w:val="superscript"/>
        </w:rPr>
        <w:t>2</w:t>
      </w:r>
      <w:hyperlink r:id="rId8" w:history="1">
        <w:r w:rsidRPr="00A856B3">
          <w:rPr>
            <w:rStyle w:val="Hyperlink"/>
            <w:sz w:val="18"/>
            <w:szCs w:val="18"/>
          </w:rPr>
          <w:t>https://highways.dot.gov/public-roads/spring-2021/micromobility-travel-mode-innovation</w:t>
        </w:r>
      </w:hyperlink>
    </w:p>
    <w:p w14:paraId="31DE09FE" w14:textId="53A5DE2F" w:rsidR="009C377A" w:rsidRPr="006940F6" w:rsidRDefault="009C377A" w:rsidP="006940F6">
      <w:pPr>
        <w:pStyle w:val="NoSpacing"/>
        <w:rPr>
          <w:b/>
        </w:rPr>
      </w:pPr>
      <w:r w:rsidRPr="00A856B3">
        <w:rPr>
          <w:sz w:val="24"/>
          <w:szCs w:val="24"/>
          <w:vertAlign w:val="superscript"/>
        </w:rPr>
        <w:t>3</w:t>
      </w:r>
      <w:hyperlink r:id="rId9" w:history="1">
        <w:r w:rsidR="0070474A" w:rsidRPr="00A856B3">
          <w:rPr>
            <w:rStyle w:val="Hyperlink"/>
            <w:sz w:val="18"/>
            <w:szCs w:val="18"/>
          </w:rPr>
          <w:t>https://www.pedbikeinfo.org/cms/downloads/PBIC_Brief_MicromobilityMidsizeCitiesScan.pdf</w:t>
        </w:r>
      </w:hyperlink>
      <w:r w:rsidRPr="00CB43CB">
        <w:t xml:space="preserve"> </w:t>
      </w:r>
    </w:p>
    <w:sectPr w:rsidR="009C377A" w:rsidRPr="006940F6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380" w:right="152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64CC" w14:textId="77777777" w:rsidR="007F0C91" w:rsidRDefault="007F0C91">
      <w:r>
        <w:separator/>
      </w:r>
    </w:p>
  </w:endnote>
  <w:endnote w:type="continuationSeparator" w:id="0">
    <w:p w14:paraId="344B587C" w14:textId="77777777" w:rsidR="007F0C91" w:rsidRDefault="007F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399F5" w14:textId="087E7349" w:rsidR="007C0318" w:rsidRDefault="004930EC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D81A672" wp14:editId="60932850">
              <wp:simplePos x="0" y="0"/>
              <wp:positionH relativeFrom="page">
                <wp:posOffset>901700</wp:posOffset>
              </wp:positionH>
              <wp:positionV relativeFrom="page">
                <wp:posOffset>9446260</wp:posOffset>
              </wp:positionV>
              <wp:extent cx="49784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8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B560E" w14:textId="77777777" w:rsidR="007C0318" w:rsidRDefault="00112195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This 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was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vel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ed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pa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of 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TE 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 Inj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ry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rvei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ce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lkit.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1A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43.8pt;width:392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" filled="f" stroked="f">
              <v:textbox inset="0,0,0,0">
                <w:txbxContent>
                  <w:p w14:paraId="21DB560E" w14:textId="77777777" w:rsidR="007C0318" w:rsidRDefault="0011219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</w:rPr>
                      <w:t>This d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ment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was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vel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ed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pa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of 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TE I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 Inj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ry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rvei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ce 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lkit.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C9C17" w14:textId="77777777" w:rsidR="007F0C91" w:rsidRDefault="007F0C91">
      <w:r>
        <w:separator/>
      </w:r>
    </w:p>
  </w:footnote>
  <w:footnote w:type="continuationSeparator" w:id="0">
    <w:p w14:paraId="3936E63A" w14:textId="77777777" w:rsidR="007F0C91" w:rsidRDefault="007F0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20171" w14:textId="5F16FEB5" w:rsidR="00037B93" w:rsidRDefault="00145278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8752" w14:textId="77B64FD4" w:rsidR="00B76640" w:rsidRDefault="00F72EC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672827D" wp14:editId="282161BE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71628" cy="1266825"/>
          <wp:effectExtent l="0" t="0" r="127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3" name="Picture 3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628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5278"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8B49" w14:textId="788142B0" w:rsidR="00037B93" w:rsidRDefault="00145278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34771"/>
    <w:multiLevelType w:val="hybridMultilevel"/>
    <w:tmpl w:val="5F629450"/>
    <w:lvl w:ilvl="0" w:tplc="6B74A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7E47"/>
    <w:multiLevelType w:val="hybridMultilevel"/>
    <w:tmpl w:val="8488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B6809C3"/>
    <w:multiLevelType w:val="hybridMultilevel"/>
    <w:tmpl w:val="40348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AD2F32"/>
    <w:multiLevelType w:val="hybridMultilevel"/>
    <w:tmpl w:val="7D8836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582D69"/>
    <w:multiLevelType w:val="hybridMultilevel"/>
    <w:tmpl w:val="791E0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20389"/>
    <w:multiLevelType w:val="hybridMultilevel"/>
    <w:tmpl w:val="B5923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027A9"/>
    <w:multiLevelType w:val="hybridMultilevel"/>
    <w:tmpl w:val="668A5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D7039"/>
    <w:multiLevelType w:val="hybridMultilevel"/>
    <w:tmpl w:val="F142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D0176"/>
    <w:multiLevelType w:val="hybridMultilevel"/>
    <w:tmpl w:val="6548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04870"/>
    <w:multiLevelType w:val="hybridMultilevel"/>
    <w:tmpl w:val="88F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E7790"/>
    <w:multiLevelType w:val="hybridMultilevel"/>
    <w:tmpl w:val="1DB40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05D63"/>
    <w:multiLevelType w:val="hybridMultilevel"/>
    <w:tmpl w:val="F5FEB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DD70EB"/>
    <w:multiLevelType w:val="hybridMultilevel"/>
    <w:tmpl w:val="5BC4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77F3C"/>
    <w:multiLevelType w:val="hybridMultilevel"/>
    <w:tmpl w:val="EE1E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9"/>
  </w:num>
  <w:num w:numId="5">
    <w:abstractNumId w:val="9"/>
  </w:num>
  <w:num w:numId="6">
    <w:abstractNumId w:val="11"/>
  </w:num>
  <w:num w:numId="7">
    <w:abstractNumId w:val="17"/>
  </w:num>
  <w:num w:numId="8">
    <w:abstractNumId w:val="18"/>
  </w:num>
  <w:num w:numId="9">
    <w:abstractNumId w:val="16"/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</w:num>
  <w:num w:numId="14">
    <w:abstractNumId w:val="8"/>
  </w:num>
  <w:num w:numId="15">
    <w:abstractNumId w:val="6"/>
  </w:num>
  <w:num w:numId="16">
    <w:abstractNumId w:val="13"/>
  </w:num>
  <w:num w:numId="17">
    <w:abstractNumId w:val="10"/>
  </w:num>
  <w:num w:numId="18">
    <w:abstractNumId w:val="1"/>
  </w:num>
  <w:num w:numId="19">
    <w:abstractNumId w:val="2"/>
  </w:num>
  <w:num w:numId="20">
    <w:abstractNumId w:val="14"/>
  </w:num>
  <w:num w:numId="21">
    <w:abstractNumId w:val="12"/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18"/>
    <w:rsid w:val="00037B93"/>
    <w:rsid w:val="00094050"/>
    <w:rsid w:val="000C5B7F"/>
    <w:rsid w:val="000D6295"/>
    <w:rsid w:val="000F2C17"/>
    <w:rsid w:val="000F35AE"/>
    <w:rsid w:val="00100530"/>
    <w:rsid w:val="0010411A"/>
    <w:rsid w:val="0011079D"/>
    <w:rsid w:val="001116CA"/>
    <w:rsid w:val="00112195"/>
    <w:rsid w:val="00121171"/>
    <w:rsid w:val="00135762"/>
    <w:rsid w:val="00145278"/>
    <w:rsid w:val="0017600A"/>
    <w:rsid w:val="00180166"/>
    <w:rsid w:val="001872D6"/>
    <w:rsid w:val="001B54FA"/>
    <w:rsid w:val="001C7615"/>
    <w:rsid w:val="001D31FE"/>
    <w:rsid w:val="002259E9"/>
    <w:rsid w:val="00285A27"/>
    <w:rsid w:val="002944A0"/>
    <w:rsid w:val="00296AB1"/>
    <w:rsid w:val="002E72FD"/>
    <w:rsid w:val="003068E0"/>
    <w:rsid w:val="00306CAC"/>
    <w:rsid w:val="00331F7B"/>
    <w:rsid w:val="003713CE"/>
    <w:rsid w:val="00401EEA"/>
    <w:rsid w:val="00405B02"/>
    <w:rsid w:val="004135D9"/>
    <w:rsid w:val="00416FB5"/>
    <w:rsid w:val="00421FD3"/>
    <w:rsid w:val="0048338D"/>
    <w:rsid w:val="004930EC"/>
    <w:rsid w:val="004F1FC8"/>
    <w:rsid w:val="00532C82"/>
    <w:rsid w:val="00546E68"/>
    <w:rsid w:val="00567E81"/>
    <w:rsid w:val="00576FDA"/>
    <w:rsid w:val="00581F64"/>
    <w:rsid w:val="00594924"/>
    <w:rsid w:val="005A31E5"/>
    <w:rsid w:val="005C17A1"/>
    <w:rsid w:val="005C73C0"/>
    <w:rsid w:val="005C7EAF"/>
    <w:rsid w:val="005E3123"/>
    <w:rsid w:val="00600B11"/>
    <w:rsid w:val="00615124"/>
    <w:rsid w:val="00615694"/>
    <w:rsid w:val="00644002"/>
    <w:rsid w:val="00676D00"/>
    <w:rsid w:val="00692E48"/>
    <w:rsid w:val="006940F6"/>
    <w:rsid w:val="006B6B4B"/>
    <w:rsid w:val="006C7E88"/>
    <w:rsid w:val="006E7C65"/>
    <w:rsid w:val="006F02B8"/>
    <w:rsid w:val="0070474A"/>
    <w:rsid w:val="00715857"/>
    <w:rsid w:val="00720969"/>
    <w:rsid w:val="00781CC0"/>
    <w:rsid w:val="007918A4"/>
    <w:rsid w:val="00797C04"/>
    <w:rsid w:val="007C0318"/>
    <w:rsid w:val="007F0C91"/>
    <w:rsid w:val="007F69BD"/>
    <w:rsid w:val="00814F9A"/>
    <w:rsid w:val="00820538"/>
    <w:rsid w:val="008E5D23"/>
    <w:rsid w:val="009177A0"/>
    <w:rsid w:val="00926534"/>
    <w:rsid w:val="00960374"/>
    <w:rsid w:val="00971B10"/>
    <w:rsid w:val="0098282B"/>
    <w:rsid w:val="00992A00"/>
    <w:rsid w:val="009B1020"/>
    <w:rsid w:val="009B6050"/>
    <w:rsid w:val="009C377A"/>
    <w:rsid w:val="00A1363F"/>
    <w:rsid w:val="00A856B3"/>
    <w:rsid w:val="00AD65FB"/>
    <w:rsid w:val="00AE41D9"/>
    <w:rsid w:val="00B10EEF"/>
    <w:rsid w:val="00B130F5"/>
    <w:rsid w:val="00B21425"/>
    <w:rsid w:val="00B36CF7"/>
    <w:rsid w:val="00B63D9D"/>
    <w:rsid w:val="00B71F79"/>
    <w:rsid w:val="00B76640"/>
    <w:rsid w:val="00BB6C52"/>
    <w:rsid w:val="00BB7ED4"/>
    <w:rsid w:val="00C16238"/>
    <w:rsid w:val="00C34C1C"/>
    <w:rsid w:val="00CB43CB"/>
    <w:rsid w:val="00CE01C7"/>
    <w:rsid w:val="00CF3320"/>
    <w:rsid w:val="00CF70F5"/>
    <w:rsid w:val="00D43758"/>
    <w:rsid w:val="00D50B0A"/>
    <w:rsid w:val="00D67E88"/>
    <w:rsid w:val="00D71142"/>
    <w:rsid w:val="00D955C7"/>
    <w:rsid w:val="00DB642F"/>
    <w:rsid w:val="00DE1BB4"/>
    <w:rsid w:val="00DE217E"/>
    <w:rsid w:val="00DE613F"/>
    <w:rsid w:val="00E03B6D"/>
    <w:rsid w:val="00E33948"/>
    <w:rsid w:val="00E36BC3"/>
    <w:rsid w:val="00E54F6E"/>
    <w:rsid w:val="00E66176"/>
    <w:rsid w:val="00EB379F"/>
    <w:rsid w:val="00EC277B"/>
    <w:rsid w:val="00EC5130"/>
    <w:rsid w:val="00ED414A"/>
    <w:rsid w:val="00EE602E"/>
    <w:rsid w:val="00EF5DEC"/>
    <w:rsid w:val="00F1400B"/>
    <w:rsid w:val="00F23D7E"/>
    <w:rsid w:val="00F32CA4"/>
    <w:rsid w:val="00F33440"/>
    <w:rsid w:val="00F51F89"/>
    <w:rsid w:val="00F72ECA"/>
    <w:rsid w:val="00F8005A"/>
    <w:rsid w:val="00F8478E"/>
    <w:rsid w:val="00FA15D7"/>
    <w:rsid w:val="00FA58E2"/>
    <w:rsid w:val="00FA737B"/>
    <w:rsid w:val="00FB5302"/>
    <w:rsid w:val="00FC1B3F"/>
    <w:rsid w:val="00FC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Hyperlink">
    <w:name w:val="Hyperlink"/>
    <w:basedOn w:val="DefaultParagraphFont"/>
    <w:uiPriority w:val="99"/>
    <w:unhideWhenUsed/>
    <w:rsid w:val="007158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85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644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5DEC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B43CB"/>
    <w:pPr>
      <w:widowControl/>
    </w:pPr>
  </w:style>
  <w:style w:type="paragraph" w:styleId="NoSpacing">
    <w:name w:val="No Spacing"/>
    <w:uiPriority w:val="1"/>
    <w:qFormat/>
    <w:rsid w:val="00694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ghways.dot.gov/public-roads/spring-2021/micromobility-travel-mode-innovation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data.bts.gov/stories/s/Bikeshare-and-e-scooters-in-the-U-S-/fwcs-jprj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edbikeinfo.org/cms/downloads/PBIC_Brief_MicromobilityMidsizeCitiesScan.pdf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Jennifer Kline</cp:lastModifiedBy>
  <cp:revision>28</cp:revision>
  <dcterms:created xsi:type="dcterms:W3CDTF">2022-06-02T15:01:00Z</dcterms:created>
  <dcterms:modified xsi:type="dcterms:W3CDTF">2022-09-01T16:10:00Z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