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08B38" w14:textId="1F73153F" w:rsidR="007C0318" w:rsidRDefault="00AF22F5" w:rsidP="00E61C3E">
      <w:pPr>
        <w:pStyle w:val="Heading1"/>
        <w:ind w:left="0"/>
        <w:rPr>
          <w:b w:val="0"/>
          <w:bCs w:val="0"/>
          <w:u w:val="none"/>
        </w:rPr>
      </w:pPr>
      <w:r>
        <w:rPr>
          <w:color w:val="001F5F"/>
          <w:spacing w:val="-2"/>
          <w:u w:val="none"/>
        </w:rPr>
        <w:t xml:space="preserve">Off-Highway </w:t>
      </w:r>
      <w:r w:rsidR="004B01A9">
        <w:rPr>
          <w:color w:val="001F5F"/>
          <w:spacing w:val="-2"/>
          <w:u w:val="none"/>
        </w:rPr>
        <w:t xml:space="preserve">Motor </w:t>
      </w:r>
      <w:r>
        <w:rPr>
          <w:color w:val="001F5F"/>
          <w:spacing w:val="-2"/>
          <w:u w:val="none"/>
        </w:rPr>
        <w:t>Vehicle</w:t>
      </w:r>
      <w:r w:rsidR="00850096">
        <w:rPr>
          <w:color w:val="001F5F"/>
          <w:spacing w:val="-2"/>
          <w:u w:val="none"/>
        </w:rPr>
        <w:t xml:space="preserve">-Related </w:t>
      </w:r>
      <w:r w:rsidR="00F26149">
        <w:rPr>
          <w:color w:val="001F5F"/>
          <w:spacing w:val="-2"/>
          <w:u w:val="none"/>
        </w:rPr>
        <w:t xml:space="preserve">Occupant </w:t>
      </w:r>
      <w:r w:rsidR="00850096">
        <w:rPr>
          <w:color w:val="001F5F"/>
          <w:spacing w:val="-2"/>
          <w:u w:val="none"/>
        </w:rPr>
        <w:t>Injury</w:t>
      </w:r>
      <w:r w:rsidR="00FF49E6">
        <w:rPr>
          <w:color w:val="001F5F"/>
          <w:spacing w:val="-2"/>
          <w:u w:val="none"/>
        </w:rPr>
        <w:t>, Nontraffic</w:t>
      </w:r>
    </w:p>
    <w:p w14:paraId="0185D069" w14:textId="494A1979" w:rsidR="007C0318" w:rsidRPr="00ED6953" w:rsidRDefault="00CA4569" w:rsidP="00362845">
      <w:pPr>
        <w:rPr>
          <w:rFonts w:ascii="Calibri" w:eastAsia="Calibri" w:hAnsi="Calibri" w:cs="Calibri"/>
        </w:rPr>
      </w:pPr>
      <w:r w:rsidRPr="00ED6953">
        <w:rPr>
          <w:rFonts w:ascii="Calibri" w:eastAsia="Calibri" w:hAnsi="Calibri" w:cs="Calibri"/>
          <w:b/>
          <w:bCs/>
          <w:color w:val="001F5F"/>
          <w:u w:val="thick" w:color="001F5F"/>
        </w:rPr>
        <w:t xml:space="preserve">Nonfatal </w:t>
      </w:r>
      <w:r w:rsidR="00FF49E6" w:rsidRPr="00ED6953">
        <w:rPr>
          <w:rFonts w:ascii="Calibri" w:eastAsia="Calibri" w:hAnsi="Calibri" w:cs="Calibri"/>
          <w:b/>
          <w:bCs/>
          <w:color w:val="001F5F"/>
          <w:u w:val="thick" w:color="001F5F"/>
        </w:rPr>
        <w:t>ED Visits</w:t>
      </w:r>
      <w:r w:rsidR="00CA121D">
        <w:rPr>
          <w:rFonts w:ascii="Calibri" w:eastAsia="Calibri" w:hAnsi="Calibri" w:cs="Calibri"/>
          <w:b/>
          <w:bCs/>
          <w:color w:val="001F5F"/>
          <w:u w:val="thick" w:color="001F5F"/>
        </w:rPr>
        <w:t xml:space="preserve"> and </w:t>
      </w:r>
      <w:r w:rsidR="00FF49E6" w:rsidRPr="00ED6953">
        <w:rPr>
          <w:rFonts w:ascii="Calibri" w:eastAsia="Calibri" w:hAnsi="Calibri" w:cs="Calibri"/>
          <w:b/>
          <w:bCs/>
          <w:color w:val="001F5F"/>
          <w:u w:val="thick" w:color="001F5F"/>
        </w:rPr>
        <w:t>Hospitalizations</w:t>
      </w:r>
    </w:p>
    <w:p w14:paraId="37DA2BC8" w14:textId="0432ED8C" w:rsidR="0017600A" w:rsidRDefault="0017600A" w:rsidP="00B76640">
      <w:pPr>
        <w:pStyle w:val="Heading2"/>
        <w:spacing w:before="56"/>
        <w:ind w:left="0"/>
      </w:pPr>
      <w:r>
        <w:t>Background Information</w:t>
      </w:r>
      <w:r w:rsidR="00532C82">
        <w:t>/Significance</w:t>
      </w:r>
    </w:p>
    <w:p w14:paraId="58009AF4" w14:textId="5F8CF6B9" w:rsidR="00157DC0" w:rsidRDefault="00E00651" w:rsidP="009229BF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This </w:t>
      </w:r>
      <w:r w:rsidR="00A72A01">
        <w:rPr>
          <w:color w:val="1A1A1A"/>
          <w:sz w:val="20"/>
          <w:szCs w:val="20"/>
        </w:rPr>
        <w:t xml:space="preserve">morbidity </w:t>
      </w:r>
      <w:r>
        <w:rPr>
          <w:color w:val="1A1A1A"/>
          <w:sz w:val="20"/>
          <w:szCs w:val="20"/>
        </w:rPr>
        <w:t>indicator measures off</w:t>
      </w:r>
      <w:r w:rsidR="00797495">
        <w:rPr>
          <w:color w:val="1A1A1A"/>
          <w:sz w:val="20"/>
          <w:szCs w:val="20"/>
        </w:rPr>
        <w:t>-highway motor vehicle</w:t>
      </w:r>
      <w:r w:rsidR="00B76876">
        <w:rPr>
          <w:color w:val="1A1A1A"/>
          <w:sz w:val="20"/>
          <w:szCs w:val="20"/>
        </w:rPr>
        <w:t xml:space="preserve"> (OHV)</w:t>
      </w:r>
      <w:r>
        <w:rPr>
          <w:color w:val="1A1A1A"/>
          <w:sz w:val="20"/>
          <w:szCs w:val="20"/>
        </w:rPr>
        <w:t xml:space="preserve"> occupants injured in nontraffic incidents</w:t>
      </w:r>
    </w:p>
    <w:p w14:paraId="0C1D28E1" w14:textId="35234203" w:rsidR="00CF749D" w:rsidRPr="000401A5" w:rsidRDefault="00CF749D" w:rsidP="009229BF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0401A5">
        <w:rPr>
          <w:color w:val="1A1A1A"/>
          <w:sz w:val="20"/>
          <w:szCs w:val="20"/>
        </w:rPr>
        <w:t>Transport incidents involving motor vehicles are considered “traffic” incidents if they occur on a public highway or street</w:t>
      </w:r>
      <w:r w:rsidR="00B7203A">
        <w:rPr>
          <w:color w:val="1A1A1A"/>
          <w:sz w:val="20"/>
          <w:szCs w:val="20"/>
        </w:rPr>
        <w:t>.</w:t>
      </w:r>
      <w:r w:rsidRPr="000401A5">
        <w:rPr>
          <w:color w:val="1A1A1A"/>
          <w:sz w:val="20"/>
          <w:szCs w:val="20"/>
        </w:rPr>
        <w:t xml:space="preserve"> “</w:t>
      </w:r>
      <w:r w:rsidR="00B7203A">
        <w:rPr>
          <w:color w:val="1A1A1A"/>
          <w:sz w:val="20"/>
          <w:szCs w:val="20"/>
        </w:rPr>
        <w:t>N</w:t>
      </w:r>
      <w:r w:rsidRPr="000401A5">
        <w:rPr>
          <w:color w:val="1A1A1A"/>
          <w:sz w:val="20"/>
          <w:szCs w:val="20"/>
        </w:rPr>
        <w:t>ontraffic” incident</w:t>
      </w:r>
      <w:r w:rsidR="00B7203A">
        <w:rPr>
          <w:color w:val="1A1A1A"/>
          <w:sz w:val="20"/>
          <w:szCs w:val="20"/>
        </w:rPr>
        <w:t>s</w:t>
      </w:r>
      <w:r w:rsidRPr="000401A5">
        <w:rPr>
          <w:color w:val="1A1A1A"/>
          <w:sz w:val="20"/>
          <w:szCs w:val="20"/>
        </w:rPr>
        <w:t xml:space="preserve"> occur entirely in any place other than a public highway or street.</w:t>
      </w:r>
    </w:p>
    <w:p w14:paraId="10D56A97" w14:textId="4B9DD8BF" w:rsidR="005B52DE" w:rsidRDefault="00AB0653" w:rsidP="009229BF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7475F1">
        <w:rPr>
          <w:color w:val="1A1A1A"/>
          <w:sz w:val="20"/>
          <w:szCs w:val="20"/>
        </w:rPr>
        <w:t>E</w:t>
      </w:r>
      <w:r w:rsidR="007B5AAC" w:rsidRPr="007475F1">
        <w:rPr>
          <w:color w:val="1A1A1A"/>
          <w:sz w:val="20"/>
          <w:szCs w:val="20"/>
        </w:rPr>
        <w:t xml:space="preserve">xisting </w:t>
      </w:r>
      <w:r w:rsidRPr="007475F1">
        <w:rPr>
          <w:color w:val="1A1A1A"/>
          <w:sz w:val="20"/>
          <w:szCs w:val="20"/>
        </w:rPr>
        <w:t>morbidity and mortality indicators for</w:t>
      </w:r>
      <w:r w:rsidR="00C10E55" w:rsidRPr="007475F1">
        <w:rPr>
          <w:color w:val="1A1A1A"/>
          <w:sz w:val="20"/>
          <w:szCs w:val="20"/>
        </w:rPr>
        <w:t xml:space="preserve"> </w:t>
      </w:r>
      <w:r w:rsidR="007B5AAC" w:rsidRPr="007475F1">
        <w:rPr>
          <w:color w:val="1A1A1A"/>
          <w:sz w:val="20"/>
          <w:szCs w:val="20"/>
        </w:rPr>
        <w:t xml:space="preserve">motor vehicle-related </w:t>
      </w:r>
      <w:r w:rsidR="00C10E55" w:rsidRPr="007475F1">
        <w:rPr>
          <w:color w:val="1A1A1A"/>
          <w:sz w:val="20"/>
          <w:szCs w:val="20"/>
        </w:rPr>
        <w:t xml:space="preserve">injury focus </w:t>
      </w:r>
      <w:r w:rsidRPr="007475F1">
        <w:rPr>
          <w:color w:val="1A1A1A"/>
          <w:sz w:val="20"/>
          <w:szCs w:val="20"/>
        </w:rPr>
        <w:t>on</w:t>
      </w:r>
      <w:r w:rsidR="00C10E55" w:rsidRPr="007475F1">
        <w:rPr>
          <w:color w:val="1A1A1A"/>
          <w:sz w:val="20"/>
          <w:szCs w:val="20"/>
        </w:rPr>
        <w:t xml:space="preserve"> </w:t>
      </w:r>
      <w:r w:rsidR="007B5AAC" w:rsidRPr="007475F1">
        <w:rPr>
          <w:color w:val="1A1A1A"/>
          <w:sz w:val="20"/>
          <w:szCs w:val="20"/>
        </w:rPr>
        <w:t>traffic incidents</w:t>
      </w:r>
      <w:r w:rsidR="00D30FB2">
        <w:rPr>
          <w:color w:val="1A1A1A"/>
          <w:sz w:val="20"/>
          <w:szCs w:val="20"/>
        </w:rPr>
        <w:t>.</w:t>
      </w:r>
    </w:p>
    <w:p w14:paraId="0955D2A7" w14:textId="514815AC" w:rsidR="00DD23E4" w:rsidRDefault="004E4EB6" w:rsidP="009229BF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>Monitoring</w:t>
      </w:r>
      <w:r w:rsidR="003C62DC">
        <w:rPr>
          <w:color w:val="1A1A1A"/>
          <w:sz w:val="20"/>
          <w:szCs w:val="20"/>
        </w:rPr>
        <w:t xml:space="preserve"> injuries due to </w:t>
      </w:r>
      <w:r w:rsidR="00665695">
        <w:rPr>
          <w:color w:val="1A1A1A"/>
          <w:sz w:val="20"/>
          <w:szCs w:val="20"/>
        </w:rPr>
        <w:t>nontraffic in</w:t>
      </w:r>
      <w:r w:rsidR="000D58FA">
        <w:rPr>
          <w:color w:val="1A1A1A"/>
          <w:sz w:val="20"/>
          <w:szCs w:val="20"/>
        </w:rPr>
        <w:t>cidents</w:t>
      </w:r>
      <w:r w:rsidR="009761BA">
        <w:rPr>
          <w:color w:val="1A1A1A"/>
          <w:sz w:val="20"/>
          <w:szCs w:val="20"/>
        </w:rPr>
        <w:t xml:space="preserve"> may lead to improved prevention strategies</w:t>
      </w:r>
      <w:r w:rsidR="00665695">
        <w:rPr>
          <w:color w:val="1A1A1A"/>
          <w:sz w:val="20"/>
          <w:szCs w:val="20"/>
        </w:rPr>
        <w:t>, especially for occupants of certain vehicle types</w:t>
      </w:r>
      <w:r w:rsidR="009761BA">
        <w:rPr>
          <w:color w:val="1A1A1A"/>
          <w:sz w:val="20"/>
          <w:szCs w:val="20"/>
        </w:rPr>
        <w:t xml:space="preserve"> </w:t>
      </w:r>
      <w:r w:rsidR="005071EE">
        <w:rPr>
          <w:color w:val="1A1A1A"/>
          <w:sz w:val="20"/>
          <w:szCs w:val="20"/>
        </w:rPr>
        <w:t>such as off-highway motor vehicles</w:t>
      </w:r>
      <w:r w:rsidR="00DD23E4">
        <w:rPr>
          <w:color w:val="1A1A1A"/>
          <w:sz w:val="20"/>
          <w:szCs w:val="20"/>
        </w:rPr>
        <w:t xml:space="preserve"> (OHVs)</w:t>
      </w:r>
      <w:r w:rsidR="00665695">
        <w:rPr>
          <w:color w:val="1A1A1A"/>
          <w:sz w:val="20"/>
          <w:szCs w:val="20"/>
        </w:rPr>
        <w:t>.</w:t>
      </w:r>
    </w:p>
    <w:p w14:paraId="44CBD855" w14:textId="2FEFA99E" w:rsidR="00E245AD" w:rsidRPr="00DD23E4" w:rsidRDefault="00DD23E4" w:rsidP="009229BF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OHVs</w:t>
      </w:r>
      <w:r w:rsidR="00E245AD" w:rsidRPr="00DD23E4">
        <w:rPr>
          <w:color w:val="1A1A1A"/>
          <w:sz w:val="20"/>
          <w:szCs w:val="20"/>
        </w:rPr>
        <w:t xml:space="preserve"> are motor vehicle capable of off-highway travel during winter or summer</w:t>
      </w:r>
      <w:r w:rsidRPr="00DD23E4">
        <w:rPr>
          <w:color w:val="1A1A1A"/>
          <w:sz w:val="20"/>
          <w:szCs w:val="20"/>
        </w:rPr>
        <w:t>,</w:t>
      </w:r>
      <w:r w:rsidR="00E245AD" w:rsidRPr="00DD23E4">
        <w:rPr>
          <w:color w:val="1A1A1A"/>
          <w:sz w:val="20"/>
          <w:szCs w:val="20"/>
        </w:rPr>
        <w:t xml:space="preserve"> includ</w:t>
      </w:r>
      <w:r w:rsidRPr="00DD23E4">
        <w:rPr>
          <w:color w:val="1A1A1A"/>
          <w:sz w:val="20"/>
          <w:szCs w:val="20"/>
        </w:rPr>
        <w:t>ing</w:t>
      </w:r>
      <w:r w:rsidR="00E245AD" w:rsidRPr="00DD23E4">
        <w:rPr>
          <w:color w:val="1A1A1A"/>
          <w:sz w:val="20"/>
          <w:szCs w:val="20"/>
        </w:rPr>
        <w:t xml:space="preserve"> three- or four-wheeled all-terrain vehicles (ATV’s), dirt bikes, snowmobiles, and dune buggies.</w:t>
      </w:r>
    </w:p>
    <w:p w14:paraId="08818239" w14:textId="19E8D1CD" w:rsidR="00CF70F5" w:rsidRPr="00B76640" w:rsidRDefault="00112195" w:rsidP="0017600A">
      <w:pPr>
        <w:pStyle w:val="Heading2"/>
        <w:ind w:left="0"/>
        <w:rPr>
          <w:b w:val="0"/>
          <w:bCs w:val="0"/>
        </w:rPr>
      </w:pPr>
      <w:r>
        <w:t>N</w:t>
      </w:r>
      <w:r>
        <w:rPr>
          <w:spacing w:val="-1"/>
        </w:rPr>
        <w:t>u</w:t>
      </w:r>
      <w:r>
        <w:t>merat</w:t>
      </w:r>
      <w:r>
        <w:rPr>
          <w:spacing w:val="-2"/>
        </w:rPr>
        <w:t>o</w:t>
      </w:r>
      <w:r>
        <w:t>r</w:t>
      </w:r>
      <w:r w:rsidR="00A158DC">
        <w:t>:</w:t>
      </w:r>
    </w:p>
    <w:p w14:paraId="1BA5C011" w14:textId="03DB3726" w:rsidR="00B76640" w:rsidRPr="00DD23E4" w:rsidRDefault="00A42E96" w:rsidP="00DD23E4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Records from</w:t>
      </w:r>
      <w:r w:rsidR="005C519A" w:rsidRPr="00DD23E4">
        <w:rPr>
          <w:color w:val="1A1A1A"/>
          <w:sz w:val="20"/>
          <w:szCs w:val="20"/>
        </w:rPr>
        <w:t xml:space="preserve"> the</w:t>
      </w:r>
      <w:r w:rsidRPr="00DD23E4">
        <w:rPr>
          <w:color w:val="1A1A1A"/>
          <w:sz w:val="20"/>
          <w:szCs w:val="20"/>
        </w:rPr>
        <w:t xml:space="preserve"> </w:t>
      </w:r>
      <w:r w:rsidR="005C519A" w:rsidRPr="00DD23E4">
        <w:rPr>
          <w:color w:val="1A1A1A"/>
          <w:sz w:val="20"/>
          <w:szCs w:val="20"/>
        </w:rPr>
        <w:t>ED visit or hospitalization injury subset</w:t>
      </w:r>
      <w:r w:rsidRPr="00DD23E4">
        <w:rPr>
          <w:color w:val="1A1A1A"/>
          <w:sz w:val="20"/>
          <w:szCs w:val="20"/>
        </w:rPr>
        <w:t xml:space="preserve"> with </w:t>
      </w:r>
      <w:r w:rsidR="002D5F55" w:rsidRPr="00DD23E4">
        <w:rPr>
          <w:color w:val="1A1A1A"/>
          <w:sz w:val="20"/>
          <w:szCs w:val="20"/>
        </w:rPr>
        <w:t>any of the following ICD</w:t>
      </w:r>
      <w:r w:rsidR="00EA1FBB" w:rsidRPr="00DD23E4">
        <w:rPr>
          <w:color w:val="1A1A1A"/>
          <w:sz w:val="20"/>
          <w:szCs w:val="20"/>
        </w:rPr>
        <w:t>-</w:t>
      </w:r>
      <w:r w:rsidR="002D5F55" w:rsidRPr="00DD23E4">
        <w:rPr>
          <w:color w:val="1A1A1A"/>
          <w:sz w:val="20"/>
          <w:szCs w:val="20"/>
        </w:rPr>
        <w:t>10-CM external cause of injury codes in any field</w:t>
      </w:r>
    </w:p>
    <w:p w14:paraId="2A9BE93A" w14:textId="5B279E6C" w:rsidR="002D5F55" w:rsidRPr="00DD23E4" w:rsidRDefault="002D5F55" w:rsidP="00DD23E4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Exclude in-facility deaths</w:t>
      </w:r>
    </w:p>
    <w:p w14:paraId="039C88E2" w14:textId="59F03088" w:rsidR="007C0318" w:rsidRDefault="002D5F55" w:rsidP="00B76640">
      <w:pPr>
        <w:pStyle w:val="BodyText"/>
        <w:ind w:left="0" w:firstLine="0"/>
      </w:pPr>
      <w:r>
        <w:rPr>
          <w:color w:val="2E5395"/>
          <w:u w:val="single" w:color="2E5395"/>
        </w:rPr>
        <w:t>Codes* for occupant of OHV injured in unintentional nontraffic incident</w:t>
      </w:r>
    </w:p>
    <w:tbl>
      <w:tblPr>
        <w:tblW w:w="9502" w:type="dxa"/>
        <w:tblInd w:w="58" w:type="dxa"/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4012"/>
        <w:gridCol w:w="5490"/>
      </w:tblGrid>
      <w:tr w:rsidR="00E61C3E" w:rsidRPr="00DD23E4" w14:paraId="69006453" w14:textId="42A4574B" w:rsidTr="00A114AC">
        <w:trPr>
          <w:cantSplit/>
        </w:trPr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BFAC7" w14:textId="37A80FDD" w:rsidR="00E61C3E" w:rsidRPr="00DD23E4" w:rsidRDefault="00E61C3E" w:rsidP="005E0BC5">
            <w:pPr>
              <w:pStyle w:val="TableParagraph"/>
              <w:ind w:right="146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DD23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ICD-10-CM Code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0725E" w14:textId="17E551B3" w:rsidR="00E61C3E" w:rsidRPr="00DD23E4" w:rsidRDefault="00E61C3E" w:rsidP="005E0BC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DD23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Description</w:t>
            </w:r>
          </w:p>
        </w:tc>
      </w:tr>
      <w:tr w:rsidR="00E61C3E" w:rsidRPr="00DD23E4" w14:paraId="7826E185" w14:textId="04C55DF8" w:rsidTr="00A114AC">
        <w:trPr>
          <w:cantSplit/>
          <w:trHeight w:val="58"/>
        </w:trPr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5BEBC" w14:textId="2A16116F" w:rsidR="00E61C3E" w:rsidRPr="00DD23E4" w:rsidRDefault="00E61C3E" w:rsidP="005E0BC5">
            <w:pPr>
              <w:pStyle w:val="TableParagraph"/>
              <w:ind w:right="146"/>
              <w:rPr>
                <w:rFonts w:ascii="Calibri" w:eastAsia="Calibri" w:hAnsi="Calibri" w:cs="Calibri"/>
                <w:sz w:val="20"/>
                <w:szCs w:val="20"/>
              </w:rPr>
            </w:pPr>
            <w:r w:rsidRPr="00DD23E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V86.45X</w:t>
            </w:r>
            <w:r w:rsidRPr="00DD23E4">
              <w:rPr>
                <w:rFonts w:ascii="Calibri" w:eastAsia="Calibri" w:hAnsi="Calibri" w:cs="Calibri"/>
                <w:sz w:val="20"/>
                <w:szCs w:val="20"/>
              </w:rPr>
              <w:t>, V86.55X, V86.65X, V86.75X, V86.95X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3126F" w14:textId="0BA53090" w:rsidR="00E61C3E" w:rsidRPr="00DD23E4" w:rsidRDefault="009229BF" w:rsidP="005E0BC5">
            <w:pPr>
              <w:pStyle w:val="TableParagraph"/>
              <w:ind w:right="14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Occupant of </w:t>
            </w:r>
            <w:r w:rsidR="00E61C3E" w:rsidRPr="00DD23E4">
              <w:rPr>
                <w:rFonts w:ascii="Calibri" w:hAnsi="Calibri" w:cs="Calibri"/>
                <w:color w:val="000000"/>
                <w:sz w:val="20"/>
                <w:szCs w:val="20"/>
              </w:rPr>
              <w:t>3- or 4- wheeled ATV</w:t>
            </w:r>
          </w:p>
        </w:tc>
      </w:tr>
      <w:tr w:rsidR="00E61C3E" w:rsidRPr="00DD23E4" w14:paraId="063071BC" w14:textId="2FA94453" w:rsidTr="00A114AC">
        <w:trPr>
          <w:cantSplit/>
        </w:trPr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6AFB5" w14:textId="3413B963" w:rsidR="00E61C3E" w:rsidRPr="00DD23E4" w:rsidRDefault="00E61C3E" w:rsidP="005E0BC5">
            <w:pPr>
              <w:pStyle w:val="TableParagraph"/>
              <w:spacing w:before="2"/>
              <w:ind w:right="146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DD23E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V86.49X, V86.59X, V86.69X, V86.79X, V86.99X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F7BE3" w14:textId="747CFE10" w:rsidR="00E61C3E" w:rsidRPr="00DD23E4" w:rsidRDefault="009229BF" w:rsidP="005E0BC5">
            <w:pPr>
              <w:pStyle w:val="TableParagraph"/>
              <w:ind w:right="146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Occupant of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E61C3E" w:rsidRPr="00DD23E4">
              <w:rPr>
                <w:rFonts w:ascii="Calibri" w:eastAsia="Calibri" w:hAnsi="Calibri" w:cs="Calibri"/>
                <w:sz w:val="20"/>
                <w:szCs w:val="20"/>
              </w:rPr>
              <w:t>ther</w:t>
            </w:r>
            <w:r w:rsidR="00E61C3E" w:rsidRPr="00DD23E4">
              <w:rPr>
                <w:sz w:val="20"/>
                <w:szCs w:val="20"/>
              </w:rPr>
              <w:t xml:space="preserve"> special all-terrain or off-road motor vehicle</w:t>
            </w:r>
          </w:p>
        </w:tc>
      </w:tr>
      <w:tr w:rsidR="00E61C3E" w:rsidRPr="00DD23E4" w14:paraId="18468735" w14:textId="1AB58389" w:rsidTr="00A114AC">
        <w:trPr>
          <w:cantSplit/>
        </w:trPr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8E21F" w14:textId="61C451BA" w:rsidR="00E61C3E" w:rsidRPr="00DD23E4" w:rsidRDefault="00E61C3E" w:rsidP="005E0BC5">
            <w:pPr>
              <w:pStyle w:val="TableParagraph"/>
              <w:ind w:right="146"/>
              <w:rPr>
                <w:rFonts w:ascii="Calibri" w:eastAsia="Calibri" w:hAnsi="Calibri" w:cs="Calibri"/>
                <w:sz w:val="20"/>
                <w:szCs w:val="20"/>
              </w:rPr>
            </w:pPr>
            <w:r w:rsidRPr="00DD23E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V86.46X</w:t>
            </w:r>
            <w:r w:rsidRPr="00DD23E4">
              <w:rPr>
                <w:rFonts w:ascii="Calibri" w:eastAsia="Calibri" w:hAnsi="Calibri" w:cs="Calibri"/>
                <w:sz w:val="20"/>
                <w:szCs w:val="20"/>
              </w:rPr>
              <w:t>, V86.56X, V86.66X, V86.76X, V86.96X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79BF4" w14:textId="2F186B43" w:rsidR="00E61C3E" w:rsidRPr="00DD23E4" w:rsidRDefault="009229BF" w:rsidP="005E0BC5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Occupant of </w:t>
            </w:r>
            <w:r w:rsidR="00E61C3E" w:rsidRPr="00DD23E4">
              <w:rPr>
                <w:rFonts w:ascii="Calibri" w:eastAsia="Calibri" w:hAnsi="Calibri" w:cs="Calibri"/>
                <w:sz w:val="20"/>
                <w:szCs w:val="20"/>
              </w:rPr>
              <w:t>Dirt Bike</w:t>
            </w:r>
          </w:p>
        </w:tc>
      </w:tr>
      <w:tr w:rsidR="00E61C3E" w:rsidRPr="00DD23E4" w14:paraId="0FD1BAF3" w14:textId="6DC60FB2" w:rsidTr="00A114AC">
        <w:trPr>
          <w:cantSplit/>
        </w:trPr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DAC22" w14:textId="7077984C" w:rsidR="00E61C3E" w:rsidRPr="00DD23E4" w:rsidRDefault="00E61C3E" w:rsidP="005E0BC5">
            <w:pPr>
              <w:pStyle w:val="TableParagraph"/>
              <w:ind w:right="146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DD23E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V86.42X, V86.52X, V86.62X, V86.72X, V86.92X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170D0" w14:textId="56D7B6F7" w:rsidR="00E61C3E" w:rsidRPr="00DD23E4" w:rsidRDefault="009229BF" w:rsidP="005E0BC5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Occupant of </w:t>
            </w:r>
            <w:r w:rsidR="00E61C3E" w:rsidRPr="00DD23E4">
              <w:rPr>
                <w:rFonts w:ascii="Calibri" w:eastAsia="Calibri" w:hAnsi="Calibri" w:cs="Calibri"/>
                <w:sz w:val="20"/>
                <w:szCs w:val="20"/>
              </w:rPr>
              <w:t>Snowmobile</w:t>
            </w:r>
          </w:p>
        </w:tc>
      </w:tr>
      <w:tr w:rsidR="00E61C3E" w:rsidRPr="00DD23E4" w14:paraId="36D817F3" w14:textId="32E3A831" w:rsidTr="00A114AC">
        <w:trPr>
          <w:cantSplit/>
        </w:trPr>
        <w:tc>
          <w:tcPr>
            <w:tcW w:w="4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283FE" w14:textId="422FD278" w:rsidR="00E61C3E" w:rsidRPr="00DD23E4" w:rsidRDefault="00E61C3E" w:rsidP="005E0BC5">
            <w:pPr>
              <w:pStyle w:val="TableParagraph"/>
              <w:ind w:right="146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DD23E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V86.43X, V86.53X, V86.63X, V86.73X, V86.93X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E9C89" w14:textId="2C930277" w:rsidR="00E61C3E" w:rsidRPr="00DD23E4" w:rsidRDefault="009229BF" w:rsidP="005E0BC5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Occupant of </w:t>
            </w:r>
            <w:r w:rsidR="00E61C3E" w:rsidRPr="00DD23E4">
              <w:rPr>
                <w:rFonts w:ascii="Calibri" w:eastAsia="Calibri" w:hAnsi="Calibri" w:cs="Calibri"/>
                <w:sz w:val="20"/>
                <w:szCs w:val="20"/>
              </w:rPr>
              <w:t>Dune buggy</w:t>
            </w:r>
          </w:p>
        </w:tc>
      </w:tr>
    </w:tbl>
    <w:p w14:paraId="5D9DC367" w14:textId="7BC1E1CC" w:rsidR="00090479" w:rsidRPr="00DD23E4" w:rsidRDefault="00112195" w:rsidP="00FB6FDE">
      <w:pPr>
        <w:pStyle w:val="BodyText"/>
        <w:spacing w:before="0"/>
        <w:ind w:left="0" w:firstLine="0"/>
        <w:rPr>
          <w:sz w:val="16"/>
          <w:szCs w:val="16"/>
        </w:rPr>
      </w:pPr>
      <w:r w:rsidRPr="00DD23E4">
        <w:rPr>
          <w:sz w:val="16"/>
          <w:szCs w:val="16"/>
        </w:rPr>
        <w:t>*</w:t>
      </w:r>
      <w:r w:rsidR="00090479" w:rsidRPr="00DD23E4">
        <w:rPr>
          <w:sz w:val="16"/>
          <w:szCs w:val="16"/>
        </w:rPr>
        <w:t>7</w:t>
      </w:r>
      <w:r w:rsidR="00090479" w:rsidRPr="00DD23E4">
        <w:rPr>
          <w:sz w:val="16"/>
          <w:szCs w:val="16"/>
          <w:vertAlign w:val="superscript"/>
        </w:rPr>
        <w:t>th</w:t>
      </w:r>
      <w:r w:rsidR="00090479" w:rsidRPr="00DD23E4">
        <w:rPr>
          <w:sz w:val="16"/>
          <w:szCs w:val="16"/>
        </w:rPr>
        <w:t xml:space="preserve"> character of A or Missing</w:t>
      </w:r>
    </w:p>
    <w:p w14:paraId="58005B4D" w14:textId="59A7AB88" w:rsidR="00CA121D" w:rsidRPr="00DD23E4" w:rsidRDefault="00CA121D" w:rsidP="00FB6FDE">
      <w:pPr>
        <w:pStyle w:val="BodyText"/>
        <w:spacing w:before="0"/>
        <w:ind w:left="0" w:firstLine="0"/>
        <w:rPr>
          <w:sz w:val="16"/>
          <w:szCs w:val="16"/>
        </w:rPr>
      </w:pPr>
      <w:r w:rsidRPr="00DD23E4">
        <w:rPr>
          <w:sz w:val="16"/>
          <w:szCs w:val="16"/>
        </w:rPr>
        <w:t>Codes in BLACK are part of the “MV-Nontraffic” row of the ICD-10-CM External Cause of Injury Framework.</w:t>
      </w:r>
    </w:p>
    <w:p w14:paraId="1B1BE17D" w14:textId="5557DAC6" w:rsidR="007C0318" w:rsidRPr="00DD23E4" w:rsidRDefault="00E93C6A" w:rsidP="00FB6FDE">
      <w:pPr>
        <w:pStyle w:val="BodyText"/>
        <w:spacing w:before="0" w:after="120"/>
        <w:ind w:left="0" w:firstLine="0"/>
        <w:rPr>
          <w:sz w:val="16"/>
          <w:szCs w:val="16"/>
        </w:rPr>
      </w:pPr>
      <w:r w:rsidRPr="00DD23E4">
        <w:rPr>
          <w:sz w:val="16"/>
          <w:szCs w:val="16"/>
        </w:rPr>
        <w:t xml:space="preserve">Codes in </w:t>
      </w:r>
      <w:r w:rsidR="00F171C7" w:rsidRPr="00DD23E4">
        <w:rPr>
          <w:color w:val="FF0000"/>
          <w:sz w:val="16"/>
          <w:szCs w:val="16"/>
        </w:rPr>
        <w:t>RED</w:t>
      </w:r>
      <w:r w:rsidR="00F171C7" w:rsidRPr="00DD23E4">
        <w:rPr>
          <w:sz w:val="16"/>
          <w:szCs w:val="16"/>
        </w:rPr>
        <w:t xml:space="preserve"> </w:t>
      </w:r>
      <w:r w:rsidRPr="00DD23E4">
        <w:rPr>
          <w:sz w:val="16"/>
          <w:szCs w:val="16"/>
        </w:rPr>
        <w:t>are part of the “</w:t>
      </w:r>
      <w:r w:rsidR="00CA121D" w:rsidRPr="00DD23E4">
        <w:rPr>
          <w:sz w:val="16"/>
          <w:szCs w:val="16"/>
        </w:rPr>
        <w:t>O</w:t>
      </w:r>
      <w:r w:rsidR="00F171C7" w:rsidRPr="00DD23E4">
        <w:rPr>
          <w:sz w:val="16"/>
          <w:szCs w:val="16"/>
        </w:rPr>
        <w:t xml:space="preserve">ther </w:t>
      </w:r>
      <w:r w:rsidR="00CA121D" w:rsidRPr="00DD23E4">
        <w:rPr>
          <w:sz w:val="16"/>
          <w:szCs w:val="16"/>
        </w:rPr>
        <w:t>L</w:t>
      </w:r>
      <w:r w:rsidR="00F171C7" w:rsidRPr="00DD23E4">
        <w:rPr>
          <w:sz w:val="16"/>
          <w:szCs w:val="16"/>
        </w:rPr>
        <w:t xml:space="preserve">and </w:t>
      </w:r>
      <w:r w:rsidR="00CA121D" w:rsidRPr="00DD23E4">
        <w:rPr>
          <w:sz w:val="16"/>
          <w:szCs w:val="16"/>
        </w:rPr>
        <w:t>T</w:t>
      </w:r>
      <w:r w:rsidR="00F171C7" w:rsidRPr="00DD23E4">
        <w:rPr>
          <w:sz w:val="16"/>
          <w:szCs w:val="16"/>
        </w:rPr>
        <w:t>ransport</w:t>
      </w:r>
      <w:r w:rsidRPr="00DD23E4">
        <w:rPr>
          <w:sz w:val="16"/>
          <w:szCs w:val="16"/>
        </w:rPr>
        <w:t>” row of the ICD-10-CM External Cause of Injury Framewor</w:t>
      </w:r>
      <w:r w:rsidR="00CA121D" w:rsidRPr="00DD23E4">
        <w:rPr>
          <w:sz w:val="16"/>
          <w:szCs w:val="16"/>
        </w:rPr>
        <w:t>k.</w:t>
      </w:r>
    </w:p>
    <w:p w14:paraId="757CAB9E" w14:textId="492E2FE2" w:rsidR="007C0318" w:rsidRDefault="00112195" w:rsidP="00B76640">
      <w:pPr>
        <w:pStyle w:val="Heading2"/>
        <w:ind w:left="0"/>
      </w:pPr>
      <w:r>
        <w:t>De</w:t>
      </w:r>
      <w:r>
        <w:rPr>
          <w:spacing w:val="-2"/>
        </w:rPr>
        <w:t>n</w:t>
      </w:r>
      <w:r>
        <w:rPr>
          <w:spacing w:val="-1"/>
        </w:rPr>
        <w:t>o</w:t>
      </w:r>
      <w:r>
        <w:t>m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a</w:t>
      </w:r>
      <w:r>
        <w:t>t</w:t>
      </w:r>
      <w:r>
        <w:rPr>
          <w:spacing w:val="-1"/>
        </w:rPr>
        <w:t>o</w:t>
      </w:r>
      <w:r>
        <w:t>r:</w:t>
      </w:r>
    </w:p>
    <w:p w14:paraId="071AF773" w14:textId="498DE032" w:rsidR="008350B9" w:rsidRPr="00DD23E4" w:rsidRDefault="008350B9" w:rsidP="00DD23E4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Midyear population for the calendar year under surveillance obtained from the U.S. Census Bureau</w:t>
      </w:r>
    </w:p>
    <w:p w14:paraId="69DAF835" w14:textId="0C790AB5" w:rsidR="00B76640" w:rsidRDefault="00112195" w:rsidP="00B76640">
      <w:pPr>
        <w:pStyle w:val="Heading2"/>
        <w:ind w:left="0"/>
      </w:pPr>
      <w:r>
        <w:rPr>
          <w:spacing w:val="-1"/>
        </w:rPr>
        <w:t>Me</w:t>
      </w:r>
      <w:r>
        <w:rPr>
          <w:spacing w:val="-2"/>
        </w:rPr>
        <w:t>a</w:t>
      </w:r>
      <w:r>
        <w:t>s</w:t>
      </w:r>
      <w:r>
        <w:rPr>
          <w:spacing w:val="-1"/>
        </w:rPr>
        <w:t>u</w:t>
      </w:r>
      <w:r>
        <w:t>r</w:t>
      </w:r>
      <w:r w:rsidR="00B76640">
        <w:rPr>
          <w:spacing w:val="-1"/>
        </w:rPr>
        <w:t>e</w:t>
      </w:r>
      <w:r>
        <w:t xml:space="preserve">s </w:t>
      </w:r>
      <w:r>
        <w:rPr>
          <w:spacing w:val="-1"/>
        </w:rPr>
        <w:t>o</w:t>
      </w:r>
      <w:r>
        <w:t>f fr</w:t>
      </w:r>
      <w:r>
        <w:rPr>
          <w:spacing w:val="-1"/>
        </w:rPr>
        <w:t>equen</w:t>
      </w:r>
      <w:r>
        <w:rPr>
          <w:spacing w:val="1"/>
        </w:rPr>
        <w:t>c</w:t>
      </w:r>
      <w:r>
        <w:t>y</w:t>
      </w:r>
      <w:r w:rsidR="008A1F94">
        <w:t xml:space="preserve"> (reported separately for ED visits </w:t>
      </w:r>
      <w:r w:rsidR="00AF34B5">
        <w:t>and Hospitalizations)</w:t>
      </w:r>
      <w:r>
        <w:t>:</w:t>
      </w:r>
    </w:p>
    <w:p w14:paraId="2B5ED6E6" w14:textId="009C4ECA" w:rsidR="00B76640" w:rsidRPr="00DD23E4" w:rsidRDefault="00A158DC" w:rsidP="00DD23E4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Annual count by age group and sex</w:t>
      </w:r>
    </w:p>
    <w:p w14:paraId="5ED45C71" w14:textId="03306F64" w:rsidR="00B76640" w:rsidRPr="00DD23E4" w:rsidRDefault="00A158DC" w:rsidP="00DD23E4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Annual age-adjusted rates, overall and by sex, standardized by the direct method to the year</w:t>
      </w:r>
      <w:r w:rsidR="008F44C4" w:rsidRPr="00DD23E4">
        <w:rPr>
          <w:color w:val="1A1A1A"/>
          <w:sz w:val="20"/>
          <w:szCs w:val="20"/>
        </w:rPr>
        <w:t xml:space="preserve"> </w:t>
      </w:r>
      <w:r w:rsidRPr="00DD23E4">
        <w:rPr>
          <w:color w:val="1A1A1A"/>
          <w:sz w:val="20"/>
          <w:szCs w:val="20"/>
        </w:rPr>
        <w:t>2000 standard US population</w:t>
      </w:r>
    </w:p>
    <w:p w14:paraId="4E6E186C" w14:textId="27FE38C3" w:rsidR="00B76640" w:rsidRDefault="00112195" w:rsidP="00B76640">
      <w:pPr>
        <w:pStyle w:val="Heading2"/>
        <w:ind w:left="0"/>
      </w:pPr>
      <w:r>
        <w:t>Peri</w:t>
      </w:r>
      <w:r>
        <w:rPr>
          <w:spacing w:val="-1"/>
        </w:rPr>
        <w:t>o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2"/>
        </w:rPr>
        <w:t>a</w:t>
      </w:r>
      <w:r>
        <w:t>se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fi</w:t>
      </w:r>
      <w:r>
        <w:rPr>
          <w:spacing w:val="-4"/>
        </w:rPr>
        <w:t>n</w:t>
      </w:r>
      <w:r>
        <w:t>it</w:t>
      </w:r>
      <w:r>
        <w:rPr>
          <w:spacing w:val="1"/>
        </w:rPr>
        <w:t>i</w:t>
      </w:r>
      <w:r>
        <w:rPr>
          <w:spacing w:val="-1"/>
        </w:rPr>
        <w:t>on</w:t>
      </w:r>
      <w:r>
        <w:t>:</w:t>
      </w:r>
    </w:p>
    <w:p w14:paraId="140B90A5" w14:textId="4115B3A0" w:rsidR="00B76640" w:rsidRPr="00DD23E4" w:rsidRDefault="00A158DC" w:rsidP="00DD23E4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Calendar year based on date of discharge</w:t>
      </w:r>
    </w:p>
    <w:p w14:paraId="3570B51B" w14:textId="4671BA79" w:rsidR="00B76640" w:rsidRDefault="00112195" w:rsidP="00B76640">
      <w:pPr>
        <w:pStyle w:val="Heading2"/>
        <w:ind w:left="0"/>
      </w:pPr>
      <w:r>
        <w:t>I</w:t>
      </w:r>
      <w:r>
        <w:rPr>
          <w:spacing w:val="-1"/>
        </w:rPr>
        <w:t>nd</w:t>
      </w:r>
      <w:r>
        <w:t>i</w:t>
      </w:r>
      <w:r>
        <w:rPr>
          <w:spacing w:val="1"/>
        </w:rPr>
        <w:t>c</w:t>
      </w:r>
      <w:r>
        <w:rPr>
          <w:spacing w:val="-2"/>
        </w:rPr>
        <w:t>a</w:t>
      </w:r>
      <w:r>
        <w:t>t</w:t>
      </w:r>
      <w:r>
        <w:rPr>
          <w:spacing w:val="-1"/>
        </w:rPr>
        <w:t>o</w:t>
      </w:r>
      <w:r>
        <w:t>r</w:t>
      </w:r>
      <w:r w:rsidR="00B76640">
        <w:rPr>
          <w:spacing w:val="-2"/>
        </w:rPr>
        <w:t xml:space="preserve"> </w:t>
      </w:r>
      <w:r>
        <w:t>n</w:t>
      </w:r>
      <w:r>
        <w:rPr>
          <w:spacing w:val="-2"/>
        </w:rPr>
        <w:t>o</w:t>
      </w:r>
      <w:r>
        <w:t>tes:</w:t>
      </w:r>
    </w:p>
    <w:p w14:paraId="7F89282B" w14:textId="5237DE0F" w:rsidR="00D9154D" w:rsidRPr="008F310E" w:rsidRDefault="00E61C3E" w:rsidP="008F310E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The entire ED visit</w:t>
      </w:r>
      <w:r w:rsidR="00E3297D" w:rsidRPr="00DD23E4">
        <w:rPr>
          <w:color w:val="1A1A1A"/>
          <w:sz w:val="20"/>
          <w:szCs w:val="20"/>
        </w:rPr>
        <w:t xml:space="preserve"> dataset </w:t>
      </w:r>
      <w:r w:rsidR="00CA50C2" w:rsidRPr="00DD23E4">
        <w:rPr>
          <w:color w:val="1A1A1A"/>
          <w:sz w:val="20"/>
          <w:szCs w:val="20"/>
        </w:rPr>
        <w:t>is</w:t>
      </w:r>
      <w:r w:rsidR="00E3297D" w:rsidRPr="00DD23E4">
        <w:rPr>
          <w:color w:val="1A1A1A"/>
          <w:sz w:val="20"/>
          <w:szCs w:val="20"/>
        </w:rPr>
        <w:t xml:space="preserve"> searched for any mention of an included </w:t>
      </w:r>
      <w:r w:rsidR="00CA50C2" w:rsidRPr="00DD23E4">
        <w:rPr>
          <w:color w:val="1A1A1A"/>
          <w:sz w:val="20"/>
          <w:szCs w:val="20"/>
        </w:rPr>
        <w:t>indicator code.</w:t>
      </w:r>
      <w:r w:rsidR="008F310E">
        <w:rPr>
          <w:color w:val="1A1A1A"/>
          <w:sz w:val="20"/>
          <w:szCs w:val="20"/>
        </w:rPr>
        <w:t xml:space="preserve"> </w:t>
      </w:r>
      <w:r w:rsidR="00045905" w:rsidRPr="008F310E">
        <w:rPr>
          <w:color w:val="1A1A1A"/>
          <w:sz w:val="20"/>
          <w:szCs w:val="20"/>
        </w:rPr>
        <w:t xml:space="preserve">The </w:t>
      </w:r>
      <w:r w:rsidR="005C5697" w:rsidRPr="008F310E">
        <w:rPr>
          <w:color w:val="1A1A1A"/>
          <w:sz w:val="20"/>
          <w:szCs w:val="20"/>
        </w:rPr>
        <w:t>Hospitalization data</w:t>
      </w:r>
      <w:r w:rsidR="00045905" w:rsidRPr="008F310E">
        <w:rPr>
          <w:color w:val="1A1A1A"/>
          <w:sz w:val="20"/>
          <w:szCs w:val="20"/>
        </w:rPr>
        <w:t>set</w:t>
      </w:r>
      <w:r w:rsidR="005C5697" w:rsidRPr="008F310E">
        <w:rPr>
          <w:color w:val="1A1A1A"/>
          <w:sz w:val="20"/>
          <w:szCs w:val="20"/>
        </w:rPr>
        <w:t xml:space="preserve"> is </w:t>
      </w:r>
      <w:r w:rsidR="00045905" w:rsidRPr="008F310E">
        <w:rPr>
          <w:color w:val="1A1A1A"/>
          <w:sz w:val="20"/>
          <w:szCs w:val="20"/>
        </w:rPr>
        <w:t xml:space="preserve">first </w:t>
      </w:r>
      <w:r w:rsidR="005C5697" w:rsidRPr="008F310E">
        <w:rPr>
          <w:color w:val="1A1A1A"/>
          <w:sz w:val="20"/>
          <w:szCs w:val="20"/>
        </w:rPr>
        <w:t xml:space="preserve">restricted to cases where the principal diagnosis is an injury </w:t>
      </w:r>
      <w:r w:rsidR="00DE30FD" w:rsidRPr="008F310E">
        <w:rPr>
          <w:color w:val="1A1A1A"/>
          <w:sz w:val="20"/>
          <w:szCs w:val="20"/>
        </w:rPr>
        <w:t xml:space="preserve">code – </w:t>
      </w:r>
      <w:r w:rsidR="008F310E">
        <w:rPr>
          <w:color w:val="1A1A1A"/>
          <w:sz w:val="20"/>
          <w:szCs w:val="20"/>
        </w:rPr>
        <w:t>then</w:t>
      </w:r>
      <w:r w:rsidRPr="008F310E">
        <w:rPr>
          <w:color w:val="1A1A1A"/>
          <w:sz w:val="20"/>
          <w:szCs w:val="20"/>
        </w:rPr>
        <w:t xml:space="preserve"> searched for any mention of an included indicator code. The</w:t>
      </w:r>
      <w:r w:rsidR="00DE30FD" w:rsidRPr="008F310E">
        <w:rPr>
          <w:color w:val="1A1A1A"/>
          <w:sz w:val="20"/>
          <w:szCs w:val="20"/>
        </w:rPr>
        <w:t xml:space="preserve"> intent</w:t>
      </w:r>
      <w:r w:rsidRPr="008F310E">
        <w:rPr>
          <w:color w:val="1A1A1A"/>
          <w:sz w:val="20"/>
          <w:szCs w:val="20"/>
        </w:rPr>
        <w:t>ion</w:t>
      </w:r>
      <w:r w:rsidR="00DE30FD" w:rsidRPr="008F310E">
        <w:rPr>
          <w:color w:val="1A1A1A"/>
          <w:sz w:val="20"/>
          <w:szCs w:val="20"/>
        </w:rPr>
        <w:t xml:space="preserve"> </w:t>
      </w:r>
      <w:r w:rsidRPr="008F310E">
        <w:rPr>
          <w:color w:val="1A1A1A"/>
          <w:sz w:val="20"/>
          <w:szCs w:val="20"/>
        </w:rPr>
        <w:t xml:space="preserve">is to </w:t>
      </w:r>
      <w:r w:rsidR="00DE30FD" w:rsidRPr="008F310E">
        <w:rPr>
          <w:color w:val="1A1A1A"/>
          <w:sz w:val="20"/>
          <w:szCs w:val="20"/>
        </w:rPr>
        <w:t>captur</w:t>
      </w:r>
      <w:r w:rsidRPr="008F310E">
        <w:rPr>
          <w:color w:val="1A1A1A"/>
          <w:sz w:val="20"/>
          <w:szCs w:val="20"/>
        </w:rPr>
        <w:t>e</w:t>
      </w:r>
      <w:r w:rsidR="00DE30FD" w:rsidRPr="008F310E">
        <w:rPr>
          <w:color w:val="1A1A1A"/>
          <w:sz w:val="20"/>
          <w:szCs w:val="20"/>
        </w:rPr>
        <w:t xml:space="preserve"> injuries that result</w:t>
      </w:r>
      <w:r w:rsidR="008F310E">
        <w:rPr>
          <w:color w:val="1A1A1A"/>
          <w:sz w:val="20"/>
          <w:szCs w:val="20"/>
        </w:rPr>
        <w:t xml:space="preserve"> </w:t>
      </w:r>
      <w:r w:rsidR="00DE30FD" w:rsidRPr="008F310E">
        <w:rPr>
          <w:color w:val="1A1A1A"/>
          <w:sz w:val="20"/>
          <w:szCs w:val="20"/>
        </w:rPr>
        <w:t>in hospitalization.</w:t>
      </w:r>
    </w:p>
    <w:p w14:paraId="03580B5B" w14:textId="10E88AEB" w:rsidR="00B76640" w:rsidRPr="00DD23E4" w:rsidRDefault="00B15C47" w:rsidP="00B15C47">
      <w:pPr>
        <w:pStyle w:val="ListParagraph"/>
        <w:numPr>
          <w:ilvl w:val="0"/>
          <w:numId w:val="8"/>
        </w:numPr>
        <w:spacing w:after="40"/>
        <w:rPr>
          <w:sz w:val="20"/>
          <w:szCs w:val="20"/>
        </w:rPr>
      </w:pPr>
      <w:r w:rsidRPr="00DD23E4">
        <w:rPr>
          <w:sz w:val="20"/>
          <w:szCs w:val="20"/>
        </w:rPr>
        <w:t xml:space="preserve">Refer to the CSTE Injury Surveillance Toolkit – </w:t>
      </w:r>
      <w:hyperlink r:id="rId7" w:history="1">
        <w:r w:rsidRPr="00DD23E4">
          <w:rPr>
            <w:rStyle w:val="Hyperlink"/>
            <w:sz w:val="20"/>
            <w:szCs w:val="20"/>
          </w:rPr>
          <w:t>Injury Indicators</w:t>
        </w:r>
      </w:hyperlink>
      <w:r w:rsidRPr="00DD23E4">
        <w:rPr>
          <w:sz w:val="20"/>
          <w:szCs w:val="20"/>
        </w:rPr>
        <w:t xml:space="preserve"> Page for more information</w:t>
      </w:r>
      <w:r w:rsidR="00DE30FD" w:rsidRPr="00DD23E4">
        <w:rPr>
          <w:sz w:val="20"/>
          <w:szCs w:val="20"/>
        </w:rPr>
        <w:t>.</w:t>
      </w:r>
    </w:p>
    <w:p w14:paraId="060852A5" w14:textId="77777777" w:rsidR="00167385" w:rsidRPr="00CF70F5" w:rsidRDefault="00167385" w:rsidP="00167385">
      <w:pPr>
        <w:pStyle w:val="Heading2"/>
        <w:ind w:left="0"/>
        <w:rPr>
          <w:b w:val="0"/>
          <w:bCs w:val="0"/>
        </w:rPr>
      </w:pPr>
      <w:r>
        <w:t>L</w:t>
      </w:r>
      <w:r>
        <w:rPr>
          <w:spacing w:val="1"/>
        </w:rPr>
        <w:t>i</w:t>
      </w:r>
      <w:r>
        <w:rPr>
          <w:spacing w:val="-3"/>
        </w:rPr>
        <w:t>m</w:t>
      </w:r>
      <w:r>
        <w:t>it</w:t>
      </w:r>
      <w:r>
        <w:rPr>
          <w:spacing w:val="-1"/>
        </w:rPr>
        <w:t>a</w:t>
      </w:r>
      <w:r>
        <w:t>t</w:t>
      </w:r>
      <w:r>
        <w:rPr>
          <w:spacing w:val="1"/>
        </w:rPr>
        <w:t>i</w:t>
      </w:r>
      <w:r>
        <w:rPr>
          <w:spacing w:val="-1"/>
        </w:rPr>
        <w:t>on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 d</w:t>
      </w:r>
      <w:r>
        <w:rPr>
          <w:spacing w:val="-2"/>
        </w:rPr>
        <w:t>a</w:t>
      </w:r>
      <w:r>
        <w:t>ta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ou</w:t>
      </w:r>
      <w: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:</w:t>
      </w:r>
    </w:p>
    <w:p w14:paraId="4BF32E42" w14:textId="0DAC5AC8" w:rsidR="005C519A" w:rsidRPr="00DD23E4" w:rsidRDefault="00DE30FD" w:rsidP="00DD23E4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 xml:space="preserve">Injuries that result in hospitalization </w:t>
      </w:r>
      <w:r w:rsidR="005C519A" w:rsidRPr="00DD23E4">
        <w:rPr>
          <w:color w:val="1A1A1A"/>
          <w:sz w:val="20"/>
          <w:szCs w:val="20"/>
        </w:rPr>
        <w:t xml:space="preserve">only represent a portion of the overall burden of injury. These injuries should be considered in the context of both less- and more-severe injuries. </w:t>
      </w:r>
    </w:p>
    <w:p w14:paraId="08573612" w14:textId="689C36E7" w:rsidR="00167385" w:rsidRPr="00DD23E4" w:rsidRDefault="00167385" w:rsidP="00DD23E4">
      <w:pPr>
        <w:pStyle w:val="ListParagraph"/>
        <w:numPr>
          <w:ilvl w:val="0"/>
          <w:numId w:val="19"/>
        </w:numPr>
        <w:rPr>
          <w:color w:val="1A1A1A"/>
          <w:sz w:val="20"/>
          <w:szCs w:val="20"/>
        </w:rPr>
      </w:pPr>
      <w:r w:rsidRPr="00DD23E4">
        <w:rPr>
          <w:color w:val="1A1A1A"/>
          <w:sz w:val="20"/>
          <w:szCs w:val="20"/>
        </w:rPr>
        <w:t>The accuracy of indicators based on codes found in hospital discharge data are limited by the completeness and quality of coding.</w:t>
      </w:r>
    </w:p>
    <w:p w14:paraId="184374A6" w14:textId="6AE2BE91" w:rsidR="0017600A" w:rsidRDefault="0017600A" w:rsidP="005E0BC5">
      <w:pPr>
        <w:pStyle w:val="Heading2"/>
        <w:ind w:left="0"/>
        <w:rPr>
          <w:spacing w:val="-1"/>
        </w:rPr>
      </w:pPr>
      <w:r w:rsidRPr="00E61C3E">
        <w:rPr>
          <w:spacing w:val="-1"/>
        </w:rPr>
        <w:t xml:space="preserve">Corresponding </w:t>
      </w:r>
      <w:r w:rsidR="00E00651">
        <w:rPr>
          <w:spacing w:val="-1"/>
        </w:rPr>
        <w:t>mortality</w:t>
      </w:r>
      <w:r w:rsidRPr="00E61C3E">
        <w:rPr>
          <w:spacing w:val="-1"/>
        </w:rPr>
        <w:t xml:space="preserve"> indicator</w:t>
      </w:r>
      <w:r w:rsidR="00F8478E" w:rsidRPr="00E61C3E">
        <w:rPr>
          <w:spacing w:val="-1"/>
        </w:rPr>
        <w:t>:</w:t>
      </w:r>
    </w:p>
    <w:p w14:paraId="4ADE62AD" w14:textId="77BE9030" w:rsidR="00E61C3E" w:rsidRPr="00DD23E4" w:rsidRDefault="00E61C3E" w:rsidP="00E61C3E">
      <w:pPr>
        <w:pStyle w:val="Heading2"/>
        <w:numPr>
          <w:ilvl w:val="0"/>
          <w:numId w:val="16"/>
        </w:numPr>
        <w:rPr>
          <w:i/>
          <w:iCs/>
          <w:color w:val="8064A2" w:themeColor="accent4"/>
          <w:spacing w:val="-1"/>
          <w:sz w:val="20"/>
          <w:szCs w:val="20"/>
        </w:rPr>
      </w:pPr>
      <w:r w:rsidRPr="00DD23E4">
        <w:rPr>
          <w:i/>
          <w:iCs/>
          <w:color w:val="8064A2" w:themeColor="accent4"/>
          <w:spacing w:val="-1"/>
          <w:sz w:val="20"/>
          <w:szCs w:val="20"/>
        </w:rPr>
        <w:t>Will fill this in later if our group has the capacity</w:t>
      </w:r>
    </w:p>
    <w:sectPr w:rsidR="00E61C3E" w:rsidRPr="00DD23E4" w:rsidSect="00A72A01">
      <w:headerReference w:type="default" r:id="rId8"/>
      <w:footerReference w:type="default" r:id="rId9"/>
      <w:pgSz w:w="12240" w:h="15840"/>
      <w:pgMar w:top="1440" w:right="1080" w:bottom="1440" w:left="1080" w:header="0" w:footer="7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120A8" w14:textId="77777777" w:rsidR="003A202D" w:rsidRDefault="003A202D">
      <w:r>
        <w:separator/>
      </w:r>
    </w:p>
  </w:endnote>
  <w:endnote w:type="continuationSeparator" w:id="0">
    <w:p w14:paraId="6E5F3CEA" w14:textId="77777777" w:rsidR="003A202D" w:rsidRDefault="003A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399F5" w14:textId="77777777" w:rsidR="007C0318" w:rsidRDefault="003A202D">
    <w:pPr>
      <w:spacing w:line="200" w:lineRule="exact"/>
      <w:rPr>
        <w:sz w:val="20"/>
        <w:szCs w:val="20"/>
      </w:rPr>
    </w:pPr>
    <w:r>
      <w:pict w14:anchorId="6D81A67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743.8pt;width:392pt;height:13.05pt;z-index:-251658240;mso-position-horizontal-relative:page;mso-position-vertical-relative:page" filled="f" stroked="f">
          <v:textbox style="mso-next-textbox:#_x0000_s2049" inset="0,0,0,0">
            <w:txbxContent>
              <w:p w14:paraId="21DB560E" w14:textId="4791BD66" w:rsidR="007C0318" w:rsidRDefault="00E61C3E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i/>
                  </w:rPr>
                  <w:t>Last Updated 5-18-21 by Hannah Yang (hannah.yang@mt.gov)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9DCFD" w14:textId="77777777" w:rsidR="003A202D" w:rsidRDefault="003A202D">
      <w:r>
        <w:separator/>
      </w:r>
    </w:p>
  </w:footnote>
  <w:footnote w:type="continuationSeparator" w:id="0">
    <w:p w14:paraId="6C760510" w14:textId="77777777" w:rsidR="003A202D" w:rsidRDefault="003A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C8752" w14:textId="5E75EAB4" w:rsidR="00B76640" w:rsidRDefault="003A202D" w:rsidP="00063CB1">
    <w:sdt>
      <w:sdtPr>
        <w:id w:val="-646748054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1F5E00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D6953">
      <w:rPr>
        <w:noProof/>
      </w:rPr>
      <w:drawing>
        <wp:anchor distT="0" distB="0" distL="114300" distR="114300" simplePos="0" relativeHeight="251657216" behindDoc="1" locked="0" layoutInCell="1" allowOverlap="1" wp14:anchorId="0672827D" wp14:editId="5D3A8D35">
          <wp:simplePos x="0" y="0"/>
          <wp:positionH relativeFrom="column">
            <wp:posOffset>-917575</wp:posOffset>
          </wp:positionH>
          <wp:positionV relativeFrom="paragraph">
            <wp:posOffset>0</wp:posOffset>
          </wp:positionV>
          <wp:extent cx="7771628" cy="1266825"/>
          <wp:effectExtent l="0" t="0" r="0" b="0"/>
          <wp:wrapTight wrapText="bothSides">
            <wp:wrapPolygon edited="0">
              <wp:start x="0" y="0"/>
              <wp:lineTo x="0" y="21113"/>
              <wp:lineTo x="21551" y="21113"/>
              <wp:lineTo x="21551" y="0"/>
              <wp:lineTo x="0" y="0"/>
            </wp:wrapPolygon>
          </wp:wrapTight>
          <wp:docPr id="1" name="Picture 1" descr="A close up of a piece of pap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-mail-Header---Injury Epidemiology and Surveillan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628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7B7"/>
    <w:multiLevelType w:val="hybridMultilevel"/>
    <w:tmpl w:val="A7B0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2613"/>
    <w:multiLevelType w:val="hybridMultilevel"/>
    <w:tmpl w:val="C6AC4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53C5"/>
    <w:multiLevelType w:val="hybridMultilevel"/>
    <w:tmpl w:val="EF9CF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67BBE"/>
    <w:multiLevelType w:val="hybridMultilevel"/>
    <w:tmpl w:val="A6F6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E4006"/>
    <w:multiLevelType w:val="hybridMultilevel"/>
    <w:tmpl w:val="F0B4EE38"/>
    <w:lvl w:ilvl="0" w:tplc="973EC4E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4EBA883C">
      <w:start w:val="1"/>
      <w:numFmt w:val="bullet"/>
      <w:lvlText w:val="•"/>
      <w:lvlJc w:val="left"/>
      <w:rPr>
        <w:rFonts w:hint="default"/>
      </w:rPr>
    </w:lvl>
    <w:lvl w:ilvl="2" w:tplc="E6AAAC7C">
      <w:start w:val="1"/>
      <w:numFmt w:val="bullet"/>
      <w:lvlText w:val="•"/>
      <w:lvlJc w:val="left"/>
      <w:rPr>
        <w:rFonts w:hint="default"/>
      </w:rPr>
    </w:lvl>
    <w:lvl w:ilvl="3" w:tplc="7EB2E3D2">
      <w:start w:val="1"/>
      <w:numFmt w:val="bullet"/>
      <w:lvlText w:val="•"/>
      <w:lvlJc w:val="left"/>
      <w:rPr>
        <w:rFonts w:hint="default"/>
      </w:rPr>
    </w:lvl>
    <w:lvl w:ilvl="4" w:tplc="9536B594">
      <w:start w:val="1"/>
      <w:numFmt w:val="bullet"/>
      <w:lvlText w:val="•"/>
      <w:lvlJc w:val="left"/>
      <w:rPr>
        <w:rFonts w:hint="default"/>
      </w:rPr>
    </w:lvl>
    <w:lvl w:ilvl="5" w:tplc="9F760DCE">
      <w:start w:val="1"/>
      <w:numFmt w:val="bullet"/>
      <w:lvlText w:val="•"/>
      <w:lvlJc w:val="left"/>
      <w:rPr>
        <w:rFonts w:hint="default"/>
      </w:rPr>
    </w:lvl>
    <w:lvl w:ilvl="6" w:tplc="115432FE">
      <w:start w:val="1"/>
      <w:numFmt w:val="bullet"/>
      <w:lvlText w:val="•"/>
      <w:lvlJc w:val="left"/>
      <w:rPr>
        <w:rFonts w:hint="default"/>
      </w:rPr>
    </w:lvl>
    <w:lvl w:ilvl="7" w:tplc="979EF99A">
      <w:start w:val="1"/>
      <w:numFmt w:val="bullet"/>
      <w:lvlText w:val="•"/>
      <w:lvlJc w:val="left"/>
      <w:rPr>
        <w:rFonts w:hint="default"/>
      </w:rPr>
    </w:lvl>
    <w:lvl w:ilvl="8" w:tplc="0A8600C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293451C"/>
    <w:multiLevelType w:val="hybridMultilevel"/>
    <w:tmpl w:val="3286B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F0002"/>
    <w:multiLevelType w:val="hybridMultilevel"/>
    <w:tmpl w:val="1868CCA2"/>
    <w:lvl w:ilvl="0" w:tplc="EFD2026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F744AFC4">
      <w:start w:val="1"/>
      <w:numFmt w:val="bullet"/>
      <w:lvlText w:val="•"/>
      <w:lvlJc w:val="left"/>
      <w:rPr>
        <w:rFonts w:hint="default"/>
      </w:rPr>
    </w:lvl>
    <w:lvl w:ilvl="2" w:tplc="78CCCC78">
      <w:start w:val="1"/>
      <w:numFmt w:val="bullet"/>
      <w:lvlText w:val="•"/>
      <w:lvlJc w:val="left"/>
      <w:rPr>
        <w:rFonts w:hint="default"/>
      </w:rPr>
    </w:lvl>
    <w:lvl w:ilvl="3" w:tplc="D3C4B768">
      <w:start w:val="1"/>
      <w:numFmt w:val="bullet"/>
      <w:lvlText w:val="•"/>
      <w:lvlJc w:val="left"/>
      <w:rPr>
        <w:rFonts w:hint="default"/>
      </w:rPr>
    </w:lvl>
    <w:lvl w:ilvl="4" w:tplc="A9B0351C">
      <w:start w:val="1"/>
      <w:numFmt w:val="bullet"/>
      <w:lvlText w:val="•"/>
      <w:lvlJc w:val="left"/>
      <w:rPr>
        <w:rFonts w:hint="default"/>
      </w:rPr>
    </w:lvl>
    <w:lvl w:ilvl="5" w:tplc="DAA6D2CA">
      <w:start w:val="1"/>
      <w:numFmt w:val="bullet"/>
      <w:lvlText w:val="•"/>
      <w:lvlJc w:val="left"/>
      <w:rPr>
        <w:rFonts w:hint="default"/>
      </w:rPr>
    </w:lvl>
    <w:lvl w:ilvl="6" w:tplc="0F1630B4">
      <w:start w:val="1"/>
      <w:numFmt w:val="bullet"/>
      <w:lvlText w:val="•"/>
      <w:lvlJc w:val="left"/>
      <w:rPr>
        <w:rFonts w:hint="default"/>
      </w:rPr>
    </w:lvl>
    <w:lvl w:ilvl="7" w:tplc="F93E5F12">
      <w:start w:val="1"/>
      <w:numFmt w:val="bullet"/>
      <w:lvlText w:val="•"/>
      <w:lvlJc w:val="left"/>
      <w:rPr>
        <w:rFonts w:hint="default"/>
      </w:rPr>
    </w:lvl>
    <w:lvl w:ilvl="8" w:tplc="CC08FCB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9AD0775"/>
    <w:multiLevelType w:val="hybridMultilevel"/>
    <w:tmpl w:val="651E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247B7"/>
    <w:multiLevelType w:val="hybridMultilevel"/>
    <w:tmpl w:val="20F6D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64997"/>
    <w:multiLevelType w:val="hybridMultilevel"/>
    <w:tmpl w:val="E2823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50A03"/>
    <w:multiLevelType w:val="hybridMultilevel"/>
    <w:tmpl w:val="C76E6114"/>
    <w:lvl w:ilvl="0" w:tplc="EF0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B4EA6"/>
    <w:multiLevelType w:val="hybridMultilevel"/>
    <w:tmpl w:val="07A8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C0CFB"/>
    <w:multiLevelType w:val="hybridMultilevel"/>
    <w:tmpl w:val="13ECB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9254D"/>
    <w:multiLevelType w:val="hybridMultilevel"/>
    <w:tmpl w:val="D3144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346B3"/>
    <w:multiLevelType w:val="hybridMultilevel"/>
    <w:tmpl w:val="AE9C2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D70EB"/>
    <w:multiLevelType w:val="hybridMultilevel"/>
    <w:tmpl w:val="D436A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77F3C"/>
    <w:multiLevelType w:val="hybridMultilevel"/>
    <w:tmpl w:val="E66A0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700EA"/>
    <w:multiLevelType w:val="hybridMultilevel"/>
    <w:tmpl w:val="9CE81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7"/>
  </w:num>
  <w:num w:numId="5">
    <w:abstractNumId w:val="7"/>
  </w:num>
  <w:num w:numId="6">
    <w:abstractNumId w:val="10"/>
  </w:num>
  <w:num w:numId="7">
    <w:abstractNumId w:val="15"/>
  </w:num>
  <w:num w:numId="8">
    <w:abstractNumId w:val="16"/>
  </w:num>
  <w:num w:numId="9">
    <w:abstractNumId w:val="13"/>
  </w:num>
  <w:num w:numId="10">
    <w:abstractNumId w:val="9"/>
  </w:num>
  <w:num w:numId="11">
    <w:abstractNumId w:val="12"/>
  </w:num>
  <w:num w:numId="12">
    <w:abstractNumId w:val="1"/>
  </w:num>
  <w:num w:numId="13">
    <w:abstractNumId w:val="5"/>
  </w:num>
  <w:num w:numId="14">
    <w:abstractNumId w:val="0"/>
  </w:num>
  <w:num w:numId="15">
    <w:abstractNumId w:val="8"/>
  </w:num>
  <w:num w:numId="16">
    <w:abstractNumId w:val="11"/>
  </w:num>
  <w:num w:numId="1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318"/>
    <w:rsid w:val="00005890"/>
    <w:rsid w:val="000230B6"/>
    <w:rsid w:val="00037B93"/>
    <w:rsid w:val="000401A5"/>
    <w:rsid w:val="00042216"/>
    <w:rsid w:val="00045905"/>
    <w:rsid w:val="00063CB1"/>
    <w:rsid w:val="00090479"/>
    <w:rsid w:val="000B4DA2"/>
    <w:rsid w:val="000B6395"/>
    <w:rsid w:val="000D58FA"/>
    <w:rsid w:val="00112195"/>
    <w:rsid w:val="00137128"/>
    <w:rsid w:val="00155FDF"/>
    <w:rsid w:val="00157DC0"/>
    <w:rsid w:val="00167385"/>
    <w:rsid w:val="0017211B"/>
    <w:rsid w:val="0017600A"/>
    <w:rsid w:val="00184EB3"/>
    <w:rsid w:val="0022771C"/>
    <w:rsid w:val="00275CBA"/>
    <w:rsid w:val="002851D1"/>
    <w:rsid w:val="00294200"/>
    <w:rsid w:val="002A0841"/>
    <w:rsid w:val="002C344C"/>
    <w:rsid w:val="002D50EC"/>
    <w:rsid w:val="002D5F55"/>
    <w:rsid w:val="00344C0D"/>
    <w:rsid w:val="00362845"/>
    <w:rsid w:val="00375AE7"/>
    <w:rsid w:val="003A202D"/>
    <w:rsid w:val="003B2470"/>
    <w:rsid w:val="003B2D83"/>
    <w:rsid w:val="003C62DC"/>
    <w:rsid w:val="003E6533"/>
    <w:rsid w:val="00415B26"/>
    <w:rsid w:val="00442F09"/>
    <w:rsid w:val="00480F9C"/>
    <w:rsid w:val="004A3425"/>
    <w:rsid w:val="004A7A04"/>
    <w:rsid w:val="004B01A9"/>
    <w:rsid w:val="004E4EB6"/>
    <w:rsid w:val="004F6037"/>
    <w:rsid w:val="005071EE"/>
    <w:rsid w:val="00532C82"/>
    <w:rsid w:val="005A7C34"/>
    <w:rsid w:val="005B52DE"/>
    <w:rsid w:val="005C519A"/>
    <w:rsid w:val="005C5697"/>
    <w:rsid w:val="005E0BC5"/>
    <w:rsid w:val="005E324B"/>
    <w:rsid w:val="006148C2"/>
    <w:rsid w:val="006363CF"/>
    <w:rsid w:val="00665695"/>
    <w:rsid w:val="00677947"/>
    <w:rsid w:val="00684743"/>
    <w:rsid w:val="006A4563"/>
    <w:rsid w:val="00704540"/>
    <w:rsid w:val="007475F1"/>
    <w:rsid w:val="00797495"/>
    <w:rsid w:val="007B5AAC"/>
    <w:rsid w:val="007C0318"/>
    <w:rsid w:val="007D5744"/>
    <w:rsid w:val="008350B9"/>
    <w:rsid w:val="00850096"/>
    <w:rsid w:val="0087524C"/>
    <w:rsid w:val="00886169"/>
    <w:rsid w:val="008A1F94"/>
    <w:rsid w:val="008F310E"/>
    <w:rsid w:val="008F44C4"/>
    <w:rsid w:val="009229BF"/>
    <w:rsid w:val="009761BA"/>
    <w:rsid w:val="009D45AF"/>
    <w:rsid w:val="00A114AC"/>
    <w:rsid w:val="00A158DC"/>
    <w:rsid w:val="00A42E96"/>
    <w:rsid w:val="00A72A01"/>
    <w:rsid w:val="00AB0653"/>
    <w:rsid w:val="00AF22F5"/>
    <w:rsid w:val="00AF34B5"/>
    <w:rsid w:val="00B15C47"/>
    <w:rsid w:val="00B7203A"/>
    <w:rsid w:val="00B76640"/>
    <w:rsid w:val="00B76876"/>
    <w:rsid w:val="00B843E7"/>
    <w:rsid w:val="00BB6302"/>
    <w:rsid w:val="00C10E55"/>
    <w:rsid w:val="00C17166"/>
    <w:rsid w:val="00CA121D"/>
    <w:rsid w:val="00CA4569"/>
    <w:rsid w:val="00CA50C2"/>
    <w:rsid w:val="00CF70F5"/>
    <w:rsid w:val="00CF749D"/>
    <w:rsid w:val="00D30FB2"/>
    <w:rsid w:val="00D742E4"/>
    <w:rsid w:val="00D9154D"/>
    <w:rsid w:val="00DD23E4"/>
    <w:rsid w:val="00DD43C1"/>
    <w:rsid w:val="00DE30FD"/>
    <w:rsid w:val="00DE613F"/>
    <w:rsid w:val="00DF55D5"/>
    <w:rsid w:val="00E00651"/>
    <w:rsid w:val="00E245AD"/>
    <w:rsid w:val="00E3297D"/>
    <w:rsid w:val="00E33B89"/>
    <w:rsid w:val="00E61C3E"/>
    <w:rsid w:val="00E82A3A"/>
    <w:rsid w:val="00E8525F"/>
    <w:rsid w:val="00E93761"/>
    <w:rsid w:val="00E93C6A"/>
    <w:rsid w:val="00EA1FBB"/>
    <w:rsid w:val="00ED6953"/>
    <w:rsid w:val="00EE602E"/>
    <w:rsid w:val="00F171C7"/>
    <w:rsid w:val="00F26149"/>
    <w:rsid w:val="00F32CA4"/>
    <w:rsid w:val="00F8478E"/>
    <w:rsid w:val="00FA737B"/>
    <w:rsid w:val="00FB0EDD"/>
    <w:rsid w:val="00FB6FDE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32B4F0C"/>
  <w15:docId w15:val="{4EFFA003-EF16-4115-9DCC-43EBD693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40"/>
      <w:outlineLvl w:val="0"/>
    </w:pPr>
    <w:rPr>
      <w:rFonts w:ascii="Calibri" w:eastAsia="Calibri" w:hAnsi="Calibri"/>
      <w:b/>
      <w:bCs/>
      <w:sz w:val="32"/>
      <w:szCs w:val="32"/>
      <w:u w:val="single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16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6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640"/>
  </w:style>
  <w:style w:type="paragraph" w:styleId="Footer">
    <w:name w:val="footer"/>
    <w:basedOn w:val="Normal"/>
    <w:link w:val="FooterChar"/>
    <w:uiPriority w:val="99"/>
    <w:unhideWhenUsed/>
    <w:rsid w:val="00B76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640"/>
  </w:style>
  <w:style w:type="character" w:styleId="CommentReference">
    <w:name w:val="annotation reference"/>
    <w:basedOn w:val="DefaultParagraphFont"/>
    <w:uiPriority w:val="99"/>
    <w:semiHidden/>
    <w:unhideWhenUsed/>
    <w:rsid w:val="00FF4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9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9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9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5C47"/>
    <w:rPr>
      <w:color w:val="0000FF" w:themeColor="hyperlink"/>
      <w:u w:val="single"/>
    </w:rPr>
  </w:style>
  <w:style w:type="paragraph" w:customStyle="1" w:styleId="Default">
    <w:name w:val="Default"/>
    <w:rsid w:val="003B2D83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ources.cste.org/Injury-Surveillance-Methods-Toolkit/Home/InjuryIndicato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489</Words>
  <Characters>2743</Characters>
  <Application>Microsoft Office Word</Application>
  <DocSecurity>0</DocSecurity>
  <Lines>137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Lai</dc:creator>
  <cp:lastModifiedBy>Yang, Hannah</cp:lastModifiedBy>
  <cp:revision>109</cp:revision>
  <dcterms:created xsi:type="dcterms:W3CDTF">2019-07-25T19:01:00Z</dcterms:created>
  <dcterms:modified xsi:type="dcterms:W3CDTF">2021-05-18T20:01:00Z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LastSaved">
    <vt:filetime>2019-07-16T00:00:00Z</vt:filetime>
  </property>
</Properties>
</file>