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A08B38" w14:textId="60AA9E67" w:rsidR="007C0318" w:rsidRDefault="000B598B" w:rsidP="000B598B">
      <w:pPr>
        <w:pStyle w:val="Heading1"/>
        <w:ind w:left="0"/>
        <w:rPr>
          <w:b w:val="0"/>
          <w:bCs w:val="0"/>
          <w:u w:val="none"/>
        </w:rPr>
      </w:pPr>
      <w:r>
        <w:rPr>
          <w:color w:val="001F5F"/>
          <w:spacing w:val="-2"/>
          <w:u w:val="none"/>
        </w:rPr>
        <w:t>Motorcycle</w:t>
      </w:r>
      <w:r w:rsidR="00850096">
        <w:rPr>
          <w:color w:val="001F5F"/>
          <w:spacing w:val="-2"/>
          <w:u w:val="none"/>
        </w:rPr>
        <w:t xml:space="preserve">-Related </w:t>
      </w:r>
      <w:r w:rsidR="00F26149">
        <w:rPr>
          <w:color w:val="001F5F"/>
          <w:spacing w:val="-2"/>
          <w:u w:val="none"/>
        </w:rPr>
        <w:t xml:space="preserve">Occupant </w:t>
      </w:r>
      <w:r w:rsidR="00850096">
        <w:rPr>
          <w:color w:val="001F5F"/>
          <w:spacing w:val="-2"/>
          <w:u w:val="none"/>
        </w:rPr>
        <w:t>Injury</w:t>
      </w:r>
      <w:r w:rsidR="00FF49E6">
        <w:rPr>
          <w:color w:val="001F5F"/>
          <w:spacing w:val="-2"/>
          <w:u w:val="none"/>
        </w:rPr>
        <w:t>, Nontraffic</w:t>
      </w:r>
    </w:p>
    <w:p w14:paraId="0185D069" w14:textId="34DA5645" w:rsidR="007C0318" w:rsidRPr="00ED6953" w:rsidRDefault="00CA4569" w:rsidP="00362845">
      <w:pPr>
        <w:rPr>
          <w:rFonts w:ascii="Calibri" w:eastAsia="Calibri" w:hAnsi="Calibri" w:cs="Calibri"/>
        </w:rPr>
      </w:pPr>
      <w:r w:rsidRPr="00ED6953">
        <w:rPr>
          <w:rFonts w:ascii="Calibri" w:eastAsia="Calibri" w:hAnsi="Calibri" w:cs="Calibri"/>
          <w:b/>
          <w:bCs/>
          <w:color w:val="001F5F"/>
          <w:u w:val="thick" w:color="001F5F"/>
        </w:rPr>
        <w:t xml:space="preserve">Nonfatal </w:t>
      </w:r>
      <w:r w:rsidR="00FF49E6" w:rsidRPr="00ED6953">
        <w:rPr>
          <w:rFonts w:ascii="Calibri" w:eastAsia="Calibri" w:hAnsi="Calibri" w:cs="Calibri"/>
          <w:b/>
          <w:bCs/>
          <w:color w:val="001F5F"/>
          <w:u w:val="thick" w:color="001F5F"/>
        </w:rPr>
        <w:t>ED Visits/Hospitalizations</w:t>
      </w:r>
    </w:p>
    <w:p w14:paraId="37DA2BC8" w14:textId="0432ED8C" w:rsidR="0017600A" w:rsidRDefault="0017600A" w:rsidP="00B76640">
      <w:pPr>
        <w:pStyle w:val="Heading2"/>
        <w:spacing w:before="56"/>
        <w:ind w:left="0"/>
      </w:pPr>
      <w:r>
        <w:t>Background Information</w:t>
      </w:r>
      <w:r w:rsidR="00532C82">
        <w:t>/Significance</w:t>
      </w:r>
    </w:p>
    <w:p w14:paraId="59851C46" w14:textId="55055E4A" w:rsidR="00C60E29" w:rsidRDefault="00C60E29" w:rsidP="00C60E29">
      <w:pPr>
        <w:pStyle w:val="ListParagraph"/>
        <w:numPr>
          <w:ilvl w:val="0"/>
          <w:numId w:val="11"/>
        </w:numPr>
        <w:rPr>
          <w:color w:val="1A1A1A"/>
          <w:sz w:val="20"/>
          <w:szCs w:val="20"/>
        </w:rPr>
      </w:pPr>
      <w:r>
        <w:rPr>
          <w:color w:val="1A1A1A"/>
          <w:sz w:val="20"/>
          <w:szCs w:val="20"/>
        </w:rPr>
        <w:t>This morbidity indicator measures motorcycle occupants injured in nontraffic incidents</w:t>
      </w:r>
    </w:p>
    <w:p w14:paraId="5523DE3E" w14:textId="77777777" w:rsidR="00C908E7" w:rsidRPr="000401A5" w:rsidRDefault="00C908E7" w:rsidP="00C908E7">
      <w:pPr>
        <w:pStyle w:val="ListParagraph"/>
        <w:numPr>
          <w:ilvl w:val="0"/>
          <w:numId w:val="11"/>
        </w:numPr>
        <w:rPr>
          <w:color w:val="1A1A1A"/>
          <w:sz w:val="20"/>
          <w:szCs w:val="20"/>
        </w:rPr>
      </w:pPr>
      <w:r w:rsidRPr="000401A5">
        <w:rPr>
          <w:color w:val="1A1A1A"/>
          <w:sz w:val="20"/>
          <w:szCs w:val="20"/>
        </w:rPr>
        <w:t>Transport incidents involving motor vehicles are considered “traffic” incidents if they occur on a public highway or street, whereas a “nontraffic” incident occurs entirely in any place other than a public highway or street.</w:t>
      </w:r>
    </w:p>
    <w:p w14:paraId="5C11C3FE" w14:textId="77777777" w:rsidR="00C908E7" w:rsidRDefault="00C908E7" w:rsidP="00C908E7">
      <w:pPr>
        <w:pStyle w:val="ListParagraph"/>
        <w:numPr>
          <w:ilvl w:val="0"/>
          <w:numId w:val="11"/>
        </w:numPr>
        <w:rPr>
          <w:color w:val="1A1A1A"/>
          <w:sz w:val="20"/>
          <w:szCs w:val="20"/>
        </w:rPr>
      </w:pPr>
      <w:r w:rsidRPr="007475F1">
        <w:rPr>
          <w:color w:val="1A1A1A"/>
          <w:sz w:val="20"/>
          <w:szCs w:val="20"/>
        </w:rPr>
        <w:t>Existing morbidity and mortality indicators for motor vehicle-related injury focus on traffic incidents</w:t>
      </w:r>
      <w:r>
        <w:rPr>
          <w:color w:val="1A1A1A"/>
          <w:sz w:val="20"/>
          <w:szCs w:val="20"/>
        </w:rPr>
        <w:t>.</w:t>
      </w:r>
    </w:p>
    <w:p w14:paraId="3098CE73" w14:textId="3D86CE30" w:rsidR="00C908E7" w:rsidRDefault="00C908E7" w:rsidP="00C908E7">
      <w:pPr>
        <w:pStyle w:val="ListParagraph"/>
        <w:numPr>
          <w:ilvl w:val="0"/>
          <w:numId w:val="11"/>
        </w:numPr>
        <w:rPr>
          <w:color w:val="1A1A1A"/>
          <w:sz w:val="20"/>
          <w:szCs w:val="20"/>
        </w:rPr>
      </w:pPr>
      <w:r>
        <w:rPr>
          <w:color w:val="1A1A1A"/>
          <w:sz w:val="20"/>
          <w:szCs w:val="20"/>
        </w:rPr>
        <w:t>Monitoring injuries due to nontraffic incidents may lead to improved prevention strategies</w:t>
      </w:r>
    </w:p>
    <w:p w14:paraId="08818239" w14:textId="19E8D1CD" w:rsidR="00CF70F5" w:rsidRPr="00B76640" w:rsidRDefault="00112195" w:rsidP="0017600A">
      <w:pPr>
        <w:pStyle w:val="Heading2"/>
        <w:ind w:left="0"/>
        <w:rPr>
          <w:b w:val="0"/>
          <w:bCs w:val="0"/>
        </w:rPr>
      </w:pPr>
      <w:r>
        <w:t>N</w:t>
      </w:r>
      <w:r>
        <w:rPr>
          <w:spacing w:val="-1"/>
        </w:rPr>
        <w:t>u</w:t>
      </w:r>
      <w:r>
        <w:t>merat</w:t>
      </w:r>
      <w:r>
        <w:rPr>
          <w:spacing w:val="-2"/>
        </w:rPr>
        <w:t>o</w:t>
      </w:r>
      <w:r>
        <w:t>r</w:t>
      </w:r>
      <w:r w:rsidR="00A158DC">
        <w:t>:</w:t>
      </w:r>
    </w:p>
    <w:p w14:paraId="1F3AB7D3" w14:textId="77777777" w:rsidR="00735C93" w:rsidRPr="00DD23E4" w:rsidRDefault="00735C93" w:rsidP="00735C93">
      <w:pPr>
        <w:pStyle w:val="ListParagraph"/>
        <w:numPr>
          <w:ilvl w:val="0"/>
          <w:numId w:val="16"/>
        </w:numPr>
        <w:rPr>
          <w:color w:val="1A1A1A"/>
          <w:sz w:val="20"/>
          <w:szCs w:val="20"/>
        </w:rPr>
      </w:pPr>
      <w:r w:rsidRPr="00DD23E4">
        <w:rPr>
          <w:color w:val="1A1A1A"/>
          <w:sz w:val="20"/>
          <w:szCs w:val="20"/>
        </w:rPr>
        <w:t>Records from the ED visit or hospitalization injury subset with any of the following ICD-10-CM external cause of injury codes in any field</w:t>
      </w:r>
    </w:p>
    <w:p w14:paraId="2AAAEEFF" w14:textId="77777777" w:rsidR="00735C93" w:rsidRPr="00DD23E4" w:rsidRDefault="00735C93" w:rsidP="00735C93">
      <w:pPr>
        <w:pStyle w:val="ListParagraph"/>
        <w:numPr>
          <w:ilvl w:val="0"/>
          <w:numId w:val="16"/>
        </w:numPr>
        <w:rPr>
          <w:color w:val="1A1A1A"/>
          <w:sz w:val="20"/>
          <w:szCs w:val="20"/>
        </w:rPr>
      </w:pPr>
      <w:r w:rsidRPr="00DD23E4">
        <w:rPr>
          <w:color w:val="1A1A1A"/>
          <w:sz w:val="20"/>
          <w:szCs w:val="20"/>
        </w:rPr>
        <w:t>Exclude in-facility deaths</w:t>
      </w:r>
    </w:p>
    <w:p w14:paraId="039C88E2" w14:textId="1C050AAE" w:rsidR="007C0318" w:rsidRDefault="002D5F55" w:rsidP="00B76640">
      <w:pPr>
        <w:pStyle w:val="BodyText"/>
        <w:ind w:left="0" w:firstLine="0"/>
      </w:pPr>
      <w:r>
        <w:rPr>
          <w:color w:val="2E5395"/>
          <w:u w:val="single" w:color="2E5395"/>
        </w:rPr>
        <w:t xml:space="preserve">Codes* for </w:t>
      </w:r>
      <w:r w:rsidR="00A85AA8">
        <w:rPr>
          <w:color w:val="2E5395"/>
          <w:u w:val="single" w:color="2E5395"/>
        </w:rPr>
        <w:t xml:space="preserve">motorcycle </w:t>
      </w:r>
      <w:r>
        <w:rPr>
          <w:color w:val="2E5395"/>
          <w:u w:val="single" w:color="2E5395"/>
        </w:rPr>
        <w:t>occupant injured in unintentional nontraffic incident</w:t>
      </w:r>
    </w:p>
    <w:tbl>
      <w:tblPr>
        <w:tblW w:w="9360" w:type="dxa"/>
        <w:tblInd w:w="58" w:type="dxa"/>
        <w:tblLayout w:type="fixed"/>
        <w:tblCellMar>
          <w:left w:w="58" w:type="dxa"/>
          <w:right w:w="58" w:type="dxa"/>
        </w:tblCellMar>
        <w:tblLook w:val="01E0" w:firstRow="1" w:lastRow="1" w:firstColumn="1" w:lastColumn="1" w:noHBand="0" w:noVBand="0"/>
      </w:tblPr>
      <w:tblGrid>
        <w:gridCol w:w="2932"/>
        <w:gridCol w:w="6428"/>
      </w:tblGrid>
      <w:tr w:rsidR="00871378" w:rsidRPr="00886169" w14:paraId="69006453" w14:textId="42A4574B" w:rsidTr="00871378">
        <w:trPr>
          <w:cantSplit/>
        </w:trPr>
        <w:tc>
          <w:tcPr>
            <w:tcW w:w="2932" w:type="dxa"/>
            <w:tcBorders>
              <w:top w:val="single" w:sz="5" w:space="0" w:color="000000"/>
              <w:left w:val="single" w:sz="5" w:space="0" w:color="000000"/>
              <w:bottom w:val="single" w:sz="5" w:space="0" w:color="000000"/>
              <w:right w:val="single" w:sz="5" w:space="0" w:color="000000"/>
            </w:tcBorders>
          </w:tcPr>
          <w:p w14:paraId="273BFAC7" w14:textId="37A80FDD" w:rsidR="00871378" w:rsidRPr="00886169" w:rsidRDefault="00871378" w:rsidP="005E0BC5">
            <w:pPr>
              <w:pStyle w:val="TableParagraph"/>
              <w:ind w:right="146"/>
              <w:rPr>
                <w:rFonts w:ascii="Calibri" w:eastAsia="Calibri" w:hAnsi="Calibri" w:cs="Calibri"/>
                <w:b/>
                <w:bCs/>
              </w:rPr>
            </w:pPr>
            <w:r>
              <w:rPr>
                <w:rFonts w:ascii="Calibri" w:eastAsia="Calibri" w:hAnsi="Calibri" w:cs="Calibri"/>
                <w:b/>
                <w:bCs/>
              </w:rPr>
              <w:t xml:space="preserve">ICD-10-CM </w:t>
            </w:r>
            <w:r w:rsidRPr="00886169">
              <w:rPr>
                <w:rFonts w:ascii="Calibri" w:eastAsia="Calibri" w:hAnsi="Calibri" w:cs="Calibri"/>
                <w:b/>
                <w:bCs/>
              </w:rPr>
              <w:t>Code</w:t>
            </w:r>
          </w:p>
        </w:tc>
        <w:tc>
          <w:tcPr>
            <w:tcW w:w="6428" w:type="dxa"/>
            <w:tcBorders>
              <w:top w:val="single" w:sz="5" w:space="0" w:color="000000"/>
              <w:left w:val="single" w:sz="5" w:space="0" w:color="000000"/>
              <w:bottom w:val="single" w:sz="5" w:space="0" w:color="000000"/>
              <w:right w:val="single" w:sz="5" w:space="0" w:color="000000"/>
            </w:tcBorders>
          </w:tcPr>
          <w:p w14:paraId="4310725E" w14:textId="17E551B3" w:rsidR="00871378" w:rsidRPr="00886169" w:rsidRDefault="00871378" w:rsidP="005E0BC5">
            <w:pPr>
              <w:pStyle w:val="TableParagraph"/>
              <w:rPr>
                <w:rFonts w:ascii="Calibri" w:eastAsia="Calibri" w:hAnsi="Calibri" w:cs="Calibri"/>
                <w:b/>
                <w:bCs/>
              </w:rPr>
            </w:pPr>
            <w:r w:rsidRPr="00886169">
              <w:rPr>
                <w:rFonts w:ascii="Calibri" w:eastAsia="Calibri" w:hAnsi="Calibri" w:cs="Calibri"/>
                <w:b/>
                <w:bCs/>
              </w:rPr>
              <w:t>Description</w:t>
            </w:r>
          </w:p>
        </w:tc>
      </w:tr>
      <w:tr w:rsidR="00871378" w14:paraId="30872F85" w14:textId="21A46FA8" w:rsidTr="00871378">
        <w:trPr>
          <w:cantSplit/>
        </w:trPr>
        <w:tc>
          <w:tcPr>
            <w:tcW w:w="2932" w:type="dxa"/>
            <w:tcBorders>
              <w:top w:val="single" w:sz="5" w:space="0" w:color="000000"/>
              <w:left w:val="single" w:sz="5" w:space="0" w:color="000000"/>
              <w:bottom w:val="single" w:sz="5" w:space="0" w:color="000000"/>
              <w:right w:val="single" w:sz="5" w:space="0" w:color="000000"/>
            </w:tcBorders>
          </w:tcPr>
          <w:p w14:paraId="01BE9BA2" w14:textId="052AC873" w:rsidR="00871378" w:rsidRDefault="00871378" w:rsidP="005E0BC5">
            <w:pPr>
              <w:pStyle w:val="TableParagraph"/>
              <w:ind w:right="146"/>
              <w:rPr>
                <w:rFonts w:ascii="Calibri" w:eastAsia="Calibri" w:hAnsi="Calibri" w:cs="Calibri"/>
              </w:rPr>
            </w:pPr>
            <w:r w:rsidRPr="004A3425">
              <w:rPr>
                <w:rFonts w:eastAsia="Times New Roman"/>
                <w:color w:val="000000"/>
              </w:rPr>
              <w:t>V20-V28(.0-.2), V29.0-V29.3</w:t>
            </w:r>
          </w:p>
        </w:tc>
        <w:tc>
          <w:tcPr>
            <w:tcW w:w="6428" w:type="dxa"/>
            <w:tcBorders>
              <w:top w:val="single" w:sz="5" w:space="0" w:color="000000"/>
              <w:left w:val="single" w:sz="5" w:space="0" w:color="000000"/>
              <w:bottom w:val="single" w:sz="5" w:space="0" w:color="000000"/>
              <w:right w:val="single" w:sz="5" w:space="0" w:color="000000"/>
            </w:tcBorders>
          </w:tcPr>
          <w:p w14:paraId="086547FB" w14:textId="5C04AD6C" w:rsidR="00871378" w:rsidRDefault="00871378" w:rsidP="005E0BC5">
            <w:pPr>
              <w:pStyle w:val="TableParagraph"/>
              <w:rPr>
                <w:rFonts w:ascii="Calibri" w:eastAsia="Calibri" w:hAnsi="Calibri" w:cs="Calibri"/>
              </w:rPr>
            </w:pPr>
            <w:r>
              <w:rPr>
                <w:rFonts w:ascii="Calibri" w:eastAsia="Calibri" w:hAnsi="Calibri" w:cs="Calibri"/>
              </w:rPr>
              <w:t>Motorcycle</w:t>
            </w:r>
            <w:r w:rsidR="00FB745F">
              <w:rPr>
                <w:rFonts w:ascii="Calibri" w:eastAsia="Calibri" w:hAnsi="Calibri" w:cs="Calibri"/>
              </w:rPr>
              <w:t xml:space="preserve"> occupant </w:t>
            </w:r>
            <w:r w:rsidR="003A2611">
              <w:rPr>
                <w:rFonts w:ascii="Calibri" w:eastAsia="Calibri" w:hAnsi="Calibri" w:cs="Calibri"/>
              </w:rPr>
              <w:t>injured in nontraffic incident</w:t>
            </w:r>
          </w:p>
        </w:tc>
      </w:tr>
    </w:tbl>
    <w:p w14:paraId="5D9DC367" w14:textId="77777777" w:rsidR="00090479" w:rsidRPr="00A85AA8" w:rsidRDefault="00112195" w:rsidP="00FB6FDE">
      <w:pPr>
        <w:pStyle w:val="BodyText"/>
        <w:spacing w:before="0"/>
        <w:ind w:left="0" w:firstLine="0"/>
        <w:rPr>
          <w:sz w:val="16"/>
          <w:szCs w:val="16"/>
        </w:rPr>
      </w:pPr>
      <w:r w:rsidRPr="00A85AA8">
        <w:rPr>
          <w:sz w:val="16"/>
          <w:szCs w:val="16"/>
        </w:rPr>
        <w:t>*</w:t>
      </w:r>
      <w:r w:rsidR="00090479" w:rsidRPr="00A85AA8">
        <w:rPr>
          <w:sz w:val="16"/>
          <w:szCs w:val="16"/>
        </w:rPr>
        <w:t>7</w:t>
      </w:r>
      <w:r w:rsidR="00090479" w:rsidRPr="00A85AA8">
        <w:rPr>
          <w:sz w:val="16"/>
          <w:szCs w:val="16"/>
          <w:vertAlign w:val="superscript"/>
        </w:rPr>
        <w:t>th</w:t>
      </w:r>
      <w:r w:rsidR="00090479" w:rsidRPr="00A85AA8">
        <w:rPr>
          <w:sz w:val="16"/>
          <w:szCs w:val="16"/>
        </w:rPr>
        <w:t xml:space="preserve"> character of A or Missing</w:t>
      </w:r>
    </w:p>
    <w:p w14:paraId="5FA3DCB0" w14:textId="5331CFAE" w:rsidR="005F78D4" w:rsidRPr="00DD23E4" w:rsidRDefault="00943C39" w:rsidP="00A85AA8">
      <w:pPr>
        <w:pStyle w:val="BodyText"/>
        <w:spacing w:before="0" w:after="120"/>
        <w:ind w:left="0" w:firstLine="0"/>
        <w:rPr>
          <w:sz w:val="16"/>
          <w:szCs w:val="16"/>
        </w:rPr>
      </w:pPr>
      <w:r>
        <w:rPr>
          <w:sz w:val="16"/>
          <w:szCs w:val="16"/>
        </w:rPr>
        <w:t>All c</w:t>
      </w:r>
      <w:r w:rsidR="005F78D4" w:rsidRPr="00DD23E4">
        <w:rPr>
          <w:sz w:val="16"/>
          <w:szCs w:val="16"/>
        </w:rPr>
        <w:t xml:space="preserve">odes </w:t>
      </w:r>
      <w:r>
        <w:rPr>
          <w:sz w:val="16"/>
          <w:szCs w:val="16"/>
        </w:rPr>
        <w:t>listed above</w:t>
      </w:r>
      <w:r w:rsidR="005F78D4" w:rsidRPr="00DD23E4">
        <w:rPr>
          <w:sz w:val="16"/>
          <w:szCs w:val="16"/>
        </w:rPr>
        <w:t xml:space="preserve"> are part of the “MV-Nontraffic” row of the ICD-10-CM External Cause of Injury Framework.</w:t>
      </w:r>
    </w:p>
    <w:p w14:paraId="757CAB9E" w14:textId="492E2FE2" w:rsidR="007C0318" w:rsidRDefault="00112195" w:rsidP="00B76640">
      <w:pPr>
        <w:pStyle w:val="Heading2"/>
        <w:ind w:left="0"/>
      </w:pPr>
      <w:r>
        <w:t>De</w:t>
      </w:r>
      <w:r>
        <w:rPr>
          <w:spacing w:val="-2"/>
        </w:rPr>
        <w:t>n</w:t>
      </w:r>
      <w:r>
        <w:rPr>
          <w:spacing w:val="-1"/>
        </w:rPr>
        <w:t>o</w:t>
      </w:r>
      <w:r>
        <w:t>m</w:t>
      </w:r>
      <w:r>
        <w:rPr>
          <w:spacing w:val="1"/>
        </w:rPr>
        <w:t>i</w:t>
      </w:r>
      <w:r>
        <w:rPr>
          <w:spacing w:val="-1"/>
        </w:rPr>
        <w:t>n</w:t>
      </w:r>
      <w:r>
        <w:rPr>
          <w:spacing w:val="-2"/>
        </w:rPr>
        <w:t>a</w:t>
      </w:r>
      <w:r>
        <w:t>t</w:t>
      </w:r>
      <w:r>
        <w:rPr>
          <w:spacing w:val="-1"/>
        </w:rPr>
        <w:t>o</w:t>
      </w:r>
      <w:r>
        <w:t>r:</w:t>
      </w:r>
    </w:p>
    <w:p w14:paraId="071AF773" w14:textId="3FFE6E88" w:rsidR="008350B9" w:rsidRPr="00943C39" w:rsidRDefault="008350B9" w:rsidP="00E93761">
      <w:pPr>
        <w:pStyle w:val="ListParagraph"/>
        <w:numPr>
          <w:ilvl w:val="0"/>
          <w:numId w:val="8"/>
        </w:numPr>
        <w:spacing w:after="40"/>
        <w:rPr>
          <w:b/>
          <w:bCs/>
          <w:sz w:val="20"/>
          <w:szCs w:val="20"/>
        </w:rPr>
      </w:pPr>
      <w:r w:rsidRPr="00943C39">
        <w:rPr>
          <w:sz w:val="20"/>
          <w:szCs w:val="20"/>
        </w:rPr>
        <w:t>Midyear population for the calendar year under surveillance obtained from the U.S. Census Bureau</w:t>
      </w:r>
    </w:p>
    <w:p w14:paraId="69DAF835" w14:textId="2C7FD94B" w:rsidR="00B76640" w:rsidRDefault="00112195" w:rsidP="00B76640">
      <w:pPr>
        <w:pStyle w:val="Heading2"/>
        <w:ind w:left="0"/>
      </w:pPr>
      <w:r>
        <w:rPr>
          <w:spacing w:val="-1"/>
        </w:rPr>
        <w:t>Me</w:t>
      </w:r>
      <w:r>
        <w:rPr>
          <w:spacing w:val="-2"/>
        </w:rPr>
        <w:t>a</w:t>
      </w:r>
      <w:r>
        <w:t>s</w:t>
      </w:r>
      <w:r>
        <w:rPr>
          <w:spacing w:val="-1"/>
        </w:rPr>
        <w:t>u</w:t>
      </w:r>
      <w:r>
        <w:t>r</w:t>
      </w:r>
      <w:r w:rsidR="00B76640">
        <w:rPr>
          <w:spacing w:val="-1"/>
        </w:rPr>
        <w:t>e</w:t>
      </w:r>
      <w:r>
        <w:t xml:space="preserve">s </w:t>
      </w:r>
      <w:r>
        <w:rPr>
          <w:spacing w:val="-1"/>
        </w:rPr>
        <w:t>o</w:t>
      </w:r>
      <w:r>
        <w:t>f fr</w:t>
      </w:r>
      <w:r>
        <w:rPr>
          <w:spacing w:val="-1"/>
        </w:rPr>
        <w:t>equen</w:t>
      </w:r>
      <w:r>
        <w:rPr>
          <w:spacing w:val="1"/>
        </w:rPr>
        <w:t>c</w:t>
      </w:r>
      <w:r>
        <w:t>y</w:t>
      </w:r>
      <w:r w:rsidR="00CA56F7">
        <w:t xml:space="preserve"> (reported separately for ED visits and Hospitalizations)</w:t>
      </w:r>
      <w:r>
        <w:t>:</w:t>
      </w:r>
    </w:p>
    <w:p w14:paraId="2B5ED6E6" w14:textId="009C4ECA" w:rsidR="00B76640" w:rsidRPr="00943C39" w:rsidRDefault="00A158DC" w:rsidP="00A158DC">
      <w:pPr>
        <w:pStyle w:val="ListParagraph"/>
        <w:numPr>
          <w:ilvl w:val="0"/>
          <w:numId w:val="12"/>
        </w:numPr>
        <w:rPr>
          <w:sz w:val="20"/>
          <w:szCs w:val="20"/>
        </w:rPr>
      </w:pPr>
      <w:r w:rsidRPr="00943C39">
        <w:rPr>
          <w:sz w:val="20"/>
          <w:szCs w:val="20"/>
        </w:rPr>
        <w:t>Annual count by age group and sex</w:t>
      </w:r>
    </w:p>
    <w:p w14:paraId="5ED45C71" w14:textId="03306F64" w:rsidR="00B76640" w:rsidRPr="00943C39" w:rsidRDefault="00A158DC" w:rsidP="00E93761">
      <w:pPr>
        <w:pStyle w:val="ListParagraph"/>
        <w:numPr>
          <w:ilvl w:val="0"/>
          <w:numId w:val="8"/>
        </w:numPr>
        <w:spacing w:after="40"/>
        <w:rPr>
          <w:sz w:val="20"/>
          <w:szCs w:val="20"/>
        </w:rPr>
      </w:pPr>
      <w:r w:rsidRPr="00943C39">
        <w:rPr>
          <w:sz w:val="20"/>
          <w:szCs w:val="20"/>
        </w:rPr>
        <w:t>Annual age-adjusted rates, overall and by sex, standardized by the direct method to the year</w:t>
      </w:r>
      <w:r w:rsidR="008F44C4" w:rsidRPr="00943C39">
        <w:rPr>
          <w:sz w:val="20"/>
          <w:szCs w:val="20"/>
        </w:rPr>
        <w:t xml:space="preserve"> </w:t>
      </w:r>
      <w:r w:rsidRPr="00943C39">
        <w:rPr>
          <w:sz w:val="20"/>
          <w:szCs w:val="20"/>
        </w:rPr>
        <w:t>2000 standard US population</w:t>
      </w:r>
    </w:p>
    <w:p w14:paraId="4E6E186C" w14:textId="27FE38C3" w:rsidR="00B76640" w:rsidRDefault="00112195" w:rsidP="00B76640">
      <w:pPr>
        <w:pStyle w:val="Heading2"/>
        <w:ind w:left="0"/>
      </w:pPr>
      <w:r>
        <w:t>Peri</w:t>
      </w:r>
      <w:r>
        <w:rPr>
          <w:spacing w:val="-1"/>
        </w:rPr>
        <w:t>o</w:t>
      </w:r>
      <w:r>
        <w:t>d</w:t>
      </w:r>
      <w:r>
        <w:rPr>
          <w:spacing w:val="-1"/>
        </w:rPr>
        <w:t xml:space="preserve"> </w:t>
      </w:r>
      <w:r>
        <w:t>f</w:t>
      </w:r>
      <w:r>
        <w:rPr>
          <w:spacing w:val="-1"/>
        </w:rPr>
        <w:t>o</w:t>
      </w:r>
      <w:r>
        <w:t>r</w:t>
      </w:r>
      <w:r>
        <w:rPr>
          <w:spacing w:val="-2"/>
        </w:rPr>
        <w:t xml:space="preserve"> </w:t>
      </w:r>
      <w:r>
        <w:rPr>
          <w:spacing w:val="1"/>
        </w:rPr>
        <w:t>c</w:t>
      </w:r>
      <w:r>
        <w:rPr>
          <w:spacing w:val="-2"/>
        </w:rPr>
        <w:t>a</w:t>
      </w:r>
      <w:r>
        <w:t>se</w:t>
      </w:r>
      <w:r>
        <w:rPr>
          <w:spacing w:val="-1"/>
        </w:rPr>
        <w:t xml:space="preserve"> </w:t>
      </w:r>
      <w:r>
        <w:t>d</w:t>
      </w:r>
      <w:r>
        <w:rPr>
          <w:spacing w:val="-2"/>
        </w:rPr>
        <w:t>e</w:t>
      </w:r>
      <w:r>
        <w:t>fi</w:t>
      </w:r>
      <w:r>
        <w:rPr>
          <w:spacing w:val="-4"/>
        </w:rPr>
        <w:t>n</w:t>
      </w:r>
      <w:r>
        <w:t>it</w:t>
      </w:r>
      <w:r>
        <w:rPr>
          <w:spacing w:val="1"/>
        </w:rPr>
        <w:t>i</w:t>
      </w:r>
      <w:r>
        <w:rPr>
          <w:spacing w:val="-1"/>
        </w:rPr>
        <w:t>on</w:t>
      </w:r>
      <w:r>
        <w:t>:</w:t>
      </w:r>
    </w:p>
    <w:p w14:paraId="140B90A5" w14:textId="4115B3A0" w:rsidR="00B76640" w:rsidRPr="00943C39" w:rsidRDefault="00A158DC" w:rsidP="00E93761">
      <w:pPr>
        <w:pStyle w:val="ListParagraph"/>
        <w:numPr>
          <w:ilvl w:val="0"/>
          <w:numId w:val="8"/>
        </w:numPr>
        <w:spacing w:after="40"/>
        <w:rPr>
          <w:sz w:val="20"/>
          <w:szCs w:val="20"/>
        </w:rPr>
      </w:pPr>
      <w:r w:rsidRPr="00943C39">
        <w:rPr>
          <w:sz w:val="20"/>
          <w:szCs w:val="20"/>
        </w:rPr>
        <w:t>Calendar year based on date of discharge</w:t>
      </w:r>
    </w:p>
    <w:p w14:paraId="3570B51B" w14:textId="4671BA79" w:rsidR="00B76640" w:rsidRDefault="00112195" w:rsidP="00B76640">
      <w:pPr>
        <w:pStyle w:val="Heading2"/>
        <w:ind w:left="0"/>
      </w:pPr>
      <w:r>
        <w:t>I</w:t>
      </w:r>
      <w:r>
        <w:rPr>
          <w:spacing w:val="-1"/>
        </w:rPr>
        <w:t>nd</w:t>
      </w:r>
      <w:r>
        <w:t>i</w:t>
      </w:r>
      <w:r>
        <w:rPr>
          <w:spacing w:val="1"/>
        </w:rPr>
        <w:t>c</w:t>
      </w:r>
      <w:r>
        <w:rPr>
          <w:spacing w:val="-2"/>
        </w:rPr>
        <w:t>a</w:t>
      </w:r>
      <w:r>
        <w:t>t</w:t>
      </w:r>
      <w:r>
        <w:rPr>
          <w:spacing w:val="-1"/>
        </w:rPr>
        <w:t>o</w:t>
      </w:r>
      <w:r>
        <w:t>r</w:t>
      </w:r>
      <w:r w:rsidR="00B76640">
        <w:rPr>
          <w:spacing w:val="-2"/>
        </w:rPr>
        <w:t xml:space="preserve"> </w:t>
      </w:r>
      <w:r>
        <w:t>n</w:t>
      </w:r>
      <w:r>
        <w:rPr>
          <w:spacing w:val="-2"/>
        </w:rPr>
        <w:t>o</w:t>
      </w:r>
      <w:r>
        <w:t>tes:</w:t>
      </w:r>
    </w:p>
    <w:p w14:paraId="111BCEFE" w14:textId="77777777" w:rsidR="004142A6" w:rsidRPr="004142A6" w:rsidRDefault="004142A6" w:rsidP="004142A6">
      <w:pPr>
        <w:pStyle w:val="ListParagraph"/>
        <w:numPr>
          <w:ilvl w:val="0"/>
          <w:numId w:val="8"/>
        </w:numPr>
        <w:rPr>
          <w:color w:val="1A1A1A"/>
          <w:sz w:val="20"/>
          <w:szCs w:val="20"/>
        </w:rPr>
      </w:pPr>
      <w:r w:rsidRPr="004142A6">
        <w:rPr>
          <w:color w:val="1A1A1A"/>
          <w:sz w:val="20"/>
          <w:szCs w:val="20"/>
        </w:rPr>
        <w:t>The entire ED visit dataset is searched for any mention of an included indicator code. The Hospitalization dataset is first restricted to cases where the principal diagnosis is an injury code – then searched for any mention of an included indicator code. The intention is to capture injuries that result in hospitalization.</w:t>
      </w:r>
    </w:p>
    <w:p w14:paraId="03580B5B" w14:textId="48C03993" w:rsidR="00B76640" w:rsidRPr="004142A6" w:rsidRDefault="00B15C47" w:rsidP="00B15C47">
      <w:pPr>
        <w:pStyle w:val="ListParagraph"/>
        <w:numPr>
          <w:ilvl w:val="0"/>
          <w:numId w:val="8"/>
        </w:numPr>
        <w:spacing w:after="40"/>
        <w:rPr>
          <w:sz w:val="20"/>
          <w:szCs w:val="20"/>
        </w:rPr>
      </w:pPr>
      <w:r w:rsidRPr="004142A6">
        <w:rPr>
          <w:sz w:val="20"/>
          <w:szCs w:val="20"/>
        </w:rPr>
        <w:t xml:space="preserve">Refer to the CSTE Injury Surveillance Toolkit – </w:t>
      </w:r>
      <w:hyperlink r:id="rId7" w:history="1">
        <w:r w:rsidRPr="004142A6">
          <w:rPr>
            <w:rStyle w:val="Hyperlink"/>
            <w:sz w:val="20"/>
            <w:szCs w:val="20"/>
          </w:rPr>
          <w:t>Injury Indicators</w:t>
        </w:r>
      </w:hyperlink>
      <w:r w:rsidRPr="004142A6">
        <w:rPr>
          <w:sz w:val="20"/>
          <w:szCs w:val="20"/>
        </w:rPr>
        <w:t xml:space="preserve"> Page for more information</w:t>
      </w:r>
    </w:p>
    <w:p w14:paraId="19E6CD60" w14:textId="77777777" w:rsidR="0051659D" w:rsidRPr="00CF70F5" w:rsidRDefault="0051659D" w:rsidP="0051659D">
      <w:pPr>
        <w:pStyle w:val="Heading2"/>
        <w:ind w:left="0"/>
        <w:rPr>
          <w:b w:val="0"/>
          <w:bCs w:val="0"/>
        </w:rPr>
      </w:pPr>
      <w:r>
        <w:t>L</w:t>
      </w:r>
      <w:r>
        <w:rPr>
          <w:spacing w:val="1"/>
        </w:rPr>
        <w:t>i</w:t>
      </w:r>
      <w:r>
        <w:rPr>
          <w:spacing w:val="-3"/>
        </w:rPr>
        <w:t>m</w:t>
      </w:r>
      <w:r>
        <w:t>it</w:t>
      </w:r>
      <w:r>
        <w:rPr>
          <w:spacing w:val="-1"/>
        </w:rPr>
        <w:t>a</w:t>
      </w:r>
      <w:r>
        <w:t>t</w:t>
      </w:r>
      <w:r>
        <w:rPr>
          <w:spacing w:val="1"/>
        </w:rPr>
        <w:t>i</w:t>
      </w:r>
      <w:r>
        <w:rPr>
          <w:spacing w:val="-1"/>
        </w:rPr>
        <w:t>on</w:t>
      </w:r>
      <w:r>
        <w:t>s</w:t>
      </w:r>
      <w:r>
        <w:rPr>
          <w:spacing w:val="-2"/>
        </w:rPr>
        <w:t xml:space="preserve"> </w:t>
      </w:r>
      <w:r>
        <w:rPr>
          <w:spacing w:val="-1"/>
        </w:rPr>
        <w:t>o</w:t>
      </w:r>
      <w:r>
        <w:t>f d</w:t>
      </w:r>
      <w:r>
        <w:rPr>
          <w:spacing w:val="-2"/>
        </w:rPr>
        <w:t>a</w:t>
      </w:r>
      <w:r>
        <w:t>ta</w:t>
      </w:r>
      <w:r>
        <w:rPr>
          <w:spacing w:val="-1"/>
        </w:rPr>
        <w:t xml:space="preserve"> </w:t>
      </w:r>
      <w:r>
        <w:t>s</w:t>
      </w:r>
      <w:r>
        <w:rPr>
          <w:spacing w:val="-1"/>
        </w:rPr>
        <w:t>ou</w:t>
      </w:r>
      <w:r>
        <w:t>r</w:t>
      </w:r>
      <w:r>
        <w:rPr>
          <w:spacing w:val="1"/>
        </w:rPr>
        <w:t>c</w:t>
      </w:r>
      <w:r>
        <w:rPr>
          <w:spacing w:val="-1"/>
        </w:rPr>
        <w:t>e</w:t>
      </w:r>
      <w:r>
        <w:t>:</w:t>
      </w:r>
    </w:p>
    <w:p w14:paraId="4661AB39" w14:textId="77777777" w:rsidR="0051659D" w:rsidRPr="00DD23E4" w:rsidRDefault="0051659D" w:rsidP="0051659D">
      <w:pPr>
        <w:pStyle w:val="ListParagraph"/>
        <w:numPr>
          <w:ilvl w:val="0"/>
          <w:numId w:val="16"/>
        </w:numPr>
        <w:rPr>
          <w:color w:val="1A1A1A"/>
          <w:sz w:val="20"/>
          <w:szCs w:val="20"/>
        </w:rPr>
      </w:pPr>
      <w:r w:rsidRPr="00DD23E4">
        <w:rPr>
          <w:color w:val="1A1A1A"/>
          <w:sz w:val="20"/>
          <w:szCs w:val="20"/>
        </w:rPr>
        <w:t xml:space="preserve">Injuries that result in hospitalization only represent a portion of the overall burden of injury. These injuries should be considered in the context of both less- and more-severe injuries. </w:t>
      </w:r>
    </w:p>
    <w:p w14:paraId="2BF29142" w14:textId="77777777" w:rsidR="0051659D" w:rsidRPr="00DD23E4" w:rsidRDefault="0051659D" w:rsidP="0051659D">
      <w:pPr>
        <w:pStyle w:val="ListParagraph"/>
        <w:numPr>
          <w:ilvl w:val="0"/>
          <w:numId w:val="16"/>
        </w:numPr>
        <w:rPr>
          <w:color w:val="1A1A1A"/>
          <w:sz w:val="20"/>
          <w:szCs w:val="20"/>
        </w:rPr>
      </w:pPr>
      <w:r w:rsidRPr="00DD23E4">
        <w:rPr>
          <w:color w:val="1A1A1A"/>
          <w:sz w:val="20"/>
          <w:szCs w:val="20"/>
        </w:rPr>
        <w:t>The accuracy of indicators based on codes found in hospital discharge data are limited by the completeness and quality of coding.</w:t>
      </w:r>
    </w:p>
    <w:p w14:paraId="13BB6BDE" w14:textId="77777777" w:rsidR="0051659D" w:rsidRDefault="0051659D" w:rsidP="0051659D">
      <w:pPr>
        <w:pStyle w:val="Heading2"/>
        <w:ind w:left="0"/>
        <w:rPr>
          <w:spacing w:val="-1"/>
        </w:rPr>
      </w:pPr>
      <w:r w:rsidRPr="00E61C3E">
        <w:rPr>
          <w:spacing w:val="-1"/>
        </w:rPr>
        <w:t>Corresponding death indicator:</w:t>
      </w:r>
    </w:p>
    <w:p w14:paraId="184374A6" w14:textId="01B64DB8" w:rsidR="0017600A" w:rsidRPr="0051659D" w:rsidRDefault="0051659D" w:rsidP="0051659D">
      <w:pPr>
        <w:pStyle w:val="Heading2"/>
        <w:numPr>
          <w:ilvl w:val="0"/>
          <w:numId w:val="17"/>
        </w:numPr>
        <w:rPr>
          <w:i/>
          <w:iCs/>
          <w:color w:val="8064A2" w:themeColor="accent4"/>
          <w:spacing w:val="-1"/>
          <w:sz w:val="20"/>
          <w:szCs w:val="20"/>
        </w:rPr>
      </w:pPr>
      <w:r w:rsidRPr="00DD23E4">
        <w:rPr>
          <w:i/>
          <w:iCs/>
          <w:color w:val="8064A2" w:themeColor="accent4"/>
          <w:spacing w:val="-1"/>
          <w:sz w:val="20"/>
          <w:szCs w:val="20"/>
        </w:rPr>
        <w:t>Will fill this in later if our group has the capacity</w:t>
      </w:r>
    </w:p>
    <w:sectPr w:rsidR="0017600A" w:rsidRPr="0051659D" w:rsidSect="00C60E2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0" w:footer="74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1E7BAA" w14:textId="77777777" w:rsidR="0052529C" w:rsidRDefault="0052529C">
      <w:r>
        <w:separator/>
      </w:r>
    </w:p>
  </w:endnote>
  <w:endnote w:type="continuationSeparator" w:id="0">
    <w:p w14:paraId="580D0975" w14:textId="77777777" w:rsidR="0052529C" w:rsidRDefault="00525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2669B" w14:textId="77777777" w:rsidR="00796766" w:rsidRDefault="007967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399F5" w14:textId="77777777" w:rsidR="007C0318" w:rsidRDefault="0052529C">
    <w:pPr>
      <w:spacing w:line="200" w:lineRule="exact"/>
      <w:rPr>
        <w:sz w:val="20"/>
        <w:szCs w:val="20"/>
      </w:rPr>
    </w:pPr>
    <w:r>
      <w:pict w14:anchorId="6D81A672">
        <v:shapetype id="_x0000_t202" coordsize="21600,21600" o:spt="202" path="m,l,21600r21600,l21600,xe">
          <v:stroke joinstyle="miter"/>
          <v:path gradientshapeok="t" o:connecttype="rect"/>
        </v:shapetype>
        <v:shape id="_x0000_s2049" type="#_x0000_t202" style="position:absolute;margin-left:71pt;margin-top:743.8pt;width:392pt;height:13.05pt;z-index:-251658240;mso-position-horizontal-relative:page;mso-position-vertical-relative:page" filled="f" stroked="f">
          <v:textbox style="mso-next-textbox:#_x0000_s2049" inset="0,0,0,0">
            <w:txbxContent>
              <w:p w14:paraId="21DB560E" w14:textId="5DA07855" w:rsidR="007C0318" w:rsidRDefault="00796766">
                <w:pPr>
                  <w:spacing w:line="245" w:lineRule="exact"/>
                  <w:ind w:left="20"/>
                  <w:rPr>
                    <w:rFonts w:ascii="Calibri" w:eastAsia="Calibri" w:hAnsi="Calibri" w:cs="Calibri"/>
                  </w:rPr>
                </w:pPr>
                <w:r>
                  <w:rPr>
                    <w:rFonts w:ascii="Calibri" w:eastAsia="Calibri" w:hAnsi="Calibri" w:cs="Calibri"/>
                    <w:i/>
                  </w:rPr>
                  <w:t>Last updated 5-18-21 by Hannah yang (hannah.yang@mt.gov)</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C7EBB" w14:textId="77777777" w:rsidR="00796766" w:rsidRDefault="00796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141296" w14:textId="77777777" w:rsidR="0052529C" w:rsidRDefault="0052529C">
      <w:r>
        <w:separator/>
      </w:r>
    </w:p>
  </w:footnote>
  <w:footnote w:type="continuationSeparator" w:id="0">
    <w:p w14:paraId="52CEAE08" w14:textId="77777777" w:rsidR="0052529C" w:rsidRDefault="00525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7A407" w14:textId="77777777" w:rsidR="00796766" w:rsidRDefault="00796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C8752" w14:textId="038868C4" w:rsidR="00B76640" w:rsidRDefault="0052529C" w:rsidP="00063CB1">
    <w:sdt>
      <w:sdtPr>
        <w:id w:val="1179621679"/>
        <w:docPartObj>
          <w:docPartGallery w:val="Watermarks"/>
          <w:docPartUnique/>
        </w:docPartObj>
      </w:sdtPr>
      <w:sdtEndPr/>
      <w:sdtContent>
        <w:r>
          <w:rPr>
            <w:noProof/>
          </w:rPr>
          <w:pict w14:anchorId="6B5694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D6953">
      <w:rPr>
        <w:noProof/>
      </w:rPr>
      <w:drawing>
        <wp:anchor distT="0" distB="0" distL="114300" distR="114300" simplePos="0" relativeHeight="251657216" behindDoc="1" locked="0" layoutInCell="1" allowOverlap="1" wp14:anchorId="0672827D" wp14:editId="5D3A8D35">
          <wp:simplePos x="0" y="0"/>
          <wp:positionH relativeFrom="column">
            <wp:posOffset>-917575</wp:posOffset>
          </wp:positionH>
          <wp:positionV relativeFrom="paragraph">
            <wp:posOffset>0</wp:posOffset>
          </wp:positionV>
          <wp:extent cx="7771628" cy="1266825"/>
          <wp:effectExtent l="0" t="0" r="0" b="0"/>
          <wp:wrapTight wrapText="bothSides">
            <wp:wrapPolygon edited="0">
              <wp:start x="0" y="0"/>
              <wp:lineTo x="0" y="21113"/>
              <wp:lineTo x="21551" y="21113"/>
              <wp:lineTo x="21551" y="0"/>
              <wp:lineTo x="0" y="0"/>
            </wp:wrapPolygon>
          </wp:wrapTight>
          <wp:docPr id="1" name="Picture 1"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ail-Header---Injury Epidemiology and Surveillance.png"/>
                  <pic:cNvPicPr/>
                </pic:nvPicPr>
                <pic:blipFill>
                  <a:blip r:embed="rId1">
                    <a:extLst>
                      <a:ext uri="{28A0092B-C50C-407E-A947-70E740481C1C}">
                        <a14:useLocalDpi xmlns:a14="http://schemas.microsoft.com/office/drawing/2010/main" val="0"/>
                      </a:ext>
                    </a:extLst>
                  </a:blip>
                  <a:stretch>
                    <a:fillRect/>
                  </a:stretch>
                </pic:blipFill>
                <pic:spPr>
                  <a:xfrm>
                    <a:off x="0" y="0"/>
                    <a:ext cx="7771628" cy="12668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8FF8F" w14:textId="77777777" w:rsidR="00796766" w:rsidRDefault="00796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727B7"/>
    <w:multiLevelType w:val="hybridMultilevel"/>
    <w:tmpl w:val="A7B07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B2613"/>
    <w:multiLevelType w:val="hybridMultilevel"/>
    <w:tmpl w:val="C6AC4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553C5"/>
    <w:multiLevelType w:val="hybridMultilevel"/>
    <w:tmpl w:val="EF9CF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67BBE"/>
    <w:multiLevelType w:val="hybridMultilevel"/>
    <w:tmpl w:val="A6F6B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E4006"/>
    <w:multiLevelType w:val="hybridMultilevel"/>
    <w:tmpl w:val="F0B4EE38"/>
    <w:lvl w:ilvl="0" w:tplc="973EC4E6">
      <w:start w:val="1"/>
      <w:numFmt w:val="bullet"/>
      <w:lvlText w:val="•"/>
      <w:lvlJc w:val="left"/>
      <w:pPr>
        <w:ind w:hanging="360"/>
      </w:pPr>
      <w:rPr>
        <w:rFonts w:ascii="Arial" w:eastAsia="Arial" w:hAnsi="Arial" w:hint="default"/>
        <w:w w:val="131"/>
        <w:sz w:val="22"/>
        <w:szCs w:val="22"/>
      </w:rPr>
    </w:lvl>
    <w:lvl w:ilvl="1" w:tplc="4EBA883C">
      <w:start w:val="1"/>
      <w:numFmt w:val="bullet"/>
      <w:lvlText w:val="•"/>
      <w:lvlJc w:val="left"/>
      <w:rPr>
        <w:rFonts w:hint="default"/>
      </w:rPr>
    </w:lvl>
    <w:lvl w:ilvl="2" w:tplc="E6AAAC7C">
      <w:start w:val="1"/>
      <w:numFmt w:val="bullet"/>
      <w:lvlText w:val="•"/>
      <w:lvlJc w:val="left"/>
      <w:rPr>
        <w:rFonts w:hint="default"/>
      </w:rPr>
    </w:lvl>
    <w:lvl w:ilvl="3" w:tplc="7EB2E3D2">
      <w:start w:val="1"/>
      <w:numFmt w:val="bullet"/>
      <w:lvlText w:val="•"/>
      <w:lvlJc w:val="left"/>
      <w:rPr>
        <w:rFonts w:hint="default"/>
      </w:rPr>
    </w:lvl>
    <w:lvl w:ilvl="4" w:tplc="9536B594">
      <w:start w:val="1"/>
      <w:numFmt w:val="bullet"/>
      <w:lvlText w:val="•"/>
      <w:lvlJc w:val="left"/>
      <w:rPr>
        <w:rFonts w:hint="default"/>
      </w:rPr>
    </w:lvl>
    <w:lvl w:ilvl="5" w:tplc="9F760DCE">
      <w:start w:val="1"/>
      <w:numFmt w:val="bullet"/>
      <w:lvlText w:val="•"/>
      <w:lvlJc w:val="left"/>
      <w:rPr>
        <w:rFonts w:hint="default"/>
      </w:rPr>
    </w:lvl>
    <w:lvl w:ilvl="6" w:tplc="115432FE">
      <w:start w:val="1"/>
      <w:numFmt w:val="bullet"/>
      <w:lvlText w:val="•"/>
      <w:lvlJc w:val="left"/>
      <w:rPr>
        <w:rFonts w:hint="default"/>
      </w:rPr>
    </w:lvl>
    <w:lvl w:ilvl="7" w:tplc="979EF99A">
      <w:start w:val="1"/>
      <w:numFmt w:val="bullet"/>
      <w:lvlText w:val="•"/>
      <w:lvlJc w:val="left"/>
      <w:rPr>
        <w:rFonts w:hint="default"/>
      </w:rPr>
    </w:lvl>
    <w:lvl w:ilvl="8" w:tplc="0A8600C2">
      <w:start w:val="1"/>
      <w:numFmt w:val="bullet"/>
      <w:lvlText w:val="•"/>
      <w:lvlJc w:val="left"/>
      <w:rPr>
        <w:rFonts w:hint="default"/>
      </w:rPr>
    </w:lvl>
  </w:abstractNum>
  <w:abstractNum w:abstractNumId="5" w15:restartNumberingAfterBreak="0">
    <w:nsid w:val="1293451C"/>
    <w:multiLevelType w:val="hybridMultilevel"/>
    <w:tmpl w:val="3286B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3F0002"/>
    <w:multiLevelType w:val="hybridMultilevel"/>
    <w:tmpl w:val="1868CCA2"/>
    <w:lvl w:ilvl="0" w:tplc="EFD2026A">
      <w:start w:val="1"/>
      <w:numFmt w:val="bullet"/>
      <w:lvlText w:val="•"/>
      <w:lvlJc w:val="left"/>
      <w:pPr>
        <w:ind w:hanging="360"/>
      </w:pPr>
      <w:rPr>
        <w:rFonts w:ascii="Arial" w:eastAsia="Arial" w:hAnsi="Arial" w:hint="default"/>
        <w:w w:val="131"/>
        <w:sz w:val="22"/>
        <w:szCs w:val="22"/>
      </w:rPr>
    </w:lvl>
    <w:lvl w:ilvl="1" w:tplc="F744AFC4">
      <w:start w:val="1"/>
      <w:numFmt w:val="bullet"/>
      <w:lvlText w:val="•"/>
      <w:lvlJc w:val="left"/>
      <w:rPr>
        <w:rFonts w:hint="default"/>
      </w:rPr>
    </w:lvl>
    <w:lvl w:ilvl="2" w:tplc="78CCCC78">
      <w:start w:val="1"/>
      <w:numFmt w:val="bullet"/>
      <w:lvlText w:val="•"/>
      <w:lvlJc w:val="left"/>
      <w:rPr>
        <w:rFonts w:hint="default"/>
      </w:rPr>
    </w:lvl>
    <w:lvl w:ilvl="3" w:tplc="D3C4B768">
      <w:start w:val="1"/>
      <w:numFmt w:val="bullet"/>
      <w:lvlText w:val="•"/>
      <w:lvlJc w:val="left"/>
      <w:rPr>
        <w:rFonts w:hint="default"/>
      </w:rPr>
    </w:lvl>
    <w:lvl w:ilvl="4" w:tplc="A9B0351C">
      <w:start w:val="1"/>
      <w:numFmt w:val="bullet"/>
      <w:lvlText w:val="•"/>
      <w:lvlJc w:val="left"/>
      <w:rPr>
        <w:rFonts w:hint="default"/>
      </w:rPr>
    </w:lvl>
    <w:lvl w:ilvl="5" w:tplc="DAA6D2CA">
      <w:start w:val="1"/>
      <w:numFmt w:val="bullet"/>
      <w:lvlText w:val="•"/>
      <w:lvlJc w:val="left"/>
      <w:rPr>
        <w:rFonts w:hint="default"/>
      </w:rPr>
    </w:lvl>
    <w:lvl w:ilvl="6" w:tplc="0F1630B4">
      <w:start w:val="1"/>
      <w:numFmt w:val="bullet"/>
      <w:lvlText w:val="•"/>
      <w:lvlJc w:val="left"/>
      <w:rPr>
        <w:rFonts w:hint="default"/>
      </w:rPr>
    </w:lvl>
    <w:lvl w:ilvl="7" w:tplc="F93E5F12">
      <w:start w:val="1"/>
      <w:numFmt w:val="bullet"/>
      <w:lvlText w:val="•"/>
      <w:lvlJc w:val="left"/>
      <w:rPr>
        <w:rFonts w:hint="default"/>
      </w:rPr>
    </w:lvl>
    <w:lvl w:ilvl="8" w:tplc="CC08FCBA">
      <w:start w:val="1"/>
      <w:numFmt w:val="bullet"/>
      <w:lvlText w:val="•"/>
      <w:lvlJc w:val="left"/>
      <w:rPr>
        <w:rFonts w:hint="default"/>
      </w:rPr>
    </w:lvl>
  </w:abstractNum>
  <w:abstractNum w:abstractNumId="7" w15:restartNumberingAfterBreak="0">
    <w:nsid w:val="29AD0775"/>
    <w:multiLevelType w:val="hybridMultilevel"/>
    <w:tmpl w:val="651EA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5247B7"/>
    <w:multiLevelType w:val="hybridMultilevel"/>
    <w:tmpl w:val="20F6D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A64997"/>
    <w:multiLevelType w:val="hybridMultilevel"/>
    <w:tmpl w:val="E2823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C50A03"/>
    <w:multiLevelType w:val="hybridMultilevel"/>
    <w:tmpl w:val="C76E6114"/>
    <w:lvl w:ilvl="0" w:tplc="EF007E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7B4EA6"/>
    <w:multiLevelType w:val="hybridMultilevel"/>
    <w:tmpl w:val="07A83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5C0CFB"/>
    <w:multiLevelType w:val="hybridMultilevel"/>
    <w:tmpl w:val="13ECB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49254D"/>
    <w:multiLevelType w:val="hybridMultilevel"/>
    <w:tmpl w:val="D3144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EDD70EB"/>
    <w:multiLevelType w:val="hybridMultilevel"/>
    <w:tmpl w:val="D436A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677F3C"/>
    <w:multiLevelType w:val="hybridMultilevel"/>
    <w:tmpl w:val="E66A0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2700EA"/>
    <w:multiLevelType w:val="hybridMultilevel"/>
    <w:tmpl w:val="9CE81C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2"/>
  </w:num>
  <w:num w:numId="4">
    <w:abstractNumId w:val="16"/>
  </w:num>
  <w:num w:numId="5">
    <w:abstractNumId w:val="7"/>
  </w:num>
  <w:num w:numId="6">
    <w:abstractNumId w:val="10"/>
  </w:num>
  <w:num w:numId="7">
    <w:abstractNumId w:val="14"/>
  </w:num>
  <w:num w:numId="8">
    <w:abstractNumId w:val="15"/>
  </w:num>
  <w:num w:numId="9">
    <w:abstractNumId w:val="13"/>
  </w:num>
  <w:num w:numId="10">
    <w:abstractNumId w:val="9"/>
  </w:num>
  <w:num w:numId="11">
    <w:abstractNumId w:val="12"/>
  </w:num>
  <w:num w:numId="12">
    <w:abstractNumId w:val="1"/>
  </w:num>
  <w:num w:numId="13">
    <w:abstractNumId w:val="5"/>
  </w:num>
  <w:num w:numId="14">
    <w:abstractNumId w:val="0"/>
  </w:num>
  <w:num w:numId="15">
    <w:abstractNumId w:val="8"/>
  </w:num>
  <w:num w:numId="16">
    <w:abstractNumId w:val="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C0318"/>
    <w:rsid w:val="00005890"/>
    <w:rsid w:val="000230B6"/>
    <w:rsid w:val="00037B93"/>
    <w:rsid w:val="00042216"/>
    <w:rsid w:val="00063CB1"/>
    <w:rsid w:val="00090479"/>
    <w:rsid w:val="000B4DA2"/>
    <w:rsid w:val="000B598B"/>
    <w:rsid w:val="000B6395"/>
    <w:rsid w:val="00112195"/>
    <w:rsid w:val="00137128"/>
    <w:rsid w:val="00155FDF"/>
    <w:rsid w:val="00167385"/>
    <w:rsid w:val="0017211B"/>
    <w:rsid w:val="0017600A"/>
    <w:rsid w:val="00184EB3"/>
    <w:rsid w:val="002233D3"/>
    <w:rsid w:val="0022771C"/>
    <w:rsid w:val="00275CBA"/>
    <w:rsid w:val="002851D1"/>
    <w:rsid w:val="00294200"/>
    <w:rsid w:val="002D5F55"/>
    <w:rsid w:val="00362845"/>
    <w:rsid w:val="00375AE7"/>
    <w:rsid w:val="003A2611"/>
    <w:rsid w:val="003E6533"/>
    <w:rsid w:val="004142A6"/>
    <w:rsid w:val="00415B26"/>
    <w:rsid w:val="00442F09"/>
    <w:rsid w:val="004A3425"/>
    <w:rsid w:val="004A7A04"/>
    <w:rsid w:val="004B01A9"/>
    <w:rsid w:val="004F6037"/>
    <w:rsid w:val="0051659D"/>
    <w:rsid w:val="0052529C"/>
    <w:rsid w:val="00532C82"/>
    <w:rsid w:val="005A7C34"/>
    <w:rsid w:val="005E0BC5"/>
    <w:rsid w:val="005E324B"/>
    <w:rsid w:val="005F78D4"/>
    <w:rsid w:val="006363CF"/>
    <w:rsid w:val="00684743"/>
    <w:rsid w:val="006A4563"/>
    <w:rsid w:val="00735C93"/>
    <w:rsid w:val="00796766"/>
    <w:rsid w:val="007C0318"/>
    <w:rsid w:val="007D5744"/>
    <w:rsid w:val="008350B9"/>
    <w:rsid w:val="00850096"/>
    <w:rsid w:val="00871378"/>
    <w:rsid w:val="0087524C"/>
    <w:rsid w:val="00886169"/>
    <w:rsid w:val="008F44C4"/>
    <w:rsid w:val="00943C39"/>
    <w:rsid w:val="009D45AF"/>
    <w:rsid w:val="00A158DC"/>
    <w:rsid w:val="00A42E96"/>
    <w:rsid w:val="00A85AA8"/>
    <w:rsid w:val="00AF22F5"/>
    <w:rsid w:val="00B15C47"/>
    <w:rsid w:val="00B76640"/>
    <w:rsid w:val="00B843E7"/>
    <w:rsid w:val="00C17166"/>
    <w:rsid w:val="00C60E29"/>
    <w:rsid w:val="00C908E7"/>
    <w:rsid w:val="00CA4569"/>
    <w:rsid w:val="00CA56F7"/>
    <w:rsid w:val="00CF70F5"/>
    <w:rsid w:val="00D76C6D"/>
    <w:rsid w:val="00DE613F"/>
    <w:rsid w:val="00E33B89"/>
    <w:rsid w:val="00E82A3A"/>
    <w:rsid w:val="00E93761"/>
    <w:rsid w:val="00E93C6A"/>
    <w:rsid w:val="00EA1FBB"/>
    <w:rsid w:val="00ED6953"/>
    <w:rsid w:val="00EE602E"/>
    <w:rsid w:val="00F171C7"/>
    <w:rsid w:val="00F26149"/>
    <w:rsid w:val="00F32CA4"/>
    <w:rsid w:val="00F8478E"/>
    <w:rsid w:val="00FA737B"/>
    <w:rsid w:val="00FB0EDD"/>
    <w:rsid w:val="00FB6FDE"/>
    <w:rsid w:val="00FB745F"/>
    <w:rsid w:val="00FF4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2B4F0C"/>
  <w15:docId w15:val="{4EFFA003-EF16-4115-9DCC-43EBD6937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440"/>
      <w:outlineLvl w:val="0"/>
    </w:pPr>
    <w:rPr>
      <w:rFonts w:ascii="Calibri" w:eastAsia="Calibri" w:hAnsi="Calibri"/>
      <w:b/>
      <w:bCs/>
      <w:sz w:val="32"/>
      <w:szCs w:val="32"/>
      <w:u w:val="single"/>
    </w:rPr>
  </w:style>
  <w:style w:type="paragraph" w:styleId="Heading2">
    <w:name w:val="heading 2"/>
    <w:basedOn w:val="Normal"/>
    <w:uiPriority w:val="9"/>
    <w:unhideWhenUsed/>
    <w:qFormat/>
    <w:pPr>
      <w:ind w:left="10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
      <w:ind w:left="2160" w:hanging="360"/>
    </w:pPr>
    <w:rPr>
      <w:rFonts w:ascii="Calibri" w:eastAsia="Calibri" w:hAnsi="Calibri"/>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76640"/>
    <w:pPr>
      <w:tabs>
        <w:tab w:val="center" w:pos="4680"/>
        <w:tab w:val="right" w:pos="9360"/>
      </w:tabs>
    </w:pPr>
  </w:style>
  <w:style w:type="character" w:customStyle="1" w:styleId="HeaderChar">
    <w:name w:val="Header Char"/>
    <w:basedOn w:val="DefaultParagraphFont"/>
    <w:link w:val="Header"/>
    <w:uiPriority w:val="99"/>
    <w:rsid w:val="00B76640"/>
  </w:style>
  <w:style w:type="paragraph" w:styleId="Footer">
    <w:name w:val="footer"/>
    <w:basedOn w:val="Normal"/>
    <w:link w:val="FooterChar"/>
    <w:uiPriority w:val="99"/>
    <w:unhideWhenUsed/>
    <w:rsid w:val="00B76640"/>
    <w:pPr>
      <w:tabs>
        <w:tab w:val="center" w:pos="4680"/>
        <w:tab w:val="right" w:pos="9360"/>
      </w:tabs>
    </w:pPr>
  </w:style>
  <w:style w:type="character" w:customStyle="1" w:styleId="FooterChar">
    <w:name w:val="Footer Char"/>
    <w:basedOn w:val="DefaultParagraphFont"/>
    <w:link w:val="Footer"/>
    <w:uiPriority w:val="99"/>
    <w:rsid w:val="00B76640"/>
  </w:style>
  <w:style w:type="character" w:styleId="CommentReference">
    <w:name w:val="annotation reference"/>
    <w:basedOn w:val="DefaultParagraphFont"/>
    <w:uiPriority w:val="99"/>
    <w:semiHidden/>
    <w:unhideWhenUsed/>
    <w:rsid w:val="00FF49E6"/>
    <w:rPr>
      <w:sz w:val="16"/>
      <w:szCs w:val="16"/>
    </w:rPr>
  </w:style>
  <w:style w:type="paragraph" w:styleId="CommentText">
    <w:name w:val="annotation text"/>
    <w:basedOn w:val="Normal"/>
    <w:link w:val="CommentTextChar"/>
    <w:uiPriority w:val="99"/>
    <w:semiHidden/>
    <w:unhideWhenUsed/>
    <w:rsid w:val="00FF49E6"/>
    <w:rPr>
      <w:sz w:val="20"/>
      <w:szCs w:val="20"/>
    </w:rPr>
  </w:style>
  <w:style w:type="character" w:customStyle="1" w:styleId="CommentTextChar">
    <w:name w:val="Comment Text Char"/>
    <w:basedOn w:val="DefaultParagraphFont"/>
    <w:link w:val="CommentText"/>
    <w:uiPriority w:val="99"/>
    <w:semiHidden/>
    <w:rsid w:val="00FF49E6"/>
    <w:rPr>
      <w:sz w:val="20"/>
      <w:szCs w:val="20"/>
    </w:rPr>
  </w:style>
  <w:style w:type="paragraph" w:styleId="CommentSubject">
    <w:name w:val="annotation subject"/>
    <w:basedOn w:val="CommentText"/>
    <w:next w:val="CommentText"/>
    <w:link w:val="CommentSubjectChar"/>
    <w:uiPriority w:val="99"/>
    <w:semiHidden/>
    <w:unhideWhenUsed/>
    <w:rsid w:val="00FF49E6"/>
    <w:rPr>
      <w:b/>
      <w:bCs/>
    </w:rPr>
  </w:style>
  <w:style w:type="character" w:customStyle="1" w:styleId="CommentSubjectChar">
    <w:name w:val="Comment Subject Char"/>
    <w:basedOn w:val="CommentTextChar"/>
    <w:link w:val="CommentSubject"/>
    <w:uiPriority w:val="99"/>
    <w:semiHidden/>
    <w:rsid w:val="00FF49E6"/>
    <w:rPr>
      <w:b/>
      <w:bCs/>
      <w:sz w:val="20"/>
      <w:szCs w:val="20"/>
    </w:rPr>
  </w:style>
  <w:style w:type="paragraph" w:styleId="BalloonText">
    <w:name w:val="Balloon Text"/>
    <w:basedOn w:val="Normal"/>
    <w:link w:val="BalloonTextChar"/>
    <w:uiPriority w:val="99"/>
    <w:semiHidden/>
    <w:unhideWhenUsed/>
    <w:rsid w:val="00FF49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9E6"/>
    <w:rPr>
      <w:rFonts w:ascii="Segoe UI" w:hAnsi="Segoe UI" w:cs="Segoe UI"/>
      <w:sz w:val="18"/>
      <w:szCs w:val="18"/>
    </w:rPr>
  </w:style>
  <w:style w:type="character" w:styleId="Hyperlink">
    <w:name w:val="Hyperlink"/>
    <w:basedOn w:val="DefaultParagraphFont"/>
    <w:uiPriority w:val="99"/>
    <w:unhideWhenUsed/>
    <w:rsid w:val="00B15C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343668">
      <w:bodyDiv w:val="1"/>
      <w:marLeft w:val="0"/>
      <w:marRight w:val="0"/>
      <w:marTop w:val="0"/>
      <w:marBottom w:val="0"/>
      <w:divBdr>
        <w:top w:val="none" w:sz="0" w:space="0" w:color="auto"/>
        <w:left w:val="none" w:sz="0" w:space="0" w:color="auto"/>
        <w:bottom w:val="none" w:sz="0" w:space="0" w:color="auto"/>
        <w:right w:val="none" w:sz="0" w:space="0" w:color="auto"/>
      </w:divBdr>
    </w:div>
    <w:div w:id="409350121">
      <w:bodyDiv w:val="1"/>
      <w:marLeft w:val="0"/>
      <w:marRight w:val="0"/>
      <w:marTop w:val="0"/>
      <w:marBottom w:val="0"/>
      <w:divBdr>
        <w:top w:val="none" w:sz="0" w:space="0" w:color="auto"/>
        <w:left w:val="none" w:sz="0" w:space="0" w:color="auto"/>
        <w:bottom w:val="none" w:sz="0" w:space="0" w:color="auto"/>
        <w:right w:val="none" w:sz="0" w:space="0" w:color="auto"/>
      </w:divBdr>
    </w:div>
    <w:div w:id="484853736">
      <w:bodyDiv w:val="1"/>
      <w:marLeft w:val="0"/>
      <w:marRight w:val="0"/>
      <w:marTop w:val="0"/>
      <w:marBottom w:val="0"/>
      <w:divBdr>
        <w:top w:val="none" w:sz="0" w:space="0" w:color="auto"/>
        <w:left w:val="none" w:sz="0" w:space="0" w:color="auto"/>
        <w:bottom w:val="none" w:sz="0" w:space="0" w:color="auto"/>
        <w:right w:val="none" w:sz="0" w:space="0" w:color="auto"/>
      </w:divBdr>
    </w:div>
    <w:div w:id="913974774">
      <w:bodyDiv w:val="1"/>
      <w:marLeft w:val="0"/>
      <w:marRight w:val="0"/>
      <w:marTop w:val="0"/>
      <w:marBottom w:val="0"/>
      <w:divBdr>
        <w:top w:val="none" w:sz="0" w:space="0" w:color="auto"/>
        <w:left w:val="none" w:sz="0" w:space="0" w:color="auto"/>
        <w:bottom w:val="none" w:sz="0" w:space="0" w:color="auto"/>
        <w:right w:val="none" w:sz="0" w:space="0" w:color="auto"/>
      </w:divBdr>
    </w:div>
    <w:div w:id="1148279034">
      <w:bodyDiv w:val="1"/>
      <w:marLeft w:val="0"/>
      <w:marRight w:val="0"/>
      <w:marTop w:val="0"/>
      <w:marBottom w:val="0"/>
      <w:divBdr>
        <w:top w:val="none" w:sz="0" w:space="0" w:color="auto"/>
        <w:left w:val="none" w:sz="0" w:space="0" w:color="auto"/>
        <w:bottom w:val="none" w:sz="0" w:space="0" w:color="auto"/>
        <w:right w:val="none" w:sz="0" w:space="0" w:color="auto"/>
      </w:divBdr>
    </w:div>
    <w:div w:id="1850943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resources.cste.org/Injury-Surveillance-Methods-Toolkit/Home/InjuryIndicator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Lai</dc:creator>
  <cp:lastModifiedBy>Hannah</cp:lastModifiedBy>
  <cp:revision>74</cp:revision>
  <dcterms:created xsi:type="dcterms:W3CDTF">2019-07-25T19:01:00Z</dcterms:created>
  <dcterms:modified xsi:type="dcterms:W3CDTF">2021-05-24T22:03:00Z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2019-06-14T00:00:00Z</vt:filetime>
  </property>
  <property fmtid="{D5CDD505-2E9C-101B-9397-08002B2CF9AE}" pid="3" name="LastSaved">
    <vt:filetime>2019-07-16T00:00:00Z</vt:filetime>
  </property>
</Properties>
</file>