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1B58" w:rsidRDefault="005D1B58" w:rsidP="005D1B58"/>
    <w:p w:rsidR="005D1B58" w:rsidRDefault="005D1B58" w:rsidP="005D1B58">
      <w:r>
        <w:rPr>
          <w:sz w:val="24"/>
          <w:szCs w:val="24"/>
          <w:u w:val="single"/>
        </w:rPr>
        <w:t>Clinical criteria:</w:t>
      </w:r>
    </w:p>
    <w:p w:rsidR="005D1B58" w:rsidRDefault="005D1B58" w:rsidP="005D1B58">
      <w:r>
        <w:rPr>
          <w:color w:val="000000"/>
          <w:sz w:val="24"/>
          <w:szCs w:val="24"/>
          <w:shd w:val="clear" w:color="auto" w:fill="FFFFFF"/>
        </w:rPr>
        <w:t>An acute illness with a discrete onset of any sign or symptom consistent with acute viral hepatitis (e.g., fever, headache, malaise, anorexia, nausea, vomiting, diarrhea, and abdominal pain), and either a) jaundice,  b) elevated serum alanine aminotransferase (ALT) levels &gt;200 IU/L, or c) bilirubin ≥3.0</w:t>
      </w:r>
    </w:p>
    <w:p w:rsidR="005D1B58" w:rsidRDefault="005D1B58" w:rsidP="005D1B58">
      <w:r>
        <w:rPr>
          <w:sz w:val="24"/>
          <w:szCs w:val="24"/>
          <w:u w:val="single"/>
        </w:rPr>
        <w:t>Laboratory criteria:</w:t>
      </w:r>
    </w:p>
    <w:p w:rsidR="005D1B58" w:rsidRDefault="005D1B58" w:rsidP="005D1B58">
      <w:pPr>
        <w:pStyle w:val="ListParagraph"/>
        <w:numPr>
          <w:ilvl w:val="0"/>
          <w:numId w:val="1"/>
        </w:numPr>
        <w:rPr>
          <w:rFonts w:eastAsia="Times New Roman"/>
          <w:color w:val="000000"/>
        </w:rPr>
      </w:pPr>
      <w:r w:rsidRPr="005D1B58">
        <w:rPr>
          <w:rFonts w:eastAsia="Times New Roman"/>
          <w:sz w:val="24"/>
          <w:szCs w:val="24"/>
        </w:rPr>
        <w:t xml:space="preserve">HBsAg or HBV DNA </w:t>
      </w:r>
      <w:r>
        <w:rPr>
          <w:rFonts w:eastAsia="Times New Roman"/>
          <w:color w:val="000000"/>
          <w:sz w:val="24"/>
          <w:szCs w:val="24"/>
        </w:rPr>
        <w:t>positive, </w:t>
      </w:r>
      <w:r>
        <w:rPr>
          <w:rFonts w:eastAsia="Times New Roman"/>
          <w:b/>
          <w:bCs/>
          <w:color w:val="000000"/>
          <w:sz w:val="24"/>
          <w:szCs w:val="24"/>
        </w:rPr>
        <w:t>AND</w:t>
      </w:r>
    </w:p>
    <w:p w:rsidR="005D1B58" w:rsidRDefault="005D1B58" w:rsidP="005D1B58">
      <w:pPr>
        <w:numPr>
          <w:ilvl w:val="0"/>
          <w:numId w:val="2"/>
        </w:numPr>
        <w:shd w:val="clear" w:color="auto" w:fill="FFFFFF"/>
        <w:spacing w:before="100" w:beforeAutospacing="1" w:after="100" w:afterAutospacing="1" w:line="375" w:lineRule="atLeast"/>
        <w:ind w:left="375"/>
      </w:pPr>
      <w:r>
        <w:rPr>
          <w:color w:val="000000"/>
          <w:sz w:val="24"/>
          <w:szCs w:val="24"/>
        </w:rPr>
        <w:t>Immunoglobulin M (IgM) antibody to hepatitis B core antigen (IgM anti-</w:t>
      </w:r>
      <w:proofErr w:type="spellStart"/>
      <w:r>
        <w:rPr>
          <w:color w:val="000000"/>
          <w:sz w:val="24"/>
          <w:szCs w:val="24"/>
        </w:rPr>
        <w:t>HBc</w:t>
      </w:r>
      <w:proofErr w:type="spellEnd"/>
      <w:r>
        <w:rPr>
          <w:color w:val="000000"/>
          <w:sz w:val="24"/>
          <w:szCs w:val="24"/>
        </w:rPr>
        <w:t>) positive (if done)</w:t>
      </w:r>
    </w:p>
    <w:p w:rsidR="005D1B58" w:rsidRDefault="005D1B58" w:rsidP="005D1B58">
      <w:r>
        <w:rPr>
          <w:b/>
          <w:bCs/>
          <w:sz w:val="24"/>
          <w:szCs w:val="24"/>
          <w:u w:val="single"/>
        </w:rPr>
        <w:t>Acute Probable:</w:t>
      </w:r>
      <w:bookmarkStart w:id="0" w:name="_GoBack"/>
      <w:bookmarkEnd w:id="0"/>
    </w:p>
    <w:p w:rsidR="005D1B58" w:rsidRDefault="005D1B58" w:rsidP="005D1B58">
      <w:pPr>
        <w:pStyle w:val="ListParagraph"/>
        <w:numPr>
          <w:ilvl w:val="0"/>
          <w:numId w:val="3"/>
        </w:numPr>
        <w:rPr>
          <w:rFonts w:eastAsia="Times New Roman"/>
        </w:rPr>
      </w:pPr>
      <w:r>
        <w:rPr>
          <w:rFonts w:eastAsia="Times New Roman"/>
          <w:sz w:val="24"/>
          <w:szCs w:val="24"/>
        </w:rPr>
        <w:t xml:space="preserve">A case that meets clinical criteria and has presumptive laboratory evidence </w:t>
      </w:r>
    </w:p>
    <w:p w:rsidR="005D1B58" w:rsidRPr="005D1B58" w:rsidRDefault="005D1B58" w:rsidP="005D1B58">
      <w:pPr>
        <w:pStyle w:val="CommentText"/>
        <w:numPr>
          <w:ilvl w:val="0"/>
          <w:numId w:val="4"/>
        </w:numPr>
        <w:rPr>
          <w:rFonts w:eastAsia="Times New Roman"/>
        </w:rPr>
      </w:pPr>
      <w:r>
        <w:rPr>
          <w:rFonts w:eastAsia="Times New Roman"/>
          <w:sz w:val="24"/>
          <w:szCs w:val="24"/>
        </w:rPr>
        <w:t>Symptoms, jaundice or &gt;200 ALT or Bili</w:t>
      </w:r>
      <w:r>
        <w:rPr>
          <w:rFonts w:eastAsia="Times New Roman"/>
          <w:color w:val="000000"/>
          <w:sz w:val="24"/>
          <w:szCs w:val="24"/>
          <w:shd w:val="clear" w:color="auto" w:fill="FFFFFF"/>
        </w:rPr>
        <w:t>≥</w:t>
      </w:r>
      <w:r>
        <w:rPr>
          <w:rFonts w:eastAsia="Times New Roman"/>
          <w:sz w:val="24"/>
          <w:szCs w:val="24"/>
        </w:rPr>
        <w:t>3.0, and positive IgM, unknown HBsAg and HBV DNA</w:t>
      </w:r>
    </w:p>
    <w:p w:rsidR="005D1B58" w:rsidRDefault="005D1B58" w:rsidP="005D1B58">
      <w:pPr>
        <w:ind w:left="720"/>
      </w:pPr>
      <w:r>
        <w:rPr>
          <w:b/>
          <w:bCs/>
          <w:sz w:val="24"/>
          <w:szCs w:val="24"/>
        </w:rPr>
        <w:t>OR</w:t>
      </w:r>
    </w:p>
    <w:p w:rsidR="005D1B58" w:rsidRDefault="005D1B58" w:rsidP="005D1B58">
      <w:pPr>
        <w:pStyle w:val="ListParagraph"/>
        <w:numPr>
          <w:ilvl w:val="0"/>
          <w:numId w:val="3"/>
        </w:numPr>
        <w:rPr>
          <w:rFonts w:eastAsia="Times New Roman"/>
        </w:rPr>
      </w:pPr>
      <w:r>
        <w:rPr>
          <w:rFonts w:eastAsia="Times New Roman"/>
          <w:sz w:val="24"/>
          <w:szCs w:val="24"/>
        </w:rPr>
        <w:t>A case that meets laboratory criteria and does not meet clinical criteria</w:t>
      </w:r>
    </w:p>
    <w:p w:rsidR="005D1B58" w:rsidRPr="005D1B58" w:rsidRDefault="005D1B58" w:rsidP="005D1B58">
      <w:pPr>
        <w:pStyle w:val="CommentText"/>
        <w:numPr>
          <w:ilvl w:val="0"/>
          <w:numId w:val="4"/>
        </w:numPr>
        <w:rPr>
          <w:rFonts w:eastAsia="Times New Roman"/>
          <w:b/>
          <w:bCs/>
          <w:u w:val="single"/>
        </w:rPr>
      </w:pPr>
      <w:r>
        <w:rPr>
          <w:rFonts w:eastAsia="Times New Roman"/>
          <w:sz w:val="24"/>
          <w:szCs w:val="24"/>
        </w:rPr>
        <w:t xml:space="preserve">Symptoms or jaundice, or ALT &gt;200 or </w:t>
      </w:r>
      <w:proofErr w:type="spellStart"/>
      <w:r>
        <w:rPr>
          <w:rFonts w:eastAsia="Times New Roman"/>
          <w:sz w:val="24"/>
          <w:szCs w:val="24"/>
        </w:rPr>
        <w:t>bili</w:t>
      </w:r>
      <w:proofErr w:type="spellEnd"/>
      <w:r>
        <w:rPr>
          <w:rFonts w:eastAsia="Times New Roman"/>
          <w:sz w:val="24"/>
          <w:szCs w:val="24"/>
        </w:rPr>
        <w:t xml:space="preserve"> </w:t>
      </w:r>
      <w:r>
        <w:rPr>
          <w:rFonts w:eastAsia="Times New Roman"/>
          <w:color w:val="000000"/>
          <w:sz w:val="24"/>
          <w:szCs w:val="24"/>
          <w:shd w:val="clear" w:color="auto" w:fill="FFFFFF"/>
        </w:rPr>
        <w:t>≥</w:t>
      </w:r>
      <w:r>
        <w:rPr>
          <w:rFonts w:eastAsia="Times New Roman"/>
          <w:sz w:val="24"/>
          <w:szCs w:val="24"/>
        </w:rPr>
        <w:t xml:space="preserve">3.0, positive HBsAg, </w:t>
      </w:r>
      <w:r>
        <w:rPr>
          <w:rFonts w:eastAsia="Times New Roman"/>
          <w:b/>
          <w:bCs/>
          <w:sz w:val="24"/>
          <w:szCs w:val="24"/>
        </w:rPr>
        <w:t xml:space="preserve">and </w:t>
      </w:r>
      <w:r w:rsidRPr="005D1B58">
        <w:rPr>
          <w:rFonts w:eastAsia="Times New Roman"/>
          <w:b/>
          <w:bCs/>
          <w:sz w:val="24"/>
          <w:szCs w:val="24"/>
          <w:u w:val="single"/>
        </w:rPr>
        <w:t xml:space="preserve">no known chronic HBV history </w:t>
      </w:r>
    </w:p>
    <w:p w:rsidR="005D1B58" w:rsidRDefault="005D1B58" w:rsidP="005D1B58">
      <w:pPr>
        <w:pStyle w:val="CommentText"/>
        <w:numPr>
          <w:ilvl w:val="0"/>
          <w:numId w:val="4"/>
        </w:numPr>
        <w:rPr>
          <w:rFonts w:eastAsia="Times New Roman"/>
        </w:rPr>
      </w:pPr>
      <w:r>
        <w:rPr>
          <w:rFonts w:eastAsia="Times New Roman"/>
          <w:sz w:val="24"/>
          <w:szCs w:val="24"/>
        </w:rPr>
        <w:t>Regardless of symptoms, positive HBsAg, and positive IgM anti-</w:t>
      </w:r>
      <w:proofErr w:type="spellStart"/>
      <w:r>
        <w:rPr>
          <w:rFonts w:eastAsia="Times New Roman"/>
          <w:sz w:val="24"/>
          <w:szCs w:val="24"/>
        </w:rPr>
        <w:t>HBc</w:t>
      </w:r>
      <w:proofErr w:type="spellEnd"/>
    </w:p>
    <w:p w:rsidR="005D1B58" w:rsidRDefault="005D1B58" w:rsidP="005D1B58">
      <w:pPr>
        <w:ind w:left="360" w:firstLine="360"/>
      </w:pPr>
      <w:r>
        <w:rPr>
          <w:b/>
          <w:bCs/>
          <w:sz w:val="24"/>
          <w:szCs w:val="24"/>
        </w:rPr>
        <w:t>OR</w:t>
      </w:r>
    </w:p>
    <w:p w:rsidR="005D1B58" w:rsidRDefault="005D1B58" w:rsidP="005D1B58">
      <w:pPr>
        <w:pStyle w:val="ListParagraph"/>
        <w:numPr>
          <w:ilvl w:val="0"/>
          <w:numId w:val="3"/>
        </w:numPr>
        <w:rPr>
          <w:rFonts w:eastAsia="Times New Roman"/>
        </w:rPr>
      </w:pPr>
      <w:r>
        <w:rPr>
          <w:rFonts w:eastAsia="Times New Roman"/>
          <w:sz w:val="24"/>
          <w:szCs w:val="24"/>
        </w:rPr>
        <w:t xml:space="preserve">A case that has symptoms or jaundice or elevated ALT or </w:t>
      </w:r>
      <w:proofErr w:type="spellStart"/>
      <w:r>
        <w:rPr>
          <w:rFonts w:eastAsia="Times New Roman"/>
          <w:sz w:val="24"/>
          <w:szCs w:val="24"/>
        </w:rPr>
        <w:t>bili</w:t>
      </w:r>
      <w:proofErr w:type="spellEnd"/>
      <w:r>
        <w:rPr>
          <w:rFonts w:eastAsia="Times New Roman"/>
          <w:sz w:val="24"/>
          <w:szCs w:val="24"/>
        </w:rPr>
        <w:t xml:space="preserve"> </w:t>
      </w:r>
      <w:r>
        <w:rPr>
          <w:rFonts w:eastAsia="Times New Roman"/>
          <w:color w:val="000000"/>
          <w:sz w:val="24"/>
          <w:szCs w:val="24"/>
          <w:shd w:val="clear" w:color="auto" w:fill="FFFFFF"/>
        </w:rPr>
        <w:t>≥</w:t>
      </w:r>
      <w:r>
        <w:rPr>
          <w:rFonts w:eastAsia="Times New Roman"/>
          <w:sz w:val="24"/>
          <w:szCs w:val="24"/>
        </w:rPr>
        <w:t xml:space="preserve">3.0 and has presumptive laboratory evidence </w:t>
      </w:r>
    </w:p>
    <w:p w:rsidR="005D1B58" w:rsidRPr="005D1B58" w:rsidRDefault="005D1B58" w:rsidP="005D1B58">
      <w:pPr>
        <w:pStyle w:val="ListParagraph"/>
        <w:numPr>
          <w:ilvl w:val="1"/>
          <w:numId w:val="3"/>
        </w:numPr>
        <w:rPr>
          <w:rFonts w:eastAsia="Times New Roman"/>
        </w:rPr>
      </w:pPr>
      <w:r w:rsidRPr="005D1B58">
        <w:rPr>
          <w:rFonts w:eastAsia="Times New Roman"/>
          <w:sz w:val="24"/>
          <w:szCs w:val="24"/>
        </w:rPr>
        <w:t xml:space="preserve"> Symptoms, or jaundice, or ALT &gt;200 or </w:t>
      </w:r>
      <w:proofErr w:type="spellStart"/>
      <w:r w:rsidRPr="005D1B58">
        <w:rPr>
          <w:rFonts w:eastAsia="Times New Roman"/>
          <w:sz w:val="24"/>
          <w:szCs w:val="24"/>
        </w:rPr>
        <w:t>bili</w:t>
      </w:r>
      <w:proofErr w:type="spellEnd"/>
      <w:r w:rsidRPr="005D1B58">
        <w:rPr>
          <w:rFonts w:eastAsia="Times New Roman"/>
          <w:sz w:val="24"/>
          <w:szCs w:val="24"/>
        </w:rPr>
        <w:t xml:space="preserve"> </w:t>
      </w:r>
      <w:r w:rsidRPr="005D1B58">
        <w:rPr>
          <w:rFonts w:eastAsia="Times New Roman"/>
          <w:sz w:val="24"/>
          <w:szCs w:val="24"/>
          <w:shd w:val="clear" w:color="auto" w:fill="FFFFFF"/>
        </w:rPr>
        <w:t>≥</w:t>
      </w:r>
      <w:r w:rsidRPr="005D1B58">
        <w:rPr>
          <w:rFonts w:eastAsia="Times New Roman"/>
          <w:sz w:val="24"/>
          <w:szCs w:val="24"/>
        </w:rPr>
        <w:t>3.0, negative HBsAg, and positive IgM anti-</w:t>
      </w:r>
      <w:proofErr w:type="spellStart"/>
      <w:r w:rsidRPr="005D1B58">
        <w:rPr>
          <w:rFonts w:eastAsia="Times New Roman"/>
          <w:sz w:val="24"/>
          <w:szCs w:val="24"/>
        </w:rPr>
        <w:t>HBc</w:t>
      </w:r>
      <w:proofErr w:type="spellEnd"/>
      <w:r w:rsidRPr="005D1B58">
        <w:rPr>
          <w:rFonts w:eastAsia="Times New Roman"/>
          <w:sz w:val="24"/>
          <w:szCs w:val="24"/>
        </w:rPr>
        <w:t>, unknown HBV DNA</w:t>
      </w:r>
      <w:r w:rsidRPr="005D1B58">
        <w:rPr>
          <w:rFonts w:eastAsia="Times New Roman"/>
          <w:sz w:val="24"/>
          <w:szCs w:val="24"/>
          <w:u w:val="single"/>
        </w:rPr>
        <w:t xml:space="preserve">, negative </w:t>
      </w:r>
      <w:proofErr w:type="spellStart"/>
      <w:r w:rsidRPr="005D1B58">
        <w:rPr>
          <w:rFonts w:eastAsia="Times New Roman"/>
          <w:sz w:val="24"/>
          <w:szCs w:val="24"/>
          <w:u w:val="single"/>
        </w:rPr>
        <w:t>HBsAb</w:t>
      </w:r>
      <w:proofErr w:type="spellEnd"/>
      <w:r w:rsidRPr="005D1B58">
        <w:rPr>
          <w:rFonts w:eastAsia="Times New Roman"/>
          <w:sz w:val="24"/>
          <w:szCs w:val="24"/>
        </w:rPr>
        <w:t xml:space="preserve"> </w:t>
      </w:r>
    </w:p>
    <w:p w:rsidR="005D1B58" w:rsidRDefault="005D1B58" w:rsidP="005D1B58">
      <w:pPr>
        <w:pStyle w:val="ListParagraph"/>
      </w:pPr>
      <w:r>
        <w:rPr>
          <w:sz w:val="24"/>
          <w:szCs w:val="24"/>
        </w:rPr>
        <w:t> </w:t>
      </w:r>
    </w:p>
    <w:p w:rsidR="005D1B58" w:rsidRDefault="005D1B58" w:rsidP="005D1B58">
      <w:pPr>
        <w:pStyle w:val="ListParagraph"/>
      </w:pPr>
      <w:r>
        <w:rPr>
          <w:b/>
          <w:bCs/>
          <w:sz w:val="24"/>
          <w:szCs w:val="24"/>
        </w:rPr>
        <w:t>AND</w:t>
      </w:r>
    </w:p>
    <w:p w:rsidR="005D1B58" w:rsidRDefault="005D1B58" w:rsidP="005D1B58">
      <w:pPr>
        <w:pStyle w:val="ListParagraph"/>
      </w:pPr>
      <w:r>
        <w:rPr>
          <w:b/>
          <w:bCs/>
          <w:sz w:val="24"/>
          <w:szCs w:val="24"/>
        </w:rPr>
        <w:t> </w:t>
      </w:r>
    </w:p>
    <w:p w:rsidR="005D1B58" w:rsidRDefault="005D1B58" w:rsidP="005D1B58">
      <w:pPr>
        <w:pStyle w:val="ListParagraph"/>
        <w:numPr>
          <w:ilvl w:val="0"/>
          <w:numId w:val="3"/>
        </w:numPr>
        <w:rPr>
          <w:rFonts w:eastAsia="Times New Roman"/>
        </w:rPr>
      </w:pPr>
      <w:r>
        <w:rPr>
          <w:rFonts w:eastAsia="Times New Roman"/>
          <w:sz w:val="24"/>
          <w:szCs w:val="24"/>
        </w:rPr>
        <w:t>Has no documentation of HBsAg seroconversion within 365 days</w:t>
      </w:r>
    </w:p>
    <w:p w:rsidR="00F61169" w:rsidRDefault="00F61169"/>
    <w:sectPr w:rsidR="00F611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52016"/>
    <w:multiLevelType w:val="hybridMultilevel"/>
    <w:tmpl w:val="F9D88C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F1B4395"/>
    <w:multiLevelType w:val="hybridMultilevel"/>
    <w:tmpl w:val="D34CB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317AE0"/>
    <w:multiLevelType w:val="multilevel"/>
    <w:tmpl w:val="6FBAA0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4D74AA"/>
    <w:multiLevelType w:val="hybridMultilevel"/>
    <w:tmpl w:val="F05C7F88"/>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3D7914CB"/>
    <w:multiLevelType w:val="hybridMultilevel"/>
    <w:tmpl w:val="D22EC502"/>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D1B58"/>
    <w:rsid w:val="005D1B58"/>
    <w:rsid w:val="00F61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22B31"/>
  <w15:chartTrackingRefBased/>
  <w15:docId w15:val="{504FA924-4449-476B-AA9E-EF0598C4F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B58"/>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5D1B58"/>
    <w:pPr>
      <w:spacing w:line="240" w:lineRule="auto"/>
    </w:pPr>
    <w:rPr>
      <w:sz w:val="20"/>
      <w:szCs w:val="20"/>
    </w:rPr>
  </w:style>
  <w:style w:type="character" w:customStyle="1" w:styleId="CommentTextChar">
    <w:name w:val="Comment Text Char"/>
    <w:basedOn w:val="DefaultParagraphFont"/>
    <w:link w:val="CommentText"/>
    <w:uiPriority w:val="99"/>
    <w:rsid w:val="005D1B58"/>
    <w:rPr>
      <w:rFonts w:ascii="Calibri" w:hAnsi="Calibri" w:cs="Calibri"/>
      <w:sz w:val="20"/>
      <w:szCs w:val="20"/>
    </w:rPr>
  </w:style>
  <w:style w:type="paragraph" w:styleId="ListParagraph">
    <w:name w:val="List Paragraph"/>
    <w:basedOn w:val="Normal"/>
    <w:uiPriority w:val="34"/>
    <w:qFormat/>
    <w:rsid w:val="005D1B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89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178</Words>
  <Characters>1021</Characters>
  <Application>Microsoft Office Word</Application>
  <DocSecurity>0</DocSecurity>
  <Lines>8</Lines>
  <Paragraphs>2</Paragraphs>
  <ScaleCrop>false</ScaleCrop>
  <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 Addish</dc:creator>
  <cp:keywords/>
  <dc:description/>
  <cp:lastModifiedBy>Eman Addish</cp:lastModifiedBy>
  <cp:revision>1</cp:revision>
  <dcterms:created xsi:type="dcterms:W3CDTF">2020-02-19T20:43:00Z</dcterms:created>
  <dcterms:modified xsi:type="dcterms:W3CDTF">2020-02-19T20:48:00Z</dcterms:modified>
</cp:coreProperties>
</file>