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B535D" w14:textId="3AD7E7A3" w:rsidR="002A500E" w:rsidRPr="00FA783D" w:rsidRDefault="002A500E" w:rsidP="00FA783D">
      <w:pPr>
        <w:pStyle w:val="Heading1"/>
      </w:pPr>
      <w:bookmarkStart w:id="0" w:name="_Toc15738942"/>
      <w:r w:rsidRPr="00FA783D">
        <w:t xml:space="preserve">HIV </w:t>
      </w:r>
      <w:r w:rsidR="00946DA2">
        <w:t>Dec</w:t>
      </w:r>
      <w:r w:rsidRPr="00FA783D">
        <w:t>riminalization</w:t>
      </w:r>
      <w:bookmarkEnd w:id="0"/>
      <w:r w:rsidR="009964D7" w:rsidRPr="00FA783D">
        <w:t>—</w:t>
      </w:r>
      <w:r w:rsidR="00061AB5" w:rsidRPr="00FA783D">
        <w:t xml:space="preserve">Background </w:t>
      </w:r>
      <w:r w:rsidR="009964D7" w:rsidRPr="00FA783D">
        <w:t>Resources</w:t>
      </w:r>
    </w:p>
    <w:p w14:paraId="080A1172" w14:textId="77777777" w:rsidR="002A500E" w:rsidRPr="002A500E" w:rsidRDefault="002A500E" w:rsidP="002A500E">
      <w:pPr>
        <w:spacing w:after="0" w:line="240" w:lineRule="auto"/>
        <w:rPr>
          <w:rFonts w:eastAsia="Calibri" w:cs="Times New Roman"/>
          <w:sz w:val="24"/>
          <w:szCs w:val="24"/>
        </w:rPr>
      </w:pPr>
    </w:p>
    <w:p w14:paraId="054C033B" w14:textId="77777777" w:rsidR="002A500E" w:rsidRPr="00FA783D" w:rsidRDefault="002A500E" w:rsidP="00FA783D">
      <w:pPr>
        <w:pStyle w:val="Heading2"/>
      </w:pPr>
      <w:r w:rsidRPr="00FA783D">
        <w:t xml:space="preserve">Background and Purpose </w:t>
      </w:r>
    </w:p>
    <w:p w14:paraId="5024A67B" w14:textId="7721227E"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Many states have enacted specific laws that criminalize undisclosed exposure to HIV. These laws and other more general statutes and policies that can be used to criminalize the transmission of HIV or increase the penalty because the person has HIV are collectively referred to as HIV criminalization laws</w:t>
      </w:r>
      <w:r w:rsidRPr="002A500E">
        <w:rPr>
          <w:rFonts w:eastAsia="Times New Roman" w:cs="Times New Roman"/>
          <w:sz w:val="24"/>
          <w:szCs w:val="24"/>
          <w:vertAlign w:val="superscript"/>
        </w:rPr>
        <w:endnoteReference w:id="1"/>
      </w:r>
      <w:r w:rsidRPr="002A500E">
        <w:rPr>
          <w:rFonts w:eastAsia="Times New Roman" w:cs="Times New Roman"/>
          <w:sz w:val="24"/>
          <w:szCs w:val="24"/>
        </w:rPr>
        <w:t>. In some communities, cluster response stakeholders – including community members, providers, and health department staff—have raised concerns about HIV criminalization laws and the potential use of cluster data as part of criminal proceedings</w:t>
      </w:r>
      <w:r w:rsidR="00B15D60">
        <w:rPr>
          <w:rStyle w:val="EndnoteReference"/>
          <w:rFonts w:eastAsia="Times New Roman" w:cs="Times New Roman"/>
          <w:sz w:val="24"/>
          <w:szCs w:val="24"/>
        </w:rPr>
        <w:endnoteReference w:id="2"/>
      </w:r>
      <w:r w:rsidRPr="002A500E">
        <w:rPr>
          <w:rFonts w:eastAsia="Times New Roman" w:cs="Times New Roman"/>
          <w:sz w:val="24"/>
          <w:szCs w:val="24"/>
        </w:rPr>
        <w:t>. Health department staff preparing for and planning an HIV cluster response program need to be aware of the HIV-related laws in their jurisdiction to understand how they will impact program implementation and to address any potential harms. As part of the foundational work to ensure the ethical implementation of CR programming, CDC requires health departments to assess their local HIV criminalization laws and their possible impact on HIV prevention, and if there are opportunities to remove or modernize thes</w:t>
      </w:r>
      <w:r w:rsidRPr="00090B80">
        <w:rPr>
          <w:rFonts w:eastAsia="Times New Roman" w:cs="Times New Roman"/>
          <w:sz w:val="24"/>
          <w:szCs w:val="24"/>
        </w:rPr>
        <w:t>e laws.</w:t>
      </w:r>
      <w:r w:rsidR="00090B80" w:rsidRPr="00090B80">
        <w:rPr>
          <w:rFonts w:eastAsia="Times New Roman" w:cs="Times New Roman"/>
          <w:sz w:val="24"/>
          <w:szCs w:val="24"/>
          <w:vertAlign w:val="superscript"/>
        </w:rPr>
        <w:t>2</w:t>
      </w:r>
      <w:r w:rsidRPr="002A500E">
        <w:rPr>
          <w:rFonts w:eastAsia="Times New Roman" w:cs="Times New Roman"/>
          <w:sz w:val="24"/>
          <w:szCs w:val="24"/>
        </w:rPr>
        <w:t xml:space="preserve"> </w:t>
      </w:r>
    </w:p>
    <w:p w14:paraId="2913916E" w14:textId="77777777" w:rsidR="002A500E" w:rsidRPr="002A500E" w:rsidRDefault="002A500E" w:rsidP="002A500E">
      <w:pPr>
        <w:spacing w:after="0" w:line="240" w:lineRule="auto"/>
        <w:rPr>
          <w:rFonts w:eastAsia="Times New Roman" w:cs="Times New Roman"/>
          <w:sz w:val="24"/>
          <w:szCs w:val="24"/>
        </w:rPr>
      </w:pPr>
    </w:p>
    <w:p w14:paraId="6BEBC6DF" w14:textId="77777777" w:rsidR="002A500E" w:rsidRPr="00FA783D" w:rsidRDefault="002A500E" w:rsidP="00FA783D">
      <w:pPr>
        <w:pStyle w:val="Heading3"/>
      </w:pPr>
      <w:r w:rsidRPr="00FA783D">
        <w:t>Background on HIV C</w:t>
      </w:r>
      <w:bookmarkStart w:id="1" w:name="_Hlk14612122"/>
      <w:r w:rsidRPr="00FA783D">
        <w:t>riminalizat</w:t>
      </w:r>
      <w:bookmarkEnd w:id="1"/>
      <w:r w:rsidRPr="00FA783D">
        <w:t>ion Laws and Approach to Change</w:t>
      </w:r>
    </w:p>
    <w:p w14:paraId="4F395B50"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As of 2014, thirty-three states and two US territories have enacted HIV-specific statutes that criminalize undisclosed exposure to HIV</w:t>
      </w:r>
      <w:r w:rsidRPr="002A500E">
        <w:rPr>
          <w:rFonts w:eastAsia="Times New Roman" w:cs="Times New Roman"/>
          <w:sz w:val="24"/>
          <w:szCs w:val="24"/>
          <w:vertAlign w:val="superscript"/>
        </w:rPr>
        <w:endnoteReference w:id="3"/>
      </w:r>
      <w:r w:rsidRPr="002A500E">
        <w:rPr>
          <w:rFonts w:eastAsia="Times New Roman" w:cs="Times New Roman"/>
          <w:sz w:val="24"/>
          <w:szCs w:val="24"/>
        </w:rPr>
        <w:t>. The laws vary in what type of contact or behavior is criminalized but generally include “sexual penetration” (with a variety of definitions), sharing drug injecting equipment and/or donating blood, semen, breast milk or other tissue; some include spitting or biting</w:t>
      </w:r>
      <w:r w:rsidRPr="002A500E">
        <w:rPr>
          <w:rFonts w:eastAsia="Times New Roman" w:cs="Times New Roman"/>
          <w:sz w:val="24"/>
          <w:szCs w:val="24"/>
          <w:vertAlign w:val="superscript"/>
        </w:rPr>
        <w:endnoteReference w:id="4"/>
      </w:r>
      <w:r w:rsidRPr="002A500E">
        <w:rPr>
          <w:rFonts w:eastAsia="Times New Roman" w:cs="Times New Roman"/>
          <w:sz w:val="24"/>
          <w:szCs w:val="24"/>
        </w:rPr>
        <w:t xml:space="preserve">. Most of these laws criminalize non-disclosure regardless of intent and whether transmission occurred. Laws that have not been modernized do not consider recent advances in treatment and prevention that can greatly decrease or eliminate the risk of transmission. </w:t>
      </w:r>
    </w:p>
    <w:p w14:paraId="6670E11B" w14:textId="77777777" w:rsidR="002A500E" w:rsidRPr="002A500E" w:rsidRDefault="002A500E" w:rsidP="002A500E">
      <w:pPr>
        <w:spacing w:after="0" w:line="240" w:lineRule="auto"/>
        <w:rPr>
          <w:rFonts w:eastAsia="Times New Roman" w:cs="Times New Roman"/>
          <w:sz w:val="24"/>
          <w:szCs w:val="24"/>
        </w:rPr>
      </w:pPr>
    </w:p>
    <w:p w14:paraId="1378A8DF" w14:textId="1437F592"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There is no comprehensive database of prosecutions, so the full extent of these actions is unknown</w:t>
      </w:r>
      <w:r w:rsidR="005E6EA2">
        <w:rPr>
          <w:rFonts w:eastAsia="Times New Roman" w:cs="Times New Roman"/>
          <w:sz w:val="24"/>
          <w:szCs w:val="24"/>
          <w:vertAlign w:val="superscript"/>
        </w:rPr>
        <w:t>2</w:t>
      </w:r>
      <w:r w:rsidRPr="002A500E">
        <w:rPr>
          <w:rFonts w:eastAsia="Times New Roman" w:cs="Times New Roman"/>
          <w:sz w:val="24"/>
          <w:szCs w:val="24"/>
        </w:rPr>
        <w:t>. If the intent of such laws was to decrease HIV transmission, they appear to have been unsuccessful. The 2017 analysis by Sweeney et al showed “no association between HIV or AIDS diagnosis rates and criminal exposure laws across states over time, suggesting that these laws have had no detectable HIV prevention effect”</w:t>
      </w:r>
      <w:r w:rsidRPr="002A500E">
        <w:rPr>
          <w:rFonts w:eastAsia="Times New Roman" w:cs="Times New Roman"/>
          <w:sz w:val="24"/>
          <w:szCs w:val="24"/>
          <w:vertAlign w:val="superscript"/>
        </w:rPr>
        <w:endnoteReference w:id="5"/>
      </w:r>
      <w:r w:rsidRPr="002A500E">
        <w:rPr>
          <w:rFonts w:eastAsia="Times New Roman" w:cs="Times New Roman"/>
          <w:sz w:val="24"/>
          <w:szCs w:val="24"/>
        </w:rPr>
        <w:t>.</w:t>
      </w:r>
    </w:p>
    <w:p w14:paraId="16F3213F" w14:textId="77777777" w:rsidR="002A500E" w:rsidRPr="002A500E" w:rsidRDefault="002A500E" w:rsidP="002A500E">
      <w:pPr>
        <w:spacing w:after="0" w:line="240" w:lineRule="auto"/>
        <w:rPr>
          <w:rFonts w:eastAsia="Calibri" w:cs="Times New Roman"/>
          <w:sz w:val="24"/>
          <w:szCs w:val="24"/>
        </w:rPr>
      </w:pPr>
    </w:p>
    <w:p w14:paraId="084F2423" w14:textId="41D49404"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 xml:space="preserve">Although some of these laws were passed before 1990, many were enacted subsequent to the passage of the Ryan White Comprehensive AIDS Resources Emergency (CARE) Act of 1990 (RWCA). Section 2647 of this legislation, entitled “Requirement of State Law Protection Against Intentional Transmission” required, as a condition of funding, that state law must include protections against intentional transmission. The legislation explicitly states that: “The existence of a criminal law of general application,” is </w:t>
      </w:r>
      <w:proofErr w:type="gramStart"/>
      <w:r w:rsidRPr="002A500E">
        <w:rPr>
          <w:rFonts w:eastAsia="Times New Roman" w:cs="Times New Roman"/>
          <w:sz w:val="24"/>
          <w:szCs w:val="24"/>
        </w:rPr>
        <w:t>sufficient</w:t>
      </w:r>
      <w:proofErr w:type="gramEnd"/>
      <w:r w:rsidRPr="002A500E">
        <w:rPr>
          <w:rFonts w:eastAsia="Times New Roman" w:cs="Times New Roman"/>
          <w:sz w:val="24"/>
          <w:szCs w:val="24"/>
        </w:rPr>
        <w:t xml:space="preserve"> for compliance with this requirement, meaning that existing laws, such as endangerment, are adequate for compliance with this section of the Act</w:t>
      </w:r>
      <w:r w:rsidRPr="002A500E">
        <w:rPr>
          <w:rFonts w:eastAsia="Times New Roman" w:cs="Times New Roman"/>
          <w:sz w:val="24"/>
          <w:szCs w:val="24"/>
          <w:vertAlign w:val="superscript"/>
        </w:rPr>
        <w:endnoteReference w:id="6"/>
      </w:r>
      <w:r w:rsidRPr="002A500E">
        <w:rPr>
          <w:rFonts w:eastAsia="Times New Roman" w:cs="Times New Roman"/>
          <w:sz w:val="24"/>
          <w:szCs w:val="24"/>
        </w:rPr>
        <w:t>. It is of interest that the passage of the RWCA has been used to justify HIV-specific laws when that is not required by the legislation</w:t>
      </w:r>
      <w:r w:rsidRPr="002A500E">
        <w:rPr>
          <w:rFonts w:eastAsia="Times New Roman" w:cs="Times New Roman"/>
          <w:sz w:val="24"/>
          <w:szCs w:val="24"/>
          <w:vertAlign w:val="superscript"/>
        </w:rPr>
        <w:t>3</w:t>
      </w:r>
      <w:r w:rsidRPr="002A500E">
        <w:rPr>
          <w:rFonts w:eastAsia="Times New Roman" w:cs="Times New Roman"/>
          <w:sz w:val="24"/>
          <w:szCs w:val="24"/>
        </w:rPr>
        <w:t>.</w:t>
      </w:r>
    </w:p>
    <w:p w14:paraId="5F2A19AC" w14:textId="77777777" w:rsidR="002A500E" w:rsidRPr="002A500E" w:rsidRDefault="002A500E" w:rsidP="002A500E">
      <w:pPr>
        <w:spacing w:after="0" w:line="240" w:lineRule="auto"/>
        <w:rPr>
          <w:rFonts w:eastAsia="Times New Roman" w:cs="Times New Roman"/>
          <w:sz w:val="24"/>
          <w:szCs w:val="24"/>
        </w:rPr>
      </w:pPr>
    </w:p>
    <w:p w14:paraId="6D27B5D8" w14:textId="77777777" w:rsidR="002A500E" w:rsidRPr="002A500E" w:rsidRDefault="002A500E" w:rsidP="002A500E">
      <w:pPr>
        <w:spacing w:after="0" w:line="240" w:lineRule="auto"/>
        <w:rPr>
          <w:rFonts w:eastAsia="Calibri" w:cs="Times New Roman"/>
          <w:sz w:val="24"/>
          <w:szCs w:val="24"/>
        </w:rPr>
      </w:pPr>
    </w:p>
    <w:p w14:paraId="277821EC" w14:textId="4972329E" w:rsidR="002A500E" w:rsidRPr="002A500E" w:rsidRDefault="002A500E" w:rsidP="002A500E">
      <w:pPr>
        <w:spacing w:after="0" w:line="240" w:lineRule="auto"/>
        <w:rPr>
          <w:rFonts w:eastAsia="Calibri" w:cs="Times New Roman"/>
          <w:sz w:val="24"/>
          <w:szCs w:val="24"/>
        </w:rPr>
      </w:pPr>
      <w:r w:rsidRPr="002A500E">
        <w:rPr>
          <w:rFonts w:eastAsia="Calibri" w:cs="Times New Roman"/>
          <w:sz w:val="24"/>
          <w:szCs w:val="24"/>
        </w:rPr>
        <w:t xml:space="preserve">It is beyond the scope of this </w:t>
      </w:r>
      <w:r w:rsidR="005E6EA2">
        <w:rPr>
          <w:rFonts w:eastAsia="Calibri" w:cs="Times New Roman"/>
          <w:sz w:val="24"/>
          <w:szCs w:val="24"/>
        </w:rPr>
        <w:t>document</w:t>
      </w:r>
      <w:r w:rsidRPr="002A500E">
        <w:rPr>
          <w:rFonts w:eastAsia="Calibri" w:cs="Times New Roman"/>
          <w:sz w:val="24"/>
          <w:szCs w:val="24"/>
        </w:rPr>
        <w:t xml:space="preserve"> to explore why most states have HIV-specific laws but the history of prosecutions under these laws has increased concern in the HIV community about the use of HIV data for cluster response and has caused some to oppose cluster investigations</w:t>
      </w:r>
      <w:r w:rsidR="00090B80">
        <w:rPr>
          <w:rStyle w:val="EndnoteReference"/>
          <w:rFonts w:eastAsia="Calibri" w:cs="Times New Roman"/>
          <w:sz w:val="24"/>
          <w:szCs w:val="24"/>
        </w:rPr>
        <w:endnoteReference w:id="7"/>
      </w:r>
      <w:r w:rsidRPr="002A500E">
        <w:rPr>
          <w:rFonts w:eastAsia="Calibri" w:cs="Times New Roman"/>
          <w:sz w:val="24"/>
          <w:szCs w:val="24"/>
        </w:rPr>
        <w:t>. For example, McClelland and colleagues outline concerns about the use of molecular HIV surveillance (MHS), especially related to consent and criminalization; they include evidence of the validity of such concerns and gravity of consequences, describing the use in Canada of the Los Alamos genetic database to successfully convict a man accused of non-disclosure.</w:t>
      </w:r>
      <w:r w:rsidRPr="002A500E">
        <w:rPr>
          <w:rFonts w:eastAsia="Calibri" w:cs="Times New Roman"/>
          <w:sz w:val="24"/>
          <w:szCs w:val="24"/>
          <w:vertAlign w:val="superscript"/>
        </w:rPr>
        <w:endnoteReference w:id="8"/>
      </w:r>
      <w:r w:rsidRPr="002A500E">
        <w:rPr>
          <w:rFonts w:eastAsia="Calibri" w:cs="Times New Roman"/>
          <w:sz w:val="24"/>
          <w:szCs w:val="24"/>
        </w:rPr>
        <w:t xml:space="preserve">  Concern over how an individual’s data are used by HIV surveillance can be a deterrent to community support and participation in activities such as HIV testing and cluster response</w:t>
      </w:r>
      <w:r w:rsidRPr="002A500E">
        <w:rPr>
          <w:rFonts w:eastAsia="Calibri" w:cs="Times New Roman"/>
          <w:sz w:val="24"/>
          <w:szCs w:val="24"/>
          <w:vertAlign w:val="superscript"/>
        </w:rPr>
        <w:endnoteReference w:id="9"/>
      </w:r>
      <w:r w:rsidRPr="002A500E">
        <w:rPr>
          <w:rFonts w:eastAsia="Calibri" w:cs="Times New Roman"/>
          <w:sz w:val="24"/>
          <w:szCs w:val="24"/>
        </w:rPr>
        <w:t xml:space="preserve">. </w:t>
      </w:r>
    </w:p>
    <w:p w14:paraId="46BA175A" w14:textId="77777777" w:rsidR="002A500E" w:rsidRPr="002A500E" w:rsidRDefault="002A500E" w:rsidP="002A500E">
      <w:pPr>
        <w:spacing w:after="0" w:line="240" w:lineRule="auto"/>
        <w:rPr>
          <w:rFonts w:eastAsia="Calibri" w:cs="Times New Roman"/>
          <w:sz w:val="24"/>
          <w:szCs w:val="24"/>
        </w:rPr>
      </w:pPr>
    </w:p>
    <w:p w14:paraId="6C1EAF82"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HIV programs in health departments vary in their ability to affect change in their criminal laws and they may not have even indirect access to the health department’s legislative affairs staff. States that have modernized their laws have taken varying approaches to doing so but, in at least one example, have made those changes by working with community advocates. In a presentation at the 2015 National HIV Prevention Conference, Randy Mayer, Chief, Bureau of HIV, STD, and Hepatitis, Iowa Department of Public Health (IDPH), discussed the case for public health and how IDPH worked with community advocates</w:t>
      </w:r>
      <w:r w:rsidRPr="002A500E">
        <w:rPr>
          <w:rFonts w:eastAsia="Times New Roman" w:cs="Times New Roman"/>
          <w:sz w:val="24"/>
          <w:szCs w:val="24"/>
          <w:vertAlign w:val="superscript"/>
        </w:rPr>
        <w:endnoteReference w:id="10"/>
      </w:r>
      <w:r w:rsidRPr="002A500E">
        <w:rPr>
          <w:rFonts w:eastAsia="Times New Roman" w:cs="Times New Roman"/>
          <w:sz w:val="24"/>
          <w:szCs w:val="24"/>
        </w:rPr>
        <w:t xml:space="preserve">. </w:t>
      </w:r>
    </w:p>
    <w:p w14:paraId="704009EE" w14:textId="77777777" w:rsidR="002A500E" w:rsidRPr="002A500E" w:rsidRDefault="002A500E" w:rsidP="002A500E">
      <w:pPr>
        <w:spacing w:after="0" w:line="240" w:lineRule="auto"/>
        <w:rPr>
          <w:rFonts w:eastAsia="Times New Roman" w:cs="Times New Roman"/>
          <w:sz w:val="24"/>
          <w:szCs w:val="24"/>
        </w:rPr>
      </w:pPr>
    </w:p>
    <w:p w14:paraId="63C9EB77" w14:textId="77777777" w:rsidR="002A500E" w:rsidRPr="002A500E" w:rsidRDefault="002A500E" w:rsidP="002A500E">
      <w:pPr>
        <w:spacing w:after="0" w:line="240" w:lineRule="auto"/>
        <w:rPr>
          <w:rFonts w:eastAsia="Times New Roman" w:cs="Times New Roman"/>
          <w:sz w:val="24"/>
          <w:szCs w:val="24"/>
        </w:rPr>
      </w:pPr>
      <w:r w:rsidRPr="002A500E">
        <w:rPr>
          <w:rFonts w:eastAsia="Times New Roman" w:cs="Times New Roman"/>
          <w:sz w:val="24"/>
          <w:szCs w:val="24"/>
        </w:rPr>
        <w:t>As of March 2019, states that have successfully reformed or repealed one or more parts of their HIV-specific criminal laws include California, Colorado, Illinois, Iowa, Michigan, North Carolina, and Texas</w:t>
      </w:r>
      <w:r w:rsidRPr="002A500E">
        <w:rPr>
          <w:rFonts w:eastAsia="Times New Roman" w:cs="Times New Roman"/>
          <w:sz w:val="24"/>
          <w:szCs w:val="24"/>
          <w:vertAlign w:val="superscript"/>
        </w:rPr>
        <w:endnoteReference w:id="11"/>
      </w:r>
      <w:r w:rsidRPr="002A500E">
        <w:rPr>
          <w:rFonts w:eastAsia="Times New Roman" w:cs="Times New Roman"/>
          <w:sz w:val="24"/>
          <w:szCs w:val="24"/>
        </w:rPr>
        <w:t>.</w:t>
      </w:r>
    </w:p>
    <w:p w14:paraId="545B25BF" w14:textId="77777777" w:rsidR="002A500E" w:rsidRPr="002A500E" w:rsidRDefault="002A500E" w:rsidP="002A500E">
      <w:pPr>
        <w:spacing w:after="60" w:line="240" w:lineRule="auto"/>
        <w:outlineLvl w:val="2"/>
        <w:rPr>
          <w:rFonts w:ascii="Garamond" w:eastAsia="Arial Unicode MS" w:hAnsi="Garamond" w:cs="Arial"/>
          <w:b/>
          <w:bCs/>
          <w:color w:val="15559D"/>
          <w:sz w:val="32"/>
          <w:szCs w:val="32"/>
        </w:rPr>
      </w:pPr>
    </w:p>
    <w:p w14:paraId="47C3F158" w14:textId="77777777" w:rsidR="002A500E" w:rsidRPr="002A500E" w:rsidRDefault="002A500E" w:rsidP="00FA783D">
      <w:pPr>
        <w:pStyle w:val="Heading2"/>
      </w:pPr>
      <w:r w:rsidRPr="002A500E">
        <w:t xml:space="preserve">Resources </w:t>
      </w:r>
    </w:p>
    <w:p w14:paraId="430E9875" w14:textId="77777777" w:rsidR="002A500E" w:rsidRPr="002A500E" w:rsidRDefault="002A500E" w:rsidP="002A500E">
      <w:pPr>
        <w:spacing w:after="0" w:line="240" w:lineRule="auto"/>
        <w:rPr>
          <w:rFonts w:eastAsia="Calibri" w:cs="Times New Roman"/>
          <w:sz w:val="24"/>
          <w:szCs w:val="24"/>
        </w:rPr>
      </w:pPr>
    </w:p>
    <w:p w14:paraId="21FB9207" w14:textId="77777777" w:rsidR="002A500E" w:rsidRPr="002A500E" w:rsidRDefault="002A500E" w:rsidP="00FA783D">
      <w:pPr>
        <w:pStyle w:val="Heading3"/>
      </w:pPr>
      <w:r w:rsidRPr="002A500E">
        <w:t>General Resources</w:t>
      </w:r>
    </w:p>
    <w:p w14:paraId="4B1DE1FF" w14:textId="77777777" w:rsidR="002A500E" w:rsidRPr="002A500E" w:rsidRDefault="002A500E" w:rsidP="002A500E">
      <w:pPr>
        <w:numPr>
          <w:ilvl w:val="0"/>
          <w:numId w:val="4"/>
        </w:numPr>
        <w:spacing w:after="0" w:line="240" w:lineRule="auto"/>
        <w:contextualSpacing/>
        <w:rPr>
          <w:rFonts w:eastAsia="Calibri" w:cs="Times New Roman"/>
          <w:sz w:val="24"/>
          <w:szCs w:val="24"/>
        </w:rPr>
      </w:pPr>
      <w:r w:rsidRPr="002A500E">
        <w:rPr>
          <w:rFonts w:eastAsia="Calibri" w:cs="Times New Roman"/>
          <w:sz w:val="24"/>
          <w:szCs w:val="24"/>
        </w:rPr>
        <w:t>Compelling stories are often helpful to motivate people to act on an issue. “</w:t>
      </w:r>
      <w:hyperlink r:id="rId8" w:history="1">
        <w:r w:rsidRPr="002A500E">
          <w:rPr>
            <w:rFonts w:eastAsia="Calibri" w:cs="Times New Roman"/>
            <w:color w:val="0563C1"/>
            <w:sz w:val="24"/>
            <w:szCs w:val="24"/>
            <w:u w:val="single"/>
          </w:rPr>
          <w:t>The dehumanizing effect of HIV criminalization</w:t>
        </w:r>
      </w:hyperlink>
      <w:r w:rsidRPr="002A500E">
        <w:rPr>
          <w:rFonts w:eastAsia="Calibri" w:cs="Times New Roman"/>
          <w:color w:val="0563C1"/>
          <w:sz w:val="24"/>
          <w:szCs w:val="24"/>
          <w:u w:val="single"/>
        </w:rPr>
        <w:t>,</w:t>
      </w:r>
      <w:r w:rsidRPr="002A500E">
        <w:rPr>
          <w:rFonts w:eastAsia="Calibri" w:cs="Times New Roman"/>
          <w:sz w:val="24"/>
          <w:szCs w:val="24"/>
        </w:rPr>
        <w:t xml:space="preserve">” published in an American Psychological Association’s newsletter, provides a powerful, first-hand account of the effect one of these laws had on a young man’s life. The writer also raises important questions about HIV criminalization and intersections between social and political factors, including the disproportionate impact of HIV and incarceration on communities of color. </w:t>
      </w:r>
    </w:p>
    <w:p w14:paraId="5473CA1A" w14:textId="77777777" w:rsidR="002A500E" w:rsidRPr="002A500E" w:rsidRDefault="002A500E" w:rsidP="002A500E">
      <w:pPr>
        <w:spacing w:after="0" w:line="240" w:lineRule="auto"/>
        <w:ind w:left="720"/>
        <w:contextualSpacing/>
        <w:rPr>
          <w:rFonts w:eastAsia="Calibri" w:cs="Times New Roman"/>
          <w:sz w:val="24"/>
          <w:szCs w:val="24"/>
        </w:rPr>
      </w:pPr>
    </w:p>
    <w:p w14:paraId="791D38CF" w14:textId="77777777" w:rsidR="002A500E" w:rsidRPr="002A500E" w:rsidRDefault="002A500E" w:rsidP="002A500E">
      <w:pPr>
        <w:numPr>
          <w:ilvl w:val="0"/>
          <w:numId w:val="3"/>
        </w:numPr>
        <w:spacing w:after="0" w:line="240" w:lineRule="auto"/>
        <w:contextualSpacing/>
        <w:rPr>
          <w:rFonts w:eastAsia="Calibri" w:cs="Times New Roman"/>
          <w:sz w:val="24"/>
          <w:szCs w:val="24"/>
        </w:rPr>
      </w:pPr>
      <w:r w:rsidRPr="002A500E">
        <w:rPr>
          <w:rFonts w:eastAsia="Calibri" w:cs="Times New Roman"/>
          <w:sz w:val="24"/>
          <w:szCs w:val="24"/>
        </w:rPr>
        <w:t xml:space="preserve">CDC’s webpage </w:t>
      </w:r>
      <w:hyperlink r:id="rId9" w:history="1">
        <w:r w:rsidRPr="002A500E">
          <w:rPr>
            <w:rFonts w:eastAsia="Calibri" w:cs="Times New Roman"/>
            <w:color w:val="0563C1"/>
            <w:sz w:val="24"/>
            <w:szCs w:val="24"/>
            <w:u w:val="single"/>
          </w:rPr>
          <w:t>State Laws that address High-Impact HIV Prevention Efforts</w:t>
        </w:r>
      </w:hyperlink>
      <w:r w:rsidRPr="002A500E">
        <w:rPr>
          <w:rFonts w:eastAsia="Calibri" w:cs="Times New Roman"/>
          <w:sz w:val="24"/>
          <w:szCs w:val="24"/>
        </w:rPr>
        <w:t xml:space="preserve">  includes links to individual state’s statutes, if any, that address HIV or STD criminalization, consent, counseling, and laboratory reporting.</w:t>
      </w:r>
    </w:p>
    <w:p w14:paraId="71195695" w14:textId="77777777" w:rsidR="002A500E" w:rsidRPr="002A500E" w:rsidRDefault="002A500E" w:rsidP="002A500E">
      <w:pPr>
        <w:spacing w:after="0" w:line="240" w:lineRule="auto"/>
        <w:ind w:left="720"/>
        <w:contextualSpacing/>
        <w:rPr>
          <w:rFonts w:eastAsia="Calibri" w:cs="Times New Roman"/>
          <w:sz w:val="24"/>
          <w:szCs w:val="24"/>
        </w:rPr>
      </w:pPr>
    </w:p>
    <w:p w14:paraId="741B75DB" w14:textId="77777777" w:rsidR="002A500E" w:rsidRPr="002A500E" w:rsidRDefault="002A500E" w:rsidP="002A500E">
      <w:pPr>
        <w:spacing w:after="0" w:line="240" w:lineRule="auto"/>
        <w:ind w:left="720"/>
        <w:contextualSpacing/>
        <w:rPr>
          <w:rFonts w:eastAsia="Calibri" w:cs="Times New Roman"/>
          <w:sz w:val="24"/>
          <w:szCs w:val="24"/>
        </w:rPr>
      </w:pPr>
      <w:r w:rsidRPr="002A500E">
        <w:rPr>
          <w:rFonts w:eastAsia="Calibri" w:cs="Times New Roman"/>
          <w:sz w:val="24"/>
          <w:szCs w:val="24"/>
        </w:rPr>
        <w:t xml:space="preserve"> </w:t>
      </w:r>
    </w:p>
    <w:p w14:paraId="5C8549C5" w14:textId="77777777" w:rsidR="002A500E" w:rsidRPr="002A500E" w:rsidRDefault="002A500E" w:rsidP="002A500E">
      <w:pPr>
        <w:numPr>
          <w:ilvl w:val="0"/>
          <w:numId w:val="3"/>
        </w:numPr>
        <w:spacing w:after="0" w:line="240" w:lineRule="auto"/>
        <w:contextualSpacing/>
        <w:rPr>
          <w:rFonts w:eastAsia="Calibri" w:cs="Times New Roman"/>
          <w:sz w:val="24"/>
          <w:szCs w:val="24"/>
        </w:rPr>
      </w:pPr>
      <w:r w:rsidRPr="002A500E">
        <w:rPr>
          <w:rFonts w:eastAsia="Calibri" w:cs="Times New Roman"/>
          <w:sz w:val="24"/>
          <w:szCs w:val="24"/>
        </w:rPr>
        <w:t xml:space="preserve">NASTAD’s </w:t>
      </w:r>
      <w:hyperlink r:id="rId10" w:history="1">
        <w:r w:rsidRPr="002A500E">
          <w:rPr>
            <w:rFonts w:eastAsia="Calibri" w:cs="Times New Roman"/>
            <w:color w:val="0563C1"/>
            <w:sz w:val="24"/>
            <w:szCs w:val="24"/>
            <w:u w:val="single"/>
          </w:rPr>
          <w:t>HIV Criminalization Health Department Talking Points and FAQs</w:t>
        </w:r>
      </w:hyperlink>
      <w:r w:rsidRPr="002A500E">
        <w:rPr>
          <w:rFonts w:eastAsia="Calibri" w:cs="Times New Roman"/>
          <w:sz w:val="24"/>
          <w:szCs w:val="24"/>
        </w:rPr>
        <w:t xml:space="preserve"> addresses common concerns and inquires related to the role of HIV-specific criminalization laws in HIV prevention. It provides talking points to address three common concerns:</w:t>
      </w:r>
    </w:p>
    <w:p w14:paraId="006BE41C"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Times New Roman"/>
          <w:sz w:val="24"/>
          <w:szCs w:val="24"/>
        </w:rPr>
        <w:lastRenderedPageBreak/>
        <w:t>Whether criminalization laws assist in promoting disclosure of HIV status and how to encourage disclosure without them</w:t>
      </w:r>
    </w:p>
    <w:p w14:paraId="461ABBF8"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Arial"/>
          <w:sz w:val="24"/>
          <w:szCs w:val="24"/>
        </w:rPr>
        <w:t>Whether HIV criminalization laws help protect women (and other potential victims) from exposure to HIV and possible infection</w:t>
      </w:r>
    </w:p>
    <w:p w14:paraId="0AAA02F9" w14:textId="77777777" w:rsidR="002A500E" w:rsidRPr="002A500E" w:rsidRDefault="002A500E" w:rsidP="002A500E">
      <w:pPr>
        <w:numPr>
          <w:ilvl w:val="1"/>
          <w:numId w:val="6"/>
        </w:numPr>
        <w:spacing w:after="0" w:line="240" w:lineRule="auto"/>
        <w:contextualSpacing/>
        <w:rPr>
          <w:rFonts w:eastAsia="Calibri" w:cs="Times New Roman"/>
          <w:sz w:val="24"/>
          <w:szCs w:val="24"/>
        </w:rPr>
      </w:pPr>
      <w:r w:rsidRPr="002A500E">
        <w:rPr>
          <w:rFonts w:eastAsia="Calibri" w:cs="Times New Roman"/>
          <w:sz w:val="24"/>
          <w:szCs w:val="24"/>
        </w:rPr>
        <w:t>Whether there have been cases involving an individual who knowingly and intentionally tries to infect other people with HIV, and whether these cases help to stop HIV transmission</w:t>
      </w:r>
    </w:p>
    <w:p w14:paraId="3740BC49" w14:textId="77777777" w:rsidR="002A500E" w:rsidRPr="002A500E" w:rsidRDefault="002A500E" w:rsidP="002A500E">
      <w:pPr>
        <w:spacing w:after="0" w:line="240" w:lineRule="auto"/>
        <w:ind w:left="720"/>
        <w:contextualSpacing/>
        <w:rPr>
          <w:rFonts w:eastAsia="Calibri" w:cs="Times New Roman"/>
          <w:sz w:val="24"/>
          <w:szCs w:val="24"/>
        </w:rPr>
      </w:pPr>
    </w:p>
    <w:p w14:paraId="49840E57" w14:textId="77777777" w:rsidR="002A500E" w:rsidRPr="002A500E" w:rsidRDefault="002A500E" w:rsidP="002A500E">
      <w:pPr>
        <w:spacing w:after="0" w:line="240" w:lineRule="auto"/>
        <w:ind w:left="720"/>
        <w:contextualSpacing/>
        <w:rPr>
          <w:rFonts w:eastAsia="Calibri" w:cs="Times New Roman"/>
          <w:sz w:val="24"/>
          <w:szCs w:val="24"/>
        </w:rPr>
      </w:pPr>
    </w:p>
    <w:p w14:paraId="6A2706EE" w14:textId="77777777"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The </w:t>
      </w:r>
      <w:proofErr w:type="spellStart"/>
      <w:r w:rsidRPr="002A500E">
        <w:rPr>
          <w:rFonts w:eastAsia="Calibri" w:cs="Times New Roman"/>
          <w:sz w:val="24"/>
          <w:szCs w:val="24"/>
        </w:rPr>
        <w:t>SeroProject’s</w:t>
      </w:r>
      <w:proofErr w:type="spellEnd"/>
      <w:r w:rsidRPr="002A500E">
        <w:rPr>
          <w:rFonts w:eastAsia="Calibri" w:cs="Times New Roman"/>
          <w:sz w:val="24"/>
          <w:szCs w:val="24"/>
        </w:rPr>
        <w:t xml:space="preserve"> </w:t>
      </w:r>
      <w:hyperlink r:id="rId11" w:history="1">
        <w:r w:rsidRPr="002A500E">
          <w:rPr>
            <w:rFonts w:eastAsia="Calibri" w:cs="Times New Roman"/>
            <w:color w:val="0563C1"/>
            <w:sz w:val="24"/>
            <w:szCs w:val="24"/>
            <w:u w:val="single"/>
          </w:rPr>
          <w:t>HIV is Not a Crime Frequently Asked Questions</w:t>
        </w:r>
      </w:hyperlink>
      <w:r w:rsidRPr="002A500E">
        <w:rPr>
          <w:rFonts w:eastAsia="Calibri" w:cs="Times New Roman"/>
          <w:sz w:val="24"/>
          <w:szCs w:val="24"/>
        </w:rPr>
        <w:t xml:space="preserve"> includes a list of twenty organizations that support HIV criminalization law reform and contains answers to questions health department may have including those listed below: </w:t>
      </w:r>
    </w:p>
    <w:p w14:paraId="7641C4CE"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How do the current laws harm public health and PLWH?</w:t>
      </w:r>
    </w:p>
    <w:p w14:paraId="542805B3"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Don’t HIV criminalization laws help prevent the spread of HIV?</w:t>
      </w:r>
    </w:p>
    <w:p w14:paraId="1E6F8F67"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What if someone purposely gives or tries to give me HIV? Will modernizing the laws still punish those “intentional transmitters”?</w:t>
      </w:r>
    </w:p>
    <w:p w14:paraId="38DD210F" w14:textId="77777777" w:rsidR="002A500E" w:rsidRPr="002A500E" w:rsidRDefault="002A500E" w:rsidP="002A500E">
      <w:pPr>
        <w:numPr>
          <w:ilvl w:val="0"/>
          <w:numId w:val="7"/>
        </w:numPr>
        <w:spacing w:after="0" w:line="240" w:lineRule="auto"/>
        <w:contextualSpacing/>
        <w:rPr>
          <w:rFonts w:eastAsia="Calibri" w:cs="Times New Roman"/>
          <w:sz w:val="24"/>
          <w:szCs w:val="24"/>
        </w:rPr>
      </w:pPr>
      <w:r w:rsidRPr="002A500E">
        <w:rPr>
          <w:rFonts w:eastAsia="Calibri" w:cs="Times New Roman"/>
          <w:sz w:val="24"/>
          <w:szCs w:val="24"/>
        </w:rPr>
        <w:t>Shouldn’t disclosure of one’s HIV status be required by law?</w:t>
      </w:r>
    </w:p>
    <w:p w14:paraId="164A1099" w14:textId="77777777" w:rsidR="002A500E" w:rsidRPr="002A500E" w:rsidRDefault="002A500E" w:rsidP="002A500E">
      <w:pPr>
        <w:spacing w:after="0" w:line="240" w:lineRule="auto"/>
        <w:rPr>
          <w:rFonts w:eastAsia="Calibri" w:cs="Times New Roman"/>
          <w:sz w:val="24"/>
          <w:szCs w:val="24"/>
        </w:rPr>
      </w:pPr>
    </w:p>
    <w:p w14:paraId="326B7062" w14:textId="77777777"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NASTAD’s policy statement on </w:t>
      </w:r>
      <w:hyperlink r:id="rId12" w:history="1">
        <w:r w:rsidRPr="002A500E">
          <w:rPr>
            <w:rFonts w:eastAsia="Calibri" w:cs="Times New Roman"/>
            <w:color w:val="0563C1"/>
            <w:sz w:val="24"/>
            <w:szCs w:val="24"/>
            <w:u w:val="single"/>
          </w:rPr>
          <w:t>HIV Criminalization: National HIV/AIDS Strategy Imperative: Fighting Stigma and Discrimination by Repealing HIV-specific Criminal Statutes</w:t>
        </w:r>
      </w:hyperlink>
      <w:r w:rsidRPr="002A500E">
        <w:rPr>
          <w:rFonts w:eastAsia="Calibri" w:cs="Times New Roman"/>
          <w:sz w:val="24"/>
          <w:szCs w:val="24"/>
        </w:rPr>
        <w:t xml:space="preserve"> frames criminalization in the context of HIV stigma and the need to repeal such laws to meet the goals of the </w:t>
      </w:r>
      <w:hyperlink r:id="rId13" w:history="1">
        <w:r w:rsidRPr="002A500E">
          <w:rPr>
            <w:rFonts w:eastAsia="Calibri" w:cs="Times New Roman"/>
            <w:color w:val="0563C1"/>
            <w:sz w:val="24"/>
            <w:szCs w:val="24"/>
            <w:u w:val="single"/>
          </w:rPr>
          <w:t>National HIV/AIDS Strategy</w:t>
        </w:r>
      </w:hyperlink>
      <w:r w:rsidRPr="002A500E">
        <w:rPr>
          <w:rFonts w:eastAsia="Calibri" w:cs="Times New Roman"/>
          <w:sz w:val="24"/>
          <w:szCs w:val="24"/>
        </w:rPr>
        <w:t>. NASTAD’s document may be particularly useful to gain support of internal stakeholders to modernize laws because NASTAD members are “state and local health department staff who have programmatic responsibility for administering HIV and hepatitis healthcare, prevention, education, and supportive service programs funded by state and federal governments.”</w:t>
      </w:r>
    </w:p>
    <w:p w14:paraId="5EC33F49" w14:textId="77777777" w:rsidR="002A500E" w:rsidRPr="002A500E" w:rsidRDefault="002A500E" w:rsidP="002A500E">
      <w:pPr>
        <w:spacing w:after="0" w:line="240" w:lineRule="auto"/>
        <w:ind w:left="720"/>
        <w:contextualSpacing/>
        <w:rPr>
          <w:rFonts w:eastAsia="Calibri" w:cs="Times New Roman"/>
          <w:sz w:val="24"/>
          <w:szCs w:val="24"/>
        </w:rPr>
      </w:pPr>
      <w:r w:rsidRPr="002A500E">
        <w:rPr>
          <w:rFonts w:eastAsia="Calibri" w:cs="Times New Roman"/>
          <w:sz w:val="24"/>
          <w:szCs w:val="24"/>
        </w:rPr>
        <w:t xml:space="preserve">  </w:t>
      </w:r>
    </w:p>
    <w:p w14:paraId="035FABA4" w14:textId="77777777" w:rsidR="002A500E" w:rsidRPr="002A500E" w:rsidRDefault="00811370" w:rsidP="002A500E">
      <w:pPr>
        <w:numPr>
          <w:ilvl w:val="0"/>
          <w:numId w:val="1"/>
        </w:numPr>
        <w:spacing w:after="0" w:line="240" w:lineRule="auto"/>
        <w:contextualSpacing/>
        <w:rPr>
          <w:rFonts w:eastAsia="Calibri" w:cs="Times New Roman"/>
          <w:sz w:val="24"/>
          <w:szCs w:val="24"/>
        </w:rPr>
      </w:pPr>
      <w:hyperlink r:id="rId14" w:history="1">
        <w:r w:rsidR="002A500E" w:rsidRPr="002A500E">
          <w:rPr>
            <w:rFonts w:eastAsia="Calibri" w:cs="Times New Roman"/>
            <w:color w:val="0563C1"/>
            <w:sz w:val="24"/>
            <w:szCs w:val="24"/>
            <w:u w:val="single"/>
          </w:rPr>
          <w:t>Criminal Law 101: Legal Literacy for Non-Lawyer Advocates</w:t>
        </w:r>
      </w:hyperlink>
      <w:r w:rsidR="002A500E" w:rsidRPr="002A500E">
        <w:rPr>
          <w:rFonts w:eastAsia="Calibri" w:cs="Times New Roman"/>
          <w:sz w:val="24"/>
          <w:szCs w:val="24"/>
        </w:rPr>
        <w:t xml:space="preserve"> is a two-page handout that contains a list of legal terms and definitions as well as an assessment of various paths and factors to consider </w:t>
      </w:r>
      <w:proofErr w:type="gramStart"/>
      <w:r w:rsidR="002A500E" w:rsidRPr="002A500E">
        <w:rPr>
          <w:rFonts w:eastAsia="Calibri" w:cs="Times New Roman"/>
          <w:sz w:val="24"/>
          <w:szCs w:val="24"/>
        </w:rPr>
        <w:t>to examine</w:t>
      </w:r>
      <w:proofErr w:type="gramEnd"/>
      <w:r w:rsidR="002A500E" w:rsidRPr="002A500E">
        <w:rPr>
          <w:rFonts w:eastAsia="Calibri" w:cs="Times New Roman"/>
          <w:sz w:val="24"/>
          <w:szCs w:val="24"/>
        </w:rPr>
        <w:t xml:space="preserve"> and/or reform state laws. </w:t>
      </w:r>
    </w:p>
    <w:p w14:paraId="08485712" w14:textId="77777777" w:rsidR="002A500E" w:rsidRPr="002A500E" w:rsidRDefault="002A500E" w:rsidP="002A500E">
      <w:pPr>
        <w:spacing w:after="0" w:line="240" w:lineRule="auto"/>
        <w:rPr>
          <w:rFonts w:eastAsia="Calibri" w:cs="Times New Roman"/>
          <w:sz w:val="24"/>
          <w:szCs w:val="24"/>
        </w:rPr>
      </w:pPr>
    </w:p>
    <w:p w14:paraId="5A41129F" w14:textId="77777777" w:rsidR="002A500E" w:rsidRPr="002A500E" w:rsidRDefault="002A500E" w:rsidP="00FA783D">
      <w:pPr>
        <w:pStyle w:val="Heading3"/>
      </w:pPr>
      <w:r w:rsidRPr="002A500E">
        <w:t>Educational Tools on Criminalization</w:t>
      </w:r>
    </w:p>
    <w:p w14:paraId="0D7449BD" w14:textId="77777777" w:rsidR="002A500E" w:rsidRPr="002A500E" w:rsidRDefault="00811370" w:rsidP="002A500E">
      <w:pPr>
        <w:numPr>
          <w:ilvl w:val="0"/>
          <w:numId w:val="2"/>
        </w:numPr>
        <w:spacing w:after="0" w:line="240" w:lineRule="auto"/>
        <w:contextualSpacing/>
        <w:rPr>
          <w:rFonts w:eastAsia="Calibri" w:cs="Times New Roman"/>
          <w:sz w:val="24"/>
          <w:szCs w:val="24"/>
        </w:rPr>
      </w:pPr>
      <w:hyperlink r:id="rId15" w:history="1">
        <w:r w:rsidR="002A500E" w:rsidRPr="002A500E">
          <w:rPr>
            <w:rFonts w:eastAsia="Calibri" w:cs="Times New Roman"/>
            <w:color w:val="0563C1"/>
            <w:sz w:val="24"/>
            <w:szCs w:val="24"/>
            <w:u w:val="single"/>
          </w:rPr>
          <w:t>Public Health and the Criminalization of HIV Transmission, Exposure &amp; Non-Disclosure</w:t>
        </w:r>
      </w:hyperlink>
      <w:r w:rsidR="002A500E" w:rsidRPr="002A500E">
        <w:rPr>
          <w:rFonts w:eastAsia="Calibri" w:cs="Times New Roman"/>
          <w:sz w:val="24"/>
          <w:szCs w:val="24"/>
        </w:rPr>
        <w:t xml:space="preserve"> is a presentation from NASTAD’s Policy and Legislative Affairs Manager that might be useful to guide internal health department discussions such as educating leadership or legislative affairs staff. The presentation, which can be used whole or in part, includes:</w:t>
      </w:r>
    </w:p>
    <w:p w14:paraId="413D8152"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An overview of criminalization</w:t>
      </w:r>
    </w:p>
    <w:p w14:paraId="6F970053"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Five basic guidelines that identify current practices and procedures</w:t>
      </w:r>
    </w:p>
    <w:p w14:paraId="0EF472AE"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A framework for evaluation</w:t>
      </w:r>
    </w:p>
    <w:p w14:paraId="52E040DF"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Remedial measures</w:t>
      </w:r>
    </w:p>
    <w:p w14:paraId="002585AE"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Follow-up monitoring</w:t>
      </w:r>
    </w:p>
    <w:p w14:paraId="3A860F72" w14:textId="77777777" w:rsidR="002A500E" w:rsidRPr="002A500E" w:rsidRDefault="002A500E" w:rsidP="002A500E">
      <w:pPr>
        <w:numPr>
          <w:ilvl w:val="1"/>
          <w:numId w:val="8"/>
        </w:numPr>
        <w:spacing w:after="0" w:line="240" w:lineRule="auto"/>
        <w:contextualSpacing/>
        <w:rPr>
          <w:rFonts w:eastAsia="Calibri" w:cs="Times New Roman"/>
          <w:sz w:val="24"/>
          <w:szCs w:val="24"/>
        </w:rPr>
      </w:pPr>
      <w:r w:rsidRPr="002A500E">
        <w:rPr>
          <w:rFonts w:eastAsia="Calibri" w:cs="Times New Roman"/>
          <w:sz w:val="24"/>
          <w:szCs w:val="24"/>
        </w:rPr>
        <w:t>Talking points</w:t>
      </w:r>
    </w:p>
    <w:p w14:paraId="440B5AD6" w14:textId="77777777" w:rsidR="002A500E" w:rsidRPr="002A500E" w:rsidRDefault="002A500E" w:rsidP="002A500E">
      <w:pPr>
        <w:spacing w:after="0" w:line="240" w:lineRule="auto"/>
        <w:ind w:left="720"/>
        <w:contextualSpacing/>
        <w:rPr>
          <w:rFonts w:eastAsia="Calibri" w:cs="Times New Roman"/>
          <w:sz w:val="24"/>
          <w:szCs w:val="24"/>
        </w:rPr>
      </w:pPr>
    </w:p>
    <w:p w14:paraId="02A8A47B" w14:textId="77777777" w:rsidR="002A500E" w:rsidRPr="002A500E" w:rsidRDefault="00811370" w:rsidP="002A500E">
      <w:pPr>
        <w:numPr>
          <w:ilvl w:val="0"/>
          <w:numId w:val="1"/>
        </w:numPr>
        <w:spacing w:after="0" w:line="240" w:lineRule="auto"/>
        <w:contextualSpacing/>
        <w:rPr>
          <w:rFonts w:eastAsia="Calibri" w:cs="Times New Roman"/>
          <w:sz w:val="24"/>
          <w:szCs w:val="24"/>
        </w:rPr>
      </w:pPr>
      <w:hyperlink r:id="rId16" w:history="1">
        <w:r w:rsidR="002A500E" w:rsidRPr="002A500E">
          <w:rPr>
            <w:rFonts w:eastAsia="Calibri" w:cs="Times New Roman"/>
            <w:color w:val="0563C1"/>
            <w:sz w:val="24"/>
            <w:szCs w:val="24"/>
            <w:u w:val="single"/>
          </w:rPr>
          <w:t xml:space="preserve">HIV Criminalization and the HIV Movement: The Policing of a Disability </w:t>
        </w:r>
      </w:hyperlink>
      <w:r w:rsidR="002A500E" w:rsidRPr="002A500E">
        <w:rPr>
          <w:rFonts w:eastAsia="Calibri" w:cs="Times New Roman"/>
          <w:sz w:val="24"/>
          <w:szCs w:val="24"/>
        </w:rPr>
        <w:t>contains slides that health departments can use to discuss HIV criminalization with others in public health or the public at large.</w:t>
      </w:r>
      <w:r w:rsidR="002A500E" w:rsidRPr="002A500E">
        <w:rPr>
          <w:rFonts w:eastAsia="Calibri" w:cs="Times New Roman"/>
          <w:sz w:val="24"/>
          <w:szCs w:val="24"/>
          <w:vertAlign w:val="superscript"/>
        </w:rPr>
        <w:endnoteReference w:id="12"/>
      </w:r>
      <w:r w:rsidR="002A500E" w:rsidRPr="002A500E">
        <w:rPr>
          <w:rFonts w:eastAsia="Calibri" w:cs="Times New Roman"/>
          <w:sz w:val="24"/>
          <w:szCs w:val="24"/>
        </w:rPr>
        <w:t xml:space="preserve"> Topics addressed include:</w:t>
      </w:r>
    </w:p>
    <w:p w14:paraId="1ABAA2E8"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Basics about criminalization</w:t>
      </w:r>
    </w:p>
    <w:p w14:paraId="050855CF"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Impact on people living with HIV</w:t>
      </w:r>
    </w:p>
    <w:p w14:paraId="2BD0A12B" w14:textId="77777777" w:rsidR="002A500E" w:rsidRPr="002A500E" w:rsidRDefault="002A500E" w:rsidP="002A500E">
      <w:pPr>
        <w:numPr>
          <w:ilvl w:val="1"/>
          <w:numId w:val="9"/>
        </w:numPr>
        <w:spacing w:after="0" w:line="240" w:lineRule="auto"/>
        <w:contextualSpacing/>
        <w:rPr>
          <w:rFonts w:eastAsia="Calibri" w:cs="Times New Roman"/>
          <w:sz w:val="24"/>
          <w:szCs w:val="24"/>
        </w:rPr>
      </w:pPr>
      <w:proofErr w:type="gramStart"/>
      <w:r w:rsidRPr="002A500E">
        <w:rPr>
          <w:rFonts w:eastAsia="Calibri" w:cs="Times New Roman"/>
          <w:sz w:val="24"/>
          <w:szCs w:val="24"/>
        </w:rPr>
        <w:t>Particular impact</w:t>
      </w:r>
      <w:proofErr w:type="gramEnd"/>
      <w:r w:rsidRPr="002A500E">
        <w:rPr>
          <w:rFonts w:eastAsia="Calibri" w:cs="Times New Roman"/>
          <w:sz w:val="24"/>
          <w:szCs w:val="24"/>
        </w:rPr>
        <w:t xml:space="preserve"> in the South United States </w:t>
      </w:r>
    </w:p>
    <w:p w14:paraId="7DC3C695" w14:textId="77777777" w:rsidR="002A500E" w:rsidRPr="002A500E" w:rsidRDefault="002A500E" w:rsidP="002A500E">
      <w:pPr>
        <w:numPr>
          <w:ilvl w:val="1"/>
          <w:numId w:val="9"/>
        </w:numPr>
        <w:spacing w:after="0" w:line="240" w:lineRule="auto"/>
        <w:contextualSpacing/>
        <w:rPr>
          <w:rFonts w:eastAsia="Calibri" w:cs="Times New Roman"/>
          <w:sz w:val="24"/>
          <w:szCs w:val="24"/>
        </w:rPr>
      </w:pPr>
      <w:r w:rsidRPr="002A500E">
        <w:rPr>
          <w:rFonts w:eastAsia="Calibri" w:cs="Times New Roman"/>
          <w:sz w:val="24"/>
          <w:szCs w:val="24"/>
        </w:rPr>
        <w:t>Approaches to change</w:t>
      </w:r>
    </w:p>
    <w:p w14:paraId="5AA64BC5" w14:textId="77777777" w:rsidR="002A500E" w:rsidRPr="002A500E" w:rsidRDefault="002A500E" w:rsidP="002A500E">
      <w:pPr>
        <w:spacing w:after="0" w:line="240" w:lineRule="auto"/>
        <w:rPr>
          <w:rFonts w:eastAsia="Calibri" w:cs="Times New Roman"/>
          <w:sz w:val="24"/>
          <w:szCs w:val="24"/>
        </w:rPr>
      </w:pPr>
    </w:p>
    <w:p w14:paraId="38B5B855" w14:textId="77777777" w:rsidR="002A500E" w:rsidRPr="002A500E" w:rsidRDefault="002A500E" w:rsidP="00FA783D">
      <w:pPr>
        <w:pStyle w:val="Heading3"/>
      </w:pPr>
      <w:r w:rsidRPr="002A500E">
        <w:t xml:space="preserve">Tools for Law Reform </w:t>
      </w:r>
    </w:p>
    <w:p w14:paraId="3518DE79" w14:textId="03AEBDB9" w:rsidR="004B0338" w:rsidRDefault="004B0338" w:rsidP="002A500E">
      <w:pPr>
        <w:numPr>
          <w:ilvl w:val="0"/>
          <w:numId w:val="1"/>
        </w:numPr>
        <w:spacing w:after="0" w:line="240" w:lineRule="auto"/>
        <w:contextualSpacing/>
        <w:rPr>
          <w:rFonts w:eastAsia="Calibri" w:cs="Times New Roman"/>
          <w:sz w:val="24"/>
          <w:szCs w:val="24"/>
        </w:rPr>
      </w:pPr>
      <w:hyperlink r:id="rId17" w:history="1">
        <w:r w:rsidRPr="004B0338">
          <w:rPr>
            <w:rStyle w:val="Hyperlink"/>
            <w:rFonts w:eastAsia="Calibri" w:cs="Times New Roman"/>
            <w:sz w:val="24"/>
            <w:szCs w:val="24"/>
          </w:rPr>
          <w:t>Considerations for Modernized Criminal HIV Laws and Assessment of Legal Protections Against Release of Identified HIV Surveillance Data for Law Enforcement</w:t>
        </w:r>
      </w:hyperlink>
      <w:r>
        <w:rPr>
          <w:rFonts w:eastAsia="Calibri" w:cs="Times New Roman"/>
          <w:sz w:val="24"/>
          <w:szCs w:val="24"/>
        </w:rPr>
        <w:t xml:space="preserve"> published in fall 2019 includes discussion of specific factors </w:t>
      </w:r>
      <w:r w:rsidRPr="004B0338">
        <w:rPr>
          <w:rFonts w:eastAsia="Calibri" w:cs="Times New Roman"/>
          <w:sz w:val="24"/>
          <w:szCs w:val="24"/>
        </w:rPr>
        <w:t>about the criminalization of HIV exposure and HIV surveillance data protections that should be considered in statutory assessments</w:t>
      </w:r>
      <w:r>
        <w:rPr>
          <w:rFonts w:eastAsia="Calibri" w:cs="Times New Roman"/>
          <w:sz w:val="24"/>
          <w:szCs w:val="24"/>
        </w:rPr>
        <w:t>. These include:</w:t>
      </w:r>
    </w:p>
    <w:p w14:paraId="383A3219" w14:textId="77777777" w:rsidR="00860DDB" w:rsidRDefault="004B0338" w:rsidP="007A7BB0">
      <w:pPr>
        <w:numPr>
          <w:ilvl w:val="1"/>
          <w:numId w:val="1"/>
        </w:numPr>
        <w:spacing w:after="0" w:line="240" w:lineRule="auto"/>
        <w:contextualSpacing/>
        <w:rPr>
          <w:rFonts w:eastAsia="Calibri" w:cs="Times New Roman"/>
          <w:sz w:val="24"/>
          <w:szCs w:val="24"/>
        </w:rPr>
      </w:pPr>
      <w:r w:rsidRPr="004B0338">
        <w:rPr>
          <w:rFonts w:eastAsia="Calibri" w:cs="Times New Roman"/>
          <w:sz w:val="24"/>
          <w:szCs w:val="24"/>
        </w:rPr>
        <w:t>A discussion of the idea that HIV criminalization goes well beyond HIV-specific la</w:t>
      </w:r>
      <w:r>
        <w:rPr>
          <w:rFonts w:eastAsia="Calibri" w:cs="Times New Roman"/>
          <w:sz w:val="24"/>
          <w:szCs w:val="24"/>
        </w:rPr>
        <w:t>ws</w:t>
      </w:r>
      <w:r w:rsidR="00B0739D">
        <w:rPr>
          <w:rFonts w:eastAsia="Calibri" w:cs="Times New Roman"/>
          <w:sz w:val="24"/>
          <w:szCs w:val="24"/>
        </w:rPr>
        <w:t xml:space="preserve"> and </w:t>
      </w:r>
      <w:r w:rsidR="00860DDB">
        <w:rPr>
          <w:rFonts w:eastAsia="Calibri" w:cs="Times New Roman"/>
          <w:sz w:val="24"/>
          <w:szCs w:val="24"/>
        </w:rPr>
        <w:t xml:space="preserve">suggests that protection of health department data extend to other reportable diseases such as STDs or hepatitis. </w:t>
      </w:r>
    </w:p>
    <w:p w14:paraId="04C5D6A7" w14:textId="70F3870D" w:rsidR="004B0338" w:rsidRDefault="00860DDB" w:rsidP="007A7BB0">
      <w:pPr>
        <w:numPr>
          <w:ilvl w:val="1"/>
          <w:numId w:val="1"/>
        </w:numPr>
        <w:spacing w:after="0" w:line="240" w:lineRule="auto"/>
        <w:contextualSpacing/>
        <w:rPr>
          <w:rFonts w:eastAsia="Calibri" w:cs="Times New Roman"/>
          <w:sz w:val="24"/>
          <w:szCs w:val="24"/>
        </w:rPr>
      </w:pPr>
      <w:r>
        <w:rPr>
          <w:rFonts w:eastAsia="Calibri" w:cs="Times New Roman"/>
          <w:sz w:val="24"/>
          <w:szCs w:val="24"/>
        </w:rPr>
        <w:t>A proposal</w:t>
      </w:r>
      <w:r w:rsidR="00B0739D">
        <w:rPr>
          <w:rFonts w:eastAsia="Calibri" w:cs="Times New Roman"/>
          <w:sz w:val="24"/>
          <w:szCs w:val="24"/>
        </w:rPr>
        <w:t xml:space="preserve"> that considerations for changing relevant laws include a law that specifically prohibits the use of disease surveillance data for law enforcement purposes.</w:t>
      </w:r>
    </w:p>
    <w:p w14:paraId="1E1C928A" w14:textId="050B8E09" w:rsidR="004B0338" w:rsidRDefault="00C32798" w:rsidP="007A7BB0">
      <w:pPr>
        <w:numPr>
          <w:ilvl w:val="1"/>
          <w:numId w:val="1"/>
        </w:numPr>
        <w:spacing w:after="0" w:line="240" w:lineRule="auto"/>
        <w:contextualSpacing/>
        <w:rPr>
          <w:rFonts w:eastAsia="Calibri" w:cs="Times New Roman"/>
          <w:sz w:val="24"/>
          <w:szCs w:val="24"/>
        </w:rPr>
      </w:pPr>
      <w:r>
        <w:rPr>
          <w:rFonts w:eastAsia="Calibri" w:cs="Times New Roman"/>
          <w:sz w:val="24"/>
          <w:szCs w:val="24"/>
        </w:rPr>
        <w:t>The need to include in any disease-specific law a statement that requires risk assessment to be consistent with reliable and current scientific evidence. They site California law as an example of this language</w:t>
      </w:r>
    </w:p>
    <w:p w14:paraId="27549FC0" w14:textId="77777777" w:rsidR="00C32798" w:rsidRPr="004B0338" w:rsidRDefault="00C32798" w:rsidP="00C04272">
      <w:pPr>
        <w:spacing w:after="0" w:line="240" w:lineRule="auto"/>
        <w:ind w:left="1440"/>
        <w:contextualSpacing/>
        <w:rPr>
          <w:rFonts w:eastAsia="Calibri" w:cs="Times New Roman"/>
          <w:sz w:val="24"/>
          <w:szCs w:val="24"/>
        </w:rPr>
      </w:pPr>
      <w:bookmarkStart w:id="2" w:name="_GoBack"/>
      <w:bookmarkEnd w:id="2"/>
    </w:p>
    <w:p w14:paraId="2E6D60B5" w14:textId="2F323B47" w:rsidR="002A500E" w:rsidRPr="002A500E" w:rsidRDefault="00811370" w:rsidP="002A500E">
      <w:pPr>
        <w:numPr>
          <w:ilvl w:val="0"/>
          <w:numId w:val="1"/>
        </w:numPr>
        <w:spacing w:after="0" w:line="240" w:lineRule="auto"/>
        <w:contextualSpacing/>
        <w:rPr>
          <w:rFonts w:eastAsia="Calibri" w:cs="Times New Roman"/>
          <w:sz w:val="24"/>
          <w:szCs w:val="24"/>
        </w:rPr>
      </w:pPr>
      <w:hyperlink r:id="rId18" w:history="1">
        <w:r w:rsidR="002A500E" w:rsidRPr="002A500E">
          <w:rPr>
            <w:rFonts w:eastAsia="Calibri" w:cs="Times New Roman"/>
            <w:color w:val="0563C1"/>
            <w:sz w:val="24"/>
            <w:szCs w:val="24"/>
            <w:u w:val="single"/>
          </w:rPr>
          <w:t>United States Department of Justice Civil Rights Division Best Practices Guide to Reform HIV-Specific Criminal Laws to Align with Scientifically Supported Factors</w:t>
        </w:r>
      </w:hyperlink>
      <w:r w:rsidR="002A500E" w:rsidRPr="002A500E">
        <w:rPr>
          <w:rFonts w:eastAsia="Calibri" w:cs="Times New Roman"/>
          <w:sz w:val="24"/>
          <w:szCs w:val="24"/>
        </w:rPr>
        <w:t xml:space="preserve"> suggests approaches to reform laws to remove HIV-specific penalties or, if keeping them, how to align them with current science. This document can be particularly useful once a health department has assessed their laws and has determined the need to modernize them.</w:t>
      </w:r>
    </w:p>
    <w:p w14:paraId="3523D2B3" w14:textId="77777777" w:rsidR="002A500E" w:rsidRPr="002A500E" w:rsidRDefault="002A500E" w:rsidP="002A500E">
      <w:pPr>
        <w:spacing w:after="0" w:line="240" w:lineRule="auto"/>
        <w:rPr>
          <w:rFonts w:eastAsia="Calibri" w:cs="Times New Roman"/>
          <w:sz w:val="24"/>
          <w:szCs w:val="24"/>
        </w:rPr>
      </w:pPr>
    </w:p>
    <w:p w14:paraId="3A56F9CA" w14:textId="2712EFAD" w:rsidR="002A500E" w:rsidRPr="002A500E" w:rsidRDefault="002A500E" w:rsidP="002A500E">
      <w:pPr>
        <w:numPr>
          <w:ilvl w:val="0"/>
          <w:numId w:val="1"/>
        </w:numPr>
        <w:spacing w:after="0" w:line="240" w:lineRule="auto"/>
        <w:contextualSpacing/>
        <w:rPr>
          <w:rFonts w:eastAsia="Calibri" w:cs="Times New Roman"/>
          <w:sz w:val="24"/>
          <w:szCs w:val="24"/>
        </w:rPr>
      </w:pPr>
      <w:r w:rsidRPr="002A500E">
        <w:rPr>
          <w:rFonts w:eastAsia="Calibri" w:cs="Times New Roman"/>
          <w:sz w:val="24"/>
          <w:szCs w:val="24"/>
        </w:rPr>
        <w:t xml:space="preserve">Iowa’s experience in modernizing their law, which is also described above in the Background section of this document, may be instructive for other health departments considering modernizing their laws. </w:t>
      </w:r>
      <w:hyperlink r:id="rId19" w:history="1">
        <w:r w:rsidRPr="002A500E">
          <w:rPr>
            <w:rFonts w:eastAsia="Calibri" w:cs="Times New Roman"/>
            <w:color w:val="0563C1"/>
            <w:sz w:val="24"/>
            <w:szCs w:val="24"/>
            <w:u w:val="single"/>
          </w:rPr>
          <w:t>Tackling Criminal Transmission of HIV: The Role of Public Health</w:t>
        </w:r>
      </w:hyperlink>
      <w:r w:rsidR="005E6EA2">
        <w:rPr>
          <w:rFonts w:eastAsia="Calibri" w:cs="Times New Roman"/>
          <w:sz w:val="24"/>
          <w:szCs w:val="24"/>
          <w:vertAlign w:val="superscript"/>
        </w:rPr>
        <w:t>8</w:t>
      </w:r>
      <w:r w:rsidRPr="002A500E">
        <w:rPr>
          <w:rFonts w:eastAsia="Calibri" w:cs="Times New Roman"/>
          <w:sz w:val="24"/>
          <w:szCs w:val="24"/>
        </w:rPr>
        <w:t xml:space="preserve"> presents the Iowa experience in detail and includes slides that describes:</w:t>
      </w:r>
    </w:p>
    <w:p w14:paraId="35B98F47"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The role of public health</w:t>
      </w:r>
    </w:p>
    <w:p w14:paraId="2ABA68EA"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Steps public health can take to modernize laws</w:t>
      </w:r>
    </w:p>
    <w:p w14:paraId="4C57B5D8"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Principles for modernizing the law from a public health perspective</w:t>
      </w:r>
    </w:p>
    <w:p w14:paraId="5BE7FB54" w14:textId="77777777" w:rsidR="002A500E" w:rsidRPr="002A500E" w:rsidRDefault="002A500E" w:rsidP="002A500E">
      <w:pPr>
        <w:numPr>
          <w:ilvl w:val="1"/>
          <w:numId w:val="10"/>
        </w:numPr>
        <w:spacing w:after="0" w:line="240" w:lineRule="auto"/>
        <w:contextualSpacing/>
        <w:rPr>
          <w:rFonts w:eastAsia="Calibri" w:cs="Times New Roman"/>
          <w:sz w:val="24"/>
          <w:szCs w:val="24"/>
        </w:rPr>
      </w:pPr>
      <w:r w:rsidRPr="002A500E">
        <w:rPr>
          <w:rFonts w:eastAsia="Calibri" w:cs="Times New Roman"/>
          <w:sz w:val="24"/>
          <w:szCs w:val="24"/>
        </w:rPr>
        <w:t xml:space="preserve">Lessons the state learned from changing the law in Iowa including the belief that health departments play a critical role working with advocates </w:t>
      </w:r>
    </w:p>
    <w:p w14:paraId="6DA1B9E0" w14:textId="77777777" w:rsidR="002A500E" w:rsidRPr="002A500E" w:rsidRDefault="002A500E" w:rsidP="002A500E">
      <w:pPr>
        <w:ind w:left="1440"/>
        <w:contextualSpacing/>
        <w:rPr>
          <w:rFonts w:eastAsia="Calibri" w:cs="Times New Roman"/>
          <w:sz w:val="24"/>
          <w:szCs w:val="24"/>
        </w:rPr>
      </w:pPr>
    </w:p>
    <w:p w14:paraId="7064C9F2" w14:textId="4BA8DBA9" w:rsidR="002A500E" w:rsidRPr="002A500E" w:rsidRDefault="002A500E" w:rsidP="002A500E">
      <w:pPr>
        <w:numPr>
          <w:ilvl w:val="0"/>
          <w:numId w:val="10"/>
        </w:numPr>
        <w:spacing w:after="0" w:line="240" w:lineRule="auto"/>
        <w:contextualSpacing/>
        <w:rPr>
          <w:rFonts w:eastAsia="Calibri" w:cs="Times New Roman"/>
          <w:sz w:val="24"/>
          <w:szCs w:val="24"/>
        </w:rPr>
      </w:pPr>
      <w:r w:rsidRPr="002A500E">
        <w:rPr>
          <w:rFonts w:eastAsia="Calibri"/>
          <w:color w:val="000000"/>
          <w:sz w:val="24"/>
          <w:szCs w:val="24"/>
        </w:rPr>
        <w:t xml:space="preserve">NASTAD’s </w:t>
      </w:r>
      <w:hyperlink r:id="rId20" w:history="1">
        <w:r w:rsidRPr="002A500E">
          <w:rPr>
            <w:rFonts w:eastAsia="Calibri"/>
            <w:color w:val="0563C1"/>
            <w:sz w:val="24"/>
            <w:szCs w:val="24"/>
            <w:u w:val="single"/>
          </w:rPr>
          <w:t>Path to Policy: A Blueprint for Community Engagement and Advocacy</w:t>
        </w:r>
      </w:hyperlink>
      <w:r w:rsidR="00061AB5">
        <w:rPr>
          <w:rFonts w:eastAsia="Calibri"/>
          <w:sz w:val="24"/>
          <w:szCs w:val="24"/>
        </w:rPr>
        <w:t xml:space="preserve"> </w:t>
      </w:r>
      <w:r w:rsidRPr="002A500E">
        <w:rPr>
          <w:rFonts w:eastAsia="Calibri"/>
          <w:sz w:val="24"/>
          <w:szCs w:val="24"/>
        </w:rPr>
        <w:t xml:space="preserve">is relevant to the topic of reforming state law because it discusses the appropriate role of health departments as advocates. This document defines advocacy as: </w:t>
      </w:r>
    </w:p>
    <w:p w14:paraId="65A4479E" w14:textId="77777777" w:rsidR="002A500E" w:rsidRPr="002A500E" w:rsidRDefault="002A500E" w:rsidP="002A500E">
      <w:pPr>
        <w:widowControl w:val="0"/>
        <w:autoSpaceDE w:val="0"/>
        <w:autoSpaceDN w:val="0"/>
        <w:adjustRightInd w:val="0"/>
        <w:spacing w:after="0" w:line="240" w:lineRule="auto"/>
        <w:ind w:left="720" w:right="720"/>
        <w:rPr>
          <w:rFonts w:ascii="Calibri Light" w:eastAsia="Calibri" w:hAnsi="Calibri Light" w:cs="Calibri Light"/>
          <w:i/>
          <w:color w:val="27251F"/>
          <w:sz w:val="24"/>
          <w:szCs w:val="24"/>
        </w:rPr>
      </w:pPr>
      <w:r w:rsidRPr="002A500E">
        <w:rPr>
          <w:rFonts w:ascii="Calibri Light" w:eastAsia="Calibri" w:hAnsi="Calibri Light" w:cs="Calibri Light"/>
          <w:i/>
          <w:color w:val="27251F"/>
          <w:sz w:val="24"/>
          <w:szCs w:val="24"/>
        </w:rPr>
        <w:lastRenderedPageBreak/>
        <w:t xml:space="preserve">“educating and creating awareness among key stakeholders (e.g., internal heath department administration, legislators, the </w:t>
      </w:r>
      <w:proofErr w:type="gramStart"/>
      <w:r w:rsidRPr="002A500E">
        <w:rPr>
          <w:rFonts w:ascii="Calibri Light" w:eastAsia="Calibri" w:hAnsi="Calibri Light" w:cs="Calibri Light"/>
          <w:i/>
          <w:color w:val="27251F"/>
          <w:sz w:val="24"/>
          <w:szCs w:val="24"/>
        </w:rPr>
        <w:t>general public</w:t>
      </w:r>
      <w:proofErr w:type="gramEnd"/>
      <w:r w:rsidRPr="002A500E">
        <w:rPr>
          <w:rFonts w:ascii="Calibri Light" w:eastAsia="Calibri" w:hAnsi="Calibri Light" w:cs="Calibri Light"/>
          <w:i/>
          <w:color w:val="27251F"/>
          <w:sz w:val="24"/>
          <w:szCs w:val="24"/>
        </w:rPr>
        <w:t>, etc.) on issues facing the community and the importance of aligning public policy to address the needs within the community. Advocacy does not endorse or oppose specific legislation, but rather informs the community at large how public policy decisions impact service provision.”</w:t>
      </w:r>
    </w:p>
    <w:p w14:paraId="6A5C583B" w14:textId="77777777" w:rsidR="002A500E" w:rsidRPr="002A500E" w:rsidRDefault="002A500E" w:rsidP="002A500E">
      <w:pPr>
        <w:spacing w:after="0" w:line="240" w:lineRule="auto"/>
        <w:rPr>
          <w:rFonts w:eastAsia="Calibri" w:cs="Times New Roman"/>
          <w:sz w:val="24"/>
          <w:szCs w:val="24"/>
        </w:rPr>
      </w:pPr>
    </w:p>
    <w:p w14:paraId="73B1B57C" w14:textId="77777777" w:rsidR="002A500E" w:rsidRPr="002A500E" w:rsidRDefault="002A500E" w:rsidP="002A500E">
      <w:pPr>
        <w:widowControl w:val="0"/>
        <w:autoSpaceDE w:val="0"/>
        <w:autoSpaceDN w:val="0"/>
        <w:adjustRightInd w:val="0"/>
        <w:spacing w:after="0" w:line="240" w:lineRule="auto"/>
        <w:ind w:left="720"/>
        <w:contextualSpacing/>
        <w:rPr>
          <w:rFonts w:ascii="Calibri Light" w:eastAsia="Calibri" w:hAnsi="Calibri Light" w:cs="Times New Roman"/>
          <w:i/>
          <w:color w:val="27251F"/>
          <w:sz w:val="24"/>
          <w:szCs w:val="24"/>
        </w:rPr>
      </w:pPr>
      <w:r w:rsidRPr="002A500E">
        <w:rPr>
          <w:rFonts w:eastAsia="Calibri" w:cs="Calibri Light"/>
          <w:iCs/>
          <w:color w:val="27251F"/>
          <w:sz w:val="24"/>
          <w:szCs w:val="24"/>
        </w:rPr>
        <w:t xml:space="preserve">The document then describes possible advocacy, policy, and community engagement activities that health departments may be able to undertake depending on its </w:t>
      </w:r>
      <w:proofErr w:type="gramStart"/>
      <w:r w:rsidRPr="002A500E">
        <w:rPr>
          <w:rFonts w:eastAsia="Calibri" w:cs="Calibri Light"/>
          <w:iCs/>
          <w:color w:val="27251F"/>
          <w:sz w:val="24"/>
          <w:szCs w:val="24"/>
        </w:rPr>
        <w:t>particular context</w:t>
      </w:r>
      <w:proofErr w:type="gramEnd"/>
      <w:r w:rsidRPr="002A500E">
        <w:rPr>
          <w:rFonts w:eastAsia="Calibri" w:cs="Calibri Light"/>
          <w:iCs/>
          <w:color w:val="27251F"/>
          <w:sz w:val="24"/>
          <w:szCs w:val="24"/>
        </w:rPr>
        <w:t>.</w:t>
      </w:r>
      <w:r w:rsidRPr="002A500E">
        <w:rPr>
          <w:rFonts w:ascii="Calibri Light" w:eastAsia="Calibri" w:hAnsi="Calibri Light" w:cs="Calibri Light"/>
          <w:iCs/>
          <w:color w:val="27251F"/>
          <w:sz w:val="24"/>
          <w:szCs w:val="24"/>
        </w:rPr>
        <w:t xml:space="preserve"> </w:t>
      </w:r>
    </w:p>
    <w:p w14:paraId="038C3F07" w14:textId="77777777" w:rsidR="002A500E" w:rsidRPr="002A500E" w:rsidRDefault="002A500E" w:rsidP="002A500E">
      <w:pPr>
        <w:spacing w:after="0" w:line="240" w:lineRule="auto"/>
        <w:rPr>
          <w:rFonts w:eastAsia="Calibri" w:cs="Times New Roman"/>
          <w:sz w:val="24"/>
          <w:szCs w:val="24"/>
        </w:rPr>
      </w:pPr>
    </w:p>
    <w:p w14:paraId="365A8F17" w14:textId="77777777" w:rsidR="002A500E" w:rsidRPr="002A500E" w:rsidRDefault="00811370" w:rsidP="002A500E">
      <w:pPr>
        <w:numPr>
          <w:ilvl w:val="0"/>
          <w:numId w:val="1"/>
        </w:numPr>
        <w:spacing w:after="0" w:line="240" w:lineRule="auto"/>
        <w:contextualSpacing/>
        <w:rPr>
          <w:rFonts w:eastAsia="Calibri" w:cs="Times New Roman"/>
          <w:sz w:val="24"/>
          <w:szCs w:val="24"/>
        </w:rPr>
      </w:pPr>
      <w:hyperlink r:id="rId21" w:history="1">
        <w:r w:rsidR="002A500E" w:rsidRPr="002A500E">
          <w:rPr>
            <w:rFonts w:eastAsia="Calibri" w:cs="Times New Roman"/>
            <w:color w:val="0563C1"/>
            <w:sz w:val="24"/>
            <w:szCs w:val="24"/>
            <w:u w:val="single"/>
          </w:rPr>
          <w:t xml:space="preserve">State Strategic Plan </w:t>
        </w:r>
      </w:hyperlink>
      <w:r w:rsidR="002A500E" w:rsidRPr="002A500E">
        <w:rPr>
          <w:rFonts w:eastAsia="Calibri" w:cs="Times New Roman"/>
          <w:sz w:val="24"/>
          <w:szCs w:val="24"/>
        </w:rPr>
        <w:t>was adapted from the Coalition Plan to Repeal HIV Criminalization in Iowa and developed by Advocacy Strategies 2012. It includes specific goals and strategies to changing law that apply mostly to community advocates. It is included in this toolkit because it is a document that health departments could share with their community partners. The goals of the document are:</w:t>
      </w:r>
    </w:p>
    <w:p w14:paraId="4B302AE3" w14:textId="77777777" w:rsidR="002A500E" w:rsidRPr="002A500E" w:rsidRDefault="002A500E" w:rsidP="002A500E">
      <w:pPr>
        <w:ind w:left="720"/>
        <w:contextualSpacing/>
        <w:rPr>
          <w:rFonts w:eastAsia="Calibri" w:cs="Times New Roman"/>
          <w:sz w:val="24"/>
          <w:szCs w:val="24"/>
        </w:rPr>
      </w:pPr>
    </w:p>
    <w:p w14:paraId="11EA35E3"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Creating effective education and communications tools</w:t>
      </w:r>
    </w:p>
    <w:p w14:paraId="6121FCC3"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Building an engaged and empowered grassroots network</w:t>
      </w:r>
    </w:p>
    <w:p w14:paraId="6FEAA0A0"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Building momentum in the legislature through grassroots advocacy and lobbying</w:t>
      </w:r>
    </w:p>
    <w:p w14:paraId="17210786" w14:textId="77777777" w:rsidR="002A500E" w:rsidRPr="002A500E" w:rsidRDefault="002A500E" w:rsidP="002A500E">
      <w:pPr>
        <w:numPr>
          <w:ilvl w:val="1"/>
          <w:numId w:val="11"/>
        </w:numPr>
        <w:spacing w:after="0" w:line="240" w:lineRule="auto"/>
        <w:contextualSpacing/>
        <w:rPr>
          <w:rFonts w:eastAsia="Calibri" w:cs="Times New Roman"/>
          <w:sz w:val="24"/>
          <w:szCs w:val="24"/>
        </w:rPr>
      </w:pPr>
      <w:r w:rsidRPr="002A500E">
        <w:rPr>
          <w:rFonts w:eastAsia="Calibri" w:cs="Times New Roman"/>
          <w:sz w:val="24"/>
          <w:szCs w:val="24"/>
        </w:rPr>
        <w:t xml:space="preserve">Building visibility through community and media opportunities </w:t>
      </w:r>
    </w:p>
    <w:p w14:paraId="692A5AA5" w14:textId="77777777" w:rsidR="002A500E" w:rsidRPr="002A500E" w:rsidRDefault="002A500E" w:rsidP="002A500E">
      <w:pPr>
        <w:ind w:left="1440"/>
        <w:contextualSpacing/>
        <w:rPr>
          <w:rFonts w:eastAsia="Calibri" w:cs="Times New Roman"/>
          <w:sz w:val="24"/>
          <w:szCs w:val="24"/>
        </w:rPr>
      </w:pPr>
    </w:p>
    <w:p w14:paraId="18E46A46" w14:textId="77777777" w:rsidR="002A500E" w:rsidRPr="002A500E" w:rsidRDefault="002A500E" w:rsidP="00FA783D">
      <w:pPr>
        <w:pStyle w:val="Heading3"/>
      </w:pPr>
      <w:r w:rsidRPr="002A500E">
        <w:t>Summary</w:t>
      </w:r>
    </w:p>
    <w:p w14:paraId="0DCDBC5A" w14:textId="77777777" w:rsidR="002A500E" w:rsidRPr="002A500E" w:rsidRDefault="002A500E" w:rsidP="002A500E">
      <w:pPr>
        <w:spacing w:after="0" w:line="240" w:lineRule="auto"/>
        <w:rPr>
          <w:rFonts w:eastAsia="Calibri" w:cs="Times New Roman"/>
          <w:sz w:val="24"/>
          <w:szCs w:val="24"/>
        </w:rPr>
      </w:pPr>
      <w:r w:rsidRPr="002A500E">
        <w:rPr>
          <w:rFonts w:eastAsia="Calibri" w:cs="Times New Roman"/>
          <w:sz w:val="24"/>
          <w:szCs w:val="24"/>
        </w:rPr>
        <w:t>There has been substantial work done both nationally and globally on the topic of HIV criminalization. If a health department is looking for more guidance and support to evaluate and consider changing their law, they can contact health department peers and/or one of the national organizations listed alphabetically below.</w:t>
      </w:r>
    </w:p>
    <w:p w14:paraId="28BF6FA9" w14:textId="77777777" w:rsidR="002A500E" w:rsidRPr="002A500E" w:rsidRDefault="002A500E" w:rsidP="002A500E">
      <w:pPr>
        <w:spacing w:after="0" w:line="240" w:lineRule="auto"/>
        <w:rPr>
          <w:rFonts w:eastAsia="Calibri" w:cs="Times New Roman"/>
          <w:sz w:val="24"/>
          <w:szCs w:val="24"/>
        </w:rPr>
      </w:pPr>
    </w:p>
    <w:p w14:paraId="532B6B41"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2" w:history="1">
        <w:r w:rsidR="002A500E" w:rsidRPr="002A500E">
          <w:rPr>
            <w:rFonts w:eastAsia="Calibri" w:cs="Times New Roman"/>
            <w:color w:val="0563C1"/>
            <w:sz w:val="24"/>
            <w:szCs w:val="24"/>
            <w:u w:val="single"/>
          </w:rPr>
          <w:t>CDC</w:t>
        </w:r>
      </w:hyperlink>
    </w:p>
    <w:p w14:paraId="43BE73AE"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3" w:history="1">
        <w:r w:rsidR="002A500E" w:rsidRPr="002A500E">
          <w:rPr>
            <w:rFonts w:eastAsia="Calibri" w:cs="Times New Roman"/>
            <w:color w:val="0563C1"/>
            <w:sz w:val="24"/>
            <w:szCs w:val="24"/>
            <w:u w:val="single"/>
          </w:rPr>
          <w:t>The Center for HIV Law and Policy</w:t>
        </w:r>
      </w:hyperlink>
    </w:p>
    <w:p w14:paraId="7C68B698"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4" w:history="1">
        <w:r w:rsidR="002A500E" w:rsidRPr="002A500E">
          <w:rPr>
            <w:rFonts w:eastAsia="Calibri" w:cs="Times New Roman"/>
            <w:color w:val="0563C1"/>
            <w:sz w:val="24"/>
            <w:szCs w:val="24"/>
            <w:u w:val="single"/>
          </w:rPr>
          <w:t>Lambda Legal HIV</w:t>
        </w:r>
      </w:hyperlink>
    </w:p>
    <w:p w14:paraId="5831E3FF"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5" w:history="1">
        <w:r w:rsidR="002A500E" w:rsidRPr="002A500E">
          <w:rPr>
            <w:rFonts w:eastAsia="Calibri" w:cs="Times New Roman"/>
            <w:color w:val="0563C1"/>
            <w:sz w:val="24"/>
            <w:szCs w:val="24"/>
            <w:u w:val="single"/>
          </w:rPr>
          <w:t>NASTAD</w:t>
        </w:r>
      </w:hyperlink>
    </w:p>
    <w:p w14:paraId="0D04945E"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6" w:history="1">
        <w:r w:rsidR="002A500E" w:rsidRPr="002A500E">
          <w:rPr>
            <w:rFonts w:eastAsia="Calibri" w:cs="Times New Roman"/>
            <w:color w:val="0563C1"/>
            <w:sz w:val="24"/>
            <w:szCs w:val="24"/>
            <w:u w:val="single"/>
          </w:rPr>
          <w:t>Positive Justice Project (PJP)</w:t>
        </w:r>
      </w:hyperlink>
    </w:p>
    <w:p w14:paraId="03BC8EC1" w14:textId="77777777" w:rsidR="002A500E" w:rsidRPr="002A500E" w:rsidRDefault="00811370" w:rsidP="002A500E">
      <w:pPr>
        <w:numPr>
          <w:ilvl w:val="0"/>
          <w:numId w:val="5"/>
        </w:numPr>
        <w:spacing w:after="0" w:line="240" w:lineRule="auto"/>
        <w:contextualSpacing/>
        <w:rPr>
          <w:rFonts w:eastAsia="Calibri" w:cs="Times New Roman"/>
          <w:sz w:val="24"/>
          <w:szCs w:val="24"/>
        </w:rPr>
      </w:pPr>
      <w:hyperlink r:id="rId27" w:history="1">
        <w:r w:rsidR="002A500E" w:rsidRPr="002A500E">
          <w:rPr>
            <w:rFonts w:eastAsia="Calibri" w:cs="Times New Roman"/>
            <w:color w:val="0563C1"/>
            <w:sz w:val="24"/>
            <w:szCs w:val="24"/>
            <w:u w:val="single"/>
          </w:rPr>
          <w:t>Sero Project</w:t>
        </w:r>
      </w:hyperlink>
    </w:p>
    <w:p w14:paraId="73BD22DB" w14:textId="77777777" w:rsidR="002A500E" w:rsidRPr="002A500E" w:rsidRDefault="002A500E" w:rsidP="002A500E">
      <w:pPr>
        <w:spacing w:after="0" w:line="240" w:lineRule="auto"/>
        <w:rPr>
          <w:rFonts w:eastAsia="Calibri" w:cs="Times New Roman"/>
          <w:sz w:val="24"/>
          <w:szCs w:val="24"/>
        </w:rPr>
      </w:pPr>
    </w:p>
    <w:p w14:paraId="23D9B2C5" w14:textId="77777777" w:rsidR="002A500E" w:rsidRPr="002A500E" w:rsidRDefault="002A500E" w:rsidP="002A500E">
      <w:pPr>
        <w:spacing w:after="0" w:line="240" w:lineRule="auto"/>
        <w:rPr>
          <w:rFonts w:eastAsia="Calibri" w:cs="Times New Roman"/>
          <w:sz w:val="24"/>
          <w:szCs w:val="24"/>
        </w:rPr>
      </w:pPr>
    </w:p>
    <w:p w14:paraId="71ABECDB" w14:textId="4BCC313A" w:rsidR="002A500E" w:rsidRPr="002A500E" w:rsidRDefault="002A500E" w:rsidP="002A500E">
      <w:pPr>
        <w:spacing w:after="0" w:line="240" w:lineRule="auto"/>
        <w:rPr>
          <w:rFonts w:eastAsia="Calibri" w:cs="Times New Roman"/>
          <w:sz w:val="24"/>
          <w:szCs w:val="24"/>
        </w:rPr>
      </w:pPr>
    </w:p>
    <w:sectPr w:rsidR="002A500E" w:rsidRPr="002A500E">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C455B" w14:textId="77777777" w:rsidR="00811370" w:rsidRDefault="00811370" w:rsidP="002A500E">
      <w:pPr>
        <w:spacing w:after="0" w:line="240" w:lineRule="auto"/>
      </w:pPr>
      <w:r>
        <w:separator/>
      </w:r>
    </w:p>
  </w:endnote>
  <w:endnote w:type="continuationSeparator" w:id="0">
    <w:p w14:paraId="76F65BE3" w14:textId="77777777" w:rsidR="00811370" w:rsidRDefault="00811370" w:rsidP="002A500E">
      <w:pPr>
        <w:spacing w:after="0" w:line="240" w:lineRule="auto"/>
      </w:pPr>
      <w:r>
        <w:continuationSeparator/>
      </w:r>
    </w:p>
  </w:endnote>
  <w:endnote w:id="1">
    <w:p w14:paraId="6BAA7DB9"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Burris S, Cameron E. The case against criminalization of HIV transmission. J Am Med Assoc 2008; 300:578–581.</w:t>
      </w:r>
    </w:p>
  </w:endnote>
  <w:endnote w:id="2">
    <w:p w14:paraId="57F03C4D" w14:textId="7AA11C6D" w:rsidR="00B15D60" w:rsidRDefault="00B15D60" w:rsidP="00090B80">
      <w:pPr>
        <w:spacing w:after="0"/>
      </w:pPr>
      <w:r>
        <w:rPr>
          <w:rStyle w:val="EndnoteReference"/>
        </w:rPr>
        <w:endnoteRef/>
      </w:r>
      <w:r>
        <w:t xml:space="preserve"> </w:t>
      </w:r>
      <w:r w:rsidRPr="00C24AA3">
        <w:rPr>
          <w:rFonts w:cstheme="minorHAnsi"/>
        </w:rPr>
        <w:t xml:space="preserve">Centers for Disease Control and Prevention. Additional Implementation Guidance for PS18-1802 Strategy </w:t>
      </w:r>
      <w:proofErr w:type="gramStart"/>
      <w:r w:rsidRPr="00C24AA3">
        <w:rPr>
          <w:rFonts w:cstheme="minorHAnsi"/>
        </w:rPr>
        <w:t>3:Cluster</w:t>
      </w:r>
      <w:proofErr w:type="gramEnd"/>
      <w:r w:rsidRPr="00C24AA3">
        <w:rPr>
          <w:rFonts w:cstheme="minorHAnsi"/>
        </w:rPr>
        <w:t xml:space="preserve"> Detection and Response. Atlanta, GA; November 2018. Available from: </w:t>
      </w:r>
      <w:hyperlink r:id="rId1" w:history="1">
        <w:r w:rsidRPr="00C24AA3">
          <w:rPr>
            <w:rStyle w:val="Hyperlink"/>
            <w:rFonts w:cstheme="minorHAnsi"/>
          </w:rPr>
          <w:t>https://www.cdc.gov/hiv/pdf/funding/announcements/ps18-1802/cdc-hiv-additional-cluster-implementation-guidance.pdf</w:t>
        </w:r>
      </w:hyperlink>
    </w:p>
  </w:endnote>
  <w:endnote w:id="3">
    <w:p w14:paraId="06A61F44" w14:textId="77777777" w:rsidR="002A500E" w:rsidRPr="002A500E" w:rsidRDefault="002A500E" w:rsidP="00090B80">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Lehman JS, Carr MH, Nichol AJ, et al. Prevalence and public health implications of state laws that criminalize potential HIV exposure in the United States. AIDS Behav 2014; 18:997–1006.</w:t>
      </w:r>
    </w:p>
  </w:endnote>
  <w:endnote w:id="4">
    <w:p w14:paraId="2E0A2D53" w14:textId="77777777" w:rsidR="002A500E" w:rsidRPr="002A500E" w:rsidRDefault="002A500E" w:rsidP="00090B80">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Harsono D, Galletly CL, O’Keefe E, Lazzarini Z. Criminalization of HIV Exposure: A Review of Empirical Studies in the United States; AIDS Behav (2017) 21:27–50.</w:t>
      </w:r>
    </w:p>
  </w:endnote>
  <w:endnote w:id="5">
    <w:p w14:paraId="577996C7"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Sweeney PA, Gray SC, Purcell DW, et al. Association of HIV diagnosis rates and laws criminalizing HIV exposure in the United States; AIDS 2017, 31:1483–1488.</w:t>
      </w:r>
    </w:p>
  </w:endnote>
  <w:endnote w:id="6">
    <w:p w14:paraId="6E9A3106"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Public Law 101-381: Ryan White Comprehensive AIDS Resources Emergency Act of 1990. </w:t>
      </w:r>
      <w:hyperlink r:id="rId2" w:history="1">
        <w:r w:rsidRPr="002A500E">
          <w:rPr>
            <w:rStyle w:val="Hyperlink1"/>
            <w:rFonts w:cs="Calibri"/>
            <w:sz w:val="22"/>
            <w:szCs w:val="22"/>
          </w:rPr>
          <w:t>http://history.nih.gov/research/downloads/PL101-381.pdf</w:t>
        </w:r>
      </w:hyperlink>
      <w:r w:rsidRPr="002A500E">
        <w:rPr>
          <w:rFonts w:cs="Calibri"/>
          <w:sz w:val="22"/>
          <w:szCs w:val="22"/>
        </w:rPr>
        <w:t>.</w:t>
      </w:r>
    </w:p>
  </w:endnote>
  <w:endnote w:id="7">
    <w:p w14:paraId="3D0CC432" w14:textId="544FAB95" w:rsidR="00090B80" w:rsidRPr="00090B80" w:rsidRDefault="00090B80">
      <w:pPr>
        <w:pStyle w:val="EndnoteText"/>
        <w:rPr>
          <w:sz w:val="22"/>
          <w:szCs w:val="22"/>
        </w:rPr>
      </w:pPr>
      <w:r>
        <w:rPr>
          <w:rStyle w:val="EndnoteReference"/>
        </w:rPr>
        <w:endnoteRef/>
      </w:r>
      <w:r w:rsidRPr="00090B80">
        <w:rPr>
          <w:sz w:val="22"/>
          <w:szCs w:val="22"/>
        </w:rPr>
        <w:t xml:space="preserve"> HINAC Conference. Available at: http://www.seroproject.com/hiv-is-not-a-crime/</w:t>
      </w:r>
    </w:p>
  </w:endnote>
  <w:endnote w:id="8">
    <w:p w14:paraId="2C57A021"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Alexander McClelland, Adrian Guta &amp; Marilou Gagnon (2019): The rise of molecular HIV surveillance: implications on consent and criminalization, Critical Public Health. Published online February 20, 2019; </w:t>
      </w:r>
      <w:hyperlink r:id="rId3" w:history="1">
        <w:r w:rsidRPr="002A500E">
          <w:rPr>
            <w:rStyle w:val="Hyperlink1"/>
            <w:rFonts w:cs="Calibri"/>
            <w:sz w:val="22"/>
            <w:szCs w:val="22"/>
          </w:rPr>
          <w:t>https://www.tandfonline.com/doi/full/10.1080/09581596.2019.1582755</w:t>
        </w:r>
      </w:hyperlink>
    </w:p>
  </w:endnote>
  <w:endnote w:id="9">
    <w:p w14:paraId="38A6C9A9"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Doing National HIV Testing Day Our Way. The Center for HIV Law and Policy; </w:t>
      </w:r>
      <w:hyperlink r:id="rId4" w:history="1">
        <w:r w:rsidRPr="002A500E">
          <w:rPr>
            <w:rStyle w:val="Hyperlink1"/>
            <w:rFonts w:cs="Calibri"/>
            <w:sz w:val="22"/>
            <w:szCs w:val="22"/>
          </w:rPr>
          <w:t>https://www.hivlawandpolicy.org/fine-print-blog/doing-national-hiv-testing-day-our-way</w:t>
        </w:r>
      </w:hyperlink>
      <w:r w:rsidRPr="002A500E">
        <w:rPr>
          <w:rFonts w:cs="Calibri"/>
          <w:sz w:val="22"/>
          <w:szCs w:val="22"/>
        </w:rPr>
        <w:t>. Accessed July 3, 2019.</w:t>
      </w:r>
    </w:p>
  </w:endnote>
  <w:endnote w:id="10">
    <w:p w14:paraId="719330A8"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Mayer R. Tackling Criminal Transmission of HIV: The Role of Public Health. 2015. Available at: </w:t>
      </w:r>
      <w:hyperlink r:id="rId5" w:history="1">
        <w:r w:rsidRPr="002A500E">
          <w:rPr>
            <w:rStyle w:val="Hyperlink1"/>
            <w:rFonts w:cs="Calibri"/>
            <w:sz w:val="22"/>
            <w:szCs w:val="22"/>
          </w:rPr>
          <w:t>http://www.seroproject.com/wp-content/uploads/2017/04/Iowa-Background-and-Approach.pdf</w:t>
        </w:r>
      </w:hyperlink>
    </w:p>
  </w:endnote>
  <w:endnote w:id="11">
    <w:p w14:paraId="36BE9C2F" w14:textId="77777777" w:rsidR="002A500E" w:rsidRPr="002A500E" w:rsidRDefault="002A500E" w:rsidP="002A500E">
      <w:pPr>
        <w:pStyle w:val="EndnoteText"/>
        <w:rPr>
          <w:rFonts w:cs="Calibri"/>
          <w:sz w:val="22"/>
          <w:szCs w:val="22"/>
        </w:rPr>
      </w:pPr>
      <w:r w:rsidRPr="002A500E">
        <w:rPr>
          <w:rStyle w:val="EndnoteReference"/>
          <w:rFonts w:cs="Calibri"/>
          <w:sz w:val="22"/>
          <w:szCs w:val="22"/>
        </w:rPr>
        <w:endnoteRef/>
      </w:r>
      <w:r w:rsidRPr="002A500E">
        <w:rPr>
          <w:rFonts w:cs="Calibri"/>
          <w:sz w:val="22"/>
          <w:szCs w:val="22"/>
        </w:rPr>
        <w:t xml:space="preserve"> HIV Criminalization in the United States; the Center for HIV Law and Policy. March 1, 2019. </w:t>
      </w:r>
      <w:hyperlink r:id="rId6" w:history="1">
        <w:r w:rsidRPr="002A500E">
          <w:rPr>
            <w:rStyle w:val="Hyperlink1"/>
            <w:rFonts w:cs="Calibri"/>
            <w:sz w:val="22"/>
            <w:szCs w:val="22"/>
          </w:rPr>
          <w:t>http://www.hivlawandpolicy.org/sites/default/files/CHLP%20HIV%20Crim%20Map%20030119.pdf</w:t>
        </w:r>
      </w:hyperlink>
    </w:p>
  </w:endnote>
  <w:endnote w:id="12">
    <w:p w14:paraId="497A9A5B" w14:textId="77777777" w:rsidR="002A500E" w:rsidRPr="002A500E" w:rsidRDefault="002A500E" w:rsidP="002A500E">
      <w:r w:rsidRPr="002A500E">
        <w:rPr>
          <w:rStyle w:val="EndnoteReference"/>
        </w:rPr>
        <w:endnoteRef/>
      </w:r>
      <w:r w:rsidRPr="002A500E">
        <w:t xml:space="preserve"> Ray, V. HIV Criminalization and the HIV Movement: The Policing of a Disability. Presented at: Southern REACH Grantee Meeting; March 15, 2017. Available at: http://www.seroproject.com/wp-content/uploads/2017/04/Southern-REACH-2017-HIV-Crim.pdf</w:t>
      </w:r>
    </w:p>
    <w:p w14:paraId="7F806262" w14:textId="6BBA1CEC" w:rsidR="002A500E" w:rsidRPr="00837EB5" w:rsidRDefault="00837EB5" w:rsidP="002A500E">
      <w:pPr>
        <w:pStyle w:val="EndnoteText"/>
        <w:rPr>
          <w:rFonts w:cs="Calibri"/>
          <w:sz w:val="22"/>
          <w:szCs w:val="22"/>
          <w:u w:val="single"/>
        </w:rPr>
      </w:pPr>
      <w:r w:rsidRPr="00837EB5">
        <w:rPr>
          <w:rFonts w:cs="Calibri"/>
          <w:sz w:val="22"/>
          <w:szCs w:val="22"/>
          <w:u w:val="single"/>
        </w:rPr>
        <w:t>Collated by</w:t>
      </w:r>
      <w:r w:rsidRPr="00837EB5">
        <w:rPr>
          <w:rFonts w:cs="Calibri"/>
          <w:sz w:val="22"/>
          <w:szCs w:val="22"/>
        </w:rPr>
        <w:t>:</w:t>
      </w:r>
    </w:p>
    <w:p w14:paraId="36E88BF7" w14:textId="77777777" w:rsidR="00837EB5" w:rsidRPr="00837EB5" w:rsidRDefault="00837EB5" w:rsidP="00837EB5">
      <w:pPr>
        <w:pStyle w:val="EndnoteText"/>
        <w:rPr>
          <w:rFonts w:cs="Calibri"/>
          <w:sz w:val="22"/>
          <w:szCs w:val="22"/>
        </w:rPr>
      </w:pPr>
      <w:r w:rsidRPr="00837EB5">
        <w:rPr>
          <w:rFonts w:cs="Calibri"/>
          <w:sz w:val="22"/>
          <w:szCs w:val="22"/>
        </w:rPr>
        <w:t>Eve Mokotoff, MPH</w:t>
      </w:r>
    </w:p>
    <w:p w14:paraId="124E4F16" w14:textId="77777777" w:rsidR="00837EB5" w:rsidRPr="00837EB5" w:rsidRDefault="00837EB5" w:rsidP="00837EB5">
      <w:pPr>
        <w:pStyle w:val="EndnoteText"/>
        <w:rPr>
          <w:rFonts w:cs="Calibri"/>
        </w:rPr>
      </w:pPr>
      <w:r w:rsidRPr="00837EB5">
        <w:rPr>
          <w:rFonts w:cs="Calibri"/>
        </w:rPr>
        <w:t>Director – HIV Counts</w:t>
      </w:r>
    </w:p>
    <w:p w14:paraId="613CB5FD" w14:textId="77777777" w:rsidR="00837EB5" w:rsidRPr="00837EB5" w:rsidRDefault="00837EB5" w:rsidP="00837EB5">
      <w:pPr>
        <w:pStyle w:val="EndnoteText"/>
        <w:rPr>
          <w:rFonts w:cs="Calibri"/>
        </w:rPr>
      </w:pPr>
      <w:r w:rsidRPr="00837EB5">
        <w:rPr>
          <w:rFonts w:cs="Calibri"/>
        </w:rPr>
        <w:t>Board Chair – Unified, HIV Health and Beyond</w:t>
      </w:r>
    </w:p>
    <w:p w14:paraId="711E912F" w14:textId="77777777" w:rsidR="00837EB5" w:rsidRPr="00837EB5" w:rsidRDefault="00837EB5" w:rsidP="00837EB5">
      <w:pPr>
        <w:pStyle w:val="EndnoteText"/>
        <w:rPr>
          <w:rFonts w:cs="Calibri"/>
        </w:rPr>
      </w:pPr>
      <w:r w:rsidRPr="00837EB5">
        <w:rPr>
          <w:rFonts w:cs="Calibri"/>
        </w:rPr>
        <w:t>Ann Arbor, MI</w:t>
      </w:r>
    </w:p>
    <w:p w14:paraId="3CB4B5F4" w14:textId="77777777" w:rsidR="00837EB5" w:rsidRPr="00837EB5" w:rsidRDefault="00837EB5" w:rsidP="00837EB5">
      <w:pPr>
        <w:pStyle w:val="EndnoteText"/>
        <w:rPr>
          <w:rFonts w:cs="Calibri"/>
        </w:rPr>
      </w:pPr>
      <w:r w:rsidRPr="00837EB5">
        <w:rPr>
          <w:rFonts w:cs="Calibri"/>
        </w:rPr>
        <w:t>C: 313.407.7761</w:t>
      </w:r>
    </w:p>
    <w:p w14:paraId="7BB53178" w14:textId="77777777" w:rsidR="00837EB5" w:rsidRPr="00837EB5" w:rsidRDefault="00837EB5" w:rsidP="00837EB5">
      <w:pPr>
        <w:pStyle w:val="EndnoteText"/>
        <w:rPr>
          <w:rFonts w:cs="Calibri"/>
        </w:rPr>
      </w:pPr>
      <w:r w:rsidRPr="00837EB5">
        <w:rPr>
          <w:rFonts w:cs="Calibri"/>
        </w:rPr>
        <w:t>E: evemokotoff@hivcounts.org</w:t>
      </w:r>
    </w:p>
    <w:p w14:paraId="7137D502" w14:textId="77777777" w:rsidR="00837EB5" w:rsidRPr="00837EB5" w:rsidRDefault="00837EB5" w:rsidP="00837EB5">
      <w:pPr>
        <w:pStyle w:val="EndnoteText"/>
        <w:rPr>
          <w:rFonts w:cs="Calibri"/>
        </w:rPr>
      </w:pPr>
      <w:r w:rsidRPr="00837EB5">
        <w:rPr>
          <w:rFonts w:cs="Calibri"/>
        </w:rPr>
        <w:t>W: hivcounts.org</w:t>
      </w:r>
    </w:p>
    <w:p w14:paraId="05F396DB" w14:textId="6CEEFD0A" w:rsidR="00837EB5" w:rsidRPr="00837EB5" w:rsidRDefault="00837EB5" w:rsidP="00837EB5">
      <w:pPr>
        <w:pStyle w:val="EndnoteText"/>
        <w:rPr>
          <w:rFonts w:cs="Calibri"/>
        </w:rPr>
      </w:pPr>
    </w:p>
    <w:p w14:paraId="67E36950" w14:textId="77777777" w:rsidR="00837EB5" w:rsidRPr="00837EB5" w:rsidRDefault="00837EB5" w:rsidP="00837EB5">
      <w:pPr>
        <w:pStyle w:val="EndnoteText"/>
        <w:rPr>
          <w:rFonts w:cs="Calibri"/>
          <w:sz w:val="22"/>
          <w:szCs w:val="22"/>
        </w:rPr>
      </w:pPr>
      <w:r w:rsidRPr="00837EB5">
        <w:rPr>
          <w:rFonts w:cs="Calibri"/>
          <w:sz w:val="22"/>
          <w:szCs w:val="22"/>
        </w:rPr>
        <w:t xml:space="preserve"> </w:t>
      </w:r>
      <w:r>
        <w:rPr>
          <w:rFonts w:cs="Calibri"/>
          <w:sz w:val="22"/>
          <w:szCs w:val="22"/>
        </w:rPr>
        <w:t xml:space="preserve"> </w:t>
      </w:r>
    </w:p>
    <w:p w14:paraId="5DF4684B" w14:textId="77777777" w:rsidR="00837EB5" w:rsidRPr="002A500E" w:rsidRDefault="00837EB5" w:rsidP="002A500E">
      <w:pPr>
        <w:pStyle w:val="EndnoteText"/>
        <w:rPr>
          <w:rFonts w:cs="Calibri"/>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FE243" w14:textId="77777777" w:rsidR="00811370" w:rsidRDefault="00811370" w:rsidP="002A500E">
      <w:pPr>
        <w:spacing w:after="0" w:line="240" w:lineRule="auto"/>
      </w:pPr>
      <w:r>
        <w:separator/>
      </w:r>
    </w:p>
  </w:footnote>
  <w:footnote w:type="continuationSeparator" w:id="0">
    <w:p w14:paraId="59DA505B" w14:textId="77777777" w:rsidR="00811370" w:rsidRDefault="00811370" w:rsidP="002A5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B7853"/>
    <w:multiLevelType w:val="hybridMultilevel"/>
    <w:tmpl w:val="8FA6370A"/>
    <w:lvl w:ilvl="0" w:tplc="04090005">
      <w:start w:val="1"/>
      <w:numFmt w:val="bullet"/>
      <w:lvlText w:val=""/>
      <w:lvlJc w:val="left"/>
      <w:pPr>
        <w:ind w:left="720" w:hanging="360"/>
      </w:pPr>
      <w:rPr>
        <w:rFonts w:ascii="Wingdings" w:hAnsi="Wingdings" w:hint="default"/>
      </w:rPr>
    </w:lvl>
    <w:lvl w:ilvl="1" w:tplc="B3149B3C">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352F9"/>
    <w:multiLevelType w:val="hybridMultilevel"/>
    <w:tmpl w:val="C3066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64718"/>
    <w:multiLevelType w:val="hybridMultilevel"/>
    <w:tmpl w:val="60980B3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90D27"/>
    <w:multiLevelType w:val="hybridMultilevel"/>
    <w:tmpl w:val="94947C9E"/>
    <w:lvl w:ilvl="0" w:tplc="0310CEB8">
      <w:start w:val="1"/>
      <w:numFmt w:val="bullet"/>
      <w:lvlText w:val=""/>
      <w:lvlJc w:val="left"/>
      <w:pPr>
        <w:ind w:left="1440" w:hanging="360"/>
      </w:pPr>
      <w:rPr>
        <w:rFonts w:ascii="Wingdings" w:hAnsi="Wingdings" w:hint="default"/>
        <w:color w:val="15559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E7B3447"/>
    <w:multiLevelType w:val="hybridMultilevel"/>
    <w:tmpl w:val="95E85E4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34AB7"/>
    <w:multiLevelType w:val="hybridMultilevel"/>
    <w:tmpl w:val="14AA3908"/>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7718A1"/>
    <w:multiLevelType w:val="hybridMultilevel"/>
    <w:tmpl w:val="297A8652"/>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0C365A"/>
    <w:multiLevelType w:val="hybridMultilevel"/>
    <w:tmpl w:val="4CA23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233F6"/>
    <w:multiLevelType w:val="hybridMultilevel"/>
    <w:tmpl w:val="528AE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2D2F81"/>
    <w:multiLevelType w:val="hybridMultilevel"/>
    <w:tmpl w:val="B19AD0F8"/>
    <w:lvl w:ilvl="0" w:tplc="04090005">
      <w:start w:val="1"/>
      <w:numFmt w:val="bullet"/>
      <w:lvlText w:val=""/>
      <w:lvlJc w:val="left"/>
      <w:pPr>
        <w:ind w:left="720" w:hanging="360"/>
      </w:pPr>
      <w:rPr>
        <w:rFonts w:ascii="Wingdings" w:hAnsi="Wingdings" w:hint="default"/>
      </w:rPr>
    </w:lvl>
    <w:lvl w:ilvl="1" w:tplc="B3149B3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02EF3"/>
    <w:multiLevelType w:val="hybridMultilevel"/>
    <w:tmpl w:val="AAD2AA4E"/>
    <w:lvl w:ilvl="0" w:tplc="04090005">
      <w:start w:val="1"/>
      <w:numFmt w:val="bullet"/>
      <w:lvlText w:val=""/>
      <w:lvlJc w:val="left"/>
      <w:pPr>
        <w:ind w:left="720" w:hanging="360"/>
      </w:pPr>
      <w:rPr>
        <w:rFonts w:ascii="Wingdings" w:hAnsi="Wingdings" w:hint="default"/>
      </w:rPr>
    </w:lvl>
    <w:lvl w:ilvl="1" w:tplc="0310CEB8">
      <w:start w:val="1"/>
      <w:numFmt w:val="bullet"/>
      <w:lvlText w:val=""/>
      <w:lvlJc w:val="left"/>
      <w:pPr>
        <w:ind w:left="1440" w:hanging="360"/>
      </w:pPr>
      <w:rPr>
        <w:rFonts w:ascii="Wingdings" w:hAnsi="Wingdings" w:hint="default"/>
        <w:color w:val="15559D"/>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7"/>
  </w:num>
  <w:num w:numId="5">
    <w:abstractNumId w:val="8"/>
  </w:num>
  <w:num w:numId="6">
    <w:abstractNumId w:val="5"/>
  </w:num>
  <w:num w:numId="7">
    <w:abstractNumId w:val="3"/>
  </w:num>
  <w:num w:numId="8">
    <w:abstractNumId w:val="2"/>
  </w:num>
  <w:num w:numId="9">
    <w:abstractNumId w:val="10"/>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0E"/>
    <w:rsid w:val="00061AB5"/>
    <w:rsid w:val="00090B80"/>
    <w:rsid w:val="00176FD1"/>
    <w:rsid w:val="002641A4"/>
    <w:rsid w:val="002A500E"/>
    <w:rsid w:val="003B77FC"/>
    <w:rsid w:val="004A04A5"/>
    <w:rsid w:val="004B0338"/>
    <w:rsid w:val="004B74D6"/>
    <w:rsid w:val="004C7F1D"/>
    <w:rsid w:val="005E6EA2"/>
    <w:rsid w:val="006D666F"/>
    <w:rsid w:val="00701374"/>
    <w:rsid w:val="0075795F"/>
    <w:rsid w:val="00811370"/>
    <w:rsid w:val="00837EB5"/>
    <w:rsid w:val="00860DDB"/>
    <w:rsid w:val="00946DA2"/>
    <w:rsid w:val="009964D7"/>
    <w:rsid w:val="009D5813"/>
    <w:rsid w:val="00B0739D"/>
    <w:rsid w:val="00B15D60"/>
    <w:rsid w:val="00BB028D"/>
    <w:rsid w:val="00C04272"/>
    <w:rsid w:val="00C32798"/>
    <w:rsid w:val="00E55948"/>
    <w:rsid w:val="00FA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1435"/>
  <w15:chartTrackingRefBased/>
  <w15:docId w15:val="{93A3CE11-6D2F-4F22-BFD1-6A34990F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783D"/>
    <w:pPr>
      <w:pBdr>
        <w:bottom w:val="single" w:sz="18" w:space="1" w:color="15559D"/>
      </w:pBdr>
      <w:spacing w:after="0" w:line="240" w:lineRule="auto"/>
      <w:outlineLvl w:val="0"/>
    </w:pPr>
    <w:rPr>
      <w:rFonts w:ascii="Cambria" w:eastAsia="Arial Unicode MS" w:hAnsi="Cambria" w:cs="Times New Roman"/>
      <w:b/>
      <w:bCs/>
      <w:sz w:val="40"/>
      <w:szCs w:val="40"/>
    </w:rPr>
  </w:style>
  <w:style w:type="paragraph" w:styleId="Heading2">
    <w:name w:val="heading 2"/>
    <w:basedOn w:val="Normal"/>
    <w:next w:val="Normal"/>
    <w:link w:val="Heading2Char"/>
    <w:uiPriority w:val="9"/>
    <w:unhideWhenUsed/>
    <w:qFormat/>
    <w:rsid w:val="00FA783D"/>
    <w:pPr>
      <w:spacing w:after="60" w:line="240" w:lineRule="auto"/>
      <w:outlineLvl w:val="1"/>
    </w:pPr>
    <w:rPr>
      <w:rFonts w:ascii="Cambria" w:eastAsia="Arial Unicode MS" w:hAnsi="Cambria" w:cs="Arial"/>
      <w:b/>
      <w:bCs/>
      <w:sz w:val="32"/>
      <w:szCs w:val="32"/>
    </w:rPr>
  </w:style>
  <w:style w:type="paragraph" w:styleId="Heading3">
    <w:name w:val="heading 3"/>
    <w:basedOn w:val="Normal"/>
    <w:next w:val="Normal"/>
    <w:link w:val="Heading3Char"/>
    <w:uiPriority w:val="9"/>
    <w:unhideWhenUsed/>
    <w:qFormat/>
    <w:rsid w:val="00FA783D"/>
    <w:pPr>
      <w:spacing w:after="60" w:line="240" w:lineRule="auto"/>
      <w:outlineLvl w:val="2"/>
    </w:pPr>
    <w:rPr>
      <w:rFonts w:ascii="Cambria" w:eastAsia="Arial Unicode MS" w:hAnsi="Cambria" w:cs="Arial"/>
      <w:sz w:val="30"/>
      <w:szCs w:val="3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unhideWhenUsed/>
    <w:rsid w:val="002A500E"/>
    <w:rPr>
      <w:color w:val="0563C1"/>
      <w:u w:val="single"/>
    </w:rPr>
  </w:style>
  <w:style w:type="paragraph" w:styleId="EndnoteText">
    <w:name w:val="endnote text"/>
    <w:basedOn w:val="Normal"/>
    <w:link w:val="EndnoteTextChar"/>
    <w:uiPriority w:val="99"/>
    <w:unhideWhenUsed/>
    <w:rsid w:val="002A500E"/>
    <w:pPr>
      <w:spacing w:after="0" w:line="240" w:lineRule="auto"/>
    </w:pPr>
    <w:rPr>
      <w:rFonts w:cs="Times New Roman"/>
      <w:sz w:val="20"/>
      <w:szCs w:val="20"/>
    </w:rPr>
  </w:style>
  <w:style w:type="character" w:customStyle="1" w:styleId="EndnoteTextChar">
    <w:name w:val="Endnote Text Char"/>
    <w:basedOn w:val="DefaultParagraphFont"/>
    <w:link w:val="EndnoteText"/>
    <w:uiPriority w:val="99"/>
    <w:rsid w:val="002A500E"/>
    <w:rPr>
      <w:rFonts w:cs="Times New Roman"/>
      <w:sz w:val="20"/>
      <w:szCs w:val="20"/>
    </w:rPr>
  </w:style>
  <w:style w:type="character" w:styleId="EndnoteReference">
    <w:name w:val="endnote reference"/>
    <w:basedOn w:val="DefaultParagraphFont"/>
    <w:uiPriority w:val="99"/>
    <w:semiHidden/>
    <w:unhideWhenUsed/>
    <w:rsid w:val="002A500E"/>
    <w:rPr>
      <w:vertAlign w:val="superscript"/>
    </w:rPr>
  </w:style>
  <w:style w:type="character" w:styleId="Hyperlink">
    <w:name w:val="Hyperlink"/>
    <w:basedOn w:val="DefaultParagraphFont"/>
    <w:uiPriority w:val="99"/>
    <w:unhideWhenUsed/>
    <w:rsid w:val="002A500E"/>
    <w:rPr>
      <w:color w:val="0563C1" w:themeColor="hyperlink"/>
      <w:u w:val="single"/>
    </w:rPr>
  </w:style>
  <w:style w:type="character" w:customStyle="1" w:styleId="Heading1Char">
    <w:name w:val="Heading 1 Char"/>
    <w:basedOn w:val="DefaultParagraphFont"/>
    <w:link w:val="Heading1"/>
    <w:uiPriority w:val="9"/>
    <w:rsid w:val="00FA783D"/>
    <w:rPr>
      <w:rFonts w:ascii="Cambria" w:eastAsia="Arial Unicode MS" w:hAnsi="Cambria" w:cs="Times New Roman"/>
      <w:b/>
      <w:bCs/>
      <w:sz w:val="40"/>
      <w:szCs w:val="40"/>
    </w:rPr>
  </w:style>
  <w:style w:type="character" w:customStyle="1" w:styleId="Heading2Char">
    <w:name w:val="Heading 2 Char"/>
    <w:basedOn w:val="DefaultParagraphFont"/>
    <w:link w:val="Heading2"/>
    <w:uiPriority w:val="9"/>
    <w:rsid w:val="00FA783D"/>
    <w:rPr>
      <w:rFonts w:ascii="Cambria" w:eastAsia="Arial Unicode MS" w:hAnsi="Cambria" w:cs="Arial"/>
      <w:b/>
      <w:bCs/>
      <w:sz w:val="32"/>
      <w:szCs w:val="32"/>
    </w:rPr>
  </w:style>
  <w:style w:type="character" w:customStyle="1" w:styleId="Heading3Char">
    <w:name w:val="Heading 3 Char"/>
    <w:basedOn w:val="DefaultParagraphFont"/>
    <w:link w:val="Heading3"/>
    <w:uiPriority w:val="9"/>
    <w:rsid w:val="00FA783D"/>
    <w:rPr>
      <w:rFonts w:ascii="Cambria" w:eastAsia="Arial Unicode MS" w:hAnsi="Cambria" w:cs="Arial"/>
      <w:sz w:val="30"/>
      <w:szCs w:val="30"/>
      <w:u w:val="single"/>
    </w:rPr>
  </w:style>
  <w:style w:type="character" w:styleId="UnresolvedMention">
    <w:name w:val="Unresolved Mention"/>
    <w:basedOn w:val="DefaultParagraphFont"/>
    <w:uiPriority w:val="99"/>
    <w:semiHidden/>
    <w:unhideWhenUsed/>
    <w:rsid w:val="00B15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2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pi/aids/resources/exchange/2017/03/hiv-criminalization" TargetMode="External"/><Relationship Id="rId13" Type="http://schemas.openxmlformats.org/officeDocument/2006/relationships/hyperlink" Target="https://www.hiv.gov/federal-response/national-hiv-aids-strategy/overview" TargetMode="External"/><Relationship Id="rId18" Type="http://schemas.openxmlformats.org/officeDocument/2006/relationships/hyperlink" Target="https://www.ada.gov/hiv/HIV-guide-reform-crim.pdf" TargetMode="External"/><Relationship Id="rId26" Type="http://schemas.openxmlformats.org/officeDocument/2006/relationships/hyperlink" Target="https://www.hivlawandpolicy.org/initiatives/positive-justice-project" TargetMode="External"/><Relationship Id="rId3" Type="http://schemas.openxmlformats.org/officeDocument/2006/relationships/styles" Target="styles.xml"/><Relationship Id="rId21" Type="http://schemas.openxmlformats.org/officeDocument/2006/relationships/hyperlink" Target="http://www.seroproject.com/wp-content/uploads/2019/07/StateStrategicAdvocacyPlan.Sero_.pdf" TargetMode="External"/><Relationship Id="rId7" Type="http://schemas.openxmlformats.org/officeDocument/2006/relationships/endnotes" Target="endnotes.xml"/><Relationship Id="rId12" Type="http://schemas.openxmlformats.org/officeDocument/2006/relationships/hyperlink" Target="https://www.nastad.org/sites/default/files/resources/docs/114641_2011311_NASTAD-Statement-on-Criminalization-Final.pdf" TargetMode="External"/><Relationship Id="rId17" Type="http://schemas.openxmlformats.org/officeDocument/2006/relationships/hyperlink" Target="https://www.ncbi.nlm.nih.gov/pubmed/31536402" TargetMode="External"/><Relationship Id="rId25" Type="http://schemas.openxmlformats.org/officeDocument/2006/relationships/hyperlink" Target="https://www.nastad.org/blog/public-health-approach-ending-hiv-criminalization" TargetMode="External"/><Relationship Id="rId2" Type="http://schemas.openxmlformats.org/officeDocument/2006/relationships/numbering" Target="numbering.xml"/><Relationship Id="rId16" Type="http://schemas.openxmlformats.org/officeDocument/2006/relationships/hyperlink" Target="http://www.seroproject.com/wp-content/uploads/2017/04/Southern-REACH-2017-HIV-Crim.pdf" TargetMode="External"/><Relationship Id="rId20" Type="http://schemas.openxmlformats.org/officeDocument/2006/relationships/hyperlink" Target="https://www.nastad.org/sites/default/files/resources/docs/NASTAD-Policy-Advocacy-Toolkit-September-2014.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roproject.com/wp-content/uploads/2016/11/HIV-Criminalization-FAQ-Final.pdf" TargetMode="External"/><Relationship Id="rId24" Type="http://schemas.openxmlformats.org/officeDocument/2006/relationships/hyperlink" Target="https://www.lambdalegal.org/issues/hiv" TargetMode="External"/><Relationship Id="rId5" Type="http://schemas.openxmlformats.org/officeDocument/2006/relationships/webSettings" Target="webSettings.xml"/><Relationship Id="rId15" Type="http://schemas.openxmlformats.org/officeDocument/2006/relationships/hyperlink" Target="https://www.nastad.org/sites/default/files/resources/docs/Presentation-HIV-Criminalization-UNDP-NASTAD-Meeting-12-04-12.pdf" TargetMode="External"/><Relationship Id="rId23" Type="http://schemas.openxmlformats.org/officeDocument/2006/relationships/hyperlink" Target="https://www.hivlawandpolicy.org/" TargetMode="External"/><Relationship Id="rId28" Type="http://schemas.openxmlformats.org/officeDocument/2006/relationships/fontTable" Target="fontTable.xml"/><Relationship Id="rId10" Type="http://schemas.openxmlformats.org/officeDocument/2006/relationships/hyperlink" Target="https://www.nastad.org/sites/default/files/resources/docs/HIV-Decriminalization-Health-Department-Talking-Points-and-FAQs.pdf" TargetMode="External"/><Relationship Id="rId19" Type="http://schemas.openxmlformats.org/officeDocument/2006/relationships/hyperlink" Target="http://www.seroproject.com/wp-content/uploads/2017/04/Iowa-Background-and-Approach.pdf" TargetMode="External"/><Relationship Id="rId4" Type="http://schemas.openxmlformats.org/officeDocument/2006/relationships/settings" Target="settings.xml"/><Relationship Id="rId9" Type="http://schemas.openxmlformats.org/officeDocument/2006/relationships/hyperlink" Target="https://www.cdc.gov/hiv/policies/law/states/index.html" TargetMode="External"/><Relationship Id="rId14" Type="http://schemas.openxmlformats.org/officeDocument/2006/relationships/hyperlink" Target="http://www.seroproject.com/wp-content/uploads/2017/05/Criminal-Law-101-Workshop-Handout.pdf" TargetMode="External"/><Relationship Id="rId22" Type="http://schemas.openxmlformats.org/officeDocument/2006/relationships/hyperlink" Target="https://www.cdc.gov/hiv/policies/law/states/index.html" TargetMode="External"/><Relationship Id="rId27" Type="http://schemas.openxmlformats.org/officeDocument/2006/relationships/hyperlink" Target="http://www.seroproject.com/"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tandfonline.com/doi/full/10.1080/09581596.2019.1582755" TargetMode="External"/><Relationship Id="rId2" Type="http://schemas.openxmlformats.org/officeDocument/2006/relationships/hyperlink" Target="http://history.nih.gov/research/downloads/PL101-381.pdf" TargetMode="External"/><Relationship Id="rId1" Type="http://schemas.openxmlformats.org/officeDocument/2006/relationships/hyperlink" Target="https://www.cdc.gov/hiv/pdf/funding/announcements/ps18-1802/cdc-hiv-additional-cluster-implementation-guidance.pdf" TargetMode="External"/><Relationship Id="rId6" Type="http://schemas.openxmlformats.org/officeDocument/2006/relationships/hyperlink" Target="http://www.hivlawandpolicy.org/sites/default/files/CHLP%20HIV%20Crim%20Map%20030119.pdf" TargetMode="External"/><Relationship Id="rId5" Type="http://schemas.openxmlformats.org/officeDocument/2006/relationships/hyperlink" Target="http://www.seroproject.com/wp-content/uploads/2017/04/Iowa-Background-and-Approach.pdf" TargetMode="External"/><Relationship Id="rId4" Type="http://schemas.openxmlformats.org/officeDocument/2006/relationships/hyperlink" Target="https://www.hivlawandpolicy.org/fine-print-blog/doing-national-hiv-testing-day-our-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DF028-9AF5-4A24-9FCE-4BB6910F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Mokotoff</dc:creator>
  <cp:keywords/>
  <dc:description/>
  <cp:lastModifiedBy>Eve Mokotoff</cp:lastModifiedBy>
  <cp:revision>6</cp:revision>
  <dcterms:created xsi:type="dcterms:W3CDTF">2020-01-15T18:30:00Z</dcterms:created>
  <dcterms:modified xsi:type="dcterms:W3CDTF">2020-01-15T19:02:00Z</dcterms:modified>
</cp:coreProperties>
</file>